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C6C66" w14:textId="78FFB639" w:rsidR="00897E08" w:rsidRPr="00972203" w:rsidRDefault="00897E08" w:rsidP="00CC4BCA">
      <w:pPr>
        <w:pStyle w:val="BodyText"/>
        <w:spacing w:after="120" w:line="276" w:lineRule="auto"/>
        <w:rPr>
          <w:b/>
          <w:sz w:val="24"/>
          <w:szCs w:val="22"/>
          <w:lang w:val="en-GB"/>
        </w:rPr>
      </w:pPr>
      <w:r>
        <w:rPr>
          <w:b/>
          <w:sz w:val="24"/>
          <w:szCs w:val="22"/>
          <w:lang w:val="en-GB"/>
        </w:rPr>
        <w:t xml:space="preserve">A criteria-driven approach to the </w:t>
      </w:r>
      <w:r w:rsidRPr="00897E08">
        <w:rPr>
          <w:b/>
          <w:szCs w:val="22"/>
          <w:lang w:val="en-GB"/>
        </w:rPr>
        <w:t>CO</w:t>
      </w:r>
      <w:r w:rsidRPr="00897E08">
        <w:rPr>
          <w:b/>
          <w:szCs w:val="22"/>
          <w:vertAlign w:val="subscript"/>
          <w:lang w:val="en-GB"/>
        </w:rPr>
        <w:t>2</w:t>
      </w:r>
      <w:r>
        <w:rPr>
          <w:b/>
          <w:sz w:val="24"/>
          <w:szCs w:val="22"/>
          <w:lang w:val="en-GB"/>
        </w:rPr>
        <w:t xml:space="preserve"> storage site selection of East </w:t>
      </w:r>
      <w:proofErr w:type="spellStart"/>
      <w:r>
        <w:rPr>
          <w:b/>
          <w:sz w:val="24"/>
          <w:szCs w:val="22"/>
          <w:lang w:val="en-GB"/>
        </w:rPr>
        <w:t>Mey</w:t>
      </w:r>
      <w:proofErr w:type="spellEnd"/>
      <w:r>
        <w:rPr>
          <w:b/>
          <w:sz w:val="24"/>
          <w:szCs w:val="22"/>
          <w:lang w:val="en-GB"/>
        </w:rPr>
        <w:t xml:space="preserve"> for the Acorn project in the North Sea</w:t>
      </w:r>
    </w:p>
    <w:p w14:paraId="56528DF6" w14:textId="7B2AE1FE" w:rsidR="00AF3F68" w:rsidRPr="00011159" w:rsidRDefault="00F52F91" w:rsidP="00042FE3">
      <w:pPr>
        <w:pStyle w:val="BodyText"/>
        <w:spacing w:after="120" w:line="240" w:lineRule="auto"/>
        <w:rPr>
          <w:sz w:val="22"/>
          <w:szCs w:val="24"/>
          <w:lang w:val="en-GB"/>
        </w:rPr>
      </w:pPr>
      <w:r w:rsidRPr="009551B2">
        <w:rPr>
          <w:sz w:val="22"/>
          <w:szCs w:val="24"/>
          <w:lang w:val="en-GB"/>
        </w:rPr>
        <w:t xml:space="preserve">Juan </w:t>
      </w:r>
      <w:proofErr w:type="spellStart"/>
      <w:r w:rsidRPr="009551B2">
        <w:rPr>
          <w:sz w:val="22"/>
          <w:szCs w:val="24"/>
          <w:lang w:val="en-GB"/>
        </w:rPr>
        <w:t>Alcalde</w:t>
      </w:r>
      <w:r w:rsidRPr="009551B2">
        <w:rPr>
          <w:sz w:val="22"/>
          <w:szCs w:val="24"/>
          <w:vertAlign w:val="superscript"/>
          <w:lang w:val="en-GB"/>
        </w:rPr>
        <w:t>a</w:t>
      </w:r>
      <w:r w:rsidR="00453C43" w:rsidRPr="009551B2">
        <w:rPr>
          <w:sz w:val="22"/>
          <w:szCs w:val="24"/>
          <w:vertAlign w:val="superscript"/>
          <w:lang w:val="en-GB"/>
        </w:rPr>
        <w:t>,b</w:t>
      </w:r>
      <w:proofErr w:type="spellEnd"/>
      <w:r w:rsidR="00011159" w:rsidRPr="009551B2">
        <w:rPr>
          <w:sz w:val="22"/>
          <w:szCs w:val="24"/>
          <w:vertAlign w:val="superscript"/>
          <w:lang w:val="en-GB"/>
        </w:rPr>
        <w:t>*</w:t>
      </w:r>
      <w:r w:rsidRPr="009551B2">
        <w:rPr>
          <w:sz w:val="22"/>
          <w:szCs w:val="24"/>
          <w:lang w:val="en-GB"/>
        </w:rPr>
        <w:t xml:space="preserve">, </w:t>
      </w:r>
      <w:r w:rsidR="00F24210" w:rsidRPr="009551B2">
        <w:rPr>
          <w:sz w:val="22"/>
          <w:szCs w:val="24"/>
          <w:lang w:val="en-GB"/>
        </w:rPr>
        <w:t xml:space="preserve">Niklas </w:t>
      </w:r>
      <w:proofErr w:type="spellStart"/>
      <w:r w:rsidR="00F24210" w:rsidRPr="009551B2">
        <w:rPr>
          <w:sz w:val="22"/>
          <w:szCs w:val="24"/>
          <w:lang w:val="en-GB"/>
        </w:rPr>
        <w:t>Heinemann</w:t>
      </w:r>
      <w:r w:rsidR="00453C43" w:rsidRPr="009551B2">
        <w:rPr>
          <w:sz w:val="22"/>
          <w:szCs w:val="24"/>
          <w:vertAlign w:val="superscript"/>
          <w:lang w:val="en-GB"/>
        </w:rPr>
        <w:t>c</w:t>
      </w:r>
      <w:r w:rsidR="00F24210" w:rsidRPr="009551B2">
        <w:rPr>
          <w:sz w:val="22"/>
          <w:szCs w:val="24"/>
          <w:vertAlign w:val="superscript"/>
          <w:lang w:val="en-GB"/>
        </w:rPr>
        <w:t>,</w:t>
      </w:r>
      <w:r w:rsidR="00453C43" w:rsidRPr="009551B2">
        <w:rPr>
          <w:sz w:val="22"/>
          <w:szCs w:val="24"/>
          <w:vertAlign w:val="superscript"/>
          <w:lang w:val="en-GB"/>
        </w:rPr>
        <w:t>d</w:t>
      </w:r>
      <w:proofErr w:type="spellEnd"/>
      <w:r w:rsidR="00F24210" w:rsidRPr="009551B2">
        <w:rPr>
          <w:sz w:val="22"/>
          <w:szCs w:val="24"/>
          <w:lang w:val="en-GB"/>
        </w:rPr>
        <w:t xml:space="preserve">, </w:t>
      </w:r>
      <w:r w:rsidR="00410343" w:rsidRPr="009551B2">
        <w:rPr>
          <w:sz w:val="22"/>
          <w:szCs w:val="24"/>
          <w:lang w:val="en-GB"/>
        </w:rPr>
        <w:t>Ala</w:t>
      </w:r>
      <w:r w:rsidRPr="009551B2">
        <w:rPr>
          <w:sz w:val="22"/>
          <w:szCs w:val="24"/>
          <w:lang w:val="en-GB"/>
        </w:rPr>
        <w:t xml:space="preserve">n </w:t>
      </w:r>
      <w:proofErr w:type="spellStart"/>
      <w:r w:rsidR="00E764D9" w:rsidRPr="009551B2">
        <w:rPr>
          <w:sz w:val="22"/>
          <w:szCs w:val="24"/>
          <w:lang w:val="en-GB"/>
        </w:rPr>
        <w:t>James</w:t>
      </w:r>
      <w:r w:rsidR="00453C43" w:rsidRPr="009551B2">
        <w:rPr>
          <w:sz w:val="22"/>
          <w:szCs w:val="24"/>
          <w:vertAlign w:val="superscript"/>
          <w:lang w:val="en-GB"/>
        </w:rPr>
        <w:t>e</w:t>
      </w:r>
      <w:proofErr w:type="spellEnd"/>
      <w:r w:rsidRPr="009551B2">
        <w:rPr>
          <w:sz w:val="22"/>
          <w:szCs w:val="24"/>
          <w:lang w:val="en-GB"/>
        </w:rPr>
        <w:t>, Clare</w:t>
      </w:r>
      <w:r w:rsidR="00294C9F" w:rsidRPr="009551B2">
        <w:rPr>
          <w:sz w:val="22"/>
          <w:szCs w:val="24"/>
          <w:lang w:val="en-GB"/>
        </w:rPr>
        <w:t xml:space="preserve"> E. </w:t>
      </w:r>
      <w:proofErr w:type="spellStart"/>
      <w:r w:rsidRPr="00011159">
        <w:rPr>
          <w:sz w:val="22"/>
          <w:szCs w:val="24"/>
          <w:lang w:val="en-GB"/>
        </w:rPr>
        <w:t>Bond</w:t>
      </w:r>
      <w:r w:rsidR="00453C43">
        <w:rPr>
          <w:sz w:val="22"/>
          <w:szCs w:val="24"/>
          <w:vertAlign w:val="superscript"/>
          <w:lang w:val="en-GB"/>
        </w:rPr>
        <w:t>b</w:t>
      </w:r>
      <w:proofErr w:type="spellEnd"/>
      <w:r w:rsidRPr="00011159">
        <w:rPr>
          <w:sz w:val="22"/>
          <w:szCs w:val="24"/>
          <w:lang w:val="en-GB"/>
        </w:rPr>
        <w:t xml:space="preserve">, Saeed </w:t>
      </w:r>
      <w:proofErr w:type="spellStart"/>
      <w:r w:rsidRPr="00011159">
        <w:rPr>
          <w:sz w:val="22"/>
          <w:szCs w:val="24"/>
          <w:lang w:val="en-GB"/>
        </w:rPr>
        <w:t>Ghanbari</w:t>
      </w:r>
      <w:r w:rsidRPr="00011159">
        <w:rPr>
          <w:sz w:val="22"/>
          <w:szCs w:val="24"/>
          <w:vertAlign w:val="superscript"/>
          <w:lang w:val="en-GB"/>
        </w:rPr>
        <w:t>f</w:t>
      </w:r>
      <w:proofErr w:type="spellEnd"/>
      <w:r w:rsidR="00042FE3" w:rsidRPr="00011159">
        <w:rPr>
          <w:sz w:val="22"/>
        </w:rPr>
        <w:t xml:space="preserve"> , Eric J. </w:t>
      </w:r>
      <w:proofErr w:type="spellStart"/>
      <w:r w:rsidR="00042FE3" w:rsidRPr="00011159">
        <w:rPr>
          <w:sz w:val="22"/>
        </w:rPr>
        <w:t>Mackay</w:t>
      </w:r>
      <w:r w:rsidR="00042FE3" w:rsidRPr="00011159">
        <w:rPr>
          <w:sz w:val="22"/>
          <w:vertAlign w:val="superscript"/>
        </w:rPr>
        <w:t>f</w:t>
      </w:r>
      <w:proofErr w:type="spellEnd"/>
      <w:r w:rsidR="00042FE3" w:rsidRPr="00011159">
        <w:rPr>
          <w:sz w:val="22"/>
        </w:rPr>
        <w:t xml:space="preserve">, R. Stuart </w:t>
      </w:r>
      <w:proofErr w:type="spellStart"/>
      <w:r w:rsidR="00042FE3" w:rsidRPr="00011159">
        <w:rPr>
          <w:sz w:val="22"/>
        </w:rPr>
        <w:t>Haszeldine</w:t>
      </w:r>
      <w:r w:rsidR="00042FE3" w:rsidRPr="00011159">
        <w:rPr>
          <w:sz w:val="22"/>
          <w:vertAlign w:val="superscript"/>
        </w:rPr>
        <w:t>c</w:t>
      </w:r>
      <w:proofErr w:type="spellEnd"/>
      <w:r w:rsidR="00042FE3" w:rsidRPr="00011159">
        <w:rPr>
          <w:sz w:val="22"/>
        </w:rPr>
        <w:t xml:space="preserve">, Daniel R. </w:t>
      </w:r>
      <w:proofErr w:type="spellStart"/>
      <w:r w:rsidR="00042FE3" w:rsidRPr="00011159">
        <w:rPr>
          <w:sz w:val="22"/>
        </w:rPr>
        <w:t>Faulkner</w:t>
      </w:r>
      <w:r w:rsidR="00685344" w:rsidRPr="00011159">
        <w:rPr>
          <w:sz w:val="22"/>
          <w:vertAlign w:val="superscript"/>
        </w:rPr>
        <w:t>g</w:t>
      </w:r>
      <w:proofErr w:type="spellEnd"/>
      <w:r w:rsidR="00042FE3" w:rsidRPr="00011159">
        <w:rPr>
          <w:sz w:val="22"/>
        </w:rPr>
        <w:t xml:space="preserve">, Richard H. </w:t>
      </w:r>
      <w:proofErr w:type="spellStart"/>
      <w:r w:rsidR="00042FE3" w:rsidRPr="00011159">
        <w:rPr>
          <w:sz w:val="22"/>
        </w:rPr>
        <w:t>Worden</w:t>
      </w:r>
      <w:r w:rsidR="00042FE3" w:rsidRPr="00011159">
        <w:rPr>
          <w:sz w:val="22"/>
          <w:vertAlign w:val="superscript"/>
        </w:rPr>
        <w:t>g</w:t>
      </w:r>
      <w:proofErr w:type="spellEnd"/>
      <w:r w:rsidR="00042FE3" w:rsidRPr="00011159">
        <w:rPr>
          <w:sz w:val="22"/>
        </w:rPr>
        <w:t xml:space="preserve"> and Michael J. </w:t>
      </w:r>
      <w:proofErr w:type="spellStart"/>
      <w:r w:rsidR="00042FE3" w:rsidRPr="00011159">
        <w:rPr>
          <w:sz w:val="22"/>
        </w:rPr>
        <w:t>Allen</w:t>
      </w:r>
      <w:r w:rsidR="00042FE3" w:rsidRPr="00011159">
        <w:rPr>
          <w:sz w:val="22"/>
          <w:vertAlign w:val="superscript"/>
        </w:rPr>
        <w:t>g</w:t>
      </w:r>
      <w:proofErr w:type="spellEnd"/>
      <w:r w:rsidR="00042FE3" w:rsidRPr="00011159">
        <w:rPr>
          <w:sz w:val="22"/>
        </w:rPr>
        <w:t>.</w:t>
      </w:r>
    </w:p>
    <w:p w14:paraId="381CEF28" w14:textId="4BA84A05" w:rsidR="00F52F91" w:rsidRPr="00F86647" w:rsidRDefault="00412B84" w:rsidP="00042FE3">
      <w:pPr>
        <w:spacing w:after="0" w:line="240" w:lineRule="auto"/>
        <w:rPr>
          <w:sz w:val="20"/>
          <w:lang w:val="es-ES" w:eastAsia="en-GB"/>
        </w:rPr>
      </w:pPr>
      <w:r w:rsidRPr="00F86647">
        <w:rPr>
          <w:sz w:val="20"/>
          <w:vertAlign w:val="superscript"/>
          <w:lang w:val="es-ES" w:eastAsia="en-GB"/>
        </w:rPr>
        <w:t>a</w:t>
      </w:r>
      <w:r w:rsidR="00042FE3" w:rsidRPr="00F86647">
        <w:rPr>
          <w:sz w:val="20"/>
          <w:vertAlign w:val="superscript"/>
          <w:lang w:val="es-ES" w:eastAsia="en-GB"/>
        </w:rPr>
        <w:t xml:space="preserve"> </w:t>
      </w:r>
      <w:proofErr w:type="spellStart"/>
      <w:r w:rsidR="00453C43" w:rsidRPr="00F86647">
        <w:rPr>
          <w:sz w:val="20"/>
          <w:lang w:val="es-ES" w:eastAsia="en-GB"/>
        </w:rPr>
        <w:t>Geosciences</w:t>
      </w:r>
      <w:proofErr w:type="spellEnd"/>
      <w:r w:rsidR="00453C43" w:rsidRPr="00F86647">
        <w:rPr>
          <w:sz w:val="20"/>
          <w:lang w:val="es-ES" w:eastAsia="en-GB"/>
        </w:rPr>
        <w:t xml:space="preserve"> Barcelona</w:t>
      </w:r>
      <w:r w:rsidR="00897E08">
        <w:rPr>
          <w:sz w:val="20"/>
          <w:lang w:val="es-ES" w:eastAsia="en-GB"/>
        </w:rPr>
        <w:t xml:space="preserve"> </w:t>
      </w:r>
      <w:r w:rsidR="00FB1751">
        <w:rPr>
          <w:sz w:val="20"/>
          <w:lang w:val="es-ES" w:eastAsia="en-GB"/>
        </w:rPr>
        <w:t>Geo3Bcn</w:t>
      </w:r>
      <w:r w:rsidR="00897E08">
        <w:rPr>
          <w:sz w:val="20"/>
          <w:lang w:val="es-ES" w:eastAsia="en-GB"/>
        </w:rPr>
        <w:t>-</w:t>
      </w:r>
      <w:r w:rsidR="00453C43" w:rsidRPr="00F86647">
        <w:rPr>
          <w:sz w:val="20"/>
          <w:lang w:val="es-ES" w:eastAsia="en-GB"/>
        </w:rPr>
        <w:t xml:space="preserve">CSIC, </w:t>
      </w:r>
      <w:proofErr w:type="spellStart"/>
      <w:r w:rsidR="00453C43" w:rsidRPr="00F86647">
        <w:rPr>
          <w:sz w:val="20"/>
          <w:lang w:val="es-ES" w:eastAsia="en-GB"/>
        </w:rPr>
        <w:t>L</w:t>
      </w:r>
      <w:r w:rsidR="00393515" w:rsidRPr="00F86647">
        <w:rPr>
          <w:sz w:val="20"/>
          <w:lang w:val="es-ES" w:eastAsia="en-GB"/>
        </w:rPr>
        <w:t>l</w:t>
      </w:r>
      <w:r w:rsidR="00453C43" w:rsidRPr="00F86647">
        <w:rPr>
          <w:sz w:val="20"/>
          <w:lang w:val="es-ES" w:eastAsia="en-GB"/>
        </w:rPr>
        <w:t>uis</w:t>
      </w:r>
      <w:proofErr w:type="spellEnd"/>
      <w:r w:rsidR="00453C43" w:rsidRPr="00F86647">
        <w:rPr>
          <w:sz w:val="20"/>
          <w:lang w:val="es-ES" w:eastAsia="en-GB"/>
        </w:rPr>
        <w:t xml:space="preserve"> Sol</w:t>
      </w:r>
      <w:r w:rsidR="00897E08">
        <w:rPr>
          <w:sz w:val="20"/>
          <w:lang w:val="es-ES" w:eastAsia="en-GB"/>
        </w:rPr>
        <w:t>é</w:t>
      </w:r>
      <w:r w:rsidR="00453C43" w:rsidRPr="00F86647">
        <w:rPr>
          <w:sz w:val="20"/>
          <w:lang w:val="es-ES" w:eastAsia="en-GB"/>
        </w:rPr>
        <w:t xml:space="preserve"> </w:t>
      </w:r>
      <w:r w:rsidR="00897E08">
        <w:rPr>
          <w:sz w:val="20"/>
          <w:lang w:val="es-ES" w:eastAsia="en-GB"/>
        </w:rPr>
        <w:t xml:space="preserve">i </w:t>
      </w:r>
      <w:r w:rsidR="00453C43" w:rsidRPr="00F86647">
        <w:rPr>
          <w:sz w:val="20"/>
          <w:lang w:val="es-ES" w:eastAsia="en-GB"/>
        </w:rPr>
        <w:t>Sabar</w:t>
      </w:r>
      <w:r w:rsidR="00897E08">
        <w:rPr>
          <w:sz w:val="20"/>
          <w:lang w:val="es-ES" w:eastAsia="en-GB"/>
        </w:rPr>
        <w:t>í</w:t>
      </w:r>
      <w:r w:rsidR="00453C43" w:rsidRPr="00F86647">
        <w:rPr>
          <w:sz w:val="20"/>
          <w:lang w:val="es-ES" w:eastAsia="en-GB"/>
        </w:rPr>
        <w:t xml:space="preserve">s s/n, 08028 Barcelona, </w:t>
      </w:r>
      <w:proofErr w:type="spellStart"/>
      <w:r w:rsidR="00453C43" w:rsidRPr="00F86647">
        <w:rPr>
          <w:sz w:val="20"/>
          <w:lang w:val="es-ES" w:eastAsia="en-GB"/>
        </w:rPr>
        <w:t>Spain</w:t>
      </w:r>
      <w:proofErr w:type="spellEnd"/>
    </w:p>
    <w:p w14:paraId="7BECB82F" w14:textId="4362E394" w:rsidR="00453C43" w:rsidRPr="00F86647" w:rsidRDefault="00412B84" w:rsidP="00042FE3">
      <w:pPr>
        <w:spacing w:after="0" w:line="240" w:lineRule="auto"/>
        <w:rPr>
          <w:sz w:val="20"/>
          <w:vertAlign w:val="superscript"/>
          <w:lang w:eastAsia="en-GB"/>
        </w:rPr>
      </w:pPr>
      <w:r w:rsidRPr="00F86647">
        <w:rPr>
          <w:sz w:val="20"/>
          <w:vertAlign w:val="superscript"/>
          <w:lang w:eastAsia="en-GB"/>
        </w:rPr>
        <w:t>b</w:t>
      </w:r>
      <w:r w:rsidR="00042FE3" w:rsidRPr="00F86647">
        <w:rPr>
          <w:sz w:val="20"/>
          <w:vertAlign w:val="superscript"/>
          <w:lang w:eastAsia="en-GB"/>
        </w:rPr>
        <w:t xml:space="preserve"> </w:t>
      </w:r>
      <w:r w:rsidR="00453C43" w:rsidRPr="00F86647">
        <w:rPr>
          <w:sz w:val="20"/>
          <w:lang w:eastAsia="en-GB"/>
        </w:rPr>
        <w:t>Department of Geology and Geophysics, University of Aberdeen, Aberdeen, AB24 3FX, UK</w:t>
      </w:r>
    </w:p>
    <w:p w14:paraId="1C86CCD0" w14:textId="6BD3D25D" w:rsidR="00453C43" w:rsidRPr="00F86647" w:rsidRDefault="00412B84" w:rsidP="00453C43">
      <w:pPr>
        <w:spacing w:after="0" w:line="240" w:lineRule="auto"/>
        <w:rPr>
          <w:sz w:val="20"/>
          <w:lang w:eastAsia="en-GB"/>
        </w:rPr>
      </w:pPr>
      <w:r w:rsidRPr="00F86647">
        <w:rPr>
          <w:sz w:val="20"/>
          <w:vertAlign w:val="superscript"/>
          <w:lang w:eastAsia="en-GB"/>
        </w:rPr>
        <w:t>c</w:t>
      </w:r>
      <w:r w:rsidR="00042FE3" w:rsidRPr="00F86647">
        <w:rPr>
          <w:sz w:val="20"/>
          <w:vertAlign w:val="superscript"/>
          <w:lang w:eastAsia="en-GB"/>
        </w:rPr>
        <w:t xml:space="preserve"> </w:t>
      </w:r>
      <w:r w:rsidR="00453C43" w:rsidRPr="00F86647">
        <w:rPr>
          <w:sz w:val="20"/>
          <w:lang w:eastAsia="en-GB"/>
        </w:rPr>
        <w:t xml:space="preserve">School of Geosciences, University of Edinburgh, Grant Institute, West Main Road, Edinburgh, EH9 </w:t>
      </w:r>
      <w:r w:rsidR="00467C79">
        <w:rPr>
          <w:sz w:val="20"/>
          <w:lang w:eastAsia="en-GB"/>
        </w:rPr>
        <w:t>3FE</w:t>
      </w:r>
      <w:r w:rsidR="00453C43" w:rsidRPr="00F86647">
        <w:rPr>
          <w:sz w:val="20"/>
          <w:lang w:eastAsia="en-GB"/>
        </w:rPr>
        <w:t>, UK</w:t>
      </w:r>
    </w:p>
    <w:p w14:paraId="4E13E7F4" w14:textId="77777777" w:rsidR="00453C43" w:rsidRPr="00F86647" w:rsidRDefault="00412B84" w:rsidP="00453C43">
      <w:pPr>
        <w:spacing w:after="0" w:line="240" w:lineRule="auto"/>
        <w:rPr>
          <w:sz w:val="20"/>
          <w:lang w:eastAsia="en-GB"/>
        </w:rPr>
      </w:pPr>
      <w:r w:rsidRPr="00F86647">
        <w:rPr>
          <w:sz w:val="20"/>
          <w:vertAlign w:val="superscript"/>
        </w:rPr>
        <w:t>d</w:t>
      </w:r>
      <w:r w:rsidR="00042FE3" w:rsidRPr="00F86647">
        <w:rPr>
          <w:sz w:val="20"/>
          <w:vertAlign w:val="superscript"/>
        </w:rPr>
        <w:t xml:space="preserve"> </w:t>
      </w:r>
      <w:r w:rsidR="00453C43" w:rsidRPr="00F86647">
        <w:rPr>
          <w:sz w:val="20"/>
        </w:rPr>
        <w:t xml:space="preserve">Steinmann Institute </w:t>
      </w:r>
      <w:r w:rsidR="00453C43" w:rsidRPr="00F86647">
        <w:rPr>
          <w:rFonts w:eastAsia="AdvOT833fb896+20"/>
          <w:sz w:val="20"/>
        </w:rPr>
        <w:t xml:space="preserve">– </w:t>
      </w:r>
      <w:r w:rsidR="00453C43" w:rsidRPr="00F86647">
        <w:rPr>
          <w:sz w:val="20"/>
        </w:rPr>
        <w:t xml:space="preserve">Geology, Bonn University, </w:t>
      </w:r>
      <w:proofErr w:type="spellStart"/>
      <w:r w:rsidR="00453C43" w:rsidRPr="00F86647">
        <w:rPr>
          <w:sz w:val="20"/>
        </w:rPr>
        <w:t>Nussallee</w:t>
      </w:r>
      <w:proofErr w:type="spellEnd"/>
      <w:r w:rsidR="00453C43" w:rsidRPr="00F86647">
        <w:rPr>
          <w:sz w:val="20"/>
        </w:rPr>
        <w:t xml:space="preserve"> 8, 53115 Bonn, Germany</w:t>
      </w:r>
      <w:r w:rsidR="00453C43" w:rsidRPr="00F86647">
        <w:rPr>
          <w:sz w:val="20"/>
          <w:lang w:eastAsia="en-GB"/>
        </w:rPr>
        <w:t xml:space="preserve"> </w:t>
      </w:r>
    </w:p>
    <w:p w14:paraId="110D5F1A" w14:textId="77777777" w:rsidR="00453C43" w:rsidRPr="00F86647" w:rsidRDefault="00412B84" w:rsidP="00453C43">
      <w:pPr>
        <w:spacing w:after="0" w:line="240" w:lineRule="auto"/>
        <w:rPr>
          <w:sz w:val="20"/>
          <w:lang w:eastAsia="en-GB"/>
        </w:rPr>
      </w:pPr>
      <w:r w:rsidRPr="00F86647">
        <w:rPr>
          <w:sz w:val="20"/>
          <w:vertAlign w:val="superscript"/>
          <w:lang w:eastAsia="en-GB"/>
        </w:rPr>
        <w:t>e</w:t>
      </w:r>
      <w:r w:rsidR="00042FE3" w:rsidRPr="00F86647">
        <w:rPr>
          <w:sz w:val="20"/>
          <w:vertAlign w:val="superscript"/>
          <w:lang w:eastAsia="en-GB"/>
        </w:rPr>
        <w:t xml:space="preserve"> </w:t>
      </w:r>
      <w:r w:rsidR="00453C43" w:rsidRPr="00F86647">
        <w:rPr>
          <w:sz w:val="20"/>
          <w:lang w:eastAsia="en-GB"/>
        </w:rPr>
        <w:t xml:space="preserve">Pale Blue Dot Energy, </w:t>
      </w:r>
      <w:proofErr w:type="spellStart"/>
      <w:r w:rsidR="00453C43" w:rsidRPr="00F86647">
        <w:rPr>
          <w:sz w:val="20"/>
          <w:lang w:eastAsia="en-GB"/>
        </w:rPr>
        <w:t>Bratherns</w:t>
      </w:r>
      <w:proofErr w:type="spellEnd"/>
      <w:r w:rsidR="00453C43" w:rsidRPr="00F86647">
        <w:rPr>
          <w:sz w:val="20"/>
          <w:lang w:eastAsia="en-GB"/>
        </w:rPr>
        <w:t xml:space="preserve"> Eco-Business Park, Banchory, AB 31 4BW, UK</w:t>
      </w:r>
      <w:r w:rsidR="00453C43" w:rsidRPr="00F86647">
        <w:rPr>
          <w:sz w:val="20"/>
        </w:rPr>
        <w:t xml:space="preserve"> </w:t>
      </w:r>
    </w:p>
    <w:p w14:paraId="5401591F" w14:textId="77777777" w:rsidR="00F52F91" w:rsidRPr="00F86647" w:rsidRDefault="00412B84" w:rsidP="00042FE3">
      <w:pPr>
        <w:spacing w:after="0" w:line="240" w:lineRule="auto"/>
        <w:rPr>
          <w:sz w:val="20"/>
          <w:lang w:eastAsia="en-GB"/>
        </w:rPr>
      </w:pPr>
      <w:r w:rsidRPr="00F86647">
        <w:rPr>
          <w:sz w:val="20"/>
          <w:vertAlign w:val="superscript"/>
          <w:lang w:eastAsia="en-GB"/>
        </w:rPr>
        <w:t>f</w:t>
      </w:r>
      <w:r w:rsidR="00042FE3" w:rsidRPr="00F86647">
        <w:rPr>
          <w:sz w:val="20"/>
          <w:vertAlign w:val="superscript"/>
          <w:lang w:eastAsia="en-GB"/>
        </w:rPr>
        <w:t xml:space="preserve"> </w:t>
      </w:r>
      <w:r w:rsidR="00F52F91" w:rsidRPr="00F86647">
        <w:rPr>
          <w:sz w:val="20"/>
          <w:lang w:eastAsia="en-GB"/>
        </w:rPr>
        <w:t>Institute of Petroleum Engineering, Heriot-Watt University, Riccarton, Edinburgh, EH14 4AS, UK</w:t>
      </w:r>
    </w:p>
    <w:p w14:paraId="52C4DF0A" w14:textId="77777777" w:rsidR="00042FE3" w:rsidRPr="00F86647" w:rsidRDefault="00042FE3" w:rsidP="00042FE3">
      <w:pPr>
        <w:spacing w:after="0" w:line="240" w:lineRule="auto"/>
        <w:rPr>
          <w:sz w:val="20"/>
          <w:lang w:eastAsia="en-GB"/>
        </w:rPr>
      </w:pPr>
      <w:r w:rsidRPr="00F86647">
        <w:rPr>
          <w:sz w:val="20"/>
          <w:vertAlign w:val="superscript"/>
          <w:lang w:eastAsia="en-GB"/>
        </w:rPr>
        <w:t xml:space="preserve">g </w:t>
      </w:r>
      <w:r w:rsidRPr="00F86647">
        <w:rPr>
          <w:sz w:val="20"/>
          <w:lang w:eastAsia="en-GB"/>
        </w:rPr>
        <w:t>Department of Earth, Ocean and Ecological Sciences, University of Liverpool, 4 Brownlow Street, Liverpool L69 3GP, UK</w:t>
      </w:r>
    </w:p>
    <w:p w14:paraId="65AD683C" w14:textId="557BF62F" w:rsidR="00F52F91" w:rsidRDefault="00006D85" w:rsidP="00006D85">
      <w:pPr>
        <w:pStyle w:val="BodyText"/>
        <w:spacing w:after="120" w:line="276" w:lineRule="auto"/>
        <w:rPr>
          <w:sz w:val="22"/>
          <w:szCs w:val="22"/>
          <w:lang w:val="en-GB"/>
        </w:rPr>
      </w:pPr>
      <w:r w:rsidRPr="00006D85">
        <w:rPr>
          <w:b/>
          <w:sz w:val="22"/>
          <w:szCs w:val="24"/>
          <w:vertAlign w:val="superscript"/>
          <w:lang w:val="en-GB"/>
        </w:rPr>
        <w:t>*</w:t>
      </w:r>
      <w:r>
        <w:rPr>
          <w:b/>
          <w:sz w:val="22"/>
          <w:szCs w:val="22"/>
          <w:lang w:val="en-GB"/>
        </w:rPr>
        <w:t xml:space="preserve"> </w:t>
      </w:r>
      <w:r>
        <w:rPr>
          <w:sz w:val="22"/>
          <w:szCs w:val="22"/>
          <w:lang w:val="en-GB"/>
        </w:rPr>
        <w:t xml:space="preserve">Corresponding author: </w:t>
      </w:r>
      <w:hyperlink r:id="rId8" w:history="1">
        <w:r w:rsidR="00897E08" w:rsidRPr="00A4013A">
          <w:rPr>
            <w:rStyle w:val="Hyperlink"/>
            <w:sz w:val="22"/>
            <w:szCs w:val="22"/>
            <w:lang w:val="en-GB"/>
          </w:rPr>
          <w:t>jalcalde@geo3bcn.csic.es</w:t>
        </w:r>
      </w:hyperlink>
    </w:p>
    <w:p w14:paraId="62C123F4" w14:textId="332C0337" w:rsidR="00006D85" w:rsidRDefault="000C4EF4" w:rsidP="0050793C">
      <w:pPr>
        <w:pStyle w:val="BodyText"/>
        <w:spacing w:after="120" w:line="276" w:lineRule="auto"/>
        <w:rPr>
          <w:b/>
          <w:sz w:val="22"/>
          <w:szCs w:val="22"/>
          <w:lang w:val="en-GB"/>
        </w:rPr>
      </w:pPr>
      <w:r>
        <w:rPr>
          <w:b/>
          <w:sz w:val="22"/>
          <w:szCs w:val="22"/>
          <w:lang w:val="en-GB"/>
        </w:rPr>
        <w:t>Keywords</w:t>
      </w:r>
    </w:p>
    <w:p w14:paraId="3A842C7F" w14:textId="659B315A" w:rsidR="000C4EF4" w:rsidRPr="000C4EF4" w:rsidRDefault="000C4EF4" w:rsidP="0050793C">
      <w:pPr>
        <w:pStyle w:val="BodyText"/>
        <w:spacing w:after="120" w:line="276" w:lineRule="auto"/>
        <w:rPr>
          <w:sz w:val="22"/>
          <w:szCs w:val="22"/>
          <w:lang w:val="en-GB"/>
        </w:rPr>
      </w:pPr>
      <w:r>
        <w:rPr>
          <w:sz w:val="22"/>
          <w:szCs w:val="22"/>
          <w:lang w:val="en-GB"/>
        </w:rPr>
        <w:t xml:space="preserve">CCS; </w:t>
      </w:r>
      <w:r w:rsidRPr="000C4EF4">
        <w:rPr>
          <w:sz w:val="22"/>
          <w:szCs w:val="22"/>
          <w:lang w:val="en-GB"/>
        </w:rPr>
        <w:t>CO</w:t>
      </w:r>
      <w:r w:rsidRPr="000C4EF4">
        <w:rPr>
          <w:sz w:val="22"/>
          <w:szCs w:val="22"/>
          <w:vertAlign w:val="subscript"/>
          <w:lang w:val="en-GB"/>
        </w:rPr>
        <w:t>2</w:t>
      </w:r>
      <w:r w:rsidRPr="000C4EF4">
        <w:rPr>
          <w:sz w:val="24"/>
          <w:szCs w:val="22"/>
          <w:lang w:val="en-GB"/>
        </w:rPr>
        <w:t xml:space="preserve"> </w:t>
      </w:r>
      <w:r>
        <w:rPr>
          <w:sz w:val="22"/>
          <w:szCs w:val="22"/>
          <w:lang w:val="en-GB"/>
        </w:rPr>
        <w:t>Storage; Site</w:t>
      </w:r>
      <w:r w:rsidR="00B443CA">
        <w:rPr>
          <w:sz w:val="22"/>
          <w:szCs w:val="22"/>
          <w:lang w:val="en-GB"/>
        </w:rPr>
        <w:t xml:space="preserve"> selection; North Sea; East </w:t>
      </w:r>
      <w:proofErr w:type="spellStart"/>
      <w:r w:rsidR="00B443CA">
        <w:rPr>
          <w:sz w:val="22"/>
          <w:szCs w:val="22"/>
          <w:lang w:val="en-GB"/>
        </w:rPr>
        <w:t>Mey</w:t>
      </w:r>
      <w:proofErr w:type="spellEnd"/>
      <w:r w:rsidR="00B443CA">
        <w:rPr>
          <w:sz w:val="22"/>
          <w:szCs w:val="22"/>
          <w:lang w:val="en-GB"/>
        </w:rPr>
        <w:t>; Acorn project; TOPSIS</w:t>
      </w:r>
    </w:p>
    <w:p w14:paraId="10866F22" w14:textId="77777777" w:rsidR="00006D85" w:rsidRDefault="00006D85" w:rsidP="0050793C">
      <w:pPr>
        <w:pStyle w:val="BodyText"/>
        <w:spacing w:after="120" w:line="276" w:lineRule="auto"/>
        <w:rPr>
          <w:b/>
          <w:sz w:val="22"/>
          <w:szCs w:val="22"/>
          <w:lang w:val="en-GB"/>
        </w:rPr>
      </w:pPr>
    </w:p>
    <w:p w14:paraId="4884AB53" w14:textId="268D29B9" w:rsidR="004D1F71" w:rsidRPr="00972203" w:rsidRDefault="004D1F71" w:rsidP="0050793C">
      <w:pPr>
        <w:pStyle w:val="BodyText"/>
        <w:spacing w:after="120" w:line="276" w:lineRule="auto"/>
        <w:rPr>
          <w:b/>
          <w:sz w:val="22"/>
          <w:szCs w:val="22"/>
          <w:lang w:val="en-GB"/>
        </w:rPr>
      </w:pPr>
      <w:r w:rsidRPr="00972203">
        <w:rPr>
          <w:b/>
          <w:sz w:val="22"/>
          <w:szCs w:val="22"/>
          <w:lang w:val="en-GB"/>
        </w:rPr>
        <w:t>Abstract</w:t>
      </w:r>
    </w:p>
    <w:p w14:paraId="3F178F76" w14:textId="64376DAB" w:rsidR="00C168F9" w:rsidRDefault="0038339E" w:rsidP="00357A9E">
      <w:pPr>
        <w:spacing w:line="276" w:lineRule="auto"/>
      </w:pPr>
      <w:r>
        <w:t xml:space="preserve">Carbon Capture and Storage </w:t>
      </w:r>
      <w:r w:rsidR="00691531">
        <w:t xml:space="preserve">(CCS) </w:t>
      </w:r>
      <w:r>
        <w:t xml:space="preserve">is an essential tool in the fight against </w:t>
      </w:r>
      <w:r w:rsidR="005112AE">
        <w:t>climate change</w:t>
      </w:r>
      <w:r>
        <w:t xml:space="preserve">. </w:t>
      </w:r>
      <w:r w:rsidR="00284BBF">
        <w:t>Any prospect</w:t>
      </w:r>
      <w:r w:rsidR="00842611">
        <w:t>ive</w:t>
      </w:r>
      <w:r w:rsidR="00284BBF">
        <w:t xml:space="preserve"> storage site must meet </w:t>
      </w:r>
      <w:proofErr w:type="gramStart"/>
      <w:r w:rsidR="00284BBF">
        <w:t>a number of</w:t>
      </w:r>
      <w:proofErr w:type="gramEnd"/>
      <w:r w:rsidR="00284BBF">
        <w:t xml:space="preserve"> </w:t>
      </w:r>
      <w:r w:rsidR="00842611">
        <w:t xml:space="preserve">criteria </w:t>
      </w:r>
      <w:r w:rsidR="00284BBF">
        <w:t>that ensure the effectiv</w:t>
      </w:r>
      <w:r w:rsidR="00842611">
        <w:t>eness</w:t>
      </w:r>
      <w:r w:rsidR="00284BBF">
        <w:t xml:space="preserve">, safety and economic viability of the storage operations. </w:t>
      </w:r>
      <w:r w:rsidR="009348EB">
        <w:t>F</w:t>
      </w:r>
      <w:r w:rsidR="00284BBF">
        <w:t xml:space="preserve">inding the most suitable site for the storage of the </w:t>
      </w:r>
      <w:r w:rsidR="00284BBF" w:rsidRPr="00214C6C">
        <w:t>captured CO</w:t>
      </w:r>
      <w:r w:rsidR="00284BBF" w:rsidRPr="00214C6C">
        <w:rPr>
          <w:vertAlign w:val="subscript"/>
        </w:rPr>
        <w:t>2</w:t>
      </w:r>
      <w:r w:rsidR="00284BBF" w:rsidRPr="00214C6C">
        <w:t xml:space="preserve"> i</w:t>
      </w:r>
      <w:r w:rsidR="00284BBF">
        <w:t>s an essential part of the CCS chain</w:t>
      </w:r>
      <w:r w:rsidR="00842611">
        <w:t xml:space="preserve"> of activity</w:t>
      </w:r>
      <w:r w:rsidR="00284BBF">
        <w:t xml:space="preserve">. This work </w:t>
      </w:r>
      <w:r w:rsidR="00284BBF" w:rsidRPr="00214C6C">
        <w:t xml:space="preserve">addresses the site selection of a second site for the </w:t>
      </w:r>
      <w:r w:rsidR="008C428B" w:rsidRPr="00214C6C">
        <w:t>Acorn CCS project</w:t>
      </w:r>
      <w:r w:rsidR="00C168F9" w:rsidRPr="00214C6C">
        <w:t>, a</w:t>
      </w:r>
      <w:r w:rsidR="00C168F9">
        <w:t xml:space="preserve"> project</w:t>
      </w:r>
      <w:r w:rsidR="00691531">
        <w:t xml:space="preserve"> designed to develop a scalable</w:t>
      </w:r>
      <w:r w:rsidR="00842611">
        <w:t>,</w:t>
      </w:r>
      <w:r w:rsidR="00691531">
        <w:t xml:space="preserve"> </w:t>
      </w:r>
      <w:r w:rsidR="00DB624C">
        <w:t xml:space="preserve">full-chain CCS project </w:t>
      </w:r>
      <w:r w:rsidR="00EF48FF">
        <w:t>in the North Sea (</w:t>
      </w:r>
      <w:r w:rsidR="00DB624C">
        <w:t xml:space="preserve">offshore </w:t>
      </w:r>
      <w:r w:rsidR="00EF48FF">
        <w:t xml:space="preserve">northeast </w:t>
      </w:r>
      <w:r w:rsidR="00DB624C">
        <w:t>Scotland</w:t>
      </w:r>
      <w:r w:rsidR="00EF48FF">
        <w:t>)</w:t>
      </w:r>
      <w:r w:rsidR="00DB624C">
        <w:t>.</w:t>
      </w:r>
      <w:r w:rsidR="00C168F9">
        <w:t xml:space="preserve"> </w:t>
      </w:r>
      <w:r w:rsidR="00480C40">
        <w:t xml:space="preserve">This secondary site </w:t>
      </w:r>
      <w:r w:rsidR="00842611">
        <w:t xml:space="preserve">has been designed to </w:t>
      </w:r>
      <w:r w:rsidR="00480C40" w:rsidRPr="00972203">
        <w:rPr>
          <w:rStyle w:val="BookTitle"/>
          <w:rFonts w:ascii="Times New Roman" w:hAnsi="Times New Roman"/>
          <w:b w:val="0"/>
          <w:spacing w:val="0"/>
        </w:rPr>
        <w:t xml:space="preserve">serve as </w:t>
      </w:r>
      <w:r w:rsidR="00480C40">
        <w:rPr>
          <w:rStyle w:val="BookTitle"/>
          <w:rFonts w:ascii="Times New Roman" w:hAnsi="Times New Roman"/>
          <w:b w:val="0"/>
          <w:spacing w:val="0"/>
        </w:rPr>
        <w:t xml:space="preserve">a </w:t>
      </w:r>
      <w:r w:rsidR="00480C40" w:rsidRPr="00972203">
        <w:rPr>
          <w:rStyle w:val="BookTitle"/>
          <w:rFonts w:ascii="Times New Roman" w:hAnsi="Times New Roman"/>
          <w:b w:val="0"/>
          <w:spacing w:val="0"/>
        </w:rPr>
        <w:t>backup</w:t>
      </w:r>
      <w:r w:rsidR="00842611">
        <w:rPr>
          <w:rStyle w:val="BookTitle"/>
          <w:rFonts w:ascii="Times New Roman" w:hAnsi="Times New Roman"/>
          <w:b w:val="0"/>
          <w:spacing w:val="0"/>
        </w:rPr>
        <w:t>,</w:t>
      </w:r>
      <w:r w:rsidR="00480C40" w:rsidRPr="00972203">
        <w:rPr>
          <w:rStyle w:val="BookTitle"/>
          <w:rFonts w:ascii="Times New Roman" w:hAnsi="Times New Roman"/>
          <w:b w:val="0"/>
          <w:spacing w:val="0"/>
        </w:rPr>
        <w:t xml:space="preserve"> </w:t>
      </w:r>
      <w:r w:rsidR="00480C40">
        <w:rPr>
          <w:rStyle w:val="BookTitle"/>
          <w:rFonts w:ascii="Times New Roman" w:hAnsi="Times New Roman"/>
          <w:b w:val="0"/>
          <w:spacing w:val="0"/>
        </w:rPr>
        <w:t xml:space="preserve">and/or </w:t>
      </w:r>
      <w:r w:rsidR="00480C40" w:rsidRPr="00972203">
        <w:rPr>
          <w:rStyle w:val="BookTitle"/>
          <w:rFonts w:ascii="Times New Roman" w:hAnsi="Times New Roman"/>
          <w:b w:val="0"/>
          <w:spacing w:val="0"/>
        </w:rPr>
        <w:t>upscaling</w:t>
      </w:r>
      <w:r w:rsidR="00842611">
        <w:rPr>
          <w:rStyle w:val="BookTitle"/>
          <w:rFonts w:ascii="Times New Roman" w:hAnsi="Times New Roman"/>
          <w:b w:val="0"/>
          <w:spacing w:val="0"/>
        </w:rPr>
        <w:t>,</w:t>
      </w:r>
      <w:r w:rsidR="00480C40" w:rsidRPr="00972203">
        <w:rPr>
          <w:rStyle w:val="BookTitle"/>
          <w:rFonts w:ascii="Times New Roman" w:hAnsi="Times New Roman"/>
          <w:b w:val="0"/>
          <w:spacing w:val="0"/>
        </w:rPr>
        <w:t xml:space="preserve"> option</w:t>
      </w:r>
      <w:r w:rsidR="00480C40">
        <w:rPr>
          <w:rStyle w:val="BookTitle"/>
          <w:rFonts w:ascii="Times New Roman" w:hAnsi="Times New Roman"/>
          <w:b w:val="0"/>
          <w:spacing w:val="0"/>
        </w:rPr>
        <w:t xml:space="preserve"> for the Acorn Site, and </w:t>
      </w:r>
      <w:proofErr w:type="gramStart"/>
      <w:r w:rsidR="00480C40">
        <w:rPr>
          <w:rStyle w:val="BookTitle"/>
          <w:rFonts w:ascii="Times New Roman" w:hAnsi="Times New Roman"/>
          <w:b w:val="0"/>
          <w:spacing w:val="0"/>
        </w:rPr>
        <w:t>ha</w:t>
      </w:r>
      <w:r w:rsidR="00294C9F">
        <w:rPr>
          <w:rStyle w:val="BookTitle"/>
          <w:rFonts w:ascii="Times New Roman" w:hAnsi="Times New Roman"/>
          <w:b w:val="0"/>
          <w:spacing w:val="0"/>
        </w:rPr>
        <w:t>s</w:t>
      </w:r>
      <w:r w:rsidR="00480C40">
        <w:rPr>
          <w:rStyle w:val="BookTitle"/>
          <w:rFonts w:ascii="Times New Roman" w:hAnsi="Times New Roman"/>
          <w:b w:val="0"/>
          <w:spacing w:val="0"/>
        </w:rPr>
        <w:t xml:space="preserve"> to</w:t>
      </w:r>
      <w:proofErr w:type="gramEnd"/>
      <w:r w:rsidR="00480C40">
        <w:rPr>
          <w:rStyle w:val="BookTitle"/>
          <w:rFonts w:ascii="Times New Roman" w:hAnsi="Times New Roman"/>
          <w:b w:val="0"/>
          <w:spacing w:val="0"/>
        </w:rPr>
        <w:t xml:space="preserve"> </w:t>
      </w:r>
      <w:r w:rsidR="00467C79">
        <w:rPr>
          <w:rStyle w:val="BookTitle"/>
          <w:rFonts w:ascii="Times New Roman" w:hAnsi="Times New Roman"/>
          <w:b w:val="0"/>
          <w:spacing w:val="0"/>
        </w:rPr>
        <w:t>satisfy</w:t>
      </w:r>
      <w:r w:rsidR="00480C40">
        <w:rPr>
          <w:rStyle w:val="BookTitle"/>
          <w:rFonts w:ascii="Times New Roman" w:hAnsi="Times New Roman"/>
          <w:b w:val="0"/>
          <w:spacing w:val="0"/>
        </w:rPr>
        <w:t xml:space="preserve"> </w:t>
      </w:r>
      <w:r w:rsidR="0037298D">
        <w:rPr>
          <w:rStyle w:val="BookTitle"/>
          <w:rFonts w:ascii="Times New Roman" w:hAnsi="Times New Roman"/>
          <w:b w:val="0"/>
          <w:spacing w:val="0"/>
        </w:rPr>
        <w:t>pivotal</w:t>
      </w:r>
      <w:r w:rsidR="00467C79">
        <w:rPr>
          <w:rStyle w:val="BookTitle"/>
          <w:rFonts w:ascii="Times New Roman" w:hAnsi="Times New Roman"/>
          <w:b w:val="0"/>
          <w:spacing w:val="0"/>
        </w:rPr>
        <w:t xml:space="preserve"> </w:t>
      </w:r>
      <w:r w:rsidR="00480C40">
        <w:rPr>
          <w:rStyle w:val="BookTitle"/>
          <w:rFonts w:ascii="Times New Roman" w:hAnsi="Times New Roman"/>
          <w:b w:val="0"/>
          <w:spacing w:val="0"/>
        </w:rPr>
        <w:t xml:space="preserve">project requirements such as low cost and high storage potential. </w:t>
      </w:r>
      <w:r w:rsidR="00C168F9">
        <w:t xml:space="preserve">The methodology followed included the filtering of </w:t>
      </w:r>
      <w:r w:rsidR="00831C53">
        <w:t xml:space="preserve">over </w:t>
      </w:r>
      <w:r w:rsidR="001509E6">
        <w:t>1</w:t>
      </w:r>
      <w:r w:rsidR="00831C53">
        <w:t xml:space="preserve">00 </w:t>
      </w:r>
      <w:r w:rsidR="00636C4C">
        <w:t xml:space="preserve">input </w:t>
      </w:r>
      <w:r w:rsidR="00C168F9">
        <w:t xml:space="preserve">sites from the </w:t>
      </w:r>
      <w:r w:rsidR="00467C79">
        <w:t xml:space="preserve">UK </w:t>
      </w:r>
      <w:r w:rsidR="00C168F9">
        <w:t>CO</w:t>
      </w:r>
      <w:r w:rsidR="00C168F9" w:rsidRPr="004846AB">
        <w:rPr>
          <w:vertAlign w:val="subscript"/>
        </w:rPr>
        <w:t>2</w:t>
      </w:r>
      <w:r w:rsidR="00C168F9">
        <w:t>Stored database</w:t>
      </w:r>
      <w:r w:rsidR="00831C53">
        <w:t>,</w:t>
      </w:r>
      <w:r w:rsidR="00C168F9">
        <w:t xml:space="preserve"> according to general and project-specific criteria</w:t>
      </w:r>
      <w:r w:rsidR="00EF48FF">
        <w:t xml:space="preserve"> in a multi-staged approach</w:t>
      </w:r>
      <w:r w:rsidR="00C168F9">
        <w:t xml:space="preserve">. This </w:t>
      </w:r>
      <w:r w:rsidR="00EF48FF">
        <w:t xml:space="preserve">criteria-driven workflow allowed for an early filtering </w:t>
      </w:r>
      <w:r w:rsidR="00A96F73">
        <w:t xml:space="preserve">out </w:t>
      </w:r>
      <w:r w:rsidR="00EF48FF">
        <w:t xml:space="preserve">of the less suitable sites, followed by a more comprehensive comparison </w:t>
      </w:r>
      <w:r w:rsidR="00831C53">
        <w:t xml:space="preserve">and ranking </w:t>
      </w:r>
      <w:r w:rsidR="00EF48FF">
        <w:t>of the</w:t>
      </w:r>
      <w:r w:rsidR="00831C53">
        <w:t xml:space="preserve"> 15</w:t>
      </w:r>
      <w:r w:rsidR="00EF48FF">
        <w:t xml:space="preserve"> </w:t>
      </w:r>
      <w:r w:rsidR="00831C53">
        <w:t>most suitable</w:t>
      </w:r>
      <w:r w:rsidR="00EF48FF">
        <w:t xml:space="preserve"> sites. </w:t>
      </w:r>
      <w:r w:rsidR="00831C53">
        <w:t>A</w:t>
      </w:r>
      <w:r w:rsidR="00467C79">
        <w:t xml:space="preserve"> </w:t>
      </w:r>
      <w:r w:rsidR="00B71F72">
        <w:t>d</w:t>
      </w:r>
      <w:r w:rsidR="00831C53">
        <w:t>u</w:t>
      </w:r>
      <w:r w:rsidR="00B71F72">
        <w:t>e d</w:t>
      </w:r>
      <w:r w:rsidR="00831C53">
        <w:t xml:space="preserve">iligence assessment was conducted </w:t>
      </w:r>
      <w:r w:rsidR="00842611">
        <w:t xml:space="preserve">of </w:t>
      </w:r>
      <w:r w:rsidR="00831C53">
        <w:t xml:space="preserve">the </w:t>
      </w:r>
      <w:r w:rsidR="00842611">
        <w:t xml:space="preserve">top </w:t>
      </w:r>
      <w:r w:rsidR="00831C53">
        <w:t xml:space="preserve">six shortlisted sites to produce </w:t>
      </w:r>
      <w:r w:rsidR="009348EB">
        <w:t xml:space="preserve">detailed assessment </w:t>
      </w:r>
      <w:r w:rsidR="00831C53">
        <w:t>of the</w:t>
      </w:r>
      <w:r w:rsidR="00480C40">
        <w:t xml:space="preserve">ir </w:t>
      </w:r>
      <w:r w:rsidR="00B71F72">
        <w:t xml:space="preserve">storage </w:t>
      </w:r>
      <w:r w:rsidR="00480C40">
        <w:t>properties and suitability</w:t>
      </w:r>
      <w:r w:rsidR="00EA3A16">
        <w:t xml:space="preserve">, including new geological interpretation and capacity calculations </w:t>
      </w:r>
      <w:r w:rsidR="00A96F73">
        <w:t xml:space="preserve">for </w:t>
      </w:r>
      <w:r w:rsidR="00EA3A16">
        <w:t>each site</w:t>
      </w:r>
      <w:r w:rsidR="00480C40">
        <w:t xml:space="preserve">. </w:t>
      </w:r>
      <w:r w:rsidR="00EA3A16">
        <w:t xml:space="preserve">With the new knowledge generated in this process, a critical comparison of the sites </w:t>
      </w:r>
      <w:r w:rsidR="00480C40">
        <w:t xml:space="preserve">led to selection of East </w:t>
      </w:r>
      <w:proofErr w:type="spellStart"/>
      <w:r w:rsidR="00480C40">
        <w:t>Mey</w:t>
      </w:r>
      <w:proofErr w:type="spellEnd"/>
      <w:r w:rsidR="00480C40">
        <w:t xml:space="preserve"> as the most suitable site, </w:t>
      </w:r>
      <w:r w:rsidR="0084432E">
        <w:t>due to</w:t>
      </w:r>
      <w:r w:rsidR="00480C40">
        <w:t xml:space="preserve"> its outstanding </w:t>
      </w:r>
      <w:r w:rsidR="00E4054C">
        <w:t>storage characteristics and long-lasting hydrocarbon</w:t>
      </w:r>
      <w:r w:rsidR="001E1EFA">
        <w:t>-production</w:t>
      </w:r>
      <w:r w:rsidR="00E4054C">
        <w:t xml:space="preserve"> history, that ensure excellent data availability </w:t>
      </w:r>
      <w:r w:rsidR="00294C9F">
        <w:t xml:space="preserve">to </w:t>
      </w:r>
      <w:r w:rsidR="00E4054C">
        <w:t>risk</w:t>
      </w:r>
      <w:r w:rsidR="00842611">
        <w:t>-assess</w:t>
      </w:r>
      <w:r w:rsidR="00E4054C">
        <w:t xml:space="preserve"> storage structures. </w:t>
      </w:r>
      <w:r w:rsidR="009551B2">
        <w:t xml:space="preserve">A workshop session was held </w:t>
      </w:r>
      <w:r w:rsidR="00467C79">
        <w:t xml:space="preserve">to present methods and results to </w:t>
      </w:r>
      <w:r w:rsidR="009551B2">
        <w:t>independent stakeholders</w:t>
      </w:r>
      <w:r w:rsidR="00467C79">
        <w:t>;</w:t>
      </w:r>
      <w:r w:rsidR="009551B2">
        <w:t xml:space="preserve"> feedback inform</w:t>
      </w:r>
      <w:r w:rsidR="00467C79">
        <w:t>ed</w:t>
      </w:r>
      <w:r w:rsidR="009551B2">
        <w:t xml:space="preserve"> the final selection criteria.</w:t>
      </w:r>
      <w:r w:rsidR="00294C9F">
        <w:t xml:space="preserve"> Th</w:t>
      </w:r>
      <w:r w:rsidR="009551B2">
        <w:t>is</w:t>
      </w:r>
      <w:r w:rsidR="00294C9F">
        <w:t xml:space="preserve"> paper provides a</w:t>
      </w:r>
      <w:r w:rsidR="00842611">
        <w:t>n example of a</w:t>
      </w:r>
      <w:r w:rsidR="00294C9F">
        <w:t xml:space="preserve"> criteria-driven approach to site selection that can be applied elsewhere.</w:t>
      </w:r>
    </w:p>
    <w:p w14:paraId="24AD6DB7" w14:textId="77777777" w:rsidR="00AF3F68" w:rsidRPr="002B2A02" w:rsidRDefault="00AF3F68" w:rsidP="002B2A02">
      <w:pPr>
        <w:pStyle w:val="Heading1"/>
        <w:rPr>
          <w:rStyle w:val="BookTitle"/>
          <w:rFonts w:ascii="Times New Roman" w:hAnsi="Times New Roman"/>
          <w:b/>
          <w:bCs w:val="0"/>
          <w:iCs w:val="0"/>
          <w:spacing w:val="0"/>
        </w:rPr>
      </w:pPr>
      <w:r w:rsidRPr="002B2A02">
        <w:rPr>
          <w:rStyle w:val="BookTitle"/>
          <w:rFonts w:ascii="Times New Roman" w:hAnsi="Times New Roman"/>
          <w:b/>
          <w:bCs w:val="0"/>
          <w:iCs w:val="0"/>
          <w:spacing w:val="0"/>
        </w:rPr>
        <w:t>Introduction</w:t>
      </w:r>
    </w:p>
    <w:p w14:paraId="2C56C1CD" w14:textId="491A533D" w:rsidR="00F97ACA" w:rsidRPr="00C01E2D" w:rsidRDefault="00F97ACA" w:rsidP="00CC4BCA">
      <w:pPr>
        <w:spacing w:after="120" w:line="276" w:lineRule="auto"/>
        <w:rPr>
          <w:lang w:val="es-ES"/>
        </w:rPr>
      </w:pPr>
      <w:r w:rsidRPr="00972203">
        <w:t>The 2015 Paris Agreement set the path for the world to reduce anthropogenic CO</w:t>
      </w:r>
      <w:r w:rsidRPr="00972203">
        <w:rPr>
          <w:vertAlign w:val="subscript"/>
        </w:rPr>
        <w:t>2</w:t>
      </w:r>
      <w:r w:rsidR="006F14A8">
        <w:t xml:space="preserve"> </w:t>
      </w:r>
      <w:r w:rsidRPr="00972203">
        <w:t xml:space="preserve">emissions to </w:t>
      </w:r>
      <w:r w:rsidR="00F211E0" w:rsidRPr="00972203">
        <w:t>try</w:t>
      </w:r>
      <w:r w:rsidRPr="00972203">
        <w:t xml:space="preserve"> to limit </w:t>
      </w:r>
      <w:r w:rsidR="00E764D9">
        <w:t xml:space="preserve">global </w:t>
      </w:r>
      <w:r w:rsidRPr="00972203">
        <w:t xml:space="preserve">temperature increase to 1.5 °C </w:t>
      </w:r>
      <w:r w:rsidR="009419C2" w:rsidRPr="00972203">
        <w:fldChar w:fldCharType="begin" w:fldLock="1"/>
      </w:r>
      <w:r w:rsidR="009D58AA">
        <w:instrText>ADDIN CSL_CITATION {"citationItems":[{"id":"ITEM-1","itemData":{"author":[{"dropping-particle":"","family":"IPCC","given":"","non-dropping-particle":"","parse-names":false,"suffix":""}],"id":"ITEM-1","issued":{"date-parts":[["2018"]]},"number-of-pages":"616","title":"Global Warming of 1.5°C. An IPCC Special Report on the impacts of global warming of 1.5°C above pre-industrial levels and related global greenhouse gas emission pathways, in the context of strengthening the global response to the threat of climate change,","type":"report"},"uris":["http://www.mendeley.com/documents/?uuid=f1663236-fd57-413e-b941-0f5859183ce9"]},{"id":"ITEM-2","itemData":{"DOI":"FCCC/CP/2015/L.9/Rev.1","ISBN":"3981058208","ISSN":"1098-6596","PMID":"25246403","abstract":"Twenty-first session Paris, 30 November to 11 December 2015 Agenda item 4(b) Durban Platform for Enhanced Action (decision 1/CP.17) Adoption of a protocol, another legal instrument, or an agreed outcome with legal force under the Convention applicable to all Parties Recognizing that climate change represents an urgent and potentially irreversible threat to human societies and the planet and thus requires the widest possible cooperation by all countries, and their participation in an effective and appropriate international response, with a view to accelerating the reduction of global greenhouse gas emissions, Also recognizing that deep reductions in global emissions will be required in order to achieve the ultimate objective of the Convention and emphasizing the need for urgency in addressing climate change, Acknowledging that climate change is a common concern of humankind, Parties should, when taking action to address climate change, respect, promote and consider their respective obligations on human rights, the right to health, the rights of indigenous peoples, + United Nations","author":[{"dropping-particle":"","family":"UNFCCC","given":"","non-dropping-particle":"","parse-names":false,"suffix":""}],"container-title":"Paris Climate Change Conference - November 2015, COP 21","id":"ITEM-2","issue":"December","issued":{"date-parts":[["2015"]]},"page":"32","title":"Adoption of the Paris Agreement. Proposal by the President.","type":"legislation","volume":"21932"},"uris":["http://www.mendeley.com/documents/?uuid=0d6576cc-1eed-4fbb-a18e-979dcddc1bc7"]}],"mendeley":{"formattedCitation":"(IPCC, 2018; UNFCCC, 2015)","plainTextFormattedCitation":"(IPCC, 2018; UNFCCC, 2015)","previouslyFormattedCitation":"(IPCC, 2018; UNFCCC, 2015)"},"properties":{"noteIndex":0},"schema":"https://github.com/citation-style-language/schema/raw/master/csl-citation.json"}</w:instrText>
      </w:r>
      <w:r w:rsidR="009419C2" w:rsidRPr="00972203">
        <w:fldChar w:fldCharType="separate"/>
      </w:r>
      <w:r w:rsidR="00C01E2D" w:rsidRPr="00C01E2D">
        <w:rPr>
          <w:noProof/>
        </w:rPr>
        <w:t>(IPCC, 2018; UNFCCC, 2015)</w:t>
      </w:r>
      <w:r w:rsidR="009419C2" w:rsidRPr="00972203">
        <w:fldChar w:fldCharType="end"/>
      </w:r>
      <w:bookmarkStart w:id="0" w:name="bbib40"/>
      <w:r w:rsidRPr="00972203">
        <w:t>. This goal cannot be achieved without the capture and subsequent storage of CO</w:t>
      </w:r>
      <w:r w:rsidRPr="00972203">
        <w:rPr>
          <w:vertAlign w:val="subscript"/>
        </w:rPr>
        <w:t>2</w:t>
      </w:r>
      <w:r w:rsidR="006F14A8">
        <w:t xml:space="preserve"> </w:t>
      </w:r>
      <w:r w:rsidRPr="00972203">
        <w:t>(</w:t>
      </w:r>
      <w:r w:rsidR="006F14A8">
        <w:t xml:space="preserve">Carbon Capture and Storage: </w:t>
      </w:r>
      <w:r w:rsidRPr="00972203">
        <w:t>CCS) from fossil fuel-fired power stations and industrial sources, s</w:t>
      </w:r>
      <w:r w:rsidR="009419C2" w:rsidRPr="00972203">
        <w:t xml:space="preserve">uch as </w:t>
      </w:r>
      <w:r w:rsidRPr="00972203">
        <w:t>steel manufacturing, cement works and petrochemicals</w:t>
      </w:r>
      <w:r w:rsidR="00E764D9">
        <w:t xml:space="preserve">, or the </w:t>
      </w:r>
      <w:r w:rsidR="006F14A8">
        <w:t xml:space="preserve">unlikely short-term </w:t>
      </w:r>
      <w:r w:rsidR="00E764D9">
        <w:t>cessation of these activities</w:t>
      </w:r>
      <w:r w:rsidRPr="00972203">
        <w:t xml:space="preserve"> </w:t>
      </w:r>
      <w:r w:rsidR="009419C2" w:rsidRPr="00972203">
        <w:fldChar w:fldCharType="begin" w:fldLock="1"/>
      </w:r>
      <w:r w:rsidR="009D58AA">
        <w:instrText>ADDIN CSL_CITATION {"citationItems":[{"id":"ITEM-1","itemData":{"DOI":"10.1016/j.jclepro.2014.09.023","ISSN":"09596526","abstract":"According to the recent IPCC reports, the effects from anthropogenic climate change effects are becoming more serious and actions more urgent. The global mean concentration of CO2, the most important Greenhouse Gas (GHG), in the atmosphere is now close to 400 ppm. The most comprehensive research efforts concerning safe levels propose that we should strive to keep the atmospheric concentration of CO2 below 350 ppm. This is also a more transparent global goal than using effects in the components of the climate system. Most scenarios show that the combustion of fossil fuels will increase in the future, while the development of renewables is still too marginal to stop this growth. The possibility that countries will leave fossil resources underground does not seem realistic. The only options in the short run to halt emissions of CO2 are the large-scale application of Carbon Capture and Storage (CCS) in combination with increased energy efficiency. In the long run, we have to radically transform our societal metabolism towards greater resource efficiency, where renewables can play a more important role. The main barriers for implementation of CCS on a large scale are not technical, but economic and social. As long as the costs for emitting CO2 are much lower than implementing CCS technology, there will not be a market-driven development of CCS. A major challenge for CCS will be to achieve wide public acceptance, since this will also affect the future political attitude to it. This will require an open communication about safety aspects early in the planning phase, where it can be shown that safety issues can be handled, even in the event of major leaks of CO2. To assume a low probability of accidents is not a feasible way forward in the communication process. The future concerning CO2 emissions will be determined very much by actions of the biggest emitters. The developed countries have already emitted a large amount of CO2 and must now take a step forward to show that they are willing to invest in CCS technology. At this stage, it is reasonable to expect developed countries to take a leading role in developing the CCS technology on a large-scale. It is highly probable that developing countries like China will follow this path in the near future, since they have a clear ambition to take a lead in climate change mitigation in the long run and to avoid blame for a deteriorating environment.","author":[{"dropping-particle":"","family":"Wennersten","given":"Ronald","non-dropping-particle":"","parse-names":false,"suffix":""},{"dropping-particle":"","family":"Sun","given":"Qie","non-dropping-particle":"","parse-names":false,"suffix":""},{"dropping-particle":"","family":"Li","given":"Hailong","non-dropping-particle":"","parse-names":false,"suffix":""}],"container-title":"Journal of Cleaner Production","id":"ITEM-1","issued":{"date-parts":[["2015"]]},"page":"724-736","publisher":"Elsevier Ltd","title":"The future potential for Carbon Capture and Storage in climate change mitigation - An overview from perspectives of technology, economy and risk","type":"article-journal","volume":"103"},"uris":["http://www.mendeley.com/documents/?uuid=fb4030cf-2ee5-40b7-aa5e-61cdb2744a00"]},{"id":"ITEM-2","itemData":{"DOI":"10.1098/rsta.2016.0447","ISSN":"1364503X","abstract":"How will the global atmosphere and climate be protected? Achieving net-zero CO2 emissions will require carbon capture and storage (CCS) to reduce current GHG emission rates, and negative emissions technology (NET) to recapture previously emitted greenhouse gases. Delivering NET requires radical cost and regulatory innovation to impact on climate mitigation. Present NET exemplars are few, are at small-scale and not deployable within a decade, with the exception of rock weathering, or direct injection of CO2 into selected ocean water masses. To keep warming less than 2°C, bioenergy with CCS (BECCS) has been modelled but does not yet exist at industrial scale. CCS already exists in many forms and at low cost. However, CCS has no political drivers to enforce its deployment. We make a new analysis of all global CCS projects and model the build rate out to 2050, deducing this is 100 times too slow. Our projection to 2050 captures just 700 Mt CO2yr-1, not the minimum 6000 Mt CO2yr-1 required to meet the 2°C target. Hence new policies are needed to incentivize commercial CCS. A first urgent action for all countries is to commercially assess their CO2 storage. A second simple action is to assign a Certificate of CO2 Storage onto producers of fossil carbon, mandating a progressively increasing proportion of CO2 to be stored. No CCS means no 2°C. This article is part of the theme issue 'The Paris Agreement: understanding the physical and social challenges for a warming world of 1.5°C above pre-industrial levels'.","author":[{"dropping-particle":"","family":"Haszeldine","given":"R. Stuart","non-dropping-particle":"","parse-names":false,"suffix":""},{"dropping-particle":"","family":"Flude","given":"Stephanie","non-dropping-particle":"","parse-names":false,"suffix":""},{"dropping-particle":"","family":"Johnson","given":"Gareth","non-dropping-particle":"","parse-names":false,"suffix":""},{"dropping-particle":"","family":"Scott","given":"Vivian","non-dropping-particle":"","parse-names":false,"suffix":""}],"container-title":"Philosophical Transactions of the Royal Society A: Mathematical, Physical and Engineering Sciences","id":"ITEM-2","issue":"2119","issued":{"date-parts":[["2018"]]},"title":"Negative emissions technologies and carbon capture and storage to achieve the Paris Agreement commitments","type":"article-journal","volume":"376"},"uris":["http://www.mendeley.com/documents/?uuid=0b40b795-a80e-4e0f-93ea-b2f142b20c53"]},{"id":"ITEM-3","itemData":{"DOI":"10.1039/c7ee02342a","ISBN":"1754-5692","ISSN":"17545706","PMID":"18572517","abstract":"Carbon capture and storage (CCS) is vital to climate change mitigation, and has application across the economy, in addition to facilitating atmospheric carbon dioxide removal resulting in emissions offsets and net negative emissions. This contribution reviews the state-of-the-art and identifies key challenges which must be overcome in order to pave the way for its large-scale deployment. Carbon capture and storage (CCS) is broadly recognised as having the potential to play a key role in meeting climate change targets, delivering low carbon heat and power, decarbonising industry and, more recently, its ability to facilitate the net removal of CO 2 from the atmosphere. However, despite this broad consensus and its technical maturity, CCS has not yet been deployed on a scale commensurate with the ambitions articulated a decade ago. Thus, in this paper we review the current state-of-the-art of CO 2 capture, transport, utilisation and storage from a multi-scale perspective, moving from the global to molecular scales. In light of the COP21 commitments to limit warming to less than 2 °C, we extend the remit of this study to include the key negative emissions technologies (NETs) of bioenergy with CCS (BECCS), and direct air capture (DAC). Cognisant of the non-technical barriers to deploying CCS, we reflect on recent experience from the UK's CCS commercialisation programme and consider the commercial and political barriers to the large-scale deployment of CCS. In all areas, we focus on identifying and clearly articulating the key research challenges that could usefully be addressed in the coming decade.","author":[{"dropping-particle":"","family":"Bui","given":"Mai","non-dropping-particle":"","parse-names":false,"suffix":""},{"dropping-particle":"","family":"Adjiman","given":"Claire S.","non-dropping-particle":"","parse-names":false,"suffix":""},{"dropping-particle":"","family":"Bardow","given":"André","non-dropping-particle":"","parse-names":false,"suffix":""},{"dropping-particle":"","family":"Anthony","given":"Edward J.","non-dropping-particle":"","parse-names":false,"suffix":""},{"dropping-particle":"","family":"Boston","given":"Andy","non-dropping-particle":"","parse-names":false,"suffix":""},{"dropping-particle":"","family":"Brown","given":"Solomon","non-dropping-particle":"","parse-names":false,"suffix":""},{"dropping-particle":"","family":"Fennell","given":"Paul S.","non-dropping-particle":"","parse-names":false,"suffix":""},{"dropping-particle":"","family":"Fuss","given":"Sabine","non-dropping-particle":"","parse-names":false,"suffix":""},{"dropping-particle":"","family":"Galindo","given":"Amparo","non-dropping-particle":"","parse-names":false,"suffix":""},{"dropping-particle":"","family":"Hackett","given":"Leigh A.","non-dropping-particle":"","parse-names":false,"suffix":""},{"dropping-particle":"","family":"Hallett","given":"Jason P.","non-dropping-particle":"","parse-names":false,"suffix":""},{"dropping-particle":"","family":"Herzog","given":"Howard J.","non-dropping-particle":"","parse-names":false,"suffix":""},{"dropping-particle":"","family":"Jackson","given":"George","non-dropping-particle":"","parse-names":false,"suffix":""},{"dropping-particle":"","family":"Kemper","given":"Jasmin","non-dropping-particle":"","parse-names":false,"suffix":""},{"dropping-particle":"","family":"Krevor","given":"Samuel","non-dropping-particle":"","parse-names":false,"suffix":""},{"dropping-particle":"","family":"Maitland","given":"Geoffrey C.","non-dropping-particle":"","parse-names":false,"suffix":""},{"dropping-particle":"","family":"Matuszewski","given":"Michael","non-dropping-particle":"","parse-names":false,"suffix":""},{"dropping-particle":"","family":"Metcalfe","given":"Ian S.","non-dropping-particle":"","parse-names":false,"suffix":""},{"dropping-particle":"","family":"Petit","given":"Camille","non-dropping-particle":"","parse-names":false,"suffix":""},{"dropping-particle":"","family":"Puxty","given":"Graeme","non-dropping-particle":"","parse-names":false,"suffix":""},{"dropping-particle":"","family":"Reimer","given":"Jeffrey","non-dropping-particle":"","parse-names":false,"suffix":""},{"dropping-particle":"","family":"Reiner","given":"David M.","non-dropping-particle":"","parse-names":false,"suffix":""},{"dropping-particle":"","family":"Rubin","given":"Edward S.","non-dropping-particle":"","parse-names":false,"suffix":""},{"dropping-particle":"","family":"Scott","given":"Stuart A.","non-dropping-particle":"","parse-names":false,"suffix":""},{"dropping-particle":"","family":"Shah","given":"Nilay","non-dropping-particle":"","parse-names":false,"suffix":""},{"dropping-particle":"","family":"Smit","given":"Berend","non-dropping-particle":"","parse-names":false,"suffix":""},{"dropping-particle":"","family":"Trusler","given":"J. P.Martin","non-dropping-particle":"","parse-names":false,"suffix":""},{"dropping-particle":"","family":"Webley","given":"Paul","non-dropping-particle":"","parse-names":false,"suffix":""},{"dropping-particle":"","family":"Wilcox","given":"Jennifer","non-dropping-particle":"","parse-names":false,"suffix":""},{"dropping-particle":"","family":"Dowell","given":"Niall","non-dropping-particle":"Mac","parse-names":false,"suffix":""}],"container-title":"Energy and Environmental Science","id":"ITEM-3","issue":"5","issued":{"date-parts":[["2018"]]},"page":"1062-1176","title":"Carbon capture and storage (CCS): The way forward","type":"article-journal","volume":"11"},"uris":["http://www.mendeley.com/documents/?uuid=4f681bd1-fb8e-4d72-809e-f0c49216935b"]},{"id":"ITEM-4","itemData":{"DOI":"10.1038/s41467-018-04423-1","ISSN":"2041-1723","abstract":"Carbon Capture and Storage (CCS) can help nations meet their Paris CO2 reduction commitments cost-effectively. However, lack of confidence in geologic CO2 storage security remains a barrier to CCS implementation. Here we present a numerical program that calculates CO2 storage security and leakage to the atmosphere over 10,000 years. This combines quantitative estimates of geological subsurface CO2 retention, and of surface CO2 leakage. We calculate that realistically well-regulated storage in regions with moderate well densities has a 50% probability that leakage remains below 0.0008% yr-1, with over 98% of the injected CO2 retained in the subsurface over 10,000 years. An unrealistic scenario, where CO2 storage is inadequately regulated, estimates that more than 78% will be retained over 10,000 years. Our modelling results suggest that geological storage of CO2 can be a secure climate change mitigation option, but we note that long-term behaviour of CO2 in the subsurface remains a key uncertainty.","author":[{"dropping-particle":"","family":"Alcalde","given":"Juan","non-dropping-particle":"","parse-names":false,"suffix":""},{"dropping-particle":"","family":"Flude","given":"Stephanie","non-dropping-particle":"","parse-names":false,"suffix":""},{"dropping-particle":"","family":"Wilkinson","given":"Mark","non-dropping-particle":"","parse-names":false,"suffix":""},{"dropping-particle":"","family":"Johnson","given":"Gareth","non-dropping-particle":"","parse-names":false,"suffix":""},{"dropping-particle":"","family":"Edlmann","given":"Katrion</w:instrText>
      </w:r>
      <w:r w:rsidR="009D58AA" w:rsidRPr="004B3244">
        <w:rPr>
          <w:lang w:val="es-ES"/>
        </w:rPr>
        <w:instrText>a","non-dropping-particle":"","parse-names":false,"suffix":""},{"dropping-particle":"","family":"Bond","given":"Clare E","non-dropping-particle":"","parse-names":false,"suffix":""},{"dropping-particle":"","family":"Scott","given":"Vivian","non-dropping-particle":"","parse-names":false,"suffix":""},{"dropping-particle":"V.","family":"Gilfillan","given":"Stuart M.","non-dropping-particle":"","parse-names":false,"suffix":""},{"dropping-particle":"","family":"Ogaya","given":"Xènia","non-dropping-particle":"","parse-names":false,"suffix":""},{"dropping-particle":"","family":"Haszeldine","given":"R Stuart","non-dropping-particle":"","parse-names":false,"suffix":""}],"container-title":"Nature Communications","id":"ITEM-4","issue":"1","issued":{"date-parts":[["2018","12"]]},"page":"2201","title":"Estimating geological CO2 storage security to deliver on climate mitigation","type":"article-journal","volume":"9"},"uris":["http://www.mendeley.com/documents/?uuid=c1c604d5-5a45-4b56-ad48-bc28449ed1d3"]}],"mendeley":{"formattedCitation":"(Alcalde et al., 2018a; Bui et al., 2018; Haszeldine et al., 2018; Wennersten et al., 2015)","plainTextFormattedCitation":"(Alcalde et al., 2018a; Bui et al., 2018; Haszeldine et al., 2018; Wennersten et al., 2015)","previouslyFormattedCitation":"(Alcalde et al., 2018a; Bui et al., 2018; Haszeldine et al., 2018; Wennersten et al., 2015)"},"properties":{"noteIndex":0},"schema":"https://github.com/citation-style-language/schema/raw/master/csl-citation.json"}</w:instrText>
      </w:r>
      <w:r w:rsidR="009419C2" w:rsidRPr="00972203">
        <w:fldChar w:fldCharType="separate"/>
      </w:r>
      <w:r w:rsidR="00C01E2D" w:rsidRPr="00C01E2D">
        <w:rPr>
          <w:noProof/>
          <w:lang w:val="es-ES"/>
        </w:rPr>
        <w:t>(Alcalde et al., 2018a; Bui et al., 2018; Haszeldine et al., 2018; Wennersten et al., 2015)</w:t>
      </w:r>
      <w:r w:rsidR="009419C2" w:rsidRPr="00972203">
        <w:fldChar w:fldCharType="end"/>
      </w:r>
      <w:r w:rsidR="001326D2" w:rsidRPr="00C01E2D">
        <w:rPr>
          <w:lang w:val="es-ES"/>
        </w:rPr>
        <w:t>.</w:t>
      </w:r>
      <w:r w:rsidRPr="00C01E2D">
        <w:rPr>
          <w:lang w:val="es-ES"/>
        </w:rPr>
        <w:t xml:space="preserve"> </w:t>
      </w:r>
      <w:bookmarkEnd w:id="0"/>
      <w:r w:rsidR="00A96F73">
        <w:rPr>
          <w:lang w:val="es-ES"/>
        </w:rPr>
        <w:t xml:space="preserve"> </w:t>
      </w:r>
      <w:r w:rsidRPr="00972203">
        <w:t>Additionally, other low-carbon technologies</w:t>
      </w:r>
      <w:r w:rsidR="006F14A8">
        <w:t>,</w:t>
      </w:r>
      <w:r w:rsidRPr="00972203">
        <w:t xml:space="preserve"> which can assist </w:t>
      </w:r>
      <w:r w:rsidR="00E764D9">
        <w:t>in</w:t>
      </w:r>
      <w:r w:rsidR="00E764D9" w:rsidRPr="00972203">
        <w:t xml:space="preserve"> </w:t>
      </w:r>
      <w:r w:rsidRPr="00972203">
        <w:t>reduc</w:t>
      </w:r>
      <w:r w:rsidR="00E764D9">
        <w:t>ing</w:t>
      </w:r>
      <w:r w:rsidRPr="00972203">
        <w:t xml:space="preserve"> CO</w:t>
      </w:r>
      <w:r w:rsidRPr="00972203">
        <w:rPr>
          <w:vertAlign w:val="subscript"/>
        </w:rPr>
        <w:t>2</w:t>
      </w:r>
      <w:r w:rsidRPr="00972203">
        <w:t xml:space="preserve"> emissions, such as the use and storage of hydrogen</w:t>
      </w:r>
      <w:r w:rsidR="00BD202F" w:rsidRPr="00972203">
        <w:t>,</w:t>
      </w:r>
      <w:r w:rsidRPr="00972203">
        <w:t xml:space="preserve"> direct air capture</w:t>
      </w:r>
      <w:r w:rsidR="00BD202F" w:rsidRPr="00972203">
        <w:t xml:space="preserve"> or bioenergy with CCS</w:t>
      </w:r>
      <w:r w:rsidR="006F14A8">
        <w:t>,</w:t>
      </w:r>
      <w:r w:rsidRPr="00972203">
        <w:t xml:space="preserve"> rely on safe </w:t>
      </w:r>
      <w:r w:rsidR="00E764D9">
        <w:t xml:space="preserve">permanent </w:t>
      </w:r>
      <w:r w:rsidRPr="00972203">
        <w:t>CO</w:t>
      </w:r>
      <w:r w:rsidRPr="00972203">
        <w:rPr>
          <w:vertAlign w:val="subscript"/>
        </w:rPr>
        <w:t>2</w:t>
      </w:r>
      <w:r w:rsidRPr="00972203">
        <w:t xml:space="preserve"> </w:t>
      </w:r>
      <w:r w:rsidR="00E764D9">
        <w:t>storage</w:t>
      </w:r>
      <w:r w:rsidR="004759DE">
        <w:t xml:space="preserve"> </w:t>
      </w:r>
      <w:r w:rsidR="004759DE">
        <w:fldChar w:fldCharType="begin" w:fldLock="1"/>
      </w:r>
      <w:r w:rsidR="009D58AA">
        <w:instrText>ADDIN CSL_CITATION {"citationItems":[{"id":"ITEM-1","itemData":{"DOI":"10.1021/acs.chemrev.6b00173","ISBN":"0009-2665","ISSN":"15206890","abstract":"The increase in the global atmospheric CO2 concentration resulting from over a century of combustion of fossil fuels has been associated with significant global climate change. With the global population increase driving continued increases in fossil fuel use, humanity's primary reliance on fossil energy for the next several decades is assured. Traditional modes of carbon capture such as precombustion and postcombustion CO2 capture from large point sources can help slow the rate of increase of the atmospheric CO2 concentration, but only the direct removal of CO2 from the air, or \"direct air capture\" (DAC), can actually reduce the global atmospheric CO2 concentration. The past decade has seen a steep rise in the use of chemical sorbents that are cycled through sorption and desorption cycles for CO2 removal from ultradilute gases such as air. This Review provides a historical overview of the field of DAC, along with an exhaustive description of the use of chemical sorbents targeted at this application. Solvents and solid sorbents that interact strongly with CO2 are described, including basic solvents, supported amine and ammonium materials, and metal-organic frameworks (MOFs), as the primary classes of chemical sorbents. Hypothetical processes for the deployment of such sorbents are discussed, as well as the limited array of technoeconomic analyses published on DAC. Overall, it is concluded that there are many new materials that could play a role in emerging DAC technologies. However, these materials need to be further investigated and developed with a practical sorbent-air contacting process in mind if society is to make rapid progress in deploying DAC as a means of mitigating climate change.","author":[{"dropping-particle":"","family":"Sanz-Pérez","given":"Eloy S.","non-dropping-particle":"","parse-names":false,"suffix":""},{"dropping-particle":"","family":"Murdock","given":"Christopher R.","non-dropping-particle":"","parse-names":false,"suffix":""},{"dropping-particle":"","family":"Didas","given":"Stephanie A.","non-dropping-particle":"","parse-names":false,"suffix":""},{"dropping-particle":"","family":"Jones","given":"Christopher W.","non-dropping-particle":"","parse-names":false,"suffix":""}],"container-title":"Chemical Reviews","id":"ITEM-1","issue":"19","issued":{"date-parts":[["2016","10"]]},"page":"11840-11876","title":"Direct Capture of CO2 from Ambient Air","type":"article-journal","volume":"116"},"uris":["http://www.mendeley.com/documents/?uuid=e8e5c47d-9186-483a-8659-ff614467816e"]},{"id":"ITEM-2","itemData":{"DOI":"10.1016/j.egypro.2017.03.1739","ISSN":"18766102","abstract":"This paper explores the role and implications of bio-energy with carbon capture and storage (BECCS) for addressing the climate change mitigation challenge. Framed within the context of the latest emissions budgets, and their associated uncertainty, we present a summary of the contribution of BECCS within the Integrated Assessment Model (IAM) scenarios used by the climate change community. Within this discussion we seek to shed light on two important areas. Firstly, that BECCS is a central, but often hidden element of many of the modelling work that underpins climate policy from the global to the national scale. The second area we address are the assumptions for BECCS embedded within IAM models, and the wider system consequences of these implied levels of deployment. In light of these challenges, we question whether BECCS can deliver what is anticipated of it within existing climate change policy.","author":[{"dropping-particle":"","family":"Mander","given":"Sarah","non-dropping-particle":"","parse-names":false,"suffix":""},{"dropping-particle":"","family":"Anderson","given":"Kevin","non-dropping-particle":"","parse-names":false,"suffix":""},{"dropping-particle":"","family":"Larkin","given":"Alice","non-dropping-particle":"","parse-names":false,"suffix":""},{"dropping-particle":"","family":"Gough","given":"Clair","non-dropping-particle":"","parse-names":false,"suffix":""},{"dropping-particle":"","family":"Vaughan","given":"Naomi","non-dropping-particle":"","parse-names":false,"suffix":""}],"container-title":"Energy Procedia","id":"ITEM-2","issue":"November 2016","issued":{"date-parts":[["2017"]]},"page":"6036-6043","publisher":"The Author(s)","title":"The Role of Bio-energy with Carbon Capture and Storage in Meeting the Climate Mitigation Challenge: A Whole System Perspective","type":"article-journal","volume":"114"},"uris":["http://www.mendeley.com/documents/?uuid=bb2d6092-813f-46c5-a813-e20140ba8053"]},{"id":"ITEM-3","itemData":{"DOI":"10.1016/j.ijggc.2018.06.021","ISSN":"17505836","abstract":"The reduction of anthropogenic greenhouse gas emission rates alone appears insufficient to limit the rise in global temperatures. Negative Emission Technologies (NETs) can be helpful in this critical goal by actively removing CO2 from the atmosphere. Industrialised countries like Scotland will require NETs to address their climate targets and reach net-zero carbon emissions in a timely manner. However, the implementation of NETs has varied energy, economic and environmental implications that need to be analysed in detail. In this paper, we explore the potential energy and economic costs for implementation of land-based NETs in Scotland. This analysis is based on the calculated averaged costs of the different technologies and the availability of resources for its implementation in Scotland. We found that the country has a maximum technical potential to abate 90–100% of its annual CO2 emissions by means of land-based NETs, thanks to its low annual emissions and large land area for implementation of NETs. Even in less optimistic scenarios, Scotland is exceptionally well suited for land NETs, which can complement and enhance the potential of more conventional technologies, like renewable energy resources. Our results show that Scotland could lead the transformation towards a carbon-neutral society.","author":[{"dropping-particle":"","family":"Alcalde","given":"Juan","non-dropping-particle":"","parse-names":false,"suffix":""},{"dropping-particle":"","family":"Smith","given":"Pete","non-dropping-particle":"","parse-names":false,"suffix":""},{"dropping-particle":"","family":"Haszeldine","given":"R. Stuart","non-dropping-particle":"","parse-names":false,"suffix":""},{"dropping-particle":"","family":"Bond","given":"Clare E.","non-dropping-particle":"","parse-names":false,"suffix":""}],"container-title":"International Journal of Greenhouse Gas Control","id":"ITEM-3","issue":"June","issued":{"date-parts":[["2018"]]},"page":"85-91","publisher":"Elsevier","title":"The potential for implementation of Negative Emission Technologies in Scotland","type":"article-journal","volume":"76"},"uris":["http://www.mendeley.com/documents/?uuid=29246255-abc1-48ad-81ea-7a41dfecba15"]},{"id":"ITEM-4","itemData":{"DOI":"10.1144/sjg2019-007","ISBN":"0000000345","ISSN":"00369276","abstract":"Scotland is committed to be a carbon-neutral society by 2040 and has achieved the important initial step of decarbonizing power production. However, more ambitious measures are required to fully decarbonize all of the electricity, transport and heating sectors. We explore the potential to use low-carbon GeoEnergy resources and bioenergy combined with Carbon Capture and Storage (BECCS) in the Midland Valley area to decarbonize the Scottish economy and society. The Midland Valley has a long history of geological resource extraction and, as a result, the geology of the region is well characterized. Geothermal energy and subsurface energy storage have the potential to be implemented. Some of them, such as gravity and heat storage, could re-use the redundant mining infrastructure to decrease investment costs. Hydrogen storage could be of particular interest as the Midland Valley offers the required caprock–reservoir assemblages. BECCS is also a promising option to reduce overall CO2 emissions by between 1.10 and 4.40 MtCO2 a−1. The Midland Valley has enough space to grow the necessary crops, but CO2 storage will most likely be implemented in North Sea saline aquifers. The studied aspects suggest that the Midland Valley represents a viable option in Scotland for the exploitation of the majority of low-carbon GeoEnergy resources. Thematic collection: This article is part of the ‘Early Career Research’ available at: https://www. lyellcollection.org/cc/SJG-early-career-research.","author":[{"dropping-particle":"","family":"Heinemann",</w:instrText>
      </w:r>
      <w:r w:rsidR="009D58AA" w:rsidRPr="004B3244">
        <w:rPr>
          <w:lang w:val="es-ES"/>
        </w:rPr>
        <w:instrText>"given":"N.","non-dropping-particle":"","parse-names":false,"suffix":""},{"dropping-particle":"","family":"Alcalde","given":"J.","non-dropping-particle":"","parse-names":false,"suffix":""},{"dropping-particle":"","family":"Johnson","given":"G.","non-dropping-particle":"","parse-names":false,"suffix":""},{"dropping-particle":"","family":"Roberts","given":"J. J.","non-dropping-particle":"","parse-names":false,"suffix":""},{"dropping-particle":"","family":"McCay","given":"A. T.","non-dropping-particle":"","parse-names":false,"suffix":""},{"dropping-particle":"","family":"Booth","given":"M. G.","non-dropping-particle":"","parse-names":false,"suffix":""}],"container-title":"Scottish Journal of Geology","id":"ITEM-4","issue":"2","issued":{"date-parts":[["2019"]]},"page":"93-106","title":"Low-carbon geoenergy resource options in the midland valley of Scotland, UK","type":"article-journal","volume":"55"},"uris":["http://www.mendeley.com/documents/?uuid=db570ab8-7fc9-429f-8278-1c91555ce1f9"]}],"mendeley":{"formattedCitation":"(Alcalde et al., 2018b; Heinemann et al., 2019; Mander et al., 2017; Sanz-Pérez et al., 2016)","plainTextFormattedCitation":"(Alcalde et al., 2018b; Heinemann et al., 2019; Mander et al., 2017; Sanz-Pérez et al., 2016)","previouslyFormattedCitation":"(Alcalde et al., 2018b; Heinemann et al., 2019; Mander et al., 2017; Sanz-Pérez et al., 2016)"},"properties":{"noteIndex":0},"schema":"https://github.com/citation-style-language/schema/raw/master/csl-citation.json"}</w:instrText>
      </w:r>
      <w:r w:rsidR="004759DE">
        <w:fldChar w:fldCharType="separate"/>
      </w:r>
      <w:r w:rsidR="00C01E2D" w:rsidRPr="00C01E2D">
        <w:rPr>
          <w:noProof/>
          <w:lang w:val="es-ES"/>
        </w:rPr>
        <w:t>(Alcalde et al., 2018b; Heinemann et al., 2019; Mander et al., 2017; Sanz-Pérez et al., 2016)</w:t>
      </w:r>
      <w:r w:rsidR="004759DE">
        <w:fldChar w:fldCharType="end"/>
      </w:r>
      <w:r w:rsidRPr="00C01E2D">
        <w:rPr>
          <w:lang w:val="es-ES"/>
        </w:rPr>
        <w:t>.</w:t>
      </w:r>
    </w:p>
    <w:p w14:paraId="532ED56D" w14:textId="4AE2F062" w:rsidR="00442CFE" w:rsidRPr="00972203" w:rsidRDefault="00442CFE" w:rsidP="00442CFE">
      <w:pPr>
        <w:spacing w:after="120" w:line="276" w:lineRule="auto"/>
      </w:pPr>
      <w:r w:rsidRPr="00972203">
        <w:t>One of the key elements in the CCS chain is the selection o</w:t>
      </w:r>
      <w:r>
        <w:t>f</w:t>
      </w:r>
      <w:r w:rsidRPr="00972203">
        <w:t xml:space="preserve"> suitable location</w:t>
      </w:r>
      <w:r>
        <w:t>s</w:t>
      </w:r>
      <w:r w:rsidRPr="00972203">
        <w:t xml:space="preserve"> for the </w:t>
      </w:r>
      <w:r w:rsidR="006F14A8">
        <w:t xml:space="preserve">geological </w:t>
      </w:r>
      <w:r w:rsidRPr="00972203">
        <w:t>storage of CO</w:t>
      </w:r>
      <w:r w:rsidRPr="00972203">
        <w:rPr>
          <w:vertAlign w:val="subscript"/>
        </w:rPr>
        <w:t>2</w:t>
      </w:r>
      <w:r w:rsidRPr="00972203">
        <w:t xml:space="preserve">. </w:t>
      </w:r>
      <w:r>
        <w:t xml:space="preserve">A </w:t>
      </w:r>
      <w:r w:rsidR="00B84042">
        <w:t xml:space="preserve">suitable </w:t>
      </w:r>
      <w:r>
        <w:t xml:space="preserve">storage site must </w:t>
      </w:r>
      <w:r w:rsidR="00B84042">
        <w:t xml:space="preserve">ensure the safe, </w:t>
      </w:r>
      <w:proofErr w:type="gramStart"/>
      <w:r w:rsidR="00B84042">
        <w:t>sustainable</w:t>
      </w:r>
      <w:proofErr w:type="gramEnd"/>
      <w:r w:rsidR="00B84042">
        <w:t xml:space="preserve"> and economic </w:t>
      </w:r>
      <w:r w:rsidR="00B84042" w:rsidRPr="00B84042">
        <w:t>storage of CO</w:t>
      </w:r>
      <w:r w:rsidR="00B84042" w:rsidRPr="00B84042">
        <w:rPr>
          <w:vertAlign w:val="subscript"/>
        </w:rPr>
        <w:t>2</w:t>
      </w:r>
      <w:r w:rsidR="00B84042" w:rsidRPr="00B84042">
        <w:t xml:space="preserve"> over geological timescales</w:t>
      </w:r>
      <w:r w:rsidR="00B84042">
        <w:t xml:space="preserve">. </w:t>
      </w:r>
      <w:r w:rsidRPr="00B84042">
        <w:t xml:space="preserve">It is therefore important to appraise and select suitable </w:t>
      </w:r>
      <w:r w:rsidR="00B84042">
        <w:t>sites</w:t>
      </w:r>
      <w:r w:rsidR="00B84042" w:rsidRPr="00B84042">
        <w:t xml:space="preserve"> </w:t>
      </w:r>
      <w:r w:rsidR="00B84042">
        <w:t xml:space="preserve">that comply with </w:t>
      </w:r>
      <w:proofErr w:type="gramStart"/>
      <w:r w:rsidR="00B84042">
        <w:t>a number of</w:t>
      </w:r>
      <w:proofErr w:type="gramEnd"/>
      <w:r w:rsidR="00B84042">
        <w:t xml:space="preserve"> criteria </w:t>
      </w:r>
      <w:r w:rsidR="006649AE">
        <w:t xml:space="preserve">that </w:t>
      </w:r>
      <w:r w:rsidR="00B84042">
        <w:t>relate to different aspects of storage operation including geological, engineering, economic, logistic</w:t>
      </w:r>
      <w:r w:rsidR="006649AE">
        <w:t>al</w:t>
      </w:r>
      <w:r w:rsidR="00B84042">
        <w:t xml:space="preserve"> and safety aspects.</w:t>
      </w:r>
    </w:p>
    <w:p w14:paraId="2250D150" w14:textId="68204B63" w:rsidR="00011159" w:rsidRDefault="00011159" w:rsidP="001A2820">
      <w:pPr>
        <w:spacing w:after="120" w:line="276" w:lineRule="auto"/>
      </w:pPr>
      <w:r>
        <w:t>The North Sea</w:t>
      </w:r>
      <w:r w:rsidR="006F14A8">
        <w:t xml:space="preserve"> oil- and gas-rich basins</w:t>
      </w:r>
      <w:r>
        <w:t xml:space="preserve"> </w:t>
      </w:r>
      <w:r w:rsidR="006F14A8">
        <w:t xml:space="preserve">have </w:t>
      </w:r>
      <w:r>
        <w:t xml:space="preserve">been </w:t>
      </w:r>
      <w:r w:rsidR="001A2820">
        <w:t>re</w:t>
      </w:r>
      <w:r w:rsidR="006F14A8">
        <w:t>peated</w:t>
      </w:r>
      <w:r w:rsidR="001A2820">
        <w:t>ly</w:t>
      </w:r>
      <w:r>
        <w:t xml:space="preserve"> identified as a potential </w:t>
      </w:r>
      <w:r w:rsidR="006F441A">
        <w:t xml:space="preserve">hub for the development of CCS </w:t>
      </w:r>
      <w:r w:rsidR="00D161DE">
        <w:t xml:space="preserve">in Europe. This region has a long history of hydrocarbon exploration and production </w:t>
      </w:r>
      <w:r w:rsidR="006649AE">
        <w:t xml:space="preserve">and has associated </w:t>
      </w:r>
      <w:r w:rsidR="006F14A8">
        <w:t xml:space="preserve">production </w:t>
      </w:r>
      <w:r w:rsidR="00D161DE">
        <w:t>infrastructure in place</w:t>
      </w:r>
      <w:r w:rsidR="00EA3A16">
        <w:t xml:space="preserve">, </w:t>
      </w:r>
      <w:r w:rsidR="001E1EFA">
        <w:t xml:space="preserve">and </w:t>
      </w:r>
      <w:r w:rsidR="00EA3A16">
        <w:t>the people</w:t>
      </w:r>
      <w:r w:rsidR="001E1EFA">
        <w:t>-</w:t>
      </w:r>
      <w:r w:rsidR="00EA3A16">
        <w:t>skills and industry supply chains which can routinely deliver complex offshore projects</w:t>
      </w:r>
      <w:r w:rsidR="006649AE">
        <w:t xml:space="preserve">. </w:t>
      </w:r>
      <w:r w:rsidR="006F14A8">
        <w:t xml:space="preserve">The North Sea </w:t>
      </w:r>
      <w:r w:rsidR="00D161DE">
        <w:t xml:space="preserve">is surrounded by important industrial clusters that could be converted to </w:t>
      </w:r>
      <w:r w:rsidR="006649AE">
        <w:t xml:space="preserve">employ carbon </w:t>
      </w:r>
      <w:r w:rsidR="00D161DE">
        <w:t>capture</w:t>
      </w:r>
      <w:r w:rsidR="006649AE">
        <w:t xml:space="preserve"> technology</w:t>
      </w:r>
      <w:r w:rsidR="00D161DE">
        <w:t xml:space="preserve">, and contains more than half of the total </w:t>
      </w:r>
      <w:r w:rsidR="006649AE">
        <w:t>CO</w:t>
      </w:r>
      <w:r w:rsidR="006649AE" w:rsidRPr="00453C43">
        <w:rPr>
          <w:vertAlign w:val="subscript"/>
        </w:rPr>
        <w:t>2</w:t>
      </w:r>
      <w:r w:rsidR="006649AE">
        <w:t xml:space="preserve"> </w:t>
      </w:r>
      <w:r w:rsidR="00D161DE">
        <w:t xml:space="preserve">storage capacity in Europe </w:t>
      </w:r>
      <w:r w:rsidR="00D161DE">
        <w:fldChar w:fldCharType="begin" w:fldLock="1"/>
      </w:r>
      <w:r w:rsidR="009D58AA">
        <w:instrText>ADDIN CSL_CITATION {"citationItems":[{"id":"ITEM-1","itemData":{"DOI":"10.1016/j.egypro.2009.02.034","ISBN":"4538142050","ISSN":"18766102","abstract":"The focus of the GeoCapacity project is GIS mapping of CO2 point sources, infrastructure and geological storage in Europe. The main objective is to assess the European capacity for geological storage of CO2 in deep saline aquifers, oil and gas structures and coal beds. Other priorities are further development of methods for capacity assessment, economic modelling and site selection as well as international cooperation, especially with China. The results of GeoCapacity will include 25 countries and comprises most European sedimentary basins suitable for geological storage of CO2. © 2009 Elsevier Ltd. All rights reserved.","author":[{"dropping-particle":"","family":"Vangkilde-Pedersen","given":"Thomas","non-dropping-particle":"","parse-names":false,"suffix":""},{"dropping-particle":"","family":"Anthonsen","given":"Karen Lyng","non-dropping-particle":"","parse-names":false,"suffix":""},{"dropping-particle":"","family":"Smith","given":"Nikki","non-dropping-particle":"","parse-names":false,"suffix":""},{"dropping-particle":"","family":"Kirk","given":"Karen","non-dropping-particle":"","parse-names":false,"suffix":""},{"dropping-particle":"","family":"neele","given":"Filip","non-dropping-particle":"","parse-names":false,"suffix":""},{"dropping-particle":"","family":"Meer","given":"Bert","non-dropping-particle":"van der","parse-names":false,"suffix":""},{"dropping-particle":"","family":"Gallo","given":"Yann","non-dropping-particle":"Le","parse-names":false,"suffix":""},{"dropping-particle":"","family":"Bossie-Codreanu","given":"Dan","non-dropping-particle":"","parse-names":false,"suffix":""},{"dropping-particle":"","family":"Wojcicki","given":"Adam","non-dropping-particle":"","parse-names":false,"suffix":""},{"dropping-particle":"","family":"Nindre","given":"Yves Michel","non-dropping-particle":"Le","parse-names":false,"suffix":""},{"dropping-particle":"","family":"Hendriks","given":"Chris","non-dropping-particle":"","parse-names":false,"suffix":""},{"dropping-particle":"","family":"Dalhoff","given":"Finn","non-dropping-particle":"","parse-names":false,"suffix":""},{"dropping-particle":"","family":"Peter Christensen","given":"Niels","non-dropping-particle":"","parse-names":false,"suffix":""}],"container-title":"Energy Procedia","id":"ITEM-1","issue":"1","issued":{"date-parts":[["2009"]]},"page":"2663-2670","publisher":"Elsevier","title":"Assessing European capacity for geological storage of carbon dioxide-the EU GeoCapacity project","type":"article-journal","volume":"1"},"uris":["http://www.mendeley.com/documents/?uuid=94c5fc5c-b1b1-4ea6-8c37-2d187ef763bd"]},{"id":"ITEM-2","itemData":{"DOI":"10.1016/j.egypro.2014.11.761","ISBN":"4412428028","ISSN":"18766102","abstract":"In this study different carbon capture and storage cluster projects have been reviewed based on their technical as well as business plan. The technical details for each cluster cover all of the key parameters relating to size, location, routing, technology choices, engineering and operation. In addition information on overall and unit costs was collected where available. Business plan for CCS cluster project evaluates not only what was in place, but also what would still be required to go commercial on a sustainable basis. Moreover, there were many potential CCS cluster projects yet to be developed, beyond the stage of initial identification of possibilities. Hence, identification of the best options in the regions for future CCS cluster projects was also considered.","author":[{"dropping-particle":"","family":"Singh","given":"Prachi","non-dropping-particle":"","parse-names":false,"suffix":""},{"dropping-particle":"","family":"Haines","given":"Mike","non-dropping-particle":"","parse-names":false,"suffix":""}],"container-title":"Energy Procedia","id":"ITEM-2","issued":{"date-parts":[["2014"]]},"page":"7247-7260","publisher":"Elsevier B.V.","title":"A review of existing carbon capture and storage cluster projects and future opportunities","type":"article-journal","volume":"63"},"uris":["http://www.mendeley.com/documents/?uuid=2b4ec1e6-281c-4c51-982c-6089aab9be38"]},{"id":"ITEM-3","itemData":{"DOI":"10.1002/ghg.1410","ISSN":"21523878","author":[{"dropping-particle":"","family":"Stewart","given":"R. J.","non-dropping-particle":"","parse-names":false,"suffix":""},{"dropping-particle":"","family":"Scott","given":"V.","non-dropping-particle":"","parse-names":false,"suffix":""},{"dropping-particle":"","family":"Haszeldine","given":"R. S.","non-dropping-particle":"","parse-names":false,"suffix":""},{"dropping-particle":"","family":"Ainger","given":"D.","non-dropping-particle":"","parse-names":false,"suffix":""},{"dropping-particle":"","family":"Argent","given":"S.","non-dropping-particle":"","parse-names":false,"suffix":""}],"container-title":"Greenhouse Gases: Science and Technology","id":"ITEM-3","issue":"4","issued":{"date-parts":[["2014","8"]]},"page":"481-494","title":"The feasibility of a European-wide integrated CO 2 transport network","type":"article-journal","volume":"4"},"uris":["http://www.mendeley.com/documents/?uuid=659a4d76-618b-4196-8e43-ec0bea885e3f"]},{"id":"ITEM-4","itemData":{"author":[{"dropping-particle":"","family":"SCCS","given":"","non-dropping-particle":"","parse-names":false,"suffix":""}],"id":"ITEM-4","issued":{"date-parts":[["2015"]]},"number-of-pages":"88","title":"CO2 storage and Enhanced Oil Recovery in the North Sea: Securing a low-carbon future for the UK","type":"report"},"uris":["http://www.mendeley.com/documents/?uuid=a604a9d5-bf47-4101-98f5-9570d910078a"]},{"id":"ITEM-5","itemData":{"DOI":"10.1016/j.ijggc.2019.102903","ISSN":"17505836","abstract":"This paper assesses the role of carbon dioxide capture and storage (CCS) in addressing challenges in the energy transition in regions reliant on carbon-intensive industries for employment and as an economic base. The assessment is based on semi-structured interviews with relevant stakeholders and experts in the Aberdeen area in Scotland, the Rotterdam harbour (or Rijnmond) area in the Netherlands, and in Norway. The interviews explored challenges around the role of CCS in regional ‘just transitions’, or how to make the transformation of regions relying on carbon-intensive industries to a low-carbon society fair. While significant differences in responses between the Aberdeen area, the Rijnmond area and Norway were found, a common understanding showed that for CCS to contribute to a just transition it has to (a) make a contribution to climate change imperatives; (b) help to mitigate the economic and employment effects arising from declining or maturing industries; and (c) be undertaken in a manner that helps to redress (or at least does not increase) uneven vulnerabilities and inequalities in society. Five key themes that characterise the opportunities and challenges for CCS from a just transition perspective were drawn from the interviews: Skills for a just transition, transition as an opportunity, responsibility, scale of action and viability. We recommend that these are added to earlier work on barriers and enablers of CCS in areas relying on fossil industry.","author":[{"dropping-particle":"","family":"Swennenhuis","given":"Floris","non-dropping-particle":"","parse-names":false,"suffix":""},{"dropping-particle":"","family":"Mabon","given":"Leslie","non-dropping-particle":"","parse-names":false,"suffix":""},{"dropping-particle":"","family":"Flach","given":"Todd Allyn","non-dropping-particle":"","parse-names":false,"suffix":""},{"dropping-particle":"","family":"Coninck","given":"Heleen","non-dropping-particle":"de","parse-names":false,"suffix":""}],"container-title":"International Journal of Greenhouse Gas Control","id":"ITEM-5","issue":"October 2018","issued":{"date-parts":[["2020"]]},"page":"102903","publisher":"Elsevier","title":"What role for CCS in delivering just transitions? An evaluation in the North Sea region","type":"article-journal","volume":"94"},"uris":["http://www.mendeley.com/documents/?uuid=641073d7-989d-4b32-994a-fa232216941e"]}],"mendeley":{"formattedCitation":"(SCCS, 2015; Singh and Haines, 2014; Stewart et al., 2014; Swennenhuis et al., 2020; Vangkilde-Pedersen et al., 2009)","plainTextFormattedCitation":"(SCCS, 2015; Singh and Haines, 2014; Stewart et al., 2014; Swennenhuis et al., 2020; Vangkilde-Pedersen et al., 2009)","previouslyFormattedCitation":"(SCCS, 2015; Singh and Haines, 2014; Stewart et al., 2014; Swennenhuis et al., 2020; Vangkilde-Pedersen et al., 2009)"},"properties":{"noteIndex":0},"schema":"https://github.com/citation-style-language/schema/raw/master/csl-citation.json"}</w:instrText>
      </w:r>
      <w:r w:rsidR="00D161DE">
        <w:fldChar w:fldCharType="separate"/>
      </w:r>
      <w:r w:rsidR="00C01E2D" w:rsidRPr="00C01E2D">
        <w:rPr>
          <w:noProof/>
        </w:rPr>
        <w:t xml:space="preserve">(SCCS, 2015; Singh and Haines, </w:t>
      </w:r>
      <w:r w:rsidR="00C01E2D" w:rsidRPr="00C01E2D">
        <w:rPr>
          <w:noProof/>
        </w:rPr>
        <w:lastRenderedPageBreak/>
        <w:t>2014; Stewart et al., 2014; Swennenhuis et al., 2020; Vangkilde-Pedersen et al., 2009)</w:t>
      </w:r>
      <w:r w:rsidR="00D161DE">
        <w:fldChar w:fldCharType="end"/>
      </w:r>
      <w:r w:rsidR="00D161DE">
        <w:t xml:space="preserve">. The North Sea </w:t>
      </w:r>
      <w:r w:rsidR="00D3640D">
        <w:t>already</w:t>
      </w:r>
      <w:r w:rsidR="006F441A">
        <w:t xml:space="preserve"> hosts</w:t>
      </w:r>
      <w:r w:rsidR="004759DE">
        <w:t xml:space="preserve"> </w:t>
      </w:r>
      <w:proofErr w:type="spellStart"/>
      <w:r w:rsidR="004759DE">
        <w:t>Sleipner</w:t>
      </w:r>
      <w:proofErr w:type="spellEnd"/>
      <w:r w:rsidR="004759DE">
        <w:t>,</w:t>
      </w:r>
      <w:r>
        <w:t xml:space="preserve"> the </w:t>
      </w:r>
      <w:r w:rsidR="006F441A">
        <w:t>world’s first commercial</w:t>
      </w:r>
      <w:r>
        <w:t xml:space="preserve"> </w:t>
      </w:r>
      <w:r w:rsidR="006F441A">
        <w:t xml:space="preserve">CCS project </w:t>
      </w:r>
      <w:r w:rsidR="0064332A">
        <w:fldChar w:fldCharType="begin" w:fldLock="1"/>
      </w:r>
      <w:r w:rsidR="009D58AA">
        <w:instrText>ADDIN CSL_CITATION {"citationItems":[{"id":"ITEM-1","itemData":{"DOI":"10.1016/j.egypro.2011.02.541","ISSN":"18766102","abstract":"In the paper we share our operational experience gained from three sites: Sleipner (14 years of injection), In Salah (6 years) and Snøhvit (2 years). Together, these three sites have disposed 16 Mt of CO2 by 2010. In highly variable reservoirs, with permeability ranging from a few milliDarcy to more than one Darcy, single wells have injected several hundred Kt of CO2 per year. In the reservoirs, the actual CO2 plume development has been strongly controlled by geological factors that we learned about during injection. Geophysical monitoring methods (especially seismic, gravity, and satellite data) have, at each site, revealed some of these unpredicted geological factors. Thus monitoring methods are as valuable for reservoir characterisation as they are for monitoring fluid saturation and pressure changes. Current scientific debates that address CO2 storage capacity mainly focus on the utilization of the pore space (efficiency) and the rate of pressure dissipation in response to injection (pressure limits). We add to this that detailed CO2 site characterisation and monitoring is needed to prove significant practical CO2 storage capacity - on a case by case basis. As this specific site experience and knowledge develops more general conclusions on storage capacity, injectivity and efficiency may be possible. © 2011 Published by Elsevier Ltd.","author":[{"dropping-particle":"","family":"Eiken","given":"Ola","non-dropping-particle":"","parse-names":false,"suffix":""},{"dropping-particle":"","family":"Ringrose","given":"Philip","non-dropping-particle":"","parse-names":false,"suffix":""},{"dropping-particle":"","family":"Hermanrud","given":"Christian","non-dropping-particle":"","parse-names":false,"suffix":""},{"dropping-particle":"","family":"Nazarian","given":"Bamshad","non-dropping-particle":"","parse-names":false,"suffix":""},{"dropping-particle":"","family":"Torp","given":"Tore A.","non-dropping-particle":"","parse-names":false,"suffix":""},{"dropping-particle":"","family":"Høier","given":"Lars","non-dropping-particle":"","parse-names":false,"suffix":""}],"container-title":"Energy Procedia","id":"ITEM-1","issued":{"date-parts":[["2011"]]},"page":"5541-5548","title":"Lessons Learned from 14 years of CCS Operations: Sleipner, In Salah and Snøhvit","type":"article-journal","volume":"4"},"uris":["http://www.mendeley.com/documents/?uuid=8a24de28-3ce3-4bd7-bc69-65d93389d7c8"]}],"mendeley":{"formattedCitation":"(Eiken et al., 2011)","plainTextFormattedCitation":"(Eiken et al., 2011)","previouslyFormattedCitation":"(Eiken et al., 2011)"},"properties":{"noteIndex":0},"schema":"https://github.com/citation-style-language/schema/raw/master/csl-citation.json"}</w:instrText>
      </w:r>
      <w:r w:rsidR="0064332A">
        <w:fldChar w:fldCharType="separate"/>
      </w:r>
      <w:r w:rsidR="00C01E2D" w:rsidRPr="00C01E2D">
        <w:rPr>
          <w:noProof/>
        </w:rPr>
        <w:t>(Eiken et al., 2011)</w:t>
      </w:r>
      <w:r w:rsidR="0064332A">
        <w:fldChar w:fldCharType="end"/>
      </w:r>
      <w:r w:rsidR="004759DE">
        <w:t>,</w:t>
      </w:r>
      <w:r w:rsidR="001A2820">
        <w:t xml:space="preserve"> and </w:t>
      </w:r>
      <w:r w:rsidR="006649AE">
        <w:t xml:space="preserve">there are </w:t>
      </w:r>
      <w:r w:rsidR="00D3640D">
        <w:t xml:space="preserve">plans for </w:t>
      </w:r>
      <w:r w:rsidR="001A2820">
        <w:t xml:space="preserve">other </w:t>
      </w:r>
      <w:r w:rsidR="006649AE">
        <w:t xml:space="preserve">CCS </w:t>
      </w:r>
      <w:r w:rsidR="001A2820">
        <w:t>initiatives such as the Northern Lights CCS</w:t>
      </w:r>
      <w:r w:rsidR="00040DCD">
        <w:t xml:space="preserve"> </w:t>
      </w:r>
      <w:r w:rsidR="006649AE">
        <w:t xml:space="preserve">project </w:t>
      </w:r>
      <w:r w:rsidR="00040DCD">
        <w:t xml:space="preserve">in Norway, the </w:t>
      </w:r>
      <w:proofErr w:type="spellStart"/>
      <w:r w:rsidR="00040DCD">
        <w:t>Porthos</w:t>
      </w:r>
      <w:proofErr w:type="spellEnd"/>
      <w:r w:rsidR="00040DCD">
        <w:t xml:space="preserve"> CCUS project in the Netherlands and the Net Zero </w:t>
      </w:r>
      <w:r w:rsidR="00453C43">
        <w:t>Teesside</w:t>
      </w:r>
      <w:r w:rsidR="00040DCD">
        <w:t xml:space="preserve"> project in </w:t>
      </w:r>
      <w:r w:rsidR="0050724F">
        <w:t>the UK</w:t>
      </w:r>
      <w:r w:rsidR="00D3640D">
        <w:t xml:space="preserve">, </w:t>
      </w:r>
      <w:r w:rsidR="00040DCD">
        <w:t xml:space="preserve">all </w:t>
      </w:r>
      <w:r w:rsidR="006649AE">
        <w:t xml:space="preserve">of which are </w:t>
      </w:r>
      <w:r w:rsidR="006F14A8">
        <w:t xml:space="preserve">at </w:t>
      </w:r>
      <w:r w:rsidR="00C7133F">
        <w:t>advanced stages of development</w:t>
      </w:r>
      <w:r w:rsidR="00040DCD">
        <w:t xml:space="preserve"> </w:t>
      </w:r>
      <w:r w:rsidR="00040DCD">
        <w:fldChar w:fldCharType="begin" w:fldLock="1"/>
      </w:r>
      <w:r w:rsidR="009D58AA">
        <w:instrText>ADDIN CSL_CITATION {"citationItems":[{"id":"ITEM-1","itemData":{"author":[{"dropping-particle":"","family":"Global CCS Institute","given":"","non-dropping-particle":"","parse-names":false,"suffix":""}],"id":"ITEM-1","issued":{"date-parts":[["2019"]]},"number-of-pages":"46","publisher-place":"Australia","title":"The Global Status of CCS: 2019","type":"report"},"uris":["http://www.mendeley.com/documents/?uuid=14c47142-c798-4540-92d5-29e51acce482"]}],"mendeley":{"formattedCitation":"(Global CCS Institute, 2019)","plainTextFormattedCitation":"(Global CCS Institute, 2019)","previouslyFormattedCitation":"(Global CCS Institute, 2019)"},"properties":{"noteIndex":0},"schema":"https://github.com/citation-style-language/schema/raw/master/csl-citation.json"}</w:instrText>
      </w:r>
      <w:r w:rsidR="00040DCD">
        <w:fldChar w:fldCharType="separate"/>
      </w:r>
      <w:r w:rsidR="00C01E2D" w:rsidRPr="00C01E2D">
        <w:rPr>
          <w:noProof/>
        </w:rPr>
        <w:t>(Global CCS Institute, 2019)</w:t>
      </w:r>
      <w:r w:rsidR="00040DCD">
        <w:fldChar w:fldCharType="end"/>
      </w:r>
      <w:r w:rsidR="001A2820">
        <w:t>. One of these initiatives is the Acorn project, which aim</w:t>
      </w:r>
      <w:r w:rsidR="006649AE">
        <w:t>s</w:t>
      </w:r>
      <w:r w:rsidR="001A2820">
        <w:t xml:space="preserve"> to design and implement a full-chain CCS system</w:t>
      </w:r>
      <w:r w:rsidR="00BE7EA3">
        <w:t>,</w:t>
      </w:r>
      <w:r w:rsidR="001A2820">
        <w:t xml:space="preserve"> at minimum capital cost of capture, transport and storage</w:t>
      </w:r>
      <w:r w:rsidR="00BE7EA3">
        <w:t>,</w:t>
      </w:r>
      <w:r w:rsidR="001A2820">
        <w:t xml:space="preserve"> by the early 2020s in the Central North Sea Basin</w:t>
      </w:r>
      <w:r w:rsidR="001A27D1">
        <w:t xml:space="preserve"> </w:t>
      </w:r>
      <w:r w:rsidR="001A27D1">
        <w:fldChar w:fldCharType="begin" w:fldLock="1"/>
      </w:r>
      <w:r w:rsidR="009228F4">
        <w:instrText xml:space="preserve">ADDIN CSL_CITATION {"citationItems":[{"id":"ITEM-1","itemData":{"author":[{"dropping-particle":"","family":"Heinemann","given":"N.","non-dropping-particle":"","parse-names":false,"suffix":""},{"dropping-particle":"","family":"Robertson","given":"H.","non-dropping-particle":"","parse-names":false,"suffix":""},{"dropping-particle":"","family":"Alcalde","given":"J.","non-dropping-particle":"","parse-names":false,"suffix":""},{"dropping-particle":"","family":"James","given":"A.","non-dropping-particle":"","parse-names":false,"suffix":""},{"dropping-particle":"","family":"Ghanbari","given":"S.","non-dropping-particle":"","parse-names":false,"suffix":""},{"dropping-particle":"","family":"Bond","given":"C.","non-dropping-particle":"","parse-names":false,"suffix":""},{"dropping-particle":"","family":"Faulkner","given":"D.","non-dropping-particle":"","parse-names":false,"suffix":""},{"dropping-particle":"","family":"Allen","given":"M.","non-dropping-particle":"","parse-names":false,"suffix":""},{"dropping-particle":"","family":"Mackay","given":"E.","non-dropping-particle":"","parse-names":false,"suffix":""},{"dropping-particle":"","family":"Haszeldine","given":"R S","non-dropping-particle":"","parse-names":false,"suffix":""}],"container-title":"14th Greenhouse Gas Control Technologies Conference Melbourne 21-26 October 2018 (GHGT-14)","id":"ITEM-1","issue":"October","issued":{"date-parts":[["2018"]]},"page":"8","title":"Applied risk and consequence analysis for CO 2 storage projects – the Captain X storage site, offshore UK (Acorn)","type":"paper-conference","volume":"44"},"uris":["http://www.mendeley.com/documents/?uuid=1148de62-63c0-4d32-b50f-91747d41684a"]},{"id":"ITEM-2","itemData":{"DOI":"10.1016/j.jclepro.2019.06.087","ISSN":"09596526","abstract":"Research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Production","id":"ITEM-2","issued":{"date-parts":[["2019","10"]]},"page":"963-971","title":"Acorn: Developing full-chain industrial carbon capture and storage in a resource- and infrastructure-rich hydrocarbon province","type":"article-journal","volume":"233"},"uris":["http://www.mendeley.com/documents/?uuid=70c6bc31-4949-4838-968e-534a31bbff9a"]},{"id":"ITEM-3","itemData":{"DOI":"10.1016/j.ijggc.2019.102923","ISSN":"17505836","abstract":"Extraction or injection of fluids within the subsurface causes fluctuations of fluid pressures and thus stress conditions. It is paramount to have knowledge of the geomechanical strength of a system's lithologies, and the factors that control it, in order to maintain optimal conditions during extraction/injection. If the yield strengths of the reservoir or caprock are overcome, particularly in the near-wellbore region where stress is amplified, these fluctuations could potentially compromise the system, through compactional or dilatational failure. Here we have used a novel combination of methods to determine the geomechanical and petrographic properties of the reservoir and caprock lithologies to assess suitability of the proposed Acorn CO2 Storage Site, offshore north-east Scotland, for long-term injection and storage of CO2. The Acorn CO2 Storage Site has a highly porous and transmissible sandstone reservoir, with bulk mineralogy that will be stable under CO2-rich conditions, making it ideal for receiving at least 152 MT CO2 injected over </w:instrText>
      </w:r>
      <w:r w:rsidR="009228F4">
        <w:rPr>
          <w:rFonts w:ascii="Cambria Math" w:hAnsi="Cambria Math" w:cs="Cambria Math"/>
        </w:rPr>
        <w:instrText>∼</w:instrText>
      </w:r>
      <w:r w:rsidR="009228F4">
        <w:instrText>20 years and storage of &gt;1000 years post-injection, as part of the ACT-Acorn Development Plan. However, due to the high porosity and low cementation of the sandstone reservoir, it has low yield strength and is vulnerable to disaggregation and porosity-reduction if injection rates are too high and stress/pressure conditions exceed their yield strength. The results presented here provide quantitative constraints on the porosity reduction expected should yield occur and place limits on CO2 injection rates. The shale caprock, with a high swelling clay content and very low permeability, present ideal Carbon Capture and Storage seal properties.","author":[{"dropping-particle":"","family":"Allen","given":"Michael J.","non-dropping-particle":"","parse-names":false,"suffix":""},{"dropping-particle":"","family":"Faulkner","given":"Daniel R.","non-dropping-particle":"","parse-names":false,"suffix":""},{"dropping-particle":"","family":"Worden","given":"Richard H.","non-dropping-particle":"","parse-names":false,"suffix":""},{"dropping-particle":"","family":"Rice-Birchall","given":"Elliot","non-dropping-particle":"","parse-names":false,"suffix":""},{"dropping-particle":"","family":"Katirtsidis","given":"Nikolaos","non-dropping-particle":"","parse-names":false,"suffix":""},{"dropping-particle":"","family":"Utley","given":"James E.P.","non-dropping-particle":"","parse-names":false,"suffix":""}],"container-title":"International Journal of Greenhouse Gas Control","id":"ITEM-3","issue":"December 2019","issued":{"date-parts":[["2020"]]},"page":"102923","publisher":"Elsevier","title":"Geomechanical and petrographic assessment of a CO2 storage site: Application to the Acorn CO2 Storage Site, offshore United Kingdom","type":"article-journal","volume":"94"},"uris":["http://www.mendeley.com/documents/?uuid=a76e0d57-2f08-45ad-b039-a865e921d012"]}],"mendeley":{"formattedCitation":"(Alcalde et al., 2019; Allen et al., 2020; Heinemann et al., 2018)","manualFormatting":"(Alcalde et al., 2019; Allen et al., 2020; Heinemann et al., 2018)","plainTextFormattedCitation":"(Alcalde et al., 2019; Allen et al., 2020; Heinemann et al., 2018)","previouslyFormattedCitation":"(Alcalde et al., 2019; Allen et al., 2020; Heinemann et al., 2018)"},"properties":{"noteIndex":0},"schema":"https://github.com/citation-style-language/schema/raw/master/csl-citation.json"}</w:instrText>
      </w:r>
      <w:r w:rsidR="001A27D1">
        <w:fldChar w:fldCharType="separate"/>
      </w:r>
      <w:r w:rsidR="00DC66C2" w:rsidRPr="004759DE">
        <w:rPr>
          <w:noProof/>
        </w:rPr>
        <w:t>(Alcalde et al., 2019; Allen et al., 2020; Heinemann et al., 2018)</w:t>
      </w:r>
      <w:r w:rsidR="001A27D1">
        <w:fldChar w:fldCharType="end"/>
      </w:r>
      <w:r w:rsidR="00D3640D" w:rsidRPr="004759DE">
        <w:t>.</w:t>
      </w:r>
      <w:r w:rsidR="001A2820" w:rsidRPr="004759DE">
        <w:t xml:space="preserve"> </w:t>
      </w:r>
      <w:r w:rsidR="00D3640D">
        <w:t>Acorn</w:t>
      </w:r>
      <w:r w:rsidR="001E1EFA">
        <w:t>, centred on the Lower Cretaceous Captain Sandstone fairway,</w:t>
      </w:r>
      <w:r w:rsidR="00D3640D">
        <w:t xml:space="preserve"> has been planned as a scalable project, </w:t>
      </w:r>
      <w:r w:rsidR="00040DCD">
        <w:t xml:space="preserve">to which additional sources of industrial </w:t>
      </w:r>
      <w:r w:rsidR="00040DCD" w:rsidRPr="00E01612">
        <w:rPr>
          <w:sz w:val="20"/>
        </w:rPr>
        <w:t>CO</w:t>
      </w:r>
      <w:r w:rsidR="00040DCD" w:rsidRPr="00E01612">
        <w:rPr>
          <w:sz w:val="20"/>
          <w:vertAlign w:val="subscript"/>
        </w:rPr>
        <w:t>2</w:t>
      </w:r>
      <w:r w:rsidR="00040DCD">
        <w:t xml:space="preserve"> can be added sequentially in build-out phases. </w:t>
      </w:r>
      <w:r w:rsidR="00A94FCE">
        <w:t xml:space="preserve">This drives the need </w:t>
      </w:r>
      <w:r w:rsidR="005F2445">
        <w:t>to</w:t>
      </w:r>
      <w:r w:rsidR="00A94FCE">
        <w:t xml:space="preserve"> find a second suitable site that can accommodate future expansion of the project.</w:t>
      </w:r>
    </w:p>
    <w:p w14:paraId="07918236" w14:textId="774B8F11" w:rsidR="0006693B" w:rsidRDefault="003F2B9F" w:rsidP="00CC4BCA">
      <w:pPr>
        <w:spacing w:after="120" w:line="276" w:lineRule="auto"/>
      </w:pPr>
      <w:r w:rsidRPr="00D15ABA">
        <w:t xml:space="preserve">This </w:t>
      </w:r>
      <w:r w:rsidR="00D67560" w:rsidRPr="00D15ABA">
        <w:t>paper</w:t>
      </w:r>
      <w:r w:rsidRPr="00D15ABA">
        <w:t xml:space="preserve"> </w:t>
      </w:r>
      <w:r w:rsidR="005B3F4F" w:rsidRPr="00D15ABA">
        <w:t>present</w:t>
      </w:r>
      <w:r w:rsidR="00040DCD" w:rsidRPr="00D15ABA">
        <w:t>s</w:t>
      </w:r>
      <w:r w:rsidR="005B3F4F" w:rsidRPr="00D15ABA">
        <w:t xml:space="preserve"> the methodology </w:t>
      </w:r>
      <w:r w:rsidR="0050724F" w:rsidRPr="00D15ABA">
        <w:t>developed for</w:t>
      </w:r>
      <w:r w:rsidR="005B3F4F" w:rsidRPr="00D15ABA">
        <w:t xml:space="preserve"> the selection of </w:t>
      </w:r>
      <w:r w:rsidR="00D67560" w:rsidRPr="00D15ABA">
        <w:t>a</w:t>
      </w:r>
      <w:r w:rsidR="001E1EFA">
        <w:t xml:space="preserve"> second</w:t>
      </w:r>
      <w:r w:rsidR="00D67560" w:rsidRPr="00D15ABA">
        <w:t xml:space="preserve"> CO</w:t>
      </w:r>
      <w:r w:rsidR="00D67560" w:rsidRPr="00D15ABA">
        <w:rPr>
          <w:vertAlign w:val="subscript"/>
        </w:rPr>
        <w:t>2</w:t>
      </w:r>
      <w:r w:rsidR="00D67560" w:rsidRPr="00D15ABA">
        <w:t xml:space="preserve"> storage</w:t>
      </w:r>
      <w:r w:rsidR="005B3F4F" w:rsidRPr="00D15ABA">
        <w:t xml:space="preserve"> </w:t>
      </w:r>
      <w:r w:rsidR="00D15ABA" w:rsidRPr="00D15ABA">
        <w:t xml:space="preserve">site </w:t>
      </w:r>
      <w:r w:rsidR="00D15ABA">
        <w:t xml:space="preserve">in the North Sea </w:t>
      </w:r>
      <w:r w:rsidR="005B3F4F" w:rsidRPr="00D15ABA">
        <w:t>for the Acorn CCS project</w:t>
      </w:r>
      <w:r w:rsidR="00DC66C2" w:rsidRPr="00D15ABA">
        <w:t xml:space="preserve">. </w:t>
      </w:r>
      <w:r w:rsidR="006649AE">
        <w:t xml:space="preserve">Here we present </w:t>
      </w:r>
      <w:r w:rsidR="00040DCD">
        <w:t xml:space="preserve">the selection of an appropriate </w:t>
      </w:r>
      <w:r w:rsidR="00040DCD" w:rsidRPr="00E01612">
        <w:rPr>
          <w:sz w:val="20"/>
        </w:rPr>
        <w:t>CO</w:t>
      </w:r>
      <w:r w:rsidR="00040DCD" w:rsidRPr="00E01612">
        <w:rPr>
          <w:sz w:val="20"/>
          <w:vertAlign w:val="subscript"/>
        </w:rPr>
        <w:t>2</w:t>
      </w:r>
      <w:r w:rsidR="00040DCD">
        <w:t xml:space="preserve"> storage site that satisf</w:t>
      </w:r>
      <w:r w:rsidR="006649AE">
        <w:t>ies</w:t>
      </w:r>
      <w:r w:rsidR="00040DCD">
        <w:t xml:space="preserve"> the need </w:t>
      </w:r>
      <w:r w:rsidR="00BE7EA3">
        <w:t xml:space="preserve">to have a backup storage site for </w:t>
      </w:r>
      <w:r w:rsidR="00040DCD">
        <w:t xml:space="preserve">the </w:t>
      </w:r>
      <w:r w:rsidR="00BE7EA3">
        <w:t xml:space="preserve">first phases of the </w:t>
      </w:r>
      <w:r w:rsidR="00040DCD">
        <w:t>Acorn project</w:t>
      </w:r>
      <w:r w:rsidR="006649AE">
        <w:t xml:space="preserve">, that can also be utilised for further storage as the </w:t>
      </w:r>
      <w:r w:rsidR="00BE7EA3">
        <w:t xml:space="preserve">Acorn </w:t>
      </w:r>
      <w:r w:rsidR="006649AE">
        <w:t xml:space="preserve">project </w:t>
      </w:r>
      <w:r w:rsidR="00040DCD">
        <w:t>upscale</w:t>
      </w:r>
      <w:r w:rsidR="006649AE">
        <w:t>s</w:t>
      </w:r>
      <w:r w:rsidR="00040DCD">
        <w:t>.</w:t>
      </w:r>
      <w:r w:rsidR="00EA3A16">
        <w:t xml:space="preserve"> This second site must </w:t>
      </w:r>
      <w:r w:rsidR="00C40FF3">
        <w:t xml:space="preserve">be geologically suitable and provide </w:t>
      </w:r>
      <w:r w:rsidR="00046883">
        <w:t xml:space="preserve">a </w:t>
      </w:r>
      <w:r w:rsidR="00C40FF3">
        <w:t xml:space="preserve">low-cost, </w:t>
      </w:r>
      <w:proofErr w:type="gramStart"/>
      <w:r w:rsidR="00C40FF3">
        <w:t>flexible</w:t>
      </w:r>
      <w:proofErr w:type="gramEnd"/>
      <w:r w:rsidR="00C40FF3">
        <w:t xml:space="preserve"> and scalable storage option for the Acorn project.</w:t>
      </w:r>
      <w:r w:rsidR="00040DCD">
        <w:t xml:space="preserve"> </w:t>
      </w:r>
      <w:proofErr w:type="gramStart"/>
      <w:r w:rsidR="005B3F4F" w:rsidRPr="00972203">
        <w:t>In spite of</w:t>
      </w:r>
      <w:proofErr w:type="gramEnd"/>
      <w:r w:rsidR="005B3F4F" w:rsidRPr="00972203">
        <w:t xml:space="preserve"> </w:t>
      </w:r>
      <w:r w:rsidR="00BE7EA3">
        <w:t>a</w:t>
      </w:r>
      <w:r w:rsidR="00BE7EA3" w:rsidRPr="00972203">
        <w:t xml:space="preserve"> </w:t>
      </w:r>
      <w:r w:rsidR="005B3F4F" w:rsidRPr="00972203">
        <w:t>variety of site selection methodologies published in</w:t>
      </w:r>
      <w:r w:rsidR="00D67560" w:rsidRPr="00972203">
        <w:t xml:space="preserve"> the</w:t>
      </w:r>
      <w:r w:rsidR="005B3F4F" w:rsidRPr="00972203">
        <w:t xml:space="preserve"> literature, </w:t>
      </w:r>
      <w:r w:rsidR="006649AE">
        <w:t>discuss</w:t>
      </w:r>
      <w:r w:rsidR="00BE7EA3">
        <w:t>ed later</w:t>
      </w:r>
      <w:r w:rsidR="005B3F4F" w:rsidRPr="00972203">
        <w:t>, a specific</w:t>
      </w:r>
      <w:r w:rsidR="001E6FB9" w:rsidRPr="00972203">
        <w:t xml:space="preserve"> </w:t>
      </w:r>
      <w:r w:rsidR="00636C4C">
        <w:t>criteria-driven workflow</w:t>
      </w:r>
      <w:r w:rsidR="00BE7EA3">
        <w:t>,</w:t>
      </w:r>
      <w:r w:rsidR="00636C4C" w:rsidRPr="00972203">
        <w:t xml:space="preserve"> </w:t>
      </w:r>
      <w:r w:rsidR="00BE7EA3">
        <w:t xml:space="preserve">that </w:t>
      </w:r>
      <w:r w:rsidR="00EC424E">
        <w:t>draw</w:t>
      </w:r>
      <w:r w:rsidR="00BE7EA3">
        <w:t>s</w:t>
      </w:r>
      <w:r w:rsidR="00EC424E">
        <w:t xml:space="preserve"> on </w:t>
      </w:r>
      <w:r w:rsidR="00636C4C">
        <w:t xml:space="preserve">learnings </w:t>
      </w:r>
      <w:r w:rsidR="00EC424E">
        <w:t>from other methodologies</w:t>
      </w:r>
      <w:r w:rsidR="00BE7EA3">
        <w:t>,</w:t>
      </w:r>
      <w:r w:rsidR="00EC424E">
        <w:t xml:space="preserve"> </w:t>
      </w:r>
      <w:r w:rsidR="001E6FB9" w:rsidRPr="00972203">
        <w:t xml:space="preserve">was </w:t>
      </w:r>
      <w:r w:rsidR="00BE7EA3">
        <w:t xml:space="preserve">here </w:t>
      </w:r>
      <w:r w:rsidR="001E6FB9" w:rsidRPr="00972203">
        <w:t>designed to fit the needs of the Acorn project</w:t>
      </w:r>
      <w:r w:rsidR="00D67560" w:rsidRPr="00972203">
        <w:t>.</w:t>
      </w:r>
    </w:p>
    <w:p w14:paraId="743D113A" w14:textId="77777777" w:rsidR="0006693B" w:rsidRPr="00972203" w:rsidRDefault="0006693B" w:rsidP="0006693B">
      <w:pPr>
        <w:pStyle w:val="Heading1"/>
        <w:rPr>
          <w:rStyle w:val="BookTitle"/>
          <w:rFonts w:ascii="Times New Roman" w:hAnsi="Times New Roman"/>
          <w:b/>
          <w:bCs w:val="0"/>
          <w:iCs w:val="0"/>
          <w:spacing w:val="0"/>
        </w:rPr>
      </w:pPr>
      <w:r w:rsidRPr="00972203">
        <w:rPr>
          <w:rStyle w:val="BookTitle"/>
          <w:rFonts w:ascii="Times New Roman" w:hAnsi="Times New Roman"/>
          <w:b/>
          <w:bCs w:val="0"/>
          <w:iCs w:val="0"/>
          <w:spacing w:val="0"/>
        </w:rPr>
        <w:t xml:space="preserve">The Acorn </w:t>
      </w:r>
      <w:proofErr w:type="gramStart"/>
      <w:r w:rsidRPr="00972203">
        <w:rPr>
          <w:rStyle w:val="BookTitle"/>
          <w:rFonts w:ascii="Times New Roman" w:hAnsi="Times New Roman"/>
          <w:b/>
          <w:bCs w:val="0"/>
          <w:iCs w:val="0"/>
          <w:spacing w:val="0"/>
        </w:rPr>
        <w:t>project</w:t>
      </w:r>
      <w:proofErr w:type="gramEnd"/>
    </w:p>
    <w:p w14:paraId="65CAE670" w14:textId="5FC7EC55" w:rsidR="0006693B" w:rsidRPr="005C47CB" w:rsidRDefault="00D15ABA" w:rsidP="00BE7EA3">
      <w:pPr>
        <w:rPr>
          <w:rFonts w:cstheme="minorHAnsi"/>
        </w:rPr>
      </w:pPr>
      <w:r w:rsidRPr="00D15ABA">
        <w:t>The Acorn project is a forerunner to become the first CCS commercial project developed on the UK Continental Shelf</w:t>
      </w:r>
      <w:r w:rsidR="00A96F73">
        <w:t>.</w:t>
      </w:r>
      <w:r w:rsidRPr="00D15ABA">
        <w:t xml:space="preserve"> </w:t>
      </w:r>
      <w:r w:rsidR="00A96F73">
        <w:t>I</w:t>
      </w:r>
      <w:r w:rsidRPr="00D15ABA">
        <w:t xml:space="preserve">t secured the first commercial CCS licence in the UK </w:t>
      </w:r>
      <w:r w:rsidRPr="00D15ABA">
        <w:fldChar w:fldCharType="begin" w:fldLock="1"/>
      </w:r>
      <w:r w:rsidR="009D58AA">
        <w:instrText>ADDIN CSL_CITATION {"citationItems":[{"id":"ITEM-1","itemData":{"URL":"https://www.ogauthority.co.uk/news-publications/news/2018/carbon-capture-storage-licence-awarded/","author":[{"dropping-particle":"","family":"OGA","given":"","non-dropping-particle":"","parse-names":false,"suffix":""}],"container-title":"UK Oil and Gas Authority","id":"ITEM-1","issued":{"date-parts":[["2018"]]},"title":"Carbon Capture Storage Licence Awarded","type":"webpage"},"uris":["http://www.mendeley.com/documents/?uuid=b524de48-efbf-404e-b365-9b1b57558141"]}],"mendeley":{"formattedCitation":"(OGA, 2018a)","plainTextFormattedCitation":"(OGA, 2018a)","previouslyFormattedCitation":"(OGA, 2018a)"},"properties":{"noteIndex":0},"schema":"https://github.com/citation-style-language/schema/raw/master/csl-citation.json"}</w:instrText>
      </w:r>
      <w:r w:rsidRPr="00D15ABA">
        <w:fldChar w:fldCharType="separate"/>
      </w:r>
      <w:r w:rsidR="00C01E2D" w:rsidRPr="00C01E2D">
        <w:rPr>
          <w:noProof/>
        </w:rPr>
        <w:t>(OGA, 2018a)</w:t>
      </w:r>
      <w:r w:rsidRPr="00D15ABA">
        <w:fldChar w:fldCharType="end"/>
      </w:r>
      <w:r w:rsidRPr="00D15ABA">
        <w:t xml:space="preserve"> and </w:t>
      </w:r>
      <w:r w:rsidR="004B3244">
        <w:t xml:space="preserve">its transportation infrastructure </w:t>
      </w:r>
      <w:r w:rsidRPr="00D15ABA">
        <w:t xml:space="preserve">has been listed </w:t>
      </w:r>
      <w:r w:rsidR="004B3244">
        <w:t>as</w:t>
      </w:r>
      <w:r w:rsidRPr="00D15ABA">
        <w:t xml:space="preserve"> the</w:t>
      </w:r>
      <w:r w:rsidR="004B3244">
        <w:t xml:space="preserve"> only</w:t>
      </w:r>
      <w:r w:rsidRPr="00D15ABA">
        <w:t xml:space="preserve"> European Commission’s Projects of Common Interest</w:t>
      </w:r>
      <w:r w:rsidR="004B3244">
        <w:t xml:space="preserve"> </w:t>
      </w:r>
      <w:r w:rsidR="00046883">
        <w:t xml:space="preserve">that </w:t>
      </w:r>
      <w:r w:rsidR="004B3244">
        <w:t>involv</w:t>
      </w:r>
      <w:r w:rsidR="00046883">
        <w:t>es</w:t>
      </w:r>
      <w:r w:rsidR="004B3244">
        <w:t xml:space="preserve"> CO</w:t>
      </w:r>
      <w:r w:rsidR="004B3244" w:rsidRPr="004B3244">
        <w:rPr>
          <w:vertAlign w:val="subscript"/>
        </w:rPr>
        <w:t>2</w:t>
      </w:r>
      <w:r w:rsidRPr="00D15ABA">
        <w:t>.</w:t>
      </w:r>
      <w:r>
        <w:t xml:space="preserve"> </w:t>
      </w:r>
      <w:r w:rsidR="0006693B" w:rsidRPr="00972203">
        <w:t xml:space="preserve">Acorn has been </w:t>
      </w:r>
      <w:r w:rsidR="00BE7EA3">
        <w:t>planned to start at</w:t>
      </w:r>
      <w:r w:rsidR="0006693B" w:rsidRPr="00972203">
        <w:t xml:space="preserve"> a small industrial scale site, but with the potential to expand and become a major hub for the development of a large-scale CCS network in eastern Scotland. In the initial stage of the project</w:t>
      </w:r>
      <w:r w:rsidR="00BE7EA3">
        <w:t>,</w:t>
      </w:r>
      <w:r w:rsidR="0006693B">
        <w:t xml:space="preserve"> </w:t>
      </w:r>
      <w:r w:rsidR="0006693B" w:rsidRPr="00972203">
        <w:t>CO</w:t>
      </w:r>
      <w:r w:rsidR="0006693B" w:rsidRPr="00972203">
        <w:rPr>
          <w:vertAlign w:val="subscript"/>
        </w:rPr>
        <w:t>2</w:t>
      </w:r>
      <w:r w:rsidR="0006693B" w:rsidRPr="00972203">
        <w:t xml:space="preserve"> will be captured from the St Fergus Gas Terminal, north of Aberdeen (UK), which is connected to three pipelines </w:t>
      </w:r>
      <w:r w:rsidR="00EF3720">
        <w:t xml:space="preserve">which are only a short way through their design </w:t>
      </w:r>
      <w:proofErr w:type="gramStart"/>
      <w:r w:rsidR="00EF3720">
        <w:t>life, and</w:t>
      </w:r>
      <w:proofErr w:type="gramEnd"/>
      <w:r w:rsidR="00EF3720">
        <w:t xml:space="preserve"> are unusually compliant for acid gas transport </w:t>
      </w:r>
      <w:r w:rsidR="0006693B" w:rsidRPr="00972203">
        <w:t>(the Atlantic, the Goldeneye, and the Miller Gas System</w:t>
      </w:r>
      <w:r w:rsidR="00B07D18">
        <w:t xml:space="preserve"> - MGS</w:t>
      </w:r>
      <w:r w:rsidR="0006693B" w:rsidRPr="00972203">
        <w:t>)</w:t>
      </w:r>
      <w:r w:rsidR="00EF3720">
        <w:t xml:space="preserve">. After re-purposing, </w:t>
      </w:r>
      <w:r w:rsidR="0006693B" w:rsidRPr="00972203">
        <w:t>CO</w:t>
      </w:r>
      <w:r w:rsidR="0006693B" w:rsidRPr="00972203">
        <w:rPr>
          <w:vertAlign w:val="subscript"/>
        </w:rPr>
        <w:t>2</w:t>
      </w:r>
      <w:r w:rsidR="0006693B" w:rsidRPr="00972203">
        <w:t xml:space="preserve"> </w:t>
      </w:r>
      <w:r w:rsidR="00EF3720">
        <w:t>is expected to</w:t>
      </w:r>
      <w:r w:rsidR="00EF3720" w:rsidRPr="00972203">
        <w:t xml:space="preserve"> </w:t>
      </w:r>
      <w:r w:rsidR="0006693B" w:rsidRPr="00972203">
        <w:t>be transported to offshore storage site</w:t>
      </w:r>
      <w:r w:rsidR="0006693B">
        <w:t>s</w:t>
      </w:r>
      <w:r w:rsidR="0006693B" w:rsidRPr="00972203">
        <w:t xml:space="preserve">. In future development stages, </w:t>
      </w:r>
      <w:r w:rsidR="00EF3720">
        <w:t xml:space="preserve">St Fergus may be connected to </w:t>
      </w:r>
      <w:r w:rsidR="00EF3720" w:rsidRPr="00972203">
        <w:t xml:space="preserve">Peterhead Harbour </w:t>
      </w:r>
      <w:r w:rsidR="00EF3720">
        <w:t>for shipping tanker import of CO</w:t>
      </w:r>
      <w:r w:rsidR="00EF3720" w:rsidRPr="00D25C4E">
        <w:rPr>
          <w:vertAlign w:val="subscript"/>
        </w:rPr>
        <w:t>2</w:t>
      </w:r>
      <w:r w:rsidR="00EF3720">
        <w:t xml:space="preserve">, </w:t>
      </w:r>
      <w:r w:rsidR="00EF3720" w:rsidRPr="00972203">
        <w:t xml:space="preserve">and </w:t>
      </w:r>
      <w:r w:rsidR="0006693B" w:rsidRPr="00972203">
        <w:t xml:space="preserve">the project can be upscaled by </w:t>
      </w:r>
      <w:r w:rsidR="0006693B">
        <w:t>connect</w:t>
      </w:r>
      <w:r w:rsidR="0006693B" w:rsidRPr="00972203">
        <w:t xml:space="preserve">ing </w:t>
      </w:r>
      <w:r w:rsidR="0006693B">
        <w:t xml:space="preserve">an </w:t>
      </w:r>
      <w:r w:rsidR="0006693B" w:rsidRPr="00972203">
        <w:t xml:space="preserve">additional </w:t>
      </w:r>
      <w:r w:rsidR="0006693B">
        <w:t>high</w:t>
      </w:r>
      <w:r w:rsidR="00BE7EA3">
        <w:t>-volume</w:t>
      </w:r>
      <w:r w:rsidR="0006693B">
        <w:t xml:space="preserve"> </w:t>
      </w:r>
      <w:r w:rsidR="0006693B" w:rsidRPr="00972203">
        <w:t>CO</w:t>
      </w:r>
      <w:r w:rsidR="0006693B" w:rsidRPr="00972203">
        <w:rPr>
          <w:vertAlign w:val="subscript"/>
        </w:rPr>
        <w:t>2</w:t>
      </w:r>
      <w:r w:rsidR="0006693B" w:rsidRPr="00972203">
        <w:t xml:space="preserve"> source via a redundant UK National Grid gas pipeline that connects Peterhead with the Grangemouth Industrial Complex in central Scotland</w:t>
      </w:r>
      <w:r w:rsidR="0006693B">
        <w:t xml:space="preserve"> </w:t>
      </w:r>
      <w:r w:rsidR="0006693B">
        <w:fldChar w:fldCharType="begin" w:fldLock="1"/>
      </w:r>
      <w:r w:rsidR="009D58AA">
        <w:instrText>ADDIN CSL_CITATION {"citationItems":[{"id":"ITEM-1","itemData":{"DOI":"10.1016/j.ijggc.2016.06.004","ISSN":"17505836","abstract":"The deployment of Carbon Capture and Storage (CCS) is recognised as critical to delivering deep decarbonisation of energy and industrial processes. CCS clusters, where multiple CO2 emitting sources share CO2 transport and storage infrastructures, offer cost savings and enable smaller sources to undertake CCS, which are unlikely to be capable of justifying a stand-alone transport and storage system. Scotland has a legacy of onshore and offshore pipelines, which transported methane from producing regions. These can be re-used to connect CO2 emitters to storage. Approximately 80% of large point-source CO2 emissions in Scotland are within 40 km of the Feeder 10 pipeline. Thirteen selected emitters are evaluated for potential CO2 capture volume, estimated capture project cost and cost of connection. Scenarios for sequential deployment show that Feeder 10 has capacity through known expansion potential for developments allowing capture volumes rising from 2 to 8 Mt yr−1 CO2.","author":[{"dropping-particle":"","family":"Brownsort","given":"Peter A.","non-dropping-particle":"","parse-names":false,"suffix":""},{"dropping-particle":"","family":"Scott","given":"Vivian","non-dropping-particle":"","parse-names":false,"suffix":""},{"dropping-particle":"","family":"Haszeldine","given":"R. Stuart","non-dropping-particle":"","parse-names":false,"suffix":""}],"container-title":"International Journal of Greenhouse Gas Control","id":"ITEM-1","issued":{"date-parts":[["2016"]]},"page":"130-138","publisher":"Elsevier Ltd","title":"Reducing costs of carbon capture and storage by shared reuse of existing pipeline—Case study of a CO2 capture cluster for industry and power in Scotland","type":"article-journal","volume":"52"},"uris":["http://www.mendeley.com/documents/?uuid=573612df-badd-4a09-b97c-13291f27078b"]}],"mendeley":{"formattedCitation":"(Brownsort et al., 2016)","plainTextFormattedCitation":"(Brownsort et al., 2016)","previouslyFormattedCitation":"(Brownsort et al., 2016)"},"properties":{"noteIndex":0},"schema":"https://github.com/citation-style-language/schema/raw/master/csl-citation.json"}</w:instrText>
      </w:r>
      <w:r w:rsidR="0006693B">
        <w:fldChar w:fldCharType="separate"/>
      </w:r>
      <w:r w:rsidR="00C01E2D" w:rsidRPr="00C01E2D">
        <w:rPr>
          <w:noProof/>
        </w:rPr>
        <w:t>(Brownsort et al., 2016)</w:t>
      </w:r>
      <w:r w:rsidR="0006693B">
        <w:fldChar w:fldCharType="end"/>
      </w:r>
      <w:r w:rsidR="0006693B" w:rsidRPr="00972203">
        <w:t>. This staged investment approach will provide CCS stakeholders across the North Sea regions with a window of opportunity to re</w:t>
      </w:r>
      <w:r w:rsidR="00BE7EA3">
        <w:t>-</w:t>
      </w:r>
      <w:r w:rsidR="0006693B" w:rsidRPr="00972203">
        <w:t xml:space="preserve">use </w:t>
      </w:r>
      <w:r w:rsidR="002107E1">
        <w:t xml:space="preserve">the abundant </w:t>
      </w:r>
      <w:r w:rsidR="0006693B" w:rsidRPr="00972203">
        <w:t xml:space="preserve">redundant offshore oil and gas infrastructure </w:t>
      </w:r>
      <w:r w:rsidR="00357A9E">
        <w:t xml:space="preserve">at the end of its productive life and </w:t>
      </w:r>
      <w:r w:rsidR="0006693B" w:rsidRPr="00972203">
        <w:t>before it is decommissioned</w:t>
      </w:r>
      <w:r w:rsidR="00357A9E">
        <w:t xml:space="preserve"> </w:t>
      </w:r>
      <w:r w:rsidR="002107E1">
        <w:fldChar w:fldCharType="begin" w:fldLock="1"/>
      </w:r>
      <w:r w:rsidR="009D58AA">
        <w:instrText>ADDIN CSL_CITATION {"citationItems":[{"id":"ITEM-1","itemData":{"author":[{"dropping-particle":"","family":"OGA","given":"","non-dropping-particle":"","parse-names":false,"suffix":""}],"id":"ITEM-1","issued":{"date-parts":[["2018"]]},"number-of-pages":"34","title":"UKCS Decommissioning 2018 Cost Estimate Report","type":"report"},"uris":["http://www.mendeley.com/documents/?uuid=1e885e08-ce0c-4b0e-901d-02a168a4e015"]},{"id":"ITEM-2","itemData":{"DOI":"10.1016/j.ijggc.2019.102788","ISSN":"17505836","abstract":"Co-production of methane and geothermal energy from produced subsurface brines with onsite power generation and carbon capture has been proposed as a technically feasible means to reduce the costs of offshore carbon storage sites. In such a facility, methane is degassed from produced brine, this brine is then cooled allowing the extraction of heat and then CO2 is dissolved into it for reinjection into a porous rock formation. Once injected into the porous reservoir formation, this CO2-loaded brine will sink due to its relatively higher density, providing secure storage. Here, for the first time, we investigate, the economic feasibility and energy balance of such a system within the UK North Sea. We examine the suitability of a depleted hydrocarbon field coupled with a saline formation located in the Inner Moray Firth, Scotland. We find that such a system would be highly likely to have a positive energy balance, and would be an order of magnitude cheaper that decommissioning. Furthermore, as only 10% of the site's storage capacity is needed for disposal of the CO2 emissions associated with its operation, there is significant potential for additional revenue creation from storing CO2 from other sources. Whilst the chosen case study site was not ideal, due to its relatively shallow depth, and hence lower than ideal heat potential, it demonstrates that reuse of redundant oil &amp; gas infrastructure that would otherwise be decommissioned could help to offset some of the financial barriers to developing a carbon storage industry in the UK North Sea.","author":[{"dropping-particle":"","family":"Scafidi","given":"Jonathan","non-dropping-particle":"","parse-names":false,"suffix":""},{"dropping-particle":"","family":"Gilfillan","given":"Stuart M.V.","non-dropping-particle":"","parse-names":false,"suffix":""}],"container-title":"International Journal of Greenhouse Gas Control","id":"ITEM-2","issue":"July","issued":{"date-parts":[["2019"]]},"page":"102788","publisher":"Elsevier","title":"Offsetting Carbon Capture and Storage costs with methane and geothermal energy production through reuse of a depleted hydrocarbon field coupled with a saline aquifer","type":"article-journal","volume":"90"},"uris":["http://www.mendeley.com/documents/?uuid=f03d0732-2963-4391-ae9d-0a95b916adcb"]}],"mendeley":{"formattedCitation":"(OGA, 2018b; Scafidi and Gilfillan, 2019)","plainTextFormattedCitation":"(OGA, 2018b; Scafidi and Gilfillan, 2019)","previouslyFormattedCitation":"(OGA, 2018b; Scafidi and Gilfillan, 2019)"},"properties":{"noteIndex":0},"schema":"https://github.com/citation-style-language/schema/raw/master/csl-citation.json"}</w:instrText>
      </w:r>
      <w:r w:rsidR="002107E1">
        <w:fldChar w:fldCharType="separate"/>
      </w:r>
      <w:r w:rsidR="00C01E2D" w:rsidRPr="00C01E2D">
        <w:rPr>
          <w:noProof/>
        </w:rPr>
        <w:t>(OGA, 2018b; Scafidi and Gilfillan, 2019)</w:t>
      </w:r>
      <w:r w:rsidR="002107E1">
        <w:fldChar w:fldCharType="end"/>
      </w:r>
      <w:r w:rsidR="0006693B" w:rsidRPr="00972203">
        <w:t xml:space="preserve">. </w:t>
      </w:r>
      <w:r w:rsidR="0006693B" w:rsidRPr="005C47CB">
        <w:rPr>
          <w:rFonts w:cstheme="minorHAnsi"/>
        </w:rPr>
        <w:t>Critically, this infrastructure re-use has been identified as an important source of</w:t>
      </w:r>
      <w:r w:rsidR="0006693B">
        <w:rPr>
          <w:rFonts w:cstheme="minorHAnsi"/>
        </w:rPr>
        <w:t xml:space="preserve"> capital </w:t>
      </w:r>
      <w:r w:rsidR="0006693B" w:rsidRPr="005C47CB">
        <w:rPr>
          <w:rFonts w:cstheme="minorHAnsi"/>
        </w:rPr>
        <w:t>cost reductio</w:t>
      </w:r>
      <w:r w:rsidR="0006693B">
        <w:rPr>
          <w:rFonts w:cstheme="minorHAnsi"/>
        </w:rPr>
        <w:t xml:space="preserve">n, which is needed to develop an economically viable CCS </w:t>
      </w:r>
      <w:r w:rsidR="0006693B" w:rsidRPr="005C47CB">
        <w:rPr>
          <w:rFonts w:cstheme="minorHAnsi"/>
        </w:rPr>
        <w:t>industry in the North Sea region</w:t>
      </w:r>
      <w:r w:rsidR="00DC6260">
        <w:rPr>
          <w:rFonts w:cstheme="minorHAnsi"/>
        </w:rPr>
        <w:t xml:space="preserve"> </w:t>
      </w:r>
      <w:r w:rsidR="00DC6260">
        <w:rPr>
          <w:rFonts w:cstheme="minorHAnsi"/>
        </w:rPr>
        <w:fldChar w:fldCharType="begin" w:fldLock="1"/>
      </w:r>
      <w:r w:rsidR="009228F4">
        <w:rPr>
          <w:rFonts w:cstheme="minorHAnsi"/>
        </w:rPr>
        <w:instrText>ADDIN CSL_CITATION {"citationItems":[{"id":"ITEM-1","itemData":{"DOI":"10.1016/j.jclepro.2019.06.087","ISSN":"09596526","abstract":"Research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Production","id":"ITEM-1","issued":{"date-parts":[["2019","10"]]},"page":"963-971","title":"Acorn: Developing full-chain industrial carbon capture and storage in a resource- and infrastructure-rich hydrocarbon province","type":"article-journal","volume":"233"},"uris":["http://www.mendeley.com/documents/?uuid=70c6bc31-4949-4838-968e-534a31bbff9a"]}],"mendeley":{"formattedCitation":"(Alcalde et al., 2019)","plainTextFormattedCitation":"(Alcalde et al., 2019)","previouslyFormattedCitation":"(Alcalde et al., 2019)"},"properties":{"noteIndex":0},"schema":"https://github.com/citation-style-language/schema/raw/master/csl-citation.json"}</w:instrText>
      </w:r>
      <w:r w:rsidR="00DC6260">
        <w:rPr>
          <w:rFonts w:cstheme="minorHAnsi"/>
        </w:rPr>
        <w:fldChar w:fldCharType="separate"/>
      </w:r>
      <w:r w:rsidR="00C01E2D" w:rsidRPr="00C01E2D">
        <w:rPr>
          <w:rFonts w:cstheme="minorHAnsi"/>
          <w:noProof/>
        </w:rPr>
        <w:t>(Alcalde et al., 2019)</w:t>
      </w:r>
      <w:r w:rsidR="00DC6260">
        <w:rPr>
          <w:rFonts w:cstheme="minorHAnsi"/>
        </w:rPr>
        <w:fldChar w:fldCharType="end"/>
      </w:r>
      <w:r w:rsidR="008C428B">
        <w:rPr>
          <w:rFonts w:cstheme="minorHAnsi"/>
        </w:rPr>
        <w:t>.</w:t>
      </w:r>
      <w:r w:rsidR="0006693B">
        <w:rPr>
          <w:rFonts w:cstheme="minorHAnsi"/>
        </w:rPr>
        <w:t xml:space="preserve"> </w:t>
      </w:r>
      <w:r w:rsidR="00BE7EA3">
        <w:rPr>
          <w:rFonts w:cstheme="minorHAnsi"/>
        </w:rPr>
        <w:t>It is expected that this will s</w:t>
      </w:r>
      <w:r w:rsidR="0006693B" w:rsidRPr="005C47CB">
        <w:rPr>
          <w:rFonts w:cstheme="minorHAnsi"/>
        </w:rPr>
        <w:t>park the creation of a CCS</w:t>
      </w:r>
      <w:r w:rsidR="0006693B">
        <w:rPr>
          <w:rFonts w:cstheme="minorHAnsi"/>
        </w:rPr>
        <w:t xml:space="preserve"> industry in the North Sea region</w:t>
      </w:r>
      <w:r w:rsidR="00DB6101">
        <w:rPr>
          <w:rFonts w:cstheme="minorHAnsi"/>
        </w:rPr>
        <w:t xml:space="preserve"> </w:t>
      </w:r>
      <w:r w:rsidR="00DB6101">
        <w:rPr>
          <w:rFonts w:cstheme="minorHAnsi"/>
        </w:rPr>
        <w:fldChar w:fldCharType="begin" w:fldLock="1"/>
      </w:r>
      <w:r w:rsidR="009D58AA">
        <w:rPr>
          <w:rFonts w:cstheme="minorHAnsi"/>
        </w:rPr>
        <w:instrText>ADDIN CSL_CITATION {"citationItems":[{"id":"ITEM-1","itemData":{"author":[{"dropping-particle":"","family":"Gross","given":"Robert","non-dropping-particle":"","parse-names":false,"suffix":""}],"id":"ITEM-1","issued":{"date-parts":[["2015"]]},"number-of-pages":"23","title":"Approaches to cost reduction in carbon capture and storage and offshore wind","type":"report"},"uris":["http://www.mendeley.com/documents/?uuid=1158076e-20de-4e30-b570-b072828e2bb2"]}],"mendeley":{"formattedCitation":"(Gross, 2015)","plainTextFormattedCitation":"(Gross, 2015)","previouslyFormattedCitation":"(Gross, 2015)"},"properties":{"noteIndex":0},"schema":"https://github.com/citation-style-language/schema/raw/master/csl-citation.json"}</w:instrText>
      </w:r>
      <w:r w:rsidR="00DB6101">
        <w:rPr>
          <w:rFonts w:cstheme="minorHAnsi"/>
        </w:rPr>
        <w:fldChar w:fldCharType="separate"/>
      </w:r>
      <w:r w:rsidR="00C01E2D" w:rsidRPr="00C01E2D">
        <w:rPr>
          <w:rFonts w:cstheme="minorHAnsi"/>
          <w:noProof/>
        </w:rPr>
        <w:t>(Gross, 2015)</w:t>
      </w:r>
      <w:r w:rsidR="00DB6101">
        <w:rPr>
          <w:rFonts w:cstheme="minorHAnsi"/>
        </w:rPr>
        <w:fldChar w:fldCharType="end"/>
      </w:r>
      <w:r w:rsidR="0006693B">
        <w:rPr>
          <w:rFonts w:cstheme="minorHAnsi"/>
        </w:rPr>
        <w:t xml:space="preserve">, </w:t>
      </w:r>
      <w:r w:rsidR="00BE7EA3">
        <w:rPr>
          <w:rFonts w:cstheme="minorHAnsi"/>
        </w:rPr>
        <w:t xml:space="preserve">which </w:t>
      </w:r>
      <w:r w:rsidR="0006693B">
        <w:rPr>
          <w:rFonts w:cstheme="minorHAnsi"/>
        </w:rPr>
        <w:t xml:space="preserve">has the mutual potential benefits of delivering social justice for workers employed in the hydrocarbon industry during </w:t>
      </w:r>
      <w:r w:rsidR="00BE7EA3">
        <w:rPr>
          <w:rFonts w:cstheme="minorHAnsi"/>
        </w:rPr>
        <w:t xml:space="preserve">the expected </w:t>
      </w:r>
      <w:r w:rsidR="0006693B">
        <w:rPr>
          <w:rFonts w:cstheme="minorHAnsi"/>
        </w:rPr>
        <w:t xml:space="preserve">global energy transition, as well as </w:t>
      </w:r>
      <w:r w:rsidR="00BE7EA3">
        <w:rPr>
          <w:rFonts w:cstheme="minorHAnsi"/>
        </w:rPr>
        <w:t xml:space="preserve">delivering the means for </w:t>
      </w:r>
      <w:r w:rsidR="0006693B">
        <w:rPr>
          <w:rFonts w:cstheme="minorHAnsi"/>
        </w:rPr>
        <w:t>climate change mitigation</w:t>
      </w:r>
      <w:r w:rsidR="0052614B">
        <w:rPr>
          <w:rFonts w:cstheme="minorHAnsi"/>
        </w:rPr>
        <w:t xml:space="preserve"> </w:t>
      </w:r>
      <w:r w:rsidR="0052614B">
        <w:rPr>
          <w:rFonts w:cstheme="minorHAnsi"/>
        </w:rPr>
        <w:fldChar w:fldCharType="begin" w:fldLock="1"/>
      </w:r>
      <w:r w:rsidR="009D58AA">
        <w:rPr>
          <w:rFonts w:cstheme="minorHAnsi"/>
        </w:rPr>
        <w:instrText>ADDIN CSL_CITATION {"citationItems":[{"id":"ITEM-1","itemData":{"DOI":"10.1016/j.ijggc.2019.102903","ISSN":"17505836","abstract":"This paper assesses the role of carbon dioxide capture and storage (CCS) in addressing challenges in the energy transition in regions reliant on carbon-intensive industries for employment and as an economic base. The assessment is based on semi-structured interviews with relevant stakeholders and experts in the Aberdeen area in Scotland, the Rotterdam harbour (or Rijnmond) area in the Netherlands, and in Norway. The interviews explored challenges around the role of CCS in regional ‘just transitions’, or how to make the transformation of regions relying on carbon-intensive industries to a low-carbon society fair. While significant differences in responses between the Aberdeen area, the Rijnmond area and Norway were found, a common understanding showed that for CCS to contribute to a just transition it has to (a) make a contribution to climate change imperatives; (b) help to mitigate the economic and employment effects arising from declining or maturing industries; and (c) be undertaken in a manner that helps to redress (or at least does not increase) uneven vulnerabilities and inequalities in society. Five key themes that characterise the opportunities and challenges for CCS from a just transition perspective were drawn from the interviews: Skills for a just transition, transition as an opportunity, responsibility, scale of action and viability. We recommend that these are added to earlier work on barriers and enablers of CCS in areas relying on fossil industry.","author":[{"dropping-particle":"","family":"Swennenhuis","given":"Floris","non-dropping-particle":"","parse-names":false,"suffix":""},{"dropping-particle":"","family":"Mabon","given":"Leslie","non-dropping-particle":"","parse-names":false,"suffix":""},{"dropping-particle":"","family":"Flach","given":"Todd Allyn","non-dropping-particle":"","parse-names":false,"suffix":""},{"dropping-particle":"","family":"Coninck","given":"Heleen","non-dropping-particle":"de","parse-names":false,"suffix":""}],"container-title":"International Journal of Greenhouse Gas Control","id":"ITEM-1","issue":"October 2018","issued":{"date-parts":[["2020"]]},"page":"102903","publisher":"Elsevier","title":"What role for CCS in delivering just transitions? An evaluation in the North Sea region","type":"article-journal","volume":"94"},"uris":["http://www.mendeley.com/documents/?uuid=641073d7-989d-4b32-994a-fa232216941e"]}],"mendeley":{"formattedCitation":"(Swennenhuis et al., 2020)","plainTextFormattedCitation":"(Swennenhuis et al., 2020)","previouslyFormattedCitation":"(Swennenhuis et al., 2020)"},"properties":{"noteIndex":0},"schema":"https://github.com/citation-style-language/schema/raw/master/csl-citation.json"}</w:instrText>
      </w:r>
      <w:r w:rsidR="0052614B">
        <w:rPr>
          <w:rFonts w:cstheme="minorHAnsi"/>
        </w:rPr>
        <w:fldChar w:fldCharType="separate"/>
      </w:r>
      <w:r w:rsidR="00C01E2D" w:rsidRPr="00C01E2D">
        <w:rPr>
          <w:rFonts w:cstheme="minorHAnsi"/>
          <w:noProof/>
        </w:rPr>
        <w:t>(Swennenhuis et al., 2020)</w:t>
      </w:r>
      <w:r w:rsidR="0052614B">
        <w:rPr>
          <w:rFonts w:cstheme="minorHAnsi"/>
        </w:rPr>
        <w:fldChar w:fldCharType="end"/>
      </w:r>
      <w:r w:rsidR="0006693B" w:rsidRPr="005C47CB">
        <w:rPr>
          <w:rFonts w:cstheme="minorHAnsi"/>
        </w:rPr>
        <w:t>.</w:t>
      </w:r>
    </w:p>
    <w:p w14:paraId="5E04EAC9" w14:textId="22F1973D" w:rsidR="00EF48FF" w:rsidRDefault="0006693B" w:rsidP="00BE7EA3">
      <w:pPr>
        <w:rPr>
          <w:noProof/>
          <w:lang w:eastAsia="en-GB"/>
        </w:rPr>
      </w:pPr>
      <w:r w:rsidRPr="00972203">
        <w:t>The primary storage site of this project is the Acorn CO</w:t>
      </w:r>
      <w:r w:rsidRPr="00972203">
        <w:rPr>
          <w:vertAlign w:val="subscript"/>
        </w:rPr>
        <w:t>2</w:t>
      </w:r>
      <w:r w:rsidRPr="00972203">
        <w:t xml:space="preserve"> storage site, </w:t>
      </w:r>
      <w:r w:rsidR="00BE7EA3">
        <w:t xml:space="preserve">which is </w:t>
      </w:r>
      <w:r w:rsidRPr="00972203">
        <w:t>a</w:t>
      </w:r>
      <w:r w:rsidR="0052614B">
        <w:t xml:space="preserve">n approximately </w:t>
      </w:r>
      <w:r w:rsidRPr="00972203">
        <w:t>1</w:t>
      </w:r>
      <w:r>
        <w:t>,</w:t>
      </w:r>
      <w:r w:rsidRPr="00972203">
        <w:t>000 km</w:t>
      </w:r>
      <w:r w:rsidRPr="00515AA0">
        <w:rPr>
          <w:vertAlign w:val="superscript"/>
        </w:rPr>
        <w:t>2</w:t>
      </w:r>
      <w:r w:rsidRPr="00972203">
        <w:t xml:space="preserve"> portion of the </w:t>
      </w:r>
      <w:r w:rsidR="00736E99">
        <w:t xml:space="preserve">Lower Cretaceous </w:t>
      </w:r>
      <w:r w:rsidRPr="00972203">
        <w:t xml:space="preserve">Captain </w:t>
      </w:r>
      <w:r w:rsidR="00A94FCE">
        <w:t>S</w:t>
      </w:r>
      <w:r w:rsidR="00736E99">
        <w:t xml:space="preserve">andstone </w:t>
      </w:r>
      <w:r w:rsidRPr="00972203">
        <w:t>aquifer</w:t>
      </w:r>
      <w:r w:rsidR="00736E99">
        <w:t>,</w:t>
      </w:r>
      <w:r w:rsidRPr="00972203">
        <w:t xml:space="preserve"> located approximately 100 km </w:t>
      </w:r>
      <w:r>
        <w:t>off-shore</w:t>
      </w:r>
      <w:r w:rsidRPr="00972203">
        <w:t xml:space="preserve"> </w:t>
      </w:r>
      <w:r w:rsidR="00736E99">
        <w:t xml:space="preserve">from </w:t>
      </w:r>
      <w:r w:rsidRPr="00972203">
        <w:t>Aberdeen (UK) (Figure 1)</w:t>
      </w:r>
      <w:r>
        <w:t xml:space="preserve"> </w:t>
      </w:r>
      <w:r>
        <w:fldChar w:fldCharType="begin" w:fldLock="1"/>
      </w:r>
      <w:r w:rsidR="00CE765F">
        <w:instrText xml:space="preserve">ADDIN CSL_CITATION {"citationItems":[{"id":"ITEM-1","itemData":{"DOI":"10.1016/j.ijggc.2019.102923","ISSN":"17505836","abstract":"Extraction or injection of fluids within the subsurface causes fluctuations of fluid pressures and thus stress conditions. It is paramount to have knowledge of the geomechanical strength of a system's lithologies, and the factors that control it, in order to maintain optimal conditions during extraction/injection. If the yield strengths of the reservoir or caprock are overcome, particularly in the near-wellbore region where stress is amplified, these fluctuations could potentially compromise the system, through compactional or dilatational failure. Here we have used a novel combination of methods to determine the geomechanical and petrographic properties of the reservoir and caprock lithologies to assess suitability of the proposed Acorn CO2 Storage Site, offshore north-east Scotland, for long-term injection and storage of CO2. The Acorn CO2 Storage Site has a highly porous and transmissible sandstone reservoir, with bulk mineralogy that will be stable under CO2-rich conditions, making it ideal for receiving at least 152 MT CO2 injected over </w:instrText>
      </w:r>
      <w:r w:rsidR="00CE765F">
        <w:rPr>
          <w:rFonts w:ascii="Cambria Math" w:hAnsi="Cambria Math" w:cs="Cambria Math"/>
        </w:rPr>
        <w:instrText>∼</w:instrText>
      </w:r>
      <w:r w:rsidR="00CE765F">
        <w:instrText>20 years and storage of &gt;1000 years post-injection, as part of the ACT-Acorn Development Plan. However, due to the high porosity and low cementation of the sandstone reservoir, it has low yield strength and is vulnerable to disaggregation and porosity-reduction if injection rates are too high and stress/pressure conditions exceed their yield strength. The results presented here provide quantitative constraints on the porosity reduction expected should yield occur and place limits on CO2 injection rates. The shale caprock, with a high swelling clay content and very low permeability, present ideal Carbon Capture and Storage seal properties.","author":[{"dropping-particle":"","family":"Allen","given":"Michael J.","non-dropping-particle":"","parse-names":false,"suffix":""},{"dropping-particle":"","family":"Faulkner","given":"Daniel R.","non-dropping-particle":"","parse-names":false,"suffix":""},{"dropping-particle":"","family":"Worden","given":"Richard H.","non-dropping-particle":"","parse-names":false,"suffix":""},{"dropping-particle":"","family":"Rice-Birchall","given":"Elliot","non-dropping-particle":"","parse-names":false,"suffix":""},{"dropping-particle":"","family":"Katirtsidis","given":"Nikolaos","non-dropping-particle":"","parse-names":false,"suffix":""},{"dropping-particle":"","family":"Utley","given":"James E.P.","non-dropping-particle":"","parse-names":false,"suffix":""}],"container-title":"International Journal of Greenhouse Gas Control","id":"ITEM-1","issue":"December 2019","issued":{"date-parts":[["2020"]]},"page":"102923","publisher":"Elsevier","title":"Geomechanical and petrographic assessment of a CO2 storage site: Application to the Acorn CO2 Storage Site, offshore United Kingdom","type":"article-journal","volume":"94"},"uris":["http://www.mendeley.com/documents/?uuid=a76e0d57-2f08-45ad-b039-a865e921d012"]},{"id":"ITEM-2","itemData":{"DOI":"10.3390/min10080691","ISSN":"2075-163X","abstract":"Petroleum-rich basins at a mature stage of exploration and production offer many opportunities for large-scale Carbon Capture and Storage (CCS) since oil and gas were demonstrably contained by low-permeability top-sealing rocks, such as shales. For CCS to work, there must be effectively no leakage from the injection site, so the nature of the top-seal is an important aspect for consideration when appraising prospective CCS opportunities. The Lower Cretaceous Rodby Shale and the Palaeocene Lista Shale have acted as seals to oil and gas accumulations (e.g., the Atlantic and Balmoral fields) and may now play a critical role in sealing the Acorn and East Mey subsurface carbon storage sites. The characteristics of these important shales have been little addressed in the hydrocarbon extraction phase, with an understandable focus on reservoir properties and their influence on resource recovery rates. Here, we assess the characteristics of the Rodby and Lista Shales using wireline logs, geomechanical tests, special core analysis (mercury intrusion) and mineralogical and petrographic techniques, with the aim of highlighting key properties that identify them as suitable top-seals. The two shales, defined using the relative gamma log values (or Vshale), have similar mean pore throat radius (approximately 18 nm), splitting tensile strength (approximately 2.5 MPa) and anisotropic values of splitting tensile strength, but they display significant differences in terms of wireline log character, porosity and mineralogy. The Lower Cretaceous Rodby Shale has a mean porosity of approximately 14 %, a mean permeability of 263 nD (2.58 × 10−19 m2), and is calcite rich and has clay minerals that are relatively rich in non-radioactive phases such as kaolinite. The Palaeocene Lista Shale has a mean porosity of approximately 16% a mean permeability of 225 nD (2.21 × 10−19 m2), and is calcite free, but contains abundant quartz silt and is dominated by smectite. The 2% difference in porosity does not seem to equate to a significant difference in permeability. Elastic properties derived from wireline log data show that Young’s modulus, material stiffness, is very low (5 GPa) for the most shale (clay mineral)-rich Rodby intervals, with Young’s modulus increasing as shale content decreases and as cementation (e.g., calcite) increases. Our work has shown that Young’s modulus, which can be used to inform the likeliness of tensile failure, may be predictable based on routine gamma, dens…","author":[{"dropping-particle":"","family":"Worden","given":"Richard H.","non-dropping-particle":"","parse-names":false,"suffix":""},{"dropping-particle":"","family":"Allen","given":"Michael J.","non-dropping-particle":"","parse-names":false,"suffix":""},{"dropping-particle":"","family":"Faulkner","given":"Daniel R.","non-dropping-particle":"","parse-names":false,"suffix":""},{"dropping-particle":"","family":"Utley","given":"James E.P. P.","non-dropping-particle":"","parse-names":false,"suffix":""},{"dropping-particle":"","family":"Bond","given":"Clare E.","non-dropping-particle":"","parse-names":false,"suffix":""},{"dropping-particle":"","family":"Alcalde","given":"Juan","non-dropping-particle":"","parse-names":false,"suffix":""},{"dropping-particle":"","family":"Heinemann","given":"Niklas","non-dropping-particle":"","parse-names":false,"suffix":""},{"dropping-particle":"","family":"Haszeldine","given":"R. Stuart","non-dropping-particle":"","parse-names":false,"suffix":""},{"dropping-particle":"","family":"Mackay","given":"Eric J.","non-dropping-particle":"","parse-names":false,"suffix":""},{"dropping-particle":"","family":"Ghanbari","given":"Saeed","non-dropping-particle":"","parse-names":false,"suffix":""}],"container-title":"Minerals","id":"ITEM-2","issue":"8","issued":{"date-parts":[["2020","8"]]},"page":"691","title":"The Lower Cretaceous Rodby Shale and the Palaeocene Lista Shale: characterization and comparison of top-seal mudstones at two planned CCS sites, offshore UK","type":"article-journal","volume":"10"},"uris":["http://www.mendeley.com/documents/?uuid=bfcef226-3a19-425e-a1bd-72654521d49d"]}],"mendeley":{"formattedCitation":"(Allen et al., 2020; Worden et al., 2020)","plainTextFormattedCitation":"(Allen et al., 2020; Worden et al., 2020)","previouslyFormattedCitation":"(Allen et al., 2020; Worden et al., 2020)"},"properties":{"noteIndex":0},"schema":"https://github.com/citation-style-language/schema/raw/master/csl-citation.json"}</w:instrText>
      </w:r>
      <w:r>
        <w:fldChar w:fldCharType="separate"/>
      </w:r>
      <w:r w:rsidR="00C01E2D" w:rsidRPr="00C01E2D">
        <w:rPr>
          <w:noProof/>
        </w:rPr>
        <w:t>(Allen et al., 2020; Worden et al., 2020)</w:t>
      </w:r>
      <w:r>
        <w:fldChar w:fldCharType="end"/>
      </w:r>
      <w:r w:rsidRPr="00972203">
        <w:t xml:space="preserve">. The </w:t>
      </w:r>
      <w:r w:rsidR="00736E99">
        <w:t xml:space="preserve">Acorn </w:t>
      </w:r>
      <w:r w:rsidRPr="00972203">
        <w:t xml:space="preserve">site has </w:t>
      </w:r>
      <w:r w:rsidR="00736E99">
        <w:t>undergone</w:t>
      </w:r>
      <w:r w:rsidR="00736E99" w:rsidRPr="00972203">
        <w:t xml:space="preserve"> </w:t>
      </w:r>
      <w:r w:rsidRPr="00972203">
        <w:t>significant petroleum activity over the last decades</w:t>
      </w:r>
      <w:r>
        <w:t xml:space="preserve"> </w:t>
      </w:r>
      <w:r>
        <w:fldChar w:fldCharType="begin" w:fldLock="1"/>
      </w:r>
      <w:r w:rsidR="00CE765F">
        <w:instrText>ADDIN CSL_CITATION {"citationItems":[{"id":"ITEM-1","itemData":{"DOI":"10.1016/j.apenergy.2020.115634","ISSN":"03062619","author":[{"dropping-particle":"","family":"Ghanbari","given":"Saeed","non-dropping-particle":"","parse-names":false,"suffix":""},{"dropping-particle":"","family":"Mackay","given":"Eric J.","non-dropping-particle":"","parse-names":false,"suffix":""},{"dropping-particle":"","family":"Heinemann","given":"Niklas","non-dropping-particle":"","parse-names":false,"suffix":""},{"dropping-particle":"","family":"Alcalde","given":"Juan","non-dropping-particle":"","parse-names":false,"suffix":""},{"dropping-particle":"","family":"James","given":"Alan","non-dropping-particle":"","parse-names":false,"suffix":""},{"dropping-particle":"","family":"Allen","given":"Michael J.","non-dropping-particle":"","parse-names":false,"suffix":""}],"container-title":"Applied Energy","id":"ITEM-1","issue":"July","issued":{"date-parts":[["2020","11"]]},"page":"115634","publisher":"Elsevier Ltd","title":"Impact of CO2 Mixing with Trapped Hydrocarbons on CO2 Storage Capacity and Security in a Saline Aquifer – Case Study from the Captain Sandstone, Moray Firth, UK","type":"article-journal","volume":"278"},"uris":["http://www.mendeley.com/documents/?uuid=b9e16d47-a207-4e5e-8125-7b295a102cb2"]}],"mendeley":{"formattedCitation":"(Ghanbari et al., 2020)","plainTextFormattedCitation":"(Ghanbari et al., 2020)","previouslyFormattedCitation":"(Ghanbari et al., 2020)"},"properties":{"noteIndex":0},"schema":"https://github.com/citation-style-language/schema/raw/master/csl-citation.json"}</w:instrText>
      </w:r>
      <w:r>
        <w:fldChar w:fldCharType="separate"/>
      </w:r>
      <w:r w:rsidR="00C01E2D" w:rsidRPr="00C01E2D">
        <w:rPr>
          <w:noProof/>
        </w:rPr>
        <w:t>(Ghanbari et al., 2020)</w:t>
      </w:r>
      <w:r>
        <w:fldChar w:fldCharType="end"/>
      </w:r>
      <w:r w:rsidRPr="00972203">
        <w:t>. Different portions of this site ha</w:t>
      </w:r>
      <w:r>
        <w:t>ve</w:t>
      </w:r>
      <w:r w:rsidRPr="00972203">
        <w:t xml:space="preserve"> already been appraised in previous </w:t>
      </w:r>
      <w:r w:rsidR="00736E99">
        <w:t>studies</w:t>
      </w:r>
      <w:r w:rsidR="00736E99" w:rsidRPr="00972203">
        <w:t xml:space="preserve"> </w:t>
      </w:r>
      <w:r w:rsidRPr="00972203">
        <w:t xml:space="preserve">including the Strategic UK Carbon Capture and Storage Appraisal Project (SSAP) </w:t>
      </w:r>
      <w:r w:rsidRPr="00972203">
        <w:rPr>
          <w:noProof/>
        </w:rPr>
        <w:fldChar w:fldCharType="begin" w:fldLock="1"/>
      </w:r>
      <w:r w:rsidR="009D58AA">
        <w:rPr>
          <w:noProof/>
        </w:rPr>
        <w:instrText>ADDIN CSL_CITATION {"citationItems":[{"id":"ITEM-1","itemData":{"abstract":"There are up to 20 specific storage sites under the UK seabed that have the potential to store up to 78 GT of CO2","author":[{"dropping-particle":"","family":"Pale Blue Dot","given":"","non-dropping-particle":"","parse-names":false,"suffix":""},{"dropping-particle":"","family":"Axis Well Technology","given":"","non-dropping-particle":"","parse-names":false,"suffix":""}],"id":"ITEM-1","issue":"April 2016","issued":{"date-parts":[["2016"]]},"number-of-pages":"48","title":"A Summary of Results from the Strategic UK CO2 Storage Appraisal Project, funded by DECC","type":"report"},"uris":["http://www.mendeley.com/documents/?uuid=e8a970db-f74f-4997-adb9-7b3619665eff"]}],"mendeley":{"formattedCitation":"(Pale Blue Dot and Axis Well Technology, 2016)","plainTextFormattedCitation":"(Pale Blue Dot and Axis Well Technology, 2016)","previouslyFormattedCitation":"(Pale Blue Dot and Axis Well Technology, 2016)"},"properties":{"noteIndex":0},"schema":"https://github.com/citation-style-language/schema/raw/master/csl-citation.json"}</w:instrText>
      </w:r>
      <w:r w:rsidRPr="00972203">
        <w:rPr>
          <w:noProof/>
        </w:rPr>
        <w:fldChar w:fldCharType="separate"/>
      </w:r>
      <w:r w:rsidR="00C01E2D" w:rsidRPr="00C01E2D">
        <w:rPr>
          <w:noProof/>
        </w:rPr>
        <w:t>(Pale Blue Dot and Axis Well Technology, 2016)</w:t>
      </w:r>
      <w:r w:rsidRPr="00972203">
        <w:rPr>
          <w:noProof/>
        </w:rPr>
        <w:fldChar w:fldCharType="end"/>
      </w:r>
      <w:r w:rsidRPr="00972203">
        <w:t xml:space="preserve">, the Goldeneye storage project </w:t>
      </w:r>
      <w:r w:rsidRPr="00972203">
        <w:rPr>
          <w:noProof/>
        </w:rPr>
        <w:fldChar w:fldCharType="begin" w:fldLock="1"/>
      </w:r>
      <w:r w:rsidR="009D58AA">
        <w:rPr>
          <w:noProof/>
        </w:rPr>
        <w:instrText>ADDIN CSL_CITATION {"citationItems":[{"id":"ITEM-1","itemData":{"DOI":"10.1016/j.egypro.2017.03.1880","ISSN":"18766102","abstract":"The Peterhead CCS project was expected to be the first full chain gas CCS project in the world. It planned to capture 1 Mtpa from the Peterhead CCGT power station on the north east coast of Scotland and store the CO2 offshore, reusing existing infrastructure from the depleted Goldeneye gas field. The project was very advanced when cancelled and had submitted the Storage Permit Application to the UK regulatory authorities who had sent it on to the European Commission for their review. The development of the permit was facilitated by a collaborative approach to working alongside the UK Regulator. An additional verification step was included in the form of an Independent External Review from the British Geological Survey (BGS) and Herriot Watt University (HWU). The EU commission provided an opinion that the permit fulfilled the requirements of the CCS directive, as long as two changes were made to the Environmental Statement and the period over which financial security was calculated. This positive result indicated that the final application was good, however, the project team feels that they could have been more effective in some areas of its development. Two areas of improvement were: the process of developing the financial security provision, which took longer than expected; and being more effective in working with multiple regulator teams in order to address the integrated containment assessment and monitoring plans required for CO2 storage under the UK regulations and the EU directive. All in all the process of developing a Storage Permit Application under the UK transposition of the EU directive was found to be moderately straight forward and the close collaboration with the regulator added significant value. If the project team were to start again knowing what they know now it would have been possible to focus the technical work earlier on the requirements of Storage Permit award conditions. It is hoped that by sharing the Goldeneye experience that other projects can soon follow suit.","author":[{"dropping-particle":"","family":"Tucker","given":"Owain","non-dropping-particle":"","parse-names":false,"suffix":""},{"dropping-particle":"","family":"Tinios","given":"Lynsey","non-dropping-particle":"","parse-names":false,"suffix":""}],"container-title":"Energy Procedia","id":"ITEM-1","issue":"November 2016","issued":{"date-parts":[["2017"]]},"page":"7466-7479","publisher":"Shell Global Solutions (UK)","title":"Experience in Developing the Goldeneye Storage Permit Application","type":"article-journal","volume":"114"},"uris":["http://www.mendeley.com/documents/?uuid=62d293ef-8566-4ed4-9264-e17f9a449e8e"]}],"mendeley":{"formattedCitation":"(Tucker and Tinios, 2017)","plainTextFormattedCitation":"(Tucker and Tinios, 2017)","previouslyFormattedCitation":"(Tucker and Tinios, 2017)"},"properties":{"noteIndex":0},"schema":"https://github.com/citation-style-language/schema/raw/master/csl-citation.json"}</w:instrText>
      </w:r>
      <w:r w:rsidRPr="00972203">
        <w:rPr>
          <w:noProof/>
        </w:rPr>
        <w:fldChar w:fldCharType="separate"/>
      </w:r>
      <w:r w:rsidR="00C01E2D" w:rsidRPr="00C01E2D">
        <w:rPr>
          <w:noProof/>
        </w:rPr>
        <w:t>(Tucker and Tinios, 2017)</w:t>
      </w:r>
      <w:r w:rsidRPr="00972203">
        <w:rPr>
          <w:noProof/>
        </w:rPr>
        <w:fldChar w:fldCharType="end"/>
      </w:r>
      <w:r w:rsidRPr="00972203">
        <w:t xml:space="preserve"> and the Multistore project </w:t>
      </w:r>
      <w:r w:rsidRPr="00972203">
        <w:rPr>
          <w:noProof/>
        </w:rPr>
        <w:fldChar w:fldCharType="begin" w:fldLock="1"/>
      </w:r>
      <w:r w:rsidR="009D58AA">
        <w:rPr>
          <w:noProof/>
        </w:rPr>
        <w:instrText>ADDIN CSL_CITATION {"citationItems":[{"id":"ITEM-1","itemData":{"ISBN":"9780852728529","author":[{"dropping-particle":"","family":"Shell","given":"","non-dropping-particle":"","parse-names":false,"suffix":""},{"dropping-particle":"","family":"The Crown Estate","given":"","non-dropping-particle":"","parse-names":false,"suffix":""},{"dropping-particle":"","family":"Scottish Government","given":"","non-dropping-particle":"","parse-names":false,"suffix":""},{"dropping-particle":"","family":"Scottish Enterprise","given":"","non-dropping-particle":"","parse-names":false,"suffix":""},{"dropping-particle":"","family":"Vattenfall","given":"","non-dropping-particle":"","parse-names":false,"suffix":""}],"id":"ITEM-1","issue":"September","issued":{"date-parts":[["2015"]]},"title":"CO2Multistore: Optimising CO2 storage in geological formations; a case study offshore Scotland.","type":"report"},"uris":["http://www.mendeley.com/documents/?uuid=f48f481b-18f7-495e-ac7a-eb86654832b2"]}],"mendeley":{"formattedCitation":"(Shell et al., 2015)","plainTextFormattedCitation":"(Shell et al., 2015)","previouslyFormattedCitation":"(Shell et al., 2015)"},"properties":{"noteIndex":0},"schema":"https://github.com/citation-style-language/schema/raw/master/csl-citation.json"}</w:instrText>
      </w:r>
      <w:r w:rsidRPr="00972203">
        <w:rPr>
          <w:noProof/>
        </w:rPr>
        <w:fldChar w:fldCharType="separate"/>
      </w:r>
      <w:r w:rsidR="00C01E2D" w:rsidRPr="00C01E2D">
        <w:rPr>
          <w:noProof/>
        </w:rPr>
        <w:t>(Shell et al., 2015)</w:t>
      </w:r>
      <w:r w:rsidRPr="00972203">
        <w:rPr>
          <w:noProof/>
        </w:rPr>
        <w:fldChar w:fldCharType="end"/>
      </w:r>
      <w:r w:rsidRPr="00972203">
        <w:t xml:space="preserve">, which </w:t>
      </w:r>
      <w:r w:rsidR="00736E99">
        <w:t>all concluded that</w:t>
      </w:r>
      <w:r w:rsidRPr="00972203">
        <w:t xml:space="preserve"> the site </w:t>
      </w:r>
      <w:r w:rsidR="00736E99">
        <w:t>is</w:t>
      </w:r>
      <w:r w:rsidRPr="00972203">
        <w:t xml:space="preserve"> highly suitable for the injection and long-term storage of CO</w:t>
      </w:r>
      <w:r w:rsidRPr="00972203">
        <w:rPr>
          <w:vertAlign w:val="subscript"/>
        </w:rPr>
        <w:t>2</w:t>
      </w:r>
      <w:r w:rsidR="0052614B" w:rsidRPr="0052614B">
        <w:t xml:space="preserve">. </w:t>
      </w:r>
      <w:r w:rsidRPr="00972203">
        <w:t xml:space="preserve">The potential for re-use of </w:t>
      </w:r>
      <w:r w:rsidR="00EF3720">
        <w:t>three re-purposed</w:t>
      </w:r>
      <w:r w:rsidR="00EF3720" w:rsidRPr="00972203">
        <w:t xml:space="preserve"> </w:t>
      </w:r>
      <w:r w:rsidR="00EF48FF">
        <w:t>p</w:t>
      </w:r>
      <w:r w:rsidRPr="00972203">
        <w:t>ipelines and the high</w:t>
      </w:r>
      <w:r>
        <w:t>-</w:t>
      </w:r>
      <w:r w:rsidRPr="00972203">
        <w:t xml:space="preserve">quality reservoir characteristics of the Captain Sandstone provide a cost-effective, readily available storage site that could host </w:t>
      </w:r>
      <w:r w:rsidR="00357A9E">
        <w:t>in excess of</w:t>
      </w:r>
      <w:r w:rsidRPr="00972203">
        <w:t xml:space="preserve"> 15</w:t>
      </w:r>
      <w:r w:rsidR="00357A9E">
        <w:t>0</w:t>
      </w:r>
      <w:r w:rsidRPr="00972203">
        <w:t xml:space="preserve"> Mt </w:t>
      </w:r>
      <w:r w:rsidR="0052614B" w:rsidRPr="00D25C4E">
        <w:rPr>
          <w:sz w:val="20"/>
        </w:rPr>
        <w:t>CO</w:t>
      </w:r>
      <w:r w:rsidR="0052614B" w:rsidRPr="00D25C4E">
        <w:rPr>
          <w:sz w:val="20"/>
          <w:vertAlign w:val="subscript"/>
        </w:rPr>
        <w:t>2</w:t>
      </w:r>
      <w:r w:rsidR="0052614B">
        <w:rPr>
          <w:vertAlign w:val="subscript"/>
        </w:rPr>
        <w:t xml:space="preserve"> </w:t>
      </w:r>
      <w:r w:rsidR="0052614B">
        <w:rPr>
          <w:vertAlign w:val="subscript"/>
        </w:rPr>
        <w:fldChar w:fldCharType="begin" w:fldLock="1"/>
      </w:r>
      <w:r w:rsidR="009D58AA">
        <w:rPr>
          <w:vertAlign w:val="subscript"/>
        </w:rPr>
        <w:instrText>ADDIN CSL_CITATION {"citationItems":[{"id":"ITEM-1","itemData":{"abstract":"There are up to 20 specific storage sites under the UK seabed that have the potential to store up to 78 GT of CO2","author":[{"dropping-particle":"","family":"Pale Blue Dot","given":"","non-dropping-particle":"","parse-names":false,"suffix":""},{"dropping-particle":"","family":"Axis Well Technology","given":"","non-dropping-particle":"","parse-names":false,"suffix":""}],"id":"ITEM-1","issue":"April 2016","issued":{"date-parts":[["2016"]]},"number-of-pages":"48","title":"A Summary of Results from the Strategic UK CO2 Storage Appraisal Project, funded by DECC","type":"report"},"uris":["http://www.mendeley.com/documents/?uuid=e8a970db-f74f-4997-adb9-7b3619665eff"]}],"mendeley":{"formattedCitation":"(Pale Blue Dot and Axis Well Technology, 2016)","plainTextFormattedCitation":"(Pale Blue Dot and Axis Well Technology, 2016)","previouslyFormattedCitation":"(Pale Blue Dot and Axis Well Technology, 2016)"},"properties":{"noteIndex":0},"schema":"https://github.com/citation-style-language/schema/raw/master/csl-citation.json"}</w:instrText>
      </w:r>
      <w:r w:rsidR="0052614B">
        <w:rPr>
          <w:vertAlign w:val="subscript"/>
        </w:rPr>
        <w:fldChar w:fldCharType="separate"/>
      </w:r>
      <w:r w:rsidR="00C01E2D" w:rsidRPr="00C01E2D">
        <w:rPr>
          <w:noProof/>
        </w:rPr>
        <w:t>(Pale Blue Dot and Axis Well Technology, 2016)</w:t>
      </w:r>
      <w:r w:rsidR="0052614B">
        <w:rPr>
          <w:vertAlign w:val="subscript"/>
        </w:rPr>
        <w:fldChar w:fldCharType="end"/>
      </w:r>
      <w:r w:rsidRPr="00972203">
        <w:t>.</w:t>
      </w:r>
    </w:p>
    <w:p w14:paraId="1F0A40DA" w14:textId="77777777" w:rsidR="00EF48FF" w:rsidRPr="00972203" w:rsidRDefault="00EF48FF" w:rsidP="00EF48FF">
      <w:pPr>
        <w:keepNext/>
        <w:spacing w:after="120" w:line="276" w:lineRule="auto"/>
        <w:jc w:val="center"/>
      </w:pPr>
      <w:r w:rsidRPr="00972203">
        <w:rPr>
          <w:noProof/>
          <w:lang w:eastAsia="en-GB"/>
        </w:rPr>
        <w:lastRenderedPageBreak/>
        <w:drawing>
          <wp:inline distT="0" distB="0" distL="0" distR="0" wp14:anchorId="66D0BEEE" wp14:editId="2CD96841">
            <wp:extent cx="4913194" cy="3166187"/>
            <wp:effectExtent l="0" t="0" r="190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52292" cy="3191382"/>
                    </a:xfrm>
                    <a:prstGeom prst="rect">
                      <a:avLst/>
                    </a:prstGeom>
                    <a:noFill/>
                    <a:ln>
                      <a:noFill/>
                    </a:ln>
                  </pic:spPr>
                </pic:pic>
              </a:graphicData>
            </a:graphic>
          </wp:inline>
        </w:drawing>
      </w:r>
    </w:p>
    <w:p w14:paraId="67669E38" w14:textId="0D594D57" w:rsidR="00EF48FF" w:rsidRPr="00972203" w:rsidRDefault="00EF48FF" w:rsidP="00EF48FF">
      <w:pPr>
        <w:pStyle w:val="Caption"/>
      </w:pPr>
      <w:r w:rsidRPr="00972203">
        <w:t xml:space="preserve">Figure </w:t>
      </w:r>
      <w:fldSimple w:instr=" SEQ Figure \* ARABIC ">
        <w:r w:rsidR="00300235">
          <w:rPr>
            <w:noProof/>
          </w:rPr>
          <w:t>1</w:t>
        </w:r>
      </w:fldSimple>
      <w:r w:rsidRPr="00972203">
        <w:t>: Location of the Acorn CO</w:t>
      </w:r>
      <w:r w:rsidRPr="00972203">
        <w:rPr>
          <w:vertAlign w:val="subscript"/>
        </w:rPr>
        <w:t>2</w:t>
      </w:r>
      <w:r w:rsidRPr="00972203">
        <w:t xml:space="preserve"> storage site in the North Sea, with the three pipelines </w:t>
      </w:r>
      <w:r>
        <w:t>highlighted for</w:t>
      </w:r>
      <w:r w:rsidRPr="00972203">
        <w:t xml:space="preserve"> potential re-use</w:t>
      </w:r>
      <w:r>
        <w:t xml:space="preserve"> for CO</w:t>
      </w:r>
      <w:r w:rsidRPr="00515AA0">
        <w:rPr>
          <w:vertAlign w:val="subscript"/>
        </w:rPr>
        <w:t>2</w:t>
      </w:r>
      <w:r>
        <w:t xml:space="preserve"> transport off-shore from St Fergus, </w:t>
      </w:r>
      <w:r w:rsidRPr="00972203">
        <w:t xml:space="preserve">and the </w:t>
      </w:r>
      <w:r>
        <w:t xml:space="preserve">location of </w:t>
      </w:r>
      <w:r w:rsidRPr="00972203">
        <w:t xml:space="preserve">113 sites considered </w:t>
      </w:r>
      <w:r>
        <w:t>for</w:t>
      </w:r>
      <w:r w:rsidRPr="00972203">
        <w:t xml:space="preserve"> select</w:t>
      </w:r>
      <w:r>
        <w:t xml:space="preserve">ion </w:t>
      </w:r>
      <w:r w:rsidRPr="00972203">
        <w:t>as Site 2</w:t>
      </w:r>
      <w:r>
        <w:t xml:space="preserve"> that met the </w:t>
      </w:r>
      <w:r w:rsidR="0044642E">
        <w:t xml:space="preserve">basis of design </w:t>
      </w:r>
      <w:r>
        <w:t>(see Figure 2)</w:t>
      </w:r>
      <w:r w:rsidRPr="00972203">
        <w:t>.</w:t>
      </w:r>
    </w:p>
    <w:p w14:paraId="33F74702" w14:textId="64ECE671" w:rsidR="0006693B" w:rsidRDefault="0006693B" w:rsidP="0006693B">
      <w:pPr>
        <w:spacing w:after="120" w:line="276" w:lineRule="auto"/>
      </w:pPr>
    </w:p>
    <w:p w14:paraId="306BD5EB" w14:textId="35F8B482" w:rsidR="0006693B" w:rsidRPr="00972203" w:rsidRDefault="0006693B" w:rsidP="006E2249">
      <w:pPr>
        <w:spacing w:line="276" w:lineRule="auto"/>
      </w:pPr>
      <w:r>
        <w:t>T</w:t>
      </w:r>
      <w:r w:rsidRPr="00011159">
        <w:t xml:space="preserve">he </w:t>
      </w:r>
      <w:r w:rsidR="00736E99">
        <w:t xml:space="preserve">ability to expand </w:t>
      </w:r>
      <w:r w:rsidRPr="00011159">
        <w:t>industry</w:t>
      </w:r>
      <w:r w:rsidR="00736E99">
        <w:t>-</w:t>
      </w:r>
      <w:r w:rsidRPr="00011159">
        <w:t>scale projects, such as Acorn, require</w:t>
      </w:r>
      <w:r w:rsidR="00467C79">
        <w:t>s</w:t>
      </w:r>
      <w:r w:rsidRPr="00011159">
        <w:t xml:space="preserve"> the selection of </w:t>
      </w:r>
      <w:r>
        <w:t>an additional ‘secondary’ site</w:t>
      </w:r>
      <w:r w:rsidRPr="00011159">
        <w:t xml:space="preserve"> to satisfy two crucial</w:t>
      </w:r>
      <w:r w:rsidRPr="001A2820">
        <w:t xml:space="preserve"> </w:t>
      </w:r>
      <w:r>
        <w:t>purposes</w:t>
      </w:r>
      <w:r w:rsidR="00736E99">
        <w:t>. The</w:t>
      </w:r>
      <w:r w:rsidRPr="00011159">
        <w:t xml:space="preserve"> first</w:t>
      </w:r>
      <w:r w:rsidR="00736E99">
        <w:t xml:space="preserve"> purpose is</w:t>
      </w:r>
      <w:r w:rsidRPr="00011159">
        <w:t xml:space="preserve"> </w:t>
      </w:r>
      <w:r>
        <w:t>to</w:t>
      </w:r>
      <w:r w:rsidRPr="00011159">
        <w:t xml:space="preserve"> provide additional storage capacity for a more mature stage of the project when new CO</w:t>
      </w:r>
      <w:r w:rsidRPr="00515AA0">
        <w:rPr>
          <w:vertAlign w:val="subscript"/>
        </w:rPr>
        <w:t>2</w:t>
      </w:r>
      <w:r w:rsidRPr="00011159">
        <w:t xml:space="preserve"> supply scenarios, are added to the project . </w:t>
      </w:r>
      <w:r w:rsidR="00736E99">
        <w:t>The s</w:t>
      </w:r>
      <w:r w:rsidRPr="00011159">
        <w:t>econd</w:t>
      </w:r>
      <w:r w:rsidR="00736E99">
        <w:t xml:space="preserve"> purpose is</w:t>
      </w:r>
      <w:r w:rsidRPr="00011159">
        <w:t xml:space="preserve"> </w:t>
      </w:r>
      <w:r>
        <w:t xml:space="preserve">to </w:t>
      </w:r>
      <w:r w:rsidRPr="00011159">
        <w:t>act as emergency storage in the undesirable case that the initial site is considered obsolete or unsafe</w:t>
      </w:r>
      <w:r>
        <w:t xml:space="preserve"> (</w:t>
      </w:r>
      <w:proofErr w:type="gramStart"/>
      <w:r>
        <w:t>e.g.</w:t>
      </w:r>
      <w:proofErr w:type="gramEnd"/>
      <w:r>
        <w:t xml:space="preserve"> due to </w:t>
      </w:r>
      <w:r>
        <w:rPr>
          <w:rFonts w:cstheme="minorHAnsi"/>
        </w:rPr>
        <w:t xml:space="preserve">technical or operational </w:t>
      </w:r>
      <w:r w:rsidRPr="005C47CB">
        <w:rPr>
          <w:rFonts w:cstheme="minorHAnsi"/>
        </w:rPr>
        <w:t xml:space="preserve">issues encountered </w:t>
      </w:r>
      <w:r>
        <w:rPr>
          <w:rFonts w:cstheme="minorHAnsi"/>
        </w:rPr>
        <w:t xml:space="preserve">in </w:t>
      </w:r>
      <w:r w:rsidRPr="005C47CB">
        <w:rPr>
          <w:rFonts w:cstheme="minorHAnsi"/>
        </w:rPr>
        <w:t xml:space="preserve">the development or </w:t>
      </w:r>
      <w:r>
        <w:rPr>
          <w:rFonts w:cstheme="minorHAnsi"/>
        </w:rPr>
        <w:t>the primary</w:t>
      </w:r>
      <w:r w:rsidRPr="005C47CB">
        <w:rPr>
          <w:rFonts w:cstheme="minorHAnsi"/>
        </w:rPr>
        <w:t xml:space="preserve"> </w:t>
      </w:r>
      <w:r>
        <w:rPr>
          <w:rFonts w:cstheme="minorHAnsi"/>
        </w:rPr>
        <w:t>s</w:t>
      </w:r>
      <w:r w:rsidRPr="005C47CB">
        <w:rPr>
          <w:rFonts w:cstheme="minorHAnsi"/>
        </w:rPr>
        <w:t>ite</w:t>
      </w:r>
      <w:r>
        <w:rPr>
          <w:rFonts w:cstheme="minorHAnsi"/>
        </w:rPr>
        <w:t>)</w:t>
      </w:r>
      <w:r w:rsidRPr="00011159">
        <w:t>.</w:t>
      </w:r>
      <w:r>
        <w:t xml:space="preserve"> These two factors, together with the specific characteristics of the project</w:t>
      </w:r>
      <w:r w:rsidR="00736E99">
        <w:t>,</w:t>
      </w:r>
      <w:r>
        <w:t xml:space="preserve"> determined the methodology that was followed to select</w:t>
      </w:r>
      <w:r w:rsidR="00736E99">
        <w:t xml:space="preserve"> Acorn</w:t>
      </w:r>
      <w:r>
        <w:t xml:space="preserve"> ‘Site 2’, </w:t>
      </w:r>
      <w:r w:rsidR="00736E99">
        <w:t xml:space="preserve">which is </w:t>
      </w:r>
      <w:r>
        <w:t>the site that will serve as backup to, and potential growth site for</w:t>
      </w:r>
      <w:r w:rsidR="00736E99">
        <w:t>,</w:t>
      </w:r>
      <w:r>
        <w:t xml:space="preserve"> the Acorn project</w:t>
      </w:r>
      <w:r w:rsidR="00736E99">
        <w:t>. The formalisation of the site selection methodology</w:t>
      </w:r>
      <w:r>
        <w:t xml:space="preserve"> is the focus of this work.</w:t>
      </w:r>
    </w:p>
    <w:p w14:paraId="10DF5C68" w14:textId="77777777" w:rsidR="003C46B1" w:rsidRPr="00972203" w:rsidRDefault="003C46B1" w:rsidP="002B2A02">
      <w:pPr>
        <w:pStyle w:val="Heading1"/>
        <w:rPr>
          <w:rStyle w:val="BookTitle"/>
          <w:rFonts w:ascii="Times New Roman" w:hAnsi="Times New Roman"/>
          <w:b/>
          <w:bCs w:val="0"/>
          <w:iCs w:val="0"/>
          <w:spacing w:val="0"/>
        </w:rPr>
      </w:pPr>
      <w:r w:rsidRPr="00972203">
        <w:rPr>
          <w:rStyle w:val="BookTitle"/>
          <w:rFonts w:ascii="Times New Roman" w:hAnsi="Times New Roman"/>
          <w:b/>
          <w:bCs w:val="0"/>
          <w:iCs w:val="0"/>
          <w:spacing w:val="0"/>
        </w:rPr>
        <w:t xml:space="preserve">Site selection </w:t>
      </w:r>
      <w:r w:rsidR="00AD78AC" w:rsidRPr="00972203">
        <w:rPr>
          <w:rStyle w:val="BookTitle"/>
          <w:rFonts w:ascii="Times New Roman" w:hAnsi="Times New Roman"/>
          <w:b/>
          <w:bCs w:val="0"/>
          <w:iCs w:val="0"/>
          <w:spacing w:val="0"/>
        </w:rPr>
        <w:t>in the literature</w:t>
      </w:r>
    </w:p>
    <w:p w14:paraId="63E8BD0C" w14:textId="2DFDABB4" w:rsidR="00EA6AEE" w:rsidRPr="007E3AFF" w:rsidRDefault="005D6E23" w:rsidP="007E3AFF">
      <w:pPr>
        <w:pStyle w:val="BodyText"/>
        <w:spacing w:after="120" w:line="276" w:lineRule="auto"/>
        <w:rPr>
          <w:rStyle w:val="BookTitle"/>
          <w:rFonts w:ascii="Times New Roman" w:hAnsi="Times New Roman"/>
          <w:b w:val="0"/>
          <w:spacing w:val="0"/>
          <w:sz w:val="22"/>
          <w:szCs w:val="22"/>
          <w:lang w:val="en-GB"/>
        </w:rPr>
      </w:pPr>
      <w:r w:rsidRPr="007E3AFF">
        <w:rPr>
          <w:rStyle w:val="BookTitle"/>
          <w:rFonts w:ascii="Times New Roman" w:hAnsi="Times New Roman"/>
          <w:b w:val="0"/>
          <w:spacing w:val="0"/>
          <w:sz w:val="22"/>
          <w:szCs w:val="22"/>
          <w:lang w:val="en-GB"/>
        </w:rPr>
        <w:t xml:space="preserve">Site selection comprises the </w:t>
      </w:r>
      <w:r w:rsidR="005C47CB" w:rsidRPr="007E3AFF">
        <w:rPr>
          <w:rStyle w:val="BookTitle"/>
          <w:rFonts w:ascii="Times New Roman" w:hAnsi="Times New Roman"/>
          <w:b w:val="0"/>
          <w:spacing w:val="0"/>
          <w:sz w:val="22"/>
          <w:szCs w:val="22"/>
          <w:lang w:val="en-GB"/>
        </w:rPr>
        <w:t>investigation</w:t>
      </w:r>
      <w:r w:rsidRPr="007E3AFF">
        <w:rPr>
          <w:rStyle w:val="BookTitle"/>
          <w:rFonts w:ascii="Times New Roman" w:hAnsi="Times New Roman"/>
          <w:b w:val="0"/>
          <w:spacing w:val="0"/>
          <w:sz w:val="22"/>
          <w:szCs w:val="22"/>
          <w:lang w:val="en-GB"/>
        </w:rPr>
        <w:t xml:space="preserve"> and ranking </w:t>
      </w:r>
      <w:r w:rsidR="003F2B9F" w:rsidRPr="007E3AFF">
        <w:rPr>
          <w:rStyle w:val="BookTitle"/>
          <w:rFonts w:ascii="Times New Roman" w:hAnsi="Times New Roman"/>
          <w:b w:val="0"/>
          <w:spacing w:val="0"/>
          <w:sz w:val="22"/>
          <w:szCs w:val="22"/>
          <w:lang w:val="en-GB"/>
        </w:rPr>
        <w:t xml:space="preserve">of </w:t>
      </w:r>
      <w:r w:rsidRPr="007E3AFF">
        <w:rPr>
          <w:rStyle w:val="BookTitle"/>
          <w:rFonts w:ascii="Times New Roman" w:hAnsi="Times New Roman"/>
          <w:b w:val="0"/>
          <w:spacing w:val="0"/>
          <w:sz w:val="22"/>
          <w:szCs w:val="22"/>
          <w:lang w:val="en-GB"/>
        </w:rPr>
        <w:t xml:space="preserve">geological sites for </w:t>
      </w:r>
      <w:r w:rsidR="003F2B9F" w:rsidRPr="007E3AFF">
        <w:rPr>
          <w:rStyle w:val="BookTitle"/>
          <w:rFonts w:ascii="Times New Roman" w:hAnsi="Times New Roman"/>
          <w:b w:val="0"/>
          <w:spacing w:val="0"/>
          <w:sz w:val="22"/>
          <w:szCs w:val="22"/>
          <w:lang w:val="en-GB"/>
        </w:rPr>
        <w:t>their</w:t>
      </w:r>
      <w:r w:rsidRPr="007E3AFF">
        <w:rPr>
          <w:rStyle w:val="BookTitle"/>
          <w:rFonts w:ascii="Times New Roman" w:hAnsi="Times New Roman"/>
          <w:b w:val="0"/>
          <w:spacing w:val="0"/>
          <w:sz w:val="22"/>
          <w:szCs w:val="22"/>
          <w:lang w:val="en-GB"/>
        </w:rPr>
        <w:t xml:space="preserve"> suitability </w:t>
      </w:r>
      <w:r w:rsidR="00294C9F" w:rsidRPr="007E3AFF">
        <w:rPr>
          <w:rStyle w:val="BookTitle"/>
          <w:rFonts w:ascii="Times New Roman" w:hAnsi="Times New Roman"/>
          <w:b w:val="0"/>
          <w:spacing w:val="0"/>
          <w:sz w:val="22"/>
          <w:szCs w:val="22"/>
          <w:lang w:val="en-GB"/>
        </w:rPr>
        <w:t xml:space="preserve">to </w:t>
      </w:r>
      <w:r w:rsidRPr="007E3AFF">
        <w:rPr>
          <w:rStyle w:val="BookTitle"/>
          <w:rFonts w:ascii="Times New Roman" w:hAnsi="Times New Roman"/>
          <w:b w:val="0"/>
          <w:spacing w:val="0"/>
          <w:sz w:val="22"/>
          <w:szCs w:val="22"/>
          <w:lang w:val="en-GB"/>
        </w:rPr>
        <w:t>stor</w:t>
      </w:r>
      <w:r w:rsidR="00294C9F" w:rsidRPr="007E3AFF">
        <w:rPr>
          <w:rStyle w:val="BookTitle"/>
          <w:rFonts w:ascii="Times New Roman" w:hAnsi="Times New Roman"/>
          <w:b w:val="0"/>
          <w:spacing w:val="0"/>
          <w:sz w:val="22"/>
          <w:szCs w:val="22"/>
          <w:lang w:val="en-GB"/>
        </w:rPr>
        <w:t>e</w:t>
      </w:r>
      <w:r w:rsidRPr="007E3AFF">
        <w:rPr>
          <w:rStyle w:val="BookTitle"/>
          <w:rFonts w:ascii="Times New Roman" w:hAnsi="Times New Roman"/>
          <w:b w:val="0"/>
          <w:spacing w:val="0"/>
          <w:sz w:val="22"/>
          <w:szCs w:val="22"/>
          <w:lang w:val="en-GB"/>
        </w:rPr>
        <w:t xml:space="preserve"> CO</w:t>
      </w:r>
      <w:r w:rsidRPr="007E3AFF">
        <w:rPr>
          <w:rStyle w:val="BookTitle"/>
          <w:rFonts w:ascii="Times New Roman" w:hAnsi="Times New Roman"/>
          <w:b w:val="0"/>
          <w:spacing w:val="0"/>
          <w:sz w:val="22"/>
          <w:szCs w:val="22"/>
          <w:vertAlign w:val="subscript"/>
          <w:lang w:val="en-GB"/>
        </w:rPr>
        <w:t>2</w:t>
      </w:r>
      <w:r w:rsidRPr="007E3AFF">
        <w:rPr>
          <w:rStyle w:val="BookTitle"/>
          <w:rFonts w:ascii="Times New Roman" w:hAnsi="Times New Roman"/>
          <w:b w:val="0"/>
          <w:spacing w:val="0"/>
          <w:sz w:val="22"/>
          <w:szCs w:val="22"/>
          <w:lang w:val="en-GB"/>
        </w:rPr>
        <w:t xml:space="preserve"> over geological time scales. </w:t>
      </w:r>
      <w:r w:rsidR="00EA6AEE" w:rsidRPr="007E3AFF">
        <w:rPr>
          <w:rStyle w:val="BookTitle"/>
          <w:rFonts w:ascii="Times New Roman" w:hAnsi="Times New Roman"/>
          <w:b w:val="0"/>
          <w:spacing w:val="0"/>
          <w:sz w:val="22"/>
          <w:szCs w:val="22"/>
          <w:lang w:val="en-GB"/>
        </w:rPr>
        <w:t xml:space="preserve">Multiple studies have </w:t>
      </w:r>
      <w:r w:rsidR="00702A6A" w:rsidRPr="007E3AFF">
        <w:rPr>
          <w:rStyle w:val="BookTitle"/>
          <w:rFonts w:ascii="Times New Roman" w:hAnsi="Times New Roman"/>
          <w:b w:val="0"/>
          <w:spacing w:val="0"/>
          <w:sz w:val="22"/>
          <w:szCs w:val="22"/>
          <w:lang w:val="en-GB"/>
        </w:rPr>
        <w:t>employed</w:t>
      </w:r>
      <w:r w:rsidR="00EA6AEE" w:rsidRPr="007E3AFF">
        <w:rPr>
          <w:rStyle w:val="BookTitle"/>
          <w:rFonts w:ascii="Times New Roman" w:hAnsi="Times New Roman"/>
          <w:b w:val="0"/>
          <w:spacing w:val="0"/>
          <w:sz w:val="22"/>
          <w:szCs w:val="22"/>
          <w:lang w:val="en-GB"/>
        </w:rPr>
        <w:t xml:space="preserve"> source-to-sink assessments</w:t>
      </w:r>
      <w:r w:rsidR="00702A6A" w:rsidRPr="007E3AFF">
        <w:rPr>
          <w:rStyle w:val="BookTitle"/>
          <w:rFonts w:ascii="Times New Roman" w:hAnsi="Times New Roman"/>
          <w:b w:val="0"/>
          <w:spacing w:val="0"/>
          <w:sz w:val="22"/>
          <w:szCs w:val="22"/>
          <w:lang w:val="en-GB"/>
        </w:rPr>
        <w:t xml:space="preserve"> as a first </w:t>
      </w:r>
      <w:r w:rsidR="00C208BF" w:rsidRPr="007E3AFF">
        <w:rPr>
          <w:rStyle w:val="BookTitle"/>
          <w:rFonts w:ascii="Times New Roman" w:hAnsi="Times New Roman"/>
          <w:b w:val="0"/>
          <w:spacing w:val="0"/>
          <w:sz w:val="22"/>
          <w:szCs w:val="22"/>
          <w:lang w:val="en-GB"/>
        </w:rPr>
        <w:t>order</w:t>
      </w:r>
      <w:r w:rsidR="00360282" w:rsidRPr="007E3AFF">
        <w:rPr>
          <w:rStyle w:val="BookTitle"/>
          <w:rFonts w:ascii="Times New Roman" w:hAnsi="Times New Roman"/>
          <w:b w:val="0"/>
          <w:spacing w:val="0"/>
          <w:sz w:val="22"/>
          <w:szCs w:val="22"/>
          <w:lang w:val="en-GB"/>
        </w:rPr>
        <w:t xml:space="preserve"> approach</w:t>
      </w:r>
      <w:r w:rsidR="00EA6AEE" w:rsidRPr="007E3AFF">
        <w:rPr>
          <w:rStyle w:val="BookTitle"/>
          <w:rFonts w:ascii="Times New Roman" w:hAnsi="Times New Roman"/>
          <w:b w:val="0"/>
          <w:spacing w:val="0"/>
          <w:sz w:val="22"/>
          <w:szCs w:val="22"/>
          <w:lang w:val="en-GB"/>
        </w:rPr>
        <w:t>,</w:t>
      </w:r>
      <w:r w:rsidR="00702A6A" w:rsidRPr="007E3AFF">
        <w:rPr>
          <w:rStyle w:val="BookTitle"/>
          <w:rFonts w:ascii="Times New Roman" w:hAnsi="Times New Roman"/>
          <w:b w:val="0"/>
          <w:spacing w:val="0"/>
          <w:sz w:val="22"/>
          <w:szCs w:val="22"/>
          <w:lang w:val="en-GB"/>
        </w:rPr>
        <w:t xml:space="preserve"> where </w:t>
      </w:r>
      <w:r w:rsidR="00C208BF" w:rsidRPr="007E3AFF">
        <w:rPr>
          <w:rStyle w:val="BookTitle"/>
          <w:rFonts w:ascii="Times New Roman" w:hAnsi="Times New Roman"/>
          <w:b w:val="0"/>
          <w:spacing w:val="0"/>
          <w:sz w:val="22"/>
          <w:szCs w:val="22"/>
          <w:lang w:val="en-GB"/>
        </w:rPr>
        <w:t>the CO</w:t>
      </w:r>
      <w:r w:rsidR="00C208BF" w:rsidRPr="007E3AFF">
        <w:rPr>
          <w:rStyle w:val="BookTitle"/>
          <w:rFonts w:ascii="Times New Roman" w:hAnsi="Times New Roman"/>
          <w:b w:val="0"/>
          <w:spacing w:val="0"/>
          <w:sz w:val="22"/>
          <w:szCs w:val="22"/>
          <w:vertAlign w:val="subscript"/>
          <w:lang w:val="en-GB"/>
        </w:rPr>
        <w:t>2</w:t>
      </w:r>
      <w:r w:rsidR="00C208BF" w:rsidRPr="007E3AFF">
        <w:rPr>
          <w:rStyle w:val="BookTitle"/>
          <w:rFonts w:ascii="Times New Roman" w:hAnsi="Times New Roman"/>
          <w:b w:val="0"/>
          <w:spacing w:val="0"/>
          <w:sz w:val="22"/>
          <w:szCs w:val="22"/>
          <w:lang w:val="en-GB"/>
        </w:rPr>
        <w:t xml:space="preserve"> </w:t>
      </w:r>
      <w:r w:rsidR="00D57356" w:rsidRPr="007E3AFF">
        <w:rPr>
          <w:rStyle w:val="BookTitle"/>
          <w:rFonts w:ascii="Times New Roman" w:hAnsi="Times New Roman"/>
          <w:b w:val="0"/>
          <w:spacing w:val="0"/>
          <w:sz w:val="22"/>
          <w:szCs w:val="22"/>
          <w:lang w:val="en-GB"/>
        </w:rPr>
        <w:t xml:space="preserve">volumes </w:t>
      </w:r>
      <w:r w:rsidR="00C208BF" w:rsidRPr="007E3AFF">
        <w:rPr>
          <w:rStyle w:val="BookTitle"/>
          <w:rFonts w:ascii="Times New Roman" w:hAnsi="Times New Roman"/>
          <w:b w:val="0"/>
          <w:spacing w:val="0"/>
          <w:sz w:val="22"/>
          <w:szCs w:val="22"/>
          <w:lang w:val="en-GB"/>
        </w:rPr>
        <w:t xml:space="preserve">from large emitter sources </w:t>
      </w:r>
      <w:r w:rsidR="00D57356" w:rsidRPr="007E3AFF">
        <w:rPr>
          <w:rStyle w:val="BookTitle"/>
          <w:rFonts w:ascii="Times New Roman" w:hAnsi="Times New Roman"/>
          <w:b w:val="0"/>
          <w:spacing w:val="0"/>
          <w:sz w:val="22"/>
          <w:szCs w:val="22"/>
          <w:lang w:val="en-GB"/>
        </w:rPr>
        <w:t>are</w:t>
      </w:r>
      <w:r w:rsidR="00C208BF" w:rsidRPr="007E3AFF">
        <w:rPr>
          <w:rStyle w:val="BookTitle"/>
          <w:rFonts w:ascii="Times New Roman" w:hAnsi="Times New Roman"/>
          <w:b w:val="0"/>
          <w:spacing w:val="0"/>
          <w:sz w:val="22"/>
          <w:szCs w:val="22"/>
          <w:lang w:val="en-GB"/>
        </w:rPr>
        <w:t xml:space="preserve"> geographically matched with basins or reservo</w:t>
      </w:r>
      <w:r w:rsidR="00D57356" w:rsidRPr="007E3AFF">
        <w:rPr>
          <w:rStyle w:val="BookTitle"/>
          <w:rFonts w:ascii="Times New Roman" w:hAnsi="Times New Roman"/>
          <w:b w:val="0"/>
          <w:spacing w:val="0"/>
          <w:sz w:val="22"/>
          <w:szCs w:val="22"/>
          <w:lang w:val="en-GB"/>
        </w:rPr>
        <w:t xml:space="preserve">irs, usually </w:t>
      </w:r>
      <w:r w:rsidR="00442CFE" w:rsidRPr="007E3AFF">
        <w:rPr>
          <w:rStyle w:val="BookTitle"/>
          <w:rFonts w:ascii="Times New Roman" w:hAnsi="Times New Roman"/>
          <w:b w:val="0"/>
          <w:spacing w:val="0"/>
          <w:sz w:val="22"/>
          <w:szCs w:val="22"/>
          <w:lang w:val="en-GB"/>
        </w:rPr>
        <w:t xml:space="preserve">using a </w:t>
      </w:r>
      <w:r w:rsidR="009551B2" w:rsidRPr="007E3AFF">
        <w:rPr>
          <w:rStyle w:val="BookTitle"/>
          <w:rFonts w:ascii="Times New Roman" w:hAnsi="Times New Roman"/>
          <w:b w:val="0"/>
          <w:spacing w:val="0"/>
          <w:sz w:val="22"/>
          <w:szCs w:val="22"/>
          <w:lang w:val="en-GB"/>
        </w:rPr>
        <w:t xml:space="preserve">Geographical Information System (GIS) </w:t>
      </w:r>
      <w:r w:rsidR="00442CFE" w:rsidRPr="007E3AFF">
        <w:rPr>
          <w:rStyle w:val="BookTitle"/>
          <w:rFonts w:ascii="Times New Roman" w:hAnsi="Times New Roman"/>
          <w:b w:val="0"/>
          <w:spacing w:val="0"/>
          <w:sz w:val="22"/>
          <w:szCs w:val="22"/>
          <w:lang w:val="en-GB"/>
        </w:rPr>
        <w:t>approach</w:t>
      </w:r>
      <w:r w:rsidR="00D57356" w:rsidRPr="007E3AFF">
        <w:rPr>
          <w:rStyle w:val="BookTitle"/>
          <w:rFonts w:ascii="Times New Roman" w:hAnsi="Times New Roman"/>
          <w:b w:val="0"/>
          <w:spacing w:val="0"/>
          <w:sz w:val="22"/>
          <w:szCs w:val="22"/>
          <w:lang w:val="en-GB"/>
        </w:rPr>
        <w:t xml:space="preserve"> </w:t>
      </w:r>
      <w:r w:rsidR="00D57356" w:rsidRPr="007E3AFF">
        <w:rPr>
          <w:rStyle w:val="BookTitle"/>
          <w:rFonts w:ascii="Times New Roman" w:hAnsi="Times New Roman"/>
          <w:b w:val="0"/>
          <w:spacing w:val="0"/>
          <w:sz w:val="22"/>
          <w:szCs w:val="22"/>
          <w:lang w:val="en-GB"/>
        </w:rPr>
        <w:fldChar w:fldCharType="begin" w:fldLock="1"/>
      </w:r>
      <w:r w:rsidR="00E41AF9">
        <w:rPr>
          <w:rStyle w:val="BookTitle"/>
          <w:rFonts w:ascii="Times New Roman" w:hAnsi="Times New Roman"/>
          <w:b w:val="0"/>
          <w:spacing w:val="0"/>
          <w:sz w:val="22"/>
          <w:szCs w:val="22"/>
          <w:lang w:val="en-GB"/>
        </w:rPr>
        <w:instrText>ADDIN CSL_CITATION {"citationItems":[{"id":"ITEM-1","itemData":{"DOI":"10.1016/B978-008044704-9/50059-8","ISBN":"9780080447049","abstract":"This chapter discusses that the identification of major hydrocarbon provinces from existing world assessments for hydrocarbon potential is used to identify those sedimentary basins at a global level that is highly prospective for CO2 storage. Most sedimentary basins which are minor petroleum provinces and many non-petroliferous sedimentary basins will also be prospective for CO2 storage. CO2 storage potential is a naturally occurring resource, and like any other natural resource there is a need to provide regional access to the better sites if the full potential of the technology is to be realized. Whilst some regions of the world have a paucity of opportunities in their immediate geographic confines, others are well endowed. Some areas whilst having good storage potential in their local region may be challenged by the enormous volume of CO2 emissions that are locally generated. Hubs which centralize the collection and transport of CO2 in a region could encourage the building of longer and larger pipelines to larger and technically more viable storage sites and so reduce costs due to economies of scale. © 2005 Elsevier Ltd. All rights reserved.","author":[{"dropping-particle":"","family":"Bradshaw","given":"John","non-dropping-particle":"","parse-names":false,"suffix":""},{"dropping-particle":"","family":"Dance","given":"Tess","non-dropping-particle":"","parse-names":false,"suffix":""}],"container-title":"Greenhouse Gas Control Technologies","id":"ITEM-1","issue":"December 2005","issued":{"date-parts":[["2005"]]},"page":"583-591","title":"Mapping geological storage prospectivity of CO2 for the world's sedimentary basins and regional source to sink matching","type":"chapter"},"uris":["http://www.mendeley.com/documents/?uuid=78184f0b-90c5-4247-95e6-451647bf9e5f"]},{"id":"ITEM-2","itemData":{"author":[{"dropping-particle":"","family":"UNIDO","given":"","non-dropping-particle":"","parse-names":false,"suffix":""}],"id":"ITEM-2","issued":{"date-parts":[["2011"]]},"number-of-pages":"180","title":"Global industrial ccs technology roadmap - sectoral assessment: Source-to-sink matching final report. Report UNI11–ES–001–2","type":"report"},"uris":["http://www.mendeley.com/documents/?uuid=f009ba34-6a6e-48a4-aabc-d58b6c508993"]},{"id":"ITEM-3","itemData":{"DOI":"10.1016/j.ijggc.2012.10.012","ISSN":"17505836","abstract":"Development of a reliable, broadly applicable framework for the identification and suitability evaluation of potential CO2 storage sites is essential before large-scale deployment of carbon dioxide capture and geological storage (CCS) can commence. In this study, a sub-basin scale evaluation framework was developed to assess the suitability of potential onshore deep saline aquifers for CO2 storage in China. The methodology, developed in consultation with experts from the academia and the petroleum industry in China, is based on a multi-criteria analysis (MCA) framework that considers four objectives: (1) storage optimization, in terms of storage capacity and injectivity; (2) risk minimization and storage security; (3) environmental restrictions regarding surface and subsurface use; and (4) economic considerations. The framework is designed to provide insights into both the suitability of potential aquifer storage sites as well as the priority for early deployment of CCS with existing CO2 sources. Preliminary application of the framework, conducted using GIS-based evaluation tools revealed that 18% of onshore aquifer sites with a combined CO2 storage capacity of 746gigatons are considered to exhibit very high suitability, and 11% of onshore aquifer sites with a total capacity of 290gigatons exhibit very high priority opportunities for implementation. These onshore aquifer sites may provide promising opportunities for early large-scale CCS deployment and contribute to CO2 mitigation in China for many decades. © 2012 Elsevier Ltd.","author":[{"dropping-particle":"","family":"Wei","given":"Ning","non-dropping-particle":"","parse-names":false,"suffix":""},{"dropping-particle":"","family":"Li","given":"Xiaochun","non-dropping-particle":"","parse-names":false,"suffix":""},{"dropping-particle":"","family":"Wang","given":"Ying","non-dropping-particle":"","parse-names":false,"suffix":""},{"dropping-particle":"","family":"Dahowski","given":"Robert T.","non-dropping-particle":"","parse-names":false,"suffix":""},{"dropping-particle":"","family":"Davidson","given":"Casie L.","non-dropping-particle":"","parse-names":false,"suffix":""},{"dropping-particle":"","family":"Bromhal","given":"Grant S.","non-dropping-particle":"","parse-names":false,"suffix":""}],"container-title":"International Journal of Greenhouse Gas Control","id":"ITEM-3","issue":"January","issued":{"date-parts":[["2013"]]},"page":"231-246","publisher":"Elsevier Ltd","title":"A preliminary sub-basin scale evaluation framework of site suitability for onshore aquifer-based CO2 storage in China","type":"article-journal","volume":"12"},"uris":["http://www.mendeley.com/documents/?uuid=413eee93-9a65-4b32-a0e6-c3891b947080"]},{"id":"ITEM-4","itemData":{"DOI":"10.1007/s12665-014-3965-3","ISSN":"18666299","abstract":"Different tectonic settings exert different depositional process controls within the tectonic basin which influence CO2 storage site suitability in terms of basin architecture, caprock architecture, reservoir quality, stress state, mechanical characteristics, fractures, burial depth, geothermal gradient, risk of orogenic modification, structural stability and preservation potential. We apply the concept of geomechanical facies; where deposits are grouped together on the basis of engineering parameters that fulfil a specific role within the storage system, e.g. reservoir, caprock, overburden; to provide an assessment of CO2 storage suitability for seven different tectonic settings. The geomechanical facies data were analysed using two different multiple attribute decision analysis methodologies and the results show that foreland basins are likely to be the most suitable for CO2 storage, followed by passive continental margins, terrestrial rift basins, Strike-slip basins, Back-arc basins, with oceanic basins, forearc basins and trench basins expected to be the least suitable. The geomechanical facies approach was compared with two current storage projects (Sleipner and In Salah) and a natural CO2 storage analogue (Miller) to build confidence in the methodology. Finally the global distribution of the most likely CO2 storage basins based on their geomechanical facies was mapped and correlated with CO2 emission sources.","author":[{"dropping-particle":"","family":"Edlmann","given":"K.","non-dropping-particle":"","parse-names":false,"suffix":""},{"dropping-particle":"","family":"Edwards","given":"M. A.","non-dropping-particle":"","parse-names":false,"suffix":""},{"dropping-particle":"","family":"Qiao","given":"X. J.","non-dropping-particle":"","parse-names":false,"suffix":""},{"dropping-particle":"","family":"Haszeldine","given":"R. S.","non-dropping-particle":"","parse-names":false,"suffix":""},{"dropping-particle":"","family":"McDermott","given":"C. I.","non-dropping-particle":"","parse-names":false,"suffix":""}],"container-title":"Environmental Earth Sciences","id":"ITEM-4","issue":"12","issued":{"date-parts":[["2015"]]},"page":"8075-8096","publisher":"Springer Berlin Heidelberg","title":"Appraisal of global CO2 storage opportunities using the geomechanical facies approach","type":"article-journal","volume":"73"},"uris":["http://www.mendeley.com/documents/?uuid=2767f37e-5f4b-4eea-8fc9-c4546d4e1e12"]},{"id":"ITEM-5","itemData":{"DOI":"10.1016/j.gsf.2020.02.008","ISSN":"16749871","abstract":"Carbon capture and storage (CCS) has been proposed as a potential technology to mitigate climate change. However, there is currently a huge gap between the current global deployment of this technology and that which will be ultimately required. Whilst CO2 can be captured at any geographic location, storage of CO2 will be constrained by the geological storage potential in the area the CO2 is captured. The geological storage potential can be evaluated at a very high level according to the tectonic setting of the target area. To date, CCS deployment has been restricted to more favourable tectonic settings, such as extensional passive margin and post-rift basins and compressional foreland basins. However, to reach the adequate level of deployment, the potential for CCS of regions in different tectonic settings needs to be explored and assessed worldwide. Surprisingly, the potential of compressional basins for carbon storage has not been universally evaluated according to the global and regional carbon emission distribution. Here, we present an integrated source-to-sink analysis tool that combines comprehensive, open-access information on basin distribution, hydrocarbon resources and CO2 emissions based on geographical information systems (GIS). Compressional settings host some of the most significant hydrocarbon-bearing basins and 36% of inland CO2 emissions but, to date, large-scale CCS facilities in compressional basins are concentrated in North America and the Middle East only. Our source-to-sink tool allows identifying five high-priority regions for prospective CCS development in compressional basins: North America, north-western South America, south-eastern Europe, the western Middle East and western China. We present a study of the characteristics of these areas in terms of CO2 emissions and CO2 storage potential. Additionally, we conduct a detailed case-study analysis of the Sichuan Basin (China), one of the compressional basins with the greatest CO2 storage potential. Our results indicate that compressional basins will have to play a critical role in the future of CCS if this technology is to be implemented worldwide.","author":[{"dropping-particle":"","family":"Sun","given":"Xiaolong","non-dropping-particle":"","parse-names":false,"suffix":""},{"dropping-particle":"","family":"Alcalde","given":"Juan","non-dropping-particle":"","parse-names":false,"suffix":""},{"dropping-particle":"","family":"Gomez-Rivas","given":"Enrique","non-dropping-particle":"","parse-names":false,"suffix":""},{"dropping-particle":"","family":"Struth","given":"Lucía","non-dropping-particle":"","parse-names":false,"suffix":""},{"dropping-particle":"","family":"Johnson","given":"Gareth","non-dropping-particle":"","parse-names":false,"suffix":""},{"dropping-particle":"","family":"Travé","given":"Anna","non-dropping-particle":"","parse-names":false,"suffix":""},{"dropping-particle":"","family":"Gómez-Rivas","given":"Enrique","non-dropping-particle":"","parse-names":false,"suffix":""},{"dropping-particle":"","family":"Struth","given":"Lucía","non-dropping-particle":"","parse-names":false,"suffix":""},{"dropping-particle":"","family":"Johnson","given":"Gareth","non-dropping-particle":"","parse-names":false,"suffix":""},{"dropping-particle":"","family":"Travé","given":"Anna","non-dropping-particle":"","parse-names":false,"suffix":""}],"container-title":"Geoscience Frontiers","id":"ITEM-5","issue":"6","issued":{"date-parts":[["2020"]]},"page":"2309-2321","title":"Appraisal of CO2 storage potential in compressional hydrocarbon-bearing basins: Global assessment and case study in the Sichuan Basin (China)","type":"article-journal","volume":"11"},"uris":["http://www.mendeley.com/documents/?uuid=30c37788-9dd0-4369-ac67-0cbaf4b470aa"]}],"mendeley":{"formattedCitation":"(Bradshaw and Dance, 2005; Edlmann et al., 2015; Sun et al., 2020; UNIDO, 2011; Wei et al., 2013)","plainTextFormattedCitation":"(Bradshaw and Dance, 2005; Edlmann et al., 2015; Sun et al., 2020; UNIDO, 2011; Wei et al., 2013)","previouslyFormattedCitation":"(Bradshaw and Dance, 2005; Edlmann et al., 2015; Sun et al., 2020; UNIDO, 2011; Wei et al., 2013)"},"properties":{"noteIndex":0},"schema":"https://github.com/citation-style-language/schema/raw/master/csl-citation.json"}</w:instrText>
      </w:r>
      <w:r w:rsidR="00D57356" w:rsidRPr="007E3AFF">
        <w:rPr>
          <w:rStyle w:val="BookTitle"/>
          <w:rFonts w:ascii="Times New Roman" w:hAnsi="Times New Roman"/>
          <w:b w:val="0"/>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(Bradshaw and Dance, 2005; Edlmann et al., 2015; Sun et al., 2020; UNIDO, 2011; Wei et al., 2013)</w:t>
      </w:r>
      <w:r w:rsidR="00D57356" w:rsidRPr="007E3AFF">
        <w:rPr>
          <w:rStyle w:val="BookTitle"/>
          <w:rFonts w:ascii="Times New Roman" w:hAnsi="Times New Roman"/>
          <w:b w:val="0"/>
          <w:spacing w:val="0"/>
          <w:sz w:val="22"/>
          <w:szCs w:val="22"/>
          <w:lang w:val="en-GB"/>
        </w:rPr>
        <w:fldChar w:fldCharType="end"/>
      </w:r>
      <w:r w:rsidR="00D57356" w:rsidRPr="007E3AFF">
        <w:rPr>
          <w:rStyle w:val="BookTitle"/>
          <w:rFonts w:ascii="Times New Roman" w:hAnsi="Times New Roman"/>
          <w:b w:val="0"/>
          <w:spacing w:val="0"/>
          <w:sz w:val="22"/>
          <w:szCs w:val="22"/>
          <w:lang w:val="en-GB"/>
        </w:rPr>
        <w:t>.</w:t>
      </w:r>
      <w:r w:rsidR="00653D30" w:rsidRPr="007E3AFF">
        <w:rPr>
          <w:rStyle w:val="BookTitle"/>
          <w:rFonts w:ascii="Times New Roman" w:hAnsi="Times New Roman"/>
          <w:b w:val="0"/>
          <w:spacing w:val="0"/>
          <w:sz w:val="22"/>
          <w:szCs w:val="22"/>
          <w:lang w:val="en-GB"/>
        </w:rPr>
        <w:t xml:space="preserve"> These assessments can include </w:t>
      </w:r>
      <w:r w:rsidR="0056362B" w:rsidRPr="007E3AFF">
        <w:rPr>
          <w:rStyle w:val="BookTitle"/>
          <w:rFonts w:ascii="Times New Roman" w:hAnsi="Times New Roman"/>
          <w:b w:val="0"/>
          <w:spacing w:val="0"/>
          <w:sz w:val="22"/>
          <w:szCs w:val="22"/>
          <w:lang w:val="en-GB"/>
        </w:rPr>
        <w:t>other criteria, such as infrastructure distribution (</w:t>
      </w:r>
      <w:proofErr w:type="gramStart"/>
      <w:r w:rsidR="0056362B" w:rsidRPr="007E3AFF">
        <w:rPr>
          <w:rStyle w:val="BookTitle"/>
          <w:rFonts w:ascii="Times New Roman" w:hAnsi="Times New Roman"/>
          <w:b w:val="0"/>
          <w:spacing w:val="0"/>
          <w:sz w:val="22"/>
          <w:szCs w:val="22"/>
          <w:lang w:val="en-GB"/>
        </w:rPr>
        <w:t>e.g.</w:t>
      </w:r>
      <w:proofErr w:type="gramEnd"/>
      <w:r w:rsidR="0056362B" w:rsidRPr="007E3AFF">
        <w:rPr>
          <w:rStyle w:val="BookTitle"/>
          <w:rFonts w:ascii="Times New Roman" w:hAnsi="Times New Roman"/>
          <w:b w:val="0"/>
          <w:spacing w:val="0"/>
          <w:sz w:val="22"/>
          <w:szCs w:val="22"/>
          <w:lang w:val="en-GB"/>
        </w:rPr>
        <w:t xml:space="preserve"> pipelines or transport hubs), risk assessments (e.g. natural seismicity) or </w:t>
      </w:r>
      <w:r w:rsidR="00EA33AF" w:rsidRPr="007E3AFF">
        <w:rPr>
          <w:rStyle w:val="BookTitle"/>
          <w:rFonts w:ascii="Times New Roman" w:hAnsi="Times New Roman"/>
          <w:b w:val="0"/>
          <w:spacing w:val="0"/>
          <w:sz w:val="22"/>
          <w:szCs w:val="22"/>
          <w:lang w:val="en-GB"/>
        </w:rPr>
        <w:t xml:space="preserve">data availability. In general, these studies are useful to </w:t>
      </w:r>
      <w:r w:rsidR="00E23BCD">
        <w:rPr>
          <w:rStyle w:val="BookTitle"/>
          <w:rFonts w:ascii="Times New Roman" w:hAnsi="Times New Roman"/>
          <w:b w:val="0"/>
          <w:spacing w:val="0"/>
          <w:sz w:val="22"/>
          <w:szCs w:val="22"/>
          <w:lang w:val="en-GB"/>
        </w:rPr>
        <w:t xml:space="preserve">help </w:t>
      </w:r>
      <w:r w:rsidR="00EA33AF" w:rsidRPr="007E3AFF">
        <w:rPr>
          <w:rStyle w:val="BookTitle"/>
          <w:rFonts w:ascii="Times New Roman" w:hAnsi="Times New Roman"/>
          <w:b w:val="0"/>
          <w:spacing w:val="0"/>
          <w:sz w:val="22"/>
          <w:szCs w:val="22"/>
          <w:lang w:val="en-GB"/>
        </w:rPr>
        <w:t xml:space="preserve">determine broad </w:t>
      </w:r>
      <w:r w:rsidR="00E23BCD">
        <w:rPr>
          <w:rStyle w:val="BookTitle"/>
          <w:rFonts w:ascii="Times New Roman" w:hAnsi="Times New Roman"/>
          <w:b w:val="0"/>
          <w:spacing w:val="0"/>
          <w:sz w:val="22"/>
          <w:szCs w:val="22"/>
          <w:lang w:val="en-GB"/>
        </w:rPr>
        <w:t xml:space="preserve">geographic </w:t>
      </w:r>
      <w:r w:rsidR="00EA33AF" w:rsidRPr="007E3AFF">
        <w:rPr>
          <w:rStyle w:val="BookTitle"/>
          <w:rFonts w:ascii="Times New Roman" w:hAnsi="Times New Roman"/>
          <w:b w:val="0"/>
          <w:spacing w:val="0"/>
          <w:sz w:val="22"/>
          <w:szCs w:val="22"/>
          <w:lang w:val="en-GB"/>
        </w:rPr>
        <w:t xml:space="preserve">areas of interest, but more specific approaches are needed </w:t>
      </w:r>
      <w:r w:rsidR="00294C9F" w:rsidRPr="007E3AFF">
        <w:rPr>
          <w:rStyle w:val="BookTitle"/>
          <w:rFonts w:ascii="Times New Roman" w:hAnsi="Times New Roman"/>
          <w:b w:val="0"/>
          <w:spacing w:val="0"/>
          <w:sz w:val="22"/>
          <w:szCs w:val="22"/>
          <w:lang w:val="en-GB"/>
        </w:rPr>
        <w:t>to</w:t>
      </w:r>
      <w:r w:rsidR="00EA33AF" w:rsidRPr="007E3AFF">
        <w:rPr>
          <w:rStyle w:val="BookTitle"/>
          <w:rFonts w:ascii="Times New Roman" w:hAnsi="Times New Roman"/>
          <w:b w:val="0"/>
          <w:spacing w:val="0"/>
          <w:sz w:val="22"/>
          <w:szCs w:val="22"/>
          <w:lang w:val="en-GB"/>
        </w:rPr>
        <w:t xml:space="preserve"> address the selection of single </w:t>
      </w:r>
      <w:r w:rsidR="00294C9F" w:rsidRPr="007E3AFF">
        <w:rPr>
          <w:rStyle w:val="BookTitle"/>
          <w:rFonts w:ascii="Times New Roman" w:hAnsi="Times New Roman"/>
          <w:b w:val="0"/>
          <w:spacing w:val="0"/>
          <w:sz w:val="22"/>
          <w:szCs w:val="22"/>
          <w:lang w:val="en-GB"/>
        </w:rPr>
        <w:t xml:space="preserve">storage </w:t>
      </w:r>
      <w:r w:rsidR="00EA33AF" w:rsidRPr="007E3AFF">
        <w:rPr>
          <w:rStyle w:val="BookTitle"/>
          <w:rFonts w:ascii="Times New Roman" w:hAnsi="Times New Roman"/>
          <w:b w:val="0"/>
          <w:spacing w:val="0"/>
          <w:sz w:val="22"/>
          <w:szCs w:val="22"/>
          <w:lang w:val="en-GB"/>
        </w:rPr>
        <w:t>sites.</w:t>
      </w:r>
    </w:p>
    <w:p w14:paraId="03559018" w14:textId="7B91BE17" w:rsidR="00295E43" w:rsidRPr="00972203" w:rsidRDefault="005D6E23" w:rsidP="00295E43">
      <w:pPr>
        <w:pStyle w:val="BodyText"/>
        <w:spacing w:after="120" w:line="276" w:lineRule="auto"/>
        <w:rPr>
          <w:rStyle w:val="BookTitle"/>
          <w:rFonts w:ascii="Times New Roman" w:hAnsi="Times New Roman"/>
          <w:b w:val="0"/>
          <w:spacing w:val="0"/>
          <w:sz w:val="22"/>
          <w:szCs w:val="22"/>
          <w:lang w:val="en-GB"/>
        </w:rPr>
      </w:pPr>
      <w:proofErr w:type="spellStart"/>
      <w:r w:rsidRPr="00972203">
        <w:rPr>
          <w:rStyle w:val="BookTitle"/>
          <w:rFonts w:ascii="Times New Roman" w:hAnsi="Times New Roman"/>
          <w:b w:val="0"/>
          <w:spacing w:val="0"/>
          <w:sz w:val="22"/>
          <w:szCs w:val="22"/>
          <w:lang w:val="en-GB"/>
        </w:rPr>
        <w:t>Bachu</w:t>
      </w:r>
      <w:proofErr w:type="spellEnd"/>
      <w:r w:rsidRPr="00972203">
        <w:rPr>
          <w:rStyle w:val="BookTitle"/>
          <w:rFonts w:ascii="Times New Roman" w:hAnsi="Times New Roman"/>
          <w:b w:val="0"/>
          <w:spacing w:val="0"/>
          <w:sz w:val="22"/>
          <w:szCs w:val="22"/>
          <w:lang w:val="en-GB"/>
        </w:rPr>
        <w:t xml:space="preserve"> </w:t>
      </w:r>
      <w:r w:rsidR="00EC5DB1"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{"citationItems":[{"id":"ITEM-1","itemData":{"DOI":"10.1016/S0196-8904(99)00149-1","ISSN":"01968904","abstract":"Anthropogenic effects on climate can be mitigated through various measures, among them being CO2 sequestration in geological media. Geological sinks for CO2 do not really need any major technological development because the technology has already been developed and applied by the upstream energy industry for hydrocarbon exploration and production. The challenge is rather to identify the best methods and sites for long term CO2 sequestration. There are various ways to sequester CO2 in geological media: utilization in EOR operations, disposal in disused oil and gas reservoirs, replacement of methane in coal beds, injection in deep saline aquifers and storage in salt caverns. Several criteria have to be considered when evaluating the potential of a sedimentary basin for CO2 sequestration: its tectonic setting and geology, the basin geothermal regime, the hydrodynamic regime of formation waters, the hydrocarbon potential and basin maturity, economic aspects relating to access and infrastructure and socio-political conditions. The range of sedimentary basins suitable for CO2 sequestration is significantly reduced if these criteria and climatic conditions, accessibility, infrastructure and cost of CO2 capture and injection are taken into account. A systematic approach is proposed for the assessment and selection of method and sites for CO2 sequestration in geological media.","author":[{"dropping-particle":"","family":"Bachu","given":"Stefan","non-dropping-particle":"","parse-names":false,"suffix":""}],"container-title":"Energy Conversion and Management","id":"ITEM-1","issue":"9","issued":{"date-parts":[["2000"]]},"page":"953-970","title":"Sequestration of CO2 in geological media: Criteria and approach for site selection in response to climate change","type":"article-journal","volume":"41"},"uris":["http://www.mendeley.com/documents/?uuid=6f694315-b1ce-43ad-a838-10f14856bba7"]}],"mendeley":{"formattedCitation":"(Bachu, 2000)","plainTextFormattedCitation":"(Bachu, 2000)","previouslyFormattedCitation":"(Bachu, 2000)"},"properties":{"noteIndex":0},"schema":"https://github.com/citation-style-language/schema/raw/master/csl-citation.json"}</w:instrText>
      </w:r>
      <w:r w:rsidR="00EC5DB1"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(Bachu, 2000)</w:t>
      </w:r>
      <w:r w:rsidR="00EC5DB1" w:rsidRPr="00972203">
        <w:rPr>
          <w:rStyle w:val="BookTitle"/>
          <w:rFonts w:ascii="Times New Roman" w:hAnsi="Times New Roman"/>
          <w:b w:val="0"/>
          <w:noProof/>
          <w:spacing w:val="0"/>
          <w:sz w:val="22"/>
          <w:szCs w:val="22"/>
          <w:lang w:val="en-GB"/>
        </w:rPr>
        <w:fldChar w:fldCharType="end"/>
      </w:r>
      <w:r w:rsidRPr="00972203">
        <w:rPr>
          <w:rStyle w:val="BookTitle"/>
          <w:rFonts w:ascii="Times New Roman" w:hAnsi="Times New Roman"/>
          <w:b w:val="0"/>
          <w:spacing w:val="0"/>
          <w:sz w:val="22"/>
          <w:szCs w:val="22"/>
          <w:lang w:val="en-GB"/>
        </w:rPr>
        <w:t xml:space="preserve"> proposed that (specific) site selection “should be based on a suitability analysis, a proper inventory of potential sites, an assessment of the fate of the injected CO</w:t>
      </w:r>
      <w:r w:rsidRPr="00972203">
        <w:rPr>
          <w:rStyle w:val="BookTitle"/>
          <w:rFonts w:ascii="Times New Roman" w:hAnsi="Times New Roman"/>
          <w:b w:val="0"/>
          <w:spacing w:val="0"/>
          <w:sz w:val="22"/>
          <w:szCs w:val="22"/>
          <w:vertAlign w:val="subscript"/>
          <w:lang w:val="en-GB"/>
        </w:rPr>
        <w:t>2</w:t>
      </w:r>
      <w:r w:rsidRPr="00972203">
        <w:rPr>
          <w:rStyle w:val="BookTitle"/>
          <w:rFonts w:ascii="Times New Roman" w:hAnsi="Times New Roman"/>
          <w:b w:val="0"/>
          <w:spacing w:val="0"/>
          <w:sz w:val="22"/>
          <w:szCs w:val="22"/>
          <w:lang w:val="en-GB"/>
        </w:rPr>
        <w:t xml:space="preserve"> and a capacity</w:t>
      </w:r>
      <w:r w:rsidR="00E23BCD">
        <w:rPr>
          <w:rStyle w:val="BookTitle"/>
          <w:rFonts w:ascii="Times New Roman" w:hAnsi="Times New Roman"/>
          <w:b w:val="0"/>
          <w:spacing w:val="0"/>
          <w:sz w:val="22"/>
          <w:szCs w:val="22"/>
          <w:lang w:val="en-GB"/>
        </w:rPr>
        <w:t>-</w:t>
      </w:r>
      <w:r w:rsidRPr="00972203">
        <w:rPr>
          <w:rStyle w:val="BookTitle"/>
          <w:rFonts w:ascii="Times New Roman" w:hAnsi="Times New Roman"/>
          <w:b w:val="0"/>
          <w:spacing w:val="0"/>
          <w:sz w:val="22"/>
          <w:szCs w:val="22"/>
          <w:lang w:val="en-GB"/>
        </w:rPr>
        <w:t>determination, together with surface criteria such as CO</w:t>
      </w:r>
      <w:r w:rsidRPr="00972203">
        <w:rPr>
          <w:rStyle w:val="BookTitle"/>
          <w:rFonts w:ascii="Times New Roman" w:hAnsi="Times New Roman"/>
          <w:b w:val="0"/>
          <w:spacing w:val="0"/>
          <w:sz w:val="22"/>
          <w:szCs w:val="22"/>
          <w:vertAlign w:val="subscript"/>
          <w:lang w:val="en-GB"/>
        </w:rPr>
        <w:t>2</w:t>
      </w:r>
      <w:r w:rsidRPr="00972203">
        <w:rPr>
          <w:rStyle w:val="BookTitle"/>
          <w:rFonts w:ascii="Times New Roman" w:hAnsi="Times New Roman"/>
          <w:b w:val="0"/>
          <w:spacing w:val="0"/>
          <w:sz w:val="22"/>
          <w:szCs w:val="22"/>
          <w:lang w:val="en-GB"/>
        </w:rPr>
        <w:t xml:space="preserve"> capture and transport”. </w:t>
      </w:r>
      <w:r w:rsidR="00F44AF7">
        <w:rPr>
          <w:rStyle w:val="BookTitle"/>
          <w:rFonts w:ascii="Times New Roman" w:hAnsi="Times New Roman"/>
          <w:b w:val="0"/>
          <w:spacing w:val="0"/>
          <w:sz w:val="22"/>
          <w:szCs w:val="22"/>
          <w:lang w:val="en-GB"/>
        </w:rPr>
        <w:t>In order</w:t>
      </w:r>
      <w:r w:rsidR="00F44AF7" w:rsidRPr="00972203">
        <w:rPr>
          <w:rStyle w:val="BookTitle"/>
          <w:rFonts w:ascii="Times New Roman" w:hAnsi="Times New Roman"/>
          <w:b w:val="0"/>
          <w:spacing w:val="0"/>
          <w:sz w:val="22"/>
          <w:szCs w:val="22"/>
          <w:lang w:val="en-GB"/>
        </w:rPr>
        <w:t xml:space="preserve"> to select candidate </w:t>
      </w:r>
      <w:r w:rsidR="00F44AF7">
        <w:rPr>
          <w:rStyle w:val="BookTitle"/>
          <w:rFonts w:ascii="Times New Roman" w:hAnsi="Times New Roman"/>
          <w:b w:val="0"/>
          <w:spacing w:val="0"/>
          <w:sz w:val="22"/>
          <w:szCs w:val="22"/>
          <w:lang w:val="en-GB"/>
        </w:rPr>
        <w:t xml:space="preserve">storage </w:t>
      </w:r>
      <w:r w:rsidR="00F44AF7" w:rsidRPr="00972203">
        <w:rPr>
          <w:rStyle w:val="BookTitle"/>
          <w:rFonts w:ascii="Times New Roman" w:hAnsi="Times New Roman"/>
          <w:b w:val="0"/>
          <w:spacing w:val="0"/>
          <w:sz w:val="22"/>
          <w:szCs w:val="22"/>
          <w:lang w:val="en-GB"/>
        </w:rPr>
        <w:t>sites</w:t>
      </w:r>
      <w:r w:rsidR="009551B2">
        <w:rPr>
          <w:rStyle w:val="BookTitle"/>
          <w:rFonts w:ascii="Times New Roman" w:hAnsi="Times New Roman"/>
          <w:b w:val="0"/>
          <w:spacing w:val="0"/>
          <w:sz w:val="22"/>
          <w:szCs w:val="22"/>
          <w:lang w:val="en-GB"/>
        </w:rPr>
        <w:t>,</w:t>
      </w:r>
      <w:r w:rsidR="00F44AF7" w:rsidRPr="00972203">
        <w:rPr>
          <w:rStyle w:val="BookTitle"/>
          <w:rFonts w:ascii="Times New Roman" w:hAnsi="Times New Roman"/>
          <w:b w:val="0"/>
          <w:spacing w:val="0"/>
          <w:sz w:val="22"/>
          <w:szCs w:val="22"/>
          <w:lang w:val="en-GB"/>
        </w:rPr>
        <w:t xml:space="preserve"> </w:t>
      </w:r>
      <w:r w:rsidR="00F44AF7">
        <w:rPr>
          <w:rStyle w:val="BookTitle"/>
          <w:rFonts w:ascii="Times New Roman" w:hAnsi="Times New Roman"/>
          <w:b w:val="0"/>
          <w:spacing w:val="0"/>
          <w:sz w:val="22"/>
          <w:szCs w:val="22"/>
          <w:lang w:val="en-GB"/>
        </w:rPr>
        <w:t>s</w:t>
      </w:r>
      <w:r w:rsidR="00295E43" w:rsidRPr="00972203">
        <w:rPr>
          <w:rStyle w:val="BookTitle"/>
          <w:rFonts w:ascii="Times New Roman" w:hAnsi="Times New Roman"/>
          <w:b w:val="0"/>
          <w:spacing w:val="0"/>
          <w:sz w:val="22"/>
          <w:szCs w:val="22"/>
          <w:lang w:val="en-GB"/>
        </w:rPr>
        <w:t xml:space="preserve">tudies such as Chadwick et al. </w:t>
      </w:r>
      <w:r w:rsidR="00295E43"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{"citationItems":[{"id":"ITEM-1","itemData":{"ISBN":"9780852726105","ISSN":"0036-8075","PMID":"15418204","abstract":"Carbon capture and storage is a subject around which there is a growing level of public awareness. A range of geological scenarios may be used for underground CO2 storage; declining oil and gas fields, saline aquifers and coal seams. Saline aquifers are reckoned to offer the largest overall storage potential and the this book offers key insights into aquifer storage issues. European collaborative projects between 1998 and 2006 have researched the potential for large-scale storage of CO2 in underground saline aquifer formations. This book consolidates the findings of the SACS and the CO2STORE projects into a manual of observations and recommendations, aiming to provide technically robust guidelines for effective and safe storage of CO2 in a range of geological settings. A wide range of geological, environmental and planning issues are addressed, and it forms a sound basis for establishing recommended procedures for the planning and setting up of a potential CO2 storage operation. It will be useful to commercial companies, regulatory authorities and NGOs in evaluating possible new CO2 storage sites in Europe and elsewhere.","author":[{"dropping-particle":"","family":"Chadwick","given":"Andy","non-dropping-particle":"","parse-names":false,"suffix":""},{"dropping-particle":"","family":"Arts","given":"Rob","non-dropping-particle":"","parse-names":false,"suffix":""},{"dropping-particle":"","family":"Bernstone","given":"Christian","non-dropping-particle":"","parse-names":false,"suffix":""},{"dropping-particle":"","family":"May","given":"Franz","non-dropping-particle":"","parse-names":false,"suffix":""},{"dropping-particle":"","family":"Thibeau","given":"Sylvain","non-dropping-particle":"","parse-names":false,"suffix":""},{"dropping-particle":"","family":"Zweigel","given":"Peter","non-dropping-particle":"","parse-names":false,"suffix":""}],"container-title":"North Star","id":"ITEM-1","issued":{"date-parts":[["2008"]]},"number-of-pages":"267","title":"Best practice for the storage of CO2 in saline aquifers - observations and guidelines from the SACS and CO2STORE projects","type":"book","volume":"14"},"uris":["http://www.mendeley.com/documents/?uuid=fbc87e49-7a9f-4d80-8dfe-4c0dc936ba71"]}],"mendeley":{"formattedCitation":"(Chadwick et al., 2008)","manualFormatting":"(2008)","plainTextFormattedCitation":"(Chadwick et al., 2008)","previouslyFormattedCitation":"(Chadwick et al., 2008)"},"properties":{"noteIndex":0},"schema":"https://github.com/citation-style-language/schema/raw/master/csl-citation.json"}</w:instrText>
      </w:r>
      <w:r w:rsidR="00295E43"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(2008)</w:t>
      </w:r>
      <w:r w:rsidR="00295E43" w:rsidRPr="00972203">
        <w:rPr>
          <w:rStyle w:val="BookTitle"/>
          <w:rFonts w:ascii="Times New Roman" w:hAnsi="Times New Roman"/>
          <w:b w:val="0"/>
          <w:noProof/>
          <w:spacing w:val="0"/>
          <w:sz w:val="22"/>
          <w:szCs w:val="22"/>
          <w:lang w:val="en-GB"/>
        </w:rPr>
        <w:fldChar w:fldCharType="end"/>
      </w:r>
      <w:r w:rsidR="009D58AA">
        <w:rPr>
          <w:rStyle w:val="BookTitle"/>
          <w:rFonts w:ascii="Times New Roman" w:hAnsi="Times New Roman"/>
          <w:b w:val="0"/>
          <w:noProof/>
          <w:spacing w:val="0"/>
          <w:sz w:val="22"/>
          <w:szCs w:val="22"/>
          <w:lang w:val="en-GB"/>
        </w:rPr>
        <w:t>,</w:t>
      </w:r>
      <w:r w:rsidR="00295E43" w:rsidRPr="00972203">
        <w:rPr>
          <w:rStyle w:val="BookTitle"/>
          <w:rFonts w:ascii="Times New Roman" w:hAnsi="Times New Roman"/>
          <w:b w:val="0"/>
          <w:spacing w:val="0"/>
          <w:sz w:val="22"/>
          <w:szCs w:val="22"/>
          <w:lang w:val="en-GB"/>
        </w:rPr>
        <w:t xml:space="preserve"> Ramirez et al. </w:t>
      </w:r>
      <w:r w:rsidR="00295E43" w:rsidRPr="00972203">
        <w:rPr>
          <w:rStyle w:val="BookTitle"/>
          <w:rFonts w:ascii="Times New Roman" w:hAnsi="Times New Roman"/>
          <w:b w:val="0"/>
          <w:spacing w:val="0"/>
          <w:sz w:val="22"/>
          <w:szCs w:val="22"/>
          <w:lang w:val="en-GB"/>
        </w:rPr>
        <w:fldChar w:fldCharType="begin" w:fldLock="1"/>
      </w:r>
      <w:r w:rsidR="009D58AA">
        <w:rPr>
          <w:rStyle w:val="BookTitle"/>
          <w:rFonts w:ascii="Times New Roman" w:hAnsi="Times New Roman"/>
          <w:b w:val="0"/>
          <w:spacing w:val="0"/>
          <w:sz w:val="22"/>
          <w:szCs w:val="22"/>
          <w:lang w:val="en-GB"/>
        </w:rPr>
        <w:instrText>ADDIN CSL_CITATION {"citationItems":[{"id":"ITEM-1","itemData":{"DOI":"10.1016/j.ijggc.2009.10.015","ISSN":"17505836","abstract":"This paper describes the development and application of a methodology to screen and rank Dutch reservoirs suitable for long-term large scale CO2 storage. The screening focuses on off- and on-shore individual aquifers, gas and oil fields. In total 176 storage reservoirs have been taken into consideration: 138 gas fields, 4 oil fields and 34 aquifers, with a total theoretical storage potential of about 3200 Mt CO2. The reservoirs are screened according to three criteria: potential storage capacity, storage costs and effort needed to manage risk. Due to the large number of reservoirs, which limits the possibility to use any pair-wise comparison method (e.g. Multi-Criteria programs such as Bosda or Naiade), a spreadsheet tool was designed to provide an assessment of each of the criteria through an evaluation of the fields present in the database and a set of scores provided by a (inter)national panel of experts. The assessment is sufficiently simple and allows others to review it, re-do it or expand it. The results of the methodology show that plausible comparisons of prospective sites with limited characterization data are possible. © 2009 Elsevier Ltd. All rights reserved.","author":[{"dropping-particle":"","family":"Ramírez","given":"Andrea","non-dropping-particle":"","parse-names":false,"suffix":""},{"dropping-particle":"","family":"Hagedoorn","given":"Saskia","non-dropping-particle":"","parse-names":false,"suffix":""},{"dropping-particle":"","family":"Kramers","given":"Leslie","non-dropping-particle":"","parse-names":false,"suffix":""},{"dropping-particle":"","family":"Wildenborg","given":"Ton","non-dropping-particle":"","parse-names":false,"suffix":""},{"dropping-particle":"","family":"Hendriks","given":"Chris","non-dropping-particle":"","parse-names":false,"suffix":""}],"container-title":"International Journal of Greenhouse Gas Control","id":"ITEM-1","issue":"2","issued":{"date-parts":[["2010"]]},"page":"367-380","publisher":"Elsevier","title":"Screening CO2 storage options in The Netherlands","type":"article-journal","volume":"4"},"uris":["http://www.mendeley.com/documents/?uuid=dba62f03-7219-4072-8264-897ecf244ef9"]}],"mendeley":{"formattedCitation":"(Ramírez et al., 2010)","manualFormatting":"(2010)","plainTextFormattedCitation":"(Ramírez et al., 2010)","previouslyFormattedCitation":"(Ramírez et al., 2010)"},"properties":{"noteIndex":0},"schema":"https://github.com/citation-style-language/schema/raw/master/csl-citation.json"}</w:instrText>
      </w:r>
      <w:r w:rsidR="00295E43" w:rsidRPr="00972203">
        <w:rPr>
          <w:rStyle w:val="BookTitle"/>
          <w:rFonts w:ascii="Times New Roman" w:hAnsi="Times New Roman"/>
          <w:b w:val="0"/>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(2010)</w:t>
      </w:r>
      <w:r w:rsidR="00295E43" w:rsidRPr="00972203">
        <w:rPr>
          <w:rStyle w:val="BookTitle"/>
          <w:rFonts w:ascii="Times New Roman" w:hAnsi="Times New Roman"/>
          <w:b w:val="0"/>
          <w:spacing w:val="0"/>
          <w:sz w:val="22"/>
          <w:szCs w:val="22"/>
          <w:lang w:val="en-GB"/>
        </w:rPr>
        <w:fldChar w:fldCharType="end"/>
      </w:r>
      <w:r w:rsidR="009D58AA">
        <w:rPr>
          <w:rStyle w:val="BookTitle"/>
          <w:rFonts w:ascii="Times New Roman" w:hAnsi="Times New Roman"/>
          <w:b w:val="0"/>
          <w:spacing w:val="0"/>
          <w:sz w:val="22"/>
          <w:szCs w:val="22"/>
          <w:lang w:val="en-GB"/>
        </w:rPr>
        <w:t xml:space="preserve">, and </w:t>
      </w:r>
      <w:proofErr w:type="spellStart"/>
      <w:r w:rsidR="009D58AA">
        <w:rPr>
          <w:rStyle w:val="BookTitle"/>
          <w:rFonts w:ascii="Times New Roman" w:hAnsi="Times New Roman"/>
          <w:b w:val="0"/>
          <w:spacing w:val="0"/>
          <w:sz w:val="22"/>
          <w:szCs w:val="22"/>
          <w:lang w:val="en-GB"/>
        </w:rPr>
        <w:t>Delprat-Jannaud</w:t>
      </w:r>
      <w:proofErr w:type="spellEnd"/>
      <w:r w:rsidR="009D58AA">
        <w:rPr>
          <w:rStyle w:val="BookTitle"/>
          <w:rFonts w:ascii="Times New Roman" w:hAnsi="Times New Roman"/>
          <w:b w:val="0"/>
          <w:spacing w:val="0"/>
          <w:sz w:val="22"/>
          <w:szCs w:val="22"/>
          <w:lang w:val="en-GB"/>
        </w:rPr>
        <w:t xml:space="preserve"> et al., </w:t>
      </w:r>
      <w:r w:rsidR="009D58AA">
        <w:rPr>
          <w:rStyle w:val="BookTitle"/>
          <w:rFonts w:ascii="Times New Roman" w:hAnsi="Times New Roman"/>
          <w:b w:val="0"/>
          <w:spacing w:val="0"/>
          <w:sz w:val="22"/>
          <w:szCs w:val="22"/>
          <w:lang w:val="en-GB"/>
        </w:rPr>
        <w:fldChar w:fldCharType="begin" w:fldLock="1"/>
      </w:r>
      <w:r w:rsidR="002B78D5">
        <w:rPr>
          <w:rStyle w:val="BookTitle"/>
          <w:rFonts w:ascii="Times New Roman" w:hAnsi="Times New Roman"/>
          <w:b w:val="0"/>
          <w:spacing w:val="0"/>
          <w:sz w:val="22"/>
          <w:szCs w:val="22"/>
          <w:lang w:val="en-GB"/>
        </w:rPr>
        <w:instrText>ADDIN CSL_CITATION {"citationItems":[{"id":"ITEM-1","itemData":{"DOI":"10.1177/2050640614548980","ISSN":"2050-6406","abstract":"INTRODUCTION: Tumour necrosis factor (TNF)-antagonists are effective treatments for inflammatory bowel disease (IBD), but secondary loss of response (LOR) occurs in 10-15% patients/year. Therapeutic drug monitoring (TDM) has emerged to facilitate decision-making around secondary LOR. In Addenbrooke's Hospital 107 and 41 IBD patients are on infliximab and adalimumab respectively. AIMS &amp; METHODS: Assess serum infliximab and antibodies to infliximab (ATI) in IBD patients and determine usefulness of TDM in clinical decisionmaking. Prospective cohort study of IBD patients on infliximab between Aug 2013-Jan 2014. Demographic and clinical data collected. Disease activity assessed using Harvey-Bradshaw index (HBI) for Crohn's disease (CD) and Simple Clinical Colitis Activity Index (SCCAI) for Ulcerative colitis (UC). C-reactive protein and faecal calprotectin were measured. Bloods assayed for trough level of infliximab (TLI)+/-ATI using LISA-TRACKER Premium ELISA kits (Theradiag). ATI only if intermediate or subtherapeutic TLI and positive evidence of inflammatory activity. TLI interpretations: Therapeutic level &gt;2μg/mL, Intermediate level 1.0-2.0μg/mL and Subtherapeutic level &lt; 1.0mg/mL. ATI analytical range: 10-200ng/mL. RESULTS: 107 patients (55males,52females) recruited. Mean age 35.9 years (range,18-74 years). Mean disease duration 9.6 years (range,7months-39 years). Mean disease duration before starting infliximab 6.8 years (range,1month-39 years). Diagnoses of CD, UC and IBD-Unspecified were 104, 2 and 1 respectively. Majority 70 (66%) were on 8-weekly regime. Mean duration of infliximab 3.3 years. For TLI results,73 (68.2%),12 (11.2%) and 22 (20.6%) were in the therapeutic, intermediate and subtherapeutic range respectively. For subtherapeutic TLI group,14 (63%) had undetectable ATI,3 (14%) had ATI of 42ng/ mL,31ng/mL and 50ng/mL; and 5 (23%) did not have ATI done as they had no evidence of inflammatory activity. For intermediate TLI group,8 (67%) had undetectable ATI,1 (8%) had ATI of 160ng/mL and 3 (25%) did not have ATI done as they had no evidence of inflammatory activity. For therapeutic TLI group,24 (33%) had evidence of inflammatory activity.39 (36%) were not on immunomodulators (IM). Among 68 patients who were on IM,62 (91%) were on thiopurines and 6 (9%) on methotrexate. In thiopurines group,34 (55%) had thiopurine metabolites (6-TGN) done, of which 25 (74%) were within therapeutic range. Among 68 patients who were on IM,51 (75%) achieved thera…","author":[{"dropping-particle":"","family":"Delprat-Jannaud","given":"F.","non-dropping-particle":"","parse-names":false,"suffix":""},{"dropping-particle":"","family":"Korre","given":"A.","non-dropping-particle":"","parse-names":false,"suffix":""},{"dropping-particle":"","family":"Shi","given":"Ji-Quan","non-dropping-particle":"","parse-names":false,"suffix":""},{"dropping-particle":"","family":"McConnell","given":"B.","non-dropping-particle":"","parse-names":false,"suffix":""},{"dropping-particle":"","family":"Arvaniti","given":"s A.","non-dropping-particle":"","parse-names":false,"suffix":""},{"dropping-particle":"","family":"Boavida","given":"D.","non-dropping-particle":"","parse-names":false,"suffix":""},{"dropping-particle":"","family":"Car","given":"M.","non-dropping-particle":"","parse-names":false,"suffix":""},{"dropping-particle":"","family":"Gastine","given":"M.","non-dropping-particle":"","parse-names":false,"suffix":""},{"dropping-particle":"","family":"Grunnaleite","given":"I.","non-dropping-particle":"","parse-names":false,"suffix":""},{"dropping-particle":"","family":"Bateman","given":"K.","non-dropping-particle":"","parse-names":false,"suffix":""},{"dropping-particle":"","family":"Poulsen","given":"N.","non-dropping-particle":"","parse-names":false,"suffix":""},{"dropping-particle":"","family":"Sinayuc","given":"C.","non-dropping-particle":"","parse-names":false,"suffix":""},{"dropping-particle":"","family":"Vähäkuopus","given":"T.","non-dropping-particle":"","parse-names":false,"suffix":""},{"dropping-particle":"","family":"Vercelli","given":"S.","non-dropping-particle":"","parse-names":false,"suffix":""},{"dropping-particle":"","family":"Wójcicki","given":"A.","non-dropping-particle":"","parse-names":false,"suffix":""}],"container-title":"CO2GeoNet","id":"ITEM-1","issue":"1_suppl","issued":{"date-parts":[["2014"]]},"page":"A132-A605","title":"State-of-the-Art Review of Co2 Storage Site Selection and Characterisation Methods","type":"article-journal","volume":"2"},"uris":["http://www.mendeley.com/documents/?uuid=37fd4c78-6e50-4d22-81ff-887706cd58f4"]}],"mendeley":{"formattedCitation":"(Delprat-Jannaud et al., 2014)","manualFormatting":"(2014)","plainTextFormattedCitation":"(Delprat-Jannaud et al., 2014)","previouslyFormattedCitation":"(Delprat-Jannaud et al., 2014)"},"properties":{"noteIndex":0},"schema":"https://github.com/citation-style-language/schema/raw/master/csl-citation.json"}</w:instrText>
      </w:r>
      <w:r w:rsidR="009D58AA">
        <w:rPr>
          <w:rStyle w:val="BookTitle"/>
          <w:rFonts w:ascii="Times New Roman" w:hAnsi="Times New Roman"/>
          <w:b w:val="0"/>
          <w:spacing w:val="0"/>
          <w:sz w:val="22"/>
          <w:szCs w:val="22"/>
          <w:lang w:val="en-GB"/>
        </w:rPr>
        <w:fldChar w:fldCharType="separate"/>
      </w:r>
      <w:r w:rsidR="009D58AA" w:rsidRPr="009D58AA">
        <w:rPr>
          <w:rStyle w:val="BookTitle"/>
          <w:rFonts w:ascii="Times New Roman" w:hAnsi="Times New Roman"/>
          <w:b w:val="0"/>
          <w:noProof/>
          <w:spacing w:val="0"/>
          <w:sz w:val="22"/>
          <w:szCs w:val="22"/>
          <w:lang w:val="en-GB"/>
        </w:rPr>
        <w:t>(2014)</w:t>
      </w:r>
      <w:r w:rsidR="009D58AA">
        <w:rPr>
          <w:rStyle w:val="BookTitle"/>
          <w:rFonts w:ascii="Times New Roman" w:hAnsi="Times New Roman"/>
          <w:b w:val="0"/>
          <w:spacing w:val="0"/>
          <w:sz w:val="22"/>
          <w:szCs w:val="22"/>
          <w:lang w:val="en-GB"/>
        </w:rPr>
        <w:fldChar w:fldCharType="end"/>
      </w:r>
      <w:r w:rsidR="00295E43" w:rsidRPr="00972203">
        <w:rPr>
          <w:rStyle w:val="BookTitle"/>
          <w:rFonts w:ascii="Times New Roman" w:hAnsi="Times New Roman"/>
          <w:b w:val="0"/>
          <w:spacing w:val="0"/>
          <w:sz w:val="22"/>
          <w:szCs w:val="22"/>
          <w:lang w:val="en-GB"/>
        </w:rPr>
        <w:t xml:space="preserve"> propose</w:t>
      </w:r>
      <w:r w:rsidR="00E23BCD">
        <w:rPr>
          <w:rStyle w:val="BookTitle"/>
          <w:rFonts w:ascii="Times New Roman" w:hAnsi="Times New Roman"/>
          <w:b w:val="0"/>
          <w:spacing w:val="0"/>
          <w:sz w:val="22"/>
          <w:szCs w:val="22"/>
          <w:lang w:val="en-GB"/>
        </w:rPr>
        <w:t>d</w:t>
      </w:r>
      <w:r w:rsidR="00295E43" w:rsidRPr="00972203">
        <w:rPr>
          <w:rStyle w:val="BookTitle"/>
          <w:rFonts w:ascii="Times New Roman" w:hAnsi="Times New Roman"/>
          <w:b w:val="0"/>
          <w:spacing w:val="0"/>
          <w:sz w:val="22"/>
          <w:szCs w:val="22"/>
          <w:lang w:val="en-GB"/>
        </w:rPr>
        <w:t xml:space="preserve"> </w:t>
      </w:r>
      <w:r w:rsidR="009D58AA">
        <w:rPr>
          <w:rStyle w:val="BookTitle"/>
          <w:rFonts w:ascii="Times New Roman" w:hAnsi="Times New Roman"/>
          <w:b w:val="0"/>
          <w:spacing w:val="0"/>
          <w:sz w:val="22"/>
          <w:szCs w:val="22"/>
          <w:lang w:val="en-GB"/>
        </w:rPr>
        <w:t xml:space="preserve">comprehensive guidelines and </w:t>
      </w:r>
      <w:r w:rsidR="00295E43" w:rsidRPr="00972203">
        <w:rPr>
          <w:rStyle w:val="BookTitle"/>
          <w:rFonts w:ascii="Times New Roman" w:hAnsi="Times New Roman"/>
          <w:b w:val="0"/>
          <w:spacing w:val="0"/>
          <w:sz w:val="22"/>
          <w:szCs w:val="22"/>
          <w:lang w:val="en-GB"/>
        </w:rPr>
        <w:t>different thresholds for geological properties</w:t>
      </w:r>
      <w:r w:rsidR="00295E43">
        <w:rPr>
          <w:rStyle w:val="BookTitle"/>
          <w:rFonts w:ascii="Times New Roman" w:hAnsi="Times New Roman"/>
          <w:b w:val="0"/>
          <w:spacing w:val="0"/>
          <w:sz w:val="22"/>
          <w:szCs w:val="22"/>
          <w:lang w:val="en-GB"/>
        </w:rPr>
        <w:t>,</w:t>
      </w:r>
      <w:r w:rsidR="00295E43" w:rsidRPr="00972203">
        <w:rPr>
          <w:rStyle w:val="BookTitle"/>
          <w:rFonts w:ascii="Times New Roman" w:hAnsi="Times New Roman"/>
          <w:b w:val="0"/>
          <w:spacing w:val="0"/>
          <w:sz w:val="22"/>
          <w:szCs w:val="22"/>
          <w:lang w:val="en-GB"/>
        </w:rPr>
        <w:t xml:space="preserve"> such as reservoir porosity and seal continuity. A study published by Raza et al. </w:t>
      </w:r>
      <w:r w:rsidR="00295E43" w:rsidRPr="00972203">
        <w:rPr>
          <w:rStyle w:val="BookTitle"/>
          <w:rFonts w:ascii="Times New Roman" w:hAnsi="Times New Roman"/>
          <w:b w:val="0"/>
          <w:spacing w:val="0"/>
          <w:sz w:val="22"/>
          <w:szCs w:val="22"/>
          <w:lang w:val="en-GB"/>
        </w:rPr>
        <w:fldChar w:fldCharType="begin" w:fldLock="1"/>
      </w:r>
      <w:r w:rsidR="009D58AA">
        <w:rPr>
          <w:rStyle w:val="BookTitle"/>
          <w:rFonts w:ascii="Times New Roman" w:hAnsi="Times New Roman"/>
          <w:b w:val="0"/>
          <w:spacing w:val="0"/>
          <w:sz w:val="22"/>
          <w:szCs w:val="22"/>
          <w:lang w:val="en-GB"/>
        </w:rPr>
        <w:instrText>ADDIN CSL_CITATION {"citationItems":[{"id":"ITEM-1","itemData":{"DOI":"10.1016/j.jngse.2015.11.053","ISSN":"18755100","abstract":"Carbon dioxide released into the atmosphere due to anthropogenic activities has raised the alarm of global warming in the near future. CO2 storage in suitable subsurface geologic media has, therefore, been triggered in recent years. However, identification of suitable sites to store a large quantity of CO2 for a long period of time is not an easy and straightforward task. Although, a general criterion has already been presented based on local-scale projects in which depth, permeability, porosity, density and containment factors were considered for selection of an appropriate geologic medium, there are many other preliminary factors linked to the storage capacity, injectivity, trapping mechanisms, and containment which should not be neglected during a CO2 storage site selection. The aim of this paper is to propose a new screening criterion for the CO2 storage site selection based on a group of key parameters including reservoir and well types, classes of minerals, residual gas and water saturations, subsurface conditions, rock types, wettability, properties of CO2, and sealing potentials. These parameters were combined with those factors presented earlier by other scholars to provide a good insight into the suitable selection of storage sites. Although attempts were made to consider the whole parameters linked to a site selection, more studies are still required to get a final conclusion about the effective parameters which should be a part of the analysis.","author":[{"dropping-particle":"","family":"Raza","given":"Arshad","non-dropping-particle":"","parse-names":false,"suffix":""},{"dropping-particle":"","family":"Rezaee","given":"Reza","non-dropping-particle":"","parse-names":false,"suffix":""},{"dropping-particle":"","family":"Gholami","given":"Raoof","non-dropping-particle":"","parse-names":false,"suffix":""},{"dropping-particle":"","family":"Bing","given":"Chua Han","non-dropping-particle":"","parse-names":false,"suffix":""},{"dropping-particle":"","family":"Nagarajan","given":"Ramasamy","non-dropping-particle":"","parse-names":false,"suffix":""},{"dropping-particle":"","family":"Hamid","given":"Mohamed Ali","non-dropping-particle":"","parse-names":false,"suffix":""}],"container-title":"Journal of Natural Gas Science and Engineering","id":"ITEM-1","issued":{"date-parts":[["2016"]]},"page":"317-327","publisher":"Elsevier B.V","title":"A screening criterion for selection of suitable CO2 storage sites","type":"article-journal","volume":"28"},"uris":["http://www.mendeley.com/documents/?uuid=6bef2892-94e4-43da-b25c-b9ccb39f9c24"]}],"mendeley":{"formattedCitation":"(Raza et al., 2016)","plainTextFormattedCitation":"(Raza et al., 2016)","previouslyFormattedCitation":"(Raza et al., 2016)"},"properties":{"noteIndex":0},"schema":"https://github.com/citation-style-language/schema/raw/master/csl-citation.json"}</w:instrText>
      </w:r>
      <w:r w:rsidR="00295E43" w:rsidRPr="00972203">
        <w:rPr>
          <w:rStyle w:val="BookTitle"/>
          <w:rFonts w:ascii="Times New Roman" w:hAnsi="Times New Roman"/>
          <w:b w:val="0"/>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(Raza et al., 2016)</w:t>
      </w:r>
      <w:r w:rsidR="00295E43" w:rsidRPr="00972203">
        <w:rPr>
          <w:rStyle w:val="BookTitle"/>
          <w:rFonts w:ascii="Times New Roman" w:hAnsi="Times New Roman"/>
          <w:b w:val="0"/>
          <w:spacing w:val="0"/>
          <w:sz w:val="22"/>
          <w:szCs w:val="22"/>
          <w:lang w:val="en-GB"/>
        </w:rPr>
        <w:fldChar w:fldCharType="end"/>
      </w:r>
      <w:r w:rsidR="00295E43" w:rsidRPr="00972203">
        <w:rPr>
          <w:rStyle w:val="BookTitle"/>
          <w:rFonts w:ascii="Times New Roman" w:hAnsi="Times New Roman"/>
          <w:b w:val="0"/>
          <w:spacing w:val="0"/>
          <w:sz w:val="22"/>
          <w:szCs w:val="22"/>
          <w:lang w:val="en-GB"/>
        </w:rPr>
        <w:t xml:space="preserve"> </w:t>
      </w:r>
      <w:r w:rsidR="00E23BCD" w:rsidRPr="00972203">
        <w:rPr>
          <w:rStyle w:val="BookTitle"/>
          <w:rFonts w:ascii="Times New Roman" w:hAnsi="Times New Roman"/>
          <w:b w:val="0"/>
          <w:spacing w:val="0"/>
          <w:sz w:val="22"/>
          <w:szCs w:val="22"/>
          <w:lang w:val="en-GB"/>
        </w:rPr>
        <w:t>extend</w:t>
      </w:r>
      <w:r w:rsidR="00E23BCD">
        <w:rPr>
          <w:rStyle w:val="BookTitle"/>
          <w:rFonts w:ascii="Times New Roman" w:hAnsi="Times New Roman"/>
          <w:b w:val="0"/>
          <w:spacing w:val="0"/>
          <w:sz w:val="22"/>
          <w:szCs w:val="22"/>
          <w:lang w:val="en-GB"/>
        </w:rPr>
        <w:t>ed</w:t>
      </w:r>
      <w:r w:rsidR="00E23BCD" w:rsidRPr="00972203">
        <w:rPr>
          <w:rStyle w:val="BookTitle"/>
          <w:rFonts w:ascii="Times New Roman" w:hAnsi="Times New Roman"/>
          <w:b w:val="0"/>
          <w:spacing w:val="0"/>
          <w:sz w:val="22"/>
          <w:szCs w:val="22"/>
          <w:lang w:val="en-GB"/>
        </w:rPr>
        <w:t xml:space="preserve"> </w:t>
      </w:r>
      <w:r w:rsidR="00295E43" w:rsidRPr="00972203">
        <w:rPr>
          <w:rStyle w:val="BookTitle"/>
          <w:rFonts w:ascii="Times New Roman" w:hAnsi="Times New Roman"/>
          <w:b w:val="0"/>
          <w:spacing w:val="0"/>
          <w:sz w:val="22"/>
          <w:szCs w:val="22"/>
          <w:lang w:val="en-GB"/>
        </w:rPr>
        <w:t xml:space="preserve">the range of criteria to a more complete screening system including well types and fluid parameters. These kind of studies can be seen as a first pass </w:t>
      </w:r>
      <w:r w:rsidR="00E23BCD">
        <w:rPr>
          <w:rStyle w:val="BookTitle"/>
          <w:rFonts w:ascii="Times New Roman" w:hAnsi="Times New Roman"/>
          <w:b w:val="0"/>
          <w:spacing w:val="0"/>
          <w:sz w:val="22"/>
          <w:szCs w:val="22"/>
          <w:lang w:val="en-GB"/>
        </w:rPr>
        <w:t xml:space="preserve">to high-grade </w:t>
      </w:r>
      <w:proofErr w:type="gramStart"/>
      <w:r w:rsidR="00E23BCD">
        <w:rPr>
          <w:rStyle w:val="BookTitle"/>
          <w:rFonts w:ascii="Times New Roman" w:hAnsi="Times New Roman"/>
          <w:b w:val="0"/>
          <w:spacing w:val="0"/>
          <w:sz w:val="22"/>
          <w:szCs w:val="22"/>
          <w:lang w:val="en-GB"/>
        </w:rPr>
        <w:t>a number of</w:t>
      </w:r>
      <w:proofErr w:type="gramEnd"/>
      <w:r w:rsidR="00E23BCD" w:rsidRPr="00972203">
        <w:rPr>
          <w:rStyle w:val="BookTitle"/>
          <w:rFonts w:ascii="Times New Roman" w:hAnsi="Times New Roman"/>
          <w:b w:val="0"/>
          <w:spacing w:val="0"/>
          <w:sz w:val="22"/>
          <w:szCs w:val="22"/>
          <w:lang w:val="en-GB"/>
        </w:rPr>
        <w:t xml:space="preserve"> </w:t>
      </w:r>
      <w:r w:rsidR="00295E43" w:rsidRPr="00972203">
        <w:rPr>
          <w:rStyle w:val="BookTitle"/>
          <w:rFonts w:ascii="Times New Roman" w:hAnsi="Times New Roman"/>
          <w:b w:val="0"/>
          <w:spacing w:val="0"/>
          <w:sz w:val="22"/>
          <w:szCs w:val="22"/>
          <w:lang w:val="en-GB"/>
        </w:rPr>
        <w:t>candidate</w:t>
      </w:r>
      <w:r w:rsidR="00E23BCD">
        <w:rPr>
          <w:rStyle w:val="BookTitle"/>
          <w:rFonts w:ascii="Times New Roman" w:hAnsi="Times New Roman"/>
          <w:b w:val="0"/>
          <w:spacing w:val="0"/>
          <w:sz w:val="22"/>
          <w:szCs w:val="22"/>
          <w:lang w:val="en-GB"/>
        </w:rPr>
        <w:t xml:space="preserve"> site</w:t>
      </w:r>
      <w:r w:rsidR="00295E43" w:rsidRPr="00972203">
        <w:rPr>
          <w:rStyle w:val="BookTitle"/>
          <w:rFonts w:ascii="Times New Roman" w:hAnsi="Times New Roman"/>
          <w:b w:val="0"/>
          <w:spacing w:val="0"/>
          <w:sz w:val="22"/>
          <w:szCs w:val="22"/>
          <w:lang w:val="en-GB"/>
        </w:rPr>
        <w:t xml:space="preserve">s, which then need to be studied in depth to choose the </w:t>
      </w:r>
      <w:r w:rsidR="00E23BCD">
        <w:rPr>
          <w:rStyle w:val="BookTitle"/>
          <w:rFonts w:ascii="Times New Roman" w:hAnsi="Times New Roman"/>
          <w:b w:val="0"/>
          <w:spacing w:val="0"/>
          <w:sz w:val="22"/>
          <w:szCs w:val="22"/>
          <w:lang w:val="en-GB"/>
        </w:rPr>
        <w:t xml:space="preserve">overall </w:t>
      </w:r>
      <w:r w:rsidR="00295E43" w:rsidRPr="00972203">
        <w:rPr>
          <w:rStyle w:val="BookTitle"/>
          <w:rFonts w:ascii="Times New Roman" w:hAnsi="Times New Roman"/>
          <w:b w:val="0"/>
          <w:spacing w:val="0"/>
          <w:sz w:val="22"/>
          <w:szCs w:val="22"/>
          <w:lang w:val="en-GB"/>
        </w:rPr>
        <w:t>best candidate.</w:t>
      </w:r>
    </w:p>
    <w:p w14:paraId="5DFC0C2D" w14:textId="61C97134" w:rsidR="002A72E2" w:rsidRDefault="0025292E" w:rsidP="00CC4BCA">
      <w:pPr>
        <w:pStyle w:val="BodyText"/>
        <w:spacing w:after="120" w:line="276" w:lineRule="auto"/>
        <w:rPr>
          <w:rStyle w:val="BookTitle"/>
          <w:rFonts w:ascii="Times New Roman" w:hAnsi="Times New Roman"/>
          <w:b w:val="0"/>
          <w:spacing w:val="0"/>
          <w:sz w:val="22"/>
          <w:szCs w:val="22"/>
          <w:lang w:val="en-GB"/>
        </w:rPr>
      </w:pPr>
      <w:r>
        <w:rPr>
          <w:rStyle w:val="BookTitle"/>
          <w:rFonts w:ascii="Times New Roman" w:hAnsi="Times New Roman"/>
          <w:b w:val="0"/>
          <w:spacing w:val="0"/>
          <w:sz w:val="22"/>
          <w:szCs w:val="22"/>
          <w:lang w:val="en-GB"/>
        </w:rPr>
        <w:t>As</w:t>
      </w:r>
      <w:r w:rsidRPr="00972203">
        <w:rPr>
          <w:rStyle w:val="BookTitle"/>
          <w:rFonts w:ascii="Times New Roman" w:hAnsi="Times New Roman"/>
          <w:b w:val="0"/>
          <w:spacing w:val="0"/>
          <w:sz w:val="22"/>
          <w:szCs w:val="22"/>
          <w:lang w:val="en-GB"/>
        </w:rPr>
        <w:t xml:space="preserve"> site selection involves the combination of a wide range of geological, engineering, economic and social aspects that will shape the process</w:t>
      </w:r>
      <w:r>
        <w:rPr>
          <w:rStyle w:val="BookTitle"/>
          <w:rFonts w:ascii="Times New Roman" w:hAnsi="Times New Roman"/>
          <w:b w:val="0"/>
          <w:spacing w:val="0"/>
          <w:sz w:val="22"/>
          <w:szCs w:val="22"/>
          <w:lang w:val="en-GB"/>
        </w:rPr>
        <w:t xml:space="preserve">, </w:t>
      </w:r>
      <w:r w:rsidR="00F44AF7">
        <w:rPr>
          <w:rStyle w:val="BookTitle"/>
          <w:rFonts w:ascii="Times New Roman" w:hAnsi="Times New Roman"/>
          <w:b w:val="0"/>
          <w:spacing w:val="0"/>
          <w:sz w:val="22"/>
          <w:szCs w:val="22"/>
          <w:lang w:val="en-GB"/>
        </w:rPr>
        <w:t>a</w:t>
      </w:r>
      <w:r w:rsidR="00F44AF7" w:rsidRPr="00972203">
        <w:rPr>
          <w:rStyle w:val="BookTitle"/>
          <w:rFonts w:ascii="Times New Roman" w:hAnsi="Times New Roman"/>
          <w:b w:val="0"/>
          <w:spacing w:val="0"/>
          <w:sz w:val="22"/>
          <w:szCs w:val="22"/>
          <w:lang w:val="en-GB"/>
        </w:rPr>
        <w:t xml:space="preserve"> </w:t>
      </w:r>
      <w:r w:rsidR="005D6E23" w:rsidRPr="00972203">
        <w:rPr>
          <w:rStyle w:val="BookTitle"/>
          <w:rFonts w:ascii="Times New Roman" w:hAnsi="Times New Roman"/>
          <w:b w:val="0"/>
          <w:spacing w:val="0"/>
          <w:sz w:val="22"/>
          <w:szCs w:val="22"/>
          <w:lang w:val="en-GB"/>
        </w:rPr>
        <w:t>comprehensive definition</w:t>
      </w:r>
      <w:r w:rsidR="00F44AF7">
        <w:rPr>
          <w:rStyle w:val="BookTitle"/>
          <w:rFonts w:ascii="Times New Roman" w:hAnsi="Times New Roman"/>
          <w:b w:val="0"/>
          <w:spacing w:val="0"/>
          <w:sz w:val="22"/>
          <w:szCs w:val="22"/>
          <w:lang w:val="en-GB"/>
        </w:rPr>
        <w:t xml:space="preserve"> (like that of </w:t>
      </w:r>
      <w:r w:rsidR="00E959F4"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{"citationItems":[{"id":"ITEM-1","itemData":{"DOI":"10.1016/S0196-8904(99)00149-1","ISSN":"01968904","abstract":"Anthropogenic effects on climate can be mitigated through various measures, among them being CO2 sequestration in geological media. Geological sinks for CO2 do not really need any major technological development because the technology has already been developed and applied by the upstream energy industry for hydrocarbon exploration and production. The challenge is rather to identify the best methods and sites for long term CO2 sequestration. There are various ways to sequester CO2 in geological media: utilization in EOR operations, disposal in disused oil and gas reservoirs, replacement of methane in coal beds, injection in deep saline aquifers and storage in salt caverns. Several criteria have to be considered when evaluating the potential of a sedimentary basin for CO2 sequestration: its tectonic setting and geology, the basin geothermal regime, the hydrodynamic regime of formation waters, the hydrocarbon potential and basin maturity, economic aspects relating to access and infrastructure and socio-political conditions. The range of sedimentary basins suitable for CO2 sequestration is significantly reduced if these criteria and climatic conditions, accessibility, infrastructure and cost of CO2 capture and injection are taken into account. A systematic approach is proposed for the assessment and selection of method and sites for CO2 sequestration in geological media.","author":[{"dropping-particle":"","family":"Bachu","given":"Stefan","non-dropping-particle":"","parse-names":false,"suffix":""}],"container-title":"Energy Conversion and Management","id":"ITEM-1","issue":"9","issued":{"date-parts":[["2000"]]},"page":"953-970","title":"Sequestration of CO2 in geological media: Criteria and approach for site selection in response to climate change","type":"article-journal","volume":"41"},"uris":["http://www.mendeley.com/documents/?uuid=6f694315-b1ce-43ad-a838-10f14856bba7"]}],"mendeley":{"formattedCitation":"(Bachu, 2000)","manualFormatting":"Bachu, 2000","plainTextFormattedCitation":"(Bachu, 2000)","previouslyFormattedCitation":"(Bachu, 2000)"},"properties":{"noteIndex":0},"schema":"https://github.com/citation-style-language/schema/raw/master/csl-citation.json"}</w:instrText>
      </w:r>
      <w:r w:rsidR="00E959F4" w:rsidRPr="00972203">
        <w:rPr>
          <w:rStyle w:val="BookTitle"/>
          <w:rFonts w:ascii="Times New Roman" w:hAnsi="Times New Roman"/>
          <w:b w:val="0"/>
          <w:noProof/>
          <w:spacing w:val="0"/>
          <w:sz w:val="22"/>
          <w:szCs w:val="22"/>
          <w:lang w:val="en-GB"/>
        </w:rPr>
        <w:fldChar w:fldCharType="separate"/>
      </w:r>
      <w:r w:rsidR="00E959F4" w:rsidRPr="00C01E2D">
        <w:rPr>
          <w:rStyle w:val="BookTitle"/>
          <w:rFonts w:ascii="Times New Roman" w:hAnsi="Times New Roman"/>
          <w:b w:val="0"/>
          <w:noProof/>
          <w:spacing w:val="0"/>
          <w:sz w:val="22"/>
          <w:szCs w:val="22"/>
          <w:lang w:val="en-GB"/>
        </w:rPr>
        <w:t>Bachu, 2000</w:t>
      </w:r>
      <w:r w:rsidR="00E959F4" w:rsidRPr="00972203">
        <w:rPr>
          <w:rStyle w:val="BookTitle"/>
          <w:rFonts w:ascii="Times New Roman" w:hAnsi="Times New Roman"/>
          <w:b w:val="0"/>
          <w:noProof/>
          <w:spacing w:val="0"/>
          <w:sz w:val="22"/>
          <w:szCs w:val="22"/>
          <w:lang w:val="en-GB"/>
        </w:rPr>
        <w:fldChar w:fldCharType="end"/>
      </w:r>
      <w:r w:rsidR="00F44AF7">
        <w:rPr>
          <w:rStyle w:val="BookTitle"/>
          <w:rFonts w:ascii="Times New Roman" w:hAnsi="Times New Roman"/>
          <w:b w:val="0"/>
          <w:spacing w:val="0"/>
          <w:sz w:val="22"/>
          <w:szCs w:val="22"/>
          <w:lang w:val="en-GB"/>
        </w:rPr>
        <w:t>)</w:t>
      </w:r>
      <w:r w:rsidR="005D6E23" w:rsidRPr="00972203">
        <w:rPr>
          <w:rStyle w:val="BookTitle"/>
          <w:rFonts w:ascii="Times New Roman" w:hAnsi="Times New Roman"/>
          <w:b w:val="0"/>
          <w:spacing w:val="0"/>
          <w:sz w:val="22"/>
          <w:szCs w:val="22"/>
          <w:lang w:val="en-GB"/>
        </w:rPr>
        <w:t xml:space="preserve"> </w:t>
      </w:r>
      <w:r w:rsidR="0052145C" w:rsidRPr="00972203">
        <w:rPr>
          <w:rStyle w:val="BookTitle"/>
          <w:rFonts w:ascii="Times New Roman" w:hAnsi="Times New Roman"/>
          <w:b w:val="0"/>
          <w:spacing w:val="0"/>
          <w:sz w:val="22"/>
          <w:szCs w:val="22"/>
          <w:lang w:val="en-GB"/>
        </w:rPr>
        <w:t xml:space="preserve">is a good </w:t>
      </w:r>
      <w:r w:rsidR="002A72E2">
        <w:rPr>
          <w:rStyle w:val="BookTitle"/>
          <w:rFonts w:ascii="Times New Roman" w:hAnsi="Times New Roman"/>
          <w:b w:val="0"/>
          <w:spacing w:val="0"/>
          <w:sz w:val="22"/>
          <w:szCs w:val="22"/>
          <w:lang w:val="en-GB"/>
        </w:rPr>
        <w:t>starting point for</w:t>
      </w:r>
      <w:r w:rsidR="0052145C" w:rsidRPr="00972203">
        <w:rPr>
          <w:rStyle w:val="BookTitle"/>
          <w:rFonts w:ascii="Times New Roman" w:hAnsi="Times New Roman"/>
          <w:b w:val="0"/>
          <w:spacing w:val="0"/>
          <w:sz w:val="22"/>
          <w:szCs w:val="22"/>
          <w:lang w:val="en-GB"/>
        </w:rPr>
        <w:t xml:space="preserve"> site selection</w:t>
      </w:r>
      <w:r w:rsidR="002A72E2">
        <w:rPr>
          <w:rStyle w:val="BookTitle"/>
          <w:rFonts w:ascii="Times New Roman" w:hAnsi="Times New Roman"/>
          <w:b w:val="0"/>
          <w:spacing w:val="0"/>
          <w:sz w:val="22"/>
          <w:szCs w:val="22"/>
          <w:lang w:val="en-GB"/>
        </w:rPr>
        <w:t xml:space="preserve">, and </w:t>
      </w:r>
      <w:r w:rsidR="00E23BCD">
        <w:rPr>
          <w:rStyle w:val="BookTitle"/>
          <w:rFonts w:ascii="Times New Roman" w:hAnsi="Times New Roman"/>
          <w:b w:val="0"/>
          <w:spacing w:val="0"/>
          <w:sz w:val="22"/>
          <w:szCs w:val="22"/>
          <w:lang w:val="en-GB"/>
        </w:rPr>
        <w:t xml:space="preserve">against which </w:t>
      </w:r>
      <w:r w:rsidR="0052145C" w:rsidRPr="00972203">
        <w:rPr>
          <w:rStyle w:val="BookTitle"/>
          <w:rFonts w:ascii="Times New Roman" w:hAnsi="Times New Roman"/>
          <w:b w:val="0"/>
          <w:spacing w:val="0"/>
          <w:sz w:val="22"/>
          <w:szCs w:val="22"/>
          <w:lang w:val="en-GB"/>
        </w:rPr>
        <w:t>studies available in the literature</w:t>
      </w:r>
      <w:r w:rsidR="002A72E2">
        <w:rPr>
          <w:rStyle w:val="BookTitle"/>
          <w:rFonts w:ascii="Times New Roman" w:hAnsi="Times New Roman"/>
          <w:b w:val="0"/>
          <w:spacing w:val="0"/>
          <w:sz w:val="22"/>
          <w:szCs w:val="22"/>
          <w:lang w:val="en-GB"/>
        </w:rPr>
        <w:t xml:space="preserve"> could be benchmarked</w:t>
      </w:r>
      <w:r w:rsidR="0052145C" w:rsidRPr="00972203">
        <w:rPr>
          <w:rStyle w:val="BookTitle"/>
          <w:rFonts w:ascii="Times New Roman" w:hAnsi="Times New Roman"/>
          <w:b w:val="0"/>
          <w:spacing w:val="0"/>
          <w:sz w:val="22"/>
          <w:szCs w:val="22"/>
          <w:lang w:val="en-GB"/>
        </w:rPr>
        <w:t xml:space="preserve">. </w:t>
      </w:r>
      <w:r w:rsidR="0030553F">
        <w:rPr>
          <w:rStyle w:val="BookTitle"/>
          <w:rFonts w:ascii="Times New Roman" w:hAnsi="Times New Roman"/>
          <w:b w:val="0"/>
          <w:spacing w:val="0"/>
          <w:sz w:val="22"/>
          <w:szCs w:val="22"/>
          <w:lang w:val="en-GB"/>
        </w:rPr>
        <w:t>P</w:t>
      </w:r>
      <w:r w:rsidR="005D6E23" w:rsidRPr="00972203">
        <w:rPr>
          <w:rStyle w:val="BookTitle"/>
          <w:rFonts w:ascii="Times New Roman" w:hAnsi="Times New Roman"/>
          <w:b w:val="0"/>
          <w:spacing w:val="0"/>
          <w:sz w:val="22"/>
          <w:szCs w:val="22"/>
          <w:lang w:val="en-GB"/>
        </w:rPr>
        <w:t xml:space="preserve">reliminary screening studies only </w:t>
      </w:r>
      <w:r w:rsidR="008C4EB5" w:rsidRPr="00972203">
        <w:rPr>
          <w:rStyle w:val="BookTitle"/>
          <w:rFonts w:ascii="Times New Roman" w:hAnsi="Times New Roman"/>
          <w:b w:val="0"/>
          <w:spacing w:val="0"/>
          <w:sz w:val="22"/>
          <w:szCs w:val="22"/>
          <w:lang w:val="en-GB"/>
        </w:rPr>
        <w:t xml:space="preserve">focus </w:t>
      </w:r>
      <w:r w:rsidR="002A72E2">
        <w:rPr>
          <w:rStyle w:val="BookTitle"/>
          <w:rFonts w:ascii="Times New Roman" w:hAnsi="Times New Roman"/>
          <w:b w:val="0"/>
          <w:spacing w:val="0"/>
          <w:sz w:val="22"/>
          <w:szCs w:val="22"/>
          <w:lang w:val="en-GB"/>
        </w:rPr>
        <w:t>o</w:t>
      </w:r>
      <w:r w:rsidR="008C4EB5" w:rsidRPr="00972203">
        <w:rPr>
          <w:rStyle w:val="BookTitle"/>
          <w:rFonts w:ascii="Times New Roman" w:hAnsi="Times New Roman"/>
          <w:b w:val="0"/>
          <w:spacing w:val="0"/>
          <w:sz w:val="22"/>
          <w:szCs w:val="22"/>
          <w:lang w:val="en-GB"/>
        </w:rPr>
        <w:t>n</w:t>
      </w:r>
      <w:r w:rsidR="005D6E23" w:rsidRPr="00972203">
        <w:rPr>
          <w:rStyle w:val="BookTitle"/>
          <w:rFonts w:ascii="Times New Roman" w:hAnsi="Times New Roman"/>
          <w:b w:val="0"/>
          <w:spacing w:val="0"/>
          <w:sz w:val="22"/>
          <w:szCs w:val="22"/>
          <w:lang w:val="en-GB"/>
        </w:rPr>
        <w:t xml:space="preserve"> one</w:t>
      </w:r>
      <w:r w:rsidR="00E23BCD">
        <w:rPr>
          <w:rStyle w:val="BookTitle"/>
          <w:rFonts w:ascii="Times New Roman" w:hAnsi="Times New Roman"/>
          <w:b w:val="0"/>
          <w:spacing w:val="0"/>
          <w:sz w:val="22"/>
          <w:szCs w:val="22"/>
          <w:lang w:val="en-GB"/>
        </w:rPr>
        <w:t>,</w:t>
      </w:r>
      <w:r w:rsidR="005D6E23" w:rsidRPr="00972203">
        <w:rPr>
          <w:rStyle w:val="BookTitle"/>
          <w:rFonts w:ascii="Times New Roman" w:hAnsi="Times New Roman"/>
          <w:b w:val="0"/>
          <w:spacing w:val="0"/>
          <w:sz w:val="22"/>
          <w:szCs w:val="22"/>
          <w:lang w:val="en-GB"/>
        </w:rPr>
        <w:t xml:space="preserve"> </w:t>
      </w:r>
      <w:r w:rsidR="00713D3D">
        <w:rPr>
          <w:rStyle w:val="BookTitle"/>
          <w:rFonts w:ascii="Times New Roman" w:hAnsi="Times New Roman"/>
          <w:b w:val="0"/>
          <w:spacing w:val="0"/>
          <w:sz w:val="22"/>
          <w:szCs w:val="22"/>
          <w:lang w:val="en-GB"/>
        </w:rPr>
        <w:t>or a few</w:t>
      </w:r>
      <w:r w:rsidR="00E23BCD">
        <w:rPr>
          <w:rStyle w:val="BookTitle"/>
          <w:rFonts w:ascii="Times New Roman" w:hAnsi="Times New Roman"/>
          <w:b w:val="0"/>
          <w:spacing w:val="0"/>
          <w:sz w:val="22"/>
          <w:szCs w:val="22"/>
          <w:lang w:val="en-GB"/>
        </w:rPr>
        <w:t>,</w:t>
      </w:r>
      <w:r w:rsidR="00713D3D">
        <w:rPr>
          <w:rStyle w:val="BookTitle"/>
          <w:rFonts w:ascii="Times New Roman" w:hAnsi="Times New Roman"/>
          <w:b w:val="0"/>
          <w:spacing w:val="0"/>
          <w:sz w:val="22"/>
          <w:szCs w:val="22"/>
          <w:lang w:val="en-GB"/>
        </w:rPr>
        <w:t xml:space="preserve"> </w:t>
      </w:r>
      <w:r w:rsidR="005D6E23" w:rsidRPr="00972203">
        <w:rPr>
          <w:rStyle w:val="BookTitle"/>
          <w:rFonts w:ascii="Times New Roman" w:hAnsi="Times New Roman"/>
          <w:b w:val="0"/>
          <w:spacing w:val="0"/>
          <w:sz w:val="22"/>
          <w:szCs w:val="22"/>
          <w:lang w:val="en-GB"/>
        </w:rPr>
        <w:t xml:space="preserve">of the criteria </w:t>
      </w:r>
      <w:r w:rsidR="00BF3F88" w:rsidRPr="00972203">
        <w:rPr>
          <w:rStyle w:val="BookTitle"/>
          <w:rFonts w:ascii="Times New Roman" w:hAnsi="Times New Roman"/>
          <w:b w:val="0"/>
          <w:spacing w:val="0"/>
          <w:sz w:val="22"/>
          <w:szCs w:val="22"/>
          <w:lang w:val="en-GB"/>
        </w:rPr>
        <w:t>introduced</w:t>
      </w:r>
      <w:r w:rsidR="005D6E23" w:rsidRPr="00972203">
        <w:rPr>
          <w:rStyle w:val="BookTitle"/>
          <w:rFonts w:ascii="Times New Roman" w:hAnsi="Times New Roman"/>
          <w:b w:val="0"/>
          <w:spacing w:val="0"/>
          <w:sz w:val="22"/>
          <w:szCs w:val="22"/>
          <w:lang w:val="en-GB"/>
        </w:rPr>
        <w:t xml:space="preserve"> by </w:t>
      </w:r>
      <w:proofErr w:type="spellStart"/>
      <w:r w:rsidR="005D6E23" w:rsidRPr="00972203">
        <w:rPr>
          <w:rStyle w:val="BookTitle"/>
          <w:rFonts w:ascii="Times New Roman" w:hAnsi="Times New Roman"/>
          <w:b w:val="0"/>
          <w:spacing w:val="0"/>
          <w:sz w:val="22"/>
          <w:szCs w:val="22"/>
          <w:lang w:val="en-GB"/>
        </w:rPr>
        <w:t>Bachu</w:t>
      </w:r>
      <w:proofErr w:type="spellEnd"/>
      <w:r w:rsidR="00932BEC" w:rsidRPr="00972203">
        <w:rPr>
          <w:rStyle w:val="BookTitle"/>
          <w:rFonts w:ascii="Times New Roman" w:hAnsi="Times New Roman"/>
          <w:b w:val="0"/>
          <w:spacing w:val="0"/>
          <w:sz w:val="22"/>
          <w:szCs w:val="22"/>
          <w:lang w:val="en-GB"/>
        </w:rPr>
        <w:t xml:space="preserve"> </w:t>
      </w:r>
      <w:r w:rsidR="00EC5DB1"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{"citationItems":[{"id":"ITEM-1","itemData":{"DOI":"10.1016/S0196-8904(99)00149-1","ISSN":"01968904","abstract":"Anthropogenic effects on climate can be mitigated through various measures, among them being CO2 sequestration in geological media. Geological sinks for CO2 do not really need any major technological development because the technology has already been developed and applied by the upstream energy industry for hydrocarbon exploration and production. The challenge is rather to identify the best methods and sites for long term CO2 sequestration. There are various ways to sequester CO2 in geological media: utilization in EOR operations, disposal in disused oil and gas reservoirs, replacement of methane in coal beds, injection in deep saline aquifers and storage in salt caverns. Several criteria have to be considered when evaluating the potential of a sedimentary basin for CO2 sequestration: its tectonic setting and geology, the basin geothermal regime, the hydrodynamic regime of formation waters, the hydrocarbon potential and basin maturity, economic aspects relating to access and infrastructure and socio-political conditions. The range of sedimentary basins suitable for CO2 sequestration is significantly reduced if these criteria and climatic conditions, accessibility, infrastructure and cost of CO2 capture and injection are taken into account. A systematic approach is proposed for the assessment and selection of method and sites for CO2 sequestration in geological media.","author":[{"dropping-particle":"","family":"Bachu","given":"Stefan","non-dropping-particle":"","parse-names":false,"suffix":""}],"container-title":"Energy Conversion and Management","id":"ITEM-1","issue":"9","issued":{"date-parts":[["2000"]]},"page":"953-970","title":"Sequestration of CO2 in geological media: Criteria and approach for site selection in response to climate change","type":"article-journal","volume":"41"},"uris":["http://www.mendeley.com/documents/?uuid=6f694315-b1ce-43ad-a838-10f14856bba7"]}],"mendeley":{"formattedCitation":"(Bachu, 2000)","plainTextFormattedCitation":"(Bachu, 2000)","previouslyFormattedCitation":"(Bachu, 2000)"},"properties":{"noteIndex":0},"schema":"https://github.com/citation-style-language/schema/raw/master/csl-citation.json"}</w:instrText>
      </w:r>
      <w:r w:rsidR="00EC5DB1"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(Bachu, 2000)</w:t>
      </w:r>
      <w:r w:rsidR="00EC5DB1" w:rsidRPr="00972203">
        <w:rPr>
          <w:rStyle w:val="BookTitle"/>
          <w:rFonts w:ascii="Times New Roman" w:hAnsi="Times New Roman"/>
          <w:b w:val="0"/>
          <w:noProof/>
          <w:spacing w:val="0"/>
          <w:sz w:val="22"/>
          <w:szCs w:val="22"/>
          <w:lang w:val="en-GB"/>
        </w:rPr>
        <w:fldChar w:fldCharType="end"/>
      </w:r>
      <w:r w:rsidR="00713D3D" w:rsidRPr="00713D3D">
        <w:rPr>
          <w:rStyle w:val="BookTitle"/>
          <w:rFonts w:ascii="Times New Roman" w:hAnsi="Times New Roman"/>
          <w:b w:val="0"/>
          <w:spacing w:val="0"/>
          <w:sz w:val="22"/>
          <w:szCs w:val="22"/>
          <w:lang w:val="en-GB"/>
        </w:rPr>
        <w:t xml:space="preserve"> </w:t>
      </w:r>
      <w:r w:rsidR="00713D3D">
        <w:rPr>
          <w:rStyle w:val="BookTitle"/>
          <w:rFonts w:ascii="Times New Roman" w:hAnsi="Times New Roman"/>
          <w:b w:val="0"/>
          <w:spacing w:val="0"/>
          <w:sz w:val="22"/>
          <w:szCs w:val="22"/>
          <w:lang w:val="en-GB"/>
        </w:rPr>
        <w:t xml:space="preserve">(e.g. only </w:t>
      </w:r>
      <w:r w:rsidR="00713D3D" w:rsidRPr="00972203">
        <w:rPr>
          <w:rStyle w:val="BookTitle"/>
          <w:rFonts w:ascii="Times New Roman" w:hAnsi="Times New Roman"/>
          <w:b w:val="0"/>
          <w:spacing w:val="0"/>
          <w:sz w:val="22"/>
          <w:szCs w:val="22"/>
          <w:lang w:val="en-GB"/>
        </w:rPr>
        <w:t xml:space="preserve">capacity </w:t>
      </w:r>
      <w:r w:rsidR="00713D3D"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{"citationItems":[{"id":"ITEM-1","itemData":{"DOI":"10.1016/j.ijggc.2010.09.011","ISSN":"17505836","abstract":"Guangdong has China's highest GDP of any province and actively advocates low-carbon development. At present, Guangdong's low-carbon roadmap emphasizes the adjustment of industrial structure, increased energy saving and efficiency, and renewable and nuclear energy, while CCS is not featured. This is partially due to the geographical gap in the existing body of research on CCS in China, as to date no substantial research on CCS has taken place in the regions south of the Yangtze River, including Guangdong. This paper presents the partial outcome of the first CCS-related research in Guangdong, which is aiming for a preliminary assessment on the effective CO2 storage capacity in the Pearl River Mouth Basin (PRMB) offshore Guangdong. As the storage capacity onshore Guangdong is limited as shown by a parallel study, the offshore sedimentary basins deserve particular attention. The PRMB is the largest sedimentary basin in the passive margin of the northern South China Sea, with a total area of nearly 200000km2 and maximum sediment thickness of over 14km. Based on published data, geological conditions and parameters for CO2 storage are analyzed, volumes of potential formations are calculated on a GIS platform, and the storage capacity is calculated according to CSLF and USDOE formulations. The estimated effective storage capacity is 308Gt in deep saline formations, including 0.06Gt in oil and gas fields. This capacity is sufficiently large for storaging the CO2 emitted from the major point sources in Guangdong in many decades. Promising areas are suggested for further investigations. © 2010 Elsevier Ltd.","author":[{"dropping-particle":"","family":"Zhou","given":"Di","non-dropping-particle":"","parse-names":false,"suffix":""},{"dropping-particle":"","family":"Zhao","given":"Zhongxian","non-dropping-particle":"","parse-names":false,"suffix":""},{"dropping-particle":"","family":"Liao","given":"Jie","non-dropping-particle":"","parse-names":false,"suffix":""},{"dropping-particle":"","family":"Sun","given":"Zhen","non-dropping-particle":"","parse-names":false,"suffix":""}],"container-title":"International Journal of Greenhouse Gas Control","id":"ITEM-1","issue":"2","issued":{"date-parts":[["2011"]]},"page":"308-317","title":"A preliminary assessment on CO2 storage capacity in the Pearl River Mouth Basin offshore Guangdong, China","type":"article-journal","volume":"5"},"uris":["http://www.mendeley.com/documents/?uuid=22b88bb9-1efc-45d7-87be-f7b5920b9b75"]}],"mendeley":{"formattedCitation":"(Zhou et al., 2011)","plainTextFormattedCitation":"(Zhou et al., 2011)","previouslyFormattedCitation":"(Zhou et al., 2011)"},"properties":{"noteIndex":0},"schema":"https://github.com/citation-style-language/schema/raw/master/csl-citation.json"}</w:instrText>
      </w:r>
      <w:r w:rsidR="00713D3D"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(Zhou et al., 2011)</w:t>
      </w:r>
      <w:r w:rsidR="00713D3D" w:rsidRPr="00972203">
        <w:rPr>
          <w:rStyle w:val="BookTitle"/>
          <w:rFonts w:ascii="Times New Roman" w:hAnsi="Times New Roman"/>
          <w:b w:val="0"/>
          <w:noProof/>
          <w:spacing w:val="0"/>
          <w:sz w:val="22"/>
          <w:szCs w:val="22"/>
          <w:lang w:val="en-GB"/>
        </w:rPr>
        <w:fldChar w:fldCharType="end"/>
      </w:r>
      <w:r w:rsidR="00713D3D" w:rsidRPr="00972203">
        <w:rPr>
          <w:rStyle w:val="BookTitle"/>
          <w:rFonts w:ascii="Times New Roman" w:hAnsi="Times New Roman"/>
          <w:b w:val="0"/>
          <w:spacing w:val="0"/>
          <w:sz w:val="22"/>
          <w:szCs w:val="22"/>
          <w:lang w:val="en-GB"/>
        </w:rPr>
        <w:t xml:space="preserve"> </w:t>
      </w:r>
      <w:r w:rsidR="00713D3D">
        <w:rPr>
          <w:rStyle w:val="BookTitle"/>
          <w:rFonts w:ascii="Times New Roman" w:hAnsi="Times New Roman"/>
          <w:b w:val="0"/>
          <w:spacing w:val="0"/>
          <w:sz w:val="22"/>
          <w:szCs w:val="22"/>
          <w:lang w:val="en-GB"/>
        </w:rPr>
        <w:t>or</w:t>
      </w:r>
      <w:r w:rsidR="00713D3D" w:rsidRPr="00972203">
        <w:rPr>
          <w:rStyle w:val="BookTitle"/>
          <w:rFonts w:ascii="Times New Roman" w:hAnsi="Times New Roman"/>
          <w:b w:val="0"/>
          <w:spacing w:val="0"/>
          <w:sz w:val="22"/>
          <w:szCs w:val="22"/>
          <w:lang w:val="en-GB"/>
        </w:rPr>
        <w:t xml:space="preserve"> </w:t>
      </w:r>
      <w:r w:rsidR="0007454F">
        <w:rPr>
          <w:rStyle w:val="BookTitle"/>
          <w:rFonts w:ascii="Times New Roman" w:hAnsi="Times New Roman"/>
          <w:b w:val="0"/>
          <w:spacing w:val="0"/>
          <w:sz w:val="22"/>
          <w:szCs w:val="22"/>
          <w:lang w:val="en-GB"/>
        </w:rPr>
        <w:t xml:space="preserve">only </w:t>
      </w:r>
      <w:r w:rsidR="00713D3D" w:rsidRPr="00972203">
        <w:rPr>
          <w:rStyle w:val="BookTitle"/>
          <w:rFonts w:ascii="Times New Roman" w:hAnsi="Times New Roman"/>
          <w:b w:val="0"/>
          <w:spacing w:val="0"/>
          <w:sz w:val="22"/>
          <w:szCs w:val="22"/>
          <w:lang w:val="en-GB"/>
        </w:rPr>
        <w:t xml:space="preserve">injectivity </w:t>
      </w:r>
      <w:r w:rsidR="00713D3D"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{"citationItems":[{"id":"ITEM-1","itemData":{"DOI":"10.1007/s11242-008-9316-7","ISBN":"1573-1634","ISSN":"01693913","abstract":"If geo-sequestration of CO2 is to be employed as a key emissions reduction method in the global effort to mitigate against climate change, simple yet robust screening of the risks of disposal in brine aquifers will be needed. There has been significant development of simple analytical and semi-analytical techniques to support screening analysis and performance assessment for potential carbon sequestration sites. These techniques have generally been used to estimate the size of CO2 plumes for the purpose of leakage rate estimation. A common assumption is that both the fluids and the geological formation are incompressible. Consequently, calculation of pressure distribution requires the specification of an arbitrary radius of influence. In this article, a new similarity solution is derived using the method of matched asymptotic expansions. A large time approximation of this solution is then extended to account for inertial effects using the Forchheimer equation. By allowing for slight compressibility in the fluids and formation, the solutions improve on previous work by not requiring the specification of an arbitrary radius of influence. The validity of both solutions is explored by comparison with equivalent finite difference solutions, revealing that the new method can provide robust and mathematically rigorous solutions for screening level analysis, where numerical simulations may not be justified or cost effective. © Springer Science+Business Media B.V. 2008.","author":[{"dropping-particle":"","family":"Mathias","given":"Simon A.","non-dropping-particle":"","parse-names":false,"suffix":""},{"dropping-particle":"","family":"Hardisty","given":"Paul E.","non-dropping-particle":"","parse-names":false,"suffix":""},{"dropping-particle":"","family":"Trudell","given":"Mark R.","non-dropping-particle":"","parse-names":false,"suffix":""},{"dropping-particle":"","family":"Zimmerman","given":"Robert W.","non-dropping-particle":"","parse-names":false,"suffix":""}],"container-title":"Transport in Porous Media","id":"ITEM-1","issue":"2","issued":{"date-parts":[["2009"]]},"page":"265-284","title":"Approximate Solutions for Pressure Buildup During CO2 Injection in Brine Aquifers","type":"article-journal","volume":"79"},"uris":["http://www.mendeley.com/documents/?uuid=d2c94658-388a-4a0a-b7d0-5aed49084767"]}],"mendeley":{"formattedCitation":"(Mathias et al., 2009)","plainTextFormattedCitation":"(Mathias et al., 2009)","previouslyFormattedCitation":"(Mathias et al., 2009)"},"properties":{"noteIndex":0},"schema":"https://github.com/citation-style-language/schema/raw/master/csl-citation.json"}</w:instrText>
      </w:r>
      <w:r w:rsidR="00713D3D"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(Mathias et al., 2009)</w:t>
      </w:r>
      <w:r w:rsidR="00713D3D" w:rsidRPr="00972203">
        <w:rPr>
          <w:rStyle w:val="BookTitle"/>
          <w:rFonts w:ascii="Times New Roman" w:hAnsi="Times New Roman"/>
          <w:b w:val="0"/>
          <w:noProof/>
          <w:spacing w:val="0"/>
          <w:sz w:val="22"/>
          <w:szCs w:val="22"/>
          <w:lang w:val="en-GB"/>
        </w:rPr>
        <w:fldChar w:fldCharType="end"/>
      </w:r>
      <w:r w:rsidR="00713D3D" w:rsidRPr="00972203">
        <w:rPr>
          <w:rStyle w:val="BookTitle"/>
          <w:rFonts w:ascii="Times New Roman" w:hAnsi="Times New Roman"/>
          <w:b w:val="0"/>
          <w:spacing w:val="0"/>
          <w:sz w:val="22"/>
          <w:szCs w:val="22"/>
          <w:lang w:val="en-GB"/>
        </w:rPr>
        <w:t>)</w:t>
      </w:r>
      <w:r w:rsidR="0050724F">
        <w:rPr>
          <w:rStyle w:val="BookTitle"/>
          <w:rFonts w:ascii="Times New Roman" w:hAnsi="Times New Roman"/>
          <w:b w:val="0"/>
          <w:spacing w:val="0"/>
          <w:sz w:val="22"/>
          <w:szCs w:val="22"/>
          <w:lang w:val="en-GB"/>
        </w:rPr>
        <w:t>.</w:t>
      </w:r>
    </w:p>
    <w:p w14:paraId="6BBAEB0D" w14:textId="2EBDC004" w:rsidR="005D6E23" w:rsidRPr="00972203" w:rsidRDefault="00713D3D" w:rsidP="00CC4BCA">
      <w:pPr>
        <w:pStyle w:val="BodyText"/>
        <w:spacing w:after="120" w:line="276" w:lineRule="auto"/>
        <w:rPr>
          <w:rStyle w:val="BookTitle"/>
          <w:rFonts w:ascii="Times New Roman" w:hAnsi="Times New Roman"/>
          <w:b w:val="0"/>
          <w:spacing w:val="0"/>
          <w:sz w:val="22"/>
          <w:szCs w:val="22"/>
          <w:lang w:val="en-GB"/>
        </w:rPr>
      </w:pPr>
      <w:proofErr w:type="gramStart"/>
      <w:r>
        <w:rPr>
          <w:rStyle w:val="BookTitle"/>
          <w:rFonts w:ascii="Times New Roman" w:hAnsi="Times New Roman"/>
          <w:b w:val="0"/>
          <w:spacing w:val="0"/>
          <w:sz w:val="22"/>
          <w:szCs w:val="22"/>
          <w:lang w:val="en-GB"/>
        </w:rPr>
        <w:lastRenderedPageBreak/>
        <w:t>A number of</w:t>
      </w:r>
      <w:proofErr w:type="gramEnd"/>
      <w:r w:rsidR="005D6E23" w:rsidRPr="00972203">
        <w:rPr>
          <w:rStyle w:val="BookTitle"/>
          <w:rFonts w:ascii="Times New Roman" w:hAnsi="Times New Roman"/>
          <w:b w:val="0"/>
          <w:spacing w:val="0"/>
          <w:sz w:val="22"/>
          <w:szCs w:val="22"/>
          <w:lang w:val="en-GB"/>
        </w:rPr>
        <w:t xml:space="preserve"> studies </w:t>
      </w:r>
      <w:r w:rsidR="00E23BCD">
        <w:rPr>
          <w:rStyle w:val="BookTitle"/>
          <w:rFonts w:ascii="Times New Roman" w:hAnsi="Times New Roman"/>
          <w:b w:val="0"/>
          <w:spacing w:val="0"/>
          <w:sz w:val="22"/>
          <w:szCs w:val="22"/>
          <w:lang w:val="en-GB"/>
        </w:rPr>
        <w:t xml:space="preserve">have </w:t>
      </w:r>
      <w:r w:rsidR="005D6E23" w:rsidRPr="00972203">
        <w:rPr>
          <w:rStyle w:val="BookTitle"/>
          <w:rFonts w:ascii="Times New Roman" w:hAnsi="Times New Roman"/>
          <w:b w:val="0"/>
          <w:spacing w:val="0"/>
          <w:sz w:val="22"/>
          <w:szCs w:val="22"/>
          <w:lang w:val="en-GB"/>
        </w:rPr>
        <w:t>assess</w:t>
      </w:r>
      <w:r w:rsidR="00E23BCD">
        <w:rPr>
          <w:rStyle w:val="BookTitle"/>
          <w:rFonts w:ascii="Times New Roman" w:hAnsi="Times New Roman"/>
          <w:b w:val="0"/>
          <w:spacing w:val="0"/>
          <w:sz w:val="22"/>
          <w:szCs w:val="22"/>
          <w:lang w:val="en-GB"/>
        </w:rPr>
        <w:t>ed</w:t>
      </w:r>
      <w:r w:rsidR="005D6E23" w:rsidRPr="00972203">
        <w:rPr>
          <w:rStyle w:val="BookTitle"/>
          <w:rFonts w:ascii="Times New Roman" w:hAnsi="Times New Roman"/>
          <w:b w:val="0"/>
          <w:spacing w:val="0"/>
          <w:sz w:val="22"/>
          <w:szCs w:val="22"/>
          <w:lang w:val="en-GB"/>
        </w:rPr>
        <w:t xml:space="preserve"> potential storage sites of particular areas where the local geology and other parameters </w:t>
      </w:r>
      <w:r w:rsidR="00E23BCD">
        <w:rPr>
          <w:rStyle w:val="BookTitle"/>
          <w:rFonts w:ascii="Times New Roman" w:hAnsi="Times New Roman"/>
          <w:b w:val="0"/>
          <w:spacing w:val="0"/>
          <w:sz w:val="22"/>
          <w:szCs w:val="22"/>
          <w:lang w:val="en-GB"/>
        </w:rPr>
        <w:t>we</w:t>
      </w:r>
      <w:r w:rsidR="00E23BCD" w:rsidRPr="00972203">
        <w:rPr>
          <w:rStyle w:val="BookTitle"/>
          <w:rFonts w:ascii="Times New Roman" w:hAnsi="Times New Roman"/>
          <w:b w:val="0"/>
          <w:spacing w:val="0"/>
          <w:sz w:val="22"/>
          <w:szCs w:val="22"/>
          <w:lang w:val="en-GB"/>
        </w:rPr>
        <w:t xml:space="preserve">re </w:t>
      </w:r>
      <w:r w:rsidR="005D6E23" w:rsidRPr="00972203">
        <w:rPr>
          <w:rStyle w:val="BookTitle"/>
          <w:rFonts w:ascii="Times New Roman" w:hAnsi="Times New Roman"/>
          <w:b w:val="0"/>
          <w:spacing w:val="0"/>
          <w:sz w:val="22"/>
          <w:szCs w:val="22"/>
          <w:lang w:val="en-GB"/>
        </w:rPr>
        <w:t>investigated and compa</w:t>
      </w:r>
      <w:r w:rsidR="00D25689" w:rsidRPr="00972203">
        <w:rPr>
          <w:rStyle w:val="BookTitle"/>
          <w:rFonts w:ascii="Times New Roman" w:hAnsi="Times New Roman"/>
          <w:b w:val="0"/>
          <w:spacing w:val="0"/>
          <w:sz w:val="22"/>
          <w:szCs w:val="22"/>
          <w:lang w:val="en-GB"/>
        </w:rPr>
        <w:t xml:space="preserve">red to find the best </w:t>
      </w:r>
      <w:r>
        <w:rPr>
          <w:rStyle w:val="BookTitle"/>
          <w:rFonts w:ascii="Times New Roman" w:hAnsi="Times New Roman"/>
          <w:b w:val="0"/>
          <w:spacing w:val="0"/>
          <w:sz w:val="22"/>
          <w:szCs w:val="22"/>
          <w:lang w:val="en-GB"/>
        </w:rPr>
        <w:t>storage locations</w:t>
      </w:r>
      <w:r w:rsidR="00D25689" w:rsidRPr="00972203">
        <w:rPr>
          <w:rStyle w:val="BookTitle"/>
          <w:rFonts w:ascii="Times New Roman" w:hAnsi="Times New Roman"/>
          <w:b w:val="0"/>
          <w:spacing w:val="0"/>
          <w:sz w:val="22"/>
          <w:szCs w:val="22"/>
          <w:lang w:val="en-GB"/>
        </w:rPr>
        <w:t>.</w:t>
      </w:r>
      <w:r w:rsidR="005D6E23" w:rsidRPr="00972203">
        <w:rPr>
          <w:rStyle w:val="BookTitle"/>
          <w:rFonts w:ascii="Times New Roman" w:hAnsi="Times New Roman"/>
          <w:b w:val="0"/>
          <w:spacing w:val="0"/>
          <w:sz w:val="22"/>
          <w:szCs w:val="22"/>
          <w:lang w:val="en-GB"/>
        </w:rPr>
        <w:t xml:space="preserve"> These </w:t>
      </w:r>
      <w:r w:rsidR="008126C7" w:rsidRPr="00972203">
        <w:rPr>
          <w:rStyle w:val="BookTitle"/>
          <w:rFonts w:ascii="Times New Roman" w:hAnsi="Times New Roman"/>
          <w:b w:val="0"/>
          <w:spacing w:val="0"/>
          <w:sz w:val="22"/>
          <w:szCs w:val="22"/>
          <w:lang w:val="en-GB"/>
        </w:rPr>
        <w:t xml:space="preserve">conditions </w:t>
      </w:r>
      <w:r w:rsidR="005D6E23" w:rsidRPr="00972203">
        <w:rPr>
          <w:rStyle w:val="BookTitle"/>
          <w:rFonts w:ascii="Times New Roman" w:hAnsi="Times New Roman"/>
          <w:b w:val="0"/>
          <w:spacing w:val="0"/>
          <w:sz w:val="22"/>
          <w:szCs w:val="22"/>
          <w:lang w:val="en-GB"/>
        </w:rPr>
        <w:t xml:space="preserve">can be </w:t>
      </w:r>
      <w:r w:rsidR="008126C7" w:rsidRPr="00972203">
        <w:rPr>
          <w:rStyle w:val="BookTitle"/>
          <w:rFonts w:ascii="Times New Roman" w:hAnsi="Times New Roman"/>
          <w:b w:val="0"/>
          <w:spacing w:val="0"/>
          <w:sz w:val="22"/>
          <w:szCs w:val="22"/>
          <w:lang w:val="en-GB"/>
        </w:rPr>
        <w:t xml:space="preserve">related to </w:t>
      </w:r>
      <w:r w:rsidR="005D6E23" w:rsidRPr="00972203">
        <w:rPr>
          <w:rStyle w:val="BookTitle"/>
          <w:rFonts w:ascii="Times New Roman" w:hAnsi="Times New Roman"/>
          <w:b w:val="0"/>
          <w:spacing w:val="0"/>
          <w:sz w:val="22"/>
          <w:szCs w:val="22"/>
          <w:lang w:val="en-GB"/>
        </w:rPr>
        <w:t xml:space="preserve">geological </w:t>
      </w:r>
      <w:r w:rsidR="008126C7" w:rsidRPr="00972203">
        <w:rPr>
          <w:rStyle w:val="BookTitle"/>
          <w:rFonts w:ascii="Times New Roman" w:hAnsi="Times New Roman"/>
          <w:b w:val="0"/>
          <w:spacing w:val="0"/>
          <w:sz w:val="22"/>
          <w:szCs w:val="22"/>
          <w:lang w:val="en-GB"/>
        </w:rPr>
        <w:t>zones</w:t>
      </w:r>
      <w:r w:rsidR="005D6E23" w:rsidRPr="00972203">
        <w:rPr>
          <w:rStyle w:val="BookTitle"/>
          <w:rFonts w:ascii="Times New Roman" w:hAnsi="Times New Roman"/>
          <w:b w:val="0"/>
          <w:spacing w:val="0"/>
          <w:sz w:val="22"/>
          <w:szCs w:val="22"/>
          <w:lang w:val="en-GB"/>
        </w:rPr>
        <w:t xml:space="preserve"> such as </w:t>
      </w:r>
      <w:r w:rsidR="00E23BCD">
        <w:rPr>
          <w:rStyle w:val="BookTitle"/>
          <w:rFonts w:ascii="Times New Roman" w:hAnsi="Times New Roman"/>
          <w:b w:val="0"/>
          <w:spacing w:val="0"/>
          <w:sz w:val="22"/>
          <w:szCs w:val="22"/>
          <w:lang w:val="en-GB"/>
        </w:rPr>
        <w:t xml:space="preserve">sedimentary </w:t>
      </w:r>
      <w:r w:rsidR="005D6E23" w:rsidRPr="00972203">
        <w:rPr>
          <w:rStyle w:val="BookTitle"/>
          <w:rFonts w:ascii="Times New Roman" w:hAnsi="Times New Roman"/>
          <w:b w:val="0"/>
          <w:spacing w:val="0"/>
          <w:sz w:val="22"/>
          <w:szCs w:val="22"/>
          <w:lang w:val="en-GB"/>
        </w:rPr>
        <w:t>basins</w:t>
      </w:r>
      <w:r w:rsidR="008126C7" w:rsidRPr="00972203">
        <w:rPr>
          <w:rStyle w:val="BookTitle"/>
          <w:rFonts w:ascii="Times New Roman" w:hAnsi="Times New Roman"/>
          <w:b w:val="0"/>
          <w:spacing w:val="0"/>
          <w:sz w:val="22"/>
          <w:szCs w:val="22"/>
          <w:lang w:val="en-GB"/>
        </w:rPr>
        <w:t xml:space="preserve"> (e.g. </w:t>
      </w:r>
      <w:r w:rsidR="00EC5DB1" w:rsidRPr="00972203">
        <w:rPr>
          <w:rStyle w:val="BookTitle"/>
          <w:rFonts w:ascii="Times New Roman" w:hAnsi="Times New Roman"/>
          <w:b w:val="0"/>
          <w:noProof/>
          <w:spacing w:val="0"/>
          <w:sz w:val="22"/>
          <w:szCs w:val="22"/>
          <w:lang w:val="en-GB"/>
        </w:rPr>
        <w:fldChar w:fldCharType="begin" w:fldLock="1"/>
      </w:r>
      <w:r w:rsidR="00E41AF9">
        <w:rPr>
          <w:rStyle w:val="BookTitle"/>
          <w:rFonts w:ascii="Times New Roman" w:hAnsi="Times New Roman"/>
          <w:b w:val="0"/>
          <w:noProof/>
          <w:spacing w:val="0"/>
          <w:sz w:val="22"/>
          <w:szCs w:val="22"/>
          <w:lang w:val="en-GB"/>
        </w:rPr>
        <w:instrText>ADDIN CSL_CITATION {"citationItems":[{"id":"ITEM-1","itemData":{"DOI":"10.1007/s12665-014-3965-3","ISSN":"18666299","abstract":"Different tectonic settings exert different depositional process controls within the tectonic basin which influence CO2 storage site suitability in terms of basin architecture, caprock architecture, reservoir quality, stress state, mechanical characteristics, fractures, burial depth, geothermal gradient, risk of orogenic modification, structural stability and preservation potential. We apply the concept of geomechanical facies; where deposits are grouped together on the basis of engineering parameters that fulfil a specific role within the storage system, e.g. reservoir, caprock, overburden; to provide an assessment of CO2 storage suitability for seven different tectonic settings. The geomechanical facies data were analysed using two different multiple attribute decision analysis methodologies and the results show that foreland basins are likely to be the most suitable for CO2 storage, followed by passive continental margins, terrestrial rift basins, Strike-slip basins, Back-arc basins, with oceanic basins, forearc basins and trench basins expected to be the least suitable. The geomechanical facies approach was compared with two current storage projects (Sleipner and In Salah) and a natural CO2 storage analogue (Miller) to build confidence in the methodology. Finally the global distribution of the most likely CO2 storage basins based on their geomechanical facies was mapped and correlated with CO2 emission sources.","author":[{"dropping-particle":"","family":"Edlmann","given":"K.","non-dropping-particle":"","parse-names":false,"suffix":""},{"dropping-particle":"","family":"Edwards","given":"M. A.","non-dropping-particle":"","parse-names":false,"suffix":""},{"dropping-particle":"","family":"Qiao","given":"X. J.","non-dropping-particle":"","parse-names":false,"suffix":""},{"dropping-particle":"","family":"Haszeldine","given":"R. S.","non-dropping-particle":"","parse-names":false,"suffix":""},{"dropping-particle":"","family":"McDermott","given":"C. I.","non-dropping-particle":"","parse-names":false,"suffix":""}],"container-title":"Environmental Earth Sciences","id":"ITEM-1","issue":"12","issued":{"date-parts":[["2015"]]},"page":"8075-8096","publisher":"Springer Berlin Heidelberg","title":"Appraisal of global CO2 storage opportunities using the geomechanical facies approach","type":"article-journal","volume":"73"},"uris":["http://www.mendeley.com/documents/?uuid=2767f37e-5f4b-4eea-8fc9-c4546d4e1e12"]},{"id":"ITEM-2","itemData":{"DOI":"10.1016/j.ijggc.2017.08.012","ISSN":"17505836","abstract":"The Bohai Bay Basin is the largest petroliferous sedimentary basin in China. This basin is encompassed by the Bohai Sea economic zone where a large volume of CO2is emitted directly into the atmosphere without any treatment. Meanwhile, most of the oil and gas provinces in this basin are facing the selection of tertiary recovery technologies after the completion of water flooding. CO2enhanced oil recovery (CO2-EOR) is an optimal choice for achieving both a reduction in CO2emissions and enhanced (or improved) oil recovery. In this paper, an evaluation of the CO2-EOR and CO2storage potential was carried out at the reservoir scale, based on an established oil reservoir database from numerous data sources, to provide the basis investigating CO2-EOR site selection and regional CO2emission reduction in China. Moreover, an assessment scheme for the oil reservoirs in the Bohai Bay Basin was also proposed. The results showed that 613 CO2-EOR candidate oil reservoirs, including 354 miscible CO2-EOR candidate oil reservoirs and 259 immiscible CO2-EOR candidate oil reservoirs were identified by applying the screening methodology to 2,891 oil reservoirs in the Bohai Bay Basin. It was predicted that 683 Mt of additional oil can be produced from the CO2-EOR candidate oil reservoirs, and simultaneously 1,345 Mt of CO2would be incidentally stored in these candidate oil reservoirs. Furthermore, the most prospective area is the miscible CO2-EOR candidate oil reservoirs in the Shengli oil and gas province, where 140 Mt oil could be produced with the CO2-EOR and the injection and incidental storage of 225 Mt of CO2.","author":[{"dropping-particle":"","family":"Yang","given":"Wei","non-dropping-particle":"","parse-names":false,"suffix":""},{"dropping-particle":"","family":"Peng","given":"Bo","non-dropping-particle":"","parse-names":false,"suffix":""},{"dropping-particle":"","family":"Liu","given":"Qi","non-dropping-particle":"","parse-names":false,"suffix":""},{"dropping-particle":"","family":"Wang","given":"Shuai","non-dropping-particle":"","parse-names":false,"suffix":""},{"dropping-particle":"","family":"Dong","given":"Yongfa","non-dropping-particle":"","parse-names":false,"suffix":""},{"dropping-particle":"","family":"Lai","given":"Yingying","non-dropping-particle":"","parse-names":false,"suffix":""}],"container-title":"International Journal of Greenhouse Gas Control","id":"ITEM-2","issue":"December 2016","issued":{"date-parts":[["2017"]]},"page":"86-98","publisher":"Elsevier","title":"Evaluation of CO2enhanced oil recovery and CO2storage potential in oil reservoirs of Bohai Bay Basin, China","type":"article-journal","volume":"65"},"uris":["http://www.mendeley.com/documents/?uuid=1291ba64-9073-451e-88a4-99b39491d6f1"]},{"id":"ITEM-3","itemData":{"DOI":"10.1016/j.gsf.2020.02.008","ISSN":"16749871","abstract":"Carbon capture and storage (CCS) has been proposed as a potential technology to mitigate climate change. However, there is currently a huge gap between the current global deployment of this technology and that which will be ultimately required. Whilst CO2 can be captured at any geographic location, storage of CO2 will be constrained by the geological storage potential in the area the CO2 is captured. The geological storage potential can be evaluated at a very high level according to the tectonic setting of the target area. To date, CCS deployment has been restricted to more favourable tectonic settings, such as extensional passive margin and post-rift basins and compressional foreland basins. However, to reach the adequate level of deployment, the potential for CCS of regions in different tectonic settings needs to be explored and assessed worldwide. Surprisingly, the potential of compressional basins for carbon storage has not been universally evaluated according to the global and regional carbon emission distribution. Here, we present an integrated source-to-sink analysis tool that combines comprehensive, open-access information on basin distribution, hydrocarbon resources and CO2 emissions based on geographical information systems (GIS). Compressional settings host some of the most significant hydrocarbon-bearing basins and 36% of inland CO2 emissions but, to date, large-scale CCS facilities in compressional basins are concentrated in North America and the Middle East only. Our source-to-sink tool allows identifying five high-priority regions for prospective CCS development in compressional basins: North America, north-western South America, south-eastern Europe, the western Middle East and western China. We present a study of the characteristics of these areas in terms of CO2 emissions and CO2 storage potential. Additionally, we conduct a detailed case-study analysis of the Sichuan Basin (China), one of the compressional basins with the greatest CO2 storage potential. Our results indicate that compressional basins will have to play a critical role in the future of CCS if this technology is to be implemented worldwide.","author":[{"dropping-particle":"","family":"Sun","given":"Xiaolong","non-dropping-particle":"","parse-names":false,"suffix":""},{"dropping-particle":"","family":"Alcalde","given":"Juan","non-dropping-particle":"","parse-names":false,"suffix":""},{"dropping-particle":"","family":"Gomez-Rivas","given":"Enrique","non-dropping-particle":"","parse-names":false,"suffix":""},{"dropping-particle":"","family":"Struth","given":"Lucía","non-dropping-particle":"","parse-names":false,"suffix":""},{"dropping-particle":"","family":"Johnson","given":"Gareth","non-dropping-particle":"","parse-names":false,"suffix":""},{"dropping-particle":"","family":"Travé","given":"Anna","non-dropping-particle":"","parse-names":false,"suffix":""},{"dropping-particle":"","family":"Gómez-Rivas","given":"Enrique","non-dropping-particle":"","parse-names":false,"suffix":""},{"dropping-particle":"","family":"Struth","given":"Lucía","non-dropping-particle":"","parse-names":false,"suffix":""},{"dropping-particle":"","family":"Johnson","given":"Gareth","non-dropping-particle":"","parse-names":false,"suffix":""},{"dropping-particle":"","family":"Travé","given":"Anna","non-dropping-particle":"","parse-names":false,"suffix":""}],"container-title":"Geoscience Frontiers","id":"ITEM-3","issue":"6","issued":{"date-parts":[["2020"]]},"page":"2309-2321","title":"Appraisal of CO2 storage potential in compressional hydrocarbon-bearing basins: Global assessment and case study in the Sichuan Basin (China)","type":"article-journal","volume":"11"},"uris":["http://www.mendeley.com/documents/?uuid=30c37788-9dd0-4369-ac67-0cbaf4b470aa"]}],"mendeley":{"formattedCitation":"(Edlmann et al., 2015; Sun et al., 2020; Yang et al., 2017)","manualFormatting":"Edlmann et al., 2015; Sun et al., 2020; Yang et al., 2017","plainTextFormattedCitation":"(Edlmann et al., 2015; Sun et al., 2020; Yang et al., 2017)","previouslyFormattedCitation":"(Edlmann et al., 2015; Sun et al., 2020; Yang et al., 2017)"},"properties":{"noteIndex":0},"schema":"https://github.com/citation-style-language/schema/raw/master/csl-citation.json"}</w:instrText>
      </w:r>
      <w:r w:rsidR="00EC5DB1"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Edlmann et al., 2015; Sun et al., 2020; Yang et al., 2017</w:t>
      </w:r>
      <w:r w:rsidR="00EC5DB1" w:rsidRPr="00972203">
        <w:rPr>
          <w:rStyle w:val="BookTitle"/>
          <w:rFonts w:ascii="Times New Roman" w:hAnsi="Times New Roman"/>
          <w:b w:val="0"/>
          <w:noProof/>
          <w:spacing w:val="0"/>
          <w:sz w:val="22"/>
          <w:szCs w:val="22"/>
          <w:lang w:val="en-GB"/>
        </w:rPr>
        <w:fldChar w:fldCharType="end"/>
      </w:r>
      <w:r w:rsidR="008126C7" w:rsidRPr="00972203">
        <w:rPr>
          <w:rStyle w:val="BookTitle"/>
          <w:rFonts w:ascii="Times New Roman" w:hAnsi="Times New Roman"/>
          <w:b w:val="0"/>
          <w:spacing w:val="0"/>
          <w:sz w:val="22"/>
          <w:szCs w:val="22"/>
          <w:lang w:val="en-GB"/>
        </w:rPr>
        <w:t>)</w:t>
      </w:r>
      <w:r w:rsidR="005D6E23" w:rsidRPr="00972203">
        <w:rPr>
          <w:rStyle w:val="BookTitle"/>
          <w:rFonts w:ascii="Times New Roman" w:hAnsi="Times New Roman"/>
          <w:b w:val="0"/>
          <w:spacing w:val="0"/>
          <w:sz w:val="22"/>
          <w:szCs w:val="22"/>
          <w:lang w:val="en-GB"/>
        </w:rPr>
        <w:t xml:space="preserve"> or geographical </w:t>
      </w:r>
      <w:r w:rsidR="006C6925">
        <w:rPr>
          <w:rStyle w:val="BookTitle"/>
          <w:rFonts w:ascii="Times New Roman" w:hAnsi="Times New Roman"/>
          <w:b w:val="0"/>
          <w:spacing w:val="0"/>
          <w:sz w:val="22"/>
          <w:szCs w:val="22"/>
          <w:lang w:val="en-GB"/>
        </w:rPr>
        <w:t>areas</w:t>
      </w:r>
      <w:r w:rsidR="005D6E23" w:rsidRPr="00972203">
        <w:rPr>
          <w:rStyle w:val="BookTitle"/>
          <w:rFonts w:ascii="Times New Roman" w:hAnsi="Times New Roman"/>
          <w:b w:val="0"/>
          <w:spacing w:val="0"/>
          <w:sz w:val="22"/>
          <w:szCs w:val="22"/>
          <w:lang w:val="en-GB"/>
        </w:rPr>
        <w:t xml:space="preserve"> such as countries</w:t>
      </w:r>
      <w:r w:rsidR="00D25689" w:rsidRPr="00972203">
        <w:rPr>
          <w:rStyle w:val="BookTitle"/>
          <w:rFonts w:ascii="Times New Roman" w:hAnsi="Times New Roman"/>
          <w:b w:val="0"/>
          <w:spacing w:val="0"/>
          <w:sz w:val="22"/>
          <w:szCs w:val="22"/>
          <w:lang w:val="en-GB"/>
        </w:rPr>
        <w:t xml:space="preserve"> or regions</w:t>
      </w:r>
      <w:r w:rsidR="008126C7" w:rsidRPr="00972203">
        <w:rPr>
          <w:rStyle w:val="BookTitle"/>
          <w:rFonts w:ascii="Times New Roman" w:hAnsi="Times New Roman"/>
          <w:b w:val="0"/>
          <w:spacing w:val="0"/>
          <w:sz w:val="22"/>
          <w:szCs w:val="22"/>
          <w:lang w:val="en-GB"/>
        </w:rPr>
        <w:t xml:space="preserve"> (e.g. </w:t>
      </w:r>
      <w:r w:rsidR="00EC5DB1"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{"citationItems":[{"id":"ITEM-1","itemData":{"DOI":"10.1306/eg.11080505015","ISSN":"10759565","abstract":"Calculations of the CO2 storage capacity in the Leman Sandstone Formation and the Bunter Sandstone Formation in the data-rich southern North Sea basin, using structure contour, porosity, and isopach maps and a simulation Of CO2 injection, suggest that their CO2 storage capacities are approximately 3 and up to 15 Gt CO2, respectively. It is recognized that such data are not available for most sedimentary basins, and a simple top-down method of calculating CO2 storage capacity would be highly desirable from a policy maker's perspective, so that the storage capacity of a basin, region, or jurisdiction could readily be estimated. Therefore, the above estimates were used to calculate the amount of CO2 stored per unit area and the amount of CO2 stored per unit of pore volume in the Leman Sandstone and Bunter Sandstone formations. The results were compared to similar calculations, derived from published data, for the Utsira Sand, a CO2 storage reservoir in the northern North Sea. The mean CO2 stored per unit area of the formation is 140 kg m-22, and the range is 42-260 kg m-2. The mean CO2 stored per unit pore volume is 6.3 kg m-3, and the range is 1.8-10.0 kg m-3. Two important factors that vary widely between these three North Sea reservoir formations are the total pore volume in traps and the achievable CO2 saturation; neither can be determined without detailed data. Copyright © 2006. British Geological Survey/Natural Environment Research Council. All rights reserved.","author":[{"dropping-particle":"","family":"Holloway","given":"Sam","non-dropping-particle":"","parse-names":false,"suffix":""},{"dropping-particle":"","family":"Vincent","given":"Ceri J.","non-dropping-particle":"","parse-names":false,"suffix":""},{"dropping-particle":"","family":"Bentham","given":"Michelle S.","non-dropping-particle":"","parse-names":false,"suffix":""},{"dropping-particle":"","family":"Kirk","given":"Karen L.","non-dropping-particle":"","parse-names":false,"suffix":""}],"container-title":"Environmental Geosciences","id":"ITEM-1","issue":"2","issued":{"date-parts":[["2006"]]},"page":"71-84","title":"Top-down and bottom-up estimates of CO2 storage capacity in the United Kingdom sector of the southern North Sea basin","type":"article-journal","volume":"13"},"uris":["http://www.mendeley.com/documents/?uuid=029fd104-012f-4920-b549-999d4bde4936"]},{"id":"ITEM-2","itemData":{"DOI":"10.1016/j.ijggc.2012.10.012","ISSN":"17505836","abstract":"Development of a reliable, broadly applicable framework for the identification and suitability evaluation of potential CO2 storage sites is essential before large-scale deployment of carbon dioxide capture and geological storage (CCS) can commence. In this study, a sub-basin scale evaluation framework was developed to assess the suitability of potential onshore deep saline aquifers for CO2 storage in China. The methodology, developed in consultation with experts from the academia and the petroleum industry in China, is based on a multi-criteria analysis (MCA) framework that considers four objectives: (1) storage optimization, in terms of storage capacity and injectivity; (2) risk minimization and storage security; (3) environmental restrictions regarding surface and subsurface use; and (4) economic considerations. The framework is designed to provide insights into both the suitability of potential aquifer storage sites as well as the priority for early deployment of CCS with existing CO2 sources. Preliminary application of the framework, conducted using GIS-based evaluation tools revealed that 18% of onshore aquifer sites with a combined CO2 storage capacity of 746gigatons are considered to exhibit very high suitability, and 11% of onshore aquifer sites with a total capacity of 290gigatons exhibit very high priority opportunities for implementation. These onshore aquifer sites may provide promising opportunities for early large-scale CCS deployment and contribute to CO2 mitigation in China for many decades. © 2012 Elsevier Ltd.","author":[{"dropping-particle":"","family":"Wei","given":"Ning","non-dropping-particle":"","parse-names":false,"suffix":""},{"dropping-particle":"","family":"Li","given":"Xiaochun","non-dropping-particle":"","parse-names":false,"suffix":""},{"dropping-particle":"","family":"Wang","given":"Ying","non-dropping-particle":"","parse-names":false,"suffix":""},{"dropping-particle":"","family":"Dahowski","given":"Robert T.","non-dropping-particle":"","parse-names":false,"suffix":""},{"dropping-particle":"","family":"Davidson","given":"Casie L.","non-dropping-particle":"","parse-names":false,"suffix":""},{"dropping-particle":"","family":"Bromhal","given":"Grant S.","non-dropping-particle":"","parse-names":false,"suffix":""}],"container-title":"International Journal of Greenhouse Gas Control","id":"ITEM-2","issue":"January","issued":{"date-parts":[["2013"]]},"page":"231-246","publisher":"Elsevier Ltd","title":"A preliminary sub-basin scale evaluation framework of site suitability for onshore aquifer-based CO2 storage in China","type":"article-journal","volume":"12"},"uris":["http://www.mendeley.com/documents/?uuid=413eee93-9a65-4b32-a0e6-c3891b947080"]}],"mendeley":{"formattedCitation":"(Holloway et al., 2006; Wei et al., 2013)","manualFormatting":"Holloway et al., 2006; Wei et al., 2013","plainTextFormattedCitation":"(Holloway et al., 2006; Wei et al., 2013)","previouslyFormattedCitation":"(Holloway et al., 2006; Wei et al., 2013)"},"properties":{"noteIndex":0},"schema":"https://github.com/citation-style-language/schema/raw/master/csl-citation.json"}</w:instrText>
      </w:r>
      <w:r w:rsidR="00EC5DB1" w:rsidRPr="00972203">
        <w:rPr>
          <w:rStyle w:val="BookTitle"/>
          <w:rFonts w:ascii="Times New Roman" w:hAnsi="Times New Roman"/>
          <w:b w:val="0"/>
          <w:noProof/>
          <w:spacing w:val="0"/>
          <w:sz w:val="22"/>
          <w:szCs w:val="22"/>
          <w:lang w:val="en-GB"/>
        </w:rPr>
        <w:fldChar w:fldCharType="separate"/>
      </w:r>
      <w:r w:rsidR="00CB0FE1" w:rsidRPr="00CB0FE1">
        <w:rPr>
          <w:rStyle w:val="BookTitle"/>
          <w:rFonts w:ascii="Times New Roman" w:hAnsi="Times New Roman"/>
          <w:b w:val="0"/>
          <w:noProof/>
          <w:spacing w:val="0"/>
          <w:sz w:val="22"/>
          <w:szCs w:val="22"/>
          <w:lang w:val="en-GB"/>
        </w:rPr>
        <w:t>Holloway et al., 2006; Wei et al., 2013</w:t>
      </w:r>
      <w:r w:rsidR="00EC5DB1" w:rsidRPr="00972203">
        <w:rPr>
          <w:rStyle w:val="BookTitle"/>
          <w:rFonts w:ascii="Times New Roman" w:hAnsi="Times New Roman"/>
          <w:b w:val="0"/>
          <w:noProof/>
          <w:spacing w:val="0"/>
          <w:sz w:val="22"/>
          <w:szCs w:val="22"/>
          <w:lang w:val="en-GB"/>
        </w:rPr>
        <w:fldChar w:fldCharType="end"/>
      </w:r>
      <w:r w:rsidR="008126C7" w:rsidRPr="00972203">
        <w:rPr>
          <w:rStyle w:val="BookTitle"/>
          <w:rFonts w:ascii="Times New Roman" w:hAnsi="Times New Roman"/>
          <w:b w:val="0"/>
          <w:spacing w:val="0"/>
          <w:sz w:val="22"/>
          <w:szCs w:val="22"/>
          <w:lang w:val="en-GB"/>
        </w:rPr>
        <w:t>)</w:t>
      </w:r>
      <w:r w:rsidR="005D6E23" w:rsidRPr="00972203">
        <w:rPr>
          <w:rStyle w:val="BookTitle"/>
          <w:rFonts w:ascii="Times New Roman" w:hAnsi="Times New Roman"/>
          <w:b w:val="0"/>
          <w:spacing w:val="0"/>
          <w:sz w:val="22"/>
          <w:szCs w:val="22"/>
          <w:lang w:val="en-GB"/>
        </w:rPr>
        <w:t xml:space="preserve">. </w:t>
      </w:r>
      <w:r w:rsidR="0050724F">
        <w:rPr>
          <w:rStyle w:val="BookTitle"/>
          <w:rFonts w:ascii="Times New Roman" w:hAnsi="Times New Roman"/>
          <w:b w:val="0"/>
          <w:spacing w:val="0"/>
          <w:sz w:val="22"/>
          <w:szCs w:val="22"/>
          <w:lang w:val="en-GB"/>
        </w:rPr>
        <w:t>These</w:t>
      </w:r>
      <w:r w:rsidR="005D6E23" w:rsidRPr="00972203">
        <w:rPr>
          <w:rStyle w:val="BookTitle"/>
          <w:rFonts w:ascii="Times New Roman" w:hAnsi="Times New Roman"/>
          <w:b w:val="0"/>
          <w:spacing w:val="0"/>
          <w:sz w:val="22"/>
          <w:szCs w:val="22"/>
          <w:lang w:val="en-GB"/>
        </w:rPr>
        <w:t xml:space="preserve"> studies </w:t>
      </w:r>
      <w:r w:rsidR="0050724F">
        <w:rPr>
          <w:rStyle w:val="BookTitle"/>
          <w:rFonts w:ascii="Times New Roman" w:hAnsi="Times New Roman"/>
          <w:b w:val="0"/>
          <w:spacing w:val="0"/>
          <w:sz w:val="22"/>
          <w:szCs w:val="22"/>
          <w:lang w:val="en-GB"/>
        </w:rPr>
        <w:t xml:space="preserve">often </w:t>
      </w:r>
      <w:r w:rsidR="005D6E23" w:rsidRPr="00972203">
        <w:rPr>
          <w:rStyle w:val="BookTitle"/>
          <w:rFonts w:ascii="Times New Roman" w:hAnsi="Times New Roman"/>
          <w:b w:val="0"/>
          <w:spacing w:val="0"/>
          <w:sz w:val="22"/>
          <w:szCs w:val="22"/>
          <w:lang w:val="en-GB"/>
        </w:rPr>
        <w:t>combine first order geological criteria with economic constrains, such as a specifi</w:t>
      </w:r>
      <w:r w:rsidR="00F44AF7">
        <w:rPr>
          <w:rStyle w:val="BookTitle"/>
          <w:rFonts w:ascii="Times New Roman" w:hAnsi="Times New Roman"/>
          <w:b w:val="0"/>
          <w:spacing w:val="0"/>
          <w:sz w:val="22"/>
          <w:szCs w:val="22"/>
          <w:lang w:val="en-GB"/>
        </w:rPr>
        <w:t xml:space="preserve">ed </w:t>
      </w:r>
      <w:r w:rsidR="009551B2">
        <w:rPr>
          <w:rStyle w:val="BookTitle"/>
          <w:rFonts w:ascii="Times New Roman" w:hAnsi="Times New Roman"/>
          <w:b w:val="0"/>
          <w:spacing w:val="0"/>
          <w:sz w:val="22"/>
          <w:szCs w:val="22"/>
          <w:lang w:val="en-GB"/>
        </w:rPr>
        <w:t>distance</w:t>
      </w:r>
      <w:r w:rsidR="00F44AF7">
        <w:rPr>
          <w:rStyle w:val="BookTitle"/>
          <w:rFonts w:ascii="Times New Roman" w:hAnsi="Times New Roman"/>
          <w:b w:val="0"/>
          <w:spacing w:val="0"/>
          <w:sz w:val="22"/>
          <w:szCs w:val="22"/>
          <w:lang w:val="en-GB"/>
        </w:rPr>
        <w:t xml:space="preserve"> to</w:t>
      </w:r>
      <w:r w:rsidR="005D6E23" w:rsidRPr="00972203">
        <w:rPr>
          <w:rStyle w:val="BookTitle"/>
          <w:rFonts w:ascii="Times New Roman" w:hAnsi="Times New Roman"/>
          <w:b w:val="0"/>
          <w:spacing w:val="0"/>
          <w:sz w:val="22"/>
          <w:szCs w:val="22"/>
          <w:lang w:val="en-GB"/>
        </w:rPr>
        <w:t xml:space="preserve"> CO</w:t>
      </w:r>
      <w:r w:rsidR="005D6E23" w:rsidRPr="00972203">
        <w:rPr>
          <w:rStyle w:val="BookTitle"/>
          <w:rFonts w:ascii="Times New Roman" w:hAnsi="Times New Roman"/>
          <w:b w:val="0"/>
          <w:spacing w:val="0"/>
          <w:sz w:val="22"/>
          <w:szCs w:val="22"/>
          <w:vertAlign w:val="subscript"/>
          <w:lang w:val="en-GB"/>
        </w:rPr>
        <w:t>2</w:t>
      </w:r>
      <w:r w:rsidR="005D6E23" w:rsidRPr="00972203">
        <w:rPr>
          <w:rStyle w:val="BookTitle"/>
          <w:rFonts w:ascii="Times New Roman" w:hAnsi="Times New Roman"/>
          <w:b w:val="0"/>
          <w:spacing w:val="0"/>
          <w:sz w:val="22"/>
          <w:szCs w:val="22"/>
          <w:lang w:val="en-GB"/>
        </w:rPr>
        <w:t xml:space="preserve"> sources or to CO</w:t>
      </w:r>
      <w:r w:rsidR="005D6E23" w:rsidRPr="00972203">
        <w:rPr>
          <w:rStyle w:val="BookTitle"/>
          <w:rFonts w:ascii="Times New Roman" w:hAnsi="Times New Roman"/>
          <w:b w:val="0"/>
          <w:spacing w:val="0"/>
          <w:sz w:val="22"/>
          <w:szCs w:val="22"/>
          <w:vertAlign w:val="subscript"/>
          <w:lang w:val="en-GB"/>
        </w:rPr>
        <w:t>2</w:t>
      </w:r>
      <w:r w:rsidR="005D6E23" w:rsidRPr="00972203">
        <w:rPr>
          <w:rStyle w:val="BookTitle"/>
          <w:rFonts w:ascii="Times New Roman" w:hAnsi="Times New Roman"/>
          <w:b w:val="0"/>
          <w:spacing w:val="0"/>
          <w:sz w:val="22"/>
          <w:szCs w:val="22"/>
          <w:lang w:val="en-GB"/>
        </w:rPr>
        <w:t xml:space="preserve"> transport infrastructure</w:t>
      </w:r>
      <w:r w:rsidR="009551B2">
        <w:rPr>
          <w:rStyle w:val="BookTitle"/>
          <w:rFonts w:ascii="Times New Roman" w:hAnsi="Times New Roman"/>
          <w:b w:val="0"/>
          <w:spacing w:val="0"/>
          <w:sz w:val="22"/>
          <w:szCs w:val="22"/>
          <w:lang w:val="en-GB"/>
        </w:rPr>
        <w:t>,</w:t>
      </w:r>
      <w:r w:rsidR="005D6E23" w:rsidRPr="00972203">
        <w:rPr>
          <w:rStyle w:val="BookTitle"/>
          <w:rFonts w:ascii="Times New Roman" w:hAnsi="Times New Roman"/>
          <w:b w:val="0"/>
          <w:spacing w:val="0"/>
          <w:sz w:val="22"/>
          <w:szCs w:val="22"/>
          <w:lang w:val="en-GB"/>
        </w:rPr>
        <w:t xml:space="preserve"> such as harbours or pipelines. Since these studies </w:t>
      </w:r>
      <w:r w:rsidR="00E23BCD">
        <w:rPr>
          <w:rStyle w:val="BookTitle"/>
          <w:rFonts w:ascii="Times New Roman" w:hAnsi="Times New Roman"/>
          <w:b w:val="0"/>
          <w:spacing w:val="0"/>
          <w:sz w:val="22"/>
          <w:szCs w:val="22"/>
          <w:lang w:val="en-GB"/>
        </w:rPr>
        <w:t>we</w:t>
      </w:r>
      <w:r w:rsidR="00E23BCD" w:rsidRPr="00972203">
        <w:rPr>
          <w:rStyle w:val="BookTitle"/>
          <w:rFonts w:ascii="Times New Roman" w:hAnsi="Times New Roman"/>
          <w:b w:val="0"/>
          <w:spacing w:val="0"/>
          <w:sz w:val="22"/>
          <w:szCs w:val="22"/>
          <w:lang w:val="en-GB"/>
        </w:rPr>
        <w:t xml:space="preserve">re </w:t>
      </w:r>
      <w:r w:rsidR="00D25689" w:rsidRPr="00972203">
        <w:rPr>
          <w:rStyle w:val="BookTitle"/>
          <w:rFonts w:ascii="Times New Roman" w:hAnsi="Times New Roman"/>
          <w:b w:val="0"/>
          <w:spacing w:val="0"/>
          <w:sz w:val="22"/>
          <w:szCs w:val="22"/>
          <w:lang w:val="en-GB"/>
        </w:rPr>
        <w:t>constrained within</w:t>
      </w:r>
      <w:r w:rsidR="005D6E23" w:rsidRPr="00972203">
        <w:rPr>
          <w:rStyle w:val="BookTitle"/>
          <w:rFonts w:ascii="Times New Roman" w:hAnsi="Times New Roman"/>
          <w:b w:val="0"/>
          <w:spacing w:val="0"/>
          <w:sz w:val="22"/>
          <w:szCs w:val="22"/>
          <w:lang w:val="en-GB"/>
        </w:rPr>
        <w:t xml:space="preserve"> pre-defined area</w:t>
      </w:r>
      <w:r w:rsidR="009404D7">
        <w:rPr>
          <w:rStyle w:val="BookTitle"/>
          <w:rFonts w:ascii="Times New Roman" w:hAnsi="Times New Roman"/>
          <w:b w:val="0"/>
          <w:spacing w:val="0"/>
          <w:sz w:val="22"/>
          <w:szCs w:val="22"/>
          <w:lang w:val="en-GB"/>
        </w:rPr>
        <w:t>s</w:t>
      </w:r>
      <w:r w:rsidR="005D6E23" w:rsidRPr="00972203">
        <w:rPr>
          <w:rStyle w:val="BookTitle"/>
          <w:rFonts w:ascii="Times New Roman" w:hAnsi="Times New Roman"/>
          <w:b w:val="0"/>
          <w:spacing w:val="0"/>
          <w:sz w:val="22"/>
          <w:szCs w:val="22"/>
          <w:lang w:val="en-GB"/>
        </w:rPr>
        <w:t xml:space="preserve">, the </w:t>
      </w:r>
      <w:r w:rsidR="00D25689" w:rsidRPr="00972203">
        <w:rPr>
          <w:rStyle w:val="BookTitle"/>
          <w:rFonts w:ascii="Times New Roman" w:hAnsi="Times New Roman"/>
          <w:b w:val="0"/>
          <w:spacing w:val="0"/>
          <w:sz w:val="22"/>
          <w:szCs w:val="22"/>
          <w:lang w:val="en-GB"/>
        </w:rPr>
        <w:t>potential</w:t>
      </w:r>
      <w:r w:rsidR="005D6E23" w:rsidRPr="00972203">
        <w:rPr>
          <w:rStyle w:val="BookTitle"/>
          <w:rFonts w:ascii="Times New Roman" w:hAnsi="Times New Roman"/>
          <w:b w:val="0"/>
          <w:spacing w:val="0"/>
          <w:sz w:val="22"/>
          <w:szCs w:val="22"/>
          <w:lang w:val="en-GB"/>
        </w:rPr>
        <w:t xml:space="preserve"> </w:t>
      </w:r>
      <w:r w:rsidR="00D25689" w:rsidRPr="00972203">
        <w:rPr>
          <w:rStyle w:val="BookTitle"/>
          <w:rFonts w:ascii="Times New Roman" w:hAnsi="Times New Roman"/>
          <w:b w:val="0"/>
          <w:spacing w:val="0"/>
          <w:sz w:val="22"/>
          <w:szCs w:val="22"/>
          <w:lang w:val="en-GB"/>
        </w:rPr>
        <w:t>sites</w:t>
      </w:r>
      <w:r w:rsidR="005D6E23" w:rsidRPr="00972203">
        <w:rPr>
          <w:rStyle w:val="BookTitle"/>
          <w:rFonts w:ascii="Times New Roman" w:hAnsi="Times New Roman"/>
          <w:b w:val="0"/>
          <w:spacing w:val="0"/>
          <w:sz w:val="22"/>
          <w:szCs w:val="22"/>
          <w:lang w:val="en-GB"/>
        </w:rPr>
        <w:t xml:space="preserve"> available for the screening </w:t>
      </w:r>
      <w:r w:rsidR="00E23BCD">
        <w:rPr>
          <w:rStyle w:val="BookTitle"/>
          <w:rFonts w:ascii="Times New Roman" w:hAnsi="Times New Roman"/>
          <w:b w:val="0"/>
          <w:spacing w:val="0"/>
          <w:sz w:val="22"/>
          <w:szCs w:val="22"/>
          <w:lang w:val="en-GB"/>
        </w:rPr>
        <w:t>we</w:t>
      </w:r>
      <w:r w:rsidR="00E23BCD" w:rsidRPr="00972203">
        <w:rPr>
          <w:rStyle w:val="BookTitle"/>
          <w:rFonts w:ascii="Times New Roman" w:hAnsi="Times New Roman"/>
          <w:b w:val="0"/>
          <w:spacing w:val="0"/>
          <w:sz w:val="22"/>
          <w:szCs w:val="22"/>
          <w:lang w:val="en-GB"/>
        </w:rPr>
        <w:t xml:space="preserve">re </w:t>
      </w:r>
      <w:r w:rsidR="005D6E23" w:rsidRPr="00972203">
        <w:rPr>
          <w:rStyle w:val="BookTitle"/>
          <w:rFonts w:ascii="Times New Roman" w:hAnsi="Times New Roman"/>
          <w:b w:val="0"/>
          <w:spacing w:val="0"/>
          <w:sz w:val="22"/>
          <w:szCs w:val="22"/>
          <w:lang w:val="en-GB"/>
        </w:rPr>
        <w:t xml:space="preserve">limited and the selection </w:t>
      </w:r>
      <w:r w:rsidR="00D559AB">
        <w:rPr>
          <w:rStyle w:val="BookTitle"/>
          <w:rFonts w:ascii="Times New Roman" w:hAnsi="Times New Roman"/>
          <w:b w:val="0"/>
          <w:spacing w:val="0"/>
          <w:sz w:val="22"/>
          <w:szCs w:val="22"/>
          <w:lang w:val="en-GB"/>
        </w:rPr>
        <w:t>tends to be</w:t>
      </w:r>
      <w:r w:rsidR="005D6E23" w:rsidRPr="00972203">
        <w:rPr>
          <w:rStyle w:val="BookTitle"/>
          <w:rFonts w:ascii="Times New Roman" w:hAnsi="Times New Roman"/>
          <w:b w:val="0"/>
          <w:spacing w:val="0"/>
          <w:sz w:val="22"/>
          <w:szCs w:val="22"/>
          <w:lang w:val="en-GB"/>
        </w:rPr>
        <w:t xml:space="preserve"> more pragmatic</w:t>
      </w:r>
      <w:r w:rsidR="00D25689" w:rsidRPr="00972203">
        <w:rPr>
          <w:rStyle w:val="BookTitle"/>
          <w:rFonts w:ascii="Times New Roman" w:hAnsi="Times New Roman"/>
          <w:b w:val="0"/>
          <w:spacing w:val="0"/>
          <w:sz w:val="22"/>
          <w:szCs w:val="22"/>
          <w:lang w:val="en-GB"/>
        </w:rPr>
        <w:t>,</w:t>
      </w:r>
      <w:r w:rsidR="005D6E23" w:rsidRPr="00972203">
        <w:rPr>
          <w:rStyle w:val="BookTitle"/>
          <w:rFonts w:ascii="Times New Roman" w:hAnsi="Times New Roman"/>
          <w:b w:val="0"/>
          <w:spacing w:val="0"/>
          <w:sz w:val="22"/>
          <w:szCs w:val="22"/>
          <w:lang w:val="en-GB"/>
        </w:rPr>
        <w:t xml:space="preserve"> </w:t>
      </w:r>
      <w:r w:rsidR="00D25689" w:rsidRPr="00972203">
        <w:rPr>
          <w:rStyle w:val="BookTitle"/>
          <w:rFonts w:ascii="Times New Roman" w:hAnsi="Times New Roman"/>
          <w:b w:val="0"/>
          <w:spacing w:val="0"/>
          <w:sz w:val="22"/>
          <w:szCs w:val="22"/>
          <w:lang w:val="en-GB"/>
        </w:rPr>
        <w:t>so</w:t>
      </w:r>
      <w:r w:rsidR="005D6E23" w:rsidRPr="00972203">
        <w:rPr>
          <w:rStyle w:val="BookTitle"/>
          <w:rFonts w:ascii="Times New Roman" w:hAnsi="Times New Roman"/>
          <w:b w:val="0"/>
          <w:spacing w:val="0"/>
          <w:sz w:val="22"/>
          <w:szCs w:val="22"/>
          <w:lang w:val="en-GB"/>
        </w:rPr>
        <w:t xml:space="preserve"> that the best site </w:t>
      </w:r>
      <w:r w:rsidR="00F44AF7">
        <w:rPr>
          <w:rStyle w:val="BookTitle"/>
          <w:rFonts w:ascii="Times New Roman" w:hAnsi="Times New Roman"/>
          <w:b w:val="0"/>
          <w:spacing w:val="0"/>
          <w:sz w:val="22"/>
          <w:szCs w:val="22"/>
          <w:lang w:val="en-GB"/>
        </w:rPr>
        <w:t>from a pre-determined</w:t>
      </w:r>
      <w:r w:rsidR="005D6E23" w:rsidRPr="00972203">
        <w:rPr>
          <w:rStyle w:val="BookTitle"/>
          <w:rFonts w:ascii="Times New Roman" w:hAnsi="Times New Roman"/>
          <w:b w:val="0"/>
          <w:spacing w:val="0"/>
          <w:sz w:val="22"/>
          <w:szCs w:val="22"/>
          <w:lang w:val="en-GB"/>
        </w:rPr>
        <w:t xml:space="preserve"> availab</w:t>
      </w:r>
      <w:r w:rsidR="00F44AF7">
        <w:rPr>
          <w:rStyle w:val="BookTitle"/>
          <w:rFonts w:ascii="Times New Roman" w:hAnsi="Times New Roman"/>
          <w:b w:val="0"/>
          <w:spacing w:val="0"/>
          <w:sz w:val="22"/>
          <w:szCs w:val="22"/>
          <w:lang w:val="en-GB"/>
        </w:rPr>
        <w:t>ility list</w:t>
      </w:r>
      <w:r w:rsidR="005D6E23" w:rsidRPr="00972203">
        <w:rPr>
          <w:rStyle w:val="BookTitle"/>
          <w:rFonts w:ascii="Times New Roman" w:hAnsi="Times New Roman"/>
          <w:b w:val="0"/>
          <w:spacing w:val="0"/>
          <w:sz w:val="22"/>
          <w:szCs w:val="22"/>
          <w:lang w:val="en-GB"/>
        </w:rPr>
        <w:t xml:space="preserve"> </w:t>
      </w:r>
      <w:r w:rsidR="00E23BCD">
        <w:rPr>
          <w:rStyle w:val="BookTitle"/>
          <w:rFonts w:ascii="Times New Roman" w:hAnsi="Times New Roman"/>
          <w:b w:val="0"/>
          <w:spacing w:val="0"/>
          <w:sz w:val="22"/>
          <w:szCs w:val="22"/>
          <w:lang w:val="en-GB"/>
        </w:rPr>
        <w:t>wa</w:t>
      </w:r>
      <w:r w:rsidR="00E23BCD" w:rsidRPr="00972203">
        <w:rPr>
          <w:rStyle w:val="BookTitle"/>
          <w:rFonts w:ascii="Times New Roman" w:hAnsi="Times New Roman"/>
          <w:b w:val="0"/>
          <w:spacing w:val="0"/>
          <w:sz w:val="22"/>
          <w:szCs w:val="22"/>
          <w:lang w:val="en-GB"/>
        </w:rPr>
        <w:t xml:space="preserve">s </w:t>
      </w:r>
      <w:r w:rsidR="005D6E23" w:rsidRPr="00972203">
        <w:rPr>
          <w:rStyle w:val="BookTitle"/>
          <w:rFonts w:ascii="Times New Roman" w:hAnsi="Times New Roman"/>
          <w:b w:val="0"/>
          <w:spacing w:val="0"/>
          <w:sz w:val="22"/>
          <w:szCs w:val="22"/>
          <w:lang w:val="en-GB"/>
        </w:rPr>
        <w:t>selected for further investigation (e.g.</w:t>
      </w:r>
      <w:r w:rsidR="003C4F01" w:rsidRPr="00972203">
        <w:rPr>
          <w:rStyle w:val="BookTitle"/>
          <w:rFonts w:ascii="Times New Roman" w:hAnsi="Times New Roman"/>
          <w:b w:val="0"/>
          <w:spacing w:val="0"/>
          <w:sz w:val="22"/>
          <w:szCs w:val="22"/>
          <w:lang w:val="en-GB"/>
        </w:rPr>
        <w:t xml:space="preserve"> </w:t>
      </w:r>
      <w:r w:rsidR="00967BE4"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{"citationItems":[{"id":"ITEM-1","itemData":{"DOI":"10.1016/j.energy.2004.08.026","ISSN":"03605442","abstract":"Japan has started a 5-year national R&amp;D project titled 'Underground Storage of Carbon Dioxide' to reduce CO2 emissions into the atmosphere. One of the targets of the project is to select a few preferred storage sites as candidates for large-scale demonstration tests in the next phase, and for commercial use in the near future. For this purpose, we have ranked the sites in terms of capacity potential and CO2 supply potential, both of which significantly affect the storage economics. Here, the supply potential for a storage site is characterized by the annual amount of the stationary emission sources and the site-source distance; that is, how much CO2 is available and how far away it is. In total, 69 sites on land and offshore and 113 fossil fuel fired power plants are being considered. Finally, using the data on capacities and supply potentials, the sites are graded into three ranks. As a result, a map that shows the rankings of each site has been made. The sites in rank 1 are recommended as near-future candidate sites. These sites have a comparatively large capacity and can obtain a reasonable amount of CO2 from nearby sources without requiring a main pipeline. © 2004 Elsevier Ltd. All rights reserved.","author":[{"dropping-particle":"","family":"Li","given":"Xiaochun","non-dropping-particle":"","parse-names":false,"suffix":""},{"dropping-particle":"","family":"Ohsumi","given":"Takashi","non-dropping-particle":"","parse-names":false,"suffix":""},{"dropping-particle":"","family":"Koide","given":"Hitoshi","non-dropping-particle":"","parse-names":false,"suffix":""},{"dropping-particle":"","family":"Akimoto","given":"Keigo","non-dropping-particle":"","parse-names":false,"suffix":""},{"dropping-particle":"","family":"Kotsubo","given":"Hironori","non-dropping-particle":"","parse-names":false,"suffix":""}],"container-title":"Energy","id":"ITEM-1","issue":"11-12 SPEC. ISS.","issued":{"date-parts":[["2005"]]},"page":"2360-2369","title":"Near-future perspective of CO2 aquifer storage in Japan: Site selection and capacity","type":"article-journal","volume":"30"},"uris":["http://www.mendeley.com/documents/?uuid=6340a3e0-91e9-4ef6-bfa2-1a54bf04edf2"]},{"id":"ITEM-2","itemData":{"DOI":"10.1016/j.ijggc.2008.10.005","ISSN":"17505836","abstract":"This paper provides a preliminary assessment of the suitability of Tertiary sedimentary basins in Northern, Western and Eastern Greece in order to identify geological structures close to major CO2 emission sources with the potential for long-term storage of CO2. The term \"emissions\" refers to point source emissions as defined by the International Energy Agency, including power generation, the cement sector and other industrial processes. The Prinos oil field and saline aquifer, along with the saline formations of the Thessaloniki Basin and the Mesohellenic Trough have been identified as prospective CO2 geological storage sites. In addition, a carbonate deep saline aquifer occurring at appropriate depths beneath the Neogene-Quaternary sediments of Ptolemais-Kozani graben (NW Greece) is considered. The proximity of this geological formation to Greece's largest lignite-fired power plants suggests that it would be worthwhile undertaking further site-specific studies to quantify its storage capacity and assess its structural integrity. © 2008 Elsevier Ltd. All rights reserved.","author":[{"dropping-particle":"","family":"Koukouzas","given":"N.","non-dropping-particle":"","parse-names":false,"suffix":""},{"dropping-particle":"","family":"Ziogou","given":"F.","non-dropping-particle":"","parse-names":false,"suffix":""},{"dropping-particle":"","family":"Gemeni","given":"V.","non-dropping-particle":"","parse-names":false,"suffix":""}],"container-title":"International Journal of Greenhouse Gas Control","id":"ITEM-2","issue":"4","issued":{"date-parts":[["2009"]]},"page":"502-513","title":"Preliminary assessment of CO2 geological storage opportunities in Greece","type":"article-journal","volume":"3"},"uris":["http://www.mendeley.com/documents/?uuid=264b97d5-2b0b-4f41-84bd-4b0b90d977f4"]}],"mendeley":{"formattedCitation":"(Koukouzas et al., 2009; Li et al., 2005)","manualFormatting":"Koukouzas et al., 2009; Li et al., 2005","plainTextFormattedCitation":"(Koukouzas et al., 2009; Li et al., 2005)","previouslyFormattedCitation":"(Koukouzas et al., 2009; Li et al., 2005)"},"properties":{"noteIndex":0},"schema":"https://github.com/citation-style-language/schema/raw/master/csl-citation.json"}</w:instrText>
      </w:r>
      <w:r w:rsidR="00967BE4" w:rsidRPr="00972203">
        <w:rPr>
          <w:rStyle w:val="BookTitle"/>
          <w:rFonts w:ascii="Times New Roman" w:hAnsi="Times New Roman"/>
          <w:b w:val="0"/>
          <w:noProof/>
          <w:spacing w:val="0"/>
          <w:sz w:val="22"/>
          <w:szCs w:val="22"/>
          <w:lang w:val="en-GB"/>
        </w:rPr>
        <w:fldChar w:fldCharType="separate"/>
      </w:r>
      <w:r w:rsidR="00CB0FE1" w:rsidRPr="00CB0FE1">
        <w:rPr>
          <w:rStyle w:val="BookTitle"/>
          <w:rFonts w:ascii="Times New Roman" w:hAnsi="Times New Roman"/>
          <w:b w:val="0"/>
          <w:noProof/>
          <w:spacing w:val="0"/>
          <w:sz w:val="22"/>
          <w:szCs w:val="22"/>
          <w:lang w:val="en-GB"/>
        </w:rPr>
        <w:t>Koukouzas et al., 2009; Li et al., 2005</w:t>
      </w:r>
      <w:r w:rsidR="00967BE4" w:rsidRPr="00972203">
        <w:rPr>
          <w:rStyle w:val="BookTitle"/>
          <w:rFonts w:ascii="Times New Roman" w:hAnsi="Times New Roman"/>
          <w:b w:val="0"/>
          <w:noProof/>
          <w:spacing w:val="0"/>
          <w:sz w:val="22"/>
          <w:szCs w:val="22"/>
          <w:lang w:val="en-GB"/>
        </w:rPr>
        <w:fldChar w:fldCharType="end"/>
      </w:r>
      <w:r w:rsidR="005D6E23" w:rsidRPr="00972203">
        <w:rPr>
          <w:rStyle w:val="BookTitle"/>
          <w:rFonts w:ascii="Times New Roman" w:hAnsi="Times New Roman"/>
          <w:b w:val="0"/>
          <w:spacing w:val="0"/>
          <w:sz w:val="22"/>
          <w:szCs w:val="22"/>
          <w:lang w:val="en-GB"/>
        </w:rPr>
        <w:t xml:space="preserve">). </w:t>
      </w:r>
    </w:p>
    <w:p w14:paraId="7CD835D3" w14:textId="5727EC01" w:rsidR="00B10E8E" w:rsidRPr="00972203" w:rsidRDefault="00EB4947" w:rsidP="0006693B">
      <w:pPr>
        <w:pStyle w:val="BodyText"/>
        <w:spacing w:after="120" w:line="276" w:lineRule="auto"/>
        <w:rPr>
          <w:rStyle w:val="BookTitle"/>
          <w:rFonts w:ascii="Times New Roman" w:hAnsi="Times New Roman"/>
          <w:b w:val="0"/>
          <w:spacing w:val="0"/>
          <w:sz w:val="22"/>
          <w:szCs w:val="22"/>
          <w:lang w:val="en-GB"/>
        </w:rPr>
      </w:pPr>
      <w:r w:rsidRPr="00972203">
        <w:rPr>
          <w:rStyle w:val="BookTitle"/>
          <w:rFonts w:ascii="Times New Roman" w:hAnsi="Times New Roman"/>
          <w:b w:val="0"/>
          <w:spacing w:val="0"/>
          <w:sz w:val="22"/>
          <w:szCs w:val="22"/>
          <w:lang w:val="en-GB"/>
        </w:rPr>
        <w:t>Studies aiming for l</w:t>
      </w:r>
      <w:r w:rsidR="00D25689" w:rsidRPr="00972203">
        <w:rPr>
          <w:rStyle w:val="BookTitle"/>
          <w:rFonts w:ascii="Times New Roman" w:hAnsi="Times New Roman"/>
          <w:b w:val="0"/>
          <w:spacing w:val="0"/>
          <w:sz w:val="22"/>
          <w:szCs w:val="22"/>
          <w:lang w:val="en-GB"/>
        </w:rPr>
        <w:t xml:space="preserve">ess site-specific </w:t>
      </w:r>
      <w:r w:rsidRPr="00972203">
        <w:rPr>
          <w:rStyle w:val="BookTitle"/>
          <w:rFonts w:ascii="Times New Roman" w:hAnsi="Times New Roman"/>
          <w:b w:val="0"/>
          <w:spacing w:val="0"/>
          <w:sz w:val="22"/>
          <w:szCs w:val="22"/>
          <w:lang w:val="en-GB"/>
        </w:rPr>
        <w:t>workflows</w:t>
      </w:r>
      <w:r w:rsidR="005D6E23" w:rsidRPr="00972203">
        <w:rPr>
          <w:rStyle w:val="BookTitle"/>
          <w:rFonts w:ascii="Times New Roman" w:hAnsi="Times New Roman"/>
          <w:b w:val="0"/>
          <w:spacing w:val="0"/>
          <w:sz w:val="22"/>
          <w:szCs w:val="22"/>
          <w:lang w:val="en-GB"/>
        </w:rPr>
        <w:t xml:space="preserve"> </w:t>
      </w:r>
      <w:r w:rsidR="0050724F">
        <w:rPr>
          <w:rStyle w:val="BookTitle"/>
          <w:rFonts w:ascii="Times New Roman" w:hAnsi="Times New Roman"/>
          <w:b w:val="0"/>
          <w:spacing w:val="0"/>
          <w:sz w:val="22"/>
          <w:szCs w:val="22"/>
          <w:lang w:val="en-GB"/>
        </w:rPr>
        <w:t xml:space="preserve">often </w:t>
      </w:r>
      <w:r w:rsidR="00D25689" w:rsidRPr="00972203">
        <w:rPr>
          <w:rStyle w:val="BookTitle"/>
          <w:rFonts w:ascii="Times New Roman" w:hAnsi="Times New Roman"/>
          <w:b w:val="0"/>
          <w:spacing w:val="0"/>
          <w:sz w:val="22"/>
          <w:szCs w:val="22"/>
          <w:lang w:val="en-GB"/>
        </w:rPr>
        <w:t>employ</w:t>
      </w:r>
      <w:r w:rsidR="005D6E23" w:rsidRPr="00972203">
        <w:rPr>
          <w:rStyle w:val="BookTitle"/>
          <w:rFonts w:ascii="Times New Roman" w:hAnsi="Times New Roman"/>
          <w:b w:val="0"/>
          <w:spacing w:val="0"/>
          <w:sz w:val="22"/>
          <w:szCs w:val="22"/>
          <w:lang w:val="en-GB"/>
        </w:rPr>
        <w:t xml:space="preserve"> wider range</w:t>
      </w:r>
      <w:r w:rsidRPr="00972203">
        <w:rPr>
          <w:rStyle w:val="BookTitle"/>
          <w:rFonts w:ascii="Times New Roman" w:hAnsi="Times New Roman"/>
          <w:b w:val="0"/>
          <w:spacing w:val="0"/>
          <w:sz w:val="22"/>
          <w:szCs w:val="22"/>
          <w:lang w:val="en-GB"/>
        </w:rPr>
        <w:t>s</w:t>
      </w:r>
      <w:r w:rsidR="005D6E23" w:rsidRPr="00972203">
        <w:rPr>
          <w:rStyle w:val="BookTitle"/>
          <w:rFonts w:ascii="Times New Roman" w:hAnsi="Times New Roman"/>
          <w:b w:val="0"/>
          <w:spacing w:val="0"/>
          <w:sz w:val="22"/>
          <w:szCs w:val="22"/>
          <w:lang w:val="en-GB"/>
        </w:rPr>
        <w:t xml:space="preserve"> of criteria. </w:t>
      </w:r>
      <w:r w:rsidR="00D25689" w:rsidRPr="00972203">
        <w:rPr>
          <w:rStyle w:val="BookTitle"/>
          <w:rFonts w:ascii="Times New Roman" w:hAnsi="Times New Roman"/>
          <w:b w:val="0"/>
          <w:spacing w:val="0"/>
          <w:sz w:val="22"/>
          <w:szCs w:val="22"/>
          <w:lang w:val="en-GB"/>
        </w:rPr>
        <w:t>The</w:t>
      </w:r>
      <w:r w:rsidR="005D6E23" w:rsidRPr="00972203">
        <w:rPr>
          <w:rStyle w:val="BookTitle"/>
          <w:rFonts w:ascii="Times New Roman" w:hAnsi="Times New Roman"/>
          <w:b w:val="0"/>
          <w:spacing w:val="0"/>
          <w:sz w:val="22"/>
          <w:szCs w:val="22"/>
          <w:lang w:val="en-GB"/>
        </w:rPr>
        <w:t xml:space="preserve"> approach </w:t>
      </w:r>
      <w:r w:rsidR="00D25689" w:rsidRPr="00972203">
        <w:rPr>
          <w:rStyle w:val="BookTitle"/>
          <w:rFonts w:ascii="Times New Roman" w:hAnsi="Times New Roman"/>
          <w:b w:val="0"/>
          <w:spacing w:val="0"/>
          <w:sz w:val="22"/>
          <w:szCs w:val="22"/>
          <w:lang w:val="en-GB"/>
        </w:rPr>
        <w:t>proposed</w:t>
      </w:r>
      <w:r w:rsidR="005D6E23" w:rsidRPr="00972203">
        <w:rPr>
          <w:rStyle w:val="BookTitle"/>
          <w:rFonts w:ascii="Times New Roman" w:hAnsi="Times New Roman"/>
          <w:b w:val="0"/>
          <w:spacing w:val="0"/>
          <w:sz w:val="22"/>
          <w:szCs w:val="22"/>
          <w:lang w:val="en-GB"/>
        </w:rPr>
        <w:t xml:space="preserve"> by </w:t>
      </w:r>
      <w:proofErr w:type="spellStart"/>
      <w:r w:rsidR="005D6E23" w:rsidRPr="00972203">
        <w:rPr>
          <w:rStyle w:val="BookTitle"/>
          <w:rFonts w:ascii="Times New Roman" w:hAnsi="Times New Roman"/>
          <w:b w:val="0"/>
          <w:spacing w:val="0"/>
          <w:sz w:val="22"/>
          <w:szCs w:val="22"/>
          <w:lang w:val="en-GB"/>
        </w:rPr>
        <w:t>A</w:t>
      </w:r>
      <w:r w:rsidR="0062541A" w:rsidRPr="00972203">
        <w:rPr>
          <w:rStyle w:val="BookTitle"/>
          <w:rFonts w:ascii="Times New Roman" w:hAnsi="Times New Roman"/>
          <w:b w:val="0"/>
          <w:spacing w:val="0"/>
          <w:sz w:val="22"/>
          <w:szCs w:val="22"/>
          <w:lang w:val="en-GB"/>
        </w:rPr>
        <w:t>n</w:t>
      </w:r>
      <w:r w:rsidR="005D6E23" w:rsidRPr="00972203">
        <w:rPr>
          <w:rStyle w:val="BookTitle"/>
          <w:rFonts w:ascii="Times New Roman" w:hAnsi="Times New Roman"/>
          <w:b w:val="0"/>
          <w:spacing w:val="0"/>
          <w:sz w:val="22"/>
          <w:szCs w:val="22"/>
          <w:lang w:val="en-GB"/>
        </w:rPr>
        <w:t>thons</w:t>
      </w:r>
      <w:r w:rsidR="00D25689" w:rsidRPr="00972203">
        <w:rPr>
          <w:rStyle w:val="BookTitle"/>
          <w:rFonts w:ascii="Times New Roman" w:hAnsi="Times New Roman"/>
          <w:b w:val="0"/>
          <w:spacing w:val="0"/>
          <w:sz w:val="22"/>
          <w:szCs w:val="22"/>
          <w:lang w:val="en-GB"/>
        </w:rPr>
        <w:t>e</w:t>
      </w:r>
      <w:r w:rsidR="0050724F">
        <w:rPr>
          <w:rStyle w:val="BookTitle"/>
          <w:rFonts w:ascii="Times New Roman" w:hAnsi="Times New Roman"/>
          <w:b w:val="0"/>
          <w:spacing w:val="0"/>
          <w:sz w:val="22"/>
          <w:szCs w:val="22"/>
          <w:lang w:val="en-GB"/>
        </w:rPr>
        <w:t>n</w:t>
      </w:r>
      <w:proofErr w:type="spellEnd"/>
      <w:r w:rsidR="0050724F">
        <w:rPr>
          <w:rStyle w:val="BookTitle"/>
          <w:rFonts w:ascii="Times New Roman" w:hAnsi="Times New Roman"/>
          <w:b w:val="0"/>
          <w:spacing w:val="0"/>
          <w:sz w:val="22"/>
          <w:szCs w:val="22"/>
          <w:lang w:val="en-GB"/>
        </w:rPr>
        <w:t xml:space="preserve"> et al. </w:t>
      </w:r>
      <w:r w:rsidR="00967BE4" w:rsidRPr="00972203">
        <w:rPr>
          <w:rStyle w:val="BookTitle"/>
          <w:rFonts w:ascii="Times New Roman" w:hAnsi="Times New Roman"/>
          <w:b w:val="0"/>
          <w:spacing w:val="0"/>
        </w:rPr>
        <w:fldChar w:fldCharType="begin" w:fldLock="1"/>
      </w:r>
      <w:r w:rsidR="009D58AA">
        <w:rPr>
          <w:rStyle w:val="BookTitle"/>
          <w:rFonts w:ascii="Times New Roman" w:hAnsi="Times New Roman"/>
          <w:b w:val="0"/>
          <w:spacing w:val="0"/>
          <w:sz w:val="22"/>
          <w:szCs w:val="22"/>
          <w:lang w:val="en-GB"/>
        </w:rPr>
        <w:instrText>ADDIN CSL_CITATION {"citationItems":[{"id":"ITEM-1","itemData":{"DOI":"10.1016/j.egypro.2014.11.519","ISBN":"4538142050","ISSN":"18766102","abstract":"An attempting to single out the most attractive storage areas among a large number of mapped CO2 storage formations, units and traps in the Nordic region, has resulted in a characterisation and ranking procedure for saline aquifer. The ranking methodology is kept simple and divided into four main groups with the most important criteria for reservoir properties, seal properties, safety and data coverage. Based on the ranking 18 of the most prospective CO2 storage sites have been selected. Furthermore, the critical factors determining if a basalt area is suitable for CO2 injection is illustrated by an injection site on Iceland.","author":[{"dropping-particle":"","family":"Anthonsen","given":"K. L.","non-dropping-particle":"","parse-names":false,"suffix":""},{"dropping-particle":"","family":"Aagaard","given":"P.","non-dropping-particle":"","parse-names":false,"suffix":""},{"dropping-particle":"","family":"Bergmo","given":"P. E.S.","non-dropping-particle":"","parse-names":false,"suffix":""},{"dropping-particle":"","family":"Gislason","given":"S. R.","non-dropping-particle":"","parse-names":false,"suffix":""},{"dropping-particle":"","family":"Lothe","given":"A. E.","non-dropping-particle":"","parse-names":false,"suffix":""},{"dropping-particle":"","family":"Mortensen","given":"G. M.","non-dropping-particle":"","parse-names":false,"suffix":""},{"dropping-particle":"","family":"Snæbjörnsdóttir","given":"S.","non-dropping-particle":"","parse-names":false,"suffix":""}],"container-title":"Energy Procedia","id":"ITEM-1","issued":{"date-parts":[["2014"]]},"page":"4884-4896","publisher":"Elsevier B.V.","title":"Characterisation and selection of the most prospective CO2 storage sites in the Nordic region","type":"article-journal","volume":"63"},"uris":["http://www.mendeley.com/documents/?uuid=bd9babd4-3f10-4fc7-9b89-ecc5911bdb7a"]}],"mendeley":{"formattedCitation":"(Anthonsen et al., 2014)","plainTextFormattedCitation":"(Anthonsen et al., 2014)","previouslyFormattedCitation":"(Anthonsen et al., 2014)"},"properties":{"noteIndex":0},"schema":"https://github.com/citation-style-language/schema/raw/master/csl-citation.json"}</w:instrText>
      </w:r>
      <w:r w:rsidR="00967BE4" w:rsidRPr="00972203">
        <w:rPr>
          <w:rStyle w:val="BookTitle"/>
          <w:rFonts w:ascii="Times New Roman" w:hAnsi="Times New Roman"/>
          <w:b w:val="0"/>
          <w:spacing w:val="0"/>
        </w:rPr>
        <w:fldChar w:fldCharType="separate"/>
      </w:r>
      <w:r w:rsidR="00C01E2D" w:rsidRPr="00C01E2D">
        <w:rPr>
          <w:rStyle w:val="BookTitle"/>
          <w:rFonts w:ascii="Times New Roman" w:hAnsi="Times New Roman"/>
          <w:b w:val="0"/>
          <w:noProof/>
          <w:spacing w:val="0"/>
          <w:sz w:val="22"/>
          <w:szCs w:val="22"/>
          <w:lang w:val="en-GB"/>
        </w:rPr>
        <w:t>(Anthonsen et al., 2014)</w:t>
      </w:r>
      <w:r w:rsidR="00967BE4" w:rsidRPr="00972203">
        <w:rPr>
          <w:rStyle w:val="BookTitle"/>
          <w:rFonts w:ascii="Times New Roman" w:hAnsi="Times New Roman"/>
          <w:b w:val="0"/>
          <w:spacing w:val="0"/>
        </w:rPr>
        <w:fldChar w:fldCharType="end"/>
      </w:r>
      <w:r w:rsidR="005D6E23" w:rsidRPr="00972203">
        <w:rPr>
          <w:rStyle w:val="BookTitle"/>
          <w:rFonts w:ascii="Times New Roman" w:hAnsi="Times New Roman"/>
          <w:b w:val="0"/>
          <w:spacing w:val="0"/>
          <w:sz w:val="22"/>
          <w:szCs w:val="22"/>
          <w:lang w:val="en-GB"/>
        </w:rPr>
        <w:t xml:space="preserve"> suggested a four criteria methodology, comprising basic information of reservoir and seal properties, safety aspects and data coverage. No </w:t>
      </w:r>
      <w:r w:rsidR="00843481" w:rsidRPr="00972203">
        <w:rPr>
          <w:rStyle w:val="BookTitle"/>
          <w:rFonts w:ascii="Times New Roman" w:hAnsi="Times New Roman"/>
          <w:b w:val="0"/>
          <w:spacing w:val="0"/>
          <w:sz w:val="22"/>
          <w:szCs w:val="22"/>
          <w:lang w:val="en-GB"/>
        </w:rPr>
        <w:t>CO</w:t>
      </w:r>
      <w:r w:rsidR="00843481" w:rsidRPr="00972203">
        <w:rPr>
          <w:rStyle w:val="BookTitle"/>
          <w:rFonts w:ascii="Times New Roman" w:hAnsi="Times New Roman"/>
          <w:b w:val="0"/>
          <w:spacing w:val="0"/>
          <w:sz w:val="22"/>
          <w:szCs w:val="22"/>
          <w:vertAlign w:val="subscript"/>
          <w:lang w:val="en-GB"/>
        </w:rPr>
        <w:t>2</w:t>
      </w:r>
      <w:r w:rsidR="00843481" w:rsidRPr="00972203">
        <w:rPr>
          <w:rStyle w:val="BookTitle"/>
          <w:rFonts w:ascii="Times New Roman" w:hAnsi="Times New Roman"/>
          <w:b w:val="0"/>
          <w:spacing w:val="0"/>
          <w:sz w:val="22"/>
          <w:szCs w:val="22"/>
          <w:lang w:val="en-GB"/>
        </w:rPr>
        <w:t xml:space="preserve"> </w:t>
      </w:r>
      <w:r w:rsidR="005D6E23" w:rsidRPr="00972203">
        <w:rPr>
          <w:rStyle w:val="BookTitle"/>
          <w:rFonts w:ascii="Times New Roman" w:hAnsi="Times New Roman"/>
          <w:b w:val="0"/>
          <w:spacing w:val="0"/>
          <w:sz w:val="22"/>
          <w:szCs w:val="22"/>
          <w:lang w:val="en-GB"/>
        </w:rPr>
        <w:t xml:space="preserve">supply or economic parameters were included in their assessment. In their site selection analysis for the Paris Basin, Llamas and Cienfuegos </w:t>
      </w:r>
      <w:r w:rsidR="00967BE4" w:rsidRPr="00972203">
        <w:rPr>
          <w:rStyle w:val="BookTitle"/>
          <w:rFonts w:ascii="Times New Roman" w:hAnsi="Times New Roman"/>
          <w:b w:val="0"/>
          <w:spacing w:val="0"/>
        </w:rPr>
        <w:fldChar w:fldCharType="begin" w:fldLock="1"/>
      </w:r>
      <w:r w:rsidR="009D58AA">
        <w:rPr>
          <w:rStyle w:val="BookTitle"/>
          <w:rFonts w:ascii="Times New Roman" w:hAnsi="Times New Roman"/>
          <w:b w:val="0"/>
          <w:spacing w:val="0"/>
          <w:sz w:val="22"/>
          <w:szCs w:val="22"/>
          <w:lang w:val="en-GB"/>
        </w:rPr>
        <w:instrText>ADDIN CSL_CITATION {"citationItems":[{"id":"ITEM-1","itemData":{"DOI":"10.1260/0958-305X.23.2-3.249","ISSN":"0958305X","abstract":"Carbon Capture and Storage (CCS) technology is seen as an effective technique to decrease significant amounts of CO2 from stationary sources. Many efforts are being put towards developing new techniques to capture CO2 from industrial emitters. However, it is necessary to store CO2 in a safe manner. Techniques applied to develop a suitable emplacement are well known, since these are similar to that for oil or gas explorations. Nonetheless, successful site selection (screen phase) will decrease the inherent risk in the geological exploration (assessment and select phase). In this process, many criteria should be taken into consideration, including technical and socio-economical aspects. For this purpose, different mathematical algorithms have been developed to solve multicriteria problems and to help the decision-makers. This article describes a methodology for the selection of site areas or structures for storing CO2 based on a multicriteria algorithm, which will rank the areas under consideration, in order to select the most suitable or promising emplacement.","author":[{"dropping-particle":"","family":"Llamas","given":"Bernardo","non-dropping-particle":"","parse-names":false,"suffix":""},{"dropping-particle":"","family":"Cienfuegos","given":"Pablo","non-dropping-particle":"","parse-names":false,"suffix":""}],"container-title":"Energy and Environment","id":"ITEM-1","issue":"2","issued":{"date-parts":[["2012"]]},"page":"249-264","title":"Multicriteria decision methodology to select suitable areas for storing CO2","type":"article-journal","volume":"23"},"uris":["http://www.mendeley.com/documents/?uuid=ec5b2fcf-709a-4236-adb5-758220e90567"]}],"mendeley":{"formattedCitation":"(Llamas and Cienfuegos, 2012)","plainTextFormattedCitation":"(Llamas and Cienfuegos, 2012)","previouslyFormattedCitation":"(Llamas and Cienfuegos, 2012)"},"properties":{"noteIndex":0},"schema":"https://github.com/citation-style-language/schema/raw/master/csl-citation.json"}</w:instrText>
      </w:r>
      <w:r w:rsidR="00967BE4" w:rsidRPr="00972203">
        <w:rPr>
          <w:rStyle w:val="BookTitle"/>
          <w:rFonts w:ascii="Times New Roman" w:hAnsi="Times New Roman"/>
          <w:b w:val="0"/>
          <w:spacing w:val="0"/>
        </w:rPr>
        <w:fldChar w:fldCharType="separate"/>
      </w:r>
      <w:r w:rsidR="00C01E2D" w:rsidRPr="00C01E2D">
        <w:rPr>
          <w:rStyle w:val="BookTitle"/>
          <w:rFonts w:ascii="Times New Roman" w:hAnsi="Times New Roman"/>
          <w:b w:val="0"/>
          <w:noProof/>
          <w:spacing w:val="0"/>
          <w:sz w:val="22"/>
          <w:szCs w:val="22"/>
          <w:lang w:val="en-GB"/>
        </w:rPr>
        <w:t>(Llamas and Cienfuegos, 2012)</w:t>
      </w:r>
      <w:r w:rsidR="00967BE4" w:rsidRPr="00972203">
        <w:rPr>
          <w:rStyle w:val="BookTitle"/>
          <w:rFonts w:ascii="Times New Roman" w:hAnsi="Times New Roman"/>
          <w:b w:val="0"/>
          <w:spacing w:val="0"/>
        </w:rPr>
        <w:fldChar w:fldCharType="end"/>
      </w:r>
      <w:r w:rsidR="0062541A" w:rsidRPr="00972203">
        <w:rPr>
          <w:rStyle w:val="BookTitle"/>
          <w:rFonts w:ascii="Times New Roman" w:hAnsi="Times New Roman"/>
          <w:b w:val="0"/>
          <w:spacing w:val="0"/>
          <w:sz w:val="22"/>
          <w:szCs w:val="22"/>
          <w:lang w:val="en-GB"/>
        </w:rPr>
        <w:t xml:space="preserve"> propose</w:t>
      </w:r>
      <w:r w:rsidR="00E23BCD">
        <w:rPr>
          <w:rStyle w:val="BookTitle"/>
          <w:rFonts w:ascii="Times New Roman" w:hAnsi="Times New Roman"/>
          <w:b w:val="0"/>
          <w:spacing w:val="0"/>
          <w:sz w:val="22"/>
          <w:szCs w:val="22"/>
          <w:lang w:val="en-GB"/>
        </w:rPr>
        <w:t>d</w:t>
      </w:r>
      <w:r w:rsidR="0062541A" w:rsidRPr="00972203">
        <w:rPr>
          <w:rStyle w:val="BookTitle"/>
          <w:rFonts w:ascii="Times New Roman" w:hAnsi="Times New Roman"/>
          <w:b w:val="0"/>
          <w:spacing w:val="0"/>
          <w:sz w:val="22"/>
          <w:szCs w:val="22"/>
          <w:lang w:val="en-GB"/>
        </w:rPr>
        <w:t xml:space="preserve"> a</w:t>
      </w:r>
      <w:r w:rsidR="005D6E23" w:rsidRPr="00972203">
        <w:rPr>
          <w:rStyle w:val="BookTitle"/>
          <w:rFonts w:ascii="Times New Roman" w:hAnsi="Times New Roman"/>
          <w:b w:val="0"/>
          <w:spacing w:val="0"/>
          <w:sz w:val="22"/>
          <w:szCs w:val="22"/>
          <w:lang w:val="en-GB"/>
        </w:rPr>
        <w:t xml:space="preserve"> methodology based on different mathematical algori</w:t>
      </w:r>
      <w:r w:rsidR="0062541A" w:rsidRPr="00972203">
        <w:rPr>
          <w:rStyle w:val="BookTitle"/>
          <w:rFonts w:ascii="Times New Roman" w:hAnsi="Times New Roman"/>
          <w:b w:val="0"/>
          <w:spacing w:val="0"/>
          <w:sz w:val="22"/>
          <w:szCs w:val="22"/>
          <w:lang w:val="en-GB"/>
        </w:rPr>
        <w:t>th</w:t>
      </w:r>
      <w:r w:rsidR="005D6E23" w:rsidRPr="00972203">
        <w:rPr>
          <w:rStyle w:val="BookTitle"/>
          <w:rFonts w:ascii="Times New Roman" w:hAnsi="Times New Roman"/>
          <w:b w:val="0"/>
          <w:spacing w:val="0"/>
          <w:sz w:val="22"/>
          <w:szCs w:val="22"/>
          <w:lang w:val="en-GB"/>
        </w:rPr>
        <w:t>ms to weight a variety of technical (mainly geological and hydrological) and socio-economic (such as data quality and availability, CO</w:t>
      </w:r>
      <w:r w:rsidR="005D6E23" w:rsidRPr="00972203">
        <w:rPr>
          <w:rStyle w:val="BookTitle"/>
          <w:rFonts w:ascii="Times New Roman" w:hAnsi="Times New Roman"/>
          <w:b w:val="0"/>
          <w:spacing w:val="0"/>
          <w:sz w:val="22"/>
          <w:szCs w:val="22"/>
          <w:vertAlign w:val="subscript"/>
          <w:lang w:val="en-GB"/>
        </w:rPr>
        <w:t>2</w:t>
      </w:r>
      <w:r w:rsidR="005D6E23" w:rsidRPr="00972203">
        <w:rPr>
          <w:rStyle w:val="BookTitle"/>
          <w:rFonts w:ascii="Times New Roman" w:hAnsi="Times New Roman"/>
          <w:b w:val="0"/>
          <w:spacing w:val="0"/>
          <w:sz w:val="22"/>
          <w:szCs w:val="22"/>
          <w:lang w:val="en-GB"/>
        </w:rPr>
        <w:t xml:space="preserve"> supply, </w:t>
      </w:r>
      <w:r w:rsidR="005C47CB" w:rsidRPr="00972203">
        <w:rPr>
          <w:rStyle w:val="BookTitle"/>
          <w:rFonts w:ascii="Times New Roman" w:hAnsi="Times New Roman"/>
          <w:b w:val="0"/>
          <w:spacing w:val="0"/>
          <w:sz w:val="22"/>
          <w:szCs w:val="22"/>
          <w:lang w:val="en-GB"/>
        </w:rPr>
        <w:t>etc.</w:t>
      </w:r>
      <w:r w:rsidR="005D6E23" w:rsidRPr="00972203">
        <w:rPr>
          <w:rStyle w:val="BookTitle"/>
          <w:rFonts w:ascii="Times New Roman" w:hAnsi="Times New Roman"/>
          <w:b w:val="0"/>
          <w:spacing w:val="0"/>
          <w:sz w:val="22"/>
          <w:szCs w:val="22"/>
          <w:lang w:val="en-GB"/>
        </w:rPr>
        <w:t xml:space="preserve">) criteria. On a much </w:t>
      </w:r>
      <w:r w:rsidR="0062541A" w:rsidRPr="00972203">
        <w:rPr>
          <w:rStyle w:val="BookTitle"/>
          <w:rFonts w:ascii="Times New Roman" w:hAnsi="Times New Roman"/>
          <w:b w:val="0"/>
          <w:spacing w:val="0"/>
          <w:sz w:val="22"/>
          <w:szCs w:val="22"/>
          <w:lang w:val="en-GB"/>
        </w:rPr>
        <w:t>larger</w:t>
      </w:r>
      <w:r w:rsidR="00C01E2D">
        <w:rPr>
          <w:rStyle w:val="BookTitle"/>
          <w:rFonts w:ascii="Times New Roman" w:hAnsi="Times New Roman"/>
          <w:b w:val="0"/>
          <w:spacing w:val="0"/>
          <w:sz w:val="22"/>
          <w:szCs w:val="22"/>
          <w:lang w:val="en-GB"/>
        </w:rPr>
        <w:t xml:space="preserve"> scale, Wei et al. </w:t>
      </w:r>
      <w:r w:rsidR="00967BE4" w:rsidRPr="00972203">
        <w:rPr>
          <w:rStyle w:val="BookTitle"/>
          <w:rFonts w:ascii="Times New Roman" w:hAnsi="Times New Roman"/>
          <w:b w:val="0"/>
          <w:spacing w:val="0"/>
        </w:rPr>
        <w:fldChar w:fldCharType="begin" w:fldLock="1"/>
      </w:r>
      <w:r w:rsidR="009D58AA">
        <w:rPr>
          <w:rStyle w:val="BookTitle"/>
          <w:rFonts w:ascii="Times New Roman" w:hAnsi="Times New Roman"/>
          <w:b w:val="0"/>
          <w:spacing w:val="0"/>
          <w:sz w:val="22"/>
          <w:szCs w:val="22"/>
          <w:lang w:val="en-GB"/>
        </w:rPr>
        <w:instrText>ADDIN CSL_CITATION {"citationItems":[{"id":"ITEM-1","itemData":{"DOI":"10.1016/j.ijggc.2012.10.012","ISSN":"17505836","abstract":"Development of a reliable, broadly applicable framework for the identification and suitability evaluation of potential CO2 storage sites is essential before large-scale deployment of carbon dioxide capture and geological storage (CCS) can commence. In this study, a sub-basin scale evaluation framework was developed to assess the suitability of potential onshore deep saline aquifers for CO2 storage in China. The methodology, developed in consultation with experts from the academia and the petroleum industry in China, is based on a multi-criteria analysis (MCA) framework that considers four objectives: (1) storage optimization, in terms of storage capacity and injectivity; (2) risk minimization and storage security; (3) environmental restrictions regarding surface and subsurface use; and (4) economic considerations. The framework is designed to provide insights into both the suitability of potential aquifer storage sites as well as the priority for early deployment of CCS with existing CO2 sources. Preliminary application of the framework, conducted using GIS-based evaluation tools revealed that 18% of onshore aquifer sites with a combined CO2 storage capacity of 746gigatons are considered to exhibit very high suitability, and 11% of onshore aquifer sites with a total capacity of 290gigatons exhibit very high priority opportunities for implementation. These onshore aquifer sites may provide promising opportunities for early large-scale CCS deployment and contribute to CO2 mitigation in China for many decades. © 2012 Elsevier Ltd.","author":[{"dropping-particle":"","family":"Wei","given":"Ning","non-dropping-particle":"","parse-names":false,"suffix":""},{"dropping-particle":"","family":"Li","given":"Xiaochun","non-dropping-particle":"","parse-names":false,"suffix":""},{"dropping-particle":"","family":"Wang","given":"Ying","non-dropping-particle":"","parse-names":false,"suffix":""},{"dropping-particle":"","family":"Dahowski","given":"Robert T.","non-dropping-particle":"","parse-names":false,"suffix":""},{"dropping-particle":"","family":"Davidson","given":"Casie L.","non-dropping-particle":"","parse-names":false,"suffix":""},{"dropping-particle":"","family":"Bromhal","given":"Grant S.","non-dropping-particle":"","parse-names":false,"suffix":""}],"container-title":"International Journal of Greenhouse Gas Control","id":"ITEM-1","issue":"January","issued":{"date-parts":[["2013"]]},"page":"231-246","publisher":"Elsevier Ltd","title":"A preliminary sub-basin scale evaluation framework of site suitability for onshore aquifer-based CO2 storage in China","type":"article-journal","volume":"12"},"uris":["http://www.mendeley.com/documents/?uuid=413eee93-9a65-4b32-a0e6-c3891b947080"]}],"mendeley":{"formattedCitation":"(Wei et al., 2013)","plainTextFormattedCitation":"(Wei et al., 2013)","previouslyFormattedCitation":"(Wei et al., 2013)"},"properties":{"noteIndex":0},"schema":"https://github.com/citation-style-language/schema/raw/master/csl-citation.json"}</w:instrText>
      </w:r>
      <w:r w:rsidR="00967BE4" w:rsidRPr="00972203">
        <w:rPr>
          <w:rStyle w:val="BookTitle"/>
          <w:rFonts w:ascii="Times New Roman" w:hAnsi="Times New Roman"/>
          <w:b w:val="0"/>
          <w:spacing w:val="0"/>
        </w:rPr>
        <w:fldChar w:fldCharType="separate"/>
      </w:r>
      <w:r w:rsidR="00C01E2D" w:rsidRPr="00C01E2D">
        <w:rPr>
          <w:rStyle w:val="BookTitle"/>
          <w:rFonts w:ascii="Times New Roman" w:hAnsi="Times New Roman"/>
          <w:b w:val="0"/>
          <w:noProof/>
          <w:spacing w:val="0"/>
          <w:sz w:val="22"/>
          <w:szCs w:val="22"/>
          <w:lang w:val="en-GB"/>
        </w:rPr>
        <w:t>(Wei et al., 2013)</w:t>
      </w:r>
      <w:r w:rsidR="00967BE4" w:rsidRPr="00972203">
        <w:rPr>
          <w:rStyle w:val="BookTitle"/>
          <w:rFonts w:ascii="Times New Roman" w:hAnsi="Times New Roman"/>
          <w:b w:val="0"/>
          <w:spacing w:val="0"/>
        </w:rPr>
        <w:fldChar w:fldCharType="end"/>
      </w:r>
      <w:r w:rsidR="005D6E23" w:rsidRPr="00972203">
        <w:rPr>
          <w:rStyle w:val="BookTitle"/>
          <w:rFonts w:ascii="Times New Roman" w:hAnsi="Times New Roman"/>
          <w:b w:val="0"/>
          <w:spacing w:val="0"/>
          <w:sz w:val="22"/>
          <w:szCs w:val="22"/>
          <w:lang w:val="en-GB"/>
        </w:rPr>
        <w:t xml:space="preserve"> modified the evaluation criteria for site suitability developed by </w:t>
      </w:r>
      <w:proofErr w:type="spellStart"/>
      <w:r w:rsidR="005D6E23" w:rsidRPr="00972203">
        <w:rPr>
          <w:rStyle w:val="BookTitle"/>
          <w:rFonts w:ascii="Times New Roman" w:hAnsi="Times New Roman"/>
          <w:b w:val="0"/>
          <w:spacing w:val="0"/>
          <w:sz w:val="22"/>
          <w:szCs w:val="22"/>
          <w:lang w:val="en-GB"/>
        </w:rPr>
        <w:t>Bachu</w:t>
      </w:r>
      <w:proofErr w:type="spellEnd"/>
      <w:r w:rsidR="003C4F01" w:rsidRPr="00972203">
        <w:rPr>
          <w:rStyle w:val="BookTitle"/>
          <w:rFonts w:ascii="Times New Roman" w:hAnsi="Times New Roman"/>
          <w:b w:val="0"/>
          <w:spacing w:val="0"/>
          <w:sz w:val="22"/>
          <w:szCs w:val="22"/>
          <w:lang w:val="en-GB"/>
        </w:rPr>
        <w:t xml:space="preserve"> and Adams</w:t>
      </w:r>
      <w:r w:rsidR="005D6E23" w:rsidRPr="00972203">
        <w:rPr>
          <w:rStyle w:val="BookTitle"/>
          <w:rFonts w:ascii="Times New Roman" w:hAnsi="Times New Roman"/>
          <w:b w:val="0"/>
          <w:spacing w:val="0"/>
          <w:sz w:val="22"/>
          <w:szCs w:val="22"/>
          <w:lang w:val="en-GB"/>
        </w:rPr>
        <w:t xml:space="preserve"> </w:t>
      </w:r>
      <w:r w:rsidR="00967BE4" w:rsidRPr="00972203">
        <w:rPr>
          <w:rStyle w:val="BookTitle"/>
          <w:rFonts w:ascii="Times New Roman" w:hAnsi="Times New Roman"/>
          <w:b w:val="0"/>
          <w:noProof/>
          <w:spacing w:val="0"/>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{"citationItems":[{"id":"ITEM-1","itemData":{"DOI":"10.1016/S0196-8904(03)00101-8","ISSN":"01968904","author":[{"dropping-particle":"","family":"Bachu","given":"S.","non-dropping-particle":"","parse-names":false,"suffix":""},{"dropping-particle":"","family":"Adams","given":"J. J.","non-dropping-particle":"","parse-names":false,"suffix":""}],"container-title":"Energy Conversion and Management","id":"ITEM-1","issue":"20","issued":{"date-parts":[["2003"]]},"page":"3151-3175","title":"Sequestration of CO2 in geological media in response to climate change: Capacity of deep saline aquifers to sequester CO2 in solution","type":"article-journal","volume":"44"},"uris":["http://www.mendeley.com/documents/?uuid=c77d8ee6-a511-4adc-8398-f8a7077b6214"]}],"mendeley":{"formattedCitation":"(Bachu and Adams, 2003)","plainTextFormattedCitation":"(Bachu and Adams, 2003)","previouslyFormattedCitation":"(Bachu and Adams, 2003)"},"properties":{"noteIndex":0},"schema":"https://github.com/citation-style-language/schema/raw/master/csl-citation.json"}</w:instrText>
      </w:r>
      <w:r w:rsidR="00967BE4" w:rsidRPr="00972203">
        <w:rPr>
          <w:rStyle w:val="BookTitle"/>
          <w:rFonts w:ascii="Times New Roman" w:hAnsi="Times New Roman"/>
          <w:b w:val="0"/>
          <w:noProof/>
          <w:spacing w:val="0"/>
        </w:rPr>
        <w:fldChar w:fldCharType="separate"/>
      </w:r>
      <w:r w:rsidR="00C01E2D" w:rsidRPr="00C01E2D">
        <w:rPr>
          <w:rStyle w:val="BookTitle"/>
          <w:rFonts w:ascii="Times New Roman" w:hAnsi="Times New Roman"/>
          <w:b w:val="0"/>
          <w:noProof/>
          <w:spacing w:val="0"/>
          <w:sz w:val="22"/>
          <w:szCs w:val="22"/>
          <w:lang w:val="en-GB"/>
        </w:rPr>
        <w:t>(Bachu and Adams, 2003)</w:t>
      </w:r>
      <w:r w:rsidR="00967BE4" w:rsidRPr="00972203">
        <w:rPr>
          <w:rStyle w:val="BookTitle"/>
          <w:rFonts w:ascii="Times New Roman" w:hAnsi="Times New Roman"/>
          <w:b w:val="0"/>
          <w:noProof/>
          <w:spacing w:val="0"/>
        </w:rPr>
        <w:fldChar w:fldCharType="end"/>
      </w:r>
      <w:r w:rsidR="005D6E23" w:rsidRPr="00972203">
        <w:rPr>
          <w:rStyle w:val="BookTitle"/>
          <w:rFonts w:ascii="Times New Roman" w:hAnsi="Times New Roman"/>
          <w:b w:val="0"/>
          <w:spacing w:val="0"/>
          <w:sz w:val="22"/>
          <w:szCs w:val="22"/>
          <w:lang w:val="en-GB"/>
        </w:rPr>
        <w:t xml:space="preserve"> to assess the suitability of onshore aquifers</w:t>
      </w:r>
      <w:r w:rsidR="00AF3257" w:rsidRPr="00972203">
        <w:rPr>
          <w:rStyle w:val="BookTitle"/>
          <w:rFonts w:ascii="Times New Roman" w:hAnsi="Times New Roman"/>
          <w:b w:val="0"/>
          <w:spacing w:val="0"/>
          <w:sz w:val="22"/>
          <w:szCs w:val="22"/>
          <w:lang w:val="en-GB"/>
        </w:rPr>
        <w:t xml:space="preserve"> in China</w:t>
      </w:r>
      <w:r w:rsidR="005D6E23" w:rsidRPr="00972203">
        <w:rPr>
          <w:rStyle w:val="BookTitle"/>
          <w:rFonts w:ascii="Times New Roman" w:hAnsi="Times New Roman"/>
          <w:b w:val="0"/>
          <w:spacing w:val="0"/>
          <w:sz w:val="22"/>
          <w:szCs w:val="22"/>
          <w:lang w:val="en-GB"/>
        </w:rPr>
        <w:t>.</w:t>
      </w:r>
      <w:r w:rsidR="00B10E8E" w:rsidRPr="00972203">
        <w:rPr>
          <w:rStyle w:val="BookTitle"/>
          <w:rFonts w:ascii="Times New Roman" w:hAnsi="Times New Roman"/>
          <w:b w:val="0"/>
          <w:spacing w:val="0"/>
          <w:sz w:val="22"/>
          <w:szCs w:val="22"/>
          <w:lang w:val="en-GB"/>
        </w:rPr>
        <w:t xml:space="preserve"> </w:t>
      </w:r>
      <w:r w:rsidR="005D6E23" w:rsidRPr="00972203">
        <w:rPr>
          <w:rStyle w:val="BookTitle"/>
          <w:rFonts w:ascii="Times New Roman" w:hAnsi="Times New Roman"/>
          <w:b w:val="0"/>
          <w:spacing w:val="0"/>
          <w:sz w:val="22"/>
          <w:szCs w:val="22"/>
          <w:lang w:val="en-GB"/>
        </w:rPr>
        <w:t xml:space="preserve">Using a point system for each </w:t>
      </w:r>
      <w:r w:rsidR="00703EB5" w:rsidRPr="00972203">
        <w:rPr>
          <w:rStyle w:val="BookTitle"/>
          <w:rFonts w:ascii="Times New Roman" w:hAnsi="Times New Roman"/>
          <w:b w:val="0"/>
          <w:spacing w:val="0"/>
          <w:sz w:val="22"/>
          <w:szCs w:val="22"/>
          <w:lang w:val="en-GB"/>
        </w:rPr>
        <w:t>criterion</w:t>
      </w:r>
      <w:r w:rsidR="005D6E23" w:rsidRPr="00972203">
        <w:rPr>
          <w:rStyle w:val="BookTitle"/>
          <w:rFonts w:ascii="Times New Roman" w:hAnsi="Times New Roman"/>
          <w:b w:val="0"/>
          <w:spacing w:val="0"/>
          <w:sz w:val="22"/>
          <w:szCs w:val="22"/>
          <w:lang w:val="en-GB"/>
        </w:rPr>
        <w:t xml:space="preserve">, </w:t>
      </w:r>
      <w:r w:rsidR="0025292E">
        <w:rPr>
          <w:rStyle w:val="BookTitle"/>
          <w:rFonts w:ascii="Times New Roman" w:hAnsi="Times New Roman"/>
          <w:b w:val="0"/>
          <w:spacing w:val="0"/>
          <w:sz w:val="22"/>
          <w:szCs w:val="22"/>
          <w:lang w:val="en-GB"/>
        </w:rPr>
        <w:t xml:space="preserve">application of </w:t>
      </w:r>
      <w:r w:rsidR="005D6E23" w:rsidRPr="00972203">
        <w:rPr>
          <w:rStyle w:val="BookTitle"/>
          <w:rFonts w:ascii="Times New Roman" w:hAnsi="Times New Roman"/>
          <w:b w:val="0"/>
          <w:spacing w:val="0"/>
          <w:sz w:val="22"/>
          <w:szCs w:val="22"/>
          <w:lang w:val="en-GB"/>
        </w:rPr>
        <w:t xml:space="preserve">the </w:t>
      </w:r>
      <w:r w:rsidR="00AF3257" w:rsidRPr="00972203">
        <w:rPr>
          <w:rStyle w:val="BookTitle"/>
          <w:rFonts w:ascii="Times New Roman" w:hAnsi="Times New Roman"/>
          <w:b w:val="0"/>
          <w:spacing w:val="0"/>
          <w:sz w:val="22"/>
          <w:szCs w:val="22"/>
          <w:lang w:val="en-GB"/>
        </w:rPr>
        <w:t xml:space="preserve">method </w:t>
      </w:r>
      <w:r w:rsidR="0025292E">
        <w:rPr>
          <w:rStyle w:val="BookTitle"/>
          <w:rFonts w:ascii="Times New Roman" w:hAnsi="Times New Roman"/>
          <w:b w:val="0"/>
          <w:spacing w:val="0"/>
          <w:sz w:val="22"/>
          <w:szCs w:val="22"/>
          <w:lang w:val="en-GB"/>
        </w:rPr>
        <w:t>result</w:t>
      </w:r>
      <w:r w:rsidR="00AF3257" w:rsidRPr="00972203">
        <w:rPr>
          <w:rStyle w:val="BookTitle"/>
          <w:rFonts w:ascii="Times New Roman" w:hAnsi="Times New Roman"/>
          <w:b w:val="0"/>
          <w:spacing w:val="0"/>
          <w:sz w:val="22"/>
          <w:szCs w:val="22"/>
          <w:lang w:val="en-GB"/>
        </w:rPr>
        <w:t xml:space="preserve">ed </w:t>
      </w:r>
      <w:r w:rsidR="0025292E">
        <w:rPr>
          <w:rStyle w:val="BookTitle"/>
          <w:rFonts w:ascii="Times New Roman" w:hAnsi="Times New Roman"/>
          <w:b w:val="0"/>
          <w:spacing w:val="0"/>
          <w:sz w:val="22"/>
          <w:szCs w:val="22"/>
          <w:lang w:val="en-GB"/>
        </w:rPr>
        <w:t xml:space="preserve">in </w:t>
      </w:r>
      <w:r w:rsidR="00AF3257" w:rsidRPr="00972203">
        <w:rPr>
          <w:rStyle w:val="BookTitle"/>
          <w:rFonts w:ascii="Times New Roman" w:hAnsi="Times New Roman"/>
          <w:b w:val="0"/>
          <w:spacing w:val="0"/>
          <w:sz w:val="22"/>
          <w:szCs w:val="22"/>
          <w:lang w:val="en-GB"/>
        </w:rPr>
        <w:t>a</w:t>
      </w:r>
      <w:r w:rsidR="005D6E23" w:rsidRPr="00972203">
        <w:rPr>
          <w:rStyle w:val="BookTitle"/>
          <w:rFonts w:ascii="Times New Roman" w:hAnsi="Times New Roman"/>
          <w:b w:val="0"/>
          <w:spacing w:val="0"/>
          <w:sz w:val="22"/>
          <w:szCs w:val="22"/>
          <w:lang w:val="en-GB"/>
        </w:rPr>
        <w:t xml:space="preserve"> GIS map revealing </w:t>
      </w:r>
      <w:r w:rsidR="005B3F4F" w:rsidRPr="00972203">
        <w:rPr>
          <w:rStyle w:val="BookTitle"/>
          <w:rFonts w:ascii="Times New Roman" w:hAnsi="Times New Roman"/>
          <w:b w:val="0"/>
          <w:spacing w:val="0"/>
          <w:sz w:val="22"/>
          <w:szCs w:val="22"/>
          <w:lang w:val="en-GB"/>
        </w:rPr>
        <w:t>a prioritised</w:t>
      </w:r>
      <w:r w:rsidR="00B10E8E" w:rsidRPr="00972203">
        <w:rPr>
          <w:rStyle w:val="BookTitle"/>
          <w:rFonts w:ascii="Times New Roman" w:hAnsi="Times New Roman"/>
          <w:b w:val="0"/>
          <w:spacing w:val="0"/>
          <w:sz w:val="22"/>
          <w:szCs w:val="22"/>
          <w:lang w:val="en-GB"/>
        </w:rPr>
        <w:t xml:space="preserve"> range of suitable</w:t>
      </w:r>
      <w:r w:rsidR="005D6E23" w:rsidRPr="00972203">
        <w:rPr>
          <w:rStyle w:val="BookTitle"/>
          <w:rFonts w:ascii="Times New Roman" w:hAnsi="Times New Roman"/>
          <w:b w:val="0"/>
          <w:spacing w:val="0"/>
          <w:sz w:val="22"/>
          <w:szCs w:val="22"/>
          <w:lang w:val="en-GB"/>
        </w:rPr>
        <w:t xml:space="preserve"> </w:t>
      </w:r>
      <w:r w:rsidR="00B10E8E" w:rsidRPr="00972203">
        <w:rPr>
          <w:rStyle w:val="BookTitle"/>
          <w:rFonts w:ascii="Times New Roman" w:hAnsi="Times New Roman"/>
          <w:b w:val="0"/>
          <w:spacing w:val="0"/>
          <w:sz w:val="22"/>
          <w:szCs w:val="22"/>
          <w:lang w:val="en-GB"/>
        </w:rPr>
        <w:t>CO</w:t>
      </w:r>
      <w:r w:rsidR="00B10E8E" w:rsidRPr="00972203">
        <w:rPr>
          <w:rStyle w:val="BookTitle"/>
          <w:rFonts w:ascii="Times New Roman" w:hAnsi="Times New Roman"/>
          <w:b w:val="0"/>
          <w:spacing w:val="0"/>
          <w:sz w:val="22"/>
          <w:szCs w:val="22"/>
          <w:vertAlign w:val="subscript"/>
          <w:lang w:val="en-GB"/>
        </w:rPr>
        <w:t>2</w:t>
      </w:r>
      <w:r w:rsidR="00B10E8E" w:rsidRPr="00972203">
        <w:rPr>
          <w:rStyle w:val="BookTitle"/>
          <w:rFonts w:ascii="Times New Roman" w:hAnsi="Times New Roman"/>
          <w:b w:val="0"/>
          <w:spacing w:val="0"/>
          <w:sz w:val="22"/>
          <w:szCs w:val="22"/>
          <w:lang w:val="en-GB"/>
        </w:rPr>
        <w:t xml:space="preserve"> storage </w:t>
      </w:r>
      <w:r w:rsidR="005D6E23" w:rsidRPr="00972203">
        <w:rPr>
          <w:rStyle w:val="BookTitle"/>
          <w:rFonts w:ascii="Times New Roman" w:hAnsi="Times New Roman"/>
          <w:b w:val="0"/>
          <w:spacing w:val="0"/>
          <w:sz w:val="22"/>
          <w:szCs w:val="22"/>
          <w:lang w:val="en-GB"/>
        </w:rPr>
        <w:t xml:space="preserve">sites. </w:t>
      </w:r>
      <w:r w:rsidR="00B10E8E" w:rsidRPr="00972203">
        <w:rPr>
          <w:rStyle w:val="BookTitle"/>
          <w:rFonts w:ascii="Times New Roman" w:hAnsi="Times New Roman"/>
          <w:b w:val="0"/>
          <w:spacing w:val="0"/>
          <w:sz w:val="22"/>
          <w:szCs w:val="22"/>
          <w:lang w:val="en-GB"/>
        </w:rPr>
        <w:t xml:space="preserve">Hsu </w:t>
      </w:r>
      <w:r w:rsidR="009B6C41" w:rsidRPr="00972203">
        <w:rPr>
          <w:rStyle w:val="BookTitle"/>
          <w:rFonts w:ascii="Times New Roman" w:hAnsi="Times New Roman"/>
          <w:b w:val="0"/>
          <w:spacing w:val="0"/>
          <w:sz w:val="22"/>
          <w:szCs w:val="22"/>
          <w:lang w:val="en-GB"/>
        </w:rPr>
        <w:t xml:space="preserve">et al. </w:t>
      </w:r>
      <w:r w:rsidR="00967BE4" w:rsidRPr="00972203">
        <w:rPr>
          <w:rStyle w:val="BookTitle"/>
          <w:rFonts w:ascii="Times New Roman" w:hAnsi="Times New Roman"/>
          <w:b w:val="0"/>
          <w:noProof/>
          <w:spacing w:val="0"/>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{"citationItems":[{"id":"ITEM-1","itemData":{"DOI":"10.1016/j.seppur.2011.08.019","ISSN":"13835866","abstract":"This paper presents an analytic network process (ANP) approach for the selection of potential sites for CO 2 geological storage as basis for further exploring geological features and simulation of transport characteristics. Site selection for CO 2 geological storage in this study can be considered as a complex multi-criteria decision-making problem, and thus a multi-criteria decision model with eight evaluation criteria is proposed. ANP is applied to site selection and is characterized by interdependencies among decision structure components. An illustrative example in the geological field of oil and gas reservoirs in Taiwan is presented to demonstrate ways to select and rank the most appropriate site in terms of storage capability. The results obtained in this study have proven that ANP-based approach is a useful tool in pre-screening potential sites for CO 2 geological storage, enabling decision-makers to facilitate CO 2 storage within climate policy. © 2011 Elsevier B.V. All rights reserved.","author":[{"dropping-particle":"","family":"Hsu","given":"Chia Wei","non-dropping-particle":"","parse-names":false,"suffix":""},{"dropping-particle":"","family":"Chen","given":"Liang Tung","non-dropping-particle":"","parse-names":false,"suffix":""},{"dropping-particle":"","family":"Hu","given":"Allen H.","non-dropping-particle":"","parse-names":false,"suffix":""},{"dropping-particle":"","family":"Chang","given":"Yu Min","non-dropping-particle":"","parse-names":false,"suffix":""}],"container-title":"Separation and Purification Technology","id":"ITEM-1","issued":{"date-parts":[["2012"]]},"page":"146-153","publisher":"Elsevier B.V.","title":"Site selection for carbon dioxide geological storage using analytic network process","type":"article-journal","volume":"94"},"uris":["http://www.mendeley.com/documents/?uuid=2182735d-68ac-41f9-829e-5bb9fa4498cc"]}],"mendeley":{"formattedCitation":"(Hsu et al., 2012)","plainTextFormattedCitation":"(Hsu et al., 2012)","previouslyFormattedCitation":"(Hsu et al., 2012)"},"properties":{"noteIndex":0},"schema":"https://github.com/citation-style-language/schema/raw/master/csl-citation.json"}</w:instrText>
      </w:r>
      <w:r w:rsidR="00967BE4" w:rsidRPr="00972203">
        <w:rPr>
          <w:rStyle w:val="BookTitle"/>
          <w:rFonts w:ascii="Times New Roman" w:hAnsi="Times New Roman"/>
          <w:b w:val="0"/>
          <w:noProof/>
          <w:spacing w:val="0"/>
        </w:rPr>
        <w:fldChar w:fldCharType="separate"/>
      </w:r>
      <w:r w:rsidR="00C01E2D" w:rsidRPr="00C01E2D">
        <w:rPr>
          <w:rStyle w:val="BookTitle"/>
          <w:rFonts w:ascii="Times New Roman" w:hAnsi="Times New Roman"/>
          <w:b w:val="0"/>
          <w:noProof/>
          <w:spacing w:val="0"/>
          <w:sz w:val="22"/>
          <w:szCs w:val="22"/>
          <w:lang w:val="en-GB"/>
        </w:rPr>
        <w:t>(Hsu et al., 2012)</w:t>
      </w:r>
      <w:r w:rsidR="00967BE4" w:rsidRPr="00972203">
        <w:rPr>
          <w:rStyle w:val="BookTitle"/>
          <w:rFonts w:ascii="Times New Roman" w:hAnsi="Times New Roman"/>
          <w:b w:val="0"/>
          <w:noProof/>
          <w:spacing w:val="0"/>
        </w:rPr>
        <w:fldChar w:fldCharType="end"/>
      </w:r>
      <w:r w:rsidR="009B6C41" w:rsidRPr="00972203">
        <w:rPr>
          <w:rStyle w:val="BookTitle"/>
          <w:rFonts w:ascii="Times New Roman" w:hAnsi="Times New Roman"/>
          <w:b w:val="0"/>
          <w:spacing w:val="0"/>
          <w:sz w:val="22"/>
          <w:szCs w:val="22"/>
          <w:lang w:val="en-GB"/>
        </w:rPr>
        <w:t xml:space="preserve"> provide</w:t>
      </w:r>
      <w:r w:rsidR="00E23BCD">
        <w:rPr>
          <w:rStyle w:val="BookTitle"/>
          <w:rFonts w:ascii="Times New Roman" w:hAnsi="Times New Roman"/>
          <w:b w:val="0"/>
          <w:spacing w:val="0"/>
          <w:sz w:val="22"/>
          <w:szCs w:val="22"/>
          <w:lang w:val="en-GB"/>
        </w:rPr>
        <w:t>d</w:t>
      </w:r>
      <w:r w:rsidR="009B6C41" w:rsidRPr="00972203">
        <w:rPr>
          <w:rStyle w:val="BookTitle"/>
          <w:rFonts w:ascii="Times New Roman" w:hAnsi="Times New Roman"/>
          <w:b w:val="0"/>
          <w:spacing w:val="0"/>
          <w:sz w:val="22"/>
          <w:szCs w:val="22"/>
          <w:lang w:val="en-GB"/>
        </w:rPr>
        <w:t xml:space="preserve"> an analytic network process approach, which takes eight criteria into account, mainly basic geological and geographical parameters as well as storage costs, and </w:t>
      </w:r>
      <w:r w:rsidR="00E23BCD" w:rsidRPr="00972203">
        <w:rPr>
          <w:rStyle w:val="BookTitle"/>
          <w:rFonts w:ascii="Times New Roman" w:hAnsi="Times New Roman"/>
          <w:b w:val="0"/>
          <w:spacing w:val="0"/>
          <w:sz w:val="22"/>
          <w:szCs w:val="22"/>
          <w:lang w:val="en-GB"/>
        </w:rPr>
        <w:t>rank</w:t>
      </w:r>
      <w:r w:rsidR="00E23BCD">
        <w:rPr>
          <w:rStyle w:val="BookTitle"/>
          <w:rFonts w:ascii="Times New Roman" w:hAnsi="Times New Roman"/>
          <w:b w:val="0"/>
          <w:spacing w:val="0"/>
          <w:sz w:val="22"/>
          <w:szCs w:val="22"/>
          <w:lang w:val="en-GB"/>
        </w:rPr>
        <w:t>ed</w:t>
      </w:r>
      <w:r w:rsidR="00E23BCD" w:rsidRPr="00972203">
        <w:rPr>
          <w:rStyle w:val="BookTitle"/>
          <w:rFonts w:ascii="Times New Roman" w:hAnsi="Times New Roman"/>
          <w:b w:val="0"/>
          <w:spacing w:val="0"/>
          <w:sz w:val="22"/>
          <w:szCs w:val="22"/>
          <w:lang w:val="en-GB"/>
        </w:rPr>
        <w:t xml:space="preserve"> </w:t>
      </w:r>
      <w:r w:rsidR="009B6C41" w:rsidRPr="00972203">
        <w:rPr>
          <w:rStyle w:val="BookTitle"/>
          <w:rFonts w:ascii="Times New Roman" w:hAnsi="Times New Roman"/>
          <w:b w:val="0"/>
          <w:spacing w:val="0"/>
          <w:sz w:val="22"/>
          <w:szCs w:val="22"/>
          <w:lang w:val="en-GB"/>
        </w:rPr>
        <w:t>example reservoirs accordingly.</w:t>
      </w:r>
      <w:r w:rsidR="005C47CB" w:rsidRPr="00972203">
        <w:rPr>
          <w:rStyle w:val="BookTitle"/>
          <w:rFonts w:ascii="Times New Roman" w:hAnsi="Times New Roman"/>
          <w:b w:val="0"/>
          <w:spacing w:val="0"/>
          <w:sz w:val="22"/>
          <w:szCs w:val="22"/>
          <w:lang w:val="en-GB"/>
        </w:rPr>
        <w:t xml:space="preserve"> </w:t>
      </w:r>
      <w:r w:rsidR="0006693B" w:rsidRPr="00972203">
        <w:rPr>
          <w:rStyle w:val="BookTitle"/>
          <w:rFonts w:ascii="Times New Roman" w:hAnsi="Times New Roman"/>
          <w:b w:val="0"/>
          <w:spacing w:val="0"/>
          <w:sz w:val="22"/>
          <w:szCs w:val="22"/>
          <w:lang w:val="en-GB"/>
        </w:rPr>
        <w:t>However, since workflows employ different criteria, or with different weighting amongst them and with different degrees of simplification, the outcomes of different site selection studies differ</w:t>
      </w:r>
      <w:r w:rsidR="00E23BCD">
        <w:rPr>
          <w:rStyle w:val="BookTitle"/>
          <w:rFonts w:ascii="Times New Roman" w:hAnsi="Times New Roman"/>
          <w:b w:val="0"/>
          <w:spacing w:val="0"/>
          <w:sz w:val="22"/>
          <w:szCs w:val="22"/>
          <w:lang w:val="en-GB"/>
        </w:rPr>
        <w:t>ed</w:t>
      </w:r>
      <w:r w:rsidR="0006693B" w:rsidRPr="00972203">
        <w:rPr>
          <w:rStyle w:val="BookTitle"/>
          <w:rFonts w:ascii="Times New Roman" w:hAnsi="Times New Roman"/>
          <w:b w:val="0"/>
          <w:spacing w:val="0"/>
          <w:sz w:val="22"/>
          <w:szCs w:val="22"/>
          <w:lang w:val="en-GB"/>
        </w:rPr>
        <w:t xml:space="preserve"> considerably, and the different methodologies are therefore difficult to compare.</w:t>
      </w:r>
    </w:p>
    <w:p w14:paraId="0D95D345" w14:textId="0553D76B" w:rsidR="00D8624F" w:rsidRDefault="00713D3D" w:rsidP="00CC4BCA">
      <w:pPr>
        <w:pStyle w:val="BodyText"/>
        <w:spacing w:after="120" w:line="276" w:lineRule="auto"/>
        <w:rPr>
          <w:rStyle w:val="BookTitle"/>
          <w:rFonts w:ascii="Times New Roman" w:hAnsi="Times New Roman"/>
          <w:b w:val="0"/>
          <w:spacing w:val="0"/>
          <w:sz w:val="22"/>
          <w:szCs w:val="22"/>
          <w:lang w:val="en-GB"/>
        </w:rPr>
      </w:pPr>
      <w:proofErr w:type="spellStart"/>
      <w:r w:rsidRPr="00713D3D">
        <w:rPr>
          <w:rStyle w:val="BookTitle"/>
          <w:rFonts w:ascii="Times New Roman" w:hAnsi="Times New Roman"/>
          <w:b w:val="0"/>
          <w:spacing w:val="0"/>
          <w:sz w:val="22"/>
          <w:szCs w:val="22"/>
          <w:lang w:val="en-GB"/>
        </w:rPr>
        <w:t>Grataloup</w:t>
      </w:r>
      <w:proofErr w:type="spellEnd"/>
      <w:r w:rsidRPr="00713D3D">
        <w:rPr>
          <w:rStyle w:val="BookTitle"/>
          <w:rFonts w:ascii="Times New Roman" w:hAnsi="Times New Roman"/>
          <w:b w:val="0"/>
          <w:spacing w:val="0"/>
          <w:sz w:val="22"/>
          <w:szCs w:val="22"/>
          <w:lang w:val="en-GB"/>
        </w:rPr>
        <w:t xml:space="preserve"> et al. </w:t>
      </w:r>
      <w:r w:rsidRPr="00713D3D">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{"citationItems":[{"id":"ITEM-1","itemData":{"DOI":"10.1016/j.egypro.2009.02.068","ISSN":"18766102","abstract":"Site selection is a fundamental step, which can condition the success of a CO2 geological storage. A CO2 storage has to gather several targets, which can be expressed through a list of criteria. In the proposed site selection methodology, these criteria can be classified into \"killer criteria\" and \"site-qualification criteria\", whose combinations allow identifying potential sites and the most appropriate one(s). This multicriteria methodology is applied on the PICOREF study area, located in the Paris Basin, on which potential site(s) in deep saline aquifers are investigated. © 2009 Elsevier Ltd. All rights reserved.","author":[{"dropping-particle":"","family":"Grataloup","given":"Sandrine","non-dropping-particle":"","parse-names":false,"suffix":""},{"dropping-particle":"","family":"Bonijoly","given":"Didier","non-dropping-particle":"","parse-names":false,"suffix":""},{"dropping-particle":"","family":"Brosse","given":"Etienne","non-dropping-particle":"","parse-names":false,"suffix":""},{"dropping-particle":"","family":"Dreux","given":"Rémi","non-dropping-particle":"","parse-names":false,"suffix":""},{"dropping-particle":"","family":"Garcia","given":"Daniel","non-dropping-particle":"","parse-names":false,"suffix":""},{"dropping-particle":"","family":"Hasanov","given":"Vladimir","non-dropping-particle":"","parse-names":false,"suffix":""},{"dropping-particle":"","family":"Lescanne","given":"Marc","non-dropping-particle":"","parse-names":false,"suffix":""},{"dropping-particle":"","family":"Renoux","given":"Patrick","non-dropping-particle":"","parse-names":false,"suffix":""},{"dropping-particle":"","family":"Thoraval","given":"Alain","non-dropping-particle":"","parse-names":false,"suffix":""}],"container-title":"Energy Procedia","id":"ITEM-1","issue":"1","issued":{"date-parts":[["2009"]]},"page":"2929-2936","publisher":"Elsevier","title":"A site selection methodology for CO2 underground storage in deep saline aquifers: case of the Paris Basin","type":"article-journal","volume":"1"},"uris":["http://www.mendeley.com/documents/?uuid=47e13756-6f49-40fc-a221-c31da84959f3"]}],"mendeley":{"formattedCitation":"(Grataloup et al., 2009)","plainTextFormattedCitation":"(Grataloup et al., 2009)","previouslyFormattedCitation":"(Grataloup et al., 2009)"},"properties":{"noteIndex":0},"schema":"https://github.com/citation-style-language/schema/raw/master/csl-citation.json"}</w:instrText>
      </w:r>
      <w:r w:rsidRPr="00713D3D">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(Grataloup et al., 2009)</w:t>
      </w:r>
      <w:r w:rsidRPr="00713D3D">
        <w:rPr>
          <w:rStyle w:val="BookTitle"/>
          <w:rFonts w:ascii="Times New Roman" w:hAnsi="Times New Roman"/>
          <w:b w:val="0"/>
          <w:noProof/>
          <w:spacing w:val="0"/>
          <w:sz w:val="22"/>
          <w:szCs w:val="22"/>
          <w:lang w:val="en-GB"/>
        </w:rPr>
        <w:fldChar w:fldCharType="end"/>
      </w:r>
      <w:r w:rsidRPr="00713D3D">
        <w:rPr>
          <w:rStyle w:val="BookTitle"/>
          <w:rFonts w:ascii="Times New Roman" w:hAnsi="Times New Roman"/>
          <w:b w:val="0"/>
          <w:spacing w:val="0"/>
          <w:sz w:val="22"/>
          <w:szCs w:val="22"/>
          <w:lang w:val="en-GB"/>
        </w:rPr>
        <w:t xml:space="preserve"> use</w:t>
      </w:r>
      <w:r w:rsidR="004045FD">
        <w:rPr>
          <w:rStyle w:val="BookTitle"/>
          <w:rFonts w:ascii="Times New Roman" w:hAnsi="Times New Roman"/>
          <w:b w:val="0"/>
          <w:spacing w:val="0"/>
          <w:sz w:val="22"/>
          <w:szCs w:val="22"/>
          <w:lang w:val="en-GB"/>
        </w:rPr>
        <w:t>d</w:t>
      </w:r>
      <w:r w:rsidRPr="00713D3D">
        <w:rPr>
          <w:rStyle w:val="BookTitle"/>
          <w:rFonts w:ascii="Times New Roman" w:hAnsi="Times New Roman"/>
          <w:b w:val="0"/>
          <w:spacing w:val="0"/>
          <w:sz w:val="22"/>
          <w:szCs w:val="22"/>
          <w:lang w:val="en-GB"/>
        </w:rPr>
        <w:t xml:space="preserve"> a list of criteria taken from Brosse et al. </w:t>
      </w:r>
      <w:r w:rsidRPr="00713D3D">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{"citationItems":[{"id":"ITEM-1","itemData":{"DOI":"10.2516/ogst/2009085","ISSN":"1294-4475","abstract":"Selection and Characterization of Geological Sites able to Host a Pilot-Scale CO2 Storage in the Paris Basin (GéoCarbone-PICOREF) - The objective of the GéoCarbone-PICOREF project was to select and characterize geological sites where CO2 storage in permeable reservoir could be tested at the pilot scale. Both options of storage in deep saline aquifer and in depleted hydrocarbon field were considered. The typical size envisioned for the pilot was 100 kt CO2 per year. GéoCarbone-PICOREF initially focused on a \"Regional Domain\", ca. 200 × 150 km, in the Paris Basin. It was attractive for the following reasons: - detailed geological data is available, due to 50 years of petroleum exploration; - basin-scale deep saline aquifers are present, with a preliminary estimate of storage capacity which is at the Gt CO2 level, namely the carbonate Oolithe Blanche Formation, of Middle Jurassic age, generally located between 1500 and 1800 m depths in the studied area, and several sandstone formations of Triassic age, located between 2000 and 3000 m; - several depleted oil fields exist: although offering storage capacities at a much lower level, they do represent very well constrained geological environments, with proven sealing properties; - several sources of pure CO2 were identified in the area, at a flow rate compatible with the pilot size, that would avoid capture costs. 750 km of seismic lines were reprocessed and organized in six sections fitted on well logs. This first dataset provided improved representations of: - the gross features of the considered aquifers in the Regional Domain; - the structural scheme; - lateral continuity of the sealing cap rocks. An inventory of the environmental characteristics was also made, including human occupancy, protected areas, water resource, natural hazards, potential conflicts of use with other resources of the subsurface, etc. From all these criteria, a more restricted geographical domain named the \"Sector\", ca. 70 × 70 km, was chosen, the most appropriate for further selection of storage site(s). The geological characterization of the Sector has been as exhaustive as possible, with the reprocessing of additional 450 km of seismic lines, and the collection of a complete well-data base (146 petroleum wells). At this scale a relatively detailed characterization of the sedimentary layers could be done, in particular the formations potentially rich in aquifer units. For the Middle Jurassic carbonates observations were made on ana…","author":[{"dropping-particle":"","family":"Brosse","given":"É.","non-dropping-particle":"","parse-names":false,"suffix":""},{"dropping-particle":"","family":"Badinier","given":"Guillaume","non-dropping-particle":"","parse-names":false,"suffix":""},{"dropping-particle":"","family":"Blanchard","given":"François","non-dropping-particle":"","parse-names":false,"suffix":""},{"dropping-particle":"","family":"Caspard","given":"E","non-dropping-particle":"","parse-names":false,"suffix":""},{"dropping-particle":"","family":"Collin","given":"P.Y.","non-dropping-particle":"","parse-names":false,"suffix":""},{"dropping-particle":"","family":"Delmas","given":"J","non-dropping-particle":"","parse-names":false,"suffix":""},{"dropping-particle":"","family":"Dezayes","given":"Chrystel","non-dropping-particle":"","parse-names":false,"suffix":""},{"dropping-particle":"","family":"Dreux","given":"Rémi","non-dropping-particle":"","parse-names":false,"suffix":""},{"dropping-particle":"","family":"Dufournet","given":"A","non-dropping-particle":"","parse-names":false,"suffix":""},{"dropping-particle":"","family":"Durst","given":"Pierre","non-dropping-particle":"","parse-names":false,"suffix":""},{"dropping-particle":"","family":"Fillacier","given":"S.","non-dropping-particle":"","parse-names":false,"suffix":""},{"dropping-particle":"","family":"Garcia","given":"D.","non-dropping-particle":"","parse-names":false,"suffix":""},{"dropping-particle":"","family":"Grataloup","given":"S.","non-dropping-particle":"","parse-names":false,"suffix":""},{"dropping-particle":"","family":"Hanot","given":"F.","non-dropping-particle":"","parse-names":false,"suffix":""},{"dropping-particle":"","family":"Hasanov","given":"V.","non-dropping-particle":"","parse-names":false,"suffix":""},{"dropping-particle":"","family":"Houel","given":"P.","non-dropping-particle":"","parse-names":false,"suffix":""},{"dropping-particle":"","family":"Kervévan","given":"C.","non-dropping-particle":"","parse-names":false,"suffix":""},{"dropping-particle":"","family":"Lansiart","given":"M.","non-dropping-particle":"","parse-names":false,"suffix":""},{"dropping-particle":"","family":"Lescanne","given":"M.","non-dropping-particle":"","parse-names":false,"suffix":""},{"dropping-particle":"","family":"Menjoz","given":"A.","non-dropping-particle":"","parse-names":false,"suffix":""},{"dropping-particle":"","family":"Monnet","given":"M.","non-dropping-particle":"","parse-names":false,"suffix":""},{"dropping-particle":"","family":"Mougin","given":"P.","non-dropping-particle":"","parse-names":false,"suffix":""},{"dropping-particle":"","family":"Nedelec","given":"B.","non-dropping-particle":"","parse-names":false,"suffix":""},{"dropping-particle":"","family":"Poutrel","given":"A.","non-dropping-particle":"","parse-names":false,"suffix":""},{"dropping-particle":"","family":"Rachez","given":"X.","non-dropping-particle":"","parse-names":false,"suffix":""},{"dropping-particle":"","family":"Renoux","given":"P.","non-dropping-particle":"","parse-names":false,"suffix":""},{"dropping-particle":"","family":"Rigollet","given":"C.","non-dropping-particle":"","parse-names":false,"suffix":""},{"dropping-particle":"","family":"Ruffier-Meray","given":"V.","non-dropping-particle":"","parse-names":false,"suffix":""},{"dropping-particle":"","family":"Saysset","given":"S.","non-dropping-particle":"","parse-names":false,"suffix":""},{"dropping-particle":"","family":"Thinon","given":"I.","non-dropping-particle":"","parse-names":false,"suffix":""},{"dropping-particle":"","family":"Thoraval","given":"A.","non-dropping-particle":"","parse-names":false,"suffix":""},{"dropping-particle":"","family":"Vidal-Gilbert","given":"S.","non-dropping-particle":"","parse-names":false,"suffix":""}],"container-title":"Oil &amp; Gas Science and Technology – Revue de l’Institut Français du Pétrole","id":"ITEM-1","issue":"3","issued":{"date-parts":[["2010"]]},"page":"375-403","title":"Selection and Characterization of Geological Sites able to Host a Pilot-Scale CO 2 Storage in the Paris Basin ( GéoCarbone -PICOREF)","type":"article-journal","volume":"65"},"uris":["http://www.mendeley.com/documents/?uuid=c788e8da-6076-40e7-9635-5ac0743990b5"]}],"mendeley":{"formattedCitation":"(Brosse et al., 2010)","plainTextFormattedCitation":"(Brosse et al., 2010)","previouslyFormattedCitation":"(Brosse et al., 2010)"},"properties":{"noteIndex":0},"schema":"https://github.com/citation-style-language/schema/raw/master/csl-citation.json"}</w:instrText>
      </w:r>
      <w:r w:rsidRPr="00713D3D">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(Brosse et al., 2010)</w:t>
      </w:r>
      <w:r w:rsidRPr="00713D3D">
        <w:rPr>
          <w:rStyle w:val="BookTitle"/>
          <w:rFonts w:ascii="Times New Roman" w:hAnsi="Times New Roman"/>
          <w:b w:val="0"/>
          <w:noProof/>
          <w:spacing w:val="0"/>
          <w:sz w:val="22"/>
          <w:szCs w:val="22"/>
          <w:lang w:val="en-GB"/>
        </w:rPr>
        <w:fldChar w:fldCharType="end"/>
      </w:r>
      <w:r w:rsidRPr="00713D3D">
        <w:rPr>
          <w:rStyle w:val="BookTitle"/>
          <w:rFonts w:ascii="Times New Roman" w:hAnsi="Times New Roman"/>
          <w:b w:val="0"/>
          <w:spacing w:val="0"/>
          <w:sz w:val="22"/>
          <w:szCs w:val="22"/>
          <w:lang w:val="en-GB"/>
        </w:rPr>
        <w:t xml:space="preserve">, that </w:t>
      </w:r>
      <w:r w:rsidR="004045FD" w:rsidRPr="00713D3D">
        <w:rPr>
          <w:rStyle w:val="BookTitle"/>
          <w:rFonts w:ascii="Times New Roman" w:hAnsi="Times New Roman"/>
          <w:b w:val="0"/>
          <w:spacing w:val="0"/>
          <w:sz w:val="22"/>
          <w:szCs w:val="22"/>
          <w:lang w:val="en-GB"/>
        </w:rPr>
        <w:t>combine</w:t>
      </w:r>
      <w:r w:rsidR="004045FD">
        <w:rPr>
          <w:rStyle w:val="BookTitle"/>
          <w:rFonts w:ascii="Times New Roman" w:hAnsi="Times New Roman"/>
          <w:b w:val="0"/>
          <w:spacing w:val="0"/>
          <w:sz w:val="22"/>
          <w:szCs w:val="22"/>
          <w:lang w:val="en-GB"/>
        </w:rPr>
        <w:t>d</w:t>
      </w:r>
      <w:r w:rsidR="004045FD" w:rsidRPr="00713D3D">
        <w:rPr>
          <w:rStyle w:val="BookTitle"/>
          <w:rFonts w:ascii="Times New Roman" w:hAnsi="Times New Roman"/>
          <w:b w:val="0"/>
          <w:spacing w:val="0"/>
          <w:sz w:val="22"/>
          <w:szCs w:val="22"/>
          <w:lang w:val="en-GB"/>
        </w:rPr>
        <w:t xml:space="preserve"> </w:t>
      </w:r>
      <w:r w:rsidRPr="00713D3D">
        <w:rPr>
          <w:rStyle w:val="BookTitle"/>
          <w:rFonts w:ascii="Times New Roman" w:hAnsi="Times New Roman"/>
          <w:b w:val="0"/>
          <w:spacing w:val="0"/>
          <w:sz w:val="22"/>
          <w:szCs w:val="22"/>
          <w:lang w:val="en-GB"/>
        </w:rPr>
        <w:t xml:space="preserve">geological, risk, regulatory and social aspects. </w:t>
      </w:r>
      <w:r w:rsidR="006D74FB">
        <w:rPr>
          <w:rStyle w:val="BookTitle"/>
          <w:rFonts w:ascii="Times New Roman" w:hAnsi="Times New Roman"/>
          <w:b w:val="0"/>
          <w:spacing w:val="0"/>
          <w:sz w:val="22"/>
          <w:szCs w:val="22"/>
          <w:lang w:val="en-GB"/>
        </w:rPr>
        <w:t xml:space="preserve">They </w:t>
      </w:r>
      <w:r w:rsidR="006D74FB" w:rsidRPr="00713D3D">
        <w:rPr>
          <w:rStyle w:val="BookTitle"/>
          <w:rFonts w:ascii="Times New Roman" w:hAnsi="Times New Roman"/>
          <w:b w:val="0"/>
          <w:spacing w:val="0"/>
          <w:sz w:val="22"/>
          <w:szCs w:val="22"/>
          <w:lang w:val="en-GB"/>
        </w:rPr>
        <w:t>highlighted that certain criteria, called “killer criteria”, are more important for site selection than other</w:t>
      </w:r>
      <w:r w:rsidR="00F44AF7">
        <w:rPr>
          <w:rStyle w:val="BookTitle"/>
          <w:rFonts w:ascii="Times New Roman" w:hAnsi="Times New Roman"/>
          <w:b w:val="0"/>
          <w:spacing w:val="0"/>
          <w:sz w:val="22"/>
          <w:szCs w:val="22"/>
          <w:lang w:val="en-GB"/>
        </w:rPr>
        <w:t>s</w:t>
      </w:r>
      <w:r w:rsidR="006D74FB" w:rsidRPr="00713D3D">
        <w:rPr>
          <w:rStyle w:val="BookTitle"/>
          <w:rFonts w:ascii="Times New Roman" w:hAnsi="Times New Roman"/>
          <w:b w:val="0"/>
          <w:spacing w:val="0"/>
          <w:sz w:val="22"/>
          <w:szCs w:val="22"/>
          <w:lang w:val="en-GB"/>
        </w:rPr>
        <w:t>, because the lack of compliance with one of these killer criteria results in the exclusion of the potential candidate site. For example, a site featuring high quality reservoir but containing a high-risk leakage pathway (</w:t>
      </w:r>
      <w:proofErr w:type="gramStart"/>
      <w:r w:rsidR="006D74FB" w:rsidRPr="00713D3D">
        <w:rPr>
          <w:rStyle w:val="BookTitle"/>
          <w:rFonts w:ascii="Times New Roman" w:hAnsi="Times New Roman"/>
          <w:b w:val="0"/>
          <w:spacing w:val="0"/>
          <w:sz w:val="22"/>
          <w:szCs w:val="22"/>
          <w:lang w:val="en-GB"/>
        </w:rPr>
        <w:t>e.g.</w:t>
      </w:r>
      <w:proofErr w:type="gramEnd"/>
      <w:r w:rsidR="006D74FB" w:rsidRPr="00713D3D">
        <w:rPr>
          <w:rStyle w:val="BookTitle"/>
          <w:rFonts w:ascii="Times New Roman" w:hAnsi="Times New Roman"/>
          <w:b w:val="0"/>
          <w:spacing w:val="0"/>
          <w:sz w:val="22"/>
          <w:szCs w:val="22"/>
          <w:lang w:val="en-GB"/>
        </w:rPr>
        <w:t xml:space="preserve"> a poorly abandoned well) will be ruled out from the selection process. </w:t>
      </w:r>
      <w:r w:rsidR="006D74FB">
        <w:rPr>
          <w:rStyle w:val="BookTitle"/>
          <w:rFonts w:ascii="Times New Roman" w:hAnsi="Times New Roman"/>
          <w:b w:val="0"/>
          <w:spacing w:val="0"/>
          <w:sz w:val="22"/>
          <w:szCs w:val="22"/>
          <w:lang w:val="en-GB"/>
        </w:rPr>
        <w:t>A second type of</w:t>
      </w:r>
      <w:r w:rsidR="006D74FB" w:rsidRPr="00713D3D">
        <w:rPr>
          <w:rStyle w:val="BookTitle"/>
          <w:rFonts w:ascii="Times New Roman" w:hAnsi="Times New Roman"/>
          <w:b w:val="0"/>
          <w:spacing w:val="0"/>
          <w:sz w:val="22"/>
          <w:szCs w:val="22"/>
          <w:lang w:val="en-GB"/>
        </w:rPr>
        <w:t xml:space="preserve"> criteria, called “site-qualification criteria” allow</w:t>
      </w:r>
      <w:r w:rsidR="004045FD">
        <w:rPr>
          <w:rStyle w:val="BookTitle"/>
          <w:rFonts w:ascii="Times New Roman" w:hAnsi="Times New Roman"/>
          <w:b w:val="0"/>
          <w:spacing w:val="0"/>
          <w:sz w:val="22"/>
          <w:szCs w:val="22"/>
          <w:lang w:val="en-GB"/>
        </w:rPr>
        <w:t>s</w:t>
      </w:r>
      <w:r w:rsidR="006D74FB" w:rsidRPr="00713D3D">
        <w:rPr>
          <w:rStyle w:val="BookTitle"/>
          <w:rFonts w:ascii="Times New Roman" w:hAnsi="Times New Roman"/>
          <w:b w:val="0"/>
          <w:spacing w:val="0"/>
          <w:sz w:val="22"/>
          <w:szCs w:val="22"/>
          <w:lang w:val="en-GB"/>
        </w:rPr>
        <w:t xml:space="preserve"> for the sites to be qualitatively or quantitatively assessed and ranked</w:t>
      </w:r>
      <w:r w:rsidR="004250D7">
        <w:rPr>
          <w:rStyle w:val="BookTitle"/>
          <w:rFonts w:ascii="Times New Roman" w:hAnsi="Times New Roman"/>
          <w:b w:val="0"/>
          <w:spacing w:val="0"/>
          <w:sz w:val="22"/>
          <w:szCs w:val="22"/>
          <w:lang w:val="en-GB"/>
        </w:rPr>
        <w:t xml:space="preserve"> according to their suitability</w:t>
      </w:r>
      <w:r w:rsidR="006D74FB" w:rsidRPr="00713D3D">
        <w:rPr>
          <w:rStyle w:val="BookTitle"/>
          <w:rFonts w:ascii="Times New Roman" w:hAnsi="Times New Roman"/>
          <w:b w:val="0"/>
          <w:spacing w:val="0"/>
          <w:sz w:val="22"/>
          <w:szCs w:val="22"/>
          <w:lang w:val="en-GB"/>
        </w:rPr>
        <w:t>.</w:t>
      </w:r>
      <w:r w:rsidR="006D74FB">
        <w:rPr>
          <w:rStyle w:val="BookTitle"/>
          <w:rFonts w:ascii="Times New Roman" w:hAnsi="Times New Roman"/>
          <w:b w:val="0"/>
          <w:spacing w:val="0"/>
          <w:sz w:val="22"/>
          <w:szCs w:val="22"/>
          <w:lang w:val="en-GB"/>
        </w:rPr>
        <w:t xml:space="preserve"> </w:t>
      </w:r>
      <w:r w:rsidR="004250D7" w:rsidRPr="00713D3D">
        <w:rPr>
          <w:rStyle w:val="BookTitle"/>
          <w:rFonts w:ascii="Times New Roman" w:hAnsi="Times New Roman"/>
          <w:b w:val="0"/>
          <w:spacing w:val="0"/>
          <w:sz w:val="22"/>
          <w:szCs w:val="22"/>
          <w:lang w:val="en-GB"/>
        </w:rPr>
        <w:t xml:space="preserve">For example, </w:t>
      </w:r>
      <w:r w:rsidR="00F1494F">
        <w:rPr>
          <w:rStyle w:val="BookTitle"/>
          <w:rFonts w:ascii="Times New Roman" w:hAnsi="Times New Roman"/>
          <w:b w:val="0"/>
          <w:spacing w:val="0"/>
          <w:sz w:val="22"/>
          <w:szCs w:val="22"/>
          <w:lang w:val="en-GB"/>
        </w:rPr>
        <w:t>a</w:t>
      </w:r>
      <w:r w:rsidR="004250D7" w:rsidRPr="00713D3D">
        <w:rPr>
          <w:rStyle w:val="BookTitle"/>
          <w:rFonts w:ascii="Times New Roman" w:hAnsi="Times New Roman"/>
          <w:b w:val="0"/>
          <w:spacing w:val="0"/>
          <w:sz w:val="22"/>
          <w:szCs w:val="22"/>
          <w:lang w:val="en-GB"/>
        </w:rPr>
        <w:t xml:space="preserve"> shorter distance to the source of CO</w:t>
      </w:r>
      <w:r w:rsidR="004250D7" w:rsidRPr="00713D3D">
        <w:rPr>
          <w:rStyle w:val="BookTitle"/>
          <w:rFonts w:ascii="Times New Roman" w:hAnsi="Times New Roman"/>
          <w:b w:val="0"/>
          <w:spacing w:val="0"/>
          <w:sz w:val="22"/>
          <w:szCs w:val="22"/>
          <w:vertAlign w:val="subscript"/>
          <w:lang w:val="en-GB"/>
        </w:rPr>
        <w:t>2</w:t>
      </w:r>
      <w:r w:rsidR="004250D7" w:rsidRPr="00713D3D">
        <w:rPr>
          <w:rStyle w:val="BookTitle"/>
          <w:rFonts w:ascii="Times New Roman" w:hAnsi="Times New Roman"/>
          <w:b w:val="0"/>
          <w:spacing w:val="0"/>
          <w:sz w:val="22"/>
          <w:szCs w:val="22"/>
          <w:lang w:val="en-GB"/>
        </w:rPr>
        <w:t xml:space="preserve"> might </w:t>
      </w:r>
      <w:r w:rsidR="004045FD">
        <w:rPr>
          <w:rStyle w:val="BookTitle"/>
          <w:rFonts w:ascii="Times New Roman" w:hAnsi="Times New Roman"/>
          <w:b w:val="0"/>
          <w:spacing w:val="0"/>
          <w:sz w:val="22"/>
          <w:szCs w:val="22"/>
          <w:lang w:val="en-GB"/>
        </w:rPr>
        <w:t xml:space="preserve">lead to </w:t>
      </w:r>
      <w:r w:rsidR="004250D7" w:rsidRPr="00713D3D">
        <w:rPr>
          <w:rStyle w:val="BookTitle"/>
          <w:rFonts w:ascii="Times New Roman" w:hAnsi="Times New Roman"/>
          <w:b w:val="0"/>
          <w:spacing w:val="0"/>
          <w:sz w:val="22"/>
          <w:szCs w:val="22"/>
          <w:lang w:val="en-GB"/>
        </w:rPr>
        <w:t>select</w:t>
      </w:r>
      <w:r w:rsidR="004045FD">
        <w:rPr>
          <w:rStyle w:val="BookTitle"/>
          <w:rFonts w:ascii="Times New Roman" w:hAnsi="Times New Roman"/>
          <w:b w:val="0"/>
          <w:spacing w:val="0"/>
          <w:sz w:val="22"/>
          <w:szCs w:val="22"/>
          <w:lang w:val="en-GB"/>
        </w:rPr>
        <w:t>ion of</w:t>
      </w:r>
      <w:r w:rsidR="004250D7" w:rsidRPr="00713D3D">
        <w:rPr>
          <w:rStyle w:val="BookTitle"/>
          <w:rFonts w:ascii="Times New Roman" w:hAnsi="Times New Roman"/>
          <w:b w:val="0"/>
          <w:spacing w:val="0"/>
          <w:sz w:val="22"/>
          <w:szCs w:val="22"/>
          <w:lang w:val="en-GB"/>
        </w:rPr>
        <w:t xml:space="preserve"> one site from a pool of candidates with similar reservoir characteristics.</w:t>
      </w:r>
      <w:r w:rsidR="004250D7" w:rsidRPr="00972203">
        <w:rPr>
          <w:rStyle w:val="BookTitle"/>
          <w:rFonts w:ascii="Times New Roman" w:hAnsi="Times New Roman"/>
          <w:b w:val="0"/>
          <w:spacing w:val="0"/>
          <w:sz w:val="22"/>
          <w:szCs w:val="22"/>
          <w:lang w:val="en-GB"/>
        </w:rPr>
        <w:t xml:space="preserve"> </w:t>
      </w:r>
      <w:r w:rsidR="00D15ABA">
        <w:rPr>
          <w:rStyle w:val="BookTitle"/>
          <w:rFonts w:ascii="Times New Roman" w:hAnsi="Times New Roman"/>
          <w:b w:val="0"/>
          <w:spacing w:val="0"/>
          <w:sz w:val="22"/>
          <w:szCs w:val="22"/>
          <w:lang w:val="en-GB"/>
        </w:rPr>
        <w:t>The</w:t>
      </w:r>
      <w:r w:rsidR="00D559AB">
        <w:rPr>
          <w:rStyle w:val="BookTitle"/>
          <w:rFonts w:ascii="Times New Roman" w:hAnsi="Times New Roman"/>
          <w:b w:val="0"/>
          <w:spacing w:val="0"/>
          <w:sz w:val="22"/>
          <w:szCs w:val="22"/>
          <w:lang w:val="en-GB"/>
        </w:rPr>
        <w:t xml:space="preserve"> </w:t>
      </w:r>
      <w:r w:rsidR="00D15ABA">
        <w:rPr>
          <w:rStyle w:val="BookTitle"/>
          <w:rFonts w:ascii="Times New Roman" w:hAnsi="Times New Roman"/>
          <w:b w:val="0"/>
          <w:spacing w:val="0"/>
          <w:sz w:val="22"/>
          <w:szCs w:val="22"/>
          <w:lang w:val="en-GB"/>
        </w:rPr>
        <w:t>selec</w:t>
      </w:r>
      <w:r w:rsidR="00D15ABA" w:rsidRPr="00713D3D">
        <w:rPr>
          <w:rStyle w:val="BookTitle"/>
          <w:rFonts w:ascii="Times New Roman" w:hAnsi="Times New Roman"/>
          <w:b w:val="0"/>
          <w:spacing w:val="0"/>
          <w:sz w:val="22"/>
          <w:szCs w:val="22"/>
          <w:lang w:val="en-GB"/>
        </w:rPr>
        <w:t xml:space="preserve">tion process </w:t>
      </w:r>
      <w:r w:rsidR="00D15ABA">
        <w:rPr>
          <w:rStyle w:val="BookTitle"/>
          <w:rFonts w:ascii="Times New Roman" w:hAnsi="Times New Roman"/>
          <w:b w:val="0"/>
          <w:spacing w:val="0"/>
          <w:sz w:val="22"/>
          <w:szCs w:val="22"/>
          <w:lang w:val="en-GB"/>
        </w:rPr>
        <w:t xml:space="preserve">described in </w:t>
      </w:r>
      <w:proofErr w:type="spellStart"/>
      <w:r w:rsidR="00D15ABA">
        <w:rPr>
          <w:rStyle w:val="BookTitle"/>
          <w:rFonts w:ascii="Times New Roman" w:hAnsi="Times New Roman"/>
          <w:b w:val="0"/>
          <w:spacing w:val="0"/>
          <w:sz w:val="22"/>
          <w:szCs w:val="22"/>
          <w:lang w:val="en-GB"/>
        </w:rPr>
        <w:t>Grataloup</w:t>
      </w:r>
      <w:proofErr w:type="spellEnd"/>
      <w:r w:rsidR="00D15ABA">
        <w:rPr>
          <w:rStyle w:val="BookTitle"/>
          <w:rFonts w:ascii="Times New Roman" w:hAnsi="Times New Roman"/>
          <w:b w:val="0"/>
          <w:spacing w:val="0"/>
          <w:sz w:val="22"/>
          <w:szCs w:val="22"/>
          <w:lang w:val="en-GB"/>
        </w:rPr>
        <w:t xml:space="preserve"> et al </w:t>
      </w:r>
      <w:r w:rsidRPr="00713D3D">
        <w:rPr>
          <w:rStyle w:val="BookTitle"/>
          <w:rFonts w:ascii="Times New Roman" w:hAnsi="Times New Roman"/>
          <w:b w:val="0"/>
          <w:spacing w:val="0"/>
          <w:sz w:val="22"/>
          <w:szCs w:val="22"/>
          <w:lang w:val="en-GB"/>
        </w:rPr>
        <w:t>is</w:t>
      </w:r>
      <w:r w:rsidR="00D15ABA">
        <w:rPr>
          <w:rStyle w:val="BookTitle"/>
          <w:rFonts w:ascii="Times New Roman" w:hAnsi="Times New Roman"/>
          <w:b w:val="0"/>
          <w:spacing w:val="0"/>
          <w:sz w:val="22"/>
          <w:szCs w:val="22"/>
          <w:lang w:val="en-GB"/>
        </w:rPr>
        <w:t xml:space="preserve"> therefore</w:t>
      </w:r>
      <w:r w:rsidR="006D74FB">
        <w:rPr>
          <w:rStyle w:val="BookTitle"/>
          <w:rFonts w:ascii="Times New Roman" w:hAnsi="Times New Roman"/>
          <w:b w:val="0"/>
          <w:spacing w:val="0"/>
          <w:sz w:val="22"/>
          <w:szCs w:val="22"/>
          <w:lang w:val="en-GB"/>
        </w:rPr>
        <w:t xml:space="preserve"> </w:t>
      </w:r>
      <w:r w:rsidRPr="00713D3D">
        <w:rPr>
          <w:rStyle w:val="BookTitle"/>
          <w:rFonts w:ascii="Times New Roman" w:hAnsi="Times New Roman"/>
          <w:b w:val="0"/>
          <w:spacing w:val="0"/>
          <w:sz w:val="22"/>
          <w:szCs w:val="22"/>
          <w:lang w:val="en-GB"/>
        </w:rPr>
        <w:t>a two-stage exercise</w:t>
      </w:r>
      <w:r w:rsidR="004250D7">
        <w:rPr>
          <w:rStyle w:val="BookTitle"/>
          <w:rFonts w:ascii="Times New Roman" w:hAnsi="Times New Roman"/>
          <w:b w:val="0"/>
          <w:spacing w:val="0"/>
          <w:sz w:val="22"/>
          <w:szCs w:val="22"/>
          <w:lang w:val="en-GB"/>
        </w:rPr>
        <w:t>.</w:t>
      </w:r>
      <w:r w:rsidRPr="00713D3D">
        <w:rPr>
          <w:rStyle w:val="BookTitle"/>
          <w:rFonts w:ascii="Times New Roman" w:hAnsi="Times New Roman"/>
          <w:b w:val="0"/>
          <w:spacing w:val="0"/>
          <w:sz w:val="22"/>
          <w:szCs w:val="22"/>
          <w:lang w:val="en-GB"/>
        </w:rPr>
        <w:t xml:space="preserve"> </w:t>
      </w:r>
    </w:p>
    <w:p w14:paraId="668B8642" w14:textId="407C33F8" w:rsidR="001A2820" w:rsidRPr="00972203" w:rsidRDefault="0006693B" w:rsidP="00CC4BCA">
      <w:pPr>
        <w:pStyle w:val="BodyText"/>
        <w:spacing w:after="120" w:line="276" w:lineRule="auto"/>
        <w:rPr>
          <w:rStyle w:val="BookTitle"/>
          <w:rFonts w:ascii="Times New Roman" w:hAnsi="Times New Roman"/>
          <w:b w:val="0"/>
          <w:spacing w:val="0"/>
          <w:sz w:val="22"/>
          <w:szCs w:val="22"/>
          <w:lang w:val="en-GB"/>
        </w:rPr>
      </w:pPr>
      <w:r>
        <w:rPr>
          <w:rStyle w:val="BookTitle"/>
          <w:rFonts w:ascii="Times New Roman" w:hAnsi="Times New Roman"/>
          <w:b w:val="0"/>
          <w:spacing w:val="0"/>
          <w:sz w:val="22"/>
          <w:szCs w:val="22"/>
          <w:lang w:val="en-GB"/>
        </w:rPr>
        <w:t>In summary, the use of multiple criteria is</w:t>
      </w:r>
      <w:r w:rsidR="0007454F">
        <w:rPr>
          <w:rStyle w:val="BookTitle"/>
          <w:rFonts w:ascii="Times New Roman" w:hAnsi="Times New Roman"/>
          <w:b w:val="0"/>
          <w:spacing w:val="0"/>
          <w:sz w:val="22"/>
          <w:szCs w:val="22"/>
          <w:lang w:val="en-GB"/>
        </w:rPr>
        <w:t xml:space="preserve"> essential for</w:t>
      </w:r>
      <w:r>
        <w:rPr>
          <w:rStyle w:val="BookTitle"/>
          <w:rFonts w:ascii="Times New Roman" w:hAnsi="Times New Roman"/>
          <w:b w:val="0"/>
          <w:spacing w:val="0"/>
          <w:sz w:val="22"/>
          <w:szCs w:val="22"/>
          <w:lang w:val="en-GB"/>
        </w:rPr>
        <w:t xml:space="preserve"> practical (</w:t>
      </w:r>
      <w:proofErr w:type="gramStart"/>
      <w:r>
        <w:rPr>
          <w:rStyle w:val="BookTitle"/>
          <w:rFonts w:ascii="Times New Roman" w:hAnsi="Times New Roman"/>
          <w:b w:val="0"/>
          <w:spacing w:val="0"/>
          <w:sz w:val="22"/>
          <w:szCs w:val="22"/>
          <w:lang w:val="en-GB"/>
        </w:rPr>
        <w:t>i.e.</w:t>
      </w:r>
      <w:proofErr w:type="gramEnd"/>
      <w:r>
        <w:rPr>
          <w:rStyle w:val="BookTitle"/>
          <w:rFonts w:ascii="Times New Roman" w:hAnsi="Times New Roman"/>
          <w:b w:val="0"/>
          <w:spacing w:val="0"/>
          <w:sz w:val="22"/>
          <w:szCs w:val="22"/>
          <w:lang w:val="en-GB"/>
        </w:rPr>
        <w:t xml:space="preserve"> non-theoretical) site selection</w:t>
      </w:r>
      <w:r w:rsidR="0007454F">
        <w:rPr>
          <w:rStyle w:val="BookTitle"/>
          <w:rFonts w:ascii="Times New Roman" w:hAnsi="Times New Roman"/>
          <w:b w:val="0"/>
          <w:spacing w:val="0"/>
          <w:sz w:val="22"/>
          <w:szCs w:val="22"/>
          <w:lang w:val="en-GB"/>
        </w:rPr>
        <w:t xml:space="preserve">. </w:t>
      </w:r>
      <w:r w:rsidR="006D74FB">
        <w:rPr>
          <w:rStyle w:val="BookTitle"/>
          <w:rFonts w:ascii="Times New Roman" w:hAnsi="Times New Roman"/>
          <w:b w:val="0"/>
          <w:spacing w:val="0"/>
          <w:sz w:val="22"/>
          <w:szCs w:val="22"/>
          <w:lang w:val="en-GB"/>
        </w:rPr>
        <w:t xml:space="preserve">The methodology presented </w:t>
      </w:r>
      <w:r w:rsidR="0007454F">
        <w:rPr>
          <w:rStyle w:val="BookTitle"/>
          <w:rFonts w:ascii="Times New Roman" w:hAnsi="Times New Roman"/>
          <w:b w:val="0"/>
          <w:spacing w:val="0"/>
          <w:sz w:val="22"/>
          <w:szCs w:val="22"/>
          <w:lang w:val="en-GB"/>
        </w:rPr>
        <w:t xml:space="preserve">in this </w:t>
      </w:r>
      <w:r w:rsidR="004045FD">
        <w:rPr>
          <w:rStyle w:val="BookTitle"/>
          <w:rFonts w:ascii="Times New Roman" w:hAnsi="Times New Roman"/>
          <w:b w:val="0"/>
          <w:spacing w:val="0"/>
          <w:sz w:val="22"/>
          <w:szCs w:val="22"/>
          <w:lang w:val="en-GB"/>
        </w:rPr>
        <w:t xml:space="preserve">study </w:t>
      </w:r>
      <w:r w:rsidR="004250D7">
        <w:rPr>
          <w:rStyle w:val="BookTitle"/>
          <w:rFonts w:ascii="Times New Roman" w:hAnsi="Times New Roman"/>
          <w:b w:val="0"/>
          <w:spacing w:val="0"/>
          <w:sz w:val="22"/>
          <w:szCs w:val="22"/>
          <w:lang w:val="en-GB"/>
        </w:rPr>
        <w:t>employs</w:t>
      </w:r>
      <w:r w:rsidR="006D74FB">
        <w:rPr>
          <w:rStyle w:val="BookTitle"/>
          <w:rFonts w:ascii="Times New Roman" w:hAnsi="Times New Roman"/>
          <w:b w:val="0"/>
          <w:spacing w:val="0"/>
          <w:sz w:val="22"/>
          <w:szCs w:val="22"/>
          <w:lang w:val="en-GB"/>
        </w:rPr>
        <w:t xml:space="preserve"> </w:t>
      </w:r>
      <w:r w:rsidR="0007454F">
        <w:rPr>
          <w:rStyle w:val="BookTitle"/>
          <w:rFonts w:ascii="Times New Roman" w:hAnsi="Times New Roman"/>
          <w:b w:val="0"/>
          <w:spacing w:val="0"/>
          <w:sz w:val="22"/>
          <w:szCs w:val="22"/>
          <w:lang w:val="en-GB"/>
        </w:rPr>
        <w:t>some of the most common criteria used</w:t>
      </w:r>
      <w:r w:rsidR="00F1494F">
        <w:rPr>
          <w:rStyle w:val="BookTitle"/>
          <w:rFonts w:ascii="Times New Roman" w:hAnsi="Times New Roman"/>
          <w:b w:val="0"/>
          <w:spacing w:val="0"/>
          <w:sz w:val="22"/>
          <w:szCs w:val="22"/>
          <w:lang w:val="en-GB"/>
        </w:rPr>
        <w:t xml:space="preserve"> in</w:t>
      </w:r>
      <w:r w:rsidR="0007454F">
        <w:rPr>
          <w:rStyle w:val="BookTitle"/>
          <w:rFonts w:ascii="Times New Roman" w:hAnsi="Times New Roman"/>
          <w:b w:val="0"/>
          <w:spacing w:val="0"/>
          <w:sz w:val="22"/>
          <w:szCs w:val="22"/>
          <w:lang w:val="en-GB"/>
        </w:rPr>
        <w:t xml:space="preserve"> </w:t>
      </w:r>
      <w:r w:rsidR="00A662F3">
        <w:rPr>
          <w:rStyle w:val="BookTitle"/>
          <w:rFonts w:ascii="Times New Roman" w:hAnsi="Times New Roman"/>
          <w:b w:val="0"/>
          <w:spacing w:val="0"/>
          <w:sz w:val="22"/>
          <w:szCs w:val="22"/>
          <w:lang w:val="en-GB"/>
        </w:rPr>
        <w:t>the</w:t>
      </w:r>
      <w:r w:rsidR="0007454F">
        <w:rPr>
          <w:rStyle w:val="BookTitle"/>
          <w:rFonts w:ascii="Times New Roman" w:hAnsi="Times New Roman"/>
          <w:b w:val="0"/>
          <w:spacing w:val="0"/>
          <w:sz w:val="22"/>
          <w:szCs w:val="22"/>
          <w:lang w:val="en-GB"/>
        </w:rPr>
        <w:t xml:space="preserve"> </w:t>
      </w:r>
      <w:r w:rsidR="004045FD">
        <w:rPr>
          <w:rStyle w:val="BookTitle"/>
          <w:rFonts w:ascii="Times New Roman" w:hAnsi="Times New Roman"/>
          <w:b w:val="0"/>
          <w:spacing w:val="0"/>
          <w:sz w:val="22"/>
          <w:szCs w:val="22"/>
          <w:lang w:val="en-GB"/>
        </w:rPr>
        <w:t xml:space="preserve">previous </w:t>
      </w:r>
      <w:r w:rsidR="0007454F">
        <w:rPr>
          <w:rStyle w:val="BookTitle"/>
          <w:rFonts w:ascii="Times New Roman" w:hAnsi="Times New Roman"/>
          <w:b w:val="0"/>
          <w:spacing w:val="0"/>
          <w:sz w:val="22"/>
          <w:szCs w:val="22"/>
          <w:lang w:val="en-GB"/>
        </w:rPr>
        <w:t xml:space="preserve">studies </w:t>
      </w:r>
      <w:r w:rsidR="004045FD">
        <w:rPr>
          <w:rStyle w:val="BookTitle"/>
          <w:rFonts w:ascii="Times New Roman" w:hAnsi="Times New Roman"/>
          <w:b w:val="0"/>
          <w:spacing w:val="0"/>
          <w:sz w:val="22"/>
          <w:szCs w:val="22"/>
          <w:lang w:val="en-GB"/>
        </w:rPr>
        <w:t xml:space="preserve">that we have summarised </w:t>
      </w:r>
      <w:r w:rsidR="0007454F">
        <w:rPr>
          <w:rStyle w:val="BookTitle"/>
          <w:rFonts w:ascii="Times New Roman" w:hAnsi="Times New Roman"/>
          <w:b w:val="0"/>
          <w:spacing w:val="0"/>
          <w:sz w:val="22"/>
          <w:szCs w:val="22"/>
          <w:lang w:val="en-GB"/>
        </w:rPr>
        <w:t>(</w:t>
      </w:r>
      <w:proofErr w:type="gramStart"/>
      <w:r w:rsidR="0007454F">
        <w:rPr>
          <w:rStyle w:val="BookTitle"/>
          <w:rFonts w:ascii="Times New Roman" w:hAnsi="Times New Roman"/>
          <w:b w:val="0"/>
          <w:spacing w:val="0"/>
          <w:sz w:val="22"/>
          <w:szCs w:val="22"/>
          <w:lang w:val="en-GB"/>
        </w:rPr>
        <w:t>e.g.</w:t>
      </w:r>
      <w:proofErr w:type="gramEnd"/>
      <w:r w:rsidR="0007454F">
        <w:rPr>
          <w:rStyle w:val="BookTitle"/>
          <w:rFonts w:ascii="Times New Roman" w:hAnsi="Times New Roman"/>
          <w:b w:val="0"/>
          <w:spacing w:val="0"/>
          <w:sz w:val="22"/>
          <w:szCs w:val="22"/>
          <w:lang w:val="en-GB"/>
        </w:rPr>
        <w:t xml:space="preserve"> </w:t>
      </w:r>
      <w:r w:rsidR="00A662F3">
        <w:rPr>
          <w:rStyle w:val="BookTitle"/>
          <w:rFonts w:ascii="Times New Roman" w:hAnsi="Times New Roman"/>
          <w:b w:val="0"/>
          <w:spacing w:val="0"/>
          <w:sz w:val="22"/>
          <w:szCs w:val="22"/>
          <w:lang w:val="en-GB"/>
        </w:rPr>
        <w:t xml:space="preserve">capacity, injectivity </w:t>
      </w:r>
      <w:r w:rsidR="00F1494F">
        <w:rPr>
          <w:rStyle w:val="BookTitle"/>
          <w:rFonts w:ascii="Times New Roman" w:hAnsi="Times New Roman"/>
          <w:b w:val="0"/>
          <w:spacing w:val="0"/>
          <w:sz w:val="22"/>
          <w:szCs w:val="22"/>
          <w:lang w:val="en-GB"/>
        </w:rPr>
        <w:t xml:space="preserve">and </w:t>
      </w:r>
      <w:r w:rsidR="00A662F3">
        <w:rPr>
          <w:rStyle w:val="BookTitle"/>
          <w:rFonts w:ascii="Times New Roman" w:hAnsi="Times New Roman"/>
          <w:b w:val="0"/>
          <w:spacing w:val="0"/>
          <w:sz w:val="22"/>
          <w:szCs w:val="22"/>
          <w:lang w:val="en-GB"/>
        </w:rPr>
        <w:t xml:space="preserve">containment risk), but include others that are project-specific (e.g. development cost according to the </w:t>
      </w:r>
      <w:r w:rsidR="004045FD">
        <w:rPr>
          <w:rStyle w:val="BookTitle"/>
          <w:rFonts w:ascii="Times New Roman" w:hAnsi="Times New Roman"/>
          <w:b w:val="0"/>
          <w:spacing w:val="0"/>
          <w:sz w:val="22"/>
          <w:szCs w:val="22"/>
          <w:lang w:val="en-GB"/>
        </w:rPr>
        <w:t xml:space="preserve">requirements of the </w:t>
      </w:r>
      <w:r w:rsidR="00A662F3">
        <w:rPr>
          <w:rStyle w:val="BookTitle"/>
          <w:rFonts w:ascii="Times New Roman" w:hAnsi="Times New Roman"/>
          <w:b w:val="0"/>
          <w:spacing w:val="0"/>
          <w:sz w:val="22"/>
          <w:szCs w:val="22"/>
          <w:lang w:val="en-GB"/>
        </w:rPr>
        <w:t>Acorn</w:t>
      </w:r>
      <w:r w:rsidR="004045FD">
        <w:rPr>
          <w:rStyle w:val="BookTitle"/>
          <w:rFonts w:ascii="Times New Roman" w:hAnsi="Times New Roman"/>
          <w:b w:val="0"/>
          <w:spacing w:val="0"/>
          <w:sz w:val="22"/>
          <w:szCs w:val="22"/>
          <w:lang w:val="en-GB"/>
        </w:rPr>
        <w:t xml:space="preserve"> project</w:t>
      </w:r>
      <w:r w:rsidR="00A662F3">
        <w:rPr>
          <w:rStyle w:val="BookTitle"/>
          <w:rFonts w:ascii="Times New Roman" w:hAnsi="Times New Roman"/>
          <w:b w:val="0"/>
          <w:spacing w:val="0"/>
          <w:sz w:val="22"/>
          <w:szCs w:val="22"/>
          <w:lang w:val="en-GB"/>
        </w:rPr>
        <w:t xml:space="preserve">). </w:t>
      </w:r>
      <w:r w:rsidR="00350198" w:rsidRPr="00972203">
        <w:rPr>
          <w:rStyle w:val="BookTitle"/>
          <w:rFonts w:ascii="Times New Roman" w:hAnsi="Times New Roman"/>
          <w:b w:val="0"/>
          <w:spacing w:val="0"/>
          <w:sz w:val="22"/>
          <w:szCs w:val="22"/>
          <w:lang w:val="en-GB"/>
        </w:rPr>
        <w:t>The site selection workflow</w:t>
      </w:r>
      <w:r w:rsidR="00AA2B20">
        <w:rPr>
          <w:rStyle w:val="BookTitle"/>
          <w:rFonts w:ascii="Times New Roman" w:hAnsi="Times New Roman"/>
          <w:b w:val="0"/>
          <w:spacing w:val="0"/>
          <w:sz w:val="22"/>
          <w:szCs w:val="22"/>
          <w:lang w:val="en-GB"/>
        </w:rPr>
        <w:t>,</w:t>
      </w:r>
      <w:r w:rsidR="00350198" w:rsidRPr="00972203">
        <w:rPr>
          <w:rStyle w:val="BookTitle"/>
          <w:rFonts w:ascii="Times New Roman" w:hAnsi="Times New Roman"/>
          <w:b w:val="0"/>
          <w:spacing w:val="0"/>
          <w:sz w:val="22"/>
          <w:szCs w:val="22"/>
          <w:lang w:val="en-GB"/>
        </w:rPr>
        <w:t xml:space="preserve"> presented here</w:t>
      </w:r>
      <w:r w:rsidR="00AA2B20">
        <w:rPr>
          <w:rStyle w:val="BookTitle"/>
          <w:rFonts w:ascii="Times New Roman" w:hAnsi="Times New Roman"/>
          <w:b w:val="0"/>
          <w:spacing w:val="0"/>
          <w:sz w:val="22"/>
          <w:szCs w:val="22"/>
          <w:lang w:val="en-GB"/>
        </w:rPr>
        <w:t>,</w:t>
      </w:r>
      <w:r w:rsidR="00350198" w:rsidRPr="00972203">
        <w:rPr>
          <w:rStyle w:val="BookTitle"/>
          <w:rFonts w:ascii="Times New Roman" w:hAnsi="Times New Roman"/>
          <w:b w:val="0"/>
          <w:spacing w:val="0"/>
          <w:sz w:val="22"/>
          <w:szCs w:val="22"/>
          <w:lang w:val="en-GB"/>
        </w:rPr>
        <w:t xml:space="preserve"> builds </w:t>
      </w:r>
      <w:r w:rsidR="00350198">
        <w:rPr>
          <w:rStyle w:val="BookTitle"/>
          <w:rFonts w:ascii="Times New Roman" w:hAnsi="Times New Roman"/>
          <w:b w:val="0"/>
          <w:spacing w:val="0"/>
          <w:sz w:val="22"/>
          <w:szCs w:val="22"/>
          <w:lang w:val="en-GB"/>
        </w:rPr>
        <w:t>o</w:t>
      </w:r>
      <w:r w:rsidR="00350198" w:rsidRPr="00972203">
        <w:rPr>
          <w:rStyle w:val="BookTitle"/>
          <w:rFonts w:ascii="Times New Roman" w:hAnsi="Times New Roman"/>
          <w:b w:val="0"/>
          <w:spacing w:val="0"/>
          <w:sz w:val="22"/>
          <w:szCs w:val="22"/>
          <w:lang w:val="en-GB"/>
        </w:rPr>
        <w:t xml:space="preserve">n the methodology developed in the </w:t>
      </w:r>
      <w:r w:rsidR="00AE5863" w:rsidRPr="00AE5863">
        <w:rPr>
          <w:rStyle w:val="BookTitle"/>
          <w:rFonts w:ascii="Times New Roman" w:hAnsi="Times New Roman"/>
          <w:b w:val="0"/>
          <w:spacing w:val="0"/>
          <w:sz w:val="22"/>
          <w:szCs w:val="22"/>
          <w:lang w:val="en-GB"/>
        </w:rPr>
        <w:t xml:space="preserve">Strategic UK Carbon Capture and Storage Appraisal </w:t>
      </w:r>
      <w:r w:rsidR="00AE5863">
        <w:rPr>
          <w:rStyle w:val="BookTitle"/>
          <w:rFonts w:ascii="Times New Roman" w:hAnsi="Times New Roman"/>
          <w:b w:val="0"/>
          <w:spacing w:val="0"/>
          <w:sz w:val="22"/>
          <w:szCs w:val="22"/>
          <w:lang w:val="en-GB"/>
        </w:rPr>
        <w:t xml:space="preserve">(SSAP) </w:t>
      </w:r>
      <w:r w:rsidR="00350198" w:rsidRPr="00972203">
        <w:rPr>
          <w:rStyle w:val="BookTitle"/>
          <w:rFonts w:ascii="Times New Roman" w:hAnsi="Times New Roman"/>
          <w:b w:val="0"/>
          <w:spacing w:val="0"/>
          <w:sz w:val="22"/>
          <w:szCs w:val="22"/>
          <w:lang w:val="en-GB"/>
        </w:rPr>
        <w:t xml:space="preserve">project </w:t>
      </w:r>
      <w:r w:rsidR="00350198" w:rsidRPr="00972203">
        <w:rPr>
          <w:rStyle w:val="BookTitle"/>
          <w:rFonts w:ascii="Times New Roman" w:hAnsi="Times New Roman"/>
          <w:b w:val="0"/>
          <w:noProof/>
          <w:spacing w:val="0"/>
        </w:rPr>
        <w:fldChar w:fldCharType="begin" w:fldLock="1"/>
      </w:r>
      <w:r w:rsidR="00FF002B">
        <w:rPr>
          <w:rStyle w:val="BookTitle"/>
          <w:rFonts w:ascii="Times New Roman" w:hAnsi="Times New Roman"/>
          <w:b w:val="0"/>
          <w:noProof/>
          <w:spacing w:val="0"/>
          <w:sz w:val="22"/>
          <w:szCs w:val="22"/>
          <w:lang w:val="en-GB"/>
        </w:rPr>
        <w:instrText>ADDIN CSL_CITATION {"citationItems":[{"id":"ITEM-1","itemData":{"DOI":"10.2118/148426-ms","ISBN":"9781618391520","abstract":"The purpose of the UKSAP project is to provide a realistic, defensible and fully auditable estimate of the capacity of geological formations below the UK's coastal waters to store CO2. Drawing on the expertise of the project participants (10 UK organisations) and accessing existing public domain and commercially available data, the £3.9M project has created a web-enabled database and geographical information system (WDG). This covers all the potential storage volume in the North Sea, the East Irish Sea and the central English Channel. The WDG is designed to assist policy makers and potential participators in projects with high level assessments and planning. Storage units in the WDG (several hundred) are described in terms of geographical, geological, geophysical and other data relevant to risks in their use, leading to estimates of their storage capacity and economic profile. The ETI will make the WDG accessible to the public after completion of the project in July 2011. The paper will present the methodology used in creating the estimates and describe high level findings from analysis of the data. The functionality of the WDG will be outlined. Copyright 2011, Society of Petroleum Engineers.","author":[{"dropping-particle":"","family":"Gammer","given":"D.","non-dropping-particle":"","parse-names":false,"suffix":""},{"dropping-particle":"","family":"Green","given":"A.","non-dropping-particle":"","parse-names":false,"suffix":""},{"dropping-particle":"","family":"Holloway","given":"S.","non-dropping-particle":"","parse-names":false,"suffix":""},{"dropping-particle":"","family":"Smith","given":"G.","non-dropping-particle":"","parse-names":false,"suffix":""}],"container-title":"Society of Petroleum Engineers - Offshore Europe Oil and Gas Conference and Exhibition 2011, OE 2011","id":"ITEM-1","issue":"148426","issued":{"date-parts":[["2011"]]},"page":"1045-1058","title":"The energy technologies institute's UK CO2 Storage Appraisal Project (UKSAP)","type":"article-journal","volume":"2"},"uris":["http://www.mendeley.com/documents/?uuid=811bbf3e-9dd8-413d-8c6c-8c1dfbe5a537"]},{"id":"ITEM-2","itemData":{"abstract":"There are up to 20 specific storage sites under the UK seabed that have the potential to store up to 78 GT of CO2","author":[{"dropping-particle":"","family":"Pale Blue Dot","given":"","non-dropping-particle":"","parse-names":false,"suffix":""},{"dropping-particle":"","family":"Axis Well Technology","given":"","non-dropping-particle":"","parse-names":false,"suffix":""}],"id":"ITEM-2","issue":"April 2016","issued":{"date-parts":[["2016"]]},"number-of-pages":"48","title":"A Summary of Results from the Strategic UK CO2 Storage Appraisal Project, funded by DECC","type":"report"},"uris":["http://www.mendeley.com/documents/?uuid=e8a970db-f74f-4997-adb9-7b3619665eff"]}],"mendeley":{"formattedCitation":"(Gammer et al., 2011; Pale Blue Dot and Axis Well Technology, 2016)","plainTextFormattedCitation":"(Gammer et al., 2011; Pale Blue Dot and Axis Well Technology, 2016)","previouslyFormattedCitation":"(Gammer et al., 2011; Pale Blue Dot and Axis Well Technology, 2016)"},"properties":{"noteIndex":0},"schema":"https://github.com/citation-style-language/schema/raw/master/csl-citation.json"}</w:instrText>
      </w:r>
      <w:r w:rsidR="00350198" w:rsidRPr="00972203">
        <w:rPr>
          <w:rStyle w:val="BookTitle"/>
          <w:rFonts w:ascii="Times New Roman" w:hAnsi="Times New Roman"/>
          <w:b w:val="0"/>
          <w:noProof/>
          <w:spacing w:val="0"/>
        </w:rPr>
        <w:fldChar w:fldCharType="separate"/>
      </w:r>
      <w:r w:rsidR="0030553F" w:rsidRPr="0030553F">
        <w:rPr>
          <w:rStyle w:val="BookTitle"/>
          <w:rFonts w:ascii="Times New Roman" w:hAnsi="Times New Roman"/>
          <w:b w:val="0"/>
          <w:noProof/>
          <w:spacing w:val="0"/>
          <w:sz w:val="22"/>
          <w:szCs w:val="22"/>
          <w:lang w:val="en-GB"/>
        </w:rPr>
        <w:t>(Gammer et al., 2011; Pale Blue Dot and Axis Well Technology, 2016)</w:t>
      </w:r>
      <w:r w:rsidR="00350198" w:rsidRPr="00972203">
        <w:rPr>
          <w:rStyle w:val="BookTitle"/>
          <w:rFonts w:ascii="Times New Roman" w:hAnsi="Times New Roman"/>
          <w:b w:val="0"/>
          <w:noProof/>
          <w:spacing w:val="0"/>
        </w:rPr>
        <w:fldChar w:fldCharType="end"/>
      </w:r>
      <w:r w:rsidR="00350198" w:rsidRPr="00972203">
        <w:rPr>
          <w:rStyle w:val="BookTitle"/>
          <w:rFonts w:ascii="Times New Roman" w:hAnsi="Times New Roman"/>
          <w:b w:val="0"/>
          <w:spacing w:val="0"/>
          <w:sz w:val="22"/>
          <w:szCs w:val="22"/>
          <w:lang w:val="en-GB"/>
        </w:rPr>
        <w:t xml:space="preserve"> commissioned by the Energy Technologies Institute</w:t>
      </w:r>
      <w:r w:rsidR="004045FD">
        <w:rPr>
          <w:rStyle w:val="BookTitle"/>
          <w:rFonts w:ascii="Times New Roman" w:hAnsi="Times New Roman"/>
          <w:b w:val="0"/>
          <w:spacing w:val="0"/>
          <w:sz w:val="22"/>
          <w:szCs w:val="22"/>
          <w:lang w:val="en-GB"/>
        </w:rPr>
        <w:t xml:space="preserve"> (ETI)</w:t>
      </w:r>
      <w:r w:rsidR="0030553F">
        <w:rPr>
          <w:rStyle w:val="BookTitle"/>
          <w:rFonts w:ascii="Times New Roman" w:hAnsi="Times New Roman"/>
          <w:b w:val="0"/>
          <w:spacing w:val="0"/>
          <w:sz w:val="22"/>
          <w:szCs w:val="22"/>
          <w:lang w:val="en-GB"/>
        </w:rPr>
        <w:t>. This study</w:t>
      </w:r>
      <w:r w:rsidR="00350198" w:rsidRPr="00972203">
        <w:rPr>
          <w:rStyle w:val="BookTitle"/>
          <w:rFonts w:ascii="Times New Roman" w:hAnsi="Times New Roman"/>
          <w:b w:val="0"/>
          <w:spacing w:val="0"/>
          <w:sz w:val="22"/>
          <w:szCs w:val="22"/>
          <w:lang w:val="en-GB"/>
        </w:rPr>
        <w:t xml:space="preserve"> </w:t>
      </w:r>
      <w:r w:rsidR="004045FD" w:rsidRPr="00972203">
        <w:rPr>
          <w:rStyle w:val="BookTitle"/>
          <w:rFonts w:ascii="Times New Roman" w:hAnsi="Times New Roman"/>
          <w:b w:val="0"/>
          <w:spacing w:val="0"/>
          <w:sz w:val="22"/>
          <w:szCs w:val="22"/>
          <w:lang w:val="en-GB"/>
        </w:rPr>
        <w:t>appli</w:t>
      </w:r>
      <w:r w:rsidR="004045FD">
        <w:rPr>
          <w:rStyle w:val="BookTitle"/>
          <w:rFonts w:ascii="Times New Roman" w:hAnsi="Times New Roman"/>
          <w:b w:val="0"/>
          <w:spacing w:val="0"/>
          <w:sz w:val="22"/>
          <w:szCs w:val="22"/>
          <w:lang w:val="en-GB"/>
        </w:rPr>
        <w:t>ed</w:t>
      </w:r>
      <w:r w:rsidR="004045FD" w:rsidRPr="00972203">
        <w:rPr>
          <w:rStyle w:val="BookTitle"/>
          <w:rFonts w:ascii="Times New Roman" w:hAnsi="Times New Roman"/>
          <w:b w:val="0"/>
          <w:spacing w:val="0"/>
          <w:sz w:val="22"/>
          <w:szCs w:val="22"/>
          <w:lang w:val="en-GB"/>
        </w:rPr>
        <w:t xml:space="preserve"> international best practice </w:t>
      </w:r>
      <w:r w:rsidR="004045FD">
        <w:rPr>
          <w:rStyle w:val="BookTitle"/>
          <w:rFonts w:ascii="Times New Roman" w:hAnsi="Times New Roman"/>
          <w:b w:val="0"/>
          <w:spacing w:val="0"/>
          <w:sz w:val="22"/>
          <w:szCs w:val="22"/>
          <w:lang w:val="en-GB"/>
        </w:rPr>
        <w:t xml:space="preserve">to </w:t>
      </w:r>
      <w:r w:rsidR="00350198" w:rsidRPr="00972203">
        <w:rPr>
          <w:rStyle w:val="BookTitle"/>
          <w:rFonts w:ascii="Times New Roman" w:hAnsi="Times New Roman"/>
          <w:b w:val="0"/>
          <w:spacing w:val="0"/>
          <w:sz w:val="22"/>
          <w:szCs w:val="22"/>
          <w:lang w:val="en-GB"/>
        </w:rPr>
        <w:t xml:space="preserve">screen over 500 aquifer and depleted hydrocarbon fields </w:t>
      </w:r>
      <w:r w:rsidR="00350198">
        <w:rPr>
          <w:rStyle w:val="BookTitle"/>
          <w:rFonts w:ascii="Times New Roman" w:hAnsi="Times New Roman"/>
          <w:b w:val="0"/>
          <w:spacing w:val="0"/>
          <w:sz w:val="22"/>
          <w:szCs w:val="22"/>
          <w:lang w:val="en-GB"/>
        </w:rPr>
        <w:t xml:space="preserve">in the UK North Sea </w:t>
      </w:r>
      <w:r w:rsidR="00B329FC">
        <w:rPr>
          <w:rStyle w:val="BookTitle"/>
          <w:rFonts w:ascii="Times New Roman" w:hAnsi="Times New Roman"/>
          <w:b w:val="0"/>
          <w:spacing w:val="0"/>
          <w:sz w:val="22"/>
          <w:szCs w:val="22"/>
          <w:lang w:val="en-GB"/>
        </w:rPr>
        <w:t xml:space="preserve">and Irish Sea </w:t>
      </w:r>
      <w:r w:rsidR="00AA2B20">
        <w:rPr>
          <w:rStyle w:val="BookTitle"/>
          <w:rFonts w:ascii="Times New Roman" w:hAnsi="Times New Roman"/>
          <w:b w:val="0"/>
          <w:spacing w:val="0"/>
          <w:sz w:val="22"/>
          <w:szCs w:val="22"/>
          <w:lang w:val="en-GB"/>
        </w:rPr>
        <w:t>Basin</w:t>
      </w:r>
      <w:r w:rsidR="00B329FC">
        <w:rPr>
          <w:rStyle w:val="BookTitle"/>
          <w:rFonts w:ascii="Times New Roman" w:hAnsi="Times New Roman"/>
          <w:b w:val="0"/>
          <w:spacing w:val="0"/>
          <w:sz w:val="22"/>
          <w:szCs w:val="22"/>
          <w:lang w:val="en-GB"/>
        </w:rPr>
        <w:t>s</w:t>
      </w:r>
      <w:r w:rsidR="00AA2B20">
        <w:rPr>
          <w:rStyle w:val="BookTitle"/>
          <w:rFonts w:ascii="Times New Roman" w:hAnsi="Times New Roman"/>
          <w:b w:val="0"/>
          <w:spacing w:val="0"/>
          <w:sz w:val="22"/>
          <w:szCs w:val="22"/>
          <w:lang w:val="en-GB"/>
        </w:rPr>
        <w:t xml:space="preserve"> </w:t>
      </w:r>
      <w:proofErr w:type="gramStart"/>
      <w:r w:rsidR="004045FD">
        <w:rPr>
          <w:rStyle w:val="BookTitle"/>
          <w:rFonts w:ascii="Times New Roman" w:hAnsi="Times New Roman"/>
          <w:b w:val="0"/>
          <w:spacing w:val="0"/>
          <w:sz w:val="22"/>
          <w:szCs w:val="22"/>
          <w:lang w:val="en-GB"/>
        </w:rPr>
        <w:t xml:space="preserve">in order </w:t>
      </w:r>
      <w:r w:rsidR="00350198" w:rsidRPr="00972203">
        <w:rPr>
          <w:rStyle w:val="BookTitle"/>
          <w:rFonts w:ascii="Times New Roman" w:hAnsi="Times New Roman"/>
          <w:b w:val="0"/>
          <w:spacing w:val="0"/>
          <w:sz w:val="22"/>
          <w:szCs w:val="22"/>
          <w:lang w:val="en-GB"/>
        </w:rPr>
        <w:t>to</w:t>
      </w:r>
      <w:proofErr w:type="gramEnd"/>
      <w:r w:rsidR="00350198" w:rsidRPr="00972203">
        <w:rPr>
          <w:rStyle w:val="BookTitle"/>
          <w:rFonts w:ascii="Times New Roman" w:hAnsi="Times New Roman"/>
          <w:b w:val="0"/>
          <w:spacing w:val="0"/>
          <w:sz w:val="22"/>
          <w:szCs w:val="22"/>
          <w:lang w:val="en-GB"/>
        </w:rPr>
        <w:t xml:space="preserve"> select a pool of suitable CO</w:t>
      </w:r>
      <w:r w:rsidR="00350198" w:rsidRPr="00972203">
        <w:rPr>
          <w:rStyle w:val="BookTitle"/>
          <w:rFonts w:ascii="Times New Roman" w:hAnsi="Times New Roman"/>
          <w:b w:val="0"/>
          <w:spacing w:val="0"/>
          <w:sz w:val="22"/>
          <w:szCs w:val="22"/>
          <w:vertAlign w:val="subscript"/>
          <w:lang w:val="en-GB"/>
        </w:rPr>
        <w:t>2</w:t>
      </w:r>
      <w:r w:rsidR="00350198" w:rsidRPr="00972203">
        <w:rPr>
          <w:rStyle w:val="BookTitle"/>
          <w:rFonts w:ascii="Times New Roman" w:hAnsi="Times New Roman"/>
          <w:b w:val="0"/>
          <w:spacing w:val="0"/>
          <w:sz w:val="22"/>
          <w:szCs w:val="22"/>
          <w:lang w:val="en-GB"/>
        </w:rPr>
        <w:t xml:space="preserve"> storage sites.</w:t>
      </w:r>
      <w:r w:rsidR="00350198">
        <w:rPr>
          <w:rStyle w:val="BookTitle"/>
          <w:rFonts w:ascii="Times New Roman" w:hAnsi="Times New Roman"/>
          <w:b w:val="0"/>
          <w:spacing w:val="0"/>
          <w:sz w:val="22"/>
          <w:szCs w:val="22"/>
          <w:lang w:val="en-GB"/>
        </w:rPr>
        <w:t xml:space="preserve"> This</w:t>
      </w:r>
      <w:r w:rsidR="00A662F3">
        <w:rPr>
          <w:rStyle w:val="BookTitle"/>
          <w:rFonts w:ascii="Times New Roman" w:hAnsi="Times New Roman"/>
          <w:b w:val="0"/>
          <w:spacing w:val="0"/>
          <w:sz w:val="22"/>
          <w:szCs w:val="22"/>
          <w:lang w:val="en-GB"/>
        </w:rPr>
        <w:t xml:space="preserve"> methodology includes the</w:t>
      </w:r>
      <w:r w:rsidR="006D74FB">
        <w:rPr>
          <w:rStyle w:val="BookTitle"/>
          <w:rFonts w:ascii="Times New Roman" w:hAnsi="Times New Roman"/>
          <w:b w:val="0"/>
          <w:spacing w:val="0"/>
          <w:sz w:val="22"/>
          <w:szCs w:val="22"/>
          <w:lang w:val="en-GB"/>
        </w:rPr>
        <w:t xml:space="preserve"> two-staged approach suggested </w:t>
      </w:r>
      <w:r w:rsidR="004045FD">
        <w:rPr>
          <w:rStyle w:val="BookTitle"/>
          <w:rFonts w:ascii="Times New Roman" w:hAnsi="Times New Roman"/>
          <w:b w:val="0"/>
          <w:spacing w:val="0"/>
          <w:sz w:val="22"/>
          <w:szCs w:val="22"/>
          <w:lang w:val="en-GB"/>
        </w:rPr>
        <w:t xml:space="preserve">by </w:t>
      </w:r>
      <w:proofErr w:type="spellStart"/>
      <w:r w:rsidR="006D74FB">
        <w:rPr>
          <w:rStyle w:val="BookTitle"/>
          <w:rFonts w:ascii="Times New Roman" w:hAnsi="Times New Roman"/>
          <w:b w:val="0"/>
          <w:spacing w:val="0"/>
          <w:sz w:val="22"/>
          <w:szCs w:val="22"/>
          <w:lang w:val="en-GB"/>
        </w:rPr>
        <w:t>Grataloup</w:t>
      </w:r>
      <w:proofErr w:type="spellEnd"/>
      <w:r w:rsidR="006D74FB">
        <w:rPr>
          <w:rStyle w:val="BookTitle"/>
          <w:rFonts w:ascii="Times New Roman" w:hAnsi="Times New Roman"/>
          <w:b w:val="0"/>
          <w:spacing w:val="0"/>
          <w:sz w:val="22"/>
          <w:szCs w:val="22"/>
          <w:lang w:val="en-GB"/>
        </w:rPr>
        <w:t xml:space="preserve"> et al. </w:t>
      </w:r>
      <w:r w:rsidR="004250D7">
        <w:rPr>
          <w:rStyle w:val="BookTitle"/>
          <w:rFonts w:ascii="Times New Roman" w:hAnsi="Times New Roman"/>
          <w:b w:val="0"/>
          <w:spacing w:val="0"/>
        </w:rPr>
        <w:fldChar w:fldCharType="begin" w:fldLock="1"/>
      </w:r>
      <w:r w:rsidR="009D58AA">
        <w:rPr>
          <w:rStyle w:val="BookTitle"/>
          <w:rFonts w:ascii="Times New Roman" w:hAnsi="Times New Roman"/>
          <w:b w:val="0"/>
          <w:spacing w:val="0"/>
          <w:sz w:val="22"/>
          <w:szCs w:val="22"/>
          <w:lang w:val="en-GB"/>
        </w:rPr>
        <w:instrText>ADDIN CSL_CITATION {"citationItems":[{"id":"ITEM-1","itemData":{"DOI":"10.1016/j.egypro.2009.02.068","ISSN":"18766102","abstract":"Site selection is a fundamental step, which can condition the success of a CO2 geological storage. A CO2 storage has to gather several targets, which can be expressed through a list of criteria. In the proposed site selection methodology, these criteria can be classified into \"killer criteria\" and \"site-qualification criteria\", whose combinations allow identifying potential sites and the most appropriate one(s). This multicriteria methodology is applied on the PICOREF study area, located in the Paris Basin, on which potential site(s) in deep saline aquifers are investigated. © 2009 Elsevier Ltd. All rights reserved.","author":[{"dropping-particle":"","family":"Grataloup","given":"Sandrine","non-dropping-particle":"","parse-names":false,"suffix":""},{"dropping-particle":"","family":"Bonijoly","given":"Didier","non-dropping-particle":"","parse-names":false,"suffix":""},{"dropping-particle":"","family":"Brosse","given":"Etienne","non-dropping-particle":"","parse-names":false,"suffix":""},{"dropping-particle":"","family":"Dreux","given":"Rémi","non-dropping-particle":"","parse-names":false,"suffix":""},{"dropping-particle":"","family":"Garcia","given":"Daniel","non-dropping-particle":"","parse-names":false,"suffix":""},{"dropping-particle":"","family":"Hasanov","given":"Vladimir","non-dropping-particle":"","parse-names":false,"suffix":""},{"dropping-particle":"","family":"Lescanne","given":"Marc","non-dropping-particle":"","parse-names":false,"suffix":""},{"dropping-particle":"","family":"Renoux","given":"Patrick","non-dropping-particle":"","parse-names":false,"suffix":""},{"dropping-particle":"","family":"Thoraval","given":"Alain","non-dropping-particle":"","parse-names":false,"suffix":""}],"container-title":"Energy Procedia","id":"ITEM-1","issue":"1","issued":{"date-parts":[["2009"]]},"page":"2929-2936","publisher":"Elsevier","title":"A site selection methodology for CO2 underground storage in deep saline aquifers: case of the Paris Basin","type":"article-journal","volume":"1"},"uris":["http://www.mendeley.com/documents/?uuid=47e13756-6f49-40fc-a221-c31da84959f3"]}],"mendeley":{"formattedCitation":"(Grataloup et al., 2009)","plainTextFormattedCitation":"(Grataloup et al., 2009)","previouslyFormattedCitation":"(Grataloup et al., 2009)"},"properties":{"noteIndex":0},"schema":"https://github.com/citation-style-language/schema/raw/master/csl-citation.json"}</w:instrText>
      </w:r>
      <w:r w:rsidR="004250D7">
        <w:rPr>
          <w:rStyle w:val="BookTitle"/>
          <w:rFonts w:ascii="Times New Roman" w:hAnsi="Times New Roman"/>
          <w:b w:val="0"/>
          <w:spacing w:val="0"/>
        </w:rPr>
        <w:fldChar w:fldCharType="separate"/>
      </w:r>
      <w:r w:rsidR="00C01E2D" w:rsidRPr="00C01E2D">
        <w:rPr>
          <w:rStyle w:val="BookTitle"/>
          <w:rFonts w:ascii="Times New Roman" w:hAnsi="Times New Roman"/>
          <w:b w:val="0"/>
          <w:noProof/>
          <w:spacing w:val="0"/>
          <w:sz w:val="22"/>
          <w:szCs w:val="22"/>
          <w:lang w:val="en-GB"/>
        </w:rPr>
        <w:t>(Grataloup et al., 2009)</w:t>
      </w:r>
      <w:r w:rsidR="004250D7">
        <w:rPr>
          <w:rStyle w:val="BookTitle"/>
          <w:rFonts w:ascii="Times New Roman" w:hAnsi="Times New Roman"/>
          <w:b w:val="0"/>
          <w:spacing w:val="0"/>
        </w:rPr>
        <w:fldChar w:fldCharType="end"/>
      </w:r>
      <w:r w:rsidR="004250D7">
        <w:rPr>
          <w:rStyle w:val="BookTitle"/>
          <w:rFonts w:ascii="Times New Roman" w:hAnsi="Times New Roman"/>
          <w:b w:val="0"/>
          <w:spacing w:val="0"/>
          <w:sz w:val="22"/>
          <w:szCs w:val="22"/>
          <w:lang w:val="en-GB"/>
        </w:rPr>
        <w:t xml:space="preserve">, but </w:t>
      </w:r>
      <w:r w:rsidR="00D559AB">
        <w:rPr>
          <w:rStyle w:val="BookTitle"/>
          <w:rFonts w:ascii="Times New Roman" w:hAnsi="Times New Roman"/>
          <w:b w:val="0"/>
          <w:spacing w:val="0"/>
          <w:sz w:val="22"/>
          <w:szCs w:val="22"/>
          <w:lang w:val="en-GB"/>
        </w:rPr>
        <w:t>importantly</w:t>
      </w:r>
      <w:r w:rsidR="00A662F3">
        <w:rPr>
          <w:rStyle w:val="BookTitle"/>
          <w:rFonts w:ascii="Times New Roman" w:hAnsi="Times New Roman"/>
          <w:b w:val="0"/>
          <w:spacing w:val="0"/>
          <w:sz w:val="22"/>
          <w:szCs w:val="22"/>
          <w:lang w:val="en-GB"/>
        </w:rPr>
        <w:t xml:space="preserve"> incorporates two more stages and a quantitative multi-criteria decision-making process, to handle the numerous variables</w:t>
      </w:r>
      <w:r w:rsidR="00350198">
        <w:rPr>
          <w:rStyle w:val="BookTitle"/>
          <w:rFonts w:ascii="Times New Roman" w:hAnsi="Times New Roman"/>
          <w:b w:val="0"/>
          <w:spacing w:val="0"/>
          <w:sz w:val="22"/>
          <w:szCs w:val="22"/>
          <w:lang w:val="en-GB"/>
        </w:rPr>
        <w:t xml:space="preserve">. </w:t>
      </w:r>
      <w:r w:rsidR="00A662F3" w:rsidRPr="00972203">
        <w:rPr>
          <w:rStyle w:val="BookTitle"/>
          <w:rFonts w:ascii="Times New Roman" w:hAnsi="Times New Roman"/>
          <w:b w:val="0"/>
          <w:spacing w:val="0"/>
          <w:sz w:val="22"/>
          <w:szCs w:val="22"/>
          <w:lang w:val="en-GB"/>
        </w:rPr>
        <w:t>Our methodology adapts the conclusions and learnings from the SSAP project to the characteristics and needs of the Acorn project</w:t>
      </w:r>
      <w:r w:rsidR="002B78D5">
        <w:rPr>
          <w:rStyle w:val="BookTitle"/>
          <w:rFonts w:ascii="Times New Roman" w:hAnsi="Times New Roman"/>
          <w:b w:val="0"/>
          <w:spacing w:val="0"/>
          <w:sz w:val="22"/>
          <w:szCs w:val="22"/>
          <w:lang w:val="en-GB"/>
        </w:rPr>
        <w:t xml:space="preserve"> </w:t>
      </w:r>
      <w:r w:rsidR="002B78D5">
        <w:rPr>
          <w:rStyle w:val="BookTitle"/>
          <w:rFonts w:ascii="Times New Roman" w:hAnsi="Times New Roman"/>
          <w:b w:val="0"/>
          <w:spacing w:val="0"/>
          <w:sz w:val="22"/>
          <w:szCs w:val="22"/>
          <w:lang w:val="en-GB"/>
        </w:rPr>
        <w:fldChar w:fldCharType="begin" w:fldLock="1"/>
      </w:r>
      <w:r w:rsidR="00467ADF">
        <w:rPr>
          <w:rStyle w:val="BookTitle"/>
          <w:rFonts w:ascii="Times New Roman" w:hAnsi="Times New Roman"/>
          <w:b w:val="0"/>
          <w:spacing w:val="0"/>
          <w:sz w:val="22"/>
          <w:szCs w:val="22"/>
          <w:lang w:val="en-GB"/>
        </w:rPr>
        <w:instrText>ADDIN CSL_CITATION {"citationItems":[{"id":"ITEM-1","itemData":{"URL":"https://actacorn.eu/sites/default/files/ACT Acorn Site Selection Report 1.0_0.pdf","accessed":{"date-parts":[["2020","8","14"]]},"author":[{"dropping-particle":"","family":"ACT Acorn","given":"","non-dropping-particle":"","parse-names":false,"suffix":""}],"container-title":"10196ACTC Rep 08 01 - Site Selection Report","id":"ITEM-1","issued":{"date-parts":[["2018"]]},"page":"77","title":"Site selection report","type":"webpage"},"uris":["http://www.mendeley.com/documents/?uuid=3f8db46c-45c7-4209-a7ee-4154ddd76f32"]}],"mendeley":{"formattedCitation":"(ACT Acorn, 2018a)","plainTextFormattedCitation":"(ACT Acorn, 2018a)","previouslyFormattedCitation":"(ACT Acorn, 2018a)"},"properties":{"noteIndex":0},"schema":"https://github.com/citation-style-language/schema/raw/master/csl-citation.json"}</w:instrText>
      </w:r>
      <w:r w:rsidR="002B78D5">
        <w:rPr>
          <w:rStyle w:val="BookTitle"/>
          <w:rFonts w:ascii="Times New Roman" w:hAnsi="Times New Roman"/>
          <w:b w:val="0"/>
          <w:spacing w:val="0"/>
          <w:sz w:val="22"/>
          <w:szCs w:val="22"/>
          <w:lang w:val="en-GB"/>
        </w:rPr>
        <w:fldChar w:fldCharType="separate"/>
      </w:r>
      <w:r w:rsidR="002B78D5" w:rsidRPr="002B78D5">
        <w:rPr>
          <w:rStyle w:val="BookTitle"/>
          <w:rFonts w:ascii="Times New Roman" w:hAnsi="Times New Roman"/>
          <w:b w:val="0"/>
          <w:noProof/>
          <w:spacing w:val="0"/>
          <w:sz w:val="22"/>
          <w:szCs w:val="22"/>
          <w:lang w:val="en-GB"/>
        </w:rPr>
        <w:t>(ACT Acorn, 2018a)</w:t>
      </w:r>
      <w:r w:rsidR="002B78D5">
        <w:rPr>
          <w:rStyle w:val="BookTitle"/>
          <w:rFonts w:ascii="Times New Roman" w:hAnsi="Times New Roman"/>
          <w:b w:val="0"/>
          <w:spacing w:val="0"/>
          <w:sz w:val="22"/>
          <w:szCs w:val="22"/>
          <w:lang w:val="en-GB"/>
        </w:rPr>
        <w:fldChar w:fldCharType="end"/>
      </w:r>
      <w:r w:rsidR="00A662F3" w:rsidRPr="00972203">
        <w:rPr>
          <w:rStyle w:val="BookTitle"/>
          <w:rFonts w:ascii="Times New Roman" w:hAnsi="Times New Roman"/>
          <w:b w:val="0"/>
          <w:spacing w:val="0"/>
          <w:sz w:val="22"/>
          <w:szCs w:val="22"/>
          <w:lang w:val="en-GB"/>
        </w:rPr>
        <w:t xml:space="preserve">, </w:t>
      </w:r>
      <w:r w:rsidR="00D559AB">
        <w:rPr>
          <w:rStyle w:val="BookTitle"/>
          <w:rFonts w:ascii="Times New Roman" w:hAnsi="Times New Roman"/>
          <w:b w:val="0"/>
          <w:spacing w:val="0"/>
          <w:sz w:val="22"/>
          <w:szCs w:val="22"/>
          <w:lang w:val="en-GB"/>
        </w:rPr>
        <w:t>and</w:t>
      </w:r>
      <w:r w:rsidR="00A662F3" w:rsidRPr="00972203">
        <w:rPr>
          <w:rStyle w:val="BookTitle"/>
          <w:rFonts w:ascii="Times New Roman" w:hAnsi="Times New Roman"/>
          <w:b w:val="0"/>
          <w:spacing w:val="0"/>
          <w:sz w:val="22"/>
          <w:szCs w:val="22"/>
          <w:lang w:val="en-GB"/>
        </w:rPr>
        <w:t xml:space="preserve"> also complies with the international standard for CCS </w:t>
      </w:r>
      <w:r w:rsidR="00A662F3" w:rsidRPr="00972203">
        <w:rPr>
          <w:rStyle w:val="BookTitle"/>
          <w:rFonts w:ascii="Times New Roman" w:hAnsi="Times New Roman"/>
          <w:b w:val="0"/>
          <w:spacing w:val="0"/>
        </w:rPr>
        <w:fldChar w:fldCharType="begin" w:fldLock="1"/>
      </w:r>
      <w:r w:rsidR="009D58AA">
        <w:rPr>
          <w:rStyle w:val="BookTitle"/>
          <w:rFonts w:ascii="Times New Roman" w:hAnsi="Times New Roman"/>
          <w:b w:val="0"/>
          <w:spacing w:val="0"/>
          <w:sz w:val="22"/>
          <w:szCs w:val="22"/>
          <w:lang w:val="en-GB"/>
        </w:rPr>
        <w:instrText>ADDIN CSL_CITATION {"citationItems":[{"id":"ITEM-1","itemData":{"author":[{"dropping-particle":"","family":"ISO 27914","given":"","non-dropping-particle":"","parse-names":false,"suffix":""}],"id":"ITEM-1","issued":{"date-parts":[["2017"]]},"number-of-pages":"74","title":"Carbon dioxide capture, transportation and geological storage — Geological storage","type":"report"},"uris":["http://www.mendeley.com/documents/?uuid=225b6815-1e47-4153-8d15-2c2a6f0708d2"]}],"mendeley":{"formattedCitation":"(ISO 27914, 2017)","plainTextFormattedCitation":"(ISO 27914, 2017)","previouslyFormattedCitation":"(ISO 27914, 2017)"},"properties":{"noteIndex":0},"schema":"https://github.com/citation-style-language/schema/raw/master/csl-citation.json"}</w:instrText>
      </w:r>
      <w:r w:rsidR="00A662F3" w:rsidRPr="00972203">
        <w:rPr>
          <w:rStyle w:val="BookTitle"/>
          <w:rFonts w:ascii="Times New Roman" w:hAnsi="Times New Roman"/>
          <w:b w:val="0"/>
          <w:spacing w:val="0"/>
        </w:rPr>
        <w:fldChar w:fldCharType="separate"/>
      </w:r>
      <w:r w:rsidR="00C01E2D" w:rsidRPr="00C01E2D">
        <w:rPr>
          <w:rStyle w:val="BookTitle"/>
          <w:rFonts w:ascii="Times New Roman" w:hAnsi="Times New Roman"/>
          <w:b w:val="0"/>
          <w:noProof/>
          <w:spacing w:val="0"/>
          <w:sz w:val="22"/>
          <w:szCs w:val="22"/>
          <w:lang w:val="en-GB"/>
        </w:rPr>
        <w:t>(ISO 27914, 2017)</w:t>
      </w:r>
      <w:r w:rsidR="00A662F3" w:rsidRPr="00972203">
        <w:rPr>
          <w:rStyle w:val="BookTitle"/>
          <w:rFonts w:ascii="Times New Roman" w:hAnsi="Times New Roman"/>
          <w:b w:val="0"/>
          <w:spacing w:val="0"/>
        </w:rPr>
        <w:fldChar w:fldCharType="end"/>
      </w:r>
      <w:r w:rsidR="00D559AB">
        <w:rPr>
          <w:rStyle w:val="BookTitle"/>
          <w:rFonts w:ascii="Times New Roman" w:hAnsi="Times New Roman"/>
          <w:b w:val="0"/>
          <w:spacing w:val="0"/>
        </w:rPr>
        <w:t xml:space="preserve">, </w:t>
      </w:r>
      <w:r w:rsidR="00D559AB" w:rsidRPr="00D559AB">
        <w:rPr>
          <w:rStyle w:val="BookTitle"/>
          <w:rFonts w:ascii="Times New Roman" w:hAnsi="Times New Roman"/>
          <w:b w:val="0"/>
          <w:spacing w:val="0"/>
          <w:sz w:val="22"/>
          <w:szCs w:val="22"/>
        </w:rPr>
        <w:t xml:space="preserve">which provide recommendations </w:t>
      </w:r>
      <w:r w:rsidR="00D559AB">
        <w:rPr>
          <w:rStyle w:val="BookTitle"/>
          <w:rFonts w:ascii="Times New Roman" w:hAnsi="Times New Roman"/>
          <w:b w:val="0"/>
          <w:spacing w:val="0"/>
          <w:sz w:val="22"/>
          <w:szCs w:val="22"/>
        </w:rPr>
        <w:t xml:space="preserve">and best practices </w:t>
      </w:r>
      <w:r w:rsidR="00D559AB" w:rsidRPr="00D559AB">
        <w:rPr>
          <w:rStyle w:val="BookTitle"/>
          <w:rFonts w:ascii="Times New Roman" w:hAnsi="Times New Roman"/>
          <w:b w:val="0"/>
          <w:spacing w:val="0"/>
          <w:sz w:val="22"/>
          <w:szCs w:val="22"/>
        </w:rPr>
        <w:t>for the safe and effective storage of CO</w:t>
      </w:r>
      <w:r w:rsidR="00D559AB" w:rsidRPr="00D559AB">
        <w:rPr>
          <w:rStyle w:val="BookTitle"/>
          <w:rFonts w:ascii="Times New Roman" w:hAnsi="Times New Roman"/>
          <w:b w:val="0"/>
          <w:spacing w:val="0"/>
          <w:sz w:val="22"/>
          <w:szCs w:val="22"/>
          <w:vertAlign w:val="subscript"/>
        </w:rPr>
        <w:t>2</w:t>
      </w:r>
      <w:r w:rsidR="00A662F3" w:rsidRPr="00D559AB">
        <w:rPr>
          <w:rStyle w:val="BookTitle"/>
          <w:rFonts w:ascii="Times New Roman" w:hAnsi="Times New Roman"/>
          <w:b w:val="0"/>
          <w:spacing w:val="0"/>
          <w:sz w:val="22"/>
          <w:szCs w:val="22"/>
          <w:lang w:val="en-GB"/>
        </w:rPr>
        <w:t>.</w:t>
      </w:r>
    </w:p>
    <w:p w14:paraId="13F86111" w14:textId="77777777" w:rsidR="0023183D" w:rsidRPr="00972203" w:rsidRDefault="009965CE" w:rsidP="002B2A02">
      <w:pPr>
        <w:pStyle w:val="Heading1"/>
        <w:rPr>
          <w:rStyle w:val="BookTitle"/>
          <w:rFonts w:ascii="Times New Roman" w:hAnsi="Times New Roman"/>
          <w:b/>
          <w:bCs w:val="0"/>
          <w:iCs w:val="0"/>
          <w:spacing w:val="0"/>
        </w:rPr>
      </w:pPr>
      <w:r w:rsidRPr="00972203">
        <w:rPr>
          <w:rStyle w:val="BookTitle"/>
          <w:rFonts w:ascii="Times New Roman" w:hAnsi="Times New Roman"/>
          <w:b/>
          <w:bCs w:val="0"/>
          <w:iCs w:val="0"/>
          <w:spacing w:val="0"/>
        </w:rPr>
        <w:t>Methodology</w:t>
      </w:r>
    </w:p>
    <w:p w14:paraId="632718B2" w14:textId="376B1A7A" w:rsidR="008E5D9F" w:rsidRPr="00972203" w:rsidRDefault="00350198" w:rsidP="00CC4BCA">
      <w:pPr>
        <w:pStyle w:val="BodyText"/>
        <w:spacing w:after="120" w:line="276" w:lineRule="auto"/>
        <w:rPr>
          <w:rStyle w:val="BookTitle"/>
          <w:rFonts w:ascii="Times New Roman" w:hAnsi="Times New Roman"/>
          <w:b w:val="0"/>
          <w:spacing w:val="0"/>
          <w:sz w:val="22"/>
          <w:szCs w:val="22"/>
          <w:lang w:val="en-GB"/>
        </w:rPr>
      </w:pPr>
      <w:r w:rsidRPr="00972203">
        <w:rPr>
          <w:rStyle w:val="BookTitle"/>
          <w:rFonts w:ascii="Times New Roman" w:hAnsi="Times New Roman"/>
          <w:b w:val="0"/>
          <w:spacing w:val="0"/>
          <w:sz w:val="22"/>
          <w:szCs w:val="22"/>
          <w:lang w:val="en-GB"/>
        </w:rPr>
        <w:t>Th</w:t>
      </w:r>
      <w:r>
        <w:rPr>
          <w:rStyle w:val="BookTitle"/>
          <w:rFonts w:ascii="Times New Roman" w:hAnsi="Times New Roman"/>
          <w:b w:val="0"/>
          <w:spacing w:val="0"/>
          <w:sz w:val="22"/>
          <w:szCs w:val="22"/>
          <w:lang w:val="en-GB"/>
        </w:rPr>
        <w:t>e</w:t>
      </w:r>
      <w:r w:rsidRPr="00972203">
        <w:rPr>
          <w:rStyle w:val="BookTitle"/>
          <w:rFonts w:ascii="Times New Roman" w:hAnsi="Times New Roman"/>
          <w:b w:val="0"/>
          <w:spacing w:val="0"/>
          <w:sz w:val="22"/>
          <w:szCs w:val="22"/>
          <w:lang w:val="en-GB"/>
        </w:rPr>
        <w:t xml:space="preserve"> </w:t>
      </w:r>
      <w:r w:rsidR="00636C4C">
        <w:rPr>
          <w:rStyle w:val="BookTitle"/>
          <w:rFonts w:ascii="Times New Roman" w:hAnsi="Times New Roman"/>
          <w:b w:val="0"/>
          <w:spacing w:val="0"/>
          <w:sz w:val="22"/>
          <w:szCs w:val="22"/>
          <w:lang w:val="en-GB"/>
        </w:rPr>
        <w:t xml:space="preserve">criteria-driven </w:t>
      </w:r>
      <w:r w:rsidR="00C80C8F" w:rsidRPr="00972203">
        <w:rPr>
          <w:rStyle w:val="BookTitle"/>
          <w:rFonts w:ascii="Times New Roman" w:hAnsi="Times New Roman"/>
          <w:b w:val="0"/>
          <w:spacing w:val="0"/>
          <w:sz w:val="22"/>
          <w:szCs w:val="22"/>
          <w:lang w:val="en-GB"/>
        </w:rPr>
        <w:t>workflow</w:t>
      </w:r>
      <w:r w:rsidR="00BA7D97" w:rsidRPr="00972203">
        <w:rPr>
          <w:rStyle w:val="BookTitle"/>
          <w:rFonts w:ascii="Times New Roman" w:hAnsi="Times New Roman"/>
          <w:b w:val="0"/>
          <w:spacing w:val="0"/>
          <w:sz w:val="22"/>
          <w:szCs w:val="22"/>
          <w:lang w:val="en-GB"/>
        </w:rPr>
        <w:t xml:space="preserve"> </w:t>
      </w:r>
      <w:r>
        <w:rPr>
          <w:rStyle w:val="BookTitle"/>
          <w:rFonts w:ascii="Times New Roman" w:hAnsi="Times New Roman"/>
          <w:b w:val="0"/>
          <w:spacing w:val="0"/>
          <w:sz w:val="22"/>
          <w:szCs w:val="22"/>
          <w:lang w:val="en-GB"/>
        </w:rPr>
        <w:t xml:space="preserve">employed in this work </w:t>
      </w:r>
      <w:r w:rsidR="00AB6B91" w:rsidRPr="00972203">
        <w:rPr>
          <w:rStyle w:val="BookTitle"/>
          <w:rFonts w:ascii="Times New Roman" w:hAnsi="Times New Roman"/>
          <w:b w:val="0"/>
          <w:spacing w:val="0"/>
          <w:sz w:val="22"/>
          <w:szCs w:val="22"/>
          <w:lang w:val="en-GB"/>
        </w:rPr>
        <w:t>in</w:t>
      </w:r>
      <w:r w:rsidR="00CB646F" w:rsidRPr="00972203">
        <w:rPr>
          <w:rStyle w:val="BookTitle"/>
          <w:rFonts w:ascii="Times New Roman" w:hAnsi="Times New Roman"/>
          <w:b w:val="0"/>
          <w:spacing w:val="0"/>
          <w:sz w:val="22"/>
          <w:szCs w:val="22"/>
          <w:lang w:val="en-GB"/>
        </w:rPr>
        <w:t>volve</w:t>
      </w:r>
      <w:r w:rsidR="00AB6B91" w:rsidRPr="00972203">
        <w:rPr>
          <w:rStyle w:val="BookTitle"/>
          <w:rFonts w:ascii="Times New Roman" w:hAnsi="Times New Roman"/>
          <w:b w:val="0"/>
          <w:spacing w:val="0"/>
          <w:sz w:val="22"/>
          <w:szCs w:val="22"/>
          <w:lang w:val="en-GB"/>
        </w:rPr>
        <w:t>s</w:t>
      </w:r>
      <w:r w:rsidR="00CB646F" w:rsidRPr="00972203">
        <w:rPr>
          <w:rStyle w:val="BookTitle"/>
          <w:rFonts w:ascii="Times New Roman" w:hAnsi="Times New Roman"/>
          <w:b w:val="0"/>
          <w:spacing w:val="0"/>
          <w:sz w:val="22"/>
          <w:szCs w:val="22"/>
          <w:lang w:val="en-GB"/>
        </w:rPr>
        <w:t xml:space="preserve"> the selection of a </w:t>
      </w:r>
      <w:r w:rsidR="00F426EC" w:rsidRPr="00972203">
        <w:rPr>
          <w:rStyle w:val="BookTitle"/>
          <w:rFonts w:ascii="Times New Roman" w:hAnsi="Times New Roman"/>
          <w:b w:val="0"/>
          <w:spacing w:val="0"/>
          <w:sz w:val="22"/>
          <w:szCs w:val="22"/>
          <w:lang w:val="en-GB"/>
        </w:rPr>
        <w:t xml:space="preserve">suitable </w:t>
      </w:r>
      <w:r w:rsidR="00CB646F" w:rsidRPr="00972203">
        <w:rPr>
          <w:rStyle w:val="BookTitle"/>
          <w:rFonts w:ascii="Times New Roman" w:hAnsi="Times New Roman"/>
          <w:b w:val="0"/>
          <w:spacing w:val="0"/>
          <w:sz w:val="22"/>
          <w:szCs w:val="22"/>
          <w:lang w:val="en-GB"/>
        </w:rPr>
        <w:t>site</w:t>
      </w:r>
      <w:r w:rsidR="00F426EC" w:rsidRPr="00972203">
        <w:rPr>
          <w:rStyle w:val="BookTitle"/>
          <w:rFonts w:ascii="Times New Roman" w:hAnsi="Times New Roman"/>
          <w:b w:val="0"/>
          <w:spacing w:val="0"/>
          <w:sz w:val="22"/>
          <w:szCs w:val="22"/>
          <w:lang w:val="en-GB"/>
        </w:rPr>
        <w:t xml:space="preserve"> according to </w:t>
      </w:r>
      <w:r w:rsidR="0006693B">
        <w:rPr>
          <w:rStyle w:val="BookTitle"/>
          <w:rFonts w:ascii="Times New Roman" w:hAnsi="Times New Roman"/>
          <w:b w:val="0"/>
          <w:spacing w:val="0"/>
          <w:sz w:val="22"/>
          <w:szCs w:val="22"/>
          <w:lang w:val="en-GB"/>
        </w:rPr>
        <w:t>general</w:t>
      </w:r>
      <w:r w:rsidR="00E457FB" w:rsidRPr="00972203">
        <w:rPr>
          <w:rStyle w:val="BookTitle"/>
          <w:rFonts w:ascii="Times New Roman" w:hAnsi="Times New Roman"/>
          <w:b w:val="0"/>
          <w:spacing w:val="0"/>
          <w:sz w:val="22"/>
          <w:szCs w:val="22"/>
          <w:lang w:val="en-GB"/>
        </w:rPr>
        <w:t xml:space="preserve"> </w:t>
      </w:r>
      <w:r w:rsidR="00CB646F" w:rsidRPr="00972203">
        <w:rPr>
          <w:rStyle w:val="BookTitle"/>
          <w:rFonts w:ascii="Times New Roman" w:hAnsi="Times New Roman"/>
          <w:b w:val="0"/>
          <w:spacing w:val="0"/>
          <w:sz w:val="22"/>
          <w:szCs w:val="22"/>
          <w:lang w:val="en-GB"/>
        </w:rPr>
        <w:t xml:space="preserve">requirements </w:t>
      </w:r>
      <w:r w:rsidR="003F19C4" w:rsidRPr="00972203">
        <w:rPr>
          <w:rStyle w:val="BookTitle"/>
          <w:rFonts w:ascii="Times New Roman" w:hAnsi="Times New Roman"/>
          <w:b w:val="0"/>
          <w:spacing w:val="0"/>
          <w:sz w:val="22"/>
          <w:szCs w:val="22"/>
          <w:lang w:val="en-GB"/>
        </w:rPr>
        <w:t xml:space="preserve">(e.g. great capacity and injectivity, </w:t>
      </w:r>
      <w:r w:rsidR="00D559AB">
        <w:rPr>
          <w:rStyle w:val="BookTitle"/>
          <w:rFonts w:ascii="Times New Roman" w:hAnsi="Times New Roman"/>
          <w:b w:val="0"/>
          <w:spacing w:val="0"/>
          <w:sz w:val="22"/>
          <w:szCs w:val="22"/>
          <w:lang w:val="en-GB"/>
        </w:rPr>
        <w:t>low</w:t>
      </w:r>
      <w:r w:rsidR="00907392" w:rsidRPr="00972203">
        <w:rPr>
          <w:rStyle w:val="BookTitle"/>
          <w:rFonts w:ascii="Times New Roman" w:hAnsi="Times New Roman"/>
          <w:b w:val="0"/>
          <w:spacing w:val="0"/>
          <w:sz w:val="22"/>
          <w:szCs w:val="22"/>
          <w:lang w:val="en-GB"/>
        </w:rPr>
        <w:t xml:space="preserve"> containment risk, </w:t>
      </w:r>
      <w:r w:rsidR="00D559AB">
        <w:rPr>
          <w:rStyle w:val="BookTitle"/>
          <w:rFonts w:ascii="Times New Roman" w:hAnsi="Times New Roman"/>
          <w:b w:val="0"/>
          <w:spacing w:val="0"/>
          <w:sz w:val="22"/>
          <w:szCs w:val="22"/>
          <w:lang w:val="en-GB"/>
        </w:rPr>
        <w:t>low</w:t>
      </w:r>
      <w:r w:rsidR="00907392" w:rsidRPr="00972203">
        <w:rPr>
          <w:rStyle w:val="BookTitle"/>
          <w:rFonts w:ascii="Times New Roman" w:hAnsi="Times New Roman"/>
          <w:b w:val="0"/>
          <w:spacing w:val="0"/>
          <w:sz w:val="22"/>
          <w:szCs w:val="22"/>
          <w:lang w:val="en-GB"/>
        </w:rPr>
        <w:t xml:space="preserve"> costs and stakeholder support) </w:t>
      </w:r>
      <w:r w:rsidR="004C571D" w:rsidRPr="00972203">
        <w:rPr>
          <w:rStyle w:val="BookTitle"/>
          <w:rFonts w:ascii="Times New Roman" w:hAnsi="Times New Roman"/>
          <w:b w:val="0"/>
          <w:noProof/>
          <w:spacing w:val="0"/>
          <w:sz w:val="22"/>
          <w:szCs w:val="22"/>
          <w:lang w:val="en-GB"/>
        </w:rPr>
        <w:fldChar w:fldCharType="begin" w:fldLock="1"/>
      </w:r>
      <w:r w:rsidR="009D58AA">
        <w:rPr>
          <w:rStyle w:val="BookTitle"/>
          <w:rFonts w:ascii="Times New Roman" w:hAnsi="Times New Roman"/>
          <w:b w:val="0"/>
          <w:noProof/>
          <w:spacing w:val="0"/>
          <w:sz w:val="22"/>
          <w:szCs w:val="22"/>
          <w:lang w:val="en-GB"/>
        </w:rPr>
        <w:instrText>ADDIN CSL_CITATION {"citationItems":[{"id":"ITEM-1","itemData":{"DOI":"10.1016/j.egypro.2009.02.068","ISSN":"18766102","abstract":"Site selection is a fundamental step, which can condition the success of a CO2 geological storage. A CO2 storage has to gather several targets, which can be expressed through a list of criteria. In the proposed site selection methodology, these criteria can be classified into \"killer criteria\" and \"site-qualification criteria\", whose combinations allow identifying potential sites and the most appropriate one(s). This multicriteria methodology is applied on the PICOREF study area, located in the Paris Basin, on which potential site(s) in deep saline aquifers are investigated. © 2009 Elsevier Ltd. All rights reserved.","author":[{"dropping-particle":"","family":"Grataloup","given":"Sandrine","non-dropping-particle":"","parse-names":false,"suffix":""},{"dropping-particle":"","family":"Bonijoly","given":"Didier","non-dropping-particle":"","parse-names":false,"suffix":""},{"dropping-particle":"","family":"Brosse","given":"Etienne","non-dropping-particle":"","parse-names":false,"suffix":""},{"dropping-particle":"","family":"Dreux","given":"Rémi","non-dropping-particle":"","parse-names":false,"suffix":""},{"dropping-particle":"","family":"Garcia","given":"Daniel","non-dropping-particle":"","parse-names":false,"suffix":""},{"dropping-particle":"","family":"Hasanov","given":"Vladimir","non-dropping-particle":"","parse-names":false,"suffix":""},{"dropping-particle":"","family":"Lescanne","given":"Marc","non-dropping-particle":"","parse-names":false,"suffix":""},{"dropping-particle":"","family":"Renoux","given":"Patrick","non-dropping-particle":"","parse-names":false,"suffix":""},{"dropping-particle":"","family":"Thoraval","given":"Alain","non-dropping-particle":"","parse-names":false,"suffix":""}],"container-title":"Energy Procedia","id":"ITEM-1","issue":"1","issued":{"date-parts":[["2009"]]},"page":"2929-2936","publisher":"Elsevier","title":"A site selection methodology for CO2 underground storage in deep saline aquifers: case of the Paris Basin","type":"article-journal","volume":"1"},"uris":["http://www.mendeley.com/documents/?uuid=47e13756-6f49-40fc-a221-c31da84959f3"]}],"mendeley":{"formattedCitation":"(Grataloup et al., 2009)","plainTextFormattedCitation":"(Grataloup et al., 2009)","previouslyFormattedCitation":"(Grataloup et al., 2009)"},"properties":{"noteIndex":0},"schema":"https://github.com/citation-style-language/schema/raw/master/csl-citation.json"}</w:instrText>
      </w:r>
      <w:r w:rsidR="004C571D"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(Grataloup et al., 2009)</w:t>
      </w:r>
      <w:r w:rsidR="004C571D" w:rsidRPr="00972203">
        <w:rPr>
          <w:rStyle w:val="BookTitle"/>
          <w:rFonts w:ascii="Times New Roman" w:hAnsi="Times New Roman"/>
          <w:b w:val="0"/>
          <w:noProof/>
          <w:spacing w:val="0"/>
          <w:sz w:val="22"/>
          <w:szCs w:val="22"/>
          <w:lang w:val="en-GB"/>
        </w:rPr>
        <w:fldChar w:fldCharType="end"/>
      </w:r>
      <w:r w:rsidR="00907392" w:rsidRPr="00972203">
        <w:rPr>
          <w:rStyle w:val="BookTitle"/>
          <w:rFonts w:ascii="Times New Roman" w:hAnsi="Times New Roman"/>
          <w:b w:val="0"/>
          <w:spacing w:val="0"/>
          <w:sz w:val="22"/>
          <w:szCs w:val="22"/>
          <w:lang w:val="en-GB"/>
        </w:rPr>
        <w:t xml:space="preserve">, as well as </w:t>
      </w:r>
      <w:r w:rsidR="00214959" w:rsidRPr="00972203">
        <w:rPr>
          <w:rStyle w:val="BookTitle"/>
          <w:rFonts w:ascii="Times New Roman" w:hAnsi="Times New Roman"/>
          <w:b w:val="0"/>
          <w:spacing w:val="0"/>
          <w:sz w:val="22"/>
          <w:szCs w:val="22"/>
          <w:lang w:val="en-GB"/>
        </w:rPr>
        <w:t>sp</w:t>
      </w:r>
      <w:r w:rsidR="00907392" w:rsidRPr="00972203">
        <w:rPr>
          <w:rStyle w:val="BookTitle"/>
          <w:rFonts w:ascii="Times New Roman" w:hAnsi="Times New Roman"/>
          <w:b w:val="0"/>
          <w:spacing w:val="0"/>
          <w:sz w:val="22"/>
          <w:szCs w:val="22"/>
          <w:lang w:val="en-GB"/>
        </w:rPr>
        <w:t>ecific requirements</w:t>
      </w:r>
      <w:r w:rsidR="00214959" w:rsidRPr="00972203">
        <w:rPr>
          <w:rStyle w:val="BookTitle"/>
          <w:rFonts w:ascii="Times New Roman" w:hAnsi="Times New Roman"/>
          <w:b w:val="0"/>
          <w:spacing w:val="0"/>
          <w:sz w:val="22"/>
          <w:szCs w:val="22"/>
          <w:lang w:val="en-GB"/>
        </w:rPr>
        <w:t xml:space="preserve"> particular</w:t>
      </w:r>
      <w:r w:rsidR="008E5D9F" w:rsidRPr="00972203">
        <w:rPr>
          <w:rStyle w:val="BookTitle"/>
          <w:rFonts w:ascii="Times New Roman" w:hAnsi="Times New Roman"/>
          <w:b w:val="0"/>
          <w:spacing w:val="0"/>
          <w:sz w:val="22"/>
          <w:szCs w:val="22"/>
          <w:lang w:val="en-GB"/>
        </w:rPr>
        <w:t xml:space="preserve"> </w:t>
      </w:r>
      <w:r w:rsidR="00D62CA2">
        <w:rPr>
          <w:rStyle w:val="BookTitle"/>
          <w:rFonts w:ascii="Times New Roman" w:hAnsi="Times New Roman"/>
          <w:b w:val="0"/>
          <w:spacing w:val="0"/>
          <w:sz w:val="22"/>
          <w:szCs w:val="22"/>
          <w:lang w:val="en-GB"/>
        </w:rPr>
        <w:t xml:space="preserve">to </w:t>
      </w:r>
      <w:r w:rsidR="008E5D9F" w:rsidRPr="00972203">
        <w:rPr>
          <w:rStyle w:val="BookTitle"/>
          <w:rFonts w:ascii="Times New Roman" w:hAnsi="Times New Roman"/>
          <w:b w:val="0"/>
          <w:spacing w:val="0"/>
          <w:sz w:val="22"/>
          <w:szCs w:val="22"/>
          <w:lang w:val="en-GB"/>
        </w:rPr>
        <w:t>the</w:t>
      </w:r>
      <w:r w:rsidR="00214959" w:rsidRPr="00972203">
        <w:rPr>
          <w:rStyle w:val="BookTitle"/>
          <w:rFonts w:ascii="Times New Roman" w:hAnsi="Times New Roman"/>
          <w:b w:val="0"/>
          <w:spacing w:val="0"/>
          <w:sz w:val="22"/>
          <w:szCs w:val="22"/>
          <w:lang w:val="en-GB"/>
        </w:rPr>
        <w:t xml:space="preserve"> project</w:t>
      </w:r>
      <w:r w:rsidR="00907392" w:rsidRPr="00972203">
        <w:rPr>
          <w:rStyle w:val="BookTitle"/>
          <w:rFonts w:ascii="Times New Roman" w:hAnsi="Times New Roman"/>
          <w:b w:val="0"/>
          <w:spacing w:val="0"/>
          <w:sz w:val="22"/>
          <w:szCs w:val="22"/>
          <w:lang w:val="en-GB"/>
        </w:rPr>
        <w:t>.</w:t>
      </w:r>
      <w:r w:rsidR="00703EB5" w:rsidRPr="00972203">
        <w:rPr>
          <w:rStyle w:val="BookTitle"/>
          <w:rFonts w:ascii="Times New Roman" w:hAnsi="Times New Roman"/>
          <w:b w:val="0"/>
          <w:spacing w:val="0"/>
          <w:sz w:val="22"/>
          <w:szCs w:val="22"/>
          <w:lang w:val="en-GB"/>
        </w:rPr>
        <w:t xml:space="preserve"> </w:t>
      </w:r>
      <w:r w:rsidR="00A47C79" w:rsidRPr="00972203">
        <w:rPr>
          <w:rStyle w:val="BookTitle"/>
          <w:rFonts w:ascii="Times New Roman" w:hAnsi="Times New Roman"/>
          <w:b w:val="0"/>
          <w:spacing w:val="0"/>
          <w:sz w:val="22"/>
          <w:szCs w:val="22"/>
          <w:lang w:val="en-GB"/>
        </w:rPr>
        <w:t>For example, o</w:t>
      </w:r>
      <w:r w:rsidR="009619F3" w:rsidRPr="00972203">
        <w:rPr>
          <w:rStyle w:val="BookTitle"/>
          <w:rFonts w:ascii="Times New Roman" w:hAnsi="Times New Roman"/>
          <w:b w:val="0"/>
          <w:spacing w:val="0"/>
          <w:sz w:val="22"/>
          <w:szCs w:val="22"/>
          <w:lang w:val="en-GB"/>
        </w:rPr>
        <w:t xml:space="preserve">ne of the priorities of the Acorn project is to reduce the capital cost of the project by the re-use of existing infrastructures </w:t>
      </w:r>
      <w:r w:rsidR="009619F3" w:rsidRPr="00972203">
        <w:rPr>
          <w:rStyle w:val="BookTitle"/>
          <w:rFonts w:ascii="Times New Roman" w:hAnsi="Times New Roman"/>
          <w:b w:val="0"/>
          <w:noProof/>
          <w:spacing w:val="0"/>
          <w:sz w:val="22"/>
          <w:szCs w:val="22"/>
          <w:lang w:val="en-GB"/>
        </w:rPr>
        <w:fldChar w:fldCharType="begin" w:fldLock="1"/>
      </w:r>
      <w:r w:rsidR="009228F4">
        <w:rPr>
          <w:rStyle w:val="BookTitle"/>
          <w:rFonts w:ascii="Times New Roman" w:hAnsi="Times New Roman"/>
          <w:b w:val="0"/>
          <w:noProof/>
          <w:spacing w:val="0"/>
          <w:sz w:val="22"/>
          <w:szCs w:val="22"/>
          <w:lang w:val="en-GB"/>
        </w:rPr>
        <w:instrText>ADDIN CSL_CITATION {"citationItems":[{"id":"ITEM-1","itemData":{"DOI":"10.1016/j.jclepro.2019.06.087","ISSN":"09596526","abstract":"Research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Production","id":"ITEM-1","issued":{"date-parts":[["2019","10"]]},"page":"963-971","title":"Acorn: Developing full-chain industrial carbon capture and storage in a resource- and infrastructure-rich hydrocarbon province","type":"article-journal","volume":"233"},"uris":["http://www.mendeley.com/documents/?uuid=70c6bc31-4949-4838-968e-534a31bbff9a"]}],"mendeley":{"formattedCitation":"(Alcalde et al., 2019)","plainTextFormattedCitation":"(Alcalde et al., 2019)","previouslyFormattedCitation":"(Alcalde et al., 2019)"},"properties":{"noteIndex":0},"schema":"https://github.com/citation-style-language/schema/raw/master/csl-citation.json"}</w:instrText>
      </w:r>
      <w:r w:rsidR="009619F3" w:rsidRPr="00972203">
        <w:rPr>
          <w:rStyle w:val="BookTitle"/>
          <w:rFonts w:ascii="Times New Roman" w:hAnsi="Times New Roman"/>
          <w:b w:val="0"/>
          <w:noProof/>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(Alcalde et al., 2019)</w:t>
      </w:r>
      <w:r w:rsidR="009619F3" w:rsidRPr="00972203">
        <w:rPr>
          <w:rStyle w:val="BookTitle"/>
          <w:rFonts w:ascii="Times New Roman" w:hAnsi="Times New Roman"/>
          <w:b w:val="0"/>
          <w:noProof/>
          <w:spacing w:val="0"/>
          <w:sz w:val="22"/>
          <w:szCs w:val="22"/>
          <w:lang w:val="en-GB"/>
        </w:rPr>
        <w:fldChar w:fldCharType="end"/>
      </w:r>
      <w:r w:rsidR="009619F3" w:rsidRPr="00972203">
        <w:rPr>
          <w:rStyle w:val="BookTitle"/>
          <w:rFonts w:ascii="Times New Roman" w:hAnsi="Times New Roman"/>
          <w:b w:val="0"/>
          <w:spacing w:val="0"/>
          <w:sz w:val="22"/>
          <w:szCs w:val="22"/>
          <w:lang w:val="en-GB"/>
        </w:rPr>
        <w:t xml:space="preserve">, so the </w:t>
      </w:r>
      <w:r w:rsidR="009619F3" w:rsidRPr="00972203">
        <w:rPr>
          <w:rStyle w:val="BookTitle"/>
          <w:rFonts w:ascii="Times New Roman" w:hAnsi="Times New Roman"/>
          <w:b w:val="0"/>
          <w:spacing w:val="0"/>
          <w:sz w:val="22"/>
          <w:szCs w:val="22"/>
          <w:lang w:val="en-GB"/>
        </w:rPr>
        <w:lastRenderedPageBreak/>
        <w:t xml:space="preserve">economic aspects played a major role in the selection of Site 2. </w:t>
      </w:r>
      <w:r w:rsidR="008E5D9F" w:rsidRPr="00972203">
        <w:rPr>
          <w:rStyle w:val="BookTitle"/>
          <w:rFonts w:ascii="Times New Roman" w:hAnsi="Times New Roman"/>
          <w:b w:val="0"/>
          <w:spacing w:val="0"/>
          <w:sz w:val="22"/>
          <w:szCs w:val="22"/>
          <w:lang w:val="en-GB"/>
        </w:rPr>
        <w:t xml:space="preserve">This mixture of general and </w:t>
      </w:r>
      <w:r w:rsidR="00081F3F" w:rsidRPr="00972203">
        <w:rPr>
          <w:rStyle w:val="BookTitle"/>
          <w:rFonts w:ascii="Times New Roman" w:hAnsi="Times New Roman"/>
          <w:b w:val="0"/>
          <w:spacing w:val="0"/>
          <w:sz w:val="22"/>
          <w:szCs w:val="22"/>
          <w:lang w:val="en-GB"/>
        </w:rPr>
        <w:t>project</w:t>
      </w:r>
      <w:r w:rsidR="008E5D9F" w:rsidRPr="00972203">
        <w:rPr>
          <w:rStyle w:val="BookTitle"/>
          <w:rFonts w:ascii="Times New Roman" w:hAnsi="Times New Roman"/>
          <w:b w:val="0"/>
          <w:spacing w:val="0"/>
          <w:sz w:val="22"/>
          <w:szCs w:val="22"/>
          <w:lang w:val="en-GB"/>
        </w:rPr>
        <w:t>-spec</w:t>
      </w:r>
      <w:r w:rsidR="00A731C5" w:rsidRPr="00972203">
        <w:rPr>
          <w:rStyle w:val="BookTitle"/>
          <w:rFonts w:ascii="Times New Roman" w:hAnsi="Times New Roman"/>
          <w:b w:val="0"/>
          <w:spacing w:val="0"/>
          <w:sz w:val="22"/>
          <w:szCs w:val="22"/>
          <w:lang w:val="en-GB"/>
        </w:rPr>
        <w:t>ific requirements ensure</w:t>
      </w:r>
      <w:r w:rsidR="008C4EB5" w:rsidRPr="00972203">
        <w:rPr>
          <w:rStyle w:val="BookTitle"/>
          <w:rFonts w:ascii="Times New Roman" w:hAnsi="Times New Roman"/>
          <w:b w:val="0"/>
          <w:spacing w:val="0"/>
          <w:sz w:val="22"/>
          <w:szCs w:val="22"/>
          <w:lang w:val="en-GB"/>
        </w:rPr>
        <w:t>s</w:t>
      </w:r>
      <w:r w:rsidR="00A731C5" w:rsidRPr="00972203">
        <w:rPr>
          <w:rStyle w:val="BookTitle"/>
          <w:rFonts w:ascii="Times New Roman" w:hAnsi="Times New Roman"/>
          <w:b w:val="0"/>
          <w:spacing w:val="0"/>
          <w:sz w:val="22"/>
          <w:szCs w:val="22"/>
          <w:lang w:val="en-GB"/>
        </w:rPr>
        <w:t xml:space="preserve"> that the needs of the project are satisfied while allowing </w:t>
      </w:r>
      <w:r w:rsidR="00081F3F" w:rsidRPr="00972203">
        <w:rPr>
          <w:rStyle w:val="BookTitle"/>
          <w:rFonts w:ascii="Times New Roman" w:hAnsi="Times New Roman"/>
          <w:b w:val="0"/>
          <w:spacing w:val="0"/>
          <w:sz w:val="22"/>
          <w:szCs w:val="22"/>
          <w:lang w:val="en-GB"/>
        </w:rPr>
        <w:t>compar</w:t>
      </w:r>
      <w:r w:rsidR="00A731C5" w:rsidRPr="00972203">
        <w:rPr>
          <w:rStyle w:val="BookTitle"/>
          <w:rFonts w:ascii="Times New Roman" w:hAnsi="Times New Roman"/>
          <w:b w:val="0"/>
          <w:spacing w:val="0"/>
          <w:sz w:val="22"/>
          <w:szCs w:val="22"/>
          <w:lang w:val="en-GB"/>
        </w:rPr>
        <w:t>ison of</w:t>
      </w:r>
      <w:r w:rsidR="00081F3F" w:rsidRPr="00972203">
        <w:rPr>
          <w:rStyle w:val="BookTitle"/>
          <w:rFonts w:ascii="Times New Roman" w:hAnsi="Times New Roman"/>
          <w:b w:val="0"/>
          <w:spacing w:val="0"/>
          <w:sz w:val="22"/>
          <w:szCs w:val="22"/>
          <w:lang w:val="en-GB"/>
        </w:rPr>
        <w:t xml:space="preserve"> </w:t>
      </w:r>
      <w:r w:rsidR="00A731C5" w:rsidRPr="00972203">
        <w:rPr>
          <w:rStyle w:val="BookTitle"/>
          <w:rFonts w:ascii="Times New Roman" w:hAnsi="Times New Roman"/>
          <w:b w:val="0"/>
          <w:spacing w:val="0"/>
          <w:sz w:val="22"/>
          <w:szCs w:val="22"/>
          <w:lang w:val="en-GB"/>
        </w:rPr>
        <w:t>our</w:t>
      </w:r>
      <w:r w:rsidR="00081F3F" w:rsidRPr="00972203">
        <w:rPr>
          <w:rStyle w:val="BookTitle"/>
          <w:rFonts w:ascii="Times New Roman" w:hAnsi="Times New Roman"/>
          <w:b w:val="0"/>
          <w:spacing w:val="0"/>
          <w:sz w:val="22"/>
          <w:szCs w:val="22"/>
          <w:lang w:val="en-GB"/>
        </w:rPr>
        <w:t xml:space="preserve"> methodology with </w:t>
      </w:r>
      <w:r w:rsidR="008C4EB5" w:rsidRPr="00972203">
        <w:rPr>
          <w:rStyle w:val="BookTitle"/>
          <w:rFonts w:ascii="Times New Roman" w:hAnsi="Times New Roman"/>
          <w:b w:val="0"/>
          <w:spacing w:val="0"/>
          <w:sz w:val="22"/>
          <w:szCs w:val="22"/>
          <w:lang w:val="en-GB"/>
        </w:rPr>
        <w:t>other site selection</w:t>
      </w:r>
      <w:r w:rsidR="00081F3F" w:rsidRPr="00972203">
        <w:rPr>
          <w:rStyle w:val="BookTitle"/>
          <w:rFonts w:ascii="Times New Roman" w:hAnsi="Times New Roman"/>
          <w:b w:val="0"/>
          <w:spacing w:val="0"/>
          <w:sz w:val="22"/>
          <w:szCs w:val="22"/>
          <w:lang w:val="en-GB"/>
        </w:rPr>
        <w:t xml:space="preserve"> studies.</w:t>
      </w:r>
    </w:p>
    <w:p w14:paraId="27FCD6D7" w14:textId="6FB7F269" w:rsidR="00D87CEF" w:rsidRPr="00972203" w:rsidRDefault="004C0877" w:rsidP="00CC4BCA">
      <w:pPr>
        <w:pStyle w:val="BodyText"/>
        <w:spacing w:after="120" w:line="276" w:lineRule="auto"/>
        <w:rPr>
          <w:rStyle w:val="BookTitle"/>
          <w:rFonts w:ascii="Times New Roman" w:hAnsi="Times New Roman"/>
          <w:b w:val="0"/>
          <w:spacing w:val="0"/>
          <w:sz w:val="22"/>
          <w:szCs w:val="22"/>
          <w:lang w:val="en-GB"/>
        </w:rPr>
      </w:pPr>
      <w:r w:rsidRPr="00972203">
        <w:rPr>
          <w:rStyle w:val="BookTitle"/>
          <w:rFonts w:ascii="Times New Roman" w:hAnsi="Times New Roman"/>
          <w:b w:val="0"/>
          <w:spacing w:val="0"/>
          <w:sz w:val="22"/>
          <w:szCs w:val="22"/>
          <w:lang w:val="en-GB"/>
        </w:rPr>
        <w:t xml:space="preserve">The methodology proposed employs information from potential storage sites conventionally collated in storage atlases </w:t>
      </w:r>
      <w:r w:rsidRPr="00972203">
        <w:rPr>
          <w:rStyle w:val="BookTitle"/>
          <w:rFonts w:ascii="Times New Roman" w:hAnsi="Times New Roman"/>
          <w:b w:val="0"/>
          <w:spacing w:val="0"/>
          <w:sz w:val="22"/>
          <w:szCs w:val="22"/>
          <w:lang w:val="en-GB"/>
        </w:rPr>
        <w:fldChar w:fldCharType="begin" w:fldLock="1"/>
      </w:r>
      <w:r w:rsidR="009D58AA">
        <w:rPr>
          <w:rStyle w:val="BookTitle"/>
          <w:rFonts w:ascii="Times New Roman" w:hAnsi="Times New Roman"/>
          <w:b w:val="0"/>
          <w:spacing w:val="0"/>
          <w:sz w:val="22"/>
          <w:szCs w:val="22"/>
          <w:lang w:val="en-GB"/>
        </w:rPr>
        <w:instrText>ADDIN CSL_CITATION {"citationItems":[{"id":"ITEM-1","itemData":{"DOI":"10.3997/2214-4609.20144131","ISSN":"02635046","author":[{"dropping-particle":"","family":"Prelicz","given":"R. M.","non-dropping-particle":"","parse-names":false,"suffix":""},{"dropping-particle":"","family":"Mackie","given":"E. A.V.","non-dropping-particle":"","parse-names":false,"suffix":""},{"dropping-particle":"","family":"Otto","given":"C. T.","non-dropping-particle":"","parse-names":false,"suffix":""}],"container-title":"First Break","id":"ITEM-1","issue":"2","issued":{"date-parts":[["2012"]]},"page":"71-76","title":"Methodologies for CO2 storage capacity estimation: Review and evaluation of CO2 storage atlases","type":"article-journal","volume":"30"},"uris":["http://www.mendeley.com/documents/?uuid=1343c78f-d1f1-435b-956f-35d367e6f54d"]}],"mendeley":{"formattedCitation":"(Prelicz et al., 2012)","plainTextFormattedCitation":"(Prelicz et al., 2012)","previouslyFormattedCitation":"(Prelicz et al., 2012)"},"properties":{"noteIndex":0},"schema":"https://github.com/citation-style-language/schema/raw/master/csl-citation.json"}</w:instrText>
      </w:r>
      <w:r w:rsidRPr="00972203">
        <w:rPr>
          <w:rStyle w:val="BookTitle"/>
          <w:rFonts w:ascii="Times New Roman" w:hAnsi="Times New Roman"/>
          <w:b w:val="0"/>
          <w:spacing w:val="0"/>
          <w:sz w:val="22"/>
          <w:szCs w:val="22"/>
          <w:lang w:val="en-GB"/>
        </w:rPr>
        <w:fldChar w:fldCharType="separate"/>
      </w:r>
      <w:r w:rsidR="00C01E2D" w:rsidRPr="00C01E2D">
        <w:rPr>
          <w:rStyle w:val="BookTitle"/>
          <w:rFonts w:ascii="Times New Roman" w:hAnsi="Times New Roman"/>
          <w:b w:val="0"/>
          <w:noProof/>
          <w:spacing w:val="0"/>
          <w:sz w:val="22"/>
          <w:szCs w:val="22"/>
          <w:lang w:val="en-GB"/>
        </w:rPr>
        <w:t>(Prelicz et al., 2012)</w:t>
      </w:r>
      <w:r w:rsidRPr="00972203">
        <w:rPr>
          <w:rStyle w:val="BookTitle"/>
          <w:rFonts w:ascii="Times New Roman" w:hAnsi="Times New Roman"/>
          <w:b w:val="0"/>
          <w:spacing w:val="0"/>
          <w:sz w:val="22"/>
          <w:szCs w:val="22"/>
          <w:lang w:val="en-GB"/>
        </w:rPr>
        <w:fldChar w:fldCharType="end"/>
      </w:r>
      <w:r w:rsidRPr="00972203">
        <w:rPr>
          <w:rStyle w:val="BookTitle"/>
          <w:rFonts w:ascii="Times New Roman" w:hAnsi="Times New Roman"/>
          <w:b w:val="0"/>
          <w:spacing w:val="0"/>
          <w:sz w:val="22"/>
          <w:szCs w:val="22"/>
          <w:lang w:val="en-GB"/>
        </w:rPr>
        <w:t xml:space="preserve"> as input data. </w:t>
      </w:r>
      <w:r w:rsidR="00D87CEF" w:rsidRPr="00972203">
        <w:rPr>
          <w:rStyle w:val="BookTitle"/>
          <w:rFonts w:ascii="Times New Roman" w:hAnsi="Times New Roman"/>
          <w:b w:val="0"/>
          <w:spacing w:val="0"/>
          <w:sz w:val="22"/>
          <w:szCs w:val="22"/>
          <w:lang w:val="en-GB"/>
        </w:rPr>
        <w:t>The amount and level of detail of this information varies across databases, but generally incorporate</w:t>
      </w:r>
      <w:r w:rsidR="00D62CA2">
        <w:rPr>
          <w:rStyle w:val="BookTitle"/>
          <w:rFonts w:ascii="Times New Roman" w:hAnsi="Times New Roman"/>
          <w:b w:val="0"/>
          <w:spacing w:val="0"/>
          <w:sz w:val="22"/>
          <w:szCs w:val="22"/>
          <w:lang w:val="en-GB"/>
        </w:rPr>
        <w:t>s</w:t>
      </w:r>
      <w:r w:rsidR="00D87CEF" w:rsidRPr="00972203">
        <w:rPr>
          <w:rStyle w:val="BookTitle"/>
          <w:rFonts w:ascii="Times New Roman" w:hAnsi="Times New Roman"/>
          <w:b w:val="0"/>
          <w:spacing w:val="0"/>
          <w:sz w:val="22"/>
          <w:szCs w:val="22"/>
          <w:lang w:val="en-GB"/>
        </w:rPr>
        <w:t xml:space="preserve"> enough geological and engineering information (</w:t>
      </w:r>
      <w:proofErr w:type="gramStart"/>
      <w:r w:rsidR="00D87CEF" w:rsidRPr="00972203">
        <w:rPr>
          <w:rStyle w:val="BookTitle"/>
          <w:rFonts w:ascii="Times New Roman" w:hAnsi="Times New Roman"/>
          <w:b w:val="0"/>
          <w:spacing w:val="0"/>
          <w:sz w:val="22"/>
          <w:szCs w:val="22"/>
          <w:lang w:val="en-GB"/>
        </w:rPr>
        <w:t>e.g.</w:t>
      </w:r>
      <w:proofErr w:type="gramEnd"/>
      <w:r w:rsidR="00D87CEF" w:rsidRPr="00972203">
        <w:rPr>
          <w:rStyle w:val="BookTitle"/>
          <w:rFonts w:ascii="Times New Roman" w:hAnsi="Times New Roman"/>
          <w:b w:val="0"/>
          <w:spacing w:val="0"/>
          <w:sz w:val="22"/>
          <w:szCs w:val="22"/>
          <w:lang w:val="en-GB"/>
        </w:rPr>
        <w:t xml:space="preserve"> location, depth, rock properties, capacity, available subsurface data etc.) to accurately inform site selection assessment.</w:t>
      </w:r>
    </w:p>
    <w:p w14:paraId="42F222BD" w14:textId="092CA60B" w:rsidR="0037290E" w:rsidRDefault="00730403" w:rsidP="00CC4BCA">
      <w:pPr>
        <w:pStyle w:val="BodyText"/>
        <w:spacing w:after="120" w:line="276" w:lineRule="auto"/>
        <w:rPr>
          <w:rStyle w:val="BookTitle"/>
          <w:rFonts w:ascii="Times New Roman" w:hAnsi="Times New Roman"/>
          <w:b w:val="0"/>
          <w:spacing w:val="0"/>
          <w:sz w:val="22"/>
          <w:szCs w:val="22"/>
          <w:lang w:val="en-GB"/>
        </w:rPr>
      </w:pPr>
      <w:r w:rsidRPr="00972203">
        <w:rPr>
          <w:rStyle w:val="BookTitle"/>
          <w:rFonts w:ascii="Times New Roman" w:hAnsi="Times New Roman"/>
          <w:b w:val="0"/>
          <w:spacing w:val="0"/>
          <w:sz w:val="22"/>
          <w:szCs w:val="22"/>
          <w:lang w:val="en-GB"/>
        </w:rPr>
        <w:t xml:space="preserve">The workflow </w:t>
      </w:r>
      <w:r w:rsidR="004C0877" w:rsidRPr="00972203">
        <w:rPr>
          <w:rStyle w:val="BookTitle"/>
          <w:rFonts w:ascii="Times New Roman" w:hAnsi="Times New Roman"/>
          <w:b w:val="0"/>
          <w:spacing w:val="0"/>
          <w:sz w:val="22"/>
          <w:szCs w:val="22"/>
          <w:lang w:val="en-GB"/>
        </w:rPr>
        <w:t>involve</w:t>
      </w:r>
      <w:r w:rsidR="00D62CA2">
        <w:rPr>
          <w:rStyle w:val="BookTitle"/>
          <w:rFonts w:ascii="Times New Roman" w:hAnsi="Times New Roman"/>
          <w:b w:val="0"/>
          <w:spacing w:val="0"/>
          <w:sz w:val="22"/>
          <w:szCs w:val="22"/>
          <w:lang w:val="en-GB"/>
        </w:rPr>
        <w:t>d</w:t>
      </w:r>
      <w:r w:rsidRPr="00972203">
        <w:rPr>
          <w:rStyle w:val="BookTitle"/>
          <w:rFonts w:ascii="Times New Roman" w:hAnsi="Times New Roman"/>
          <w:b w:val="0"/>
          <w:spacing w:val="0"/>
          <w:sz w:val="22"/>
          <w:szCs w:val="22"/>
          <w:lang w:val="en-GB"/>
        </w:rPr>
        <w:t xml:space="preserve"> four </w:t>
      </w:r>
      <w:r w:rsidR="00A47C79" w:rsidRPr="00972203">
        <w:rPr>
          <w:rStyle w:val="BookTitle"/>
          <w:rFonts w:ascii="Times New Roman" w:hAnsi="Times New Roman"/>
          <w:b w:val="0"/>
          <w:spacing w:val="0"/>
          <w:sz w:val="22"/>
          <w:szCs w:val="22"/>
          <w:lang w:val="en-GB"/>
        </w:rPr>
        <w:t xml:space="preserve">major </w:t>
      </w:r>
      <w:r w:rsidRPr="00972203">
        <w:rPr>
          <w:rStyle w:val="BookTitle"/>
          <w:rFonts w:ascii="Times New Roman" w:hAnsi="Times New Roman"/>
          <w:b w:val="0"/>
          <w:spacing w:val="0"/>
          <w:sz w:val="22"/>
          <w:szCs w:val="22"/>
          <w:lang w:val="en-GB"/>
        </w:rPr>
        <w:t xml:space="preserve">stages </w:t>
      </w:r>
      <w:r w:rsidR="008B66AF">
        <w:rPr>
          <w:rStyle w:val="BookTitle"/>
          <w:rFonts w:ascii="Times New Roman" w:hAnsi="Times New Roman"/>
          <w:b w:val="0"/>
          <w:spacing w:val="0"/>
          <w:sz w:val="22"/>
          <w:szCs w:val="22"/>
          <w:lang w:val="en-GB"/>
        </w:rPr>
        <w:t xml:space="preserve">including qualitative and quantitative aspects of the prospective sites, and </w:t>
      </w:r>
      <w:r w:rsidR="00A47C79" w:rsidRPr="00972203">
        <w:rPr>
          <w:rStyle w:val="BookTitle"/>
          <w:rFonts w:ascii="Times New Roman" w:hAnsi="Times New Roman"/>
          <w:b w:val="0"/>
          <w:spacing w:val="0"/>
          <w:sz w:val="22"/>
          <w:szCs w:val="22"/>
          <w:lang w:val="en-GB"/>
        </w:rPr>
        <w:t xml:space="preserve">that lead to the selection of the most suitable site </w:t>
      </w:r>
      <w:r w:rsidRPr="00972203">
        <w:rPr>
          <w:rStyle w:val="BookTitle"/>
          <w:rFonts w:ascii="Times New Roman" w:hAnsi="Times New Roman"/>
          <w:b w:val="0"/>
          <w:spacing w:val="0"/>
          <w:sz w:val="22"/>
          <w:szCs w:val="22"/>
          <w:lang w:val="en-GB"/>
        </w:rPr>
        <w:t>(</w:t>
      </w:r>
      <w:r w:rsidR="006D3FEB" w:rsidRPr="00972203">
        <w:rPr>
          <w:sz w:val="22"/>
          <w:szCs w:val="22"/>
        </w:rPr>
        <w:fldChar w:fldCharType="begin"/>
      </w:r>
      <w:r w:rsidR="006D3FEB" w:rsidRPr="00972203">
        <w:rPr>
          <w:sz w:val="22"/>
          <w:szCs w:val="22"/>
        </w:rPr>
        <w:instrText xml:space="preserve"> REF _Ref14444823 \h  \* MERGEFORMAT </w:instrText>
      </w:r>
      <w:r w:rsidR="006D3FEB" w:rsidRPr="00972203">
        <w:rPr>
          <w:sz w:val="22"/>
          <w:szCs w:val="22"/>
        </w:rPr>
      </w:r>
      <w:r w:rsidR="006D3FEB" w:rsidRPr="00972203">
        <w:rPr>
          <w:sz w:val="22"/>
          <w:szCs w:val="22"/>
        </w:rPr>
        <w:fldChar w:fldCharType="separate"/>
      </w:r>
      <w:r w:rsidR="00300235" w:rsidRPr="00300235">
        <w:rPr>
          <w:sz w:val="22"/>
          <w:szCs w:val="22"/>
          <w:lang w:val="en-GB"/>
        </w:rPr>
        <w:t xml:space="preserve"> Figure </w:t>
      </w:r>
      <w:r w:rsidR="00300235">
        <w:rPr>
          <w:noProof/>
        </w:rPr>
        <w:t>2</w:t>
      </w:r>
      <w:r w:rsidR="006D3FEB" w:rsidRPr="00972203">
        <w:rPr>
          <w:sz w:val="22"/>
          <w:szCs w:val="22"/>
        </w:rPr>
        <w:fldChar w:fldCharType="end"/>
      </w:r>
      <w:r w:rsidRPr="00972203">
        <w:rPr>
          <w:rStyle w:val="BookTitle"/>
          <w:rFonts w:ascii="Times New Roman" w:hAnsi="Times New Roman"/>
          <w:b w:val="0"/>
          <w:spacing w:val="0"/>
          <w:sz w:val="22"/>
          <w:szCs w:val="22"/>
          <w:lang w:val="en-GB"/>
        </w:rPr>
        <w:t>)</w:t>
      </w:r>
      <w:r w:rsidR="0037290E">
        <w:rPr>
          <w:rStyle w:val="BookTitle"/>
          <w:rFonts w:ascii="Times New Roman" w:hAnsi="Times New Roman"/>
          <w:b w:val="0"/>
          <w:spacing w:val="0"/>
          <w:sz w:val="22"/>
          <w:szCs w:val="22"/>
          <w:lang w:val="en-GB"/>
        </w:rPr>
        <w:t>.</w:t>
      </w:r>
      <w:r w:rsidRPr="00972203">
        <w:rPr>
          <w:rStyle w:val="BookTitle"/>
          <w:rFonts w:ascii="Times New Roman" w:hAnsi="Times New Roman"/>
          <w:b w:val="0"/>
          <w:spacing w:val="0"/>
          <w:sz w:val="22"/>
          <w:szCs w:val="22"/>
          <w:lang w:val="en-GB"/>
        </w:rPr>
        <w:t xml:space="preserve"> </w:t>
      </w:r>
      <w:r w:rsidR="0098371C" w:rsidRPr="0098371C">
        <w:rPr>
          <w:bCs/>
          <w:iCs/>
          <w:sz w:val="22"/>
          <w:szCs w:val="22"/>
          <w:lang w:val="en-GB"/>
        </w:rPr>
        <w:t>The level of complexity of the analyses carried out increase</w:t>
      </w:r>
      <w:r w:rsidR="008B28BF">
        <w:rPr>
          <w:bCs/>
          <w:iCs/>
          <w:sz w:val="22"/>
          <w:szCs w:val="22"/>
          <w:lang w:val="en-GB"/>
        </w:rPr>
        <w:t>s</w:t>
      </w:r>
      <w:r w:rsidR="0098371C" w:rsidRPr="0098371C">
        <w:rPr>
          <w:bCs/>
          <w:iCs/>
          <w:sz w:val="22"/>
          <w:szCs w:val="22"/>
          <w:lang w:val="en-GB"/>
        </w:rPr>
        <w:t xml:space="preserve"> with each stage of the workflow while at the same time the </w:t>
      </w:r>
      <w:r w:rsidR="008B28BF">
        <w:rPr>
          <w:bCs/>
          <w:iCs/>
          <w:sz w:val="22"/>
          <w:szCs w:val="22"/>
          <w:lang w:val="en-GB"/>
        </w:rPr>
        <w:t>number</w:t>
      </w:r>
      <w:r w:rsidR="0098371C" w:rsidRPr="0098371C">
        <w:rPr>
          <w:bCs/>
          <w:iCs/>
          <w:sz w:val="22"/>
          <w:szCs w:val="22"/>
          <w:lang w:val="en-GB"/>
        </w:rPr>
        <w:t xml:space="preserve"> of </w:t>
      </w:r>
      <w:r w:rsidR="008B28BF" w:rsidRPr="0098371C">
        <w:rPr>
          <w:bCs/>
          <w:iCs/>
          <w:sz w:val="22"/>
          <w:szCs w:val="22"/>
          <w:lang w:val="en-GB"/>
        </w:rPr>
        <w:t xml:space="preserve">remaining </w:t>
      </w:r>
      <w:r w:rsidR="0098371C" w:rsidRPr="0098371C">
        <w:rPr>
          <w:bCs/>
          <w:iCs/>
          <w:sz w:val="22"/>
          <w:szCs w:val="22"/>
          <w:lang w:val="en-GB"/>
        </w:rPr>
        <w:t>sites decrease</w:t>
      </w:r>
      <w:r w:rsidR="008B28BF">
        <w:rPr>
          <w:bCs/>
          <w:iCs/>
          <w:sz w:val="22"/>
          <w:szCs w:val="22"/>
          <w:lang w:val="en-GB"/>
        </w:rPr>
        <w:t>s</w:t>
      </w:r>
      <w:r w:rsidR="0098371C" w:rsidRPr="0098371C">
        <w:rPr>
          <w:bCs/>
          <w:iCs/>
          <w:sz w:val="22"/>
          <w:szCs w:val="22"/>
          <w:lang w:val="en-GB"/>
        </w:rPr>
        <w:t xml:space="preserve">. This allows </w:t>
      </w:r>
      <w:r w:rsidR="00180339" w:rsidRPr="0098371C">
        <w:rPr>
          <w:bCs/>
          <w:iCs/>
          <w:sz w:val="22"/>
          <w:szCs w:val="22"/>
          <w:lang w:val="en-GB"/>
        </w:rPr>
        <w:t>filtering</w:t>
      </w:r>
      <w:r w:rsidR="0098371C" w:rsidRPr="0098371C">
        <w:rPr>
          <w:bCs/>
          <w:iCs/>
          <w:sz w:val="22"/>
          <w:szCs w:val="22"/>
          <w:lang w:val="en-GB"/>
        </w:rPr>
        <w:t xml:space="preserve"> out unsuitable sites early in the </w:t>
      </w:r>
      <w:r w:rsidR="0098371C">
        <w:rPr>
          <w:bCs/>
          <w:iCs/>
          <w:sz w:val="22"/>
          <w:szCs w:val="22"/>
          <w:lang w:val="en-GB"/>
        </w:rPr>
        <w:t>workflow</w:t>
      </w:r>
      <w:r w:rsidR="0098371C" w:rsidRPr="0098371C">
        <w:rPr>
          <w:bCs/>
          <w:iCs/>
          <w:sz w:val="22"/>
          <w:szCs w:val="22"/>
          <w:lang w:val="en-GB"/>
        </w:rPr>
        <w:t xml:space="preserve"> and </w:t>
      </w:r>
      <w:r w:rsidR="00180339">
        <w:rPr>
          <w:bCs/>
          <w:iCs/>
          <w:sz w:val="22"/>
          <w:szCs w:val="22"/>
          <w:lang w:val="en-GB"/>
        </w:rPr>
        <w:t xml:space="preserve">focus on </w:t>
      </w:r>
      <w:r w:rsidR="0098371C" w:rsidRPr="0098371C">
        <w:rPr>
          <w:bCs/>
          <w:iCs/>
          <w:sz w:val="22"/>
          <w:szCs w:val="22"/>
          <w:lang w:val="en-GB"/>
        </w:rPr>
        <w:t>the more suitable sites in the advanced stages.</w:t>
      </w:r>
    </w:p>
    <w:p w14:paraId="567418D4" w14:textId="1B70535A" w:rsidR="0037290E" w:rsidRDefault="0037290E" w:rsidP="00414327">
      <w:pPr>
        <w:pStyle w:val="BodyText"/>
        <w:numPr>
          <w:ilvl w:val="0"/>
          <w:numId w:val="26"/>
        </w:numPr>
        <w:spacing w:after="120" w:line="276" w:lineRule="auto"/>
        <w:rPr>
          <w:rStyle w:val="BookTitle"/>
          <w:rFonts w:ascii="Times New Roman" w:hAnsi="Times New Roman"/>
          <w:b w:val="0"/>
          <w:spacing w:val="0"/>
          <w:sz w:val="22"/>
          <w:szCs w:val="22"/>
          <w:lang w:val="en-GB"/>
        </w:rPr>
      </w:pPr>
      <w:r>
        <w:rPr>
          <w:rStyle w:val="BookTitle"/>
          <w:rFonts w:ascii="Times New Roman" w:hAnsi="Times New Roman"/>
          <w:b w:val="0"/>
          <w:spacing w:val="0"/>
          <w:sz w:val="22"/>
          <w:szCs w:val="22"/>
          <w:lang w:val="en-GB"/>
        </w:rPr>
        <w:t>B</w:t>
      </w:r>
      <w:r w:rsidR="00730403" w:rsidRPr="00972203">
        <w:rPr>
          <w:rStyle w:val="BookTitle"/>
          <w:rFonts w:ascii="Times New Roman" w:hAnsi="Times New Roman"/>
          <w:b w:val="0"/>
          <w:spacing w:val="0"/>
          <w:sz w:val="22"/>
          <w:szCs w:val="22"/>
          <w:lang w:val="en-GB"/>
        </w:rPr>
        <w:t xml:space="preserve">asis of </w:t>
      </w:r>
      <w:r w:rsidR="008B66AF">
        <w:rPr>
          <w:rStyle w:val="BookTitle"/>
          <w:rFonts w:ascii="Times New Roman" w:hAnsi="Times New Roman"/>
          <w:b w:val="0"/>
          <w:spacing w:val="0"/>
          <w:sz w:val="22"/>
          <w:szCs w:val="22"/>
          <w:lang w:val="en-GB"/>
        </w:rPr>
        <w:t>d</w:t>
      </w:r>
      <w:r w:rsidR="00730403" w:rsidRPr="00972203">
        <w:rPr>
          <w:rStyle w:val="BookTitle"/>
          <w:rFonts w:ascii="Times New Roman" w:hAnsi="Times New Roman"/>
          <w:b w:val="0"/>
          <w:spacing w:val="0"/>
          <w:sz w:val="22"/>
          <w:szCs w:val="22"/>
          <w:lang w:val="en-GB"/>
        </w:rPr>
        <w:t xml:space="preserve">esign, </w:t>
      </w:r>
      <w:r w:rsidR="000C57AE" w:rsidRPr="00972203">
        <w:rPr>
          <w:rStyle w:val="BookTitle"/>
          <w:rFonts w:ascii="Times New Roman" w:hAnsi="Times New Roman"/>
          <w:b w:val="0"/>
          <w:spacing w:val="0"/>
          <w:sz w:val="22"/>
          <w:szCs w:val="22"/>
          <w:lang w:val="en-GB"/>
        </w:rPr>
        <w:t>which set</w:t>
      </w:r>
      <w:r w:rsidR="00056434">
        <w:rPr>
          <w:rStyle w:val="BookTitle"/>
          <w:rFonts w:ascii="Times New Roman" w:hAnsi="Times New Roman"/>
          <w:b w:val="0"/>
          <w:spacing w:val="0"/>
          <w:sz w:val="22"/>
          <w:szCs w:val="22"/>
          <w:lang w:val="en-GB"/>
        </w:rPr>
        <w:t>s</w:t>
      </w:r>
      <w:r w:rsidR="000C57AE" w:rsidRPr="00972203">
        <w:rPr>
          <w:rStyle w:val="BookTitle"/>
          <w:rFonts w:ascii="Times New Roman" w:hAnsi="Times New Roman"/>
          <w:b w:val="0"/>
          <w:spacing w:val="0"/>
          <w:sz w:val="22"/>
          <w:szCs w:val="22"/>
          <w:lang w:val="en-GB"/>
        </w:rPr>
        <w:t xml:space="preserve"> the general requirements, assumptions and specifications of the project </w:t>
      </w:r>
      <w:r w:rsidR="00214959" w:rsidRPr="00972203">
        <w:rPr>
          <w:rStyle w:val="BookTitle"/>
          <w:rFonts w:ascii="Times New Roman" w:hAnsi="Times New Roman"/>
          <w:b w:val="0"/>
          <w:spacing w:val="0"/>
          <w:sz w:val="22"/>
          <w:szCs w:val="22"/>
          <w:lang w:val="en-GB"/>
        </w:rPr>
        <w:t xml:space="preserve">which </w:t>
      </w:r>
      <w:r>
        <w:rPr>
          <w:rStyle w:val="BookTitle"/>
          <w:rFonts w:ascii="Times New Roman" w:hAnsi="Times New Roman"/>
          <w:b w:val="0"/>
          <w:spacing w:val="0"/>
          <w:sz w:val="22"/>
          <w:szCs w:val="22"/>
          <w:lang w:val="en-GB"/>
        </w:rPr>
        <w:t>we</w:t>
      </w:r>
      <w:r w:rsidR="000C57AE" w:rsidRPr="00972203">
        <w:rPr>
          <w:rStyle w:val="BookTitle"/>
          <w:rFonts w:ascii="Times New Roman" w:hAnsi="Times New Roman"/>
          <w:b w:val="0"/>
          <w:spacing w:val="0"/>
          <w:sz w:val="22"/>
          <w:szCs w:val="22"/>
          <w:lang w:val="en-GB"/>
        </w:rPr>
        <w:t xml:space="preserve">re used to </w:t>
      </w:r>
      <w:r w:rsidR="00214959" w:rsidRPr="00972203">
        <w:rPr>
          <w:rStyle w:val="BookTitle"/>
          <w:rFonts w:ascii="Times New Roman" w:hAnsi="Times New Roman"/>
          <w:b w:val="0"/>
          <w:spacing w:val="0"/>
          <w:sz w:val="22"/>
          <w:szCs w:val="22"/>
          <w:lang w:val="en-GB"/>
        </w:rPr>
        <w:t>implement a preliminary</w:t>
      </w:r>
      <w:r w:rsidR="008B66AF">
        <w:rPr>
          <w:rStyle w:val="BookTitle"/>
          <w:rFonts w:ascii="Times New Roman" w:hAnsi="Times New Roman"/>
          <w:b w:val="0"/>
          <w:spacing w:val="0"/>
          <w:sz w:val="22"/>
          <w:szCs w:val="22"/>
          <w:lang w:val="en-GB"/>
        </w:rPr>
        <w:t>, high-level</w:t>
      </w:r>
      <w:r w:rsidR="000C57AE" w:rsidRPr="00972203">
        <w:rPr>
          <w:rStyle w:val="BookTitle"/>
          <w:rFonts w:ascii="Times New Roman" w:hAnsi="Times New Roman"/>
          <w:b w:val="0"/>
          <w:spacing w:val="0"/>
          <w:sz w:val="22"/>
          <w:szCs w:val="22"/>
          <w:lang w:val="en-GB"/>
        </w:rPr>
        <w:t xml:space="preserve"> </w:t>
      </w:r>
      <w:r w:rsidR="00214959" w:rsidRPr="00972203">
        <w:rPr>
          <w:rStyle w:val="BookTitle"/>
          <w:rFonts w:ascii="Times New Roman" w:hAnsi="Times New Roman"/>
          <w:b w:val="0"/>
          <w:spacing w:val="0"/>
          <w:sz w:val="22"/>
          <w:szCs w:val="22"/>
          <w:lang w:val="en-GB"/>
        </w:rPr>
        <w:t xml:space="preserve">filtering </w:t>
      </w:r>
      <w:r>
        <w:rPr>
          <w:rStyle w:val="BookTitle"/>
          <w:rFonts w:ascii="Times New Roman" w:hAnsi="Times New Roman"/>
          <w:b w:val="0"/>
          <w:spacing w:val="0"/>
          <w:sz w:val="22"/>
          <w:szCs w:val="22"/>
          <w:lang w:val="en-GB"/>
        </w:rPr>
        <w:t>of</w:t>
      </w:r>
      <w:r w:rsidRPr="00972203">
        <w:rPr>
          <w:rStyle w:val="BookTitle"/>
          <w:rFonts w:ascii="Times New Roman" w:hAnsi="Times New Roman"/>
          <w:b w:val="0"/>
          <w:spacing w:val="0"/>
          <w:sz w:val="22"/>
          <w:szCs w:val="22"/>
          <w:lang w:val="en-GB"/>
        </w:rPr>
        <w:t xml:space="preserve"> </w:t>
      </w:r>
      <w:r w:rsidR="004C0877" w:rsidRPr="00972203">
        <w:rPr>
          <w:rStyle w:val="BookTitle"/>
          <w:rFonts w:ascii="Times New Roman" w:hAnsi="Times New Roman"/>
          <w:b w:val="0"/>
          <w:spacing w:val="0"/>
          <w:sz w:val="22"/>
          <w:szCs w:val="22"/>
          <w:lang w:val="en-GB"/>
        </w:rPr>
        <w:t xml:space="preserve">the input sites; the </w:t>
      </w:r>
      <w:r>
        <w:rPr>
          <w:rStyle w:val="BookTitle"/>
          <w:rFonts w:ascii="Times New Roman" w:hAnsi="Times New Roman"/>
          <w:b w:val="0"/>
          <w:spacing w:val="0"/>
          <w:sz w:val="22"/>
          <w:szCs w:val="22"/>
          <w:lang w:val="en-GB"/>
        </w:rPr>
        <w:t>remaining ‘</w:t>
      </w:r>
      <w:r w:rsidR="004C0877" w:rsidRPr="00972203">
        <w:rPr>
          <w:rStyle w:val="BookTitle"/>
          <w:rFonts w:ascii="Times New Roman" w:hAnsi="Times New Roman"/>
          <w:b w:val="0"/>
          <w:spacing w:val="0"/>
          <w:sz w:val="22"/>
          <w:szCs w:val="22"/>
          <w:lang w:val="en-GB"/>
        </w:rPr>
        <w:t>output</w:t>
      </w:r>
      <w:r>
        <w:rPr>
          <w:rStyle w:val="BookTitle"/>
          <w:rFonts w:ascii="Times New Roman" w:hAnsi="Times New Roman"/>
          <w:b w:val="0"/>
          <w:spacing w:val="0"/>
          <w:sz w:val="22"/>
          <w:szCs w:val="22"/>
          <w:lang w:val="en-GB"/>
        </w:rPr>
        <w:t>’</w:t>
      </w:r>
      <w:r w:rsidR="004C0877" w:rsidRPr="00972203">
        <w:rPr>
          <w:rStyle w:val="BookTitle"/>
          <w:rFonts w:ascii="Times New Roman" w:hAnsi="Times New Roman"/>
          <w:b w:val="0"/>
          <w:spacing w:val="0"/>
          <w:sz w:val="22"/>
          <w:szCs w:val="22"/>
          <w:lang w:val="en-GB"/>
        </w:rPr>
        <w:t xml:space="preserve"> sites </w:t>
      </w:r>
      <w:r>
        <w:rPr>
          <w:rStyle w:val="BookTitle"/>
          <w:rFonts w:ascii="Times New Roman" w:hAnsi="Times New Roman"/>
          <w:b w:val="0"/>
          <w:spacing w:val="0"/>
          <w:sz w:val="22"/>
          <w:szCs w:val="22"/>
          <w:lang w:val="en-GB"/>
        </w:rPr>
        <w:t>were</w:t>
      </w:r>
      <w:r w:rsidR="004C0877" w:rsidRPr="00972203">
        <w:rPr>
          <w:rStyle w:val="BookTitle"/>
          <w:rFonts w:ascii="Times New Roman" w:hAnsi="Times New Roman"/>
          <w:b w:val="0"/>
          <w:spacing w:val="0"/>
          <w:sz w:val="22"/>
          <w:szCs w:val="22"/>
          <w:lang w:val="en-GB"/>
        </w:rPr>
        <w:t xml:space="preserve"> considered </w:t>
      </w:r>
      <w:r w:rsidR="00414327">
        <w:rPr>
          <w:rStyle w:val="BookTitle"/>
          <w:rFonts w:ascii="Times New Roman" w:hAnsi="Times New Roman"/>
          <w:b w:val="0"/>
          <w:spacing w:val="0"/>
          <w:sz w:val="22"/>
          <w:szCs w:val="22"/>
          <w:lang w:val="en-GB"/>
        </w:rPr>
        <w:t>‘</w:t>
      </w:r>
      <w:r w:rsidR="004C0877" w:rsidRPr="00972203">
        <w:rPr>
          <w:rStyle w:val="BookTitle"/>
          <w:rFonts w:ascii="Times New Roman" w:hAnsi="Times New Roman"/>
          <w:b w:val="0"/>
          <w:spacing w:val="0"/>
          <w:sz w:val="22"/>
          <w:szCs w:val="22"/>
          <w:lang w:val="en-GB"/>
        </w:rPr>
        <w:t>selectable</w:t>
      </w:r>
      <w:r w:rsidR="00414327">
        <w:rPr>
          <w:rStyle w:val="BookTitle"/>
          <w:rFonts w:ascii="Times New Roman" w:hAnsi="Times New Roman"/>
          <w:b w:val="0"/>
          <w:spacing w:val="0"/>
          <w:sz w:val="22"/>
          <w:szCs w:val="22"/>
          <w:lang w:val="en-GB"/>
        </w:rPr>
        <w:t>’</w:t>
      </w:r>
      <w:r w:rsidR="00CE0FEE" w:rsidRPr="00972203">
        <w:rPr>
          <w:rStyle w:val="BookTitle"/>
          <w:rFonts w:ascii="Times New Roman" w:hAnsi="Times New Roman"/>
          <w:b w:val="0"/>
          <w:spacing w:val="0"/>
          <w:sz w:val="22"/>
          <w:szCs w:val="22"/>
          <w:lang w:val="en-GB"/>
        </w:rPr>
        <w:t xml:space="preserve"> based on a project-specific set of economic criteria</w:t>
      </w:r>
      <w:r w:rsidR="004C0877" w:rsidRPr="00972203">
        <w:rPr>
          <w:rStyle w:val="BookTitle"/>
          <w:rFonts w:ascii="Times New Roman" w:hAnsi="Times New Roman"/>
          <w:b w:val="0"/>
          <w:spacing w:val="0"/>
          <w:sz w:val="22"/>
          <w:szCs w:val="22"/>
          <w:lang w:val="en-GB"/>
        </w:rPr>
        <w:t xml:space="preserve">, </w:t>
      </w:r>
      <w:r w:rsidR="00571646">
        <w:rPr>
          <w:rStyle w:val="BookTitle"/>
          <w:rFonts w:ascii="Times New Roman" w:hAnsi="Times New Roman"/>
          <w:b w:val="0"/>
          <w:spacing w:val="0"/>
          <w:sz w:val="22"/>
          <w:szCs w:val="22"/>
          <w:lang w:val="en-GB"/>
        </w:rPr>
        <w:t>with</w:t>
      </w:r>
      <w:r w:rsidR="00571646" w:rsidRPr="00972203">
        <w:rPr>
          <w:rStyle w:val="BookTitle"/>
          <w:rFonts w:ascii="Times New Roman" w:hAnsi="Times New Roman"/>
          <w:b w:val="0"/>
          <w:spacing w:val="0"/>
          <w:sz w:val="22"/>
          <w:szCs w:val="22"/>
          <w:lang w:val="en-GB"/>
        </w:rPr>
        <w:t xml:space="preserve"> </w:t>
      </w:r>
      <w:r w:rsidR="004C0877" w:rsidRPr="00972203">
        <w:rPr>
          <w:rStyle w:val="BookTitle"/>
          <w:rFonts w:ascii="Times New Roman" w:hAnsi="Times New Roman"/>
          <w:b w:val="0"/>
          <w:spacing w:val="0"/>
          <w:sz w:val="22"/>
          <w:szCs w:val="22"/>
          <w:lang w:val="en-GB"/>
        </w:rPr>
        <w:t xml:space="preserve">their </w:t>
      </w:r>
      <w:proofErr w:type="gramStart"/>
      <w:r w:rsidR="00CE0FEE" w:rsidRPr="00972203">
        <w:rPr>
          <w:rStyle w:val="BookTitle"/>
          <w:rFonts w:ascii="Times New Roman" w:hAnsi="Times New Roman"/>
          <w:b w:val="0"/>
          <w:spacing w:val="0"/>
          <w:sz w:val="22"/>
          <w:szCs w:val="22"/>
          <w:lang w:val="en-GB"/>
        </w:rPr>
        <w:t xml:space="preserve">particular </w:t>
      </w:r>
      <w:r w:rsidR="004C0877" w:rsidRPr="00972203">
        <w:rPr>
          <w:rStyle w:val="BookTitle"/>
          <w:rFonts w:ascii="Times New Roman" w:hAnsi="Times New Roman"/>
          <w:b w:val="0"/>
          <w:spacing w:val="0"/>
          <w:sz w:val="22"/>
          <w:szCs w:val="22"/>
          <w:lang w:val="en-GB"/>
        </w:rPr>
        <w:t>suitability</w:t>
      </w:r>
      <w:proofErr w:type="gramEnd"/>
      <w:r w:rsidR="004C0877" w:rsidRPr="00972203">
        <w:rPr>
          <w:rStyle w:val="BookTitle"/>
          <w:rFonts w:ascii="Times New Roman" w:hAnsi="Times New Roman"/>
          <w:b w:val="0"/>
          <w:spacing w:val="0"/>
          <w:sz w:val="22"/>
          <w:szCs w:val="22"/>
          <w:lang w:val="en-GB"/>
        </w:rPr>
        <w:t xml:space="preserve"> </w:t>
      </w:r>
      <w:r w:rsidR="00571646">
        <w:rPr>
          <w:rStyle w:val="BookTitle"/>
          <w:rFonts w:ascii="Times New Roman" w:hAnsi="Times New Roman"/>
          <w:b w:val="0"/>
          <w:spacing w:val="0"/>
          <w:sz w:val="22"/>
          <w:szCs w:val="22"/>
          <w:lang w:val="en-GB"/>
        </w:rPr>
        <w:t>for CO</w:t>
      </w:r>
      <w:r w:rsidR="00571646" w:rsidRPr="00414327">
        <w:rPr>
          <w:rStyle w:val="BookTitle"/>
          <w:rFonts w:ascii="Times New Roman" w:hAnsi="Times New Roman"/>
          <w:b w:val="0"/>
          <w:spacing w:val="0"/>
          <w:sz w:val="22"/>
          <w:szCs w:val="22"/>
          <w:vertAlign w:val="subscript"/>
          <w:lang w:val="en-GB"/>
        </w:rPr>
        <w:t>2</w:t>
      </w:r>
      <w:r w:rsidR="00571646">
        <w:rPr>
          <w:rStyle w:val="BookTitle"/>
          <w:rFonts w:ascii="Times New Roman" w:hAnsi="Times New Roman"/>
          <w:b w:val="0"/>
          <w:spacing w:val="0"/>
          <w:sz w:val="22"/>
          <w:szCs w:val="22"/>
          <w:lang w:val="en-GB"/>
        </w:rPr>
        <w:t xml:space="preserve"> storage</w:t>
      </w:r>
      <w:r w:rsidR="004C0877" w:rsidRPr="00972203">
        <w:rPr>
          <w:rStyle w:val="BookTitle"/>
          <w:rFonts w:ascii="Times New Roman" w:hAnsi="Times New Roman"/>
          <w:b w:val="0"/>
          <w:spacing w:val="0"/>
          <w:sz w:val="22"/>
          <w:szCs w:val="22"/>
          <w:lang w:val="en-GB"/>
        </w:rPr>
        <w:t xml:space="preserve"> assessed in the next phase</w:t>
      </w:r>
      <w:r w:rsidR="00AB0EA3" w:rsidRPr="00972203">
        <w:rPr>
          <w:rStyle w:val="BookTitle"/>
          <w:rFonts w:ascii="Times New Roman" w:hAnsi="Times New Roman"/>
          <w:b w:val="0"/>
          <w:spacing w:val="0"/>
          <w:sz w:val="22"/>
          <w:szCs w:val="22"/>
          <w:lang w:val="en-GB"/>
        </w:rPr>
        <w:t>.</w:t>
      </w:r>
      <w:r w:rsidR="003D72BF" w:rsidRPr="00972203">
        <w:rPr>
          <w:rStyle w:val="BookTitle"/>
          <w:rFonts w:ascii="Times New Roman" w:hAnsi="Times New Roman"/>
          <w:b w:val="0"/>
          <w:spacing w:val="0"/>
          <w:sz w:val="22"/>
          <w:szCs w:val="22"/>
          <w:lang w:val="en-GB"/>
        </w:rPr>
        <w:t xml:space="preserve"> </w:t>
      </w:r>
      <w:r w:rsidR="00075939" w:rsidRPr="00972203">
        <w:rPr>
          <w:sz w:val="22"/>
          <w:szCs w:val="22"/>
          <w:lang w:val="en-GB"/>
        </w:rPr>
        <w:t>These criteria should be straightforward and reduce the number of entries effectively without detailed</w:t>
      </w:r>
      <w:r w:rsidR="00056434">
        <w:rPr>
          <w:sz w:val="22"/>
          <w:szCs w:val="22"/>
          <w:lang w:val="en-GB"/>
        </w:rPr>
        <w:t>,</w:t>
      </w:r>
      <w:r w:rsidR="00075939" w:rsidRPr="00972203">
        <w:rPr>
          <w:sz w:val="22"/>
          <w:szCs w:val="22"/>
          <w:lang w:val="en-GB"/>
        </w:rPr>
        <w:t xml:space="preserve"> site-specific research. Common examples of elements that can be considered in the basis of design might include location (</w:t>
      </w:r>
      <w:proofErr w:type="gramStart"/>
      <w:r w:rsidR="00075939" w:rsidRPr="00972203">
        <w:rPr>
          <w:sz w:val="22"/>
          <w:szCs w:val="22"/>
          <w:lang w:val="en-GB"/>
        </w:rPr>
        <w:t>e.g.</w:t>
      </w:r>
      <w:proofErr w:type="gramEnd"/>
      <w:r w:rsidR="00075939" w:rsidRPr="00972203">
        <w:rPr>
          <w:sz w:val="22"/>
          <w:szCs w:val="22"/>
          <w:lang w:val="en-GB"/>
        </w:rPr>
        <w:t xml:space="preserve"> region of interest, onshore vs offshore, maximum distance to the CO</w:t>
      </w:r>
      <w:r w:rsidR="00075939" w:rsidRPr="00972203">
        <w:rPr>
          <w:sz w:val="22"/>
          <w:szCs w:val="22"/>
          <w:vertAlign w:val="subscript"/>
          <w:lang w:val="en-GB"/>
        </w:rPr>
        <w:t>2</w:t>
      </w:r>
      <w:r w:rsidR="00075939" w:rsidRPr="00972203">
        <w:rPr>
          <w:sz w:val="22"/>
          <w:szCs w:val="22"/>
          <w:lang w:val="en-GB"/>
        </w:rPr>
        <w:t xml:space="preserve"> source); storage reservoir type (e.g. depleted oil and gas field vs saline aquifer); depth (e.g. </w:t>
      </w:r>
      <w:r w:rsidR="008B66AF">
        <w:rPr>
          <w:sz w:val="22"/>
          <w:szCs w:val="22"/>
          <w:lang w:val="en-GB"/>
        </w:rPr>
        <w:t xml:space="preserve">to ensure </w:t>
      </w:r>
      <w:r w:rsidR="00075939" w:rsidRPr="00972203">
        <w:rPr>
          <w:sz w:val="22"/>
          <w:szCs w:val="22"/>
          <w:lang w:val="en-GB"/>
        </w:rPr>
        <w:t>supercritical CO</w:t>
      </w:r>
      <w:r w:rsidR="00075939" w:rsidRPr="00972203">
        <w:rPr>
          <w:sz w:val="22"/>
          <w:szCs w:val="22"/>
          <w:vertAlign w:val="subscript"/>
          <w:lang w:val="en-GB"/>
        </w:rPr>
        <w:t>2</w:t>
      </w:r>
      <w:r w:rsidR="00075939" w:rsidRPr="00972203">
        <w:rPr>
          <w:sz w:val="22"/>
          <w:szCs w:val="22"/>
          <w:lang w:val="en-GB"/>
        </w:rPr>
        <w:t xml:space="preserve"> </w:t>
      </w:r>
      <w:r w:rsidR="008B66AF">
        <w:rPr>
          <w:sz w:val="22"/>
          <w:szCs w:val="22"/>
          <w:lang w:val="en-GB"/>
        </w:rPr>
        <w:t>conditions</w:t>
      </w:r>
      <w:r w:rsidR="00075939" w:rsidRPr="00972203">
        <w:rPr>
          <w:sz w:val="22"/>
          <w:szCs w:val="22"/>
          <w:lang w:val="en-GB"/>
        </w:rPr>
        <w:t xml:space="preserve">); or risk (e.g. avoid protected regions, </w:t>
      </w:r>
      <w:r w:rsidR="008B66AF">
        <w:rPr>
          <w:sz w:val="22"/>
          <w:szCs w:val="22"/>
          <w:lang w:val="en-GB"/>
        </w:rPr>
        <w:t xml:space="preserve">poorly </w:t>
      </w:r>
      <w:r w:rsidR="0085209A">
        <w:rPr>
          <w:sz w:val="22"/>
          <w:szCs w:val="22"/>
          <w:lang w:val="en-GB"/>
        </w:rPr>
        <w:t>abandoned</w:t>
      </w:r>
      <w:r w:rsidR="00075939" w:rsidRPr="00972203">
        <w:rPr>
          <w:sz w:val="22"/>
          <w:szCs w:val="22"/>
          <w:lang w:val="en-GB"/>
        </w:rPr>
        <w:t xml:space="preserve"> infrastructure or active seismic regions).</w:t>
      </w:r>
    </w:p>
    <w:p w14:paraId="48306EEA" w14:textId="29372106" w:rsidR="005E2386" w:rsidRDefault="005E2386" w:rsidP="0037290E">
      <w:pPr>
        <w:pStyle w:val="BodyText"/>
        <w:numPr>
          <w:ilvl w:val="0"/>
          <w:numId w:val="26"/>
        </w:numPr>
        <w:spacing w:after="120" w:line="276" w:lineRule="auto"/>
        <w:rPr>
          <w:rStyle w:val="BookTitle"/>
          <w:rFonts w:ascii="Times New Roman" w:hAnsi="Times New Roman"/>
          <w:b w:val="0"/>
          <w:spacing w:val="0"/>
          <w:sz w:val="22"/>
          <w:szCs w:val="22"/>
          <w:lang w:val="en-GB"/>
        </w:rPr>
      </w:pPr>
      <w:r>
        <w:rPr>
          <w:rStyle w:val="BookTitle"/>
          <w:rFonts w:ascii="Times New Roman" w:hAnsi="Times New Roman"/>
          <w:b w:val="0"/>
          <w:spacing w:val="0"/>
          <w:sz w:val="22"/>
          <w:szCs w:val="22"/>
          <w:lang w:val="en-GB"/>
        </w:rPr>
        <w:t>S</w:t>
      </w:r>
      <w:r w:rsidR="003D72BF" w:rsidRPr="00972203">
        <w:rPr>
          <w:rStyle w:val="BookTitle"/>
          <w:rFonts w:ascii="Times New Roman" w:hAnsi="Times New Roman"/>
          <w:b w:val="0"/>
          <w:spacing w:val="0"/>
          <w:sz w:val="22"/>
          <w:szCs w:val="22"/>
          <w:lang w:val="en-GB"/>
        </w:rPr>
        <w:t xml:space="preserve">creening, in which </w:t>
      </w:r>
      <w:r w:rsidR="004C0877" w:rsidRPr="00972203">
        <w:rPr>
          <w:rStyle w:val="BookTitle"/>
          <w:rFonts w:ascii="Times New Roman" w:hAnsi="Times New Roman"/>
          <w:b w:val="0"/>
          <w:spacing w:val="0"/>
          <w:sz w:val="22"/>
          <w:szCs w:val="22"/>
          <w:lang w:val="en-GB"/>
        </w:rPr>
        <w:t xml:space="preserve">the selectable </w:t>
      </w:r>
      <w:r w:rsidR="003D72BF" w:rsidRPr="00972203">
        <w:rPr>
          <w:rStyle w:val="BookTitle"/>
          <w:rFonts w:ascii="Times New Roman" w:hAnsi="Times New Roman"/>
          <w:b w:val="0"/>
          <w:spacing w:val="0"/>
          <w:sz w:val="22"/>
          <w:szCs w:val="22"/>
          <w:lang w:val="en-GB"/>
        </w:rPr>
        <w:t xml:space="preserve">sites are either taken forward or disqualified based on </w:t>
      </w:r>
      <w:r w:rsidR="0037290E">
        <w:rPr>
          <w:rStyle w:val="BookTitle"/>
          <w:rFonts w:ascii="Times New Roman" w:hAnsi="Times New Roman"/>
          <w:b w:val="0"/>
          <w:spacing w:val="0"/>
          <w:sz w:val="22"/>
          <w:szCs w:val="22"/>
          <w:lang w:val="en-GB"/>
        </w:rPr>
        <w:t>specified</w:t>
      </w:r>
      <w:r w:rsidR="0037290E" w:rsidRPr="00972203">
        <w:rPr>
          <w:rStyle w:val="BookTitle"/>
          <w:rFonts w:ascii="Times New Roman" w:hAnsi="Times New Roman"/>
          <w:b w:val="0"/>
          <w:spacing w:val="0"/>
          <w:sz w:val="22"/>
          <w:szCs w:val="22"/>
          <w:lang w:val="en-GB"/>
        </w:rPr>
        <w:t xml:space="preserve"> </w:t>
      </w:r>
      <w:r w:rsidR="00CE0FEE" w:rsidRPr="00972203">
        <w:rPr>
          <w:rStyle w:val="BookTitle"/>
          <w:rFonts w:ascii="Times New Roman" w:hAnsi="Times New Roman"/>
          <w:b w:val="0"/>
          <w:spacing w:val="0"/>
          <w:sz w:val="22"/>
          <w:szCs w:val="22"/>
          <w:lang w:val="en-GB"/>
        </w:rPr>
        <w:t xml:space="preserve">geological and economic </w:t>
      </w:r>
      <w:r w:rsidR="003D72BF" w:rsidRPr="00972203">
        <w:rPr>
          <w:rStyle w:val="BookTitle"/>
          <w:rFonts w:ascii="Times New Roman" w:hAnsi="Times New Roman"/>
          <w:b w:val="0"/>
          <w:spacing w:val="0"/>
          <w:sz w:val="22"/>
          <w:szCs w:val="22"/>
          <w:lang w:val="en-GB"/>
        </w:rPr>
        <w:t>criteria</w:t>
      </w:r>
      <w:r w:rsidR="00AB0EA3" w:rsidRPr="00972203">
        <w:rPr>
          <w:rStyle w:val="BookTitle"/>
          <w:rFonts w:ascii="Times New Roman" w:hAnsi="Times New Roman"/>
          <w:b w:val="0"/>
          <w:spacing w:val="0"/>
          <w:sz w:val="22"/>
          <w:szCs w:val="22"/>
          <w:lang w:val="en-GB"/>
        </w:rPr>
        <w:t>.</w:t>
      </w:r>
      <w:r w:rsidR="004C0877" w:rsidRPr="00972203">
        <w:rPr>
          <w:rStyle w:val="BookTitle"/>
          <w:rFonts w:ascii="Times New Roman" w:hAnsi="Times New Roman"/>
          <w:b w:val="0"/>
          <w:spacing w:val="0"/>
          <w:sz w:val="22"/>
          <w:szCs w:val="22"/>
          <w:lang w:val="en-GB"/>
        </w:rPr>
        <w:t xml:space="preserve"> The sites taken forward are considered “</w:t>
      </w:r>
      <w:r w:rsidR="00CE0FEE" w:rsidRPr="00972203">
        <w:rPr>
          <w:rStyle w:val="BookTitle"/>
          <w:rFonts w:ascii="Times New Roman" w:hAnsi="Times New Roman"/>
          <w:b w:val="0"/>
          <w:spacing w:val="0"/>
          <w:sz w:val="22"/>
          <w:szCs w:val="22"/>
          <w:lang w:val="en-GB"/>
        </w:rPr>
        <w:t xml:space="preserve">most </w:t>
      </w:r>
      <w:r w:rsidR="004C0877" w:rsidRPr="00972203">
        <w:rPr>
          <w:rStyle w:val="BookTitle"/>
          <w:rFonts w:ascii="Times New Roman" w:hAnsi="Times New Roman"/>
          <w:b w:val="0"/>
          <w:spacing w:val="0"/>
          <w:sz w:val="22"/>
          <w:szCs w:val="22"/>
          <w:lang w:val="en-GB"/>
        </w:rPr>
        <w:t>suitable”, but there</w:t>
      </w:r>
      <w:r w:rsidR="0037290E">
        <w:rPr>
          <w:rStyle w:val="BookTitle"/>
          <w:rFonts w:ascii="Times New Roman" w:hAnsi="Times New Roman"/>
          <w:b w:val="0"/>
          <w:spacing w:val="0"/>
          <w:sz w:val="22"/>
          <w:szCs w:val="22"/>
          <w:lang w:val="en-GB"/>
        </w:rPr>
        <w:t xml:space="preserve"> we</w:t>
      </w:r>
      <w:r w:rsidR="004C0877" w:rsidRPr="00972203">
        <w:rPr>
          <w:rStyle w:val="BookTitle"/>
          <w:rFonts w:ascii="Times New Roman" w:hAnsi="Times New Roman"/>
          <w:b w:val="0"/>
          <w:spacing w:val="0"/>
          <w:sz w:val="22"/>
          <w:szCs w:val="22"/>
          <w:lang w:val="en-GB"/>
        </w:rPr>
        <w:t xml:space="preserve">re too many </w:t>
      </w:r>
      <w:r w:rsidR="00CE0FEE" w:rsidRPr="00972203">
        <w:rPr>
          <w:rStyle w:val="BookTitle"/>
          <w:rFonts w:ascii="Times New Roman" w:hAnsi="Times New Roman"/>
          <w:b w:val="0"/>
          <w:spacing w:val="0"/>
          <w:sz w:val="22"/>
          <w:szCs w:val="22"/>
          <w:lang w:val="en-GB"/>
        </w:rPr>
        <w:t xml:space="preserve">sites </w:t>
      </w:r>
      <w:r w:rsidR="004C0877" w:rsidRPr="00972203">
        <w:rPr>
          <w:rStyle w:val="BookTitle"/>
          <w:rFonts w:ascii="Times New Roman" w:hAnsi="Times New Roman"/>
          <w:b w:val="0"/>
          <w:spacing w:val="0"/>
          <w:sz w:val="22"/>
          <w:szCs w:val="22"/>
          <w:lang w:val="en-GB"/>
        </w:rPr>
        <w:t xml:space="preserve">to run detailed </w:t>
      </w:r>
      <w:r w:rsidR="00CE0FEE" w:rsidRPr="00972203">
        <w:rPr>
          <w:rStyle w:val="BookTitle"/>
          <w:rFonts w:ascii="Times New Roman" w:hAnsi="Times New Roman"/>
          <w:b w:val="0"/>
          <w:spacing w:val="0"/>
          <w:sz w:val="22"/>
          <w:szCs w:val="22"/>
          <w:lang w:val="en-GB"/>
        </w:rPr>
        <w:t xml:space="preserve">individual </w:t>
      </w:r>
      <w:r w:rsidR="004C0877" w:rsidRPr="00972203">
        <w:rPr>
          <w:rStyle w:val="BookTitle"/>
          <w:rFonts w:ascii="Times New Roman" w:hAnsi="Times New Roman"/>
          <w:b w:val="0"/>
          <w:spacing w:val="0"/>
          <w:sz w:val="22"/>
          <w:szCs w:val="22"/>
          <w:lang w:val="en-GB"/>
        </w:rPr>
        <w:t>assessments</w:t>
      </w:r>
      <w:r w:rsidR="0037290E">
        <w:rPr>
          <w:rStyle w:val="BookTitle"/>
          <w:rFonts w:ascii="Times New Roman" w:hAnsi="Times New Roman"/>
          <w:b w:val="0"/>
          <w:spacing w:val="0"/>
          <w:sz w:val="22"/>
          <w:szCs w:val="22"/>
          <w:lang w:val="en-GB"/>
        </w:rPr>
        <w:t xml:space="preserve"> of each site </w:t>
      </w:r>
      <w:r w:rsidR="00A47C79" w:rsidRPr="00972203">
        <w:rPr>
          <w:rStyle w:val="BookTitle"/>
          <w:rFonts w:ascii="Times New Roman" w:hAnsi="Times New Roman"/>
          <w:b w:val="0"/>
          <w:spacing w:val="0"/>
          <w:sz w:val="22"/>
          <w:szCs w:val="22"/>
          <w:lang w:val="en-GB"/>
        </w:rPr>
        <w:t xml:space="preserve">and </w:t>
      </w:r>
      <w:r w:rsidR="0037290E">
        <w:rPr>
          <w:rStyle w:val="BookTitle"/>
          <w:rFonts w:ascii="Times New Roman" w:hAnsi="Times New Roman"/>
          <w:b w:val="0"/>
          <w:spacing w:val="0"/>
          <w:sz w:val="22"/>
          <w:szCs w:val="22"/>
          <w:lang w:val="en-GB"/>
        </w:rPr>
        <w:t xml:space="preserve">a </w:t>
      </w:r>
      <w:r w:rsidR="0037290E" w:rsidRPr="00972203">
        <w:rPr>
          <w:rStyle w:val="BookTitle"/>
          <w:rFonts w:ascii="Times New Roman" w:hAnsi="Times New Roman"/>
          <w:b w:val="0"/>
          <w:spacing w:val="0"/>
          <w:sz w:val="22"/>
          <w:szCs w:val="22"/>
          <w:lang w:val="en-GB"/>
        </w:rPr>
        <w:t>ra</w:t>
      </w:r>
      <w:r w:rsidR="0037290E">
        <w:rPr>
          <w:rStyle w:val="BookTitle"/>
          <w:rFonts w:ascii="Times New Roman" w:hAnsi="Times New Roman"/>
          <w:b w:val="0"/>
          <w:spacing w:val="0"/>
          <w:sz w:val="22"/>
          <w:szCs w:val="22"/>
          <w:lang w:val="en-GB"/>
        </w:rPr>
        <w:t>nki</w:t>
      </w:r>
      <w:r w:rsidR="0037290E" w:rsidRPr="00972203">
        <w:rPr>
          <w:rStyle w:val="BookTitle"/>
          <w:rFonts w:ascii="Times New Roman" w:hAnsi="Times New Roman"/>
          <w:b w:val="0"/>
          <w:spacing w:val="0"/>
          <w:sz w:val="22"/>
          <w:szCs w:val="22"/>
          <w:lang w:val="en-GB"/>
        </w:rPr>
        <w:t xml:space="preserve">ng </w:t>
      </w:r>
      <w:r w:rsidR="00A47C79" w:rsidRPr="00972203">
        <w:rPr>
          <w:rStyle w:val="BookTitle"/>
          <w:rFonts w:ascii="Times New Roman" w:hAnsi="Times New Roman"/>
          <w:b w:val="0"/>
          <w:spacing w:val="0"/>
          <w:sz w:val="22"/>
          <w:szCs w:val="22"/>
          <w:lang w:val="en-GB"/>
        </w:rPr>
        <w:t>of appropriateness</w:t>
      </w:r>
      <w:r w:rsidR="0037290E" w:rsidRPr="0037290E">
        <w:rPr>
          <w:rStyle w:val="BookTitle"/>
          <w:rFonts w:ascii="Times New Roman" w:hAnsi="Times New Roman"/>
          <w:b w:val="0"/>
          <w:spacing w:val="0"/>
          <w:sz w:val="22"/>
          <w:szCs w:val="22"/>
          <w:lang w:val="en-GB"/>
        </w:rPr>
        <w:t xml:space="preserve"> </w:t>
      </w:r>
      <w:r w:rsidR="0037290E">
        <w:rPr>
          <w:rStyle w:val="BookTitle"/>
          <w:rFonts w:ascii="Times New Roman" w:hAnsi="Times New Roman"/>
          <w:b w:val="0"/>
          <w:spacing w:val="0"/>
          <w:sz w:val="22"/>
          <w:szCs w:val="22"/>
          <w:lang w:val="en-GB"/>
        </w:rPr>
        <w:t>was required</w:t>
      </w:r>
      <w:r w:rsidR="00A47C79" w:rsidRPr="00972203">
        <w:rPr>
          <w:rStyle w:val="BookTitle"/>
          <w:rFonts w:ascii="Times New Roman" w:hAnsi="Times New Roman"/>
          <w:b w:val="0"/>
          <w:spacing w:val="0"/>
          <w:sz w:val="22"/>
          <w:szCs w:val="22"/>
          <w:lang w:val="en-GB"/>
        </w:rPr>
        <w:t>.</w:t>
      </w:r>
      <w:r w:rsidR="003D72BF" w:rsidRPr="00972203">
        <w:rPr>
          <w:rStyle w:val="BookTitle"/>
          <w:rFonts w:ascii="Times New Roman" w:hAnsi="Times New Roman"/>
          <w:b w:val="0"/>
          <w:spacing w:val="0"/>
          <w:sz w:val="22"/>
          <w:szCs w:val="22"/>
          <w:lang w:val="en-GB"/>
        </w:rPr>
        <w:t xml:space="preserve"> </w:t>
      </w:r>
    </w:p>
    <w:p w14:paraId="77FE4A25" w14:textId="7941116C" w:rsidR="005E2386" w:rsidRDefault="005E2386" w:rsidP="0037290E">
      <w:pPr>
        <w:pStyle w:val="BodyText"/>
        <w:numPr>
          <w:ilvl w:val="0"/>
          <w:numId w:val="26"/>
        </w:numPr>
        <w:spacing w:after="120" w:line="276" w:lineRule="auto"/>
        <w:rPr>
          <w:rStyle w:val="BookTitle"/>
          <w:rFonts w:ascii="Times New Roman" w:hAnsi="Times New Roman"/>
          <w:b w:val="0"/>
          <w:spacing w:val="0"/>
          <w:sz w:val="22"/>
          <w:szCs w:val="22"/>
          <w:lang w:val="en-GB"/>
        </w:rPr>
      </w:pPr>
      <w:r>
        <w:rPr>
          <w:rStyle w:val="BookTitle"/>
          <w:rFonts w:ascii="Times New Roman" w:hAnsi="Times New Roman"/>
          <w:b w:val="0"/>
          <w:spacing w:val="0"/>
          <w:sz w:val="22"/>
          <w:szCs w:val="22"/>
          <w:lang w:val="en-GB"/>
        </w:rPr>
        <w:t>Ranking</w:t>
      </w:r>
      <w:r w:rsidR="003D72BF" w:rsidRPr="00972203">
        <w:rPr>
          <w:rStyle w:val="BookTitle"/>
          <w:rFonts w:ascii="Times New Roman" w:hAnsi="Times New Roman"/>
          <w:b w:val="0"/>
          <w:spacing w:val="0"/>
          <w:sz w:val="22"/>
          <w:szCs w:val="22"/>
          <w:lang w:val="en-GB"/>
        </w:rPr>
        <w:t>, in which th</w:t>
      </w:r>
      <w:r w:rsidR="0037290E">
        <w:rPr>
          <w:rStyle w:val="BookTitle"/>
          <w:rFonts w:ascii="Times New Roman" w:hAnsi="Times New Roman"/>
          <w:b w:val="0"/>
          <w:spacing w:val="0"/>
          <w:sz w:val="22"/>
          <w:szCs w:val="22"/>
          <w:lang w:val="en-GB"/>
        </w:rPr>
        <w:t>e “most</w:t>
      </w:r>
      <w:r w:rsidR="003D72BF" w:rsidRPr="00972203">
        <w:rPr>
          <w:rStyle w:val="BookTitle"/>
          <w:rFonts w:ascii="Times New Roman" w:hAnsi="Times New Roman"/>
          <w:b w:val="0"/>
          <w:spacing w:val="0"/>
          <w:sz w:val="22"/>
          <w:szCs w:val="22"/>
          <w:lang w:val="en-GB"/>
        </w:rPr>
        <w:t xml:space="preserve"> </w:t>
      </w:r>
      <w:r w:rsidR="00A47C79" w:rsidRPr="00972203">
        <w:rPr>
          <w:rStyle w:val="BookTitle"/>
          <w:rFonts w:ascii="Times New Roman" w:hAnsi="Times New Roman"/>
          <w:b w:val="0"/>
          <w:spacing w:val="0"/>
          <w:sz w:val="22"/>
          <w:szCs w:val="22"/>
          <w:lang w:val="en-GB"/>
        </w:rPr>
        <w:t>suitable</w:t>
      </w:r>
      <w:r w:rsidR="0037290E">
        <w:rPr>
          <w:rStyle w:val="BookTitle"/>
          <w:rFonts w:ascii="Times New Roman" w:hAnsi="Times New Roman"/>
          <w:b w:val="0"/>
          <w:spacing w:val="0"/>
          <w:sz w:val="22"/>
          <w:szCs w:val="22"/>
          <w:lang w:val="en-GB"/>
        </w:rPr>
        <w:t>”</w:t>
      </w:r>
      <w:r w:rsidR="00A47C79" w:rsidRPr="00972203">
        <w:rPr>
          <w:rStyle w:val="BookTitle"/>
          <w:rFonts w:ascii="Times New Roman" w:hAnsi="Times New Roman"/>
          <w:b w:val="0"/>
          <w:spacing w:val="0"/>
          <w:sz w:val="22"/>
          <w:szCs w:val="22"/>
          <w:lang w:val="en-GB"/>
        </w:rPr>
        <w:t xml:space="preserve"> </w:t>
      </w:r>
      <w:r w:rsidR="003D72BF" w:rsidRPr="00972203">
        <w:rPr>
          <w:rStyle w:val="BookTitle"/>
          <w:rFonts w:ascii="Times New Roman" w:hAnsi="Times New Roman"/>
          <w:b w:val="0"/>
          <w:spacing w:val="0"/>
          <w:sz w:val="22"/>
          <w:szCs w:val="22"/>
          <w:lang w:val="en-GB"/>
        </w:rPr>
        <w:t xml:space="preserve">sites </w:t>
      </w:r>
      <w:r w:rsidR="0037290E">
        <w:rPr>
          <w:rStyle w:val="BookTitle"/>
          <w:rFonts w:ascii="Times New Roman" w:hAnsi="Times New Roman"/>
          <w:b w:val="0"/>
          <w:spacing w:val="0"/>
          <w:sz w:val="22"/>
          <w:szCs w:val="22"/>
          <w:lang w:val="en-GB"/>
        </w:rPr>
        <w:t>we</w:t>
      </w:r>
      <w:r w:rsidR="003D72BF" w:rsidRPr="00972203">
        <w:rPr>
          <w:rStyle w:val="BookTitle"/>
          <w:rFonts w:ascii="Times New Roman" w:hAnsi="Times New Roman"/>
          <w:b w:val="0"/>
          <w:spacing w:val="0"/>
          <w:sz w:val="22"/>
          <w:szCs w:val="22"/>
          <w:lang w:val="en-GB"/>
        </w:rPr>
        <w:t xml:space="preserve">re </w:t>
      </w:r>
      <w:r w:rsidR="00F52F91" w:rsidRPr="00972203">
        <w:rPr>
          <w:rStyle w:val="BookTitle"/>
          <w:rFonts w:ascii="Times New Roman" w:hAnsi="Times New Roman"/>
          <w:b w:val="0"/>
          <w:spacing w:val="0"/>
          <w:sz w:val="22"/>
          <w:szCs w:val="22"/>
          <w:lang w:val="en-GB"/>
        </w:rPr>
        <w:t>assessed</w:t>
      </w:r>
      <w:r w:rsidR="003D72BF" w:rsidRPr="00972203">
        <w:rPr>
          <w:rStyle w:val="BookTitle"/>
          <w:rFonts w:ascii="Times New Roman" w:hAnsi="Times New Roman"/>
          <w:b w:val="0"/>
          <w:spacing w:val="0"/>
          <w:sz w:val="22"/>
          <w:szCs w:val="22"/>
          <w:lang w:val="en-GB"/>
        </w:rPr>
        <w:t xml:space="preserve"> based on their characteristics and a reduced portfolio of </w:t>
      </w:r>
      <w:r w:rsidR="00A47C79" w:rsidRPr="00972203">
        <w:rPr>
          <w:rStyle w:val="BookTitle"/>
          <w:rFonts w:ascii="Times New Roman" w:hAnsi="Times New Roman"/>
          <w:b w:val="0"/>
          <w:spacing w:val="0"/>
          <w:sz w:val="22"/>
          <w:szCs w:val="22"/>
          <w:lang w:val="en-GB"/>
        </w:rPr>
        <w:t xml:space="preserve">“shortlisted” </w:t>
      </w:r>
      <w:r w:rsidR="003D72BF" w:rsidRPr="00972203">
        <w:rPr>
          <w:rStyle w:val="BookTitle"/>
          <w:rFonts w:ascii="Times New Roman" w:hAnsi="Times New Roman"/>
          <w:b w:val="0"/>
          <w:spacing w:val="0"/>
          <w:sz w:val="22"/>
          <w:szCs w:val="22"/>
          <w:lang w:val="en-GB"/>
        </w:rPr>
        <w:t xml:space="preserve">sites is taken forward based </w:t>
      </w:r>
      <w:r w:rsidR="0037290E">
        <w:rPr>
          <w:rStyle w:val="BookTitle"/>
          <w:rFonts w:ascii="Times New Roman" w:hAnsi="Times New Roman"/>
          <w:b w:val="0"/>
          <w:spacing w:val="0"/>
          <w:sz w:val="22"/>
          <w:szCs w:val="22"/>
          <w:lang w:val="en-GB"/>
        </w:rPr>
        <w:t>o</w:t>
      </w:r>
      <w:r w:rsidR="003D72BF" w:rsidRPr="00972203">
        <w:rPr>
          <w:rStyle w:val="BookTitle"/>
          <w:rFonts w:ascii="Times New Roman" w:hAnsi="Times New Roman"/>
          <w:b w:val="0"/>
          <w:spacing w:val="0"/>
          <w:sz w:val="22"/>
          <w:szCs w:val="22"/>
          <w:lang w:val="en-GB"/>
        </w:rPr>
        <w:t>n their performance</w:t>
      </w:r>
      <w:r w:rsidR="00414327">
        <w:rPr>
          <w:rStyle w:val="BookTitle"/>
          <w:rFonts w:ascii="Times New Roman" w:hAnsi="Times New Roman"/>
          <w:b w:val="0"/>
          <w:spacing w:val="0"/>
          <w:sz w:val="22"/>
          <w:szCs w:val="22"/>
          <w:lang w:val="en-GB"/>
        </w:rPr>
        <w:t xml:space="preserve"> </w:t>
      </w:r>
      <w:r w:rsidR="00E457FB">
        <w:rPr>
          <w:rStyle w:val="BookTitle"/>
          <w:rFonts w:ascii="Times New Roman" w:hAnsi="Times New Roman"/>
          <w:b w:val="0"/>
          <w:spacing w:val="0"/>
          <w:sz w:val="22"/>
          <w:szCs w:val="22"/>
          <w:lang w:val="en-GB"/>
        </w:rPr>
        <w:t>(</w:t>
      </w:r>
      <w:proofErr w:type="gramStart"/>
      <w:r w:rsidR="00E457FB">
        <w:rPr>
          <w:rStyle w:val="BookTitle"/>
          <w:rFonts w:ascii="Times New Roman" w:hAnsi="Times New Roman"/>
          <w:b w:val="0"/>
          <w:spacing w:val="0"/>
          <w:sz w:val="22"/>
          <w:szCs w:val="22"/>
          <w:lang w:val="en-GB"/>
        </w:rPr>
        <w:t>i.e.</w:t>
      </w:r>
      <w:proofErr w:type="gramEnd"/>
      <w:r w:rsidR="00E457FB">
        <w:rPr>
          <w:rStyle w:val="BookTitle"/>
          <w:rFonts w:ascii="Times New Roman" w:hAnsi="Times New Roman"/>
          <w:b w:val="0"/>
          <w:spacing w:val="0"/>
          <w:sz w:val="22"/>
          <w:szCs w:val="22"/>
          <w:lang w:val="en-GB"/>
        </w:rPr>
        <w:t xml:space="preserve"> how they rank) </w:t>
      </w:r>
      <w:r w:rsidR="00414327">
        <w:rPr>
          <w:rStyle w:val="BookTitle"/>
          <w:rFonts w:ascii="Times New Roman" w:hAnsi="Times New Roman"/>
          <w:b w:val="0"/>
          <w:spacing w:val="0"/>
          <w:sz w:val="22"/>
          <w:szCs w:val="22"/>
          <w:lang w:val="en-GB"/>
        </w:rPr>
        <w:t xml:space="preserve">against </w:t>
      </w:r>
      <w:r w:rsidR="00D362C9">
        <w:rPr>
          <w:rStyle w:val="BookTitle"/>
          <w:rFonts w:ascii="Times New Roman" w:hAnsi="Times New Roman"/>
          <w:b w:val="0"/>
          <w:spacing w:val="0"/>
          <w:sz w:val="22"/>
          <w:szCs w:val="22"/>
          <w:lang w:val="en-GB"/>
        </w:rPr>
        <w:t xml:space="preserve">a range of </w:t>
      </w:r>
      <w:r w:rsidR="00414327">
        <w:rPr>
          <w:rStyle w:val="BookTitle"/>
          <w:rFonts w:ascii="Times New Roman" w:hAnsi="Times New Roman"/>
          <w:b w:val="0"/>
          <w:spacing w:val="0"/>
          <w:sz w:val="22"/>
          <w:szCs w:val="22"/>
          <w:lang w:val="en-GB"/>
        </w:rPr>
        <w:t>criteria (geological, economic and safety)</w:t>
      </w:r>
      <w:r w:rsidR="00AB0EA3" w:rsidRPr="00972203">
        <w:rPr>
          <w:rStyle w:val="BookTitle"/>
          <w:rFonts w:ascii="Times New Roman" w:hAnsi="Times New Roman"/>
          <w:b w:val="0"/>
          <w:spacing w:val="0"/>
          <w:sz w:val="22"/>
          <w:szCs w:val="22"/>
          <w:lang w:val="en-GB"/>
        </w:rPr>
        <w:t>. Th</w:t>
      </w:r>
      <w:r w:rsidR="0037290E">
        <w:rPr>
          <w:rStyle w:val="BookTitle"/>
          <w:rFonts w:ascii="Times New Roman" w:hAnsi="Times New Roman"/>
          <w:b w:val="0"/>
          <w:spacing w:val="0"/>
          <w:sz w:val="22"/>
          <w:szCs w:val="22"/>
          <w:lang w:val="en-GB"/>
        </w:rPr>
        <w:t>e final</w:t>
      </w:r>
      <w:r w:rsidR="00AB0EA3" w:rsidRPr="00972203">
        <w:rPr>
          <w:rStyle w:val="BookTitle"/>
          <w:rFonts w:ascii="Times New Roman" w:hAnsi="Times New Roman"/>
          <w:b w:val="0"/>
          <w:spacing w:val="0"/>
          <w:sz w:val="22"/>
          <w:szCs w:val="22"/>
          <w:lang w:val="en-GB"/>
        </w:rPr>
        <w:t xml:space="preserve"> portfolio should ideally present the most suitable</w:t>
      </w:r>
      <w:r w:rsidR="0050724F">
        <w:rPr>
          <w:rStyle w:val="BookTitle"/>
          <w:rFonts w:ascii="Times New Roman" w:hAnsi="Times New Roman"/>
          <w:b w:val="0"/>
          <w:spacing w:val="0"/>
          <w:sz w:val="22"/>
          <w:szCs w:val="22"/>
          <w:lang w:val="en-GB"/>
        </w:rPr>
        <w:t xml:space="preserve"> short-listed</w:t>
      </w:r>
      <w:r w:rsidR="00AB0EA3" w:rsidRPr="00972203">
        <w:rPr>
          <w:rStyle w:val="BookTitle"/>
          <w:rFonts w:ascii="Times New Roman" w:hAnsi="Times New Roman"/>
          <w:b w:val="0"/>
          <w:spacing w:val="0"/>
          <w:sz w:val="22"/>
          <w:szCs w:val="22"/>
          <w:lang w:val="en-GB"/>
        </w:rPr>
        <w:t xml:space="preserve"> sites </w:t>
      </w:r>
      <w:r w:rsidR="00D362C9">
        <w:rPr>
          <w:rStyle w:val="BookTitle"/>
          <w:rFonts w:ascii="Times New Roman" w:hAnsi="Times New Roman"/>
          <w:b w:val="0"/>
          <w:spacing w:val="0"/>
          <w:sz w:val="22"/>
          <w:szCs w:val="22"/>
          <w:lang w:val="en-GB"/>
        </w:rPr>
        <w:t>while</w:t>
      </w:r>
      <w:r w:rsidR="00D362C9" w:rsidRPr="00972203">
        <w:rPr>
          <w:rStyle w:val="BookTitle"/>
          <w:rFonts w:ascii="Times New Roman" w:hAnsi="Times New Roman"/>
          <w:b w:val="0"/>
          <w:spacing w:val="0"/>
          <w:sz w:val="22"/>
          <w:szCs w:val="22"/>
          <w:lang w:val="en-GB"/>
        </w:rPr>
        <w:t xml:space="preserve"> </w:t>
      </w:r>
      <w:r w:rsidR="00AB0EA3" w:rsidRPr="00972203">
        <w:rPr>
          <w:rStyle w:val="BookTitle"/>
          <w:rFonts w:ascii="Times New Roman" w:hAnsi="Times New Roman"/>
          <w:b w:val="0"/>
          <w:spacing w:val="0"/>
          <w:sz w:val="22"/>
          <w:szCs w:val="22"/>
          <w:lang w:val="en-GB"/>
        </w:rPr>
        <w:t xml:space="preserve">keeping </w:t>
      </w:r>
      <w:r w:rsidR="0037290E">
        <w:rPr>
          <w:rStyle w:val="BookTitle"/>
          <w:rFonts w:ascii="Times New Roman" w:hAnsi="Times New Roman"/>
          <w:b w:val="0"/>
          <w:spacing w:val="0"/>
          <w:sz w:val="22"/>
          <w:szCs w:val="22"/>
          <w:lang w:val="en-GB"/>
        </w:rPr>
        <w:t xml:space="preserve">a </w:t>
      </w:r>
      <w:r w:rsidR="00AB0EA3" w:rsidRPr="00972203">
        <w:rPr>
          <w:rStyle w:val="BookTitle"/>
          <w:rFonts w:ascii="Times New Roman" w:hAnsi="Times New Roman"/>
          <w:b w:val="0"/>
          <w:spacing w:val="0"/>
          <w:sz w:val="22"/>
          <w:szCs w:val="22"/>
          <w:lang w:val="en-GB"/>
        </w:rPr>
        <w:t>variety of options</w:t>
      </w:r>
      <w:r w:rsidR="0037290E">
        <w:rPr>
          <w:rStyle w:val="BookTitle"/>
          <w:rFonts w:ascii="Times New Roman" w:hAnsi="Times New Roman"/>
          <w:b w:val="0"/>
          <w:spacing w:val="0"/>
          <w:sz w:val="22"/>
          <w:szCs w:val="22"/>
          <w:lang w:val="en-GB"/>
        </w:rPr>
        <w:t xml:space="preserve"> open</w:t>
      </w:r>
      <w:r w:rsidR="00AB0EA3" w:rsidRPr="00972203">
        <w:rPr>
          <w:rStyle w:val="BookTitle"/>
          <w:rFonts w:ascii="Times New Roman" w:hAnsi="Times New Roman"/>
          <w:b w:val="0"/>
          <w:spacing w:val="0"/>
          <w:sz w:val="22"/>
          <w:szCs w:val="22"/>
          <w:lang w:val="en-GB"/>
        </w:rPr>
        <w:t xml:space="preserve"> (</w:t>
      </w:r>
      <w:proofErr w:type="gramStart"/>
      <w:r w:rsidR="00AB0EA3" w:rsidRPr="00972203">
        <w:rPr>
          <w:rStyle w:val="BookTitle"/>
          <w:rFonts w:ascii="Times New Roman" w:hAnsi="Times New Roman"/>
          <w:b w:val="0"/>
          <w:spacing w:val="0"/>
          <w:sz w:val="22"/>
          <w:szCs w:val="22"/>
          <w:lang w:val="en-GB"/>
        </w:rPr>
        <w:t>e.g.</w:t>
      </w:r>
      <w:proofErr w:type="gramEnd"/>
      <w:r w:rsidR="00AB0EA3" w:rsidRPr="00972203">
        <w:rPr>
          <w:rStyle w:val="BookTitle"/>
          <w:rFonts w:ascii="Times New Roman" w:hAnsi="Times New Roman"/>
          <w:b w:val="0"/>
          <w:spacing w:val="0"/>
          <w:sz w:val="22"/>
          <w:szCs w:val="22"/>
          <w:lang w:val="en-GB"/>
        </w:rPr>
        <w:t xml:space="preserve"> in terms of reservoir type – saline aq</w:t>
      </w:r>
      <w:r w:rsidR="006654B5" w:rsidRPr="00972203">
        <w:rPr>
          <w:rStyle w:val="BookTitle"/>
          <w:rFonts w:ascii="Times New Roman" w:hAnsi="Times New Roman"/>
          <w:b w:val="0"/>
          <w:spacing w:val="0"/>
          <w:sz w:val="22"/>
          <w:szCs w:val="22"/>
          <w:lang w:val="en-GB"/>
        </w:rPr>
        <w:t>uifers and oil and gas fields</w:t>
      </w:r>
      <w:r w:rsidR="00AB0EA3" w:rsidRPr="00972203">
        <w:rPr>
          <w:rStyle w:val="BookTitle"/>
          <w:rFonts w:ascii="Times New Roman" w:hAnsi="Times New Roman"/>
          <w:b w:val="0"/>
          <w:spacing w:val="0"/>
          <w:sz w:val="22"/>
          <w:szCs w:val="22"/>
          <w:lang w:val="en-GB"/>
        </w:rPr>
        <w:t>)</w:t>
      </w:r>
      <w:r w:rsidR="00A47C79" w:rsidRPr="00972203">
        <w:rPr>
          <w:rStyle w:val="BookTitle"/>
          <w:rFonts w:ascii="Times New Roman" w:hAnsi="Times New Roman"/>
          <w:b w:val="0"/>
          <w:spacing w:val="0"/>
          <w:sz w:val="22"/>
          <w:szCs w:val="22"/>
          <w:lang w:val="en-GB"/>
        </w:rPr>
        <w:t xml:space="preserve"> so that the final decision can </w:t>
      </w:r>
      <w:r w:rsidR="0037290E">
        <w:rPr>
          <w:rStyle w:val="BookTitle"/>
          <w:rFonts w:ascii="Times New Roman" w:hAnsi="Times New Roman"/>
          <w:b w:val="0"/>
          <w:spacing w:val="0"/>
          <w:sz w:val="22"/>
          <w:szCs w:val="22"/>
          <w:lang w:val="en-GB"/>
        </w:rPr>
        <w:t>consider</w:t>
      </w:r>
      <w:r w:rsidR="0037290E" w:rsidRPr="00972203">
        <w:rPr>
          <w:rStyle w:val="BookTitle"/>
          <w:rFonts w:ascii="Times New Roman" w:hAnsi="Times New Roman"/>
          <w:b w:val="0"/>
          <w:spacing w:val="0"/>
          <w:sz w:val="22"/>
          <w:szCs w:val="22"/>
          <w:lang w:val="en-GB"/>
        </w:rPr>
        <w:t xml:space="preserve"> </w:t>
      </w:r>
      <w:r w:rsidR="00A47C79" w:rsidRPr="00972203">
        <w:rPr>
          <w:rStyle w:val="BookTitle"/>
          <w:rFonts w:ascii="Times New Roman" w:hAnsi="Times New Roman"/>
          <w:b w:val="0"/>
          <w:spacing w:val="0"/>
          <w:sz w:val="22"/>
          <w:szCs w:val="22"/>
          <w:lang w:val="en-GB"/>
        </w:rPr>
        <w:t xml:space="preserve">different storage scenarios. </w:t>
      </w:r>
    </w:p>
    <w:p w14:paraId="1F6027B4" w14:textId="23E3B02D" w:rsidR="00730403" w:rsidRDefault="00B71F72" w:rsidP="0037290E">
      <w:pPr>
        <w:pStyle w:val="BodyText"/>
        <w:numPr>
          <w:ilvl w:val="0"/>
          <w:numId w:val="26"/>
        </w:numPr>
        <w:spacing w:after="120" w:line="276" w:lineRule="auto"/>
        <w:rPr>
          <w:rStyle w:val="BookTitle"/>
          <w:rFonts w:ascii="Times New Roman" w:hAnsi="Times New Roman"/>
          <w:b w:val="0"/>
          <w:spacing w:val="0"/>
          <w:sz w:val="22"/>
          <w:szCs w:val="22"/>
          <w:lang w:val="en-GB"/>
        </w:rPr>
      </w:pPr>
      <w:r>
        <w:rPr>
          <w:rStyle w:val="BookTitle"/>
          <w:rFonts w:ascii="Times New Roman" w:hAnsi="Times New Roman"/>
          <w:b w:val="0"/>
          <w:spacing w:val="0"/>
          <w:sz w:val="22"/>
          <w:szCs w:val="22"/>
          <w:lang w:val="en-GB"/>
        </w:rPr>
        <w:t>Due diligence</w:t>
      </w:r>
      <w:r w:rsidR="003D72BF" w:rsidRPr="00972203">
        <w:rPr>
          <w:rStyle w:val="BookTitle"/>
          <w:rFonts w:ascii="Times New Roman" w:hAnsi="Times New Roman"/>
          <w:b w:val="0"/>
          <w:spacing w:val="0"/>
          <w:sz w:val="22"/>
          <w:szCs w:val="22"/>
          <w:lang w:val="en-GB"/>
        </w:rPr>
        <w:t>, in which the</w:t>
      </w:r>
      <w:r w:rsidR="0037290E">
        <w:rPr>
          <w:rStyle w:val="BookTitle"/>
          <w:rFonts w:ascii="Times New Roman" w:hAnsi="Times New Roman"/>
          <w:b w:val="0"/>
          <w:spacing w:val="0"/>
          <w:sz w:val="22"/>
          <w:szCs w:val="22"/>
          <w:lang w:val="en-GB"/>
        </w:rPr>
        <w:t xml:space="preserve"> final</w:t>
      </w:r>
      <w:r w:rsidR="002F33B6" w:rsidRPr="00972203">
        <w:rPr>
          <w:rStyle w:val="BookTitle"/>
          <w:rFonts w:ascii="Times New Roman" w:hAnsi="Times New Roman"/>
          <w:b w:val="0"/>
          <w:spacing w:val="0"/>
          <w:sz w:val="22"/>
          <w:szCs w:val="22"/>
          <w:lang w:val="en-GB"/>
        </w:rPr>
        <w:t xml:space="preserve"> sites are </w:t>
      </w:r>
      <w:r w:rsidR="0037290E">
        <w:rPr>
          <w:rStyle w:val="BookTitle"/>
          <w:rFonts w:ascii="Times New Roman" w:hAnsi="Times New Roman"/>
          <w:b w:val="0"/>
          <w:spacing w:val="0"/>
          <w:sz w:val="22"/>
          <w:szCs w:val="22"/>
          <w:lang w:val="en-GB"/>
        </w:rPr>
        <w:t>analysed</w:t>
      </w:r>
      <w:r w:rsidR="0037290E" w:rsidRPr="00972203">
        <w:rPr>
          <w:rStyle w:val="BookTitle"/>
          <w:rFonts w:ascii="Times New Roman" w:hAnsi="Times New Roman"/>
          <w:b w:val="0"/>
          <w:spacing w:val="0"/>
          <w:sz w:val="22"/>
          <w:szCs w:val="22"/>
          <w:lang w:val="en-GB"/>
        </w:rPr>
        <w:t xml:space="preserve"> </w:t>
      </w:r>
      <w:r w:rsidR="002F33B6" w:rsidRPr="00972203">
        <w:rPr>
          <w:rStyle w:val="BookTitle"/>
          <w:rFonts w:ascii="Times New Roman" w:hAnsi="Times New Roman"/>
          <w:b w:val="0"/>
          <w:spacing w:val="0"/>
          <w:sz w:val="22"/>
          <w:szCs w:val="22"/>
          <w:lang w:val="en-GB"/>
        </w:rPr>
        <w:t xml:space="preserve">in detail to produce enough information about them to </w:t>
      </w:r>
      <w:r w:rsidR="0037290E">
        <w:rPr>
          <w:rStyle w:val="BookTitle"/>
          <w:rFonts w:ascii="Times New Roman" w:hAnsi="Times New Roman"/>
          <w:b w:val="0"/>
          <w:spacing w:val="0"/>
          <w:sz w:val="22"/>
          <w:szCs w:val="22"/>
          <w:lang w:val="en-GB"/>
        </w:rPr>
        <w:t>inform a</w:t>
      </w:r>
      <w:r w:rsidR="002F33B6" w:rsidRPr="00972203">
        <w:rPr>
          <w:rStyle w:val="BookTitle"/>
          <w:rFonts w:ascii="Times New Roman" w:hAnsi="Times New Roman"/>
          <w:b w:val="0"/>
          <w:spacing w:val="0"/>
          <w:sz w:val="22"/>
          <w:szCs w:val="22"/>
          <w:lang w:val="en-GB"/>
        </w:rPr>
        <w:t xml:space="preserve"> decision </w:t>
      </w:r>
      <w:r w:rsidR="0037290E">
        <w:rPr>
          <w:rStyle w:val="BookTitle"/>
          <w:rFonts w:ascii="Times New Roman" w:hAnsi="Times New Roman"/>
          <w:b w:val="0"/>
          <w:spacing w:val="0"/>
          <w:sz w:val="22"/>
          <w:szCs w:val="22"/>
          <w:lang w:val="en-GB"/>
        </w:rPr>
        <w:t xml:space="preserve">on </w:t>
      </w:r>
      <w:r w:rsidR="00D362C9">
        <w:rPr>
          <w:rStyle w:val="BookTitle"/>
          <w:rFonts w:ascii="Times New Roman" w:hAnsi="Times New Roman"/>
          <w:b w:val="0"/>
          <w:spacing w:val="0"/>
          <w:sz w:val="22"/>
          <w:szCs w:val="22"/>
          <w:lang w:val="en-GB"/>
        </w:rPr>
        <w:t xml:space="preserve">the </w:t>
      </w:r>
      <w:r w:rsidR="002F33B6" w:rsidRPr="00972203">
        <w:rPr>
          <w:rStyle w:val="BookTitle"/>
          <w:rFonts w:ascii="Times New Roman" w:hAnsi="Times New Roman"/>
          <w:b w:val="0"/>
          <w:spacing w:val="0"/>
          <w:sz w:val="22"/>
          <w:szCs w:val="22"/>
          <w:lang w:val="en-GB"/>
        </w:rPr>
        <w:t>most suitable site</w:t>
      </w:r>
      <w:r w:rsidR="005E2386">
        <w:rPr>
          <w:rStyle w:val="BookTitle"/>
          <w:rFonts w:ascii="Times New Roman" w:hAnsi="Times New Roman"/>
          <w:b w:val="0"/>
          <w:spacing w:val="0"/>
          <w:sz w:val="22"/>
          <w:szCs w:val="22"/>
          <w:lang w:val="en-GB"/>
        </w:rPr>
        <w:t>, resulting in a</w:t>
      </w:r>
      <w:r w:rsidR="0037290E">
        <w:rPr>
          <w:rStyle w:val="BookTitle"/>
          <w:rFonts w:ascii="Times New Roman" w:hAnsi="Times New Roman"/>
          <w:b w:val="0"/>
          <w:spacing w:val="0"/>
          <w:sz w:val="22"/>
          <w:szCs w:val="22"/>
          <w:lang w:val="en-GB"/>
        </w:rPr>
        <w:t xml:space="preserve"> “</w:t>
      </w:r>
      <w:r w:rsidR="005E2386">
        <w:rPr>
          <w:rStyle w:val="BookTitle"/>
          <w:rFonts w:ascii="Times New Roman" w:hAnsi="Times New Roman"/>
          <w:b w:val="0"/>
          <w:spacing w:val="0"/>
          <w:sz w:val="22"/>
          <w:szCs w:val="22"/>
          <w:lang w:val="en-GB"/>
        </w:rPr>
        <w:t>S</w:t>
      </w:r>
      <w:r w:rsidR="0037290E">
        <w:rPr>
          <w:rStyle w:val="BookTitle"/>
          <w:rFonts w:ascii="Times New Roman" w:hAnsi="Times New Roman"/>
          <w:b w:val="0"/>
          <w:spacing w:val="0"/>
          <w:sz w:val="22"/>
          <w:szCs w:val="22"/>
          <w:lang w:val="en-GB"/>
        </w:rPr>
        <w:t>elected</w:t>
      </w:r>
      <w:r w:rsidR="005E2386">
        <w:rPr>
          <w:rStyle w:val="BookTitle"/>
          <w:rFonts w:ascii="Times New Roman" w:hAnsi="Times New Roman"/>
          <w:b w:val="0"/>
          <w:spacing w:val="0"/>
          <w:sz w:val="22"/>
          <w:szCs w:val="22"/>
          <w:lang w:val="en-GB"/>
        </w:rPr>
        <w:t xml:space="preserve"> Site</w:t>
      </w:r>
      <w:r w:rsidR="0037290E">
        <w:rPr>
          <w:rStyle w:val="BookTitle"/>
          <w:rFonts w:ascii="Times New Roman" w:hAnsi="Times New Roman"/>
          <w:b w:val="0"/>
          <w:spacing w:val="0"/>
          <w:sz w:val="22"/>
          <w:szCs w:val="22"/>
          <w:lang w:val="en-GB"/>
        </w:rPr>
        <w:t>”</w:t>
      </w:r>
      <w:r w:rsidR="002F33B6" w:rsidRPr="00972203">
        <w:rPr>
          <w:rStyle w:val="BookTitle"/>
          <w:rFonts w:ascii="Times New Roman" w:hAnsi="Times New Roman"/>
          <w:b w:val="0"/>
          <w:spacing w:val="0"/>
          <w:sz w:val="22"/>
          <w:szCs w:val="22"/>
          <w:lang w:val="en-GB"/>
        </w:rPr>
        <w:t>.</w:t>
      </w:r>
    </w:p>
    <w:p w14:paraId="312F22AE" w14:textId="77777777" w:rsidR="0044642E" w:rsidRDefault="00D15ABA" w:rsidP="00D15ABA">
      <w:pPr>
        <w:pStyle w:val="Caption"/>
      </w:pPr>
      <w:r w:rsidRPr="00972203">
        <w:rPr>
          <w:noProof/>
          <w:sz w:val="22"/>
          <w:lang w:eastAsia="en-GB"/>
        </w:rPr>
        <w:drawing>
          <wp:inline distT="0" distB="0" distL="0" distR="0" wp14:anchorId="6DEEBD11" wp14:editId="0981212B">
            <wp:extent cx="3124241" cy="2196323"/>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24241" cy="2196323"/>
                    </a:xfrm>
                    <a:prstGeom prst="rect">
                      <a:avLst/>
                    </a:prstGeom>
                    <a:noFill/>
                    <a:ln>
                      <a:noFill/>
                    </a:ln>
                  </pic:spPr>
                </pic:pic>
              </a:graphicData>
            </a:graphic>
          </wp:inline>
        </w:drawing>
      </w:r>
      <w:bookmarkStart w:id="1" w:name="_Ref14444823"/>
      <w:r w:rsidRPr="00D15ABA">
        <w:t xml:space="preserve"> </w:t>
      </w:r>
    </w:p>
    <w:p w14:paraId="40057F62" w14:textId="3CBA0080" w:rsidR="00D15ABA" w:rsidRPr="00972203" w:rsidRDefault="00D15ABA" w:rsidP="00D15ABA">
      <w:pPr>
        <w:pStyle w:val="Caption"/>
      </w:pPr>
      <w:r w:rsidRPr="00972203">
        <w:t xml:space="preserve">Figure </w:t>
      </w:r>
      <w:r w:rsidRPr="00972203">
        <w:rPr>
          <w:noProof/>
        </w:rPr>
        <w:fldChar w:fldCharType="begin"/>
      </w:r>
      <w:r w:rsidRPr="00972203">
        <w:rPr>
          <w:noProof/>
        </w:rPr>
        <w:instrText xml:space="preserve"> SEQ Figure \* ARABIC </w:instrText>
      </w:r>
      <w:r w:rsidRPr="00972203">
        <w:rPr>
          <w:noProof/>
        </w:rPr>
        <w:fldChar w:fldCharType="separate"/>
      </w:r>
      <w:r w:rsidR="00300235">
        <w:rPr>
          <w:noProof/>
        </w:rPr>
        <w:t>2</w:t>
      </w:r>
      <w:r w:rsidRPr="00972203">
        <w:rPr>
          <w:noProof/>
        </w:rPr>
        <w:fldChar w:fldCharType="end"/>
      </w:r>
      <w:bookmarkEnd w:id="1"/>
      <w:r w:rsidRPr="00972203">
        <w:t xml:space="preserve">: Overview of the site selection workflow designed to select the most suitable site from an initial pool of input sites. The </w:t>
      </w:r>
      <w:r>
        <w:t xml:space="preserve">criteria-driven </w:t>
      </w:r>
      <w:r w:rsidRPr="00972203">
        <w:t>methodology includes four main stages: basis of design, screening, ranking and due diligence. I</w:t>
      </w:r>
      <w:r w:rsidR="0044642E">
        <w:t>n brackets, i</w:t>
      </w:r>
      <w:r w:rsidRPr="00972203">
        <w:t xml:space="preserve">mplementation of this methodology in </w:t>
      </w:r>
      <w:r>
        <w:t>this study</w:t>
      </w:r>
      <w:r w:rsidRPr="00972203">
        <w:t>, where the input of 574 sites of the CO</w:t>
      </w:r>
      <w:r w:rsidRPr="00972203">
        <w:rPr>
          <w:vertAlign w:val="subscript"/>
        </w:rPr>
        <w:t>2</w:t>
      </w:r>
      <w:r>
        <w:rPr>
          <w:vertAlign w:val="subscript"/>
        </w:rPr>
        <w:t xml:space="preserve"> </w:t>
      </w:r>
      <w:r w:rsidRPr="00972203">
        <w:t xml:space="preserve">Stored database </w:t>
      </w:r>
      <w:r w:rsidRPr="00972203">
        <w:fldChar w:fldCharType="begin" w:fldLock="1"/>
      </w:r>
      <w:r w:rsidR="009D58AA">
        <w:instrText>ADDIN CSL_CITATION {"citationItems":[{"id":"ITEM-1","itemData":{"DOI":"10.1016/j.egypro.2014.11.540","ISBN":"1876-6102","ISSN":"18766102","abstract":"The CO2Storage Evaluation Database (CO2Stored) is the UK's offshore storage atlas. It provides online access to information for over 500 potential offshore storage units. CO2Stored is hosted and developed in partnership by The Crown Estate (TCE) and The British Geological Survey (BGS). CO2Stored provides access to some of the results of the UK Storage Appraisal Project (UKSAP; commissioned and funded by the Energy Technologies Institute). Through CO2Stored information can be delivered for a range of storage types including saline aquifers and oil and gas fields concerning the geological parameters of the storage units, potential geological risks and economic projections for cost of storage.","author":[{"dropping-particle":"","family":"Bentham","given":"Michelle","non-dropping-particle":"","parse-names":false,"suffix":""},{"dropping-particle":"","family":"Mallows","given":"Tom","non-dropping-particle":"","parse-names":false,"suffix":""},{"dropping-particle":"","family":"Lowndes","given":"Jonathan","non-dropping-particle":"","parse-names":false,"suffix":""},{"dropping-particle":"","family":"Green","given":"Andrew","non-dropping-particle":"","parse-names":false,"suffix":""}],"container-title":"Energy Procedia","id":"ITEM-1","issue":"0","issued":{"date-parts":[["2014"]]},"page":"5103-5113","publisher":"Elsevier B.V.","title":"CO2STORage evaluation database (CO2Stored). The UK's online storage atlas","type":"article-journal","volume":"63"},"uris":["http://www.mendeley.com/documents/?uuid=2d095a81-38b1-433b-bd47-ada7cd6f384d"]}],"mendeley":{"formattedCitation":"(Bentham et al., 2014)","plainTextFormattedCitation":"(Bentham et al., 2014)","previouslyFormattedCitation":"(Bentham et al., 2014)"},"properties":{"noteIndex":0},"schema":"https://github.com/citation-style-language/schema/raw/master/csl-citation.json"}</w:instrText>
      </w:r>
      <w:r w:rsidRPr="00972203">
        <w:fldChar w:fldCharType="separate"/>
      </w:r>
      <w:r w:rsidR="00C01E2D" w:rsidRPr="00C01E2D">
        <w:rPr>
          <w:noProof/>
        </w:rPr>
        <w:t>(Bentham et al., 2014)</w:t>
      </w:r>
      <w:r w:rsidRPr="00972203">
        <w:fldChar w:fldCharType="end"/>
      </w:r>
      <w:r w:rsidRPr="00972203">
        <w:t xml:space="preserve"> were subsequently filtered and led to the selection of the most suitable site.</w:t>
      </w:r>
    </w:p>
    <w:p w14:paraId="35041EF8" w14:textId="46B205A5" w:rsidR="005E2386" w:rsidRPr="00972203" w:rsidRDefault="00D15ABA" w:rsidP="00D15ABA">
      <w:pPr>
        <w:rPr>
          <w:rStyle w:val="BookTitle"/>
          <w:rFonts w:ascii="Times New Roman" w:hAnsi="Times New Roman"/>
          <w:b w:val="0"/>
          <w:spacing w:val="0"/>
        </w:rPr>
      </w:pPr>
      <w:r w:rsidRPr="00D15ABA">
        <w:rPr>
          <w:rStyle w:val="BookTitle"/>
          <w:rFonts w:ascii="Times New Roman" w:hAnsi="Times New Roman"/>
          <w:b w:val="0"/>
          <w:spacing w:val="0"/>
        </w:rPr>
        <w:t>A</w:t>
      </w:r>
      <w:r>
        <w:rPr>
          <w:rStyle w:val="BookTitle"/>
          <w:rFonts w:ascii="Times New Roman" w:hAnsi="Times New Roman"/>
          <w:b w:val="0"/>
          <w:spacing w:val="0"/>
        </w:rPr>
        <w:t>lso</w:t>
      </w:r>
      <w:r w:rsidR="00B329FC">
        <w:rPr>
          <w:rStyle w:val="BookTitle"/>
          <w:rFonts w:ascii="Times New Roman" w:hAnsi="Times New Roman"/>
          <w:b w:val="0"/>
          <w:spacing w:val="0"/>
        </w:rPr>
        <w:t>,</w:t>
      </w:r>
      <w:r>
        <w:rPr>
          <w:rStyle w:val="BookTitle"/>
          <w:rFonts w:ascii="Times New Roman" w:hAnsi="Times New Roman"/>
          <w:b w:val="0"/>
          <w:spacing w:val="0"/>
        </w:rPr>
        <w:t xml:space="preserve"> a</w:t>
      </w:r>
      <w:r w:rsidRPr="00D15ABA">
        <w:rPr>
          <w:rStyle w:val="BookTitle"/>
          <w:rFonts w:ascii="Times New Roman" w:hAnsi="Times New Roman"/>
          <w:b w:val="0"/>
          <w:spacing w:val="0"/>
        </w:rPr>
        <w:t>s part of the site selection process, a workshop was run to obtain feedback from external stakeholders on the site selection methodology. The attendees included a mix of academic, industry and public sector representatives, internal and external to the Acorn project, with background in different elements of CO</w:t>
      </w:r>
      <w:r w:rsidRPr="00157F42">
        <w:rPr>
          <w:rStyle w:val="BookTitle"/>
          <w:rFonts w:ascii="Times New Roman" w:hAnsi="Times New Roman"/>
          <w:b w:val="0"/>
          <w:spacing w:val="0"/>
          <w:vertAlign w:val="subscript"/>
        </w:rPr>
        <w:t>2</w:t>
      </w:r>
      <w:r w:rsidRPr="00D15ABA">
        <w:rPr>
          <w:rStyle w:val="BookTitle"/>
          <w:rFonts w:ascii="Times New Roman" w:hAnsi="Times New Roman"/>
          <w:b w:val="0"/>
          <w:spacing w:val="0"/>
        </w:rPr>
        <w:t xml:space="preserve"> storage. The criteria-driven methodology and the major results were presented to the stakeholders for their discussion. The key feedback points </w:t>
      </w:r>
      <w:r w:rsidRPr="00D15ABA">
        <w:rPr>
          <w:rStyle w:val="BookTitle"/>
          <w:rFonts w:ascii="Times New Roman" w:hAnsi="Times New Roman"/>
          <w:b w:val="0"/>
          <w:spacing w:val="0"/>
        </w:rPr>
        <w:lastRenderedPageBreak/>
        <w:t xml:space="preserve">focused on cost, data quality and availability, legal issues, and legacy wells. </w:t>
      </w:r>
      <w:r>
        <w:t xml:space="preserve">The workshop provided a quality control of the site selection process, and the methodology presented in this study was reviewed </w:t>
      </w:r>
      <w:proofErr w:type="gramStart"/>
      <w:r>
        <w:t>in light of</w:t>
      </w:r>
      <w:proofErr w:type="gramEnd"/>
      <w:r>
        <w:t xml:space="preserve"> the feedback received. The discussions generated were very productive and the outcomes were key to define the final strategy for the selection of Site 2.</w:t>
      </w:r>
      <w:r w:rsidR="002B78D5">
        <w:t xml:space="preserve"> </w:t>
      </w:r>
      <w:r w:rsidRPr="00D15ABA">
        <w:rPr>
          <w:rStyle w:val="BookTitle"/>
          <w:rFonts w:ascii="Times New Roman" w:hAnsi="Times New Roman"/>
          <w:b w:val="0"/>
          <w:spacing w:val="0"/>
        </w:rPr>
        <w:t>A detailed description of the workshop procedure and the</w:t>
      </w:r>
      <w:r w:rsidR="002B78D5">
        <w:rPr>
          <w:rStyle w:val="BookTitle"/>
          <w:rFonts w:ascii="Times New Roman" w:hAnsi="Times New Roman"/>
          <w:b w:val="0"/>
          <w:spacing w:val="0"/>
        </w:rPr>
        <w:t xml:space="preserve"> major outcomes can be found in </w:t>
      </w:r>
      <w:r w:rsidR="002B78D5">
        <w:rPr>
          <w:rStyle w:val="BookTitle"/>
          <w:rFonts w:ascii="Times New Roman" w:hAnsi="Times New Roman"/>
          <w:b w:val="0"/>
          <w:spacing w:val="0"/>
        </w:rPr>
        <w:fldChar w:fldCharType="begin" w:fldLock="1"/>
      </w:r>
      <w:r w:rsidR="00467ADF">
        <w:rPr>
          <w:rStyle w:val="BookTitle"/>
          <w:rFonts w:ascii="Times New Roman" w:hAnsi="Times New Roman"/>
          <w:b w:val="0"/>
          <w:spacing w:val="0"/>
        </w:rPr>
        <w:instrText>ADDIN CSL_CITATION {"citationItems":[{"id":"ITEM-1","itemData":{"URL":"https://actacorn.eu/sites/default/files/ACT Acorn Site Selection Report 1.0_0.pdf","accessed":{"date-parts":[["2020","8","14"]]},"author":[{"dropping-particle":"","family":"ACT Acorn","given":"","non-dropping-particle":"","parse-names":false,"suffix":""}],"container-title":"10196ACTC Rep 08 01 - Site Selection Report","id":"ITEM-1","issued":{"date-parts":[["2018"]]},"page":"77","title":"Site selection report","type":"webpage"},"uris":["http://www.mendeley.com/documents/?uuid=3f8db46c-45c7-4209-a7ee-4154ddd76f32"]}],"mendeley":{"formattedCitation":"(ACT Acorn, 2018a)","plainTextFormattedCitation":"(ACT Acorn, 2018a)","previouslyFormattedCitation":"(ACT Acorn, 2018a)"},"properties":{"noteIndex":0},"schema":"https://github.com/citation-style-language/schema/raw/master/csl-citation.json"}</w:instrText>
      </w:r>
      <w:r w:rsidR="002B78D5">
        <w:rPr>
          <w:rStyle w:val="BookTitle"/>
          <w:rFonts w:ascii="Times New Roman" w:hAnsi="Times New Roman"/>
          <w:b w:val="0"/>
          <w:spacing w:val="0"/>
        </w:rPr>
        <w:fldChar w:fldCharType="separate"/>
      </w:r>
      <w:r w:rsidR="002B78D5" w:rsidRPr="002B78D5">
        <w:rPr>
          <w:rStyle w:val="BookTitle"/>
          <w:rFonts w:ascii="Times New Roman" w:hAnsi="Times New Roman"/>
          <w:b w:val="0"/>
          <w:noProof/>
          <w:spacing w:val="0"/>
        </w:rPr>
        <w:t>(ACT Acorn, 2018a)</w:t>
      </w:r>
      <w:r w:rsidR="002B78D5">
        <w:rPr>
          <w:rStyle w:val="BookTitle"/>
          <w:rFonts w:ascii="Times New Roman" w:hAnsi="Times New Roman"/>
          <w:b w:val="0"/>
          <w:spacing w:val="0"/>
        </w:rPr>
        <w:fldChar w:fldCharType="end"/>
      </w:r>
      <w:r w:rsidR="002B78D5">
        <w:rPr>
          <w:rStyle w:val="BookTitle"/>
          <w:rFonts w:ascii="Times New Roman" w:hAnsi="Times New Roman"/>
          <w:b w:val="0"/>
          <w:spacing w:val="0"/>
        </w:rPr>
        <w:t>.</w:t>
      </w:r>
    </w:p>
    <w:p w14:paraId="4A8E1EF4" w14:textId="6FCA062D" w:rsidR="009965CE" w:rsidRPr="00972203" w:rsidRDefault="00575E43" w:rsidP="002B2A02">
      <w:pPr>
        <w:pStyle w:val="Heading1"/>
        <w:rPr>
          <w:rStyle w:val="BookTitle"/>
          <w:rFonts w:ascii="Times New Roman" w:hAnsi="Times New Roman"/>
          <w:b/>
          <w:bCs w:val="0"/>
          <w:iCs w:val="0"/>
          <w:spacing w:val="0"/>
        </w:rPr>
      </w:pPr>
      <w:r w:rsidRPr="00972203">
        <w:rPr>
          <w:rStyle w:val="BookTitle"/>
          <w:rFonts w:ascii="Times New Roman" w:hAnsi="Times New Roman"/>
          <w:b/>
          <w:bCs w:val="0"/>
          <w:iCs w:val="0"/>
          <w:spacing w:val="0"/>
        </w:rPr>
        <w:t xml:space="preserve">Selection of </w:t>
      </w:r>
      <w:r w:rsidR="00946C9E" w:rsidRPr="00972203">
        <w:rPr>
          <w:rStyle w:val="BookTitle"/>
          <w:rFonts w:ascii="Times New Roman" w:hAnsi="Times New Roman"/>
          <w:b/>
          <w:bCs w:val="0"/>
          <w:iCs w:val="0"/>
          <w:spacing w:val="0"/>
        </w:rPr>
        <w:t>‘</w:t>
      </w:r>
      <w:r w:rsidRPr="00972203">
        <w:rPr>
          <w:rStyle w:val="BookTitle"/>
          <w:rFonts w:ascii="Times New Roman" w:hAnsi="Times New Roman"/>
          <w:b/>
          <w:bCs w:val="0"/>
          <w:iCs w:val="0"/>
          <w:spacing w:val="0"/>
        </w:rPr>
        <w:t>Site 2</w:t>
      </w:r>
      <w:r w:rsidR="00946C9E" w:rsidRPr="00972203">
        <w:rPr>
          <w:rStyle w:val="BookTitle"/>
          <w:rFonts w:ascii="Times New Roman" w:hAnsi="Times New Roman"/>
          <w:b/>
          <w:bCs w:val="0"/>
          <w:iCs w:val="0"/>
          <w:spacing w:val="0"/>
        </w:rPr>
        <w:t>’</w:t>
      </w:r>
      <w:r w:rsidRPr="00972203">
        <w:rPr>
          <w:rStyle w:val="BookTitle"/>
          <w:rFonts w:ascii="Times New Roman" w:hAnsi="Times New Roman"/>
          <w:b/>
          <w:bCs w:val="0"/>
          <w:iCs w:val="0"/>
          <w:spacing w:val="0"/>
        </w:rPr>
        <w:t xml:space="preserve"> </w:t>
      </w:r>
    </w:p>
    <w:p w14:paraId="59FF26D0" w14:textId="3F013332" w:rsidR="00264BC9" w:rsidRPr="00972203" w:rsidRDefault="00264BC9" w:rsidP="002B2A02">
      <w:pPr>
        <w:pStyle w:val="Heading2"/>
      </w:pPr>
      <w:bookmarkStart w:id="2" w:name="_Ref36116009"/>
      <w:r w:rsidRPr="00972203">
        <w:t>Input data - the CO</w:t>
      </w:r>
      <w:r w:rsidRPr="00D110F2">
        <w:rPr>
          <w:vertAlign w:val="subscript"/>
        </w:rPr>
        <w:t>2</w:t>
      </w:r>
      <w:r w:rsidRPr="00972203">
        <w:t>stored database</w:t>
      </w:r>
      <w:bookmarkEnd w:id="2"/>
    </w:p>
    <w:p w14:paraId="2C80DD98" w14:textId="44239039" w:rsidR="00264BC9" w:rsidRPr="00972203" w:rsidRDefault="00264BC9" w:rsidP="000E3E3C">
      <w:pPr>
        <w:spacing w:line="276" w:lineRule="auto"/>
        <w:rPr>
          <w:rFonts w:eastAsia="Times New Roman"/>
        </w:rPr>
      </w:pPr>
      <w:r w:rsidRPr="00972203">
        <w:rPr>
          <w:rFonts w:eastAsia="Times New Roman"/>
        </w:rPr>
        <w:t>The CO</w:t>
      </w:r>
      <w:r w:rsidRPr="00972203">
        <w:rPr>
          <w:rFonts w:eastAsia="Times New Roman"/>
          <w:vertAlign w:val="subscript"/>
        </w:rPr>
        <w:t>2</w:t>
      </w:r>
      <w:r w:rsidRPr="00972203">
        <w:rPr>
          <w:rFonts w:eastAsia="Times New Roman"/>
        </w:rPr>
        <w:t>Stored database</w:t>
      </w:r>
      <w:r w:rsidR="00FC3371" w:rsidRPr="00372E88">
        <w:rPr>
          <w:rStyle w:val="FootnoteReference"/>
        </w:rPr>
        <w:footnoteReference w:id="1"/>
      </w:r>
      <w:r w:rsidRPr="00972203">
        <w:rPr>
          <w:rFonts w:eastAsia="Times New Roman"/>
        </w:rPr>
        <w:t xml:space="preserve"> was developed </w:t>
      </w:r>
      <w:r w:rsidR="000E3E3C" w:rsidRPr="00972203">
        <w:rPr>
          <w:rFonts w:eastAsia="Times New Roman"/>
        </w:rPr>
        <w:t xml:space="preserve">as part of the </w:t>
      </w:r>
      <w:r w:rsidR="00A9540A" w:rsidRPr="00AE5863">
        <w:rPr>
          <w:rStyle w:val="BookTitle"/>
          <w:rFonts w:ascii="Times New Roman" w:hAnsi="Times New Roman"/>
          <w:b w:val="0"/>
          <w:spacing w:val="0"/>
        </w:rPr>
        <w:t xml:space="preserve">Strategic UK Carbon Capture and Storage Appraisal </w:t>
      </w:r>
      <w:r w:rsidR="00A9540A">
        <w:rPr>
          <w:rStyle w:val="BookTitle"/>
          <w:rFonts w:ascii="Times New Roman" w:hAnsi="Times New Roman"/>
          <w:b w:val="0"/>
          <w:spacing w:val="0"/>
        </w:rPr>
        <w:t>(</w:t>
      </w:r>
      <w:r w:rsidR="000E3E3C" w:rsidRPr="00972203">
        <w:rPr>
          <w:rFonts w:eastAsia="Times New Roman"/>
        </w:rPr>
        <w:t>SSAP</w:t>
      </w:r>
      <w:r w:rsidR="00A9540A">
        <w:rPr>
          <w:rFonts w:eastAsia="Times New Roman"/>
        </w:rPr>
        <w:t>)</w:t>
      </w:r>
      <w:r w:rsidR="000E3E3C" w:rsidRPr="00972203">
        <w:rPr>
          <w:rFonts w:eastAsia="Times New Roman"/>
        </w:rPr>
        <w:t xml:space="preserve"> Pr</w:t>
      </w:r>
      <w:r w:rsidRPr="00972203">
        <w:rPr>
          <w:rFonts w:eastAsia="Times New Roman"/>
        </w:rPr>
        <w:t xml:space="preserve">oject, funded by the Energy Technologies </w:t>
      </w:r>
      <w:proofErr w:type="gramStart"/>
      <w:r w:rsidRPr="00972203">
        <w:rPr>
          <w:rFonts w:eastAsia="Times New Roman"/>
        </w:rPr>
        <w:t>Institute</w:t>
      </w:r>
      <w:proofErr w:type="gramEnd"/>
      <w:r w:rsidRPr="00972203">
        <w:rPr>
          <w:rFonts w:eastAsia="Times New Roman"/>
        </w:rPr>
        <w:t xml:space="preserve"> and published in 2012. </w:t>
      </w:r>
      <w:r w:rsidR="00A9540A">
        <w:rPr>
          <w:rFonts w:eastAsia="Times New Roman"/>
        </w:rPr>
        <w:t>This database</w:t>
      </w:r>
      <w:r w:rsidR="00A9540A" w:rsidRPr="00972203">
        <w:rPr>
          <w:rFonts w:eastAsia="Times New Roman"/>
        </w:rPr>
        <w:t xml:space="preserve"> </w:t>
      </w:r>
      <w:r w:rsidRPr="00972203">
        <w:rPr>
          <w:rFonts w:eastAsia="Times New Roman"/>
        </w:rPr>
        <w:t xml:space="preserve">was developed to </w:t>
      </w:r>
      <w:r w:rsidR="009C33F3" w:rsidRPr="00972203">
        <w:rPr>
          <w:rFonts w:eastAsia="Times New Roman"/>
        </w:rPr>
        <w:t>establish</w:t>
      </w:r>
      <w:r w:rsidRPr="00972203">
        <w:rPr>
          <w:rFonts w:eastAsia="Times New Roman"/>
        </w:rPr>
        <w:t xml:space="preserve"> the geological storage capacity of the UK continental shelf for CO</w:t>
      </w:r>
      <w:r w:rsidRPr="00972203">
        <w:rPr>
          <w:rFonts w:eastAsia="Times New Roman"/>
          <w:vertAlign w:val="subscript"/>
        </w:rPr>
        <w:t>2</w:t>
      </w:r>
      <w:r w:rsidRPr="00972203">
        <w:rPr>
          <w:rFonts w:eastAsia="Times New Roman"/>
        </w:rPr>
        <w:t>, and is maintained by the Crown Estate</w:t>
      </w:r>
      <w:r w:rsidR="000C57AE" w:rsidRPr="00972203">
        <w:rPr>
          <w:rFonts w:eastAsia="Times New Roman"/>
        </w:rPr>
        <w:t xml:space="preserve"> </w:t>
      </w:r>
      <w:r w:rsidR="002F11CA" w:rsidRPr="00972203">
        <w:rPr>
          <w:rFonts w:eastAsia="Times New Roman"/>
        </w:rPr>
        <w:fldChar w:fldCharType="begin" w:fldLock="1"/>
      </w:r>
      <w:r w:rsidR="009D58AA">
        <w:rPr>
          <w:rFonts w:eastAsia="Times New Roman"/>
        </w:rPr>
        <w:instrText>ADDIN CSL_CITATION {"citationItems":[{"id":"ITEM-1","itemData":{"DOI":"10.1016/j.egypro.2014.11.540","ISBN":"1876-6102","ISSN":"18766102","abstract":"The CO2Storage Evaluation Database (CO2Stored) is the UK's offshore storage atlas. It provides online access to information for over 500 potential offshore storage units. CO2Stored is hosted and developed in partnership by The Crown Estate (TCE) and The British Geological Survey (BGS). CO2Stored provides access to some of the results of the UK Storage Appraisal Project (UKSAP; commissioned and funded by the Energy Technologies Institute). Through CO2Stored information can be delivered for a range of storage types including saline aquifers and oil and gas fields concerning the geological parameters of the storage units, potential geological risks and economic projections for cost of storage.","author":[{"dropping-particle":"","family":"Bentham","given":"Michelle","non-dropping-particle":"","parse-names":false,"suffix":""},{"dropping-particle":"","family":"Mallows","given":"Tom","non-dropping-particle":"","parse-names":false,"suffix":""},{"dropping-particle":"","family":"Lowndes","given":"Jonathan","non-dropping-particle":"","parse-names":false,"suffix":""},{"dropping-particle":"","family":"Green","given":"Andrew","non-dropping-particle":"","parse-names":false,"suffix":""}],"container-title":"Energy Procedia","id":"ITEM-1","issue":"0","issued":{"date-parts":[["2014"]]},"page":"5103-5113","publisher":"Elsevier B.V.","title":"CO2STORage evaluation database (CO2Stored). The UK's online storage atlas","type":"article-journal","volume":"63"},"uris":["http://www.mendeley.com/documents/?uuid=2d095a81-38b1-433b-bd47-ada7cd6f384d"]}],"mendeley":{"formattedCitation":"(Bentham et al., 2014)","plainTextFormattedCitation":"(Bentham et al., 2014)","previouslyFormattedCitation":"(Bentham et al., 2014)"},"properties":{"noteIndex":0},"schema":"https://github.com/citation-style-language/schema/raw/master/csl-citation.json"}</w:instrText>
      </w:r>
      <w:r w:rsidR="002F11CA" w:rsidRPr="00972203">
        <w:rPr>
          <w:rFonts w:eastAsia="Times New Roman"/>
        </w:rPr>
        <w:fldChar w:fldCharType="separate"/>
      </w:r>
      <w:r w:rsidR="00C01E2D" w:rsidRPr="00C01E2D">
        <w:rPr>
          <w:rFonts w:eastAsia="Times New Roman"/>
          <w:noProof/>
        </w:rPr>
        <w:t>(Bentham et al., 2014)</w:t>
      </w:r>
      <w:r w:rsidR="002F11CA" w:rsidRPr="00972203">
        <w:rPr>
          <w:rFonts w:eastAsia="Times New Roman"/>
        </w:rPr>
        <w:fldChar w:fldCharType="end"/>
      </w:r>
      <w:r w:rsidRPr="00972203">
        <w:rPr>
          <w:rFonts w:eastAsia="Times New Roman"/>
        </w:rPr>
        <w:t>.</w:t>
      </w:r>
    </w:p>
    <w:p w14:paraId="5A60057C" w14:textId="78E44B15" w:rsidR="0058721F" w:rsidRPr="00972203" w:rsidRDefault="0058721F" w:rsidP="0058721F">
      <w:pPr>
        <w:pStyle w:val="BodyText"/>
        <w:spacing w:after="120" w:line="276" w:lineRule="auto"/>
        <w:rPr>
          <w:sz w:val="22"/>
          <w:szCs w:val="22"/>
          <w:lang w:val="en-GB"/>
        </w:rPr>
      </w:pPr>
      <w:r w:rsidRPr="00972203">
        <w:rPr>
          <w:sz w:val="22"/>
          <w:szCs w:val="22"/>
          <w:lang w:val="en-GB"/>
        </w:rPr>
        <w:t xml:space="preserve">The database includes hydrocarbon reservoirs and saline aquifers </w:t>
      </w:r>
      <w:r w:rsidR="00577D73" w:rsidRPr="00972203">
        <w:rPr>
          <w:sz w:val="22"/>
          <w:szCs w:val="22"/>
          <w:lang w:val="en-GB"/>
        </w:rPr>
        <w:t xml:space="preserve">with </w:t>
      </w:r>
      <w:r w:rsidRPr="00972203">
        <w:rPr>
          <w:sz w:val="22"/>
          <w:szCs w:val="22"/>
          <w:lang w:val="en-GB"/>
        </w:rPr>
        <w:t>potential for CO</w:t>
      </w:r>
      <w:r w:rsidRPr="00972203">
        <w:rPr>
          <w:sz w:val="22"/>
          <w:szCs w:val="22"/>
          <w:vertAlign w:val="subscript"/>
          <w:lang w:val="en-GB"/>
        </w:rPr>
        <w:t>2</w:t>
      </w:r>
      <w:r w:rsidRPr="00972203">
        <w:rPr>
          <w:sz w:val="22"/>
          <w:szCs w:val="22"/>
          <w:lang w:val="en-GB"/>
        </w:rPr>
        <w:t xml:space="preserve"> storage, </w:t>
      </w:r>
      <w:proofErr w:type="gramStart"/>
      <w:r w:rsidRPr="00972203">
        <w:rPr>
          <w:sz w:val="22"/>
          <w:szCs w:val="22"/>
          <w:lang w:val="en-GB"/>
        </w:rPr>
        <w:t>i.e.</w:t>
      </w:r>
      <w:proofErr w:type="gramEnd"/>
      <w:r w:rsidRPr="00972203">
        <w:rPr>
          <w:sz w:val="22"/>
          <w:szCs w:val="22"/>
          <w:lang w:val="en-GB"/>
        </w:rPr>
        <w:t xml:space="preserve"> sites that comply with the following criteria: </w:t>
      </w:r>
    </w:p>
    <w:p w14:paraId="30BF4C40" w14:textId="6B9119B3" w:rsidR="0058721F" w:rsidRPr="00972203" w:rsidRDefault="0058721F" w:rsidP="0058721F">
      <w:pPr>
        <w:pStyle w:val="BodyText"/>
        <w:numPr>
          <w:ilvl w:val="0"/>
          <w:numId w:val="6"/>
        </w:numPr>
        <w:spacing w:after="120" w:line="276" w:lineRule="auto"/>
        <w:rPr>
          <w:sz w:val="22"/>
          <w:szCs w:val="22"/>
          <w:lang w:val="en-GB"/>
        </w:rPr>
      </w:pPr>
      <w:r w:rsidRPr="00972203">
        <w:rPr>
          <w:sz w:val="22"/>
          <w:szCs w:val="22"/>
          <w:lang w:val="en-GB"/>
        </w:rPr>
        <w:t>The reservoir formations consist dominantly of porous and permeable sandstone or carbonate. Other potential types of CO</w:t>
      </w:r>
      <w:r w:rsidRPr="00972203">
        <w:rPr>
          <w:sz w:val="22"/>
          <w:szCs w:val="22"/>
          <w:vertAlign w:val="subscript"/>
          <w:lang w:val="en-GB"/>
        </w:rPr>
        <w:t>2</w:t>
      </w:r>
      <w:r w:rsidRPr="00972203">
        <w:rPr>
          <w:sz w:val="22"/>
          <w:szCs w:val="22"/>
          <w:lang w:val="en-GB"/>
        </w:rPr>
        <w:t xml:space="preserve"> reservoirs, such as coal seams </w:t>
      </w:r>
      <w:r w:rsidRPr="00972203">
        <w:rPr>
          <w:sz w:val="22"/>
          <w:szCs w:val="22"/>
          <w:lang w:val="en-GB"/>
        </w:rPr>
        <w:fldChar w:fldCharType="begin" w:fldLock="1"/>
      </w:r>
      <w:r w:rsidR="009D58AA">
        <w:rPr>
          <w:sz w:val="22"/>
          <w:szCs w:val="22"/>
          <w:lang w:val="en-GB"/>
        </w:rPr>
        <w:instrText>ADDIN CSL_CITATION {"citationItems":[{"id":"ITEM-1","itemData":{"author":[{"dropping-particle":"","family":"Shi","given":"J Q","non-dropping-particle":"","parse-names":false,"suffix":""},{"dropping-particle":"","family":"Durucan","given":"S","non-dropping-particle":"","parse-names":false,"suffix":""}],"id":"ITEM-1","issue":"3","issued":{"date-parts":[["2005"]]},"page":"547-558","title":"CO 2 Storage in Deep Unminable Coal Seams","type":"article-journal","volume":"60"},"uris":["http://www.mendeley.com/documents/?uuid=732801b9-5540-4ca9-8f29-9b49896d3403"]}],"mendeley":{"formattedCitation":"(Shi and Durucan, 2005)","plainTextFormattedCitation":"(Shi and Durucan, 2005)","previouslyFormattedCitation":"(Shi and Durucan, 2005)"},"properties":{"noteIndex":0},"schema":"https://github.com/citation-style-language/schema/raw/master/csl-citation.json"}</w:instrText>
      </w:r>
      <w:r w:rsidRPr="00972203">
        <w:rPr>
          <w:sz w:val="22"/>
          <w:szCs w:val="22"/>
          <w:lang w:val="en-GB"/>
        </w:rPr>
        <w:fldChar w:fldCharType="separate"/>
      </w:r>
      <w:r w:rsidR="00C01E2D" w:rsidRPr="00C01E2D">
        <w:rPr>
          <w:noProof/>
          <w:sz w:val="22"/>
          <w:szCs w:val="22"/>
          <w:lang w:val="en-GB"/>
        </w:rPr>
        <w:t>(Shi and Durucan, 2005)</w:t>
      </w:r>
      <w:r w:rsidRPr="00972203">
        <w:rPr>
          <w:sz w:val="22"/>
          <w:szCs w:val="22"/>
          <w:lang w:val="en-GB"/>
        </w:rPr>
        <w:fldChar w:fldCharType="end"/>
      </w:r>
      <w:r w:rsidRPr="00972203">
        <w:rPr>
          <w:sz w:val="22"/>
          <w:szCs w:val="22"/>
          <w:lang w:val="en-GB"/>
        </w:rPr>
        <w:t xml:space="preserve"> or basalts </w:t>
      </w:r>
      <w:r w:rsidRPr="00972203">
        <w:rPr>
          <w:sz w:val="22"/>
          <w:szCs w:val="22"/>
          <w:lang w:val="en-GB"/>
        </w:rPr>
        <w:fldChar w:fldCharType="begin" w:fldLock="1"/>
      </w:r>
      <w:r w:rsidR="009D58AA">
        <w:rPr>
          <w:sz w:val="22"/>
          <w:szCs w:val="22"/>
          <w:lang w:val="en-GB"/>
        </w:rPr>
        <w:instrText>ADDIN CSL_CITATION {"citationItems":[{"id":"ITEM-1","itemData":{"DOI":"dx.doi.org/10.1126/science.aad8132]","ISSN":"0036-8075","abstract":"Carbon capture and storage (CCS) provides a solution toward decarbonization of the global economy.The success of this solution depends on the ability to safely and permanently store CO2.This study demonstrates for the first time the permanent disposal of CO2 as environmentally benign carbonate minerals in basaltic rocks.We find that over 95% of the CO2 injected into the CarbFix site in Iceland was mineralized to carbonateminerals in less than 2years.This result contrastswith thecommon view that the immobilizationofCO2 as carbonate minerals within geologic reservoirs takes several hundreds to thousands of years. Our results, therefore, demonstrate that the safe long-term storage of anthropogenic CO2 emissions throughmineralization can be far faster than previously postulated.","author":[{"dropping-particle":"","family":"Matter","given":"Juerg M.","non-dropping-particle":"","parse-names":false,"suffix":""},{"dropping-particle":"","family":"Stute","given":"Martin","non-dropping-particle":"","parse-names":false,"suffix":""},{"dropping-particle":"","family":"Snebjornsdottir","given":"Sandra O.","non-dropping-particle":"","parse-names":false,"suffix":""},{"dropping-particle":"","family":"Oelkers","given":"Eric H.","non-dropping-particle":"","parse-names":false,"suffix":""},{"dropping-particle":"","family":"Gislason","given":"Sigurdur R","non-dropping-particle":"","parse-names":false,"suffix":""},{"dropping-particle":"","family":"Aradottir","given":"Edda S","non-dropping-particle":"","parse-names":false,"suffix":""},{"dropping-particle":"","family":"Sigfusson","given":"Bergur","non-dropping-particle":"","parse-names":false,"suffix":""},{"dropping-particle":"","family":"Gunnarsson","given":"Ingvi","non-dropping-particle":"","parse-names":false,"suffix":""},{"dropping-particle":"","family":"Alfredsson","given":"Helgi A","non-dropping-particle":"","parse-names":false,"suffix":""},{"dropping-particle":"","family":"Wolff-boenisch","given":"Domenik","non-dropping-particle":"","parse-names":false,"suffix":""},{"dropping-particle":"","family":"Mesfin","given":"Kiflom","non-dropping-particle":"","parse-names":false,"suffix":""},{"dropping-particle":"","family":"Dideriksen","given":"Knud","non-dropping-particle":"","parse-names":false,"suffix":""},{"dropping-particle":"","family":"Broecker","given":"Wallace S","non-dropping-particle":"","parse-names":false,"suffix":""}],"container-title":"Science","id":"ITEM-1","issue":"6291","issued":{"date-parts":[["2016"]]},"page":"1312-1314","title":"Rapid Carbon Mineralization for pPermanent Disposal of Anthropogenic Carbon Dioxide Emissions","type":"article-journal","volume":"352"},"uris":["http://www.mendeley.com/documents/?uuid=6dae8c3c-40c8-48cf-97e5-271806430b11"]}],"mendeley":{"formattedCitation":"(Matter et al., 2016)","plainTextFormattedCitation":"(Matter et al., 2016)","previouslyFormattedCitation":"(Matter et al., 2016)"},"properties":{"noteIndex":0},"schema":"https://github.com/citation-style-language/schema/raw/master/csl-citation.json"}</w:instrText>
      </w:r>
      <w:r w:rsidRPr="00972203">
        <w:rPr>
          <w:sz w:val="22"/>
          <w:szCs w:val="22"/>
          <w:lang w:val="en-GB"/>
        </w:rPr>
        <w:fldChar w:fldCharType="separate"/>
      </w:r>
      <w:r w:rsidR="00C01E2D" w:rsidRPr="00C01E2D">
        <w:rPr>
          <w:noProof/>
          <w:sz w:val="22"/>
          <w:szCs w:val="22"/>
          <w:lang w:val="en-GB"/>
        </w:rPr>
        <w:t>(Matter et al., 2016)</w:t>
      </w:r>
      <w:r w:rsidRPr="00972203">
        <w:rPr>
          <w:sz w:val="22"/>
          <w:szCs w:val="22"/>
          <w:lang w:val="en-GB"/>
        </w:rPr>
        <w:fldChar w:fldCharType="end"/>
      </w:r>
      <w:r w:rsidRPr="00972203">
        <w:rPr>
          <w:sz w:val="22"/>
          <w:szCs w:val="22"/>
          <w:lang w:val="en-GB"/>
        </w:rPr>
        <w:t>, are not included.</w:t>
      </w:r>
    </w:p>
    <w:p w14:paraId="35DD03CD" w14:textId="1C5A341A" w:rsidR="0058721F" w:rsidRPr="00972203" w:rsidRDefault="0058721F" w:rsidP="0058721F">
      <w:pPr>
        <w:pStyle w:val="BodyText"/>
        <w:numPr>
          <w:ilvl w:val="0"/>
          <w:numId w:val="6"/>
        </w:numPr>
        <w:spacing w:after="120" w:line="276" w:lineRule="auto"/>
        <w:rPr>
          <w:sz w:val="22"/>
          <w:szCs w:val="22"/>
          <w:lang w:val="en-GB"/>
        </w:rPr>
      </w:pPr>
      <w:r w:rsidRPr="00972203">
        <w:rPr>
          <w:sz w:val="22"/>
          <w:szCs w:val="22"/>
          <w:lang w:val="en-GB"/>
        </w:rPr>
        <w:t xml:space="preserve">All reservoir formations are either directly overlain by a </w:t>
      </w:r>
      <w:r w:rsidR="00A9540A">
        <w:rPr>
          <w:sz w:val="22"/>
          <w:szCs w:val="22"/>
          <w:lang w:val="en-GB"/>
        </w:rPr>
        <w:t xml:space="preserve">low permeability </w:t>
      </w:r>
      <w:r w:rsidRPr="00972203">
        <w:rPr>
          <w:sz w:val="22"/>
          <w:szCs w:val="22"/>
          <w:lang w:val="en-GB"/>
        </w:rPr>
        <w:t>sealing unit</w:t>
      </w:r>
      <w:r w:rsidR="00A9540A">
        <w:rPr>
          <w:sz w:val="22"/>
          <w:szCs w:val="22"/>
          <w:lang w:val="en-GB"/>
        </w:rPr>
        <w:t xml:space="preserve"> (such as mudstone or evaporitic rocks)</w:t>
      </w:r>
      <w:r w:rsidRPr="00972203">
        <w:rPr>
          <w:sz w:val="22"/>
          <w:szCs w:val="22"/>
          <w:lang w:val="en-GB"/>
        </w:rPr>
        <w:t>, or overlain by other sealed reservoir formations, to ensure the containment of the injected CO</w:t>
      </w:r>
      <w:r w:rsidRPr="00972203">
        <w:rPr>
          <w:sz w:val="22"/>
          <w:szCs w:val="22"/>
          <w:vertAlign w:val="subscript"/>
          <w:lang w:val="en-GB"/>
        </w:rPr>
        <w:t>2</w:t>
      </w:r>
      <w:r w:rsidRPr="00972203">
        <w:rPr>
          <w:sz w:val="22"/>
          <w:szCs w:val="22"/>
          <w:lang w:val="en-GB"/>
        </w:rPr>
        <w:t xml:space="preserve"> in the subsurface.</w:t>
      </w:r>
    </w:p>
    <w:p w14:paraId="7AE78D0F" w14:textId="129ECC7A" w:rsidR="0058721F" w:rsidRPr="00972203" w:rsidRDefault="0058721F" w:rsidP="0058721F">
      <w:pPr>
        <w:pStyle w:val="ListParagraph"/>
        <w:numPr>
          <w:ilvl w:val="0"/>
          <w:numId w:val="6"/>
        </w:numPr>
        <w:spacing w:line="276" w:lineRule="auto"/>
      </w:pPr>
      <w:r w:rsidRPr="00972203">
        <w:t>The mapped storage units are at depths greater than 800</w:t>
      </w:r>
      <w:r w:rsidR="00A9540A">
        <w:t xml:space="preserve"> </w:t>
      </w:r>
      <w:r w:rsidRPr="00972203">
        <w:t xml:space="preserve">m below sea level, to ensure that </w:t>
      </w:r>
      <w:r w:rsidR="002778A3">
        <w:t xml:space="preserve">the temperature and pressure at the reservoir (31ºC and 73.7 bar at </w:t>
      </w:r>
      <w:r w:rsidR="00A96F73">
        <w:t xml:space="preserve">typical geothermal and </w:t>
      </w:r>
      <w:proofErr w:type="spellStart"/>
      <w:r w:rsidR="00A96F73">
        <w:t>geobaric</w:t>
      </w:r>
      <w:proofErr w:type="spellEnd"/>
      <w:r w:rsidR="002778A3">
        <w:t xml:space="preserve"> gradients) allow for </w:t>
      </w:r>
      <w:r w:rsidRPr="00972203">
        <w:t>the CO</w:t>
      </w:r>
      <w:r w:rsidRPr="00972203">
        <w:rPr>
          <w:vertAlign w:val="subscript"/>
        </w:rPr>
        <w:t>2</w:t>
      </w:r>
      <w:r w:rsidRPr="00972203">
        <w:t xml:space="preserve"> </w:t>
      </w:r>
      <w:r w:rsidR="002778A3">
        <w:t xml:space="preserve">to </w:t>
      </w:r>
      <w:r w:rsidRPr="00972203">
        <w:t>remain as a dense supercritical phase</w:t>
      </w:r>
      <w:r w:rsidR="002778A3">
        <w:t xml:space="preserve"> </w:t>
      </w:r>
      <w:r w:rsidR="002778A3">
        <w:fldChar w:fldCharType="begin" w:fldLock="1"/>
      </w:r>
      <w:r w:rsidR="003C2BFA">
        <w:instrText>ADDIN CSL_CITATION {"citationItems":[{"id":"ITEM-1","itemData":{"DOI":"10.1016/j.egypro.2009.02.105","ISSN":"18766102","author":[{"dropping-particle":"","family":"Meer","given":"L.G.H. (Bert)","non-dropping-particle":"van der","parse-names":false,"suffix":""},{"dropping-particle":"","family":"Hofstee","given":"Cor","non-dropping-particle":"","parse-names":false,"suffix":""},{"dropping-particle":"","family":"Orlic","given":"Bogdan","non-dropping-particle":"","parse-names":false,"suffix":""}],"container-title":"Energy Procedia","id":"ITEM-1","issue":"1","issued":{"date-parts":[["2009","2"]]},"page":"3213-3220","title":"The fluid flow consequences of CO2 migration from 1000 to 600 metres upon passing the critical conditions of CO2","type":"article-journal","volume":"1"},"uris":["http://www.mendeley.com/documents/?uuid=2ec1a261-0c00-4901-9470-d6de53e7cd87"]}],"mendeley":{"formattedCitation":"(van der Meer et al., 2009)","plainTextFormattedCitation":"(van der Meer et al., 2009)","previouslyFormattedCitation":"(van der Meer et al., 2009)"},"properties":{"noteIndex":0},"schema":"https://github.com/citation-style-language/schema/raw/master/csl-citation.json"}</w:instrText>
      </w:r>
      <w:r w:rsidR="002778A3">
        <w:fldChar w:fldCharType="separate"/>
      </w:r>
      <w:r w:rsidR="002778A3" w:rsidRPr="002778A3">
        <w:rPr>
          <w:noProof/>
        </w:rPr>
        <w:t>(van der Meer et al., 2009)</w:t>
      </w:r>
      <w:r w:rsidR="002778A3">
        <w:fldChar w:fldCharType="end"/>
      </w:r>
      <w:r w:rsidR="00E7267E">
        <w:t>. This</w:t>
      </w:r>
      <w:r w:rsidR="00B329FC">
        <w:t xml:space="preserve"> phase of CO</w:t>
      </w:r>
      <w:r w:rsidR="00B329FC" w:rsidRPr="00157F42">
        <w:rPr>
          <w:vertAlign w:val="subscript"/>
        </w:rPr>
        <w:t>2</w:t>
      </w:r>
      <w:r w:rsidR="00B329FC">
        <w:t xml:space="preserve"> </w:t>
      </w:r>
      <w:r w:rsidRPr="00972203">
        <w:t xml:space="preserve"> </w:t>
      </w:r>
      <w:r w:rsidR="002778A3" w:rsidRPr="00972203">
        <w:t>increas</w:t>
      </w:r>
      <w:r w:rsidR="002778A3">
        <w:t>e</w:t>
      </w:r>
      <w:r w:rsidR="00E7267E">
        <w:t>s</w:t>
      </w:r>
      <w:r w:rsidR="002778A3" w:rsidRPr="00972203">
        <w:t xml:space="preserve"> </w:t>
      </w:r>
      <w:r w:rsidRPr="00972203">
        <w:t>the storage capacity of the reservoir</w:t>
      </w:r>
      <w:r w:rsidR="002778A3">
        <w:t xml:space="preserve"> while keeping</w:t>
      </w:r>
      <w:r w:rsidRPr="00972203">
        <w:t xml:space="preserve"> a reduced mobility compared to gaseous CO</w:t>
      </w:r>
      <w:r w:rsidRPr="00972203">
        <w:rPr>
          <w:vertAlign w:val="subscript"/>
        </w:rPr>
        <w:t>2</w:t>
      </w:r>
      <w:r w:rsidR="002778A3">
        <w:t>,</w:t>
      </w:r>
      <w:r w:rsidRPr="00972203">
        <w:t xml:space="preserve"> hence reducing the risk of leakage </w:t>
      </w:r>
      <w:r w:rsidRPr="00972203">
        <w:fldChar w:fldCharType="begin" w:fldLock="1"/>
      </w:r>
      <w:r w:rsidR="009D58AA">
        <w:instrText>ADDIN CSL_CITATION {"citationItems":[{"id":"ITEM-1","itemData":{"ISBN":"9780852726105","ISSN":"0036-8075","PMID":"15418204","abstract":"Carbon capture and storage is a subject around which there is a growing level of public awareness. A range of geological scenarios may be used for underground CO2 storage; declining oil and gas fields, saline aquifers and coal seams. Saline aquifers are reckoned to offer the largest overall storage potential and the this book offers key insights into aquifer storage issues. European collaborative projects between 1998 and 2006 have researched the potential for large-scale storage of CO2 in underground saline aquifer formations. This book consolidates the findings of the SACS and the CO2STORE projects into a manual of observations and recommendations, aiming to provide technically robust guidelines for effective and safe storage of CO2 in a range of geological settings. A wide range of geological, environmental and planning issues are addressed, and it forms a sound basis for establishing recommended procedures for the planning and setting up of a potential CO2 storage operation. It will be useful to commercial companies, regulatory authorities and NGOs in evaluating possible new CO2 storage sites in Europe and elsewhere.","author":[{"dropping-particle":"","family":"Chadwick","given":"Andy","non-dropping-particle":"","parse-names":false,"suffix":""},{"dropping-particle":"","family":"Arts","given":"Rob","non-dropping-particle":"","parse-names":false,"suffix":""},{"dropping-particle":"","family":"Bernstone","given":"Christian","non-dropping-particle":"","parse-names":false,"suffix":""},{"dropping-particle":"","family":"May","given":"Franz","non-dropping-particle":"","parse-names":false,"suffix":""},{"dropping-particle":"","family":"Thibeau","given":"Sylvain","non-dropping-particle":"","parse-names":false,"suffix":""},{"dropping-particle":"","family":"Zweigel","given":"Peter","non-dropping-particle":"","parse-names":false,"suffix":""}],"container-title":"North Star","id":"ITEM-1","issued":{"date-parts":[["2008"]]},"number-of-pages":"267","title":"Best practice for the storage of CO2 in saline aquifers - observations and guidelines from the SACS and CO2STORE projects","type":"book","volume":"14"},"uris":["http://www.mendeley.com/documents/?uuid=fbc87e49-7a9f-4d80-8dfe-4c0dc936ba71"]}],"mendeley":{"formattedCitation":"(Chadwick et al., 2008)","plainTextFormattedCitation":"(Chadwick et al., 2008)","previouslyFormattedCitation":"(Chadwick et al., 2008)"},"properties":{"noteIndex":0},"schema":"https://github.com/citation-style-language/schema/raw/master/csl-citation.json"}</w:instrText>
      </w:r>
      <w:r w:rsidRPr="00972203">
        <w:fldChar w:fldCharType="separate"/>
      </w:r>
      <w:r w:rsidR="00C01E2D" w:rsidRPr="00C01E2D">
        <w:rPr>
          <w:noProof/>
        </w:rPr>
        <w:t>(Chadwick et al., 2008)</w:t>
      </w:r>
      <w:r w:rsidRPr="00972203">
        <w:fldChar w:fldCharType="end"/>
      </w:r>
      <w:r w:rsidRPr="00972203">
        <w:t>.</w:t>
      </w:r>
    </w:p>
    <w:p w14:paraId="442431AF" w14:textId="2D726F66" w:rsidR="0058721F" w:rsidRDefault="0058721F" w:rsidP="0058721F">
      <w:pPr>
        <w:spacing w:line="276" w:lineRule="auto"/>
        <w:rPr>
          <w:rFonts w:eastAsia="Times New Roman"/>
        </w:rPr>
      </w:pPr>
      <w:r w:rsidRPr="00972203">
        <w:rPr>
          <w:rFonts w:eastAsia="Times New Roman"/>
        </w:rPr>
        <w:t xml:space="preserve">The </w:t>
      </w:r>
      <w:r w:rsidR="00A9540A" w:rsidRPr="00972203">
        <w:rPr>
          <w:rFonts w:eastAsia="Times New Roman"/>
        </w:rPr>
        <w:t>CO</w:t>
      </w:r>
      <w:r w:rsidR="00A9540A" w:rsidRPr="00972203">
        <w:rPr>
          <w:rFonts w:eastAsia="Times New Roman"/>
          <w:vertAlign w:val="subscript"/>
        </w:rPr>
        <w:t>2</w:t>
      </w:r>
      <w:r w:rsidR="00A9540A" w:rsidRPr="00972203">
        <w:rPr>
          <w:rFonts w:eastAsia="Times New Roman"/>
        </w:rPr>
        <w:t xml:space="preserve">Stored </w:t>
      </w:r>
      <w:r w:rsidRPr="00972203">
        <w:rPr>
          <w:rFonts w:eastAsia="Times New Roman"/>
        </w:rPr>
        <w:t>database contains</w:t>
      </w:r>
      <w:r w:rsidR="00113B59" w:rsidRPr="00972203">
        <w:rPr>
          <w:rFonts w:eastAsia="Times New Roman"/>
        </w:rPr>
        <w:t xml:space="preserve"> important</w:t>
      </w:r>
      <w:r w:rsidRPr="00972203">
        <w:rPr>
          <w:rFonts w:eastAsia="Times New Roman"/>
        </w:rPr>
        <w:t xml:space="preserve"> information about the characteristics of</w:t>
      </w:r>
      <w:r w:rsidR="00113B59" w:rsidRPr="00972203">
        <w:rPr>
          <w:rFonts w:eastAsia="Times New Roman"/>
        </w:rPr>
        <w:t xml:space="preserve"> each site, from different perspectives: geological (e.g. stratigraphy, lithology, depositional environment), geographical (e.g. location, areal extent), reservoir analysis (e.g. thickness, pore volume, </w:t>
      </w:r>
      <w:r w:rsidR="00A9540A">
        <w:rPr>
          <w:rFonts w:eastAsia="Times New Roman"/>
        </w:rPr>
        <w:t>reservoir quality</w:t>
      </w:r>
      <w:r w:rsidR="00113B59" w:rsidRPr="00972203">
        <w:rPr>
          <w:rFonts w:eastAsia="Times New Roman"/>
        </w:rPr>
        <w:t xml:space="preserve">, </w:t>
      </w:r>
      <w:r w:rsidR="00B91238">
        <w:rPr>
          <w:rFonts w:eastAsia="Times New Roman"/>
        </w:rPr>
        <w:t>reservoir conditions,</w:t>
      </w:r>
      <w:r w:rsidR="00B91238" w:rsidRPr="00972203">
        <w:rPr>
          <w:rFonts w:eastAsia="Times New Roman"/>
        </w:rPr>
        <w:t xml:space="preserve"> </w:t>
      </w:r>
      <w:r w:rsidR="00113B59" w:rsidRPr="00972203">
        <w:rPr>
          <w:rFonts w:eastAsia="Times New Roman"/>
        </w:rPr>
        <w:t xml:space="preserve">injectivity, theoretical </w:t>
      </w:r>
      <w:r w:rsidR="00A9540A">
        <w:rPr>
          <w:rFonts w:eastAsia="Times New Roman"/>
        </w:rPr>
        <w:t xml:space="preserve">storage </w:t>
      </w:r>
      <w:r w:rsidR="00113B59" w:rsidRPr="00972203">
        <w:rPr>
          <w:rFonts w:eastAsia="Times New Roman"/>
        </w:rPr>
        <w:t>capacity), risk (</w:t>
      </w:r>
      <w:r w:rsidR="00DE2304" w:rsidRPr="00972203">
        <w:rPr>
          <w:rFonts w:eastAsia="Times New Roman"/>
        </w:rPr>
        <w:t>e.g. condition of the seal, fault density, compartmentalization, well density</w:t>
      </w:r>
      <w:r w:rsidR="00113B59" w:rsidRPr="00972203">
        <w:rPr>
          <w:rFonts w:eastAsia="Times New Roman"/>
        </w:rPr>
        <w:t>) and economic factors (</w:t>
      </w:r>
      <w:r w:rsidR="00DE2304" w:rsidRPr="00972203">
        <w:rPr>
          <w:rFonts w:eastAsia="Times New Roman"/>
        </w:rPr>
        <w:t>cost of storage according to different scenarios and assumptions</w:t>
      </w:r>
      <w:r w:rsidR="00113B59" w:rsidRPr="00972203">
        <w:rPr>
          <w:rFonts w:eastAsia="Times New Roman"/>
        </w:rPr>
        <w:t>).</w:t>
      </w:r>
      <w:r w:rsidRPr="00972203">
        <w:rPr>
          <w:rFonts w:eastAsia="Times New Roman"/>
        </w:rPr>
        <w:t xml:space="preserve"> Entries are classified as either having</w:t>
      </w:r>
      <w:r w:rsidR="00A9540A">
        <w:rPr>
          <w:rFonts w:eastAsia="Times New Roman"/>
        </w:rPr>
        <w:t>, or not having</w:t>
      </w:r>
      <w:r w:rsidRPr="00972203">
        <w:rPr>
          <w:rFonts w:eastAsia="Times New Roman"/>
        </w:rPr>
        <w:t xml:space="preserve"> identified structures/trap, and being open or closed pressure systems. Storage volumes in the database were calculated using Monte Carlo analysis</w:t>
      </w:r>
      <w:r w:rsidR="00FF631D">
        <w:rPr>
          <w:rFonts w:eastAsia="Times New Roman"/>
        </w:rPr>
        <w:t xml:space="preserve">, combining different factors such as static capacity, </w:t>
      </w:r>
      <w:r w:rsidR="00FF631D" w:rsidRPr="00FF631D">
        <w:rPr>
          <w:rFonts w:eastAsia="Times New Roman"/>
        </w:rPr>
        <w:t xml:space="preserve">permeability, </w:t>
      </w:r>
      <w:r w:rsidR="00B91238">
        <w:rPr>
          <w:rFonts w:eastAsia="Times New Roman"/>
        </w:rPr>
        <w:t xml:space="preserve">development </w:t>
      </w:r>
      <w:r w:rsidR="00FF631D" w:rsidRPr="00FF631D">
        <w:rPr>
          <w:rFonts w:eastAsia="Times New Roman"/>
        </w:rPr>
        <w:t>cost and the maximum allowable pressure build-up in the storage formation</w:t>
      </w:r>
      <w:r w:rsidRPr="00972203">
        <w:rPr>
          <w:rFonts w:eastAsia="Times New Roman"/>
        </w:rPr>
        <w:t xml:space="preserve">. </w:t>
      </w:r>
      <w:r w:rsidR="003C2BFA">
        <w:rPr>
          <w:rFonts w:eastAsia="Times New Roman"/>
        </w:rPr>
        <w:t xml:space="preserve">In </w:t>
      </w:r>
      <w:r w:rsidR="003C2BFA" w:rsidRPr="003C2BFA">
        <w:rPr>
          <w:rFonts w:eastAsia="Times New Roman"/>
          <w:sz w:val="20"/>
        </w:rPr>
        <w:t>CO</w:t>
      </w:r>
      <w:r w:rsidR="003C2BFA" w:rsidRPr="003C2BFA">
        <w:rPr>
          <w:rFonts w:eastAsia="Times New Roman"/>
          <w:sz w:val="20"/>
          <w:vertAlign w:val="subscript"/>
        </w:rPr>
        <w:t>2</w:t>
      </w:r>
      <w:r w:rsidR="003C2BFA">
        <w:rPr>
          <w:rFonts w:eastAsia="Times New Roman"/>
        </w:rPr>
        <w:t xml:space="preserve">Stored, the depth of the unit is combined with the temperature and pressure at the reservoir to calculate the </w:t>
      </w:r>
      <w:r w:rsidR="003C2BFA" w:rsidRPr="003C2BFA">
        <w:rPr>
          <w:rFonts w:eastAsia="Times New Roman"/>
          <w:sz w:val="20"/>
        </w:rPr>
        <w:t>CO</w:t>
      </w:r>
      <w:r w:rsidR="003C2BFA" w:rsidRPr="003C2BFA">
        <w:rPr>
          <w:rFonts w:eastAsia="Times New Roman"/>
          <w:sz w:val="20"/>
          <w:vertAlign w:val="subscript"/>
        </w:rPr>
        <w:t>2</w:t>
      </w:r>
      <w:r w:rsidR="003C2BFA">
        <w:rPr>
          <w:rFonts w:eastAsia="Times New Roman"/>
        </w:rPr>
        <w:t xml:space="preserve"> density</w:t>
      </w:r>
      <w:r w:rsidR="00673EFC">
        <w:rPr>
          <w:rFonts w:eastAsia="Times New Roman"/>
        </w:rPr>
        <w:t xml:space="preserve"> and viscosity</w:t>
      </w:r>
      <w:r w:rsidR="003C2BFA">
        <w:rPr>
          <w:rFonts w:eastAsia="Times New Roman"/>
        </w:rPr>
        <w:t>. Th</w:t>
      </w:r>
      <w:r w:rsidR="00673EFC">
        <w:rPr>
          <w:rFonts w:eastAsia="Times New Roman"/>
        </w:rPr>
        <w:t>ese are</w:t>
      </w:r>
      <w:r w:rsidR="003C2BFA">
        <w:rPr>
          <w:rFonts w:eastAsia="Times New Roman"/>
        </w:rPr>
        <w:t xml:space="preserve"> then combined </w:t>
      </w:r>
      <w:r w:rsidR="00673EFC">
        <w:rPr>
          <w:rFonts w:eastAsia="Times New Roman"/>
        </w:rPr>
        <w:t xml:space="preserve">via Monte Carlo simulations </w:t>
      </w:r>
      <w:r w:rsidR="003C2BFA">
        <w:rPr>
          <w:rFonts w:eastAsia="Times New Roman"/>
        </w:rPr>
        <w:t>with other f</w:t>
      </w:r>
      <w:r w:rsidR="00673EFC">
        <w:rPr>
          <w:rFonts w:eastAsia="Times New Roman"/>
        </w:rPr>
        <w:t>actors such as rock and formation water compressibility, water salinity, aquifer seal capacity</w:t>
      </w:r>
      <w:r w:rsidR="00380FA4">
        <w:rPr>
          <w:rFonts w:eastAsia="Times New Roman"/>
        </w:rPr>
        <w:t>,</w:t>
      </w:r>
      <w:r w:rsidR="00673EFC">
        <w:rPr>
          <w:rFonts w:eastAsia="Times New Roman"/>
        </w:rPr>
        <w:t xml:space="preserve"> hydrostatic </w:t>
      </w:r>
      <w:proofErr w:type="gramStart"/>
      <w:r w:rsidR="00673EFC">
        <w:rPr>
          <w:rFonts w:eastAsia="Times New Roman"/>
        </w:rPr>
        <w:t>pressure</w:t>
      </w:r>
      <w:proofErr w:type="gramEnd"/>
      <w:r w:rsidR="00673EFC">
        <w:rPr>
          <w:rFonts w:eastAsia="Times New Roman"/>
        </w:rPr>
        <w:t xml:space="preserve"> and </w:t>
      </w:r>
      <w:r w:rsidR="00673EFC" w:rsidRPr="00673EFC">
        <w:rPr>
          <w:rFonts w:eastAsia="Times New Roman"/>
          <w:sz w:val="20"/>
        </w:rPr>
        <w:t>CO</w:t>
      </w:r>
      <w:r w:rsidR="00673EFC" w:rsidRPr="00673EFC">
        <w:rPr>
          <w:rFonts w:eastAsia="Times New Roman"/>
          <w:sz w:val="20"/>
          <w:vertAlign w:val="subscript"/>
        </w:rPr>
        <w:t>2</w:t>
      </w:r>
      <w:r w:rsidR="00673EFC">
        <w:rPr>
          <w:rFonts w:eastAsia="Times New Roman"/>
        </w:rPr>
        <w:t xml:space="preserve"> column height to produce estimates on the </w:t>
      </w:r>
      <w:r w:rsidR="006D021E">
        <w:rPr>
          <w:rFonts w:eastAsia="Times New Roman"/>
        </w:rPr>
        <w:t>theoretical capacity of each storage unit.</w:t>
      </w:r>
      <w:r w:rsidR="00673EFC">
        <w:rPr>
          <w:rFonts w:eastAsia="Times New Roman"/>
        </w:rPr>
        <w:t xml:space="preserve"> </w:t>
      </w:r>
      <w:r w:rsidR="003C2BFA">
        <w:rPr>
          <w:rFonts w:eastAsia="Times New Roman"/>
        </w:rPr>
        <w:t xml:space="preserve">Different methodologies </w:t>
      </w:r>
      <w:r w:rsidR="006D021E">
        <w:rPr>
          <w:rFonts w:eastAsia="Times New Roman"/>
        </w:rPr>
        <w:t>we</w:t>
      </w:r>
      <w:r w:rsidR="003C2BFA">
        <w:rPr>
          <w:rFonts w:eastAsia="Times New Roman"/>
        </w:rPr>
        <w:t xml:space="preserve">re used to calculate the static capacity depending on the storage unit type, described in </w:t>
      </w:r>
      <w:r w:rsidR="003C2BFA">
        <w:rPr>
          <w:rFonts w:eastAsia="Times New Roman"/>
        </w:rPr>
        <w:fldChar w:fldCharType="begin" w:fldLock="1"/>
      </w:r>
      <w:r w:rsidR="0030553F">
        <w:rPr>
          <w:rFonts w:eastAsia="Times New Roman"/>
        </w:rPr>
        <w:instrText>ADDIN CSL_CITATION {"citationItems":[{"id":"ITEM-1","itemData":{"DOI":"10.2118/148426-ms","ISBN":"9781618391520","abstract":"The purpose of the UKSAP project is to provide a realistic, defensible and fully auditable estimate of the capacity of geological formations below the UK's coastal waters to store CO2. Drawing on the expertise of the project participants (10 UK organisations) and accessing existing public domain and commercially available data, the £3.9M project has created a web-enabled database and geographical information system (WDG). This covers all the potential storage volume in the North Sea, the East Irish Sea and the central English Channel. The WDG is designed to assist policy makers and potential participators in projects with high level assessments and planning. Storage units in the WDG (several hundred) are described in terms of geographical, geological, geophysical and other data relevant to risks in their use, leading to estimates of their storage capacity and economic profile. The ETI will make the WDG accessible to the public after completion of the project in July 2011. The paper will present the methodology used in creating the estimates and describe high level findings from analysis of the data. The functionality of the WDG will be outlined. Copyright 2011, Society of Petroleum Engineers.","author":[{"dropping-particle":"","family":"Gammer","given":"D.","non-dropping-particle":"","parse-names":false,"suffix":""},{"dropping-particle":"","family":"Green","given":"A.","non-dropping-particle":"","parse-names":false,"suffix":""},{"dropping-particle":"","family":"Holloway","given":"S.","non-dropping-particle":"","parse-names":false,"suffix":""},{"dropping-particle":"","family":"Smith","given":"G.","non-dropping-particle":"","parse-names":false,"suffix":""}],"container-title":"Society of Petroleum Engineers - Offshore Europe Oil and Gas Conference and Exhibition 2011, OE 2011","id":"ITEM-1","issue":"148426","issued":{"date-parts":[["2011"]]},"page":"1045-1058","title":"The energy technologies institute's UK CO2 Storage Appraisal Project (UKSAP)","type":"article-journal","volume":"2"},"uris":["http://www.mendeley.com/documents/?uuid=811bbf3e-9dd8-413d-8c6c-8c1dfbe5a537"]}],"mendeley":{"formattedCitation":"(Gammer et al., 2011)","plainTextFormattedCitation":"(Gammer et al., 2011)","previouslyFormattedCitation":"(Gammer et al., 2011)"},"properties":{"noteIndex":0},"schema":"https://github.com/citation-style-language/schema/raw/master/csl-citation.json"}</w:instrText>
      </w:r>
      <w:r w:rsidR="003C2BFA">
        <w:rPr>
          <w:rFonts w:eastAsia="Times New Roman"/>
        </w:rPr>
        <w:fldChar w:fldCharType="separate"/>
      </w:r>
      <w:r w:rsidR="003C2BFA" w:rsidRPr="003C2BFA">
        <w:rPr>
          <w:rFonts w:eastAsia="Times New Roman"/>
          <w:noProof/>
        </w:rPr>
        <w:t>(Gammer et al., 2011)</w:t>
      </w:r>
      <w:r w:rsidR="003C2BFA">
        <w:rPr>
          <w:rFonts w:eastAsia="Times New Roman"/>
        </w:rPr>
        <w:fldChar w:fldCharType="end"/>
      </w:r>
      <w:r w:rsidR="003C2BFA">
        <w:rPr>
          <w:rFonts w:eastAsia="Times New Roman"/>
        </w:rPr>
        <w:t>.</w:t>
      </w:r>
      <w:r w:rsidR="00366A92">
        <w:rPr>
          <w:rFonts w:eastAsia="Times New Roman"/>
        </w:rPr>
        <w:t xml:space="preserve"> </w:t>
      </w:r>
      <w:r w:rsidR="004F3838" w:rsidRPr="00972203">
        <w:rPr>
          <w:rFonts w:eastAsia="Times New Roman"/>
        </w:rPr>
        <w:t xml:space="preserve">The database </w:t>
      </w:r>
      <w:r w:rsidR="00011159" w:rsidRPr="00972203">
        <w:rPr>
          <w:rFonts w:eastAsia="Times New Roman"/>
        </w:rPr>
        <w:t>contains</w:t>
      </w:r>
      <w:r w:rsidR="004F3838" w:rsidRPr="00972203">
        <w:rPr>
          <w:rFonts w:eastAsia="Times New Roman"/>
        </w:rPr>
        <w:t xml:space="preserve"> an assessment of the confidence</w:t>
      </w:r>
      <w:r w:rsidR="00A9540A">
        <w:rPr>
          <w:rFonts w:eastAsia="Times New Roman"/>
        </w:rPr>
        <w:t xml:space="preserve"> for </w:t>
      </w:r>
      <w:r w:rsidR="0050724F">
        <w:rPr>
          <w:rFonts w:eastAsia="Times New Roman"/>
        </w:rPr>
        <w:t xml:space="preserve">each </w:t>
      </w:r>
      <w:r w:rsidR="0050724F" w:rsidRPr="00972203">
        <w:rPr>
          <w:rFonts w:eastAsia="Times New Roman"/>
        </w:rPr>
        <w:t>(</w:t>
      </w:r>
      <w:r w:rsidR="004F3838" w:rsidRPr="00972203">
        <w:rPr>
          <w:rFonts w:eastAsia="Times New Roman"/>
        </w:rPr>
        <w:t xml:space="preserve">high, </w:t>
      </w:r>
      <w:proofErr w:type="gramStart"/>
      <w:r w:rsidR="004F3838" w:rsidRPr="00972203">
        <w:rPr>
          <w:rFonts w:eastAsia="Times New Roman"/>
        </w:rPr>
        <w:t>medium</w:t>
      </w:r>
      <w:proofErr w:type="gramEnd"/>
      <w:r w:rsidR="004F3838" w:rsidRPr="00972203">
        <w:rPr>
          <w:rFonts w:eastAsia="Times New Roman"/>
        </w:rPr>
        <w:t xml:space="preserve"> or low) as well as the source of the featured information.</w:t>
      </w:r>
      <w:r w:rsidR="000A129E">
        <w:rPr>
          <w:rFonts w:eastAsia="Times New Roman"/>
        </w:rPr>
        <w:t xml:space="preserve"> For most parameters, the database also provides a range of values (minimum and maximum) and a most likely value </w:t>
      </w:r>
      <w:r w:rsidR="00F142E1">
        <w:rPr>
          <w:rFonts w:eastAsia="Times New Roman"/>
        </w:rPr>
        <w:t xml:space="preserve">that is </w:t>
      </w:r>
      <w:r w:rsidR="000A129E">
        <w:rPr>
          <w:rFonts w:eastAsia="Times New Roman"/>
        </w:rPr>
        <w:t>based on the different data assessed for their determination. Where possible, the data used in the different stages of the site selection methodology presented</w:t>
      </w:r>
      <w:r w:rsidR="00AA2B20">
        <w:rPr>
          <w:rFonts w:eastAsia="Times New Roman"/>
        </w:rPr>
        <w:t>,</w:t>
      </w:r>
      <w:r w:rsidR="000A129E">
        <w:rPr>
          <w:rFonts w:eastAsia="Times New Roman"/>
        </w:rPr>
        <w:t xml:space="preserve"> correspond to the most likely values, ensuring the representativeness of the value for the given parameter.</w:t>
      </w:r>
    </w:p>
    <w:p w14:paraId="70A4DF2E" w14:textId="51694F4A" w:rsidR="00806B66" w:rsidRPr="009A35CE" w:rsidRDefault="00806B66" w:rsidP="0058721F">
      <w:pPr>
        <w:spacing w:line="276" w:lineRule="auto"/>
        <w:rPr>
          <w:rFonts w:eastAsia="Times New Roman"/>
        </w:rPr>
      </w:pPr>
      <w:r w:rsidRPr="009A35CE">
        <w:t>Within the CO</w:t>
      </w:r>
      <w:r w:rsidRPr="009A35CE">
        <w:rPr>
          <w:vertAlign w:val="subscript"/>
        </w:rPr>
        <w:t>2</w:t>
      </w:r>
      <w:r w:rsidRPr="009A35CE">
        <w:t>Stored database</w:t>
      </w:r>
      <w:r w:rsidR="00E75F27" w:rsidRPr="009A35CE">
        <w:t>,</w:t>
      </w:r>
      <w:r w:rsidRPr="009A35CE">
        <w:t xml:space="preserve"> some storage formations </w:t>
      </w:r>
      <w:r w:rsidR="00E75F27" w:rsidRPr="009A35CE">
        <w:t xml:space="preserve">have been </w:t>
      </w:r>
      <w:r w:rsidRPr="009A35CE">
        <w:t xml:space="preserve">subdivided, with the purpose of dividing massive sites (usually major saline aquifers) into storage units that are mappable and that still comply with the basis of resource </w:t>
      </w:r>
      <w:r w:rsidRPr="009A35CE">
        <w:fldChar w:fldCharType="begin" w:fldLock="1"/>
      </w:r>
      <w:r w:rsidR="009D58AA" w:rsidRPr="009A35CE">
        <w:instrText>ADDIN CSL_CITATION {"citationItems":[{"id":"ITEM-1","itemData":{"abstract":"There are up to 20 specific storage sites under the UK seabed that have the potential to store up to 78 GT of CO2","author":[{"dropping-particle":"","family":"Pale Blue Dot","given":"","non-dropping-particle":"","parse-names":false,"suffix":""},{"dropping-particle":"","family":"Axis Well Technology","given":"","non-dropping-particle":"","parse-names":false,"suffix":""}],"id":"ITEM-1","issue":"April 2016","issued":{"date-parts":[["2016"]]},"number-of-pages":"48","title":"A Summary of Results from the Strategic UK CO2 Storage Appraisal Project, funded by DECC","type":"report"},"uris":["http://www.mendeley.com/documents/?uuid=e8a970db-f74f-4997-adb9-7b3619665eff"]}],"mendeley":{"formattedCitation":"(Pale Blue Dot and Axis Well Technology, 2016)","plainTextFormattedCitation":"(Pale Blue Dot and Axis Well Technology, 2016)","previouslyFormattedCitation":"(Pale Blue Dot and Axis Well Technology, 2016)"},"properties":{"noteIndex":0},"schema":"https://github.com/citation-style-language/schema/raw/master/csl-citation.json"}</w:instrText>
      </w:r>
      <w:r w:rsidRPr="009A35CE">
        <w:fldChar w:fldCharType="separate"/>
      </w:r>
      <w:r w:rsidR="00C01E2D" w:rsidRPr="009A35CE">
        <w:rPr>
          <w:noProof/>
        </w:rPr>
        <w:t>(Pale Blue Dot and Axis Well Technology, 2016)</w:t>
      </w:r>
      <w:r w:rsidRPr="009A35CE">
        <w:fldChar w:fldCharType="end"/>
      </w:r>
      <w:r w:rsidRPr="009A35CE">
        <w:t>, detailed above. This is helpful</w:t>
      </w:r>
      <w:r w:rsidR="00E75F27" w:rsidRPr="009A35CE">
        <w:t>,</w:t>
      </w:r>
      <w:r w:rsidRPr="009A35CE">
        <w:t xml:space="preserve"> for example</w:t>
      </w:r>
      <w:r w:rsidR="00E75F27" w:rsidRPr="009A35CE">
        <w:t>,</w:t>
      </w:r>
      <w:r w:rsidRPr="009A35CE">
        <w:t xml:space="preserve"> in saline aquifers that contain many different compartmentalised portions of the reservoir unit; in this case, the different sub-units are differentiated </w:t>
      </w:r>
      <w:r w:rsidR="00E75F27" w:rsidRPr="009A35CE">
        <w:t xml:space="preserve">which </w:t>
      </w:r>
      <w:r w:rsidRPr="009A35CE">
        <w:t xml:space="preserve">therefore </w:t>
      </w:r>
      <w:r w:rsidR="00E75F27" w:rsidRPr="009A35CE">
        <w:t xml:space="preserve">enables </w:t>
      </w:r>
      <w:r w:rsidRPr="009A35CE">
        <w:t>a better understanding of what the different storage structures look like.</w:t>
      </w:r>
    </w:p>
    <w:p w14:paraId="5126C803" w14:textId="47581495" w:rsidR="004D1F71" w:rsidRPr="00972203" w:rsidRDefault="004D1F71" w:rsidP="002B2A02">
      <w:pPr>
        <w:pStyle w:val="Heading2"/>
      </w:pPr>
      <w:r w:rsidRPr="00972203">
        <w:lastRenderedPageBreak/>
        <w:t>Bas</w:t>
      </w:r>
      <w:r w:rsidR="000C57AE" w:rsidRPr="00972203">
        <w:t>is</w:t>
      </w:r>
      <w:r w:rsidRPr="00972203">
        <w:t xml:space="preserve"> </w:t>
      </w:r>
      <w:r w:rsidR="000C57AE" w:rsidRPr="00972203">
        <w:t>of</w:t>
      </w:r>
      <w:r w:rsidRPr="00972203">
        <w:t xml:space="preserve"> design</w:t>
      </w:r>
    </w:p>
    <w:p w14:paraId="5A3A4F96" w14:textId="3FA3A704" w:rsidR="000C57AE" w:rsidRPr="00972203" w:rsidRDefault="000C57AE" w:rsidP="000C57AE">
      <w:pPr>
        <w:pStyle w:val="BodyText"/>
        <w:spacing w:after="120" w:line="276" w:lineRule="auto"/>
        <w:rPr>
          <w:sz w:val="22"/>
          <w:szCs w:val="22"/>
          <w:lang w:val="en-GB"/>
        </w:rPr>
      </w:pPr>
      <w:r w:rsidRPr="00972203">
        <w:rPr>
          <w:sz w:val="22"/>
          <w:szCs w:val="22"/>
          <w:lang w:val="en-GB"/>
        </w:rPr>
        <w:t>The purpose of the basis of design stage is to set the preliminary requirements or priorities of the project</w:t>
      </w:r>
      <w:r w:rsidR="00E75F27">
        <w:rPr>
          <w:sz w:val="22"/>
          <w:szCs w:val="22"/>
          <w:lang w:val="en-GB"/>
        </w:rPr>
        <w:t xml:space="preserve"> and</w:t>
      </w:r>
      <w:r w:rsidRPr="00972203">
        <w:rPr>
          <w:sz w:val="22"/>
          <w:szCs w:val="22"/>
          <w:lang w:val="en-GB"/>
        </w:rPr>
        <w:t xml:space="preserve"> to serve as a coarse filter </w:t>
      </w:r>
      <w:r w:rsidR="00571646">
        <w:rPr>
          <w:sz w:val="22"/>
          <w:szCs w:val="22"/>
          <w:lang w:val="en-GB"/>
        </w:rPr>
        <w:t xml:space="preserve">of the potential </w:t>
      </w:r>
      <w:r w:rsidR="00571646" w:rsidRPr="00972203">
        <w:rPr>
          <w:sz w:val="22"/>
          <w:szCs w:val="22"/>
          <w:lang w:val="en-GB"/>
        </w:rPr>
        <w:t>storage site</w:t>
      </w:r>
      <w:r w:rsidR="00571646">
        <w:rPr>
          <w:sz w:val="22"/>
          <w:szCs w:val="22"/>
          <w:lang w:val="en-GB"/>
        </w:rPr>
        <w:t>s</w:t>
      </w:r>
      <w:r w:rsidR="007D65EA">
        <w:rPr>
          <w:sz w:val="22"/>
          <w:szCs w:val="22"/>
          <w:lang w:val="en-GB"/>
        </w:rPr>
        <w:t>, as defined in the CO</w:t>
      </w:r>
      <w:r w:rsidR="007D65EA" w:rsidRPr="00D25C4E">
        <w:rPr>
          <w:sz w:val="22"/>
          <w:szCs w:val="22"/>
          <w:vertAlign w:val="subscript"/>
          <w:lang w:val="en-GB"/>
        </w:rPr>
        <w:t>2</w:t>
      </w:r>
      <w:r w:rsidR="007D65EA">
        <w:rPr>
          <w:sz w:val="22"/>
          <w:szCs w:val="22"/>
          <w:lang w:val="en-GB"/>
        </w:rPr>
        <w:t>stored database</w:t>
      </w:r>
      <w:r w:rsidR="00571646">
        <w:rPr>
          <w:sz w:val="22"/>
          <w:szCs w:val="22"/>
          <w:lang w:val="en-GB"/>
        </w:rPr>
        <w:t>, termed</w:t>
      </w:r>
      <w:r w:rsidRPr="00972203">
        <w:rPr>
          <w:sz w:val="22"/>
          <w:szCs w:val="22"/>
          <w:lang w:val="en-GB"/>
        </w:rPr>
        <w:t xml:space="preserve"> input sites. This preliminary filter is applied </w:t>
      </w:r>
      <w:proofErr w:type="gramStart"/>
      <w:r w:rsidRPr="00972203">
        <w:rPr>
          <w:sz w:val="22"/>
          <w:szCs w:val="22"/>
          <w:lang w:val="en-GB"/>
        </w:rPr>
        <w:t>in order to</w:t>
      </w:r>
      <w:proofErr w:type="gramEnd"/>
      <w:r w:rsidRPr="00972203">
        <w:rPr>
          <w:sz w:val="22"/>
          <w:szCs w:val="22"/>
          <w:lang w:val="en-GB"/>
        </w:rPr>
        <w:t xml:space="preserve"> reduce the input pool of sites to a </w:t>
      </w:r>
      <w:r w:rsidR="00571646">
        <w:rPr>
          <w:sz w:val="22"/>
          <w:szCs w:val="22"/>
          <w:lang w:val="en-GB"/>
        </w:rPr>
        <w:t xml:space="preserve">more </w:t>
      </w:r>
      <w:r w:rsidRPr="00972203">
        <w:rPr>
          <w:sz w:val="22"/>
          <w:szCs w:val="22"/>
          <w:lang w:val="en-GB"/>
        </w:rPr>
        <w:t xml:space="preserve">manageable number of selectable sites, based on basic first order storage criteria. </w:t>
      </w:r>
    </w:p>
    <w:p w14:paraId="07146CA4" w14:textId="3A899FB6" w:rsidR="000C57AE" w:rsidRPr="00972203" w:rsidRDefault="000C57AE" w:rsidP="000C57AE">
      <w:pPr>
        <w:pStyle w:val="BodyText"/>
        <w:spacing w:after="120" w:line="276" w:lineRule="auto"/>
        <w:rPr>
          <w:rStyle w:val="BookTitle"/>
          <w:rFonts w:ascii="Times New Roman" w:hAnsi="Times New Roman"/>
          <w:b w:val="0"/>
          <w:spacing w:val="0"/>
          <w:sz w:val="22"/>
          <w:szCs w:val="22"/>
          <w:lang w:val="en-GB"/>
        </w:rPr>
      </w:pPr>
      <w:r w:rsidRPr="00972203">
        <w:rPr>
          <w:rStyle w:val="BookTitle"/>
          <w:rFonts w:ascii="Times New Roman" w:hAnsi="Times New Roman"/>
          <w:b w:val="0"/>
          <w:spacing w:val="0"/>
          <w:sz w:val="22"/>
          <w:szCs w:val="22"/>
          <w:lang w:val="en-GB"/>
        </w:rPr>
        <w:t xml:space="preserve">The characteristics of </w:t>
      </w:r>
      <w:r w:rsidR="00E75F27">
        <w:rPr>
          <w:rStyle w:val="BookTitle"/>
          <w:rFonts w:ascii="Times New Roman" w:hAnsi="Times New Roman"/>
          <w:b w:val="0"/>
          <w:spacing w:val="0"/>
          <w:sz w:val="22"/>
          <w:szCs w:val="22"/>
          <w:lang w:val="en-GB"/>
        </w:rPr>
        <w:t xml:space="preserve">the </w:t>
      </w:r>
      <w:r w:rsidRPr="00972203">
        <w:rPr>
          <w:rStyle w:val="BookTitle"/>
          <w:rFonts w:ascii="Times New Roman" w:hAnsi="Times New Roman"/>
          <w:b w:val="0"/>
          <w:spacing w:val="0"/>
          <w:sz w:val="22"/>
          <w:szCs w:val="22"/>
          <w:lang w:val="en-GB"/>
        </w:rPr>
        <w:t>Acorn</w:t>
      </w:r>
      <w:r w:rsidR="00E75F27">
        <w:rPr>
          <w:rStyle w:val="BookTitle"/>
          <w:rFonts w:ascii="Times New Roman" w:hAnsi="Times New Roman"/>
          <w:b w:val="0"/>
          <w:spacing w:val="0"/>
          <w:sz w:val="22"/>
          <w:szCs w:val="22"/>
          <w:lang w:val="en-GB"/>
        </w:rPr>
        <w:t xml:space="preserve"> project</w:t>
      </w:r>
      <w:r w:rsidRPr="00972203">
        <w:rPr>
          <w:rStyle w:val="BookTitle"/>
          <w:rFonts w:ascii="Times New Roman" w:hAnsi="Times New Roman"/>
          <w:b w:val="0"/>
          <w:spacing w:val="0"/>
          <w:sz w:val="22"/>
          <w:szCs w:val="22"/>
          <w:lang w:val="en-GB"/>
        </w:rPr>
        <w:t xml:space="preserve"> were also </w:t>
      </w:r>
      <w:proofErr w:type="gramStart"/>
      <w:r w:rsidRPr="00972203">
        <w:rPr>
          <w:rStyle w:val="BookTitle"/>
          <w:rFonts w:ascii="Times New Roman" w:hAnsi="Times New Roman"/>
          <w:b w:val="0"/>
          <w:spacing w:val="0"/>
          <w:sz w:val="22"/>
          <w:szCs w:val="22"/>
          <w:lang w:val="en-GB"/>
        </w:rPr>
        <w:t>taken into account</w:t>
      </w:r>
      <w:proofErr w:type="gramEnd"/>
      <w:r w:rsidRPr="00972203">
        <w:rPr>
          <w:rStyle w:val="BookTitle"/>
          <w:rFonts w:ascii="Times New Roman" w:hAnsi="Times New Roman"/>
          <w:b w:val="0"/>
          <w:spacing w:val="0"/>
          <w:sz w:val="22"/>
          <w:szCs w:val="22"/>
          <w:lang w:val="en-GB"/>
        </w:rPr>
        <w:t xml:space="preserve"> </w:t>
      </w:r>
      <w:r w:rsidR="00E75F27">
        <w:rPr>
          <w:rStyle w:val="BookTitle"/>
          <w:rFonts w:ascii="Times New Roman" w:hAnsi="Times New Roman"/>
          <w:b w:val="0"/>
          <w:spacing w:val="0"/>
          <w:sz w:val="22"/>
          <w:szCs w:val="22"/>
          <w:lang w:val="en-GB"/>
        </w:rPr>
        <w:t>during</w:t>
      </w:r>
      <w:r w:rsidR="00E75F27" w:rsidRPr="00972203">
        <w:rPr>
          <w:rStyle w:val="BookTitle"/>
          <w:rFonts w:ascii="Times New Roman" w:hAnsi="Times New Roman"/>
          <w:b w:val="0"/>
          <w:spacing w:val="0"/>
          <w:sz w:val="22"/>
          <w:szCs w:val="22"/>
          <w:lang w:val="en-GB"/>
        </w:rPr>
        <w:t xml:space="preserve"> </w:t>
      </w:r>
      <w:r w:rsidR="000F759B" w:rsidRPr="00972203">
        <w:rPr>
          <w:rStyle w:val="BookTitle"/>
          <w:rFonts w:ascii="Times New Roman" w:hAnsi="Times New Roman"/>
          <w:b w:val="0"/>
          <w:spacing w:val="0"/>
          <w:sz w:val="22"/>
          <w:szCs w:val="22"/>
          <w:lang w:val="en-GB"/>
        </w:rPr>
        <w:t>this stage by including some</w:t>
      </w:r>
      <w:r w:rsidRPr="00972203">
        <w:rPr>
          <w:rStyle w:val="BookTitle"/>
          <w:rFonts w:ascii="Times New Roman" w:hAnsi="Times New Roman"/>
          <w:b w:val="0"/>
          <w:spacing w:val="0"/>
          <w:sz w:val="22"/>
          <w:szCs w:val="22"/>
          <w:lang w:val="en-GB"/>
        </w:rPr>
        <w:t xml:space="preserve"> project-specific requirements, including: </w:t>
      </w:r>
    </w:p>
    <w:p w14:paraId="35988394" w14:textId="77777777" w:rsidR="000C57AE" w:rsidRPr="00972203" w:rsidRDefault="000C57AE" w:rsidP="000C57AE">
      <w:pPr>
        <w:pStyle w:val="BodyText"/>
        <w:numPr>
          <w:ilvl w:val="0"/>
          <w:numId w:val="5"/>
        </w:numPr>
        <w:spacing w:after="120" w:line="276" w:lineRule="auto"/>
        <w:rPr>
          <w:rStyle w:val="BookTitle"/>
          <w:rFonts w:ascii="Times New Roman" w:hAnsi="Times New Roman"/>
          <w:b w:val="0"/>
          <w:spacing w:val="0"/>
          <w:sz w:val="22"/>
          <w:szCs w:val="22"/>
          <w:lang w:val="en-GB"/>
        </w:rPr>
      </w:pPr>
      <w:r w:rsidRPr="00972203">
        <w:rPr>
          <w:rStyle w:val="BookTitle"/>
          <w:rFonts w:ascii="Times New Roman" w:hAnsi="Times New Roman"/>
          <w:b w:val="0"/>
          <w:spacing w:val="0"/>
          <w:sz w:val="22"/>
          <w:szCs w:val="22"/>
          <w:lang w:val="en-GB"/>
        </w:rPr>
        <w:t>The target geological formations must be offshore on the UK Continental Shelf, in the Central North Sea, (CNS).</w:t>
      </w:r>
    </w:p>
    <w:p w14:paraId="36FCA0DA" w14:textId="427FE864" w:rsidR="000C57AE" w:rsidRPr="00972203" w:rsidRDefault="000C57AE" w:rsidP="000C57AE">
      <w:pPr>
        <w:pStyle w:val="BodyText"/>
        <w:numPr>
          <w:ilvl w:val="0"/>
          <w:numId w:val="5"/>
        </w:numPr>
        <w:spacing w:after="120" w:line="276" w:lineRule="auto"/>
        <w:rPr>
          <w:sz w:val="22"/>
          <w:szCs w:val="22"/>
          <w:lang w:val="en-GB"/>
        </w:rPr>
      </w:pPr>
      <w:r w:rsidRPr="00972203">
        <w:rPr>
          <w:sz w:val="22"/>
          <w:szCs w:val="22"/>
          <w:lang w:val="en-GB"/>
        </w:rPr>
        <w:t>The need for reduced implementation cost of the CO</w:t>
      </w:r>
      <w:r w:rsidRPr="00972203">
        <w:rPr>
          <w:sz w:val="22"/>
          <w:szCs w:val="22"/>
          <w:vertAlign w:val="subscript"/>
          <w:lang w:val="en-GB"/>
        </w:rPr>
        <w:t>2</w:t>
      </w:r>
      <w:r w:rsidRPr="00972203">
        <w:rPr>
          <w:sz w:val="22"/>
          <w:szCs w:val="22"/>
          <w:lang w:val="en-GB"/>
        </w:rPr>
        <w:t xml:space="preserve"> storage site </w:t>
      </w:r>
      <w:r w:rsidR="00E75F27">
        <w:rPr>
          <w:sz w:val="22"/>
          <w:szCs w:val="22"/>
          <w:lang w:val="en-GB"/>
        </w:rPr>
        <w:t>im</w:t>
      </w:r>
      <w:r w:rsidRPr="00972203">
        <w:rPr>
          <w:sz w:val="22"/>
          <w:szCs w:val="22"/>
          <w:lang w:val="en-GB"/>
        </w:rPr>
        <w:t xml:space="preserve">poses a strong constraint to the selection of suitable sites. </w:t>
      </w:r>
      <w:r w:rsidRPr="00972203">
        <w:rPr>
          <w:rStyle w:val="BookTitle"/>
          <w:rFonts w:ascii="Times New Roman" w:hAnsi="Times New Roman"/>
          <w:b w:val="0"/>
          <w:spacing w:val="0"/>
          <w:sz w:val="22"/>
          <w:szCs w:val="22"/>
          <w:lang w:val="en-GB"/>
        </w:rPr>
        <w:t xml:space="preserve">The site must be at reach from the St Fergus hub, and the </w:t>
      </w:r>
      <w:r w:rsidRPr="00972203">
        <w:rPr>
          <w:sz w:val="22"/>
          <w:szCs w:val="22"/>
          <w:lang w:val="en-GB"/>
        </w:rPr>
        <w:t xml:space="preserve">priority is to re-use infrastructures to contain costs </w:t>
      </w:r>
      <w:r w:rsidRPr="00972203">
        <w:rPr>
          <w:sz w:val="22"/>
          <w:szCs w:val="22"/>
          <w:lang w:val="en-GB"/>
        </w:rPr>
        <w:fldChar w:fldCharType="begin" w:fldLock="1"/>
      </w:r>
      <w:r w:rsidR="009228F4">
        <w:rPr>
          <w:sz w:val="22"/>
          <w:szCs w:val="22"/>
          <w:lang w:val="en-GB"/>
        </w:rPr>
        <w:instrText>ADDIN CSL_CITATION {"citationItems":[{"id":"ITEM-1","itemData":{"DOI":"10.1016/j.jclepro.2019.06.087","ISSN":"09596526","abstract":"Research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Production","id":"ITEM-1","issued":{"date-parts":[["2019","10"]]},"page":"963-971","title":"Acorn: Developing full-chain industrial carbon capture and storage in a resource- and infrastructure-rich hydrocarbon province","type":"article-journal","volume":"233"},"uris":["http://www.mendeley.com/documents/?uuid=70c6bc31-4949-4838-968e-534a31bbff9a"]}],"mendeley":{"formattedCitation":"(Alcalde et al., 2019)","plainTextFormattedCitation":"(Alcalde et al., 2019)","previouslyFormattedCitation":"(Alcalde et al., 2019)"},"properties":{"noteIndex":0},"schema":"https://github.com/citation-style-language/schema/raw/master/csl-citation.json"}</w:instrText>
      </w:r>
      <w:r w:rsidRPr="00972203">
        <w:rPr>
          <w:sz w:val="22"/>
          <w:szCs w:val="22"/>
          <w:lang w:val="en-GB"/>
        </w:rPr>
        <w:fldChar w:fldCharType="separate"/>
      </w:r>
      <w:r w:rsidR="00C01E2D" w:rsidRPr="00C01E2D">
        <w:rPr>
          <w:noProof/>
          <w:sz w:val="22"/>
          <w:szCs w:val="22"/>
          <w:lang w:val="en-GB"/>
        </w:rPr>
        <w:t>(Alcalde et al., 2019)</w:t>
      </w:r>
      <w:r w:rsidRPr="00972203">
        <w:rPr>
          <w:sz w:val="22"/>
          <w:szCs w:val="22"/>
          <w:lang w:val="en-GB"/>
        </w:rPr>
        <w:fldChar w:fldCharType="end"/>
      </w:r>
      <w:r w:rsidRPr="00972203">
        <w:rPr>
          <w:sz w:val="22"/>
          <w:szCs w:val="22"/>
          <w:lang w:val="en-GB"/>
        </w:rPr>
        <w:t>. More specifically, Site 2 must make use of the three redundant pipelines considered, Atlantic, Goldeneye and MGS.</w:t>
      </w:r>
    </w:p>
    <w:p w14:paraId="14B3AE1B" w14:textId="35604BE2" w:rsidR="000C57AE" w:rsidRPr="00972203" w:rsidRDefault="000C57AE" w:rsidP="000C57AE">
      <w:pPr>
        <w:pStyle w:val="BodyText"/>
        <w:numPr>
          <w:ilvl w:val="0"/>
          <w:numId w:val="5"/>
        </w:numPr>
        <w:spacing w:after="120" w:line="276" w:lineRule="auto"/>
        <w:rPr>
          <w:sz w:val="22"/>
          <w:szCs w:val="22"/>
          <w:lang w:val="en-GB"/>
        </w:rPr>
      </w:pPr>
      <w:r w:rsidRPr="00972203">
        <w:rPr>
          <w:sz w:val="22"/>
          <w:szCs w:val="22"/>
          <w:lang w:val="en-GB"/>
        </w:rPr>
        <w:t xml:space="preserve">Site 2 </w:t>
      </w:r>
      <w:r w:rsidR="00E75F27">
        <w:rPr>
          <w:sz w:val="22"/>
          <w:szCs w:val="22"/>
          <w:lang w:val="en-GB"/>
        </w:rPr>
        <w:t>must</w:t>
      </w:r>
      <w:r w:rsidR="00E75F27" w:rsidRPr="00972203">
        <w:rPr>
          <w:sz w:val="22"/>
          <w:szCs w:val="22"/>
          <w:lang w:val="en-GB"/>
        </w:rPr>
        <w:t xml:space="preserve"> </w:t>
      </w:r>
      <w:r w:rsidRPr="00972203">
        <w:rPr>
          <w:sz w:val="22"/>
          <w:szCs w:val="22"/>
          <w:lang w:val="en-GB"/>
        </w:rPr>
        <w:t xml:space="preserve">act as a backup of the Acorn site, but also </w:t>
      </w:r>
      <w:r w:rsidR="00E75F27">
        <w:rPr>
          <w:sz w:val="22"/>
          <w:szCs w:val="22"/>
          <w:lang w:val="en-GB"/>
        </w:rPr>
        <w:t xml:space="preserve">act </w:t>
      </w:r>
      <w:r w:rsidRPr="00972203">
        <w:rPr>
          <w:sz w:val="22"/>
          <w:szCs w:val="22"/>
          <w:lang w:val="en-GB"/>
        </w:rPr>
        <w:t>as an expansion option in later stages of the project, so the upscal</w:t>
      </w:r>
      <w:r w:rsidR="007D65EA">
        <w:rPr>
          <w:sz w:val="22"/>
          <w:szCs w:val="22"/>
          <w:lang w:val="en-GB"/>
        </w:rPr>
        <w:t>ing</w:t>
      </w:r>
      <w:r w:rsidRPr="00972203">
        <w:rPr>
          <w:sz w:val="22"/>
          <w:szCs w:val="22"/>
          <w:lang w:val="en-GB"/>
        </w:rPr>
        <w:t xml:space="preserve"> potential (chiefly high capacity and injectivity and low capital cost) </w:t>
      </w:r>
      <w:r w:rsidR="007D65EA">
        <w:rPr>
          <w:sz w:val="22"/>
          <w:szCs w:val="22"/>
          <w:lang w:val="en-GB"/>
        </w:rPr>
        <w:t>is</w:t>
      </w:r>
      <w:r w:rsidRPr="00972203">
        <w:rPr>
          <w:sz w:val="22"/>
          <w:szCs w:val="22"/>
          <w:lang w:val="en-GB"/>
        </w:rPr>
        <w:t xml:space="preserve"> essential.</w:t>
      </w:r>
    </w:p>
    <w:p w14:paraId="22815BDE" w14:textId="1A285E85" w:rsidR="00FD0F3E" w:rsidRPr="00972203" w:rsidRDefault="000C57AE" w:rsidP="00FD0F3E">
      <w:pPr>
        <w:pStyle w:val="BodyText"/>
        <w:spacing w:after="120" w:line="276" w:lineRule="auto"/>
        <w:rPr>
          <w:rStyle w:val="BookTitle"/>
          <w:rFonts w:ascii="Times New Roman" w:hAnsi="Times New Roman"/>
          <w:b w:val="0"/>
          <w:spacing w:val="0"/>
          <w:sz w:val="22"/>
          <w:szCs w:val="22"/>
          <w:lang w:val="en-GB"/>
        </w:rPr>
      </w:pPr>
      <w:r w:rsidRPr="00972203">
        <w:rPr>
          <w:rStyle w:val="BookTitle"/>
          <w:rFonts w:ascii="Times New Roman" w:hAnsi="Times New Roman"/>
          <w:b w:val="0"/>
          <w:spacing w:val="0"/>
          <w:sz w:val="22"/>
          <w:szCs w:val="22"/>
          <w:lang w:val="en-GB"/>
        </w:rPr>
        <w:t xml:space="preserve">These aspects were used to produce an initial </w:t>
      </w:r>
      <w:r w:rsidR="000F759B" w:rsidRPr="00972203">
        <w:rPr>
          <w:rStyle w:val="BookTitle"/>
          <w:rFonts w:ascii="Times New Roman" w:hAnsi="Times New Roman"/>
          <w:b w:val="0"/>
          <w:spacing w:val="0"/>
          <w:sz w:val="22"/>
          <w:szCs w:val="22"/>
          <w:lang w:val="en-GB"/>
        </w:rPr>
        <w:t>filtering</w:t>
      </w:r>
      <w:r w:rsidRPr="00972203">
        <w:rPr>
          <w:rStyle w:val="BookTitle"/>
          <w:rFonts w:ascii="Times New Roman" w:hAnsi="Times New Roman"/>
          <w:b w:val="0"/>
          <w:spacing w:val="0"/>
          <w:sz w:val="22"/>
          <w:szCs w:val="22"/>
          <w:lang w:val="en-GB"/>
        </w:rPr>
        <w:t xml:space="preserve"> of the input CO</w:t>
      </w:r>
      <w:r w:rsidRPr="00972203">
        <w:rPr>
          <w:rStyle w:val="BookTitle"/>
          <w:rFonts w:ascii="Times New Roman" w:hAnsi="Times New Roman"/>
          <w:b w:val="0"/>
          <w:spacing w:val="0"/>
          <w:sz w:val="22"/>
          <w:szCs w:val="22"/>
          <w:vertAlign w:val="subscript"/>
          <w:lang w:val="en-GB"/>
        </w:rPr>
        <w:t>2</w:t>
      </w:r>
      <w:r w:rsidRPr="00972203">
        <w:rPr>
          <w:rStyle w:val="BookTitle"/>
          <w:rFonts w:ascii="Times New Roman" w:hAnsi="Times New Roman"/>
          <w:b w:val="0"/>
          <w:spacing w:val="0"/>
          <w:sz w:val="22"/>
          <w:szCs w:val="22"/>
          <w:lang w:val="en-GB"/>
        </w:rPr>
        <w:t>Stored sites. To ensure the infrastructure re-use and hence avoid additional costs in the transport of the CO</w:t>
      </w:r>
      <w:r w:rsidRPr="00972203">
        <w:rPr>
          <w:rStyle w:val="BookTitle"/>
          <w:rFonts w:ascii="Times New Roman" w:hAnsi="Times New Roman"/>
          <w:b w:val="0"/>
          <w:spacing w:val="0"/>
          <w:sz w:val="22"/>
          <w:szCs w:val="22"/>
          <w:vertAlign w:val="subscript"/>
          <w:lang w:val="en-GB"/>
        </w:rPr>
        <w:t>2</w:t>
      </w:r>
      <w:r w:rsidRPr="00972203">
        <w:rPr>
          <w:rStyle w:val="BookTitle"/>
          <w:rFonts w:ascii="Times New Roman" w:hAnsi="Times New Roman"/>
          <w:b w:val="0"/>
          <w:spacing w:val="0"/>
          <w:sz w:val="22"/>
          <w:szCs w:val="22"/>
          <w:lang w:val="en-GB"/>
        </w:rPr>
        <w:t xml:space="preserve"> to the site, only the sites close to the three target pipelines</w:t>
      </w:r>
      <w:r w:rsidR="00DB011F">
        <w:rPr>
          <w:rStyle w:val="BookTitle"/>
          <w:rFonts w:ascii="Times New Roman" w:hAnsi="Times New Roman"/>
          <w:b w:val="0"/>
          <w:spacing w:val="0"/>
          <w:sz w:val="22"/>
          <w:szCs w:val="22"/>
          <w:lang w:val="en-GB"/>
        </w:rPr>
        <w:t xml:space="preserve"> </w:t>
      </w:r>
      <w:r w:rsidR="0050724F">
        <w:rPr>
          <w:rStyle w:val="BookTitle"/>
          <w:rFonts w:ascii="Times New Roman" w:hAnsi="Times New Roman"/>
          <w:b w:val="0"/>
          <w:spacing w:val="0"/>
          <w:sz w:val="22"/>
          <w:szCs w:val="22"/>
          <w:lang w:val="en-GB"/>
        </w:rPr>
        <w:t xml:space="preserve">were selected </w:t>
      </w:r>
      <w:r w:rsidR="00DB011F">
        <w:rPr>
          <w:rStyle w:val="BookTitle"/>
          <w:rFonts w:ascii="Times New Roman" w:hAnsi="Times New Roman"/>
          <w:b w:val="0"/>
          <w:spacing w:val="0"/>
          <w:sz w:val="22"/>
          <w:szCs w:val="22"/>
          <w:lang w:val="en-GB"/>
        </w:rPr>
        <w:t>(Figure 1)</w:t>
      </w:r>
      <w:r w:rsidRPr="00972203">
        <w:rPr>
          <w:rStyle w:val="BookTitle"/>
          <w:rFonts w:ascii="Times New Roman" w:hAnsi="Times New Roman"/>
          <w:b w:val="0"/>
          <w:spacing w:val="0"/>
          <w:sz w:val="22"/>
          <w:szCs w:val="22"/>
          <w:lang w:val="en-GB"/>
        </w:rPr>
        <w:t xml:space="preserve">. </w:t>
      </w:r>
      <w:r w:rsidR="004D1312">
        <w:rPr>
          <w:rStyle w:val="BookTitle"/>
          <w:rFonts w:ascii="Times New Roman" w:hAnsi="Times New Roman"/>
          <w:b w:val="0"/>
          <w:spacing w:val="0"/>
          <w:sz w:val="22"/>
          <w:szCs w:val="22"/>
          <w:lang w:val="en-GB"/>
        </w:rPr>
        <w:t xml:space="preserve">The re-use of these redundant pipelines was identified as the major potential source of cost reduction for </w:t>
      </w:r>
      <w:r w:rsidR="00A77866">
        <w:rPr>
          <w:rStyle w:val="BookTitle"/>
          <w:rFonts w:ascii="Times New Roman" w:hAnsi="Times New Roman"/>
          <w:b w:val="0"/>
          <w:spacing w:val="0"/>
          <w:sz w:val="22"/>
          <w:szCs w:val="22"/>
          <w:lang w:val="en-GB"/>
        </w:rPr>
        <w:t xml:space="preserve">both </w:t>
      </w:r>
      <w:r w:rsidR="004D1312">
        <w:rPr>
          <w:rStyle w:val="BookTitle"/>
          <w:rFonts w:ascii="Times New Roman" w:hAnsi="Times New Roman"/>
          <w:b w:val="0"/>
          <w:spacing w:val="0"/>
          <w:sz w:val="22"/>
          <w:szCs w:val="22"/>
          <w:lang w:val="en-GB"/>
        </w:rPr>
        <w:t>the Acorn project</w:t>
      </w:r>
      <w:r w:rsidR="00A77866">
        <w:rPr>
          <w:rStyle w:val="BookTitle"/>
          <w:rFonts w:ascii="Times New Roman" w:hAnsi="Times New Roman"/>
          <w:b w:val="0"/>
          <w:spacing w:val="0"/>
          <w:sz w:val="22"/>
          <w:szCs w:val="22"/>
          <w:lang w:val="en-GB"/>
        </w:rPr>
        <w:t xml:space="preserve"> </w:t>
      </w:r>
      <w:r w:rsidR="00A77866" w:rsidRPr="00A77866">
        <w:rPr>
          <w:rStyle w:val="BookTitle"/>
          <w:rFonts w:ascii="Times New Roman" w:hAnsi="Times New Roman"/>
          <w:b w:val="0"/>
          <w:spacing w:val="0"/>
          <w:sz w:val="22"/>
          <w:szCs w:val="22"/>
          <w:lang w:val="en-GB"/>
        </w:rPr>
        <w:t xml:space="preserve">objectives, </w:t>
      </w:r>
      <w:r w:rsidR="00A77866" w:rsidRPr="00A77866">
        <w:rPr>
          <w:bCs/>
          <w:iCs/>
          <w:color w:val="0070C0"/>
          <w:sz w:val="22"/>
          <w:szCs w:val="22"/>
        </w:rPr>
        <w:t xml:space="preserve">that included both the </w:t>
      </w:r>
      <w:proofErr w:type="spellStart"/>
      <w:r w:rsidR="00A77866" w:rsidRPr="00A77866">
        <w:rPr>
          <w:bCs/>
          <w:iCs/>
          <w:color w:val="0070C0"/>
          <w:sz w:val="22"/>
          <w:szCs w:val="22"/>
        </w:rPr>
        <w:t>Palaeocene</w:t>
      </w:r>
      <w:proofErr w:type="spellEnd"/>
      <w:r w:rsidR="00A77866" w:rsidRPr="00A77866">
        <w:rPr>
          <w:bCs/>
          <w:iCs/>
          <w:color w:val="0070C0"/>
          <w:sz w:val="22"/>
          <w:szCs w:val="22"/>
        </w:rPr>
        <w:t xml:space="preserve"> sandstones of the East </w:t>
      </w:r>
      <w:proofErr w:type="spellStart"/>
      <w:r w:rsidR="00A77866" w:rsidRPr="00A77866">
        <w:rPr>
          <w:bCs/>
          <w:iCs/>
          <w:color w:val="0070C0"/>
          <w:sz w:val="22"/>
          <w:szCs w:val="22"/>
        </w:rPr>
        <w:t>Mey</w:t>
      </w:r>
      <w:proofErr w:type="spellEnd"/>
      <w:r w:rsidR="00A77866" w:rsidRPr="00A77866">
        <w:rPr>
          <w:bCs/>
          <w:iCs/>
          <w:color w:val="0070C0"/>
          <w:sz w:val="22"/>
          <w:szCs w:val="22"/>
        </w:rPr>
        <w:t xml:space="preserve"> area and the Cretaceous Captain sandstone of the Acorn site</w:t>
      </w:r>
      <w:r w:rsidR="00A77866" w:rsidRPr="00074443">
        <w:rPr>
          <w:bCs/>
          <w:iCs/>
          <w:color w:val="0070C0"/>
        </w:rPr>
        <w:t xml:space="preserve"> </w:t>
      </w:r>
      <w:r w:rsidR="004D1312">
        <w:rPr>
          <w:rStyle w:val="BookTitle"/>
          <w:rFonts w:ascii="Times New Roman" w:hAnsi="Times New Roman"/>
          <w:b w:val="0"/>
          <w:spacing w:val="0"/>
          <w:sz w:val="22"/>
          <w:szCs w:val="22"/>
          <w:lang w:val="en-GB"/>
        </w:rPr>
        <w:t xml:space="preserve"> (Alcalde et al., 2019). </w:t>
      </w:r>
      <w:r w:rsidRPr="00972203">
        <w:rPr>
          <w:rStyle w:val="BookTitle"/>
          <w:rFonts w:ascii="Times New Roman" w:hAnsi="Times New Roman"/>
          <w:b w:val="0"/>
          <w:spacing w:val="0"/>
          <w:sz w:val="22"/>
          <w:szCs w:val="22"/>
          <w:lang w:val="en-GB"/>
        </w:rPr>
        <w:t xml:space="preserve">We used the location of the centroid of the different sites to calculate the distance to the pipelines and excluded those located </w:t>
      </w:r>
      <w:r w:rsidR="00DB011F">
        <w:rPr>
          <w:rStyle w:val="BookTitle"/>
          <w:rFonts w:ascii="Times New Roman" w:hAnsi="Times New Roman"/>
          <w:b w:val="0"/>
          <w:spacing w:val="0"/>
          <w:sz w:val="22"/>
          <w:szCs w:val="22"/>
          <w:lang w:val="en-GB"/>
        </w:rPr>
        <w:t>more</w:t>
      </w:r>
      <w:r w:rsidR="00DB011F" w:rsidRPr="00972203">
        <w:rPr>
          <w:rStyle w:val="BookTitle"/>
          <w:rFonts w:ascii="Times New Roman" w:hAnsi="Times New Roman"/>
          <w:b w:val="0"/>
          <w:spacing w:val="0"/>
          <w:sz w:val="22"/>
          <w:szCs w:val="22"/>
          <w:lang w:val="en-GB"/>
        </w:rPr>
        <w:t xml:space="preserve"> </w:t>
      </w:r>
      <w:r w:rsidRPr="00972203">
        <w:rPr>
          <w:rStyle w:val="BookTitle"/>
          <w:rFonts w:ascii="Times New Roman" w:hAnsi="Times New Roman"/>
          <w:b w:val="0"/>
          <w:spacing w:val="0"/>
          <w:sz w:val="22"/>
          <w:szCs w:val="22"/>
          <w:lang w:val="en-GB"/>
        </w:rPr>
        <w:t xml:space="preserve">than 50 km from the position of the pipelines. </w:t>
      </w:r>
      <w:r w:rsidRPr="00972203">
        <w:rPr>
          <w:sz w:val="22"/>
          <w:szCs w:val="22"/>
          <w:lang w:val="en-GB"/>
        </w:rPr>
        <w:t>The 50</w:t>
      </w:r>
      <w:r w:rsidR="007D65EA">
        <w:rPr>
          <w:sz w:val="22"/>
          <w:szCs w:val="22"/>
          <w:lang w:val="en-GB"/>
        </w:rPr>
        <w:t xml:space="preserve"> </w:t>
      </w:r>
      <w:r w:rsidRPr="00972203">
        <w:rPr>
          <w:sz w:val="22"/>
          <w:szCs w:val="22"/>
          <w:lang w:val="en-GB"/>
        </w:rPr>
        <w:t>km</w:t>
      </w:r>
      <w:r w:rsidR="007D65EA">
        <w:rPr>
          <w:sz w:val="22"/>
          <w:szCs w:val="22"/>
          <w:lang w:val="en-GB"/>
        </w:rPr>
        <w:t xml:space="preserve"> </w:t>
      </w:r>
      <w:r w:rsidRPr="00972203">
        <w:rPr>
          <w:sz w:val="22"/>
          <w:szCs w:val="22"/>
          <w:lang w:val="en-GB"/>
        </w:rPr>
        <w:t>constraint produced a corridor of suitable sites that reduce</w:t>
      </w:r>
      <w:r w:rsidR="007D65EA">
        <w:rPr>
          <w:sz w:val="22"/>
          <w:szCs w:val="22"/>
          <w:lang w:val="en-GB"/>
        </w:rPr>
        <w:t>d</w:t>
      </w:r>
      <w:r w:rsidRPr="00972203">
        <w:rPr>
          <w:sz w:val="22"/>
          <w:szCs w:val="22"/>
          <w:lang w:val="en-GB"/>
        </w:rPr>
        <w:t xml:space="preserve"> the initial 579 to 113 sites (</w:t>
      </w:r>
      <w:r w:rsidR="003012D6">
        <w:rPr>
          <w:sz w:val="22"/>
          <w:szCs w:val="22"/>
          <w:lang w:val="en-GB"/>
        </w:rPr>
        <w:t>Figure 1</w:t>
      </w:r>
      <w:r w:rsidRPr="00972203">
        <w:rPr>
          <w:sz w:val="22"/>
          <w:szCs w:val="22"/>
          <w:lang w:val="en-GB"/>
        </w:rPr>
        <w:t xml:space="preserve">). </w:t>
      </w:r>
      <w:r w:rsidR="007D65EA">
        <w:rPr>
          <w:sz w:val="22"/>
          <w:szCs w:val="22"/>
          <w:lang w:val="en-GB"/>
        </w:rPr>
        <w:t xml:space="preserve">Note that </w:t>
      </w:r>
      <w:r w:rsidR="007D65EA">
        <w:rPr>
          <w:rStyle w:val="BookTitle"/>
          <w:rFonts w:ascii="Times New Roman" w:hAnsi="Times New Roman"/>
          <w:b w:val="0"/>
          <w:spacing w:val="0"/>
          <w:sz w:val="22"/>
          <w:szCs w:val="22"/>
          <w:lang w:val="en-GB"/>
        </w:rPr>
        <w:t>t</w:t>
      </w:r>
      <w:r w:rsidRPr="00972203">
        <w:rPr>
          <w:rStyle w:val="BookTitle"/>
          <w:rFonts w:ascii="Times New Roman" w:hAnsi="Times New Roman"/>
          <w:b w:val="0"/>
          <w:spacing w:val="0"/>
          <w:sz w:val="22"/>
          <w:szCs w:val="22"/>
          <w:lang w:val="en-GB"/>
        </w:rPr>
        <w:t>his method might exclude some sites whose centroids are outside the 50 km corridor created, but</w:t>
      </w:r>
      <w:r w:rsidR="007D65EA">
        <w:rPr>
          <w:rStyle w:val="BookTitle"/>
          <w:rFonts w:ascii="Times New Roman" w:hAnsi="Times New Roman"/>
          <w:b w:val="0"/>
          <w:spacing w:val="0"/>
          <w:sz w:val="22"/>
          <w:szCs w:val="22"/>
          <w:lang w:val="en-GB"/>
        </w:rPr>
        <w:t xml:space="preserve"> which in fact extend much closer to or across the pipeline corridor. It </w:t>
      </w:r>
      <w:r w:rsidRPr="00972203">
        <w:rPr>
          <w:rStyle w:val="BookTitle"/>
          <w:rFonts w:ascii="Times New Roman" w:hAnsi="Times New Roman"/>
          <w:b w:val="0"/>
          <w:spacing w:val="0"/>
          <w:sz w:val="22"/>
          <w:szCs w:val="22"/>
          <w:lang w:val="en-GB"/>
        </w:rPr>
        <w:t xml:space="preserve">was </w:t>
      </w:r>
      <w:r w:rsidR="007D65EA">
        <w:rPr>
          <w:rStyle w:val="BookTitle"/>
          <w:rFonts w:ascii="Times New Roman" w:hAnsi="Times New Roman"/>
          <w:b w:val="0"/>
          <w:spacing w:val="0"/>
          <w:sz w:val="22"/>
          <w:szCs w:val="22"/>
          <w:lang w:val="en-GB"/>
        </w:rPr>
        <w:t xml:space="preserve">however deemed </w:t>
      </w:r>
      <w:r w:rsidRPr="00972203">
        <w:rPr>
          <w:rStyle w:val="BookTitle"/>
          <w:rFonts w:ascii="Times New Roman" w:hAnsi="Times New Roman"/>
          <w:b w:val="0"/>
          <w:spacing w:val="0"/>
          <w:sz w:val="22"/>
          <w:szCs w:val="22"/>
          <w:lang w:val="en-GB"/>
        </w:rPr>
        <w:t xml:space="preserve">a good enough first-pass approach since the full areas of </w:t>
      </w:r>
      <w:r w:rsidR="007D65EA">
        <w:rPr>
          <w:rStyle w:val="BookTitle"/>
          <w:rFonts w:ascii="Times New Roman" w:hAnsi="Times New Roman"/>
          <w:b w:val="0"/>
          <w:spacing w:val="0"/>
          <w:sz w:val="22"/>
          <w:szCs w:val="22"/>
          <w:lang w:val="en-GB"/>
        </w:rPr>
        <w:t xml:space="preserve">all </w:t>
      </w:r>
      <w:r w:rsidRPr="00972203">
        <w:rPr>
          <w:rStyle w:val="BookTitle"/>
          <w:rFonts w:ascii="Times New Roman" w:hAnsi="Times New Roman"/>
          <w:b w:val="0"/>
          <w:spacing w:val="0"/>
          <w:sz w:val="22"/>
          <w:szCs w:val="22"/>
          <w:lang w:val="en-GB"/>
        </w:rPr>
        <w:t>the sites were not available. The resulting 113 sites were taken forward to the screening stage.</w:t>
      </w:r>
    </w:p>
    <w:p w14:paraId="75B95018" w14:textId="61A56E32" w:rsidR="004D1F71" w:rsidRPr="00972203" w:rsidRDefault="004D1F71" w:rsidP="002B2A02">
      <w:pPr>
        <w:pStyle w:val="Heading2"/>
      </w:pPr>
      <w:r w:rsidRPr="00972203">
        <w:t>Site screening</w:t>
      </w:r>
    </w:p>
    <w:p w14:paraId="6142A729" w14:textId="19BECC37" w:rsidR="00264BC9" w:rsidRDefault="0015498E" w:rsidP="00264BC9">
      <w:pPr>
        <w:pStyle w:val="BodyText"/>
        <w:spacing w:after="120" w:line="276" w:lineRule="auto"/>
        <w:rPr>
          <w:sz w:val="22"/>
          <w:szCs w:val="22"/>
          <w:lang w:val="en-GB"/>
        </w:rPr>
      </w:pPr>
      <w:r>
        <w:rPr>
          <w:sz w:val="22"/>
          <w:szCs w:val="22"/>
          <w:lang w:val="en-GB"/>
        </w:rPr>
        <w:t>T</w:t>
      </w:r>
      <w:r w:rsidR="00EC04AB" w:rsidRPr="00972203">
        <w:rPr>
          <w:sz w:val="22"/>
          <w:szCs w:val="22"/>
          <w:lang w:val="en-GB"/>
        </w:rPr>
        <w:t xml:space="preserve">he 113 </w:t>
      </w:r>
      <w:r w:rsidR="00E40D03">
        <w:rPr>
          <w:sz w:val="22"/>
          <w:szCs w:val="22"/>
          <w:lang w:val="en-GB"/>
        </w:rPr>
        <w:t>selectable</w:t>
      </w:r>
      <w:r w:rsidR="00EC04AB" w:rsidRPr="00972203">
        <w:rPr>
          <w:sz w:val="22"/>
          <w:szCs w:val="22"/>
          <w:lang w:val="en-GB"/>
        </w:rPr>
        <w:t xml:space="preserve"> sites were </w:t>
      </w:r>
      <w:r w:rsidR="00DB011F">
        <w:rPr>
          <w:sz w:val="22"/>
          <w:szCs w:val="22"/>
          <w:lang w:val="en-GB"/>
        </w:rPr>
        <w:t xml:space="preserve">then </w:t>
      </w:r>
      <w:r w:rsidR="00EC04AB" w:rsidRPr="00972203">
        <w:rPr>
          <w:sz w:val="22"/>
          <w:szCs w:val="22"/>
          <w:lang w:val="en-GB"/>
        </w:rPr>
        <w:t xml:space="preserve">evaluated according to </w:t>
      </w:r>
      <w:r w:rsidR="00E543BC" w:rsidRPr="00972203">
        <w:rPr>
          <w:sz w:val="22"/>
          <w:szCs w:val="22"/>
          <w:lang w:val="en-GB"/>
        </w:rPr>
        <w:t>seven</w:t>
      </w:r>
      <w:r w:rsidR="00EC04AB" w:rsidRPr="00972203">
        <w:rPr>
          <w:sz w:val="22"/>
          <w:szCs w:val="22"/>
          <w:lang w:val="en-GB"/>
        </w:rPr>
        <w:t xml:space="preserve"> screening criteria (</w:t>
      </w:r>
      <w:r w:rsidR="003012D6">
        <w:rPr>
          <w:sz w:val="22"/>
          <w:szCs w:val="22"/>
          <w:lang w:val="en-GB"/>
        </w:rPr>
        <w:t>Figure 2</w:t>
      </w:r>
      <w:r w:rsidR="00EC04AB" w:rsidRPr="00972203">
        <w:rPr>
          <w:sz w:val="22"/>
          <w:szCs w:val="22"/>
          <w:lang w:val="en-GB"/>
        </w:rPr>
        <w:t xml:space="preserve">), adapted specifically </w:t>
      </w:r>
      <w:r w:rsidR="004533B9" w:rsidRPr="00972203">
        <w:rPr>
          <w:sz w:val="22"/>
          <w:szCs w:val="22"/>
          <w:lang w:val="en-GB"/>
        </w:rPr>
        <w:t>to</w:t>
      </w:r>
      <w:r w:rsidR="00EC04AB" w:rsidRPr="00972203">
        <w:rPr>
          <w:sz w:val="22"/>
          <w:szCs w:val="22"/>
          <w:lang w:val="en-GB"/>
        </w:rPr>
        <w:t xml:space="preserve"> the needs of the Acorn project.</w:t>
      </w:r>
      <w:r w:rsidR="004533B9" w:rsidRPr="00972203">
        <w:rPr>
          <w:sz w:val="22"/>
          <w:szCs w:val="22"/>
          <w:lang w:val="en-GB"/>
        </w:rPr>
        <w:t xml:space="preserve"> The seven criteria include </w:t>
      </w:r>
      <w:r w:rsidR="00DB011F">
        <w:rPr>
          <w:sz w:val="22"/>
          <w:szCs w:val="22"/>
          <w:lang w:val="en-GB"/>
        </w:rPr>
        <w:t>CO</w:t>
      </w:r>
      <w:r w:rsidR="00DB011F" w:rsidRPr="00DB011F">
        <w:rPr>
          <w:sz w:val="22"/>
          <w:szCs w:val="22"/>
          <w:vertAlign w:val="subscript"/>
          <w:lang w:val="en-GB"/>
        </w:rPr>
        <w:t>2</w:t>
      </w:r>
      <w:r w:rsidR="00DB011F">
        <w:rPr>
          <w:sz w:val="22"/>
          <w:szCs w:val="22"/>
          <w:lang w:val="en-GB"/>
        </w:rPr>
        <w:t xml:space="preserve"> storage </w:t>
      </w:r>
      <w:r w:rsidR="004533B9" w:rsidRPr="00972203">
        <w:rPr>
          <w:sz w:val="22"/>
          <w:szCs w:val="22"/>
          <w:lang w:val="en-GB"/>
        </w:rPr>
        <w:t>capacity, porosity, permeability, age of the reservoir formation</w:t>
      </w:r>
      <w:r w:rsidR="00B91238">
        <w:rPr>
          <w:sz w:val="22"/>
          <w:szCs w:val="22"/>
          <w:lang w:val="en-GB"/>
        </w:rPr>
        <w:t xml:space="preserve"> (</w:t>
      </w:r>
      <w:r w:rsidR="00B91238" w:rsidRPr="00B91238">
        <w:rPr>
          <w:sz w:val="22"/>
          <w:szCs w:val="22"/>
          <w:lang w:val="en-GB"/>
        </w:rPr>
        <w:t xml:space="preserve">as older formation tend to have lower reservoir quality, more clay </w:t>
      </w:r>
      <w:proofErr w:type="gramStart"/>
      <w:r w:rsidR="00B91238" w:rsidRPr="00B91238">
        <w:rPr>
          <w:sz w:val="22"/>
          <w:szCs w:val="22"/>
          <w:lang w:val="en-GB"/>
        </w:rPr>
        <w:t>minerals</w:t>
      </w:r>
      <w:proofErr w:type="gramEnd"/>
      <w:r w:rsidR="00B91238" w:rsidRPr="00B91238">
        <w:rPr>
          <w:sz w:val="22"/>
          <w:szCs w:val="22"/>
          <w:lang w:val="en-GB"/>
        </w:rPr>
        <w:t xml:space="preserve"> and more carbonate cement than younger formations</w:t>
      </w:r>
      <w:r w:rsidR="00B91238">
        <w:rPr>
          <w:sz w:val="22"/>
          <w:szCs w:val="22"/>
          <w:lang w:val="en-GB"/>
        </w:rPr>
        <w:t>)</w:t>
      </w:r>
      <w:r w:rsidR="004533B9" w:rsidRPr="00972203">
        <w:rPr>
          <w:sz w:val="22"/>
          <w:szCs w:val="22"/>
          <w:lang w:val="en-GB"/>
        </w:rPr>
        <w:t>, date of cessation of production (for oil and gas fields) and well and seismic data availability in the site.</w:t>
      </w:r>
      <w:r w:rsidR="00EC04AB" w:rsidRPr="00972203">
        <w:rPr>
          <w:sz w:val="22"/>
          <w:szCs w:val="22"/>
          <w:lang w:val="en-GB"/>
        </w:rPr>
        <w:t xml:space="preserve"> These screening criteria </w:t>
      </w:r>
      <w:r>
        <w:rPr>
          <w:sz w:val="22"/>
          <w:szCs w:val="22"/>
          <w:lang w:val="en-GB"/>
        </w:rPr>
        <w:t>were assessed</w:t>
      </w:r>
      <w:r w:rsidRPr="00972203">
        <w:rPr>
          <w:sz w:val="22"/>
          <w:szCs w:val="22"/>
          <w:lang w:val="en-GB"/>
        </w:rPr>
        <w:t xml:space="preserve"> </w:t>
      </w:r>
      <w:r w:rsidR="00EC04AB" w:rsidRPr="00972203">
        <w:rPr>
          <w:sz w:val="22"/>
          <w:szCs w:val="22"/>
          <w:lang w:val="en-GB"/>
        </w:rPr>
        <w:t>independent</w:t>
      </w:r>
      <w:r>
        <w:rPr>
          <w:sz w:val="22"/>
          <w:szCs w:val="22"/>
          <w:lang w:val="en-GB"/>
        </w:rPr>
        <w:t>ly</w:t>
      </w:r>
      <w:r w:rsidR="00EC04AB" w:rsidRPr="00972203">
        <w:rPr>
          <w:sz w:val="22"/>
          <w:szCs w:val="22"/>
          <w:lang w:val="en-GB"/>
        </w:rPr>
        <w:t xml:space="preserve"> and so failure to meet any of them result</w:t>
      </w:r>
      <w:r>
        <w:rPr>
          <w:sz w:val="22"/>
          <w:szCs w:val="22"/>
          <w:lang w:val="en-GB"/>
        </w:rPr>
        <w:t>ed</w:t>
      </w:r>
      <w:r w:rsidR="00EC04AB" w:rsidRPr="00972203">
        <w:rPr>
          <w:sz w:val="22"/>
          <w:szCs w:val="22"/>
          <w:lang w:val="en-GB"/>
        </w:rPr>
        <w:t xml:space="preserve"> in dismissal of the site from the selection process. Each site was assessed for each criterion based on the data contained in the CO</w:t>
      </w:r>
      <w:r w:rsidR="00EC04AB" w:rsidRPr="00972203">
        <w:rPr>
          <w:sz w:val="22"/>
          <w:szCs w:val="22"/>
          <w:vertAlign w:val="subscript"/>
          <w:lang w:val="en-GB"/>
        </w:rPr>
        <w:t>2</w:t>
      </w:r>
      <w:r w:rsidR="00EC04AB" w:rsidRPr="00972203">
        <w:rPr>
          <w:sz w:val="22"/>
          <w:szCs w:val="22"/>
          <w:lang w:val="en-GB"/>
        </w:rPr>
        <w:t xml:space="preserve">Stored database, </w:t>
      </w:r>
      <w:r w:rsidR="000F759B" w:rsidRPr="00972203">
        <w:rPr>
          <w:sz w:val="22"/>
          <w:szCs w:val="22"/>
          <w:lang w:val="en-GB"/>
        </w:rPr>
        <w:t xml:space="preserve">marking them with “pass” if the site met the criterion and “not pass” </w:t>
      </w:r>
      <w:r>
        <w:rPr>
          <w:sz w:val="22"/>
          <w:szCs w:val="22"/>
          <w:lang w:val="en-GB"/>
        </w:rPr>
        <w:t>if the criterion was not met.</w:t>
      </w:r>
      <w:r w:rsidR="004533B9" w:rsidRPr="00972203">
        <w:rPr>
          <w:sz w:val="22"/>
          <w:szCs w:val="22"/>
          <w:lang w:val="en-GB"/>
        </w:rPr>
        <w:t xml:space="preserve"> </w:t>
      </w:r>
    </w:p>
    <w:p w14:paraId="558CC6D5" w14:textId="77777777" w:rsidR="008E3229" w:rsidRPr="00972203" w:rsidRDefault="008E3229" w:rsidP="00264BC9">
      <w:pPr>
        <w:pStyle w:val="BodyText"/>
        <w:spacing w:after="120" w:line="276" w:lineRule="auto"/>
        <w:rPr>
          <w:sz w:val="22"/>
          <w:szCs w:val="22"/>
          <w:lang w:val="en-GB"/>
        </w:rPr>
      </w:pPr>
    </w:p>
    <w:tbl>
      <w:tblPr>
        <w:tblW w:w="0" w:type="auto"/>
        <w:tblBorders>
          <w:top w:val="single" w:sz="4" w:space="0" w:color="7F7F7F"/>
          <w:bottom w:val="single" w:sz="4" w:space="0" w:color="7F7F7F"/>
        </w:tblBorders>
        <w:tblCellMar>
          <w:top w:w="28" w:type="dxa"/>
          <w:left w:w="85" w:type="dxa"/>
          <w:bottom w:w="28" w:type="dxa"/>
          <w:right w:w="85" w:type="dxa"/>
        </w:tblCellMar>
        <w:tblLook w:val="04A0" w:firstRow="1" w:lastRow="0" w:firstColumn="1" w:lastColumn="0" w:noHBand="0" w:noVBand="1"/>
      </w:tblPr>
      <w:tblGrid>
        <w:gridCol w:w="1701"/>
        <w:gridCol w:w="3544"/>
        <w:gridCol w:w="3260"/>
        <w:gridCol w:w="1961"/>
      </w:tblGrid>
      <w:tr w:rsidR="009259DC" w:rsidRPr="00972203" w14:paraId="6D432F01" w14:textId="77777777" w:rsidTr="00F86647">
        <w:trPr>
          <w:cantSplit/>
        </w:trPr>
        <w:tc>
          <w:tcPr>
            <w:tcW w:w="1701" w:type="dxa"/>
            <w:tcBorders>
              <w:bottom w:val="single" w:sz="4" w:space="0" w:color="7F7F7F"/>
            </w:tcBorders>
            <w:shd w:val="clear" w:color="auto" w:fill="F2F2F2"/>
            <w:vAlign w:val="center"/>
          </w:tcPr>
          <w:p w14:paraId="6E8021AC" w14:textId="77777777" w:rsidR="00264BC9" w:rsidRPr="00972203" w:rsidRDefault="00264BC9" w:rsidP="00DE6065">
            <w:pPr>
              <w:pStyle w:val="BodyText"/>
              <w:spacing w:after="120" w:line="276" w:lineRule="auto"/>
              <w:jc w:val="left"/>
              <w:rPr>
                <w:b/>
                <w:bCs/>
                <w:sz w:val="18"/>
                <w:szCs w:val="22"/>
                <w:lang w:val="en-GB"/>
              </w:rPr>
            </w:pPr>
            <w:r w:rsidRPr="00972203">
              <w:rPr>
                <w:b/>
                <w:bCs/>
                <w:sz w:val="18"/>
                <w:szCs w:val="22"/>
                <w:lang w:val="en-GB"/>
              </w:rPr>
              <w:t>Screening criterion</w:t>
            </w:r>
          </w:p>
        </w:tc>
        <w:tc>
          <w:tcPr>
            <w:tcW w:w="3544" w:type="dxa"/>
            <w:tcBorders>
              <w:bottom w:val="single" w:sz="4" w:space="0" w:color="7F7F7F"/>
            </w:tcBorders>
            <w:shd w:val="clear" w:color="auto" w:fill="F2F2F2"/>
            <w:vAlign w:val="center"/>
          </w:tcPr>
          <w:p w14:paraId="4498C064" w14:textId="77777777" w:rsidR="00264BC9" w:rsidRPr="00972203" w:rsidRDefault="00264BC9" w:rsidP="00DE6065">
            <w:pPr>
              <w:pStyle w:val="BodyText"/>
              <w:spacing w:after="120" w:line="276" w:lineRule="auto"/>
              <w:jc w:val="left"/>
              <w:rPr>
                <w:b/>
                <w:bCs/>
                <w:sz w:val="18"/>
                <w:szCs w:val="22"/>
                <w:lang w:val="en-GB"/>
              </w:rPr>
            </w:pPr>
            <w:r w:rsidRPr="00972203">
              <w:rPr>
                <w:b/>
                <w:bCs/>
                <w:sz w:val="18"/>
                <w:szCs w:val="22"/>
                <w:lang w:val="en-GB"/>
              </w:rPr>
              <w:t>Description</w:t>
            </w:r>
          </w:p>
        </w:tc>
        <w:tc>
          <w:tcPr>
            <w:tcW w:w="3260" w:type="dxa"/>
            <w:tcBorders>
              <w:bottom w:val="single" w:sz="4" w:space="0" w:color="7F7F7F"/>
            </w:tcBorders>
            <w:shd w:val="clear" w:color="auto" w:fill="F2F2F2"/>
            <w:vAlign w:val="center"/>
          </w:tcPr>
          <w:p w14:paraId="33198E60" w14:textId="77777777" w:rsidR="00264BC9" w:rsidRPr="00972203" w:rsidRDefault="00264BC9" w:rsidP="00DE6065">
            <w:pPr>
              <w:pStyle w:val="BodyText"/>
              <w:spacing w:after="120" w:line="276" w:lineRule="auto"/>
              <w:jc w:val="left"/>
              <w:rPr>
                <w:b/>
                <w:bCs/>
                <w:sz w:val="18"/>
                <w:szCs w:val="22"/>
                <w:lang w:val="en-GB"/>
              </w:rPr>
            </w:pPr>
            <w:r w:rsidRPr="00972203">
              <w:rPr>
                <w:b/>
                <w:bCs/>
                <w:sz w:val="18"/>
                <w:szCs w:val="22"/>
                <w:lang w:val="en-GB"/>
              </w:rPr>
              <w:t>Rationale</w:t>
            </w:r>
          </w:p>
        </w:tc>
        <w:tc>
          <w:tcPr>
            <w:tcW w:w="1961" w:type="dxa"/>
            <w:tcBorders>
              <w:bottom w:val="single" w:sz="4" w:space="0" w:color="7F7F7F"/>
            </w:tcBorders>
            <w:shd w:val="clear" w:color="auto" w:fill="F2F2F2"/>
            <w:vAlign w:val="center"/>
          </w:tcPr>
          <w:p w14:paraId="7677CEBD" w14:textId="28806648" w:rsidR="00264BC9" w:rsidRPr="00972203" w:rsidRDefault="00264BC9" w:rsidP="00B91238">
            <w:pPr>
              <w:pStyle w:val="BodyText"/>
              <w:spacing w:after="120" w:line="276" w:lineRule="auto"/>
              <w:jc w:val="left"/>
              <w:rPr>
                <w:b/>
                <w:bCs/>
                <w:sz w:val="18"/>
                <w:szCs w:val="22"/>
                <w:lang w:val="en-GB"/>
              </w:rPr>
            </w:pPr>
            <w:r w:rsidRPr="00972203">
              <w:rPr>
                <w:b/>
                <w:bCs/>
                <w:sz w:val="18"/>
                <w:szCs w:val="22"/>
                <w:lang w:val="en-GB"/>
              </w:rPr>
              <w:t xml:space="preserve">Sites failing the criterion  </w:t>
            </w:r>
            <w:r w:rsidR="00B91238">
              <w:rPr>
                <w:b/>
                <w:bCs/>
                <w:sz w:val="18"/>
                <w:szCs w:val="22"/>
                <w:lang w:val="en-GB"/>
              </w:rPr>
              <w:t>(</w:t>
            </w:r>
            <w:r w:rsidRPr="00972203">
              <w:rPr>
                <w:b/>
                <w:bCs/>
                <w:sz w:val="18"/>
                <w:szCs w:val="22"/>
                <w:lang w:val="en-GB"/>
              </w:rPr>
              <w:t>percentage of the total</w:t>
            </w:r>
            <w:r w:rsidR="00380FA4">
              <w:rPr>
                <w:b/>
                <w:bCs/>
                <w:sz w:val="18"/>
                <w:szCs w:val="22"/>
                <w:lang w:val="en-GB"/>
              </w:rPr>
              <w:t>, N=113 selectable sites</w:t>
            </w:r>
            <w:r w:rsidR="00B91238">
              <w:rPr>
                <w:b/>
                <w:bCs/>
                <w:sz w:val="18"/>
                <w:szCs w:val="22"/>
                <w:lang w:val="en-GB"/>
              </w:rPr>
              <w:t>)</w:t>
            </w:r>
          </w:p>
        </w:tc>
      </w:tr>
      <w:tr w:rsidR="009259DC" w:rsidRPr="00972203" w14:paraId="746FAB93" w14:textId="77777777" w:rsidTr="00F86647">
        <w:trPr>
          <w:cantSplit/>
        </w:trPr>
        <w:tc>
          <w:tcPr>
            <w:tcW w:w="1701" w:type="dxa"/>
            <w:tcBorders>
              <w:top w:val="single" w:sz="4" w:space="0" w:color="7F7F7F"/>
              <w:bottom w:val="single" w:sz="4" w:space="0" w:color="7F7F7F"/>
            </w:tcBorders>
            <w:shd w:val="clear" w:color="auto" w:fill="auto"/>
            <w:vAlign w:val="center"/>
          </w:tcPr>
          <w:p w14:paraId="456F2D6D" w14:textId="77777777" w:rsidR="00264BC9" w:rsidRPr="00972203" w:rsidRDefault="00264BC9" w:rsidP="00B91238">
            <w:pPr>
              <w:pStyle w:val="BodyText"/>
              <w:spacing w:line="276" w:lineRule="auto"/>
              <w:jc w:val="left"/>
              <w:rPr>
                <w:b/>
                <w:bCs/>
                <w:sz w:val="18"/>
                <w:szCs w:val="22"/>
                <w:lang w:val="en-GB"/>
              </w:rPr>
            </w:pPr>
            <w:r w:rsidRPr="00972203">
              <w:rPr>
                <w:bCs/>
                <w:sz w:val="18"/>
                <w:szCs w:val="22"/>
                <w:lang w:val="en-GB"/>
              </w:rPr>
              <w:t>Capacity</w:t>
            </w:r>
          </w:p>
        </w:tc>
        <w:tc>
          <w:tcPr>
            <w:tcW w:w="3544" w:type="dxa"/>
            <w:tcBorders>
              <w:top w:val="single" w:sz="4" w:space="0" w:color="7F7F7F"/>
              <w:bottom w:val="single" w:sz="4" w:space="0" w:color="7F7F7F"/>
            </w:tcBorders>
            <w:shd w:val="clear" w:color="auto" w:fill="auto"/>
            <w:vAlign w:val="center"/>
          </w:tcPr>
          <w:p w14:paraId="552E965F"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Screening out of sites with a P50 capacity less than 50 Mt CO</w:t>
            </w:r>
            <w:r w:rsidRPr="00972203">
              <w:rPr>
                <w:sz w:val="18"/>
                <w:szCs w:val="22"/>
                <w:vertAlign w:val="subscript"/>
                <w:lang w:val="en-GB"/>
              </w:rPr>
              <w:t>2</w:t>
            </w:r>
          </w:p>
        </w:tc>
        <w:tc>
          <w:tcPr>
            <w:tcW w:w="3260" w:type="dxa"/>
            <w:tcBorders>
              <w:top w:val="single" w:sz="4" w:space="0" w:color="7F7F7F"/>
              <w:bottom w:val="single" w:sz="4" w:space="0" w:color="7F7F7F"/>
            </w:tcBorders>
            <w:shd w:val="clear" w:color="auto" w:fill="auto"/>
            <w:vAlign w:val="center"/>
          </w:tcPr>
          <w:p w14:paraId="774BAA4D"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Relatively high capacities needed for the expansion stage of the project</w:t>
            </w:r>
          </w:p>
        </w:tc>
        <w:tc>
          <w:tcPr>
            <w:tcW w:w="1961" w:type="dxa"/>
            <w:tcBorders>
              <w:top w:val="single" w:sz="4" w:space="0" w:color="7F7F7F"/>
              <w:bottom w:val="single" w:sz="4" w:space="0" w:color="7F7F7F"/>
            </w:tcBorders>
            <w:shd w:val="clear" w:color="auto" w:fill="auto"/>
            <w:vAlign w:val="center"/>
          </w:tcPr>
          <w:p w14:paraId="2CD14C7A" w14:textId="18C48D2F" w:rsidR="00264BC9" w:rsidRPr="00972203" w:rsidRDefault="00264BC9" w:rsidP="00B91238">
            <w:pPr>
              <w:pStyle w:val="BodyText"/>
              <w:spacing w:line="276" w:lineRule="auto"/>
              <w:jc w:val="left"/>
              <w:rPr>
                <w:sz w:val="18"/>
                <w:szCs w:val="22"/>
                <w:lang w:val="en-GB"/>
              </w:rPr>
            </w:pPr>
            <w:r w:rsidRPr="00972203">
              <w:rPr>
                <w:sz w:val="18"/>
                <w:szCs w:val="22"/>
                <w:lang w:val="en-GB"/>
              </w:rPr>
              <w:t xml:space="preserve">64 </w:t>
            </w:r>
            <w:r w:rsidR="00B91238">
              <w:rPr>
                <w:sz w:val="18"/>
                <w:szCs w:val="22"/>
                <w:lang w:val="en-GB"/>
              </w:rPr>
              <w:t>(</w:t>
            </w:r>
            <w:r w:rsidRPr="00972203">
              <w:rPr>
                <w:sz w:val="18"/>
                <w:szCs w:val="22"/>
                <w:lang w:val="en-GB"/>
              </w:rPr>
              <w:t>57%</w:t>
            </w:r>
            <w:r w:rsidR="00B91238">
              <w:rPr>
                <w:sz w:val="18"/>
                <w:szCs w:val="22"/>
                <w:lang w:val="en-GB"/>
              </w:rPr>
              <w:t>)</w:t>
            </w:r>
          </w:p>
        </w:tc>
      </w:tr>
      <w:tr w:rsidR="009259DC" w:rsidRPr="00972203" w14:paraId="33215676" w14:textId="77777777" w:rsidTr="00F86647">
        <w:trPr>
          <w:cantSplit/>
        </w:trPr>
        <w:tc>
          <w:tcPr>
            <w:tcW w:w="1701" w:type="dxa"/>
            <w:shd w:val="clear" w:color="auto" w:fill="auto"/>
            <w:vAlign w:val="center"/>
          </w:tcPr>
          <w:p w14:paraId="7B161CA3" w14:textId="77777777" w:rsidR="00264BC9" w:rsidRPr="00972203" w:rsidRDefault="00264BC9" w:rsidP="00B91238">
            <w:pPr>
              <w:pStyle w:val="BodyText"/>
              <w:spacing w:line="276" w:lineRule="auto"/>
              <w:jc w:val="left"/>
              <w:rPr>
                <w:b/>
                <w:bCs/>
                <w:sz w:val="18"/>
                <w:szCs w:val="22"/>
                <w:lang w:val="en-GB"/>
              </w:rPr>
            </w:pPr>
            <w:r w:rsidRPr="00972203">
              <w:rPr>
                <w:bCs/>
                <w:sz w:val="18"/>
                <w:szCs w:val="22"/>
                <w:lang w:val="en-GB"/>
              </w:rPr>
              <w:t>Porosity</w:t>
            </w:r>
          </w:p>
        </w:tc>
        <w:tc>
          <w:tcPr>
            <w:tcW w:w="3544" w:type="dxa"/>
            <w:shd w:val="clear" w:color="auto" w:fill="auto"/>
            <w:vAlign w:val="center"/>
          </w:tcPr>
          <w:p w14:paraId="1A558B55"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Screening out of sites with porosities lower than 10%</w:t>
            </w:r>
          </w:p>
        </w:tc>
        <w:tc>
          <w:tcPr>
            <w:tcW w:w="3260" w:type="dxa"/>
            <w:shd w:val="clear" w:color="auto" w:fill="auto"/>
            <w:vAlign w:val="center"/>
          </w:tcPr>
          <w:p w14:paraId="5ECF07EE"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High porosity to ensure high storage efficiency</w:t>
            </w:r>
          </w:p>
        </w:tc>
        <w:tc>
          <w:tcPr>
            <w:tcW w:w="1961" w:type="dxa"/>
            <w:shd w:val="clear" w:color="auto" w:fill="auto"/>
            <w:vAlign w:val="center"/>
          </w:tcPr>
          <w:p w14:paraId="47701D50" w14:textId="74C66D40" w:rsidR="00264BC9" w:rsidRPr="00972203" w:rsidRDefault="00B91238" w:rsidP="00B91238">
            <w:pPr>
              <w:pStyle w:val="BodyText"/>
              <w:spacing w:line="276" w:lineRule="auto"/>
              <w:jc w:val="left"/>
              <w:rPr>
                <w:sz w:val="18"/>
                <w:szCs w:val="22"/>
                <w:lang w:val="en-GB"/>
              </w:rPr>
            </w:pPr>
            <w:r>
              <w:rPr>
                <w:sz w:val="18"/>
                <w:szCs w:val="22"/>
                <w:lang w:val="en-GB"/>
              </w:rPr>
              <w:t>2 (</w:t>
            </w:r>
            <w:r w:rsidR="00264BC9" w:rsidRPr="00972203">
              <w:rPr>
                <w:sz w:val="18"/>
                <w:szCs w:val="22"/>
                <w:lang w:val="en-GB"/>
              </w:rPr>
              <w:t>2%</w:t>
            </w:r>
            <w:r>
              <w:rPr>
                <w:sz w:val="18"/>
                <w:szCs w:val="22"/>
                <w:lang w:val="en-GB"/>
              </w:rPr>
              <w:t>)</w:t>
            </w:r>
          </w:p>
        </w:tc>
      </w:tr>
      <w:tr w:rsidR="009259DC" w:rsidRPr="00972203" w14:paraId="695C73A5" w14:textId="77777777" w:rsidTr="00F86647">
        <w:trPr>
          <w:cantSplit/>
        </w:trPr>
        <w:tc>
          <w:tcPr>
            <w:tcW w:w="1701" w:type="dxa"/>
            <w:tcBorders>
              <w:top w:val="single" w:sz="4" w:space="0" w:color="7F7F7F"/>
              <w:bottom w:val="single" w:sz="4" w:space="0" w:color="7F7F7F"/>
            </w:tcBorders>
            <w:shd w:val="clear" w:color="auto" w:fill="auto"/>
            <w:vAlign w:val="center"/>
          </w:tcPr>
          <w:p w14:paraId="20FEC2E3" w14:textId="77777777" w:rsidR="00264BC9" w:rsidRPr="00972203" w:rsidRDefault="00264BC9" w:rsidP="00B91238">
            <w:pPr>
              <w:pStyle w:val="BodyText"/>
              <w:spacing w:line="276" w:lineRule="auto"/>
              <w:jc w:val="left"/>
              <w:rPr>
                <w:b/>
                <w:bCs/>
                <w:sz w:val="18"/>
                <w:szCs w:val="22"/>
                <w:lang w:val="en-GB"/>
              </w:rPr>
            </w:pPr>
            <w:r w:rsidRPr="00972203">
              <w:rPr>
                <w:bCs/>
                <w:sz w:val="18"/>
                <w:szCs w:val="22"/>
                <w:lang w:val="en-GB"/>
              </w:rPr>
              <w:t>Permeability</w:t>
            </w:r>
          </w:p>
        </w:tc>
        <w:tc>
          <w:tcPr>
            <w:tcW w:w="3544" w:type="dxa"/>
            <w:tcBorders>
              <w:top w:val="single" w:sz="4" w:space="0" w:color="7F7F7F"/>
              <w:bottom w:val="single" w:sz="4" w:space="0" w:color="7F7F7F"/>
            </w:tcBorders>
            <w:shd w:val="clear" w:color="auto" w:fill="auto"/>
            <w:vAlign w:val="center"/>
          </w:tcPr>
          <w:p w14:paraId="68874605" w14:textId="4603338B" w:rsidR="00264BC9" w:rsidRPr="00972203" w:rsidRDefault="00264BC9" w:rsidP="00B91238">
            <w:pPr>
              <w:pStyle w:val="BodyText"/>
              <w:spacing w:line="276" w:lineRule="auto"/>
              <w:jc w:val="left"/>
              <w:rPr>
                <w:sz w:val="18"/>
                <w:szCs w:val="22"/>
                <w:lang w:val="en-GB"/>
              </w:rPr>
            </w:pPr>
            <w:r w:rsidRPr="00972203">
              <w:rPr>
                <w:sz w:val="18"/>
                <w:szCs w:val="22"/>
                <w:lang w:val="en-GB"/>
              </w:rPr>
              <w:t>Screening out of sites with permeabilities lower than 10</w:t>
            </w:r>
            <w:r w:rsidR="00474D56" w:rsidRPr="00972203">
              <w:rPr>
                <w:sz w:val="18"/>
                <w:szCs w:val="22"/>
                <w:lang w:val="en-GB"/>
              </w:rPr>
              <w:t xml:space="preserve"> mD</w:t>
            </w:r>
          </w:p>
        </w:tc>
        <w:tc>
          <w:tcPr>
            <w:tcW w:w="3260" w:type="dxa"/>
            <w:tcBorders>
              <w:top w:val="single" w:sz="4" w:space="0" w:color="7F7F7F"/>
              <w:bottom w:val="single" w:sz="4" w:space="0" w:color="7F7F7F"/>
            </w:tcBorders>
            <w:shd w:val="clear" w:color="auto" w:fill="auto"/>
            <w:vAlign w:val="center"/>
          </w:tcPr>
          <w:p w14:paraId="28961991"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High permeability to ensure high injectivity</w:t>
            </w:r>
          </w:p>
        </w:tc>
        <w:tc>
          <w:tcPr>
            <w:tcW w:w="1961" w:type="dxa"/>
            <w:tcBorders>
              <w:top w:val="single" w:sz="4" w:space="0" w:color="7F7F7F"/>
              <w:bottom w:val="single" w:sz="4" w:space="0" w:color="7F7F7F"/>
            </w:tcBorders>
            <w:shd w:val="clear" w:color="auto" w:fill="auto"/>
            <w:vAlign w:val="center"/>
          </w:tcPr>
          <w:p w14:paraId="215F8ACC" w14:textId="514729D6" w:rsidR="00264BC9" w:rsidRPr="00972203" w:rsidRDefault="00264BC9" w:rsidP="00B91238">
            <w:pPr>
              <w:pStyle w:val="BodyText"/>
              <w:spacing w:line="276" w:lineRule="auto"/>
              <w:jc w:val="left"/>
              <w:rPr>
                <w:sz w:val="18"/>
                <w:szCs w:val="22"/>
                <w:lang w:val="en-GB"/>
              </w:rPr>
            </w:pPr>
            <w:r w:rsidRPr="00972203">
              <w:rPr>
                <w:sz w:val="18"/>
                <w:szCs w:val="22"/>
                <w:lang w:val="en-GB"/>
              </w:rPr>
              <w:t xml:space="preserve">23 </w:t>
            </w:r>
            <w:r w:rsidR="00B91238">
              <w:rPr>
                <w:sz w:val="18"/>
                <w:szCs w:val="22"/>
                <w:lang w:val="en-GB"/>
              </w:rPr>
              <w:t>(</w:t>
            </w:r>
            <w:r w:rsidRPr="00972203">
              <w:rPr>
                <w:sz w:val="18"/>
                <w:szCs w:val="22"/>
                <w:lang w:val="en-GB"/>
              </w:rPr>
              <w:t>20%</w:t>
            </w:r>
            <w:r w:rsidR="00B91238">
              <w:rPr>
                <w:sz w:val="18"/>
                <w:szCs w:val="22"/>
                <w:lang w:val="en-GB"/>
              </w:rPr>
              <w:t>)</w:t>
            </w:r>
          </w:p>
        </w:tc>
      </w:tr>
      <w:tr w:rsidR="009259DC" w:rsidRPr="00972203" w14:paraId="4A3E16CF" w14:textId="77777777" w:rsidTr="00F86647">
        <w:tblPrEx>
          <w:tblCellMar>
            <w:top w:w="0" w:type="dxa"/>
            <w:left w:w="108" w:type="dxa"/>
            <w:bottom w:w="0" w:type="dxa"/>
            <w:right w:w="108" w:type="dxa"/>
          </w:tblCellMar>
        </w:tblPrEx>
        <w:tc>
          <w:tcPr>
            <w:tcW w:w="1701" w:type="dxa"/>
            <w:shd w:val="clear" w:color="auto" w:fill="auto"/>
          </w:tcPr>
          <w:p w14:paraId="1ACD8258" w14:textId="77777777" w:rsidR="00264BC9" w:rsidRPr="00972203" w:rsidRDefault="00264BC9" w:rsidP="00B91238">
            <w:pPr>
              <w:pStyle w:val="BodyText"/>
              <w:spacing w:line="276" w:lineRule="auto"/>
              <w:jc w:val="left"/>
              <w:rPr>
                <w:b/>
                <w:bCs/>
                <w:sz w:val="18"/>
                <w:szCs w:val="22"/>
                <w:lang w:val="en-GB"/>
              </w:rPr>
            </w:pPr>
            <w:r w:rsidRPr="00972203">
              <w:rPr>
                <w:bCs/>
                <w:sz w:val="18"/>
                <w:szCs w:val="22"/>
                <w:lang w:val="en-GB"/>
              </w:rPr>
              <w:t>Age of the reservoir formation</w:t>
            </w:r>
          </w:p>
        </w:tc>
        <w:tc>
          <w:tcPr>
            <w:tcW w:w="3544" w:type="dxa"/>
            <w:shd w:val="clear" w:color="auto" w:fill="auto"/>
          </w:tcPr>
          <w:p w14:paraId="590E380B"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Screening out of sites older than the Mesozoic</w:t>
            </w:r>
          </w:p>
        </w:tc>
        <w:tc>
          <w:tcPr>
            <w:tcW w:w="3260" w:type="dxa"/>
            <w:shd w:val="clear" w:color="auto" w:fill="auto"/>
          </w:tcPr>
          <w:p w14:paraId="1188E22E" w14:textId="125590DC" w:rsidR="00264BC9" w:rsidRPr="00972203" w:rsidRDefault="00B91238" w:rsidP="00B91238">
            <w:pPr>
              <w:pStyle w:val="BodyText"/>
              <w:spacing w:line="276" w:lineRule="auto"/>
              <w:jc w:val="left"/>
              <w:rPr>
                <w:sz w:val="18"/>
                <w:szCs w:val="22"/>
                <w:lang w:val="en-GB"/>
              </w:rPr>
            </w:pPr>
            <w:r>
              <w:rPr>
                <w:sz w:val="18"/>
                <w:szCs w:val="22"/>
                <w:lang w:val="en-GB"/>
              </w:rPr>
              <w:t>O</w:t>
            </w:r>
            <w:r w:rsidRPr="00B91238">
              <w:rPr>
                <w:sz w:val="18"/>
                <w:szCs w:val="22"/>
                <w:lang w:val="en-GB"/>
              </w:rPr>
              <w:t xml:space="preserve">lder formation </w:t>
            </w:r>
            <w:proofErr w:type="gramStart"/>
            <w:r w:rsidRPr="00B91238">
              <w:rPr>
                <w:sz w:val="18"/>
                <w:szCs w:val="22"/>
                <w:lang w:val="en-GB"/>
              </w:rPr>
              <w:t>tend</w:t>
            </w:r>
            <w:proofErr w:type="gramEnd"/>
            <w:r w:rsidRPr="00B91238">
              <w:rPr>
                <w:sz w:val="18"/>
                <w:szCs w:val="22"/>
                <w:lang w:val="en-GB"/>
              </w:rPr>
              <w:t xml:space="preserve"> to have lower reservoir quality, more clay minerals and more carbonate cement than younger formations</w:t>
            </w:r>
          </w:p>
        </w:tc>
        <w:tc>
          <w:tcPr>
            <w:tcW w:w="1961" w:type="dxa"/>
            <w:shd w:val="clear" w:color="auto" w:fill="auto"/>
          </w:tcPr>
          <w:p w14:paraId="4B59AC91" w14:textId="3CF5335C" w:rsidR="00264BC9" w:rsidRPr="00972203" w:rsidRDefault="00264BC9" w:rsidP="00B91238">
            <w:pPr>
              <w:pStyle w:val="BodyText"/>
              <w:spacing w:line="276" w:lineRule="auto"/>
              <w:jc w:val="left"/>
              <w:rPr>
                <w:sz w:val="18"/>
                <w:szCs w:val="22"/>
                <w:lang w:val="en-GB"/>
              </w:rPr>
            </w:pPr>
            <w:r w:rsidRPr="00972203">
              <w:rPr>
                <w:sz w:val="18"/>
                <w:szCs w:val="22"/>
                <w:lang w:val="en-GB"/>
              </w:rPr>
              <w:t xml:space="preserve">22 </w:t>
            </w:r>
            <w:r w:rsidR="00B91238">
              <w:rPr>
                <w:sz w:val="18"/>
                <w:szCs w:val="22"/>
                <w:lang w:val="en-GB"/>
              </w:rPr>
              <w:t>(</w:t>
            </w:r>
            <w:r w:rsidRPr="00972203">
              <w:rPr>
                <w:sz w:val="18"/>
                <w:szCs w:val="22"/>
                <w:lang w:val="en-GB"/>
              </w:rPr>
              <w:t>19%</w:t>
            </w:r>
            <w:r w:rsidR="00B91238">
              <w:rPr>
                <w:sz w:val="18"/>
                <w:szCs w:val="22"/>
                <w:lang w:val="en-GB"/>
              </w:rPr>
              <w:t>)</w:t>
            </w:r>
          </w:p>
        </w:tc>
      </w:tr>
      <w:tr w:rsidR="009259DC" w:rsidRPr="00972203" w14:paraId="2C38235A" w14:textId="77777777" w:rsidTr="00F86647">
        <w:trPr>
          <w:cantSplit/>
        </w:trPr>
        <w:tc>
          <w:tcPr>
            <w:tcW w:w="1701" w:type="dxa"/>
            <w:tcBorders>
              <w:top w:val="single" w:sz="4" w:space="0" w:color="7F7F7F"/>
              <w:bottom w:val="single" w:sz="4" w:space="0" w:color="7F7F7F"/>
            </w:tcBorders>
            <w:shd w:val="clear" w:color="auto" w:fill="auto"/>
            <w:vAlign w:val="center"/>
          </w:tcPr>
          <w:p w14:paraId="4AFDDEC3" w14:textId="77777777" w:rsidR="00264BC9" w:rsidRPr="00972203" w:rsidRDefault="00264BC9" w:rsidP="00B91238">
            <w:pPr>
              <w:pStyle w:val="BodyText"/>
              <w:spacing w:line="276" w:lineRule="auto"/>
              <w:jc w:val="left"/>
              <w:rPr>
                <w:b/>
                <w:bCs/>
                <w:sz w:val="18"/>
                <w:szCs w:val="22"/>
                <w:lang w:val="en-GB"/>
              </w:rPr>
            </w:pPr>
            <w:r w:rsidRPr="00972203">
              <w:rPr>
                <w:bCs/>
                <w:sz w:val="18"/>
                <w:szCs w:val="22"/>
                <w:lang w:val="en-GB"/>
              </w:rPr>
              <w:lastRenderedPageBreak/>
              <w:t>Cessation of production</w:t>
            </w:r>
          </w:p>
        </w:tc>
        <w:tc>
          <w:tcPr>
            <w:tcW w:w="3544" w:type="dxa"/>
            <w:tcBorders>
              <w:top w:val="single" w:sz="4" w:space="0" w:color="7F7F7F"/>
              <w:bottom w:val="single" w:sz="4" w:space="0" w:color="7F7F7F"/>
            </w:tcBorders>
            <w:shd w:val="clear" w:color="auto" w:fill="auto"/>
            <w:vAlign w:val="center"/>
          </w:tcPr>
          <w:p w14:paraId="0857B755"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Screening out of hydrocarbon fields which expected cessation of production is later than 2022</w:t>
            </w:r>
          </w:p>
        </w:tc>
        <w:tc>
          <w:tcPr>
            <w:tcW w:w="3260" w:type="dxa"/>
            <w:tcBorders>
              <w:top w:val="single" w:sz="4" w:space="0" w:color="7F7F7F"/>
              <w:bottom w:val="single" w:sz="4" w:space="0" w:color="7F7F7F"/>
            </w:tcBorders>
            <w:shd w:val="clear" w:color="auto" w:fill="auto"/>
            <w:vAlign w:val="center"/>
          </w:tcPr>
          <w:p w14:paraId="2820FF36" w14:textId="74862CDE" w:rsidR="00264BC9" w:rsidRPr="00972203" w:rsidRDefault="00264BC9" w:rsidP="00B91238">
            <w:pPr>
              <w:pStyle w:val="BodyText"/>
              <w:spacing w:line="276" w:lineRule="auto"/>
              <w:jc w:val="left"/>
              <w:rPr>
                <w:sz w:val="18"/>
                <w:szCs w:val="22"/>
                <w:lang w:val="en-GB"/>
              </w:rPr>
            </w:pPr>
            <w:r w:rsidRPr="00972203">
              <w:rPr>
                <w:sz w:val="18"/>
                <w:szCs w:val="22"/>
                <w:lang w:val="en-GB"/>
              </w:rPr>
              <w:t xml:space="preserve">Acorn project expected to be in operation by 2022, so potential hydrocarbon fields must </w:t>
            </w:r>
            <w:r w:rsidR="00B91238">
              <w:rPr>
                <w:sz w:val="18"/>
                <w:szCs w:val="22"/>
                <w:lang w:val="en-GB"/>
              </w:rPr>
              <w:t>have finished</w:t>
            </w:r>
            <w:r w:rsidRPr="00972203">
              <w:rPr>
                <w:sz w:val="18"/>
                <w:szCs w:val="22"/>
                <w:lang w:val="en-GB"/>
              </w:rPr>
              <w:t xml:space="preserve"> operation by then</w:t>
            </w:r>
          </w:p>
        </w:tc>
        <w:tc>
          <w:tcPr>
            <w:tcW w:w="1961" w:type="dxa"/>
            <w:tcBorders>
              <w:top w:val="single" w:sz="4" w:space="0" w:color="7F7F7F"/>
              <w:bottom w:val="single" w:sz="4" w:space="0" w:color="7F7F7F"/>
            </w:tcBorders>
            <w:shd w:val="clear" w:color="auto" w:fill="auto"/>
            <w:vAlign w:val="center"/>
          </w:tcPr>
          <w:p w14:paraId="14EB9176" w14:textId="47AD20CA" w:rsidR="00264BC9" w:rsidRPr="00972203" w:rsidRDefault="007D6751" w:rsidP="00B91238">
            <w:pPr>
              <w:pStyle w:val="BodyText"/>
              <w:spacing w:line="276" w:lineRule="auto"/>
              <w:jc w:val="left"/>
              <w:rPr>
                <w:sz w:val="18"/>
                <w:szCs w:val="22"/>
                <w:lang w:val="en-GB"/>
              </w:rPr>
            </w:pPr>
            <w:r w:rsidRPr="00972203">
              <w:rPr>
                <w:sz w:val="18"/>
                <w:szCs w:val="22"/>
                <w:lang w:val="en-GB"/>
              </w:rPr>
              <w:t>9</w:t>
            </w:r>
            <w:r w:rsidR="00B91238">
              <w:rPr>
                <w:sz w:val="18"/>
                <w:szCs w:val="22"/>
                <w:lang w:val="en-GB"/>
              </w:rPr>
              <w:t xml:space="preserve"> (</w:t>
            </w:r>
            <w:r w:rsidRPr="00972203">
              <w:rPr>
                <w:sz w:val="18"/>
                <w:szCs w:val="22"/>
                <w:lang w:val="en-GB"/>
              </w:rPr>
              <w:t>8</w:t>
            </w:r>
            <w:r w:rsidR="00264BC9" w:rsidRPr="00972203">
              <w:rPr>
                <w:sz w:val="18"/>
                <w:szCs w:val="22"/>
                <w:lang w:val="en-GB"/>
              </w:rPr>
              <w:t>%</w:t>
            </w:r>
            <w:r w:rsidR="00B91238">
              <w:rPr>
                <w:sz w:val="18"/>
                <w:szCs w:val="22"/>
                <w:lang w:val="en-GB"/>
              </w:rPr>
              <w:t>)</w:t>
            </w:r>
          </w:p>
        </w:tc>
      </w:tr>
      <w:tr w:rsidR="009259DC" w:rsidRPr="00972203" w14:paraId="42B7CDAE" w14:textId="77777777" w:rsidTr="00F86647">
        <w:trPr>
          <w:cantSplit/>
        </w:trPr>
        <w:tc>
          <w:tcPr>
            <w:tcW w:w="1701" w:type="dxa"/>
            <w:shd w:val="clear" w:color="auto" w:fill="auto"/>
            <w:vAlign w:val="center"/>
          </w:tcPr>
          <w:p w14:paraId="00B0F21D" w14:textId="77777777" w:rsidR="00264BC9" w:rsidRPr="00972203" w:rsidRDefault="00264BC9" w:rsidP="00B91238">
            <w:pPr>
              <w:pStyle w:val="BodyText"/>
              <w:spacing w:line="276" w:lineRule="auto"/>
              <w:jc w:val="left"/>
              <w:rPr>
                <w:b/>
                <w:bCs/>
                <w:sz w:val="18"/>
                <w:szCs w:val="22"/>
                <w:lang w:val="en-GB"/>
              </w:rPr>
            </w:pPr>
            <w:r w:rsidRPr="00972203">
              <w:rPr>
                <w:bCs/>
                <w:sz w:val="18"/>
                <w:szCs w:val="22"/>
                <w:lang w:val="en-GB"/>
              </w:rPr>
              <w:t>Well data availability</w:t>
            </w:r>
          </w:p>
        </w:tc>
        <w:tc>
          <w:tcPr>
            <w:tcW w:w="3544" w:type="dxa"/>
            <w:shd w:val="clear" w:color="auto" w:fill="auto"/>
            <w:vAlign w:val="center"/>
          </w:tcPr>
          <w:p w14:paraId="1F4501C7" w14:textId="77777777" w:rsidR="00264BC9" w:rsidRPr="00972203" w:rsidRDefault="00264BC9" w:rsidP="00B91238">
            <w:pPr>
              <w:pStyle w:val="BodyText"/>
              <w:spacing w:line="276" w:lineRule="auto"/>
              <w:jc w:val="left"/>
              <w:rPr>
                <w:sz w:val="18"/>
                <w:szCs w:val="22"/>
                <w:lang w:val="en-GB"/>
              </w:rPr>
            </w:pPr>
            <w:r w:rsidRPr="00972203">
              <w:rPr>
                <w:sz w:val="18"/>
                <w:szCs w:val="22"/>
                <w:lang w:val="en-GB"/>
              </w:rPr>
              <w:t>Screening out of sites not sampled by wells</w:t>
            </w:r>
          </w:p>
        </w:tc>
        <w:tc>
          <w:tcPr>
            <w:tcW w:w="3260" w:type="dxa"/>
            <w:shd w:val="clear" w:color="auto" w:fill="auto"/>
            <w:vAlign w:val="center"/>
          </w:tcPr>
          <w:p w14:paraId="3561EE76" w14:textId="65340B5F" w:rsidR="00264BC9" w:rsidRPr="00972203" w:rsidRDefault="00F80A65" w:rsidP="00B91238">
            <w:pPr>
              <w:pStyle w:val="BodyText"/>
              <w:spacing w:line="276" w:lineRule="auto"/>
              <w:jc w:val="left"/>
              <w:rPr>
                <w:sz w:val="18"/>
                <w:szCs w:val="22"/>
                <w:lang w:val="en-GB"/>
              </w:rPr>
            </w:pPr>
            <w:r>
              <w:rPr>
                <w:sz w:val="18"/>
                <w:szCs w:val="22"/>
                <w:lang w:val="en-GB"/>
              </w:rPr>
              <w:t>Needed t</w:t>
            </w:r>
            <w:r w:rsidR="00264BC9" w:rsidRPr="00972203">
              <w:rPr>
                <w:sz w:val="18"/>
                <w:szCs w:val="22"/>
                <w:lang w:val="en-GB"/>
              </w:rPr>
              <w:t>o ensure the availability of information about the reservoir and the caprock</w:t>
            </w:r>
          </w:p>
        </w:tc>
        <w:tc>
          <w:tcPr>
            <w:tcW w:w="1961" w:type="dxa"/>
            <w:shd w:val="clear" w:color="auto" w:fill="auto"/>
            <w:vAlign w:val="center"/>
          </w:tcPr>
          <w:p w14:paraId="0905E892" w14:textId="02FF2557" w:rsidR="00264BC9" w:rsidRPr="00972203" w:rsidRDefault="00B91238" w:rsidP="00B91238">
            <w:pPr>
              <w:pStyle w:val="BodyText"/>
              <w:spacing w:line="276" w:lineRule="auto"/>
              <w:jc w:val="left"/>
              <w:rPr>
                <w:sz w:val="18"/>
                <w:szCs w:val="22"/>
                <w:lang w:val="en-GB"/>
              </w:rPr>
            </w:pPr>
            <w:r>
              <w:rPr>
                <w:sz w:val="18"/>
                <w:szCs w:val="22"/>
                <w:lang w:val="en-GB"/>
              </w:rPr>
              <w:t>5 (</w:t>
            </w:r>
            <w:r w:rsidR="00264BC9" w:rsidRPr="00972203">
              <w:rPr>
                <w:sz w:val="18"/>
                <w:szCs w:val="22"/>
                <w:lang w:val="en-GB"/>
              </w:rPr>
              <w:t>4%</w:t>
            </w:r>
            <w:r>
              <w:rPr>
                <w:sz w:val="18"/>
                <w:szCs w:val="22"/>
                <w:lang w:val="en-GB"/>
              </w:rPr>
              <w:t>)</w:t>
            </w:r>
          </w:p>
        </w:tc>
      </w:tr>
      <w:tr w:rsidR="009259DC" w:rsidRPr="00972203" w14:paraId="0E244BBC" w14:textId="77777777" w:rsidTr="00F86647">
        <w:trPr>
          <w:cantSplit/>
        </w:trPr>
        <w:tc>
          <w:tcPr>
            <w:tcW w:w="1701" w:type="dxa"/>
            <w:tcBorders>
              <w:top w:val="single" w:sz="4" w:space="0" w:color="7F7F7F"/>
              <w:bottom w:val="single" w:sz="4" w:space="0" w:color="7F7F7F"/>
            </w:tcBorders>
            <w:shd w:val="clear" w:color="auto" w:fill="auto"/>
            <w:vAlign w:val="center"/>
          </w:tcPr>
          <w:p w14:paraId="205A5F3C" w14:textId="77777777" w:rsidR="00264BC9" w:rsidRPr="00972203" w:rsidRDefault="00264BC9" w:rsidP="00B91238">
            <w:pPr>
              <w:pStyle w:val="BodyText"/>
              <w:spacing w:line="276" w:lineRule="auto"/>
              <w:jc w:val="left"/>
              <w:rPr>
                <w:b/>
                <w:bCs/>
                <w:sz w:val="18"/>
                <w:szCs w:val="22"/>
                <w:lang w:val="en-GB"/>
              </w:rPr>
            </w:pPr>
            <w:r w:rsidRPr="00972203">
              <w:rPr>
                <w:bCs/>
                <w:sz w:val="18"/>
                <w:szCs w:val="22"/>
                <w:lang w:val="en-GB"/>
              </w:rPr>
              <w:t>Seismic data availability</w:t>
            </w:r>
          </w:p>
        </w:tc>
        <w:tc>
          <w:tcPr>
            <w:tcW w:w="3544" w:type="dxa"/>
            <w:tcBorders>
              <w:top w:val="single" w:sz="4" w:space="0" w:color="7F7F7F"/>
              <w:bottom w:val="single" w:sz="4" w:space="0" w:color="7F7F7F"/>
            </w:tcBorders>
            <w:shd w:val="clear" w:color="auto" w:fill="auto"/>
            <w:vAlign w:val="center"/>
          </w:tcPr>
          <w:p w14:paraId="46043E2A" w14:textId="38325E14" w:rsidR="00264BC9" w:rsidRPr="00972203" w:rsidRDefault="00264BC9" w:rsidP="00B91238">
            <w:pPr>
              <w:pStyle w:val="BodyText"/>
              <w:spacing w:line="276" w:lineRule="auto"/>
              <w:jc w:val="left"/>
              <w:rPr>
                <w:sz w:val="18"/>
                <w:szCs w:val="22"/>
                <w:lang w:val="en-GB"/>
              </w:rPr>
            </w:pPr>
            <w:r w:rsidRPr="00972203">
              <w:rPr>
                <w:sz w:val="18"/>
                <w:szCs w:val="22"/>
                <w:lang w:val="en-GB"/>
              </w:rPr>
              <w:t xml:space="preserve">Screening out of sites not characterised with the 3D seismic data </w:t>
            </w:r>
          </w:p>
        </w:tc>
        <w:tc>
          <w:tcPr>
            <w:tcW w:w="3260" w:type="dxa"/>
            <w:tcBorders>
              <w:top w:val="single" w:sz="4" w:space="0" w:color="7F7F7F"/>
              <w:bottom w:val="single" w:sz="4" w:space="0" w:color="7F7F7F"/>
            </w:tcBorders>
            <w:shd w:val="clear" w:color="auto" w:fill="auto"/>
            <w:vAlign w:val="center"/>
          </w:tcPr>
          <w:p w14:paraId="2BD1A208" w14:textId="58BE78B8" w:rsidR="00264BC9" w:rsidRPr="00972203" w:rsidRDefault="00F80A65" w:rsidP="00B91238">
            <w:pPr>
              <w:pStyle w:val="BodyText"/>
              <w:spacing w:line="276" w:lineRule="auto"/>
              <w:jc w:val="left"/>
              <w:rPr>
                <w:sz w:val="18"/>
                <w:szCs w:val="22"/>
                <w:lang w:val="en-GB"/>
              </w:rPr>
            </w:pPr>
            <w:r>
              <w:rPr>
                <w:sz w:val="18"/>
                <w:szCs w:val="22"/>
                <w:lang w:val="en-GB"/>
              </w:rPr>
              <w:t>Needed t</w:t>
            </w:r>
            <w:r w:rsidR="00264BC9" w:rsidRPr="00972203">
              <w:rPr>
                <w:sz w:val="18"/>
                <w:szCs w:val="22"/>
                <w:lang w:val="en-GB"/>
              </w:rPr>
              <w:t>o characterise and create the geological model of the site</w:t>
            </w:r>
          </w:p>
        </w:tc>
        <w:tc>
          <w:tcPr>
            <w:tcW w:w="1961" w:type="dxa"/>
            <w:tcBorders>
              <w:top w:val="single" w:sz="4" w:space="0" w:color="7F7F7F"/>
              <w:bottom w:val="single" w:sz="4" w:space="0" w:color="7F7F7F"/>
            </w:tcBorders>
            <w:shd w:val="clear" w:color="auto" w:fill="auto"/>
            <w:vAlign w:val="center"/>
          </w:tcPr>
          <w:p w14:paraId="2441DF68" w14:textId="379E2198" w:rsidR="00264BC9" w:rsidRPr="00972203" w:rsidRDefault="00C81D7B" w:rsidP="00B91238">
            <w:pPr>
              <w:pStyle w:val="BodyText"/>
              <w:keepNext/>
              <w:spacing w:line="276" w:lineRule="auto"/>
              <w:jc w:val="left"/>
              <w:rPr>
                <w:sz w:val="18"/>
                <w:szCs w:val="22"/>
                <w:lang w:val="en-GB"/>
              </w:rPr>
            </w:pPr>
            <w:r w:rsidRPr="00972203">
              <w:rPr>
                <w:sz w:val="18"/>
                <w:szCs w:val="22"/>
                <w:lang w:val="en-GB"/>
              </w:rPr>
              <w:t xml:space="preserve">4 </w:t>
            </w:r>
            <w:r w:rsidR="00B91238">
              <w:rPr>
                <w:sz w:val="18"/>
                <w:szCs w:val="22"/>
                <w:lang w:val="en-GB"/>
              </w:rPr>
              <w:t>(</w:t>
            </w:r>
            <w:r w:rsidR="00264BC9" w:rsidRPr="00972203">
              <w:rPr>
                <w:sz w:val="18"/>
                <w:szCs w:val="22"/>
                <w:lang w:val="en-GB"/>
              </w:rPr>
              <w:t>4%</w:t>
            </w:r>
            <w:r w:rsidR="00B91238">
              <w:rPr>
                <w:sz w:val="18"/>
                <w:szCs w:val="22"/>
                <w:lang w:val="en-GB"/>
              </w:rPr>
              <w:t>)</w:t>
            </w:r>
          </w:p>
        </w:tc>
      </w:tr>
    </w:tbl>
    <w:p w14:paraId="217A328E" w14:textId="016141FA" w:rsidR="00264BC9" w:rsidRDefault="008E3229" w:rsidP="008E3229">
      <w:pPr>
        <w:pStyle w:val="Caption"/>
        <w:rPr>
          <w:noProof/>
        </w:rPr>
      </w:pPr>
      <w:r>
        <w:t xml:space="preserve">Table </w:t>
      </w:r>
      <w:fldSimple w:instr=" SEQ Table \* ARABIC ">
        <w:r w:rsidR="00300235">
          <w:rPr>
            <w:noProof/>
          </w:rPr>
          <w:t>1</w:t>
        </w:r>
      </w:fldSimple>
      <w:r>
        <w:rPr>
          <w:noProof/>
        </w:rPr>
        <w:t xml:space="preserve">: </w:t>
      </w:r>
      <w:r w:rsidRPr="00277AA8">
        <w:rPr>
          <w:noProof/>
        </w:rPr>
        <w:t>Screening criteria used in the selection of Site 2.</w:t>
      </w:r>
    </w:p>
    <w:p w14:paraId="76BEB54F" w14:textId="77777777" w:rsidR="008E3229" w:rsidRPr="008E3229" w:rsidRDefault="008E3229" w:rsidP="008E3229"/>
    <w:p w14:paraId="112251F8" w14:textId="5569BB33" w:rsidR="000F759B" w:rsidRPr="00972203" w:rsidRDefault="000F759B" w:rsidP="000F759B">
      <w:pPr>
        <w:pStyle w:val="BodyText"/>
        <w:spacing w:after="120" w:line="276" w:lineRule="auto"/>
        <w:rPr>
          <w:sz w:val="22"/>
          <w:szCs w:val="22"/>
          <w:lang w:val="en-GB"/>
        </w:rPr>
      </w:pPr>
      <w:r w:rsidRPr="00972203">
        <w:rPr>
          <w:sz w:val="22"/>
          <w:szCs w:val="22"/>
          <w:lang w:val="en-GB"/>
        </w:rPr>
        <w:t xml:space="preserve">The first </w:t>
      </w:r>
      <w:r w:rsidR="00DE3D4F" w:rsidRPr="00972203">
        <w:rPr>
          <w:sz w:val="22"/>
          <w:szCs w:val="22"/>
          <w:lang w:val="en-GB"/>
        </w:rPr>
        <w:t xml:space="preserve">screening </w:t>
      </w:r>
      <w:r w:rsidRPr="00972203">
        <w:rPr>
          <w:sz w:val="22"/>
          <w:szCs w:val="22"/>
          <w:lang w:val="en-GB"/>
        </w:rPr>
        <w:t xml:space="preserve">criteria used </w:t>
      </w:r>
      <w:r w:rsidR="0015498E">
        <w:rPr>
          <w:sz w:val="22"/>
          <w:szCs w:val="22"/>
          <w:lang w:val="en-GB"/>
        </w:rPr>
        <w:t>wa</w:t>
      </w:r>
      <w:r w:rsidRPr="00972203">
        <w:rPr>
          <w:sz w:val="22"/>
          <w:szCs w:val="22"/>
          <w:lang w:val="en-GB"/>
        </w:rPr>
        <w:t>s storage capacity</w:t>
      </w:r>
      <w:r w:rsidR="0031590E">
        <w:rPr>
          <w:sz w:val="22"/>
          <w:szCs w:val="22"/>
          <w:lang w:val="en-GB"/>
        </w:rPr>
        <w:t>. i.e.,</w:t>
      </w:r>
      <w:r w:rsidR="00DE3D4F" w:rsidRPr="00972203">
        <w:rPr>
          <w:sz w:val="22"/>
          <w:szCs w:val="22"/>
          <w:lang w:val="en-GB"/>
        </w:rPr>
        <w:t xml:space="preserve"> the theoretical volume of reservoir that can store CO</w:t>
      </w:r>
      <w:r w:rsidR="00DE3D4F" w:rsidRPr="00972203">
        <w:rPr>
          <w:sz w:val="22"/>
          <w:szCs w:val="22"/>
          <w:vertAlign w:val="subscript"/>
          <w:lang w:val="en-GB"/>
        </w:rPr>
        <w:t>2</w:t>
      </w:r>
      <w:r w:rsidRPr="00972203">
        <w:rPr>
          <w:sz w:val="22"/>
          <w:szCs w:val="22"/>
          <w:lang w:val="en-GB"/>
        </w:rPr>
        <w:t xml:space="preserve">. </w:t>
      </w:r>
      <w:r w:rsidR="00DE3D4F" w:rsidRPr="00972203">
        <w:rPr>
          <w:sz w:val="22"/>
          <w:szCs w:val="22"/>
          <w:lang w:val="en-GB"/>
        </w:rPr>
        <w:t>Any</w:t>
      </w:r>
      <w:r w:rsidRPr="00972203">
        <w:rPr>
          <w:sz w:val="22"/>
          <w:szCs w:val="22"/>
          <w:lang w:val="en-GB"/>
        </w:rPr>
        <w:t xml:space="preserve"> storage site must have </w:t>
      </w:r>
      <w:r w:rsidR="0031590E">
        <w:rPr>
          <w:sz w:val="22"/>
          <w:szCs w:val="22"/>
          <w:lang w:val="en-GB"/>
        </w:rPr>
        <w:t xml:space="preserve">a </w:t>
      </w:r>
      <w:r w:rsidRPr="00972203">
        <w:rPr>
          <w:sz w:val="22"/>
          <w:szCs w:val="22"/>
          <w:lang w:val="en-GB"/>
        </w:rPr>
        <w:t xml:space="preserve">certain </w:t>
      </w:r>
      <w:r w:rsidR="0031590E">
        <w:rPr>
          <w:sz w:val="22"/>
          <w:szCs w:val="22"/>
          <w:lang w:val="en-GB"/>
        </w:rPr>
        <w:t xml:space="preserve">minimum </w:t>
      </w:r>
      <w:r w:rsidRPr="00972203">
        <w:rPr>
          <w:sz w:val="22"/>
          <w:szCs w:val="22"/>
          <w:lang w:val="en-GB"/>
        </w:rPr>
        <w:t xml:space="preserve">capacity for economic </w:t>
      </w:r>
      <w:r w:rsidR="0015498E">
        <w:rPr>
          <w:sz w:val="22"/>
          <w:szCs w:val="22"/>
          <w:lang w:val="en-GB"/>
        </w:rPr>
        <w:t>viability</w:t>
      </w:r>
      <w:r w:rsidRPr="00972203">
        <w:rPr>
          <w:sz w:val="22"/>
          <w:szCs w:val="22"/>
          <w:lang w:val="en-GB"/>
        </w:rPr>
        <w:t>, more so if the site is to be used as an expansion from the primary site in a staged project, w</w:t>
      </w:r>
      <w:r w:rsidR="00DE3D4F" w:rsidRPr="00972203">
        <w:rPr>
          <w:sz w:val="22"/>
          <w:szCs w:val="22"/>
          <w:lang w:val="en-GB"/>
        </w:rPr>
        <w:t>h</w:t>
      </w:r>
      <w:r w:rsidRPr="00972203">
        <w:rPr>
          <w:sz w:val="22"/>
          <w:szCs w:val="22"/>
          <w:lang w:val="en-GB"/>
        </w:rPr>
        <w:t>ere the CO</w:t>
      </w:r>
      <w:r w:rsidRPr="00972203">
        <w:rPr>
          <w:sz w:val="22"/>
          <w:szCs w:val="22"/>
          <w:vertAlign w:val="subscript"/>
          <w:lang w:val="en-GB"/>
        </w:rPr>
        <w:t>2</w:t>
      </w:r>
      <w:r w:rsidRPr="00972203">
        <w:rPr>
          <w:sz w:val="22"/>
          <w:szCs w:val="22"/>
          <w:lang w:val="en-GB"/>
        </w:rPr>
        <w:t xml:space="preserve"> resource available will increase as new sources are incorporated. In the Acorn project, the storage will be </w:t>
      </w:r>
      <w:r w:rsidR="0031590E">
        <w:rPr>
          <w:sz w:val="22"/>
          <w:szCs w:val="22"/>
          <w:lang w:val="en-GB"/>
        </w:rPr>
        <w:t xml:space="preserve">initially </w:t>
      </w:r>
      <w:r w:rsidRPr="00972203">
        <w:rPr>
          <w:sz w:val="22"/>
          <w:szCs w:val="22"/>
          <w:lang w:val="en-GB"/>
        </w:rPr>
        <w:t>carried out in the Acorn storage site, starting with small fluxes (4.2 Mt CO</w:t>
      </w:r>
      <w:r w:rsidRPr="00972203">
        <w:rPr>
          <w:sz w:val="22"/>
          <w:szCs w:val="22"/>
          <w:vertAlign w:val="subscript"/>
          <w:lang w:val="en-GB"/>
        </w:rPr>
        <w:t>2</w:t>
      </w:r>
      <w:r w:rsidRPr="00972203">
        <w:rPr>
          <w:sz w:val="22"/>
          <w:szCs w:val="22"/>
          <w:lang w:val="en-GB"/>
        </w:rPr>
        <w:t xml:space="preserve"> yr</w:t>
      </w:r>
      <w:r w:rsidRPr="00972203">
        <w:rPr>
          <w:sz w:val="22"/>
          <w:szCs w:val="22"/>
          <w:vertAlign w:val="superscript"/>
          <w:lang w:val="en-GB"/>
        </w:rPr>
        <w:t>-1</w:t>
      </w:r>
      <w:r w:rsidRPr="00972203">
        <w:rPr>
          <w:sz w:val="22"/>
          <w:szCs w:val="22"/>
          <w:lang w:val="en-GB"/>
        </w:rPr>
        <w:t xml:space="preserve">) and scaling up to larger ones in later </w:t>
      </w:r>
      <w:r w:rsidR="00DE3D4F" w:rsidRPr="00972203">
        <w:rPr>
          <w:sz w:val="22"/>
          <w:szCs w:val="22"/>
          <w:lang w:val="en-GB"/>
        </w:rPr>
        <w:t xml:space="preserve">development </w:t>
      </w:r>
      <w:r w:rsidRPr="00972203">
        <w:rPr>
          <w:sz w:val="22"/>
          <w:szCs w:val="22"/>
          <w:lang w:val="en-GB"/>
        </w:rPr>
        <w:t>stages (152.4 Mt CO</w:t>
      </w:r>
      <w:r w:rsidRPr="00972203">
        <w:rPr>
          <w:sz w:val="22"/>
          <w:szCs w:val="22"/>
          <w:vertAlign w:val="subscript"/>
          <w:lang w:val="en-GB"/>
        </w:rPr>
        <w:t>2</w:t>
      </w:r>
      <w:r w:rsidRPr="00972203">
        <w:rPr>
          <w:sz w:val="22"/>
          <w:szCs w:val="22"/>
          <w:lang w:val="en-GB"/>
        </w:rPr>
        <w:t xml:space="preserve"> yr</w:t>
      </w:r>
      <w:r w:rsidRPr="00972203">
        <w:rPr>
          <w:sz w:val="22"/>
          <w:szCs w:val="22"/>
          <w:vertAlign w:val="superscript"/>
          <w:lang w:val="en-GB"/>
        </w:rPr>
        <w:t>-1</w:t>
      </w:r>
      <w:r w:rsidRPr="00972203">
        <w:rPr>
          <w:sz w:val="22"/>
          <w:szCs w:val="22"/>
          <w:lang w:val="en-GB"/>
        </w:rPr>
        <w:t xml:space="preserve">) </w:t>
      </w:r>
      <w:r w:rsidRPr="00972203">
        <w:rPr>
          <w:sz w:val="22"/>
          <w:szCs w:val="22"/>
          <w:lang w:val="en-GB"/>
        </w:rPr>
        <w:fldChar w:fldCharType="begin" w:fldLock="1"/>
      </w:r>
      <w:r w:rsidR="009228F4">
        <w:rPr>
          <w:sz w:val="22"/>
          <w:szCs w:val="22"/>
          <w:lang w:val="en-GB"/>
        </w:rPr>
        <w:instrText>ADDIN CSL_CITATION {"citationItems":[{"id":"ITEM-1","itemData":{"DOI":"10.1016/j.jclepro.2019.06.087","ISSN":"09596526","abstract":"Research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Production","id":"ITEM-1","issued":{"date-parts":[["2019","10"]]},"page":"963-971","title":"Acorn: Developing full-chain industrial carbon capture and storage in a resource- and infrastructure-rich hydrocarbon province","type":"article-journal","volume":"233"},"uris":["http://www.mendeley.com/documents/?uuid=70c6bc31-4949-4838-968e-534a31bbff9a"]}],"mendeley":{"formattedCitation":"(Alcalde et al., 2019)","plainTextFormattedCitation":"(Alcalde et al., 2019)","previouslyFormattedCitation":"(Alcalde et al., 2019)"},"properties":{"noteIndex":0},"schema":"https://github.com/citation-style-language/schema/raw/master/csl-citation.json"}</w:instrText>
      </w:r>
      <w:r w:rsidRPr="00972203">
        <w:rPr>
          <w:sz w:val="22"/>
          <w:szCs w:val="22"/>
          <w:lang w:val="en-GB"/>
        </w:rPr>
        <w:fldChar w:fldCharType="separate"/>
      </w:r>
      <w:r w:rsidR="00C01E2D" w:rsidRPr="00C01E2D">
        <w:rPr>
          <w:noProof/>
          <w:sz w:val="22"/>
          <w:szCs w:val="22"/>
          <w:lang w:val="en-GB"/>
        </w:rPr>
        <w:t>(Alcalde et al., 2019)</w:t>
      </w:r>
      <w:r w:rsidRPr="00972203">
        <w:rPr>
          <w:sz w:val="22"/>
          <w:szCs w:val="22"/>
          <w:lang w:val="en-GB"/>
        </w:rPr>
        <w:fldChar w:fldCharType="end"/>
      </w:r>
      <w:r w:rsidRPr="00972203">
        <w:rPr>
          <w:sz w:val="22"/>
          <w:szCs w:val="22"/>
          <w:lang w:val="en-GB"/>
        </w:rPr>
        <w:t>. By the time th</w:t>
      </w:r>
      <w:r w:rsidR="0031590E">
        <w:rPr>
          <w:sz w:val="22"/>
          <w:szCs w:val="22"/>
          <w:lang w:val="en-GB"/>
        </w:rPr>
        <w:t xml:space="preserve">e Acorn site </w:t>
      </w:r>
      <w:r w:rsidRPr="00972203">
        <w:rPr>
          <w:sz w:val="22"/>
          <w:szCs w:val="22"/>
          <w:lang w:val="en-GB"/>
        </w:rPr>
        <w:t xml:space="preserve">is full, the </w:t>
      </w:r>
      <w:r w:rsidR="0031590E">
        <w:rPr>
          <w:sz w:val="22"/>
          <w:szCs w:val="22"/>
          <w:lang w:val="en-GB"/>
        </w:rPr>
        <w:t xml:space="preserve">quantity of </w:t>
      </w:r>
      <w:r w:rsidRPr="00972203">
        <w:rPr>
          <w:sz w:val="22"/>
          <w:szCs w:val="22"/>
          <w:lang w:val="en-GB"/>
        </w:rPr>
        <w:t>CO</w:t>
      </w:r>
      <w:r w:rsidRPr="00972203">
        <w:rPr>
          <w:sz w:val="22"/>
          <w:szCs w:val="22"/>
          <w:vertAlign w:val="subscript"/>
          <w:lang w:val="en-GB"/>
        </w:rPr>
        <w:t>2</w:t>
      </w:r>
      <w:r w:rsidRPr="00972203">
        <w:rPr>
          <w:sz w:val="22"/>
          <w:szCs w:val="22"/>
          <w:lang w:val="en-GB"/>
        </w:rPr>
        <w:t xml:space="preserve"> flowing to the site will be high, and therefore the buildout storage site must feature great</w:t>
      </w:r>
      <w:r w:rsidR="0015498E">
        <w:rPr>
          <w:sz w:val="22"/>
          <w:szCs w:val="22"/>
          <w:lang w:val="en-GB"/>
        </w:rPr>
        <w:t>er</w:t>
      </w:r>
      <w:r w:rsidRPr="00972203">
        <w:rPr>
          <w:sz w:val="22"/>
          <w:szCs w:val="22"/>
          <w:lang w:val="en-GB"/>
        </w:rPr>
        <w:t xml:space="preserve"> capacity and injectivity. The CO</w:t>
      </w:r>
      <w:r w:rsidRPr="00972203">
        <w:rPr>
          <w:sz w:val="22"/>
          <w:szCs w:val="22"/>
          <w:vertAlign w:val="subscript"/>
          <w:lang w:val="en-GB"/>
        </w:rPr>
        <w:t>2</w:t>
      </w:r>
      <w:r w:rsidRPr="00972203">
        <w:rPr>
          <w:sz w:val="22"/>
          <w:szCs w:val="22"/>
          <w:lang w:val="en-GB"/>
        </w:rPr>
        <w:t>Stored database includes a number of estimat</w:t>
      </w:r>
      <w:r w:rsidR="0015498E">
        <w:rPr>
          <w:sz w:val="22"/>
          <w:szCs w:val="22"/>
          <w:lang w:val="en-GB"/>
        </w:rPr>
        <w:t>es</w:t>
      </w:r>
      <w:r w:rsidRPr="00972203">
        <w:rPr>
          <w:sz w:val="22"/>
          <w:szCs w:val="22"/>
          <w:lang w:val="en-GB"/>
        </w:rPr>
        <w:t xml:space="preserve"> of the theoretical and static capacity of the different sites</w:t>
      </w:r>
      <w:r w:rsidR="004B4CC9">
        <w:rPr>
          <w:sz w:val="22"/>
          <w:szCs w:val="22"/>
          <w:lang w:val="en-GB"/>
        </w:rPr>
        <w:t xml:space="preserve"> </w:t>
      </w:r>
      <w:r w:rsidR="004B4CC9">
        <w:rPr>
          <w:sz w:val="22"/>
          <w:szCs w:val="22"/>
          <w:lang w:val="en-GB"/>
        </w:rPr>
        <w:fldChar w:fldCharType="begin" w:fldLock="1"/>
      </w:r>
      <w:r w:rsidR="009D58AA">
        <w:rPr>
          <w:sz w:val="22"/>
          <w:szCs w:val="22"/>
          <w:lang w:val="en-GB"/>
        </w:rPr>
        <w:instrText>ADDIN CSL_CITATION {"citationItems":[{"id":"ITEM-1","itemData":{"DOI":"10.1016/j.egypro.2014.11.540","ISBN":"1876-6102","ISSN":"18766102","abstract":"The CO2Storage Evaluation Database (CO2Stored) is the UK's offshore storage atlas. It provides online access to information for over 500 potential offshore storage units. CO2Stored is hosted and developed in partnership by The Crown Estate (TCE) and The British Geological Survey (BGS). CO2Stored provides access to some of the results of the UK Storage Appraisal Project (UKSAP; commissioned and funded by the Energy Technologies Institute). Through CO2Stored information can be delivered for a range of storage types including saline aquifers and oil and gas fields concerning the geological parameters of the storage units, potential geological risks and economic projections for cost of storage.","author":[{"dropping-particle":"","family":"Bentham","given":"Michelle","non-dropping-particle":"","parse-names":false,"suffix":""},{"dropping-particle":"","family":"Mallows","given":"Tom","non-dropping-particle":"","parse-names":false,"suffix":""},{"dropping-particle":"","family":"Lowndes","given":"Jonathan","non-dropping-particle":"","parse-names":false,"suffix":""},{"dropping-particle":"","family":"Green","given":"Andrew","non-dropping-particle":"","parse-names":false,"suffix":""}],"container-title":"Energy Procedia","id":"ITEM-1","issue":"0","issued":{"date-parts":[["2014"]]},"page":"5103-5113","publisher":"Elsevier B.V.","title":"CO2STORage evaluation database (CO2Stored). The UK's online storage atlas","type":"article-journal","volume":"63"},"uris":["http://www.mendeley.com/documents/?uuid=2d095a81-38b1-433b-bd47-ada7cd6f384d"]}],"mendeley":{"formattedCitation":"(Bentham et al., 2014)","plainTextFormattedCitation":"(Bentham et al., 2014)","previouslyFormattedCitation":"(Bentham et al., 2014)"},"properties":{"noteIndex":0},"schema":"https://github.com/citation-style-language/schema/raw/master/csl-citation.json"}</w:instrText>
      </w:r>
      <w:r w:rsidR="004B4CC9">
        <w:rPr>
          <w:sz w:val="22"/>
          <w:szCs w:val="22"/>
          <w:lang w:val="en-GB"/>
        </w:rPr>
        <w:fldChar w:fldCharType="separate"/>
      </w:r>
      <w:r w:rsidR="00C01E2D" w:rsidRPr="00C01E2D">
        <w:rPr>
          <w:noProof/>
          <w:sz w:val="22"/>
          <w:szCs w:val="22"/>
          <w:lang w:val="en-GB"/>
        </w:rPr>
        <w:t>(Bentham et al., 2014)</w:t>
      </w:r>
      <w:r w:rsidR="004B4CC9">
        <w:rPr>
          <w:sz w:val="22"/>
          <w:szCs w:val="22"/>
          <w:lang w:val="en-GB"/>
        </w:rPr>
        <w:fldChar w:fldCharType="end"/>
      </w:r>
      <w:r w:rsidRPr="00972203">
        <w:rPr>
          <w:sz w:val="22"/>
          <w:szCs w:val="22"/>
          <w:lang w:val="en-GB"/>
        </w:rPr>
        <w:t xml:space="preserve">. These estimations were reviewed in the SSAP </w:t>
      </w:r>
      <w:r w:rsidR="00366A92" w:rsidRPr="00972203">
        <w:rPr>
          <w:sz w:val="22"/>
          <w:szCs w:val="22"/>
          <w:lang w:val="en-GB"/>
        </w:rPr>
        <w:t>project, which</w:t>
      </w:r>
      <w:r w:rsidR="008845A7" w:rsidRPr="00972203">
        <w:rPr>
          <w:sz w:val="22"/>
          <w:szCs w:val="22"/>
          <w:lang w:val="en-GB"/>
        </w:rPr>
        <w:t xml:space="preserve"> </w:t>
      </w:r>
      <w:r w:rsidRPr="00972203">
        <w:rPr>
          <w:sz w:val="22"/>
          <w:szCs w:val="22"/>
          <w:lang w:val="en-GB"/>
        </w:rPr>
        <w:t>determined that the P50 theoretical storage resource (in Mt of CO</w:t>
      </w:r>
      <w:r w:rsidRPr="00972203">
        <w:rPr>
          <w:sz w:val="22"/>
          <w:szCs w:val="22"/>
          <w:vertAlign w:val="subscript"/>
          <w:lang w:val="en-GB"/>
        </w:rPr>
        <w:t>2</w:t>
      </w:r>
      <w:r w:rsidRPr="00972203">
        <w:rPr>
          <w:sz w:val="22"/>
          <w:szCs w:val="22"/>
          <w:lang w:val="en-GB"/>
        </w:rPr>
        <w:t xml:space="preserve">) is the best representation of the storage resource for both saline aquifers and hydrocarbon </w:t>
      </w:r>
      <w:proofErr w:type="gramStart"/>
      <w:r w:rsidRPr="00972203">
        <w:rPr>
          <w:sz w:val="22"/>
          <w:szCs w:val="22"/>
          <w:lang w:val="en-GB"/>
        </w:rPr>
        <w:t>fields, and</w:t>
      </w:r>
      <w:proofErr w:type="gramEnd"/>
      <w:r w:rsidRPr="00972203">
        <w:rPr>
          <w:sz w:val="22"/>
          <w:szCs w:val="22"/>
          <w:lang w:val="en-GB"/>
        </w:rPr>
        <w:t xml:space="preserve"> was therefore selected</w:t>
      </w:r>
      <w:r w:rsidR="0015498E">
        <w:rPr>
          <w:sz w:val="22"/>
          <w:szCs w:val="22"/>
          <w:lang w:val="en-GB"/>
        </w:rPr>
        <w:t xml:space="preserve"> from the database</w:t>
      </w:r>
      <w:r w:rsidRPr="00972203">
        <w:rPr>
          <w:sz w:val="22"/>
          <w:szCs w:val="22"/>
          <w:lang w:val="en-GB"/>
        </w:rPr>
        <w:t>. The capacities of the 113 sites ranged from 1</w:t>
      </w:r>
      <w:r w:rsidR="008845A7">
        <w:rPr>
          <w:sz w:val="22"/>
          <w:szCs w:val="22"/>
          <w:lang w:val="en-GB"/>
        </w:rPr>
        <w:t xml:space="preserve"> to </w:t>
      </w:r>
      <w:r w:rsidRPr="00972203">
        <w:rPr>
          <w:sz w:val="22"/>
          <w:szCs w:val="22"/>
          <w:lang w:val="en-GB"/>
        </w:rPr>
        <w:t>3,342 Mt CO</w:t>
      </w:r>
      <w:r w:rsidRPr="00972203">
        <w:rPr>
          <w:sz w:val="22"/>
          <w:szCs w:val="22"/>
          <w:vertAlign w:val="subscript"/>
          <w:lang w:val="en-GB"/>
        </w:rPr>
        <w:t>2</w:t>
      </w:r>
      <w:r w:rsidRPr="00972203">
        <w:rPr>
          <w:sz w:val="22"/>
          <w:szCs w:val="22"/>
          <w:lang w:val="en-GB"/>
        </w:rPr>
        <w:t xml:space="preserve">. </w:t>
      </w:r>
      <w:r w:rsidR="00DE3D4F" w:rsidRPr="00972203">
        <w:rPr>
          <w:sz w:val="22"/>
          <w:szCs w:val="22"/>
          <w:lang w:val="en-GB"/>
        </w:rPr>
        <w:t>A P50 capacity of at least 50 Mt was</w:t>
      </w:r>
      <w:r w:rsidR="00EE0584" w:rsidRPr="00972203">
        <w:rPr>
          <w:sz w:val="22"/>
          <w:szCs w:val="22"/>
          <w:lang w:val="en-GB"/>
        </w:rPr>
        <w:t xml:space="preserve"> chosen as </w:t>
      </w:r>
      <w:r w:rsidR="0015498E">
        <w:rPr>
          <w:sz w:val="22"/>
          <w:szCs w:val="22"/>
          <w:lang w:val="en-GB"/>
        </w:rPr>
        <w:t xml:space="preserve">the </w:t>
      </w:r>
      <w:r w:rsidR="00EE0584" w:rsidRPr="00972203">
        <w:rPr>
          <w:sz w:val="22"/>
          <w:szCs w:val="22"/>
          <w:lang w:val="en-GB"/>
        </w:rPr>
        <w:t>criteri</w:t>
      </w:r>
      <w:r w:rsidR="0015498E">
        <w:rPr>
          <w:sz w:val="22"/>
          <w:szCs w:val="22"/>
          <w:lang w:val="en-GB"/>
        </w:rPr>
        <w:t>a threshold</w:t>
      </w:r>
      <w:r w:rsidR="00EE0584" w:rsidRPr="00972203">
        <w:rPr>
          <w:sz w:val="22"/>
          <w:szCs w:val="22"/>
          <w:lang w:val="en-GB"/>
        </w:rPr>
        <w:t xml:space="preserve">. </w:t>
      </w:r>
      <w:r w:rsidRPr="00972203">
        <w:rPr>
          <w:sz w:val="22"/>
          <w:szCs w:val="22"/>
          <w:lang w:val="en-GB"/>
        </w:rPr>
        <w:t>This was not met by the 57% of the sites</w:t>
      </w:r>
      <w:r w:rsidR="00EE0584" w:rsidRPr="00972203">
        <w:rPr>
          <w:sz w:val="22"/>
          <w:szCs w:val="22"/>
          <w:lang w:val="en-GB"/>
        </w:rPr>
        <w:t xml:space="preserve"> (64 in total)</w:t>
      </w:r>
      <w:r w:rsidR="0015498E">
        <w:rPr>
          <w:sz w:val="22"/>
          <w:szCs w:val="22"/>
          <w:lang w:val="en-GB"/>
        </w:rPr>
        <w:t>;</w:t>
      </w:r>
      <w:r w:rsidRPr="00972203">
        <w:rPr>
          <w:sz w:val="22"/>
          <w:szCs w:val="22"/>
          <w:lang w:val="en-GB"/>
        </w:rPr>
        <w:t xml:space="preserve"> it </w:t>
      </w:r>
      <w:r w:rsidR="00EE0584" w:rsidRPr="00972203">
        <w:rPr>
          <w:sz w:val="22"/>
          <w:szCs w:val="22"/>
          <w:lang w:val="en-GB"/>
        </w:rPr>
        <w:t>was</w:t>
      </w:r>
      <w:r w:rsidRPr="00972203">
        <w:rPr>
          <w:sz w:val="22"/>
          <w:szCs w:val="22"/>
          <w:lang w:val="en-GB"/>
        </w:rPr>
        <w:t xml:space="preserve"> the most failed screening property.</w:t>
      </w:r>
    </w:p>
    <w:p w14:paraId="6CAF4399" w14:textId="40042A3D" w:rsidR="000F759B" w:rsidRPr="00972203" w:rsidRDefault="00474D56" w:rsidP="000F759B">
      <w:pPr>
        <w:pStyle w:val="BodyText"/>
        <w:spacing w:after="120" w:line="276" w:lineRule="auto"/>
        <w:rPr>
          <w:sz w:val="22"/>
          <w:szCs w:val="22"/>
          <w:lang w:val="en-GB"/>
        </w:rPr>
      </w:pPr>
      <w:r w:rsidRPr="00972203">
        <w:rPr>
          <w:sz w:val="22"/>
          <w:szCs w:val="22"/>
          <w:lang w:val="en-GB"/>
        </w:rPr>
        <w:t>Additionally, t</w:t>
      </w:r>
      <w:r w:rsidR="000F759B" w:rsidRPr="00972203">
        <w:rPr>
          <w:sz w:val="22"/>
          <w:szCs w:val="22"/>
          <w:lang w:val="en-GB"/>
        </w:rPr>
        <w:t>wo other criteria related to the quality of the reservoirs</w:t>
      </w:r>
      <w:r w:rsidR="008845A7" w:rsidRPr="008845A7">
        <w:rPr>
          <w:sz w:val="22"/>
          <w:szCs w:val="22"/>
          <w:lang w:val="en-GB"/>
        </w:rPr>
        <w:t xml:space="preserve"> </w:t>
      </w:r>
      <w:r w:rsidR="008845A7" w:rsidRPr="00972203">
        <w:rPr>
          <w:sz w:val="22"/>
          <w:szCs w:val="22"/>
          <w:lang w:val="en-GB"/>
        </w:rPr>
        <w:t>were included in the screening process</w:t>
      </w:r>
      <w:r w:rsidR="000F759B" w:rsidRPr="00972203">
        <w:rPr>
          <w:sz w:val="22"/>
          <w:szCs w:val="22"/>
          <w:lang w:val="en-GB"/>
        </w:rPr>
        <w:t xml:space="preserve">, </w:t>
      </w:r>
      <w:r w:rsidR="008845A7">
        <w:rPr>
          <w:sz w:val="22"/>
          <w:szCs w:val="22"/>
          <w:lang w:val="en-GB"/>
        </w:rPr>
        <w:t xml:space="preserve">namely average </w:t>
      </w:r>
      <w:proofErr w:type="gramStart"/>
      <w:r w:rsidR="000F759B" w:rsidRPr="00972203">
        <w:rPr>
          <w:sz w:val="22"/>
          <w:szCs w:val="22"/>
          <w:lang w:val="en-GB"/>
        </w:rPr>
        <w:t>porosity</w:t>
      </w:r>
      <w:proofErr w:type="gramEnd"/>
      <w:r w:rsidR="000F759B" w:rsidRPr="00972203">
        <w:rPr>
          <w:sz w:val="22"/>
          <w:szCs w:val="22"/>
          <w:lang w:val="en-GB"/>
        </w:rPr>
        <w:t xml:space="preserve"> and permeability. </w:t>
      </w:r>
      <w:r w:rsidR="00902B91">
        <w:rPr>
          <w:sz w:val="22"/>
          <w:szCs w:val="22"/>
          <w:lang w:val="en-GB"/>
        </w:rPr>
        <w:t xml:space="preserve">The petrophysical properties of the sites were inspected and the porosity and permeability as proxies for </w:t>
      </w:r>
      <w:r w:rsidR="000F759B" w:rsidRPr="00972203">
        <w:rPr>
          <w:sz w:val="22"/>
          <w:szCs w:val="22"/>
          <w:lang w:val="en-GB"/>
        </w:rPr>
        <w:t xml:space="preserve">storage </w:t>
      </w:r>
      <w:r w:rsidR="00902B91">
        <w:rPr>
          <w:sz w:val="22"/>
          <w:szCs w:val="22"/>
          <w:lang w:val="en-GB"/>
        </w:rPr>
        <w:t>capacity</w:t>
      </w:r>
      <w:r w:rsidR="000F759B" w:rsidRPr="00972203">
        <w:rPr>
          <w:sz w:val="22"/>
          <w:szCs w:val="22"/>
          <w:lang w:val="en-GB"/>
        </w:rPr>
        <w:t xml:space="preserve">, and injectivity. Both criteria have a fundamental effect </w:t>
      </w:r>
      <w:r w:rsidR="0015498E">
        <w:rPr>
          <w:sz w:val="22"/>
          <w:szCs w:val="22"/>
          <w:lang w:val="en-GB"/>
        </w:rPr>
        <w:t>o</w:t>
      </w:r>
      <w:r w:rsidR="000F759B" w:rsidRPr="00972203">
        <w:rPr>
          <w:sz w:val="22"/>
          <w:szCs w:val="22"/>
          <w:lang w:val="en-GB"/>
        </w:rPr>
        <w:t>n the capital and operation</w:t>
      </w:r>
      <w:r w:rsidR="0015498E">
        <w:rPr>
          <w:sz w:val="22"/>
          <w:szCs w:val="22"/>
          <w:lang w:val="en-GB"/>
        </w:rPr>
        <w:t>al</w:t>
      </w:r>
      <w:r w:rsidR="000F759B" w:rsidRPr="00972203">
        <w:rPr>
          <w:sz w:val="22"/>
          <w:szCs w:val="22"/>
          <w:lang w:val="en-GB"/>
        </w:rPr>
        <w:t xml:space="preserve"> costs of storage. The </w:t>
      </w:r>
      <w:r w:rsidR="008845A7">
        <w:rPr>
          <w:sz w:val="22"/>
          <w:szCs w:val="22"/>
          <w:lang w:val="en-GB"/>
        </w:rPr>
        <w:t xml:space="preserve">average </w:t>
      </w:r>
      <w:r w:rsidR="000F759B" w:rsidRPr="00972203">
        <w:rPr>
          <w:sz w:val="22"/>
          <w:szCs w:val="22"/>
          <w:lang w:val="en-GB"/>
        </w:rPr>
        <w:t>porosities of the studied sites ranged from 9</w:t>
      </w:r>
      <w:r w:rsidR="008845A7">
        <w:rPr>
          <w:sz w:val="22"/>
          <w:szCs w:val="22"/>
          <w:lang w:val="en-GB"/>
        </w:rPr>
        <w:t xml:space="preserve"> </w:t>
      </w:r>
      <w:r w:rsidR="008845A7" w:rsidRPr="00972203">
        <w:rPr>
          <w:sz w:val="22"/>
          <w:szCs w:val="22"/>
          <w:lang w:val="en-GB"/>
        </w:rPr>
        <w:t>%</w:t>
      </w:r>
      <w:r w:rsidR="008845A7">
        <w:rPr>
          <w:sz w:val="22"/>
          <w:szCs w:val="22"/>
          <w:lang w:val="en-GB"/>
        </w:rPr>
        <w:t xml:space="preserve"> to </w:t>
      </w:r>
      <w:r w:rsidR="000F759B" w:rsidRPr="00972203">
        <w:rPr>
          <w:sz w:val="22"/>
          <w:szCs w:val="22"/>
          <w:lang w:val="en-GB"/>
        </w:rPr>
        <w:t>33</w:t>
      </w:r>
      <w:r w:rsidR="008845A7">
        <w:rPr>
          <w:sz w:val="22"/>
          <w:szCs w:val="22"/>
          <w:lang w:val="en-GB"/>
        </w:rPr>
        <w:t xml:space="preserve"> </w:t>
      </w:r>
      <w:r w:rsidR="000F759B" w:rsidRPr="00972203">
        <w:rPr>
          <w:sz w:val="22"/>
          <w:szCs w:val="22"/>
          <w:lang w:val="en-GB"/>
        </w:rPr>
        <w:t>%, whereas the permeabilities ranged from 5</w:t>
      </w:r>
      <w:r w:rsidR="008845A7">
        <w:rPr>
          <w:sz w:val="22"/>
          <w:szCs w:val="22"/>
          <w:lang w:val="en-GB"/>
        </w:rPr>
        <w:t xml:space="preserve"> to </w:t>
      </w:r>
      <w:r w:rsidR="000F759B" w:rsidRPr="00972203">
        <w:rPr>
          <w:sz w:val="22"/>
          <w:szCs w:val="22"/>
          <w:lang w:val="en-GB"/>
        </w:rPr>
        <w:t>7</w:t>
      </w:r>
      <w:r w:rsidR="008845A7">
        <w:rPr>
          <w:sz w:val="22"/>
          <w:szCs w:val="22"/>
          <w:lang w:val="en-GB"/>
        </w:rPr>
        <w:t>,</w:t>
      </w:r>
      <w:r w:rsidR="000F759B" w:rsidRPr="00972203">
        <w:rPr>
          <w:sz w:val="22"/>
          <w:szCs w:val="22"/>
          <w:lang w:val="en-GB"/>
        </w:rPr>
        <w:t xml:space="preserve">500 mD. </w:t>
      </w:r>
      <w:r w:rsidRPr="00972203">
        <w:rPr>
          <w:sz w:val="22"/>
          <w:szCs w:val="22"/>
          <w:lang w:val="en-GB"/>
        </w:rPr>
        <w:t xml:space="preserve">The sites with reservoir formations having porosities lower than 10% and permeabilities lower than 10 mD were discarded. </w:t>
      </w:r>
      <w:r w:rsidR="000F759B" w:rsidRPr="00972203">
        <w:rPr>
          <w:sz w:val="22"/>
          <w:szCs w:val="22"/>
          <w:lang w:val="en-GB"/>
        </w:rPr>
        <w:t xml:space="preserve">Only two sites (2% of the total) failed the porosity criterion, whereas 23 of the 113 sites (20%) failed the permeability </w:t>
      </w:r>
      <w:r w:rsidR="0015498E">
        <w:rPr>
          <w:sz w:val="22"/>
          <w:szCs w:val="22"/>
          <w:lang w:val="en-GB"/>
        </w:rPr>
        <w:t>criterion</w:t>
      </w:r>
      <w:r w:rsidR="000F759B" w:rsidRPr="00972203">
        <w:rPr>
          <w:sz w:val="22"/>
          <w:szCs w:val="22"/>
          <w:lang w:val="en-GB"/>
        </w:rPr>
        <w:t>.</w:t>
      </w:r>
    </w:p>
    <w:p w14:paraId="1AC140BE" w14:textId="5F08160B" w:rsidR="000F759B" w:rsidRPr="00972203" w:rsidRDefault="000F759B" w:rsidP="000F759B">
      <w:pPr>
        <w:pStyle w:val="BodyText"/>
        <w:spacing w:after="120" w:line="276" w:lineRule="auto"/>
        <w:rPr>
          <w:sz w:val="22"/>
          <w:szCs w:val="22"/>
          <w:lang w:val="en-GB"/>
        </w:rPr>
      </w:pPr>
      <w:r w:rsidRPr="00972203">
        <w:rPr>
          <w:sz w:val="22"/>
          <w:szCs w:val="22"/>
          <w:lang w:val="en-GB"/>
        </w:rPr>
        <w:t xml:space="preserve">The last geological screening criterion used </w:t>
      </w:r>
      <w:r w:rsidR="0015498E">
        <w:rPr>
          <w:sz w:val="22"/>
          <w:szCs w:val="22"/>
          <w:lang w:val="en-GB"/>
        </w:rPr>
        <w:t>wa</w:t>
      </w:r>
      <w:r w:rsidRPr="00972203">
        <w:rPr>
          <w:sz w:val="22"/>
          <w:szCs w:val="22"/>
          <w:lang w:val="en-GB"/>
        </w:rPr>
        <w:t>s the age of the target formation. The Palaeozoic rocks in the North Sea region have</w:t>
      </w:r>
      <w:r w:rsidR="007D6751" w:rsidRPr="00972203">
        <w:rPr>
          <w:sz w:val="22"/>
          <w:szCs w:val="22"/>
          <w:lang w:val="en-GB"/>
        </w:rPr>
        <w:t xml:space="preserve"> </w:t>
      </w:r>
      <w:r w:rsidR="008845A7">
        <w:rPr>
          <w:sz w:val="22"/>
          <w:szCs w:val="22"/>
          <w:lang w:val="en-GB"/>
        </w:rPr>
        <w:t xml:space="preserve">clearly had </w:t>
      </w:r>
      <w:r w:rsidR="007D6751" w:rsidRPr="00972203">
        <w:rPr>
          <w:sz w:val="22"/>
          <w:szCs w:val="22"/>
          <w:lang w:val="en-GB"/>
        </w:rPr>
        <w:t>a long geological history and have</w:t>
      </w:r>
      <w:r w:rsidRPr="00972203">
        <w:rPr>
          <w:sz w:val="22"/>
          <w:szCs w:val="22"/>
          <w:lang w:val="en-GB"/>
        </w:rPr>
        <w:t xml:space="preserve"> </w:t>
      </w:r>
      <w:r w:rsidR="008845A7">
        <w:rPr>
          <w:sz w:val="22"/>
          <w:szCs w:val="22"/>
          <w:lang w:val="en-GB"/>
        </w:rPr>
        <w:t xml:space="preserve">potentially </w:t>
      </w:r>
      <w:r w:rsidR="007D6751" w:rsidRPr="00972203">
        <w:rPr>
          <w:sz w:val="22"/>
          <w:szCs w:val="22"/>
          <w:lang w:val="en-GB"/>
        </w:rPr>
        <w:t>experienced</w:t>
      </w:r>
      <w:r w:rsidRPr="00972203">
        <w:rPr>
          <w:sz w:val="22"/>
          <w:szCs w:val="22"/>
          <w:lang w:val="en-GB"/>
        </w:rPr>
        <w:t xml:space="preserve"> several stages of </w:t>
      </w:r>
      <w:r w:rsidR="008845A7">
        <w:rPr>
          <w:sz w:val="22"/>
          <w:szCs w:val="22"/>
          <w:lang w:val="en-GB"/>
        </w:rPr>
        <w:t xml:space="preserve">burial, exhumation and re-burial with commensurate diagenetic changes, and structural </w:t>
      </w:r>
      <w:r w:rsidRPr="00972203">
        <w:rPr>
          <w:sz w:val="22"/>
          <w:szCs w:val="22"/>
          <w:lang w:val="en-GB"/>
        </w:rPr>
        <w:t>deformation</w:t>
      </w:r>
      <w:r w:rsidR="008845A7">
        <w:rPr>
          <w:sz w:val="22"/>
          <w:szCs w:val="22"/>
          <w:lang w:val="en-GB"/>
        </w:rPr>
        <w:t>-related processes</w:t>
      </w:r>
      <w:r w:rsidRPr="00972203">
        <w:rPr>
          <w:sz w:val="22"/>
          <w:szCs w:val="22"/>
          <w:lang w:val="en-GB"/>
        </w:rPr>
        <w:t xml:space="preserve"> </w:t>
      </w:r>
      <w:r w:rsidRPr="00972203">
        <w:rPr>
          <w:sz w:val="22"/>
          <w:szCs w:val="22"/>
          <w:lang w:val="en-GB"/>
        </w:rPr>
        <w:fldChar w:fldCharType="begin" w:fldLock="1"/>
      </w:r>
      <w:r w:rsidR="00E41AF9">
        <w:rPr>
          <w:sz w:val="22"/>
          <w:szCs w:val="22"/>
          <w:lang w:val="en-GB"/>
        </w:rPr>
        <w:instrText>ADDIN CSL_CITATION {"citationItems":[{"id":"ITEM-1","itemData":{"author":[{"dropping-particle":"","family":"Evans","given":"D.","non-dropping-particle":"","parse-names":false,"suffix":""},{"dropping-particle":"","family":"Armour","given":"D.","non-dropping-particle":"","parse-names":false,"suffix":""},{"dropping-particle":"","family":"Bathurst","given":"P.","non-dropping-particle":"","parse-names":false,"suffix":""}],"container-title":"Millenium Atlas","id":"ITEM-1","issued":{"date-parts":[["2003"]]},"number-of-pages":"990","title":"Millennium Atlas : petroleum geology of the central and northern North Sea Lower and Middle Jurassic","type":"book"},"uris":["http://www.mendeley.com/documents/?uuid=5894279b-0deb-4d82-b7c6-2924dee7c563"]},{"id":"ITEM-2","itemData":{"author":[{"dropping-particle":"","family":"Monaghan","given":"Alison A","non-dropping-particle":"","parse-names":false,"suffix":""},{"dropping-particle":"","family":"Arsenikos","given":"S.","non-dropping-particle":"","parse-names":false,"suffix":""},{"dropping-particle":"","family":"Callaghan","given":"E.","non-dropping-particle":"","parse-names":false,"suffix":""},{"dropping-particle":"","family":"Ellen","given":"R.","non-dropping-particle":"","parse-names":false,"suffix":""},{"dropping-particle":"","family":"Gent","given":"C.","non-dropping-particle":"","parse-names":false,"suffix":""},{"dropping-particle":"","family":"Hannis","given":"S.","non-dropping-particle":"","parse-names":false,"suffix":""},{"dropping-particle":"","family":"Henderson","given":"A.","non-dropping-particle":"","parse-names":false,"suffix":""},{"dropping-particle":"","family":"Leslie","given":"G.","non-dropping-particle":"","parse-names":false,"suffix":""},{"dropping-particle":"","family":"Johnson","given":"K.","non-dropping-particle":"","parse-names":false,"suffix":""},{"dropping-particle":"","family":"Kassyk","given":"M.","non-dropping-particle":"","parse-names":false,"suffix":""},{"dropping-particle":"","family":"Kearsey","given":"T.","non-dropping-particle":"","parse-names":false,"suffix":""},{"dropping-particle":"","family":"Kim","given":"A.","non-dropping-particle":"","parse-names":false,"suffix":""},{"dropping-particle":"","family":"Kimbell","given":"G.","non-dropping-particle":"","parse-names":false,"suffix":""},{"dropping-particle":"","family":"Quinn","given":"M.","non-dropping-particle":"","parse-names":false,"suffix":""},{"dropping-particle":"","family":"McLean","given":"W.","non-dropping-particle":"","parse-names":false,"suffix":""},{"dropping-particle":"","family":"Millward","given":"D.","non-dropping-particle":"","parse-names":false,"suffix":""},{"dropping-particle":"","family":"Pharaoh","given":"T.","non-dropping-particle":"","parse-names":false,"suffix":""},{"dropping-particle":"","family":"Sankey","given":"M.","non-dropping-particle":"","parse-names":false,"suffix":""},{"dropping-particle":"","family":"Smith","given":"N.","non-dropping-particle":"","parse-names":false,"suffix":""},{"dropping-particle":"","family":"Uguna","given":"C.","non-dropping-particle":"","parse-names":false,"suffix":""},{"dropping-particle":"","family":"Vane","given":"C","non-dropping-particle":"","parse-names":false,"suffix":""},{"dropping-particle":"","family":"Vincent","given":"C","non-dropping-particle":"","parse-names":false,"suffix":""},{"dropping-particle":"","family":"Williamson","given":"P.","non-dropping-particle":"","parse-names":false,"suffix":""}],"id":"ITEM-2","issued":{"date-parts":[["2017"]]},"number-of-pages":"92","title":"Palaeozoic Petroleum Systems of the Central North Sea/Mid North Sea High","type":"report"},"uris":["http://www.mendeley.com/documents/?uuid=d4d9f0f4-e332-476d-ae0d-d30ead00dabd"]}],"mendeley":{"formattedCitation":"(Evans et al., 2003; Monaghan et al., 2017)","plainTextFormattedCitation":"(Evans et al., 2003; Monaghan et al., 2017)","previouslyFormattedCitation":"(Evans et al., 2003; Monaghan, 2015)"},"properties":{"noteIndex":0},"schema":"https://github.com/citation-style-language/schema/raw/master/csl-citation.json"}</w:instrText>
      </w:r>
      <w:r w:rsidRPr="00972203">
        <w:rPr>
          <w:sz w:val="22"/>
          <w:szCs w:val="22"/>
          <w:lang w:val="en-GB"/>
        </w:rPr>
        <w:fldChar w:fldCharType="separate"/>
      </w:r>
      <w:r w:rsidR="00E41AF9" w:rsidRPr="00E41AF9">
        <w:rPr>
          <w:noProof/>
          <w:sz w:val="22"/>
          <w:szCs w:val="22"/>
          <w:lang w:val="en-GB"/>
        </w:rPr>
        <w:t>(Evans et al., 2003; Monaghan et al., 2017)</w:t>
      </w:r>
      <w:r w:rsidRPr="00972203">
        <w:rPr>
          <w:sz w:val="22"/>
          <w:szCs w:val="22"/>
          <w:lang w:val="en-GB"/>
        </w:rPr>
        <w:fldChar w:fldCharType="end"/>
      </w:r>
      <w:r w:rsidRPr="00972203">
        <w:rPr>
          <w:sz w:val="22"/>
          <w:szCs w:val="22"/>
          <w:lang w:val="en-GB"/>
        </w:rPr>
        <w:t xml:space="preserve">. </w:t>
      </w:r>
      <w:r w:rsidR="008845A7">
        <w:rPr>
          <w:sz w:val="22"/>
          <w:szCs w:val="22"/>
          <w:lang w:val="en-GB"/>
        </w:rPr>
        <w:t>Palaeozoic s</w:t>
      </w:r>
      <w:r w:rsidRPr="00972203">
        <w:rPr>
          <w:sz w:val="22"/>
          <w:szCs w:val="22"/>
          <w:lang w:val="en-GB"/>
        </w:rPr>
        <w:t xml:space="preserve">ites are </w:t>
      </w:r>
      <w:r w:rsidR="00474D56" w:rsidRPr="00972203">
        <w:rPr>
          <w:sz w:val="22"/>
          <w:szCs w:val="22"/>
          <w:lang w:val="en-GB"/>
        </w:rPr>
        <w:t>less</w:t>
      </w:r>
      <w:r w:rsidRPr="00972203">
        <w:rPr>
          <w:sz w:val="22"/>
          <w:szCs w:val="22"/>
          <w:lang w:val="en-GB"/>
        </w:rPr>
        <w:t xml:space="preserve"> well studied </w:t>
      </w:r>
      <w:r w:rsidR="007D6751" w:rsidRPr="00972203">
        <w:rPr>
          <w:sz w:val="22"/>
          <w:szCs w:val="22"/>
          <w:lang w:val="en-GB"/>
        </w:rPr>
        <w:t xml:space="preserve">than </w:t>
      </w:r>
      <w:r w:rsidR="008845A7">
        <w:rPr>
          <w:sz w:val="22"/>
          <w:szCs w:val="22"/>
          <w:lang w:val="en-GB"/>
        </w:rPr>
        <w:t>Mesozoic and Cenozoic sites</w:t>
      </w:r>
      <w:r w:rsidR="007D6751" w:rsidRPr="00972203">
        <w:rPr>
          <w:sz w:val="22"/>
          <w:szCs w:val="22"/>
          <w:lang w:val="en-GB"/>
        </w:rPr>
        <w:t xml:space="preserve"> </w:t>
      </w:r>
      <w:r w:rsidRPr="00972203">
        <w:rPr>
          <w:sz w:val="22"/>
          <w:szCs w:val="22"/>
          <w:lang w:val="en-GB"/>
        </w:rPr>
        <w:t xml:space="preserve">and there is uncertainty about their </w:t>
      </w:r>
      <w:r w:rsidR="007D6751" w:rsidRPr="00972203">
        <w:rPr>
          <w:sz w:val="22"/>
          <w:szCs w:val="22"/>
          <w:lang w:val="en-GB"/>
        </w:rPr>
        <w:t xml:space="preserve">evolution </w:t>
      </w:r>
      <w:r w:rsidRPr="00972203">
        <w:rPr>
          <w:sz w:val="22"/>
          <w:szCs w:val="22"/>
          <w:lang w:val="en-GB"/>
        </w:rPr>
        <w:t xml:space="preserve">and </w:t>
      </w:r>
      <w:r w:rsidR="007D6751" w:rsidRPr="00972203">
        <w:rPr>
          <w:sz w:val="22"/>
          <w:szCs w:val="22"/>
          <w:lang w:val="en-GB"/>
        </w:rPr>
        <w:t xml:space="preserve">current </w:t>
      </w:r>
      <w:r w:rsidR="00957ABF">
        <w:rPr>
          <w:sz w:val="22"/>
          <w:szCs w:val="22"/>
          <w:lang w:val="en-GB"/>
        </w:rPr>
        <w:t>reservoir state</w:t>
      </w:r>
      <w:r w:rsidRPr="00972203">
        <w:rPr>
          <w:sz w:val="22"/>
          <w:szCs w:val="22"/>
          <w:lang w:val="en-GB"/>
        </w:rPr>
        <w:t>, particularly when compared to</w:t>
      </w:r>
      <w:r w:rsidR="008845A7">
        <w:rPr>
          <w:sz w:val="22"/>
          <w:szCs w:val="22"/>
          <w:lang w:val="en-GB"/>
        </w:rPr>
        <w:t xml:space="preserve"> Cenozoic</w:t>
      </w:r>
      <w:r w:rsidRPr="00972203">
        <w:rPr>
          <w:sz w:val="22"/>
          <w:szCs w:val="22"/>
          <w:lang w:val="en-GB"/>
        </w:rPr>
        <w:t xml:space="preserve"> reservoirs. </w:t>
      </w:r>
      <w:r w:rsidR="0015498E">
        <w:rPr>
          <w:sz w:val="22"/>
          <w:szCs w:val="22"/>
          <w:lang w:val="en-GB"/>
        </w:rPr>
        <w:t>T</w:t>
      </w:r>
      <w:r w:rsidRPr="00972203">
        <w:rPr>
          <w:sz w:val="22"/>
          <w:szCs w:val="22"/>
          <w:lang w:val="en-GB"/>
        </w:rPr>
        <w:t xml:space="preserve">o reduce storage risk, </w:t>
      </w:r>
      <w:r w:rsidR="007D6751" w:rsidRPr="00972203">
        <w:rPr>
          <w:sz w:val="22"/>
          <w:szCs w:val="22"/>
          <w:lang w:val="en-GB"/>
        </w:rPr>
        <w:t>Pal</w:t>
      </w:r>
      <w:r w:rsidR="008845A7">
        <w:rPr>
          <w:sz w:val="22"/>
          <w:szCs w:val="22"/>
          <w:lang w:val="en-GB"/>
        </w:rPr>
        <w:t>a</w:t>
      </w:r>
      <w:r w:rsidR="007D6751" w:rsidRPr="00972203">
        <w:rPr>
          <w:sz w:val="22"/>
          <w:szCs w:val="22"/>
          <w:lang w:val="en-GB"/>
        </w:rPr>
        <w:t xml:space="preserve">eozoic </w:t>
      </w:r>
      <w:r w:rsidRPr="00972203">
        <w:rPr>
          <w:sz w:val="22"/>
          <w:szCs w:val="22"/>
          <w:lang w:val="en-GB"/>
        </w:rPr>
        <w:t>sites were screened out. Of the studied sites, 22 (19%) were formed by rocks older than Mesozoic. The rest of the sites are divided in Mesozoic (75 sites, 66% of the total) and Palaeogene units (21 sites, 19% of the sites).</w:t>
      </w:r>
    </w:p>
    <w:p w14:paraId="4DA6B288" w14:textId="2008C42F" w:rsidR="007D6751" w:rsidRPr="00972203" w:rsidRDefault="000F759B" w:rsidP="000F759B">
      <w:pPr>
        <w:pStyle w:val="BodyText"/>
        <w:spacing w:after="120" w:line="276" w:lineRule="auto"/>
        <w:rPr>
          <w:sz w:val="22"/>
          <w:szCs w:val="22"/>
          <w:lang w:val="en-GB"/>
        </w:rPr>
      </w:pPr>
      <w:r w:rsidRPr="00972203">
        <w:rPr>
          <w:sz w:val="22"/>
          <w:szCs w:val="22"/>
          <w:lang w:val="en-GB"/>
        </w:rPr>
        <w:t>Although hydrocarbon production in the North Sea is in decline (</w:t>
      </w:r>
      <w:r w:rsidR="007D6751" w:rsidRPr="00972203">
        <w:rPr>
          <w:sz w:val="22"/>
          <w:szCs w:val="22"/>
          <w:lang w:val="en-GB"/>
        </w:rPr>
        <w:t xml:space="preserve">with estimated </w:t>
      </w:r>
      <w:r w:rsidRPr="00972203">
        <w:rPr>
          <w:sz w:val="22"/>
          <w:szCs w:val="22"/>
          <w:lang w:val="en-GB"/>
        </w:rPr>
        <w:t>prod</w:t>
      </w:r>
      <w:r w:rsidR="007D6751" w:rsidRPr="00972203">
        <w:rPr>
          <w:sz w:val="22"/>
          <w:szCs w:val="22"/>
          <w:lang w:val="en-GB"/>
        </w:rPr>
        <w:t xml:space="preserve">uction peak </w:t>
      </w:r>
      <w:r w:rsidRPr="00972203">
        <w:rPr>
          <w:sz w:val="22"/>
          <w:szCs w:val="22"/>
          <w:lang w:val="en-GB"/>
        </w:rPr>
        <w:t xml:space="preserve">in 1999, </w:t>
      </w:r>
      <w:r w:rsidRPr="00972203">
        <w:rPr>
          <w:sz w:val="22"/>
          <w:szCs w:val="22"/>
          <w:lang w:val="en-GB"/>
        </w:rPr>
        <w:fldChar w:fldCharType="begin" w:fldLock="1"/>
      </w:r>
      <w:r w:rsidR="009D58AA">
        <w:rPr>
          <w:sz w:val="22"/>
          <w:szCs w:val="22"/>
          <w:lang w:val="en-GB"/>
        </w:rPr>
        <w:instrText>ADDIN CSL_CITATION {"citationItems":[{"id":"ITEM-1","itemData":{"DOI":"10.1126/science.331.6024.1510","ISBN":"0036-8075","ISSN":"1095-9203","PMID":"21436416","author":[{"dropping-particle":"","family":"Kerr","given":"Richard A","non-dropping-particle":"","parse-names":false,"suffix":""}],"container-title":"Science (New York, N.Y.)","id":"ITEM-1","issue":"March","issued":{"date-parts":[["2011"]]},"page":"1510-1511","title":"Energy supplies. Peak oil production may already be here.","type":"article-journal","volume":"331"},"uris":["http://www.mendeley.com/documents/?uuid=fe19ff19-2132-4774-aeaf-66f2d1f27e49"]}],"mendeley":{"formattedCitation":"(Kerr, 2011)","manualFormatting":"Kerr, 2011","plainTextFormattedCitation":"(Kerr, 2011)","previouslyFormattedCitation":"(Kerr, 2011)"},"properties":{"noteIndex":0},"schema":"https://github.com/citation-style-language/schema/raw/master/csl-citation.json"}</w:instrText>
      </w:r>
      <w:r w:rsidRPr="00972203">
        <w:rPr>
          <w:sz w:val="22"/>
          <w:szCs w:val="22"/>
          <w:lang w:val="en-GB"/>
        </w:rPr>
        <w:fldChar w:fldCharType="separate"/>
      </w:r>
      <w:r w:rsidR="00C01E2D" w:rsidRPr="00C01E2D">
        <w:rPr>
          <w:noProof/>
          <w:sz w:val="22"/>
          <w:szCs w:val="22"/>
          <w:lang w:val="en-GB"/>
        </w:rPr>
        <w:t>Kerr, 2011</w:t>
      </w:r>
      <w:r w:rsidRPr="00972203">
        <w:rPr>
          <w:sz w:val="22"/>
          <w:szCs w:val="22"/>
          <w:lang w:val="en-GB"/>
        </w:rPr>
        <w:fldChar w:fldCharType="end"/>
      </w:r>
      <w:r w:rsidRPr="00972203">
        <w:rPr>
          <w:sz w:val="22"/>
          <w:szCs w:val="22"/>
          <w:lang w:val="en-GB"/>
        </w:rPr>
        <w:t xml:space="preserve">), there are still </w:t>
      </w:r>
      <w:r w:rsidR="00860EE1">
        <w:rPr>
          <w:sz w:val="22"/>
          <w:szCs w:val="22"/>
          <w:lang w:val="en-GB"/>
        </w:rPr>
        <w:t>approximately</w:t>
      </w:r>
      <w:r w:rsidRPr="00972203">
        <w:rPr>
          <w:sz w:val="22"/>
          <w:szCs w:val="22"/>
          <w:lang w:val="en-GB"/>
        </w:rPr>
        <w:t xml:space="preserve"> 100 producing fields in the UK Central North Sea (source: UK Oil and Gas Authority</w:t>
      </w:r>
      <w:r w:rsidR="000614E7">
        <w:rPr>
          <w:sz w:val="22"/>
          <w:szCs w:val="22"/>
          <w:lang w:val="en-GB"/>
        </w:rPr>
        <w:t xml:space="preserve"> </w:t>
      </w:r>
      <w:r w:rsidR="00973D2C">
        <w:rPr>
          <w:sz w:val="22"/>
          <w:szCs w:val="22"/>
          <w:lang w:val="en-GB"/>
        </w:rPr>
        <w:t>–</w:t>
      </w:r>
      <w:r w:rsidR="000614E7">
        <w:rPr>
          <w:sz w:val="22"/>
          <w:szCs w:val="22"/>
          <w:lang w:val="en-GB"/>
        </w:rPr>
        <w:t xml:space="preserve"> OGA</w:t>
      </w:r>
      <w:r w:rsidR="00973D2C">
        <w:rPr>
          <w:sz w:val="22"/>
          <w:szCs w:val="22"/>
          <w:lang w:val="en-GB"/>
        </w:rPr>
        <w:t xml:space="preserve"> </w:t>
      </w:r>
      <w:r w:rsidR="00973D2C" w:rsidRPr="00973D2C">
        <w:rPr>
          <w:sz w:val="22"/>
          <w:szCs w:val="22"/>
          <w:lang w:val="en-GB"/>
        </w:rPr>
        <w:t xml:space="preserve"> Field Production</w:t>
      </w:r>
      <w:r w:rsidR="00973D2C">
        <w:rPr>
          <w:sz w:val="22"/>
          <w:szCs w:val="22"/>
          <w:lang w:val="en-GB"/>
        </w:rPr>
        <w:t xml:space="preserve">, </w:t>
      </w:r>
      <w:hyperlink r:id="rId11" w:history="1">
        <w:r w:rsidRPr="00972203">
          <w:rPr>
            <w:rStyle w:val="Hyperlink"/>
            <w:sz w:val="22"/>
          </w:rPr>
          <w:t>www.ogauthority.co.uk</w:t>
        </w:r>
      </w:hyperlink>
      <w:r w:rsidRPr="00972203">
        <w:rPr>
          <w:sz w:val="22"/>
          <w:szCs w:val="22"/>
          <w:lang w:val="en-GB"/>
        </w:rPr>
        <w:t xml:space="preserve">). The Acorn project is expected to start in operation in 2022 </w:t>
      </w:r>
      <w:r w:rsidRPr="00972203">
        <w:rPr>
          <w:sz w:val="22"/>
          <w:szCs w:val="22"/>
          <w:lang w:val="en-GB"/>
        </w:rPr>
        <w:fldChar w:fldCharType="begin" w:fldLock="1"/>
      </w:r>
      <w:r w:rsidR="009228F4">
        <w:rPr>
          <w:sz w:val="22"/>
          <w:szCs w:val="22"/>
          <w:lang w:val="en-GB"/>
        </w:rPr>
        <w:instrText>ADDIN CSL_CITATION {"citationItems":[{"id":"ITEM-1","itemData":{"DOI":"10.1016/j.jclepro.2019.06.087","ISSN":"09596526","abstract":"Research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Production","id":"ITEM-1","issued":{"date-parts":[["2019","10"]]},"page":"963-971","title":"Acorn: Developing full-chain industrial carbon capture and storage in a resource- and infrastructure-rich hydrocarbon province","type":"article-journal","volume":"233"},"uris":["http://www.mendeley.com/documents/?uuid=70c6bc31-4949-4838-968e-534a31bbff9a"]}],"mendeley":{"formattedCitation":"(Alcalde et al., 2019)","plainTextFormattedCitation":"(Alcalde et al., 2019)","previouslyFormattedCitation":"(Alcalde et al., 2019)"},"properties":{"noteIndex":0},"schema":"https://github.com/citation-style-language/schema/raw/master/csl-citation.json"}</w:instrText>
      </w:r>
      <w:r w:rsidRPr="00972203">
        <w:rPr>
          <w:sz w:val="22"/>
          <w:szCs w:val="22"/>
          <w:lang w:val="en-GB"/>
        </w:rPr>
        <w:fldChar w:fldCharType="separate"/>
      </w:r>
      <w:r w:rsidR="00C01E2D" w:rsidRPr="00C01E2D">
        <w:rPr>
          <w:noProof/>
          <w:sz w:val="22"/>
          <w:szCs w:val="22"/>
          <w:lang w:val="en-GB"/>
        </w:rPr>
        <w:t>(Alcalde et al., 2019)</w:t>
      </w:r>
      <w:r w:rsidRPr="00972203">
        <w:rPr>
          <w:sz w:val="22"/>
          <w:szCs w:val="22"/>
          <w:lang w:val="en-GB"/>
        </w:rPr>
        <w:fldChar w:fldCharType="end"/>
      </w:r>
      <w:r w:rsidRPr="00972203">
        <w:rPr>
          <w:sz w:val="22"/>
          <w:szCs w:val="22"/>
          <w:lang w:val="en-GB"/>
        </w:rPr>
        <w:t xml:space="preserve">. </w:t>
      </w:r>
      <w:r w:rsidR="007D6751" w:rsidRPr="00972203">
        <w:rPr>
          <w:sz w:val="22"/>
          <w:szCs w:val="22"/>
          <w:lang w:val="en-GB"/>
        </w:rPr>
        <w:t>Hence, w</w:t>
      </w:r>
      <w:r w:rsidRPr="00972203">
        <w:rPr>
          <w:sz w:val="22"/>
          <w:szCs w:val="22"/>
          <w:lang w:val="en-GB"/>
        </w:rPr>
        <w:t xml:space="preserve">e excluded all hydrocarbon fields that are expected to be still in operation by that date, so </w:t>
      </w:r>
      <w:r w:rsidR="0015498E">
        <w:rPr>
          <w:sz w:val="22"/>
          <w:szCs w:val="22"/>
          <w:lang w:val="en-GB"/>
        </w:rPr>
        <w:t xml:space="preserve">that </w:t>
      </w:r>
      <w:r w:rsidRPr="00972203">
        <w:rPr>
          <w:sz w:val="22"/>
          <w:szCs w:val="22"/>
          <w:lang w:val="en-GB"/>
        </w:rPr>
        <w:t xml:space="preserve">the storage operations do not interfere with the hydrocarbon production. </w:t>
      </w:r>
      <w:r w:rsidR="007D6751" w:rsidRPr="00972203">
        <w:rPr>
          <w:sz w:val="22"/>
          <w:szCs w:val="22"/>
          <w:lang w:val="en-GB"/>
        </w:rPr>
        <w:t>Of the 34 oil and gas fields assessed, nine</w:t>
      </w:r>
      <w:r w:rsidRPr="00972203">
        <w:rPr>
          <w:sz w:val="22"/>
          <w:szCs w:val="22"/>
          <w:lang w:val="en-GB"/>
        </w:rPr>
        <w:t xml:space="preserve"> of the</w:t>
      </w:r>
      <w:r w:rsidR="007D6751" w:rsidRPr="00972203">
        <w:rPr>
          <w:sz w:val="22"/>
          <w:szCs w:val="22"/>
          <w:lang w:val="en-GB"/>
        </w:rPr>
        <w:t xml:space="preserve">m had cessation of production dates later than 2022 and were screened out </w:t>
      </w:r>
      <w:r w:rsidR="00806B66">
        <w:rPr>
          <w:sz w:val="22"/>
          <w:szCs w:val="22"/>
          <w:lang w:val="en-GB"/>
        </w:rPr>
        <w:t>(</w:t>
      </w:r>
      <w:r w:rsidR="007D6751" w:rsidRPr="00972203">
        <w:rPr>
          <w:sz w:val="22"/>
          <w:szCs w:val="22"/>
          <w:lang w:val="en-GB"/>
        </w:rPr>
        <w:t xml:space="preserve">8% of the </w:t>
      </w:r>
      <w:r w:rsidR="0015498E">
        <w:rPr>
          <w:sz w:val="22"/>
          <w:szCs w:val="22"/>
          <w:lang w:val="en-GB"/>
        </w:rPr>
        <w:t xml:space="preserve">remaining </w:t>
      </w:r>
      <w:r w:rsidR="00C81D7B" w:rsidRPr="00972203">
        <w:rPr>
          <w:sz w:val="22"/>
          <w:szCs w:val="22"/>
          <w:lang w:val="en-GB"/>
        </w:rPr>
        <w:t>selectable sites</w:t>
      </w:r>
      <w:r w:rsidR="00806B66">
        <w:rPr>
          <w:sz w:val="22"/>
          <w:szCs w:val="22"/>
          <w:lang w:val="en-GB"/>
        </w:rPr>
        <w:t>)</w:t>
      </w:r>
      <w:r w:rsidR="00C81D7B" w:rsidRPr="00972203">
        <w:rPr>
          <w:sz w:val="22"/>
          <w:szCs w:val="22"/>
          <w:lang w:val="en-GB"/>
        </w:rPr>
        <w:t>.</w:t>
      </w:r>
    </w:p>
    <w:p w14:paraId="037B7D78" w14:textId="4E5C5A7E" w:rsidR="000F759B" w:rsidRDefault="000F759B" w:rsidP="000F759B">
      <w:pPr>
        <w:pStyle w:val="BodyText"/>
        <w:spacing w:after="120" w:line="276" w:lineRule="auto"/>
        <w:rPr>
          <w:sz w:val="22"/>
          <w:szCs w:val="22"/>
          <w:lang w:val="en-GB"/>
        </w:rPr>
      </w:pPr>
      <w:r w:rsidRPr="00972203">
        <w:rPr>
          <w:sz w:val="22"/>
          <w:szCs w:val="22"/>
          <w:lang w:val="en-GB"/>
        </w:rPr>
        <w:t xml:space="preserve">Finally, the sites were assessed in terms of well and seismic data availability. Sites </w:t>
      </w:r>
      <w:r w:rsidR="0015498E">
        <w:rPr>
          <w:sz w:val="22"/>
          <w:szCs w:val="22"/>
          <w:lang w:val="en-GB"/>
        </w:rPr>
        <w:t>without</w:t>
      </w:r>
      <w:r w:rsidRPr="00972203">
        <w:rPr>
          <w:sz w:val="22"/>
          <w:szCs w:val="22"/>
          <w:lang w:val="en-GB"/>
        </w:rPr>
        <w:t xml:space="preserve"> well</w:t>
      </w:r>
      <w:r w:rsidR="0015498E">
        <w:rPr>
          <w:sz w:val="22"/>
          <w:szCs w:val="22"/>
          <w:lang w:val="en-GB"/>
        </w:rPr>
        <w:t xml:space="preserve"> data</w:t>
      </w:r>
      <w:r w:rsidRPr="00972203">
        <w:rPr>
          <w:sz w:val="22"/>
          <w:szCs w:val="22"/>
          <w:lang w:val="en-GB"/>
        </w:rPr>
        <w:t xml:space="preserve"> were screened out, because suitability of the reservoir and seal formations will be uncertain and the cost of drilling new wells </w:t>
      </w:r>
      <w:proofErr w:type="gramStart"/>
      <w:r w:rsidRPr="00972203">
        <w:rPr>
          <w:sz w:val="22"/>
          <w:szCs w:val="22"/>
          <w:lang w:val="en-GB"/>
        </w:rPr>
        <w:t>in order to</w:t>
      </w:r>
      <w:proofErr w:type="gramEnd"/>
      <w:r w:rsidRPr="00972203">
        <w:rPr>
          <w:sz w:val="22"/>
          <w:szCs w:val="22"/>
          <w:lang w:val="en-GB"/>
        </w:rPr>
        <w:t xml:space="preserve"> characterise them </w:t>
      </w:r>
      <w:r w:rsidR="0015498E">
        <w:rPr>
          <w:sz w:val="22"/>
          <w:szCs w:val="22"/>
          <w:lang w:val="en-GB"/>
        </w:rPr>
        <w:t>would increase</w:t>
      </w:r>
      <w:r w:rsidRPr="00972203">
        <w:rPr>
          <w:sz w:val="22"/>
          <w:szCs w:val="22"/>
          <w:lang w:val="en-GB"/>
        </w:rPr>
        <w:t xml:space="preserve"> project expen</w:t>
      </w:r>
      <w:r w:rsidR="0015498E">
        <w:rPr>
          <w:sz w:val="22"/>
          <w:szCs w:val="22"/>
          <w:lang w:val="en-GB"/>
        </w:rPr>
        <w:t>s</w:t>
      </w:r>
      <w:r w:rsidRPr="00972203">
        <w:rPr>
          <w:sz w:val="22"/>
          <w:szCs w:val="22"/>
          <w:lang w:val="en-GB"/>
        </w:rPr>
        <w:t xml:space="preserve">e. </w:t>
      </w:r>
      <w:r w:rsidR="00090995" w:rsidRPr="00972203">
        <w:rPr>
          <w:sz w:val="22"/>
          <w:szCs w:val="22"/>
          <w:lang w:val="en-GB"/>
        </w:rPr>
        <w:t xml:space="preserve">The same rationale is followed regarding the seismic data. </w:t>
      </w:r>
      <w:r w:rsidRPr="00972203">
        <w:rPr>
          <w:sz w:val="22"/>
          <w:szCs w:val="22"/>
          <w:lang w:val="en-GB"/>
        </w:rPr>
        <w:t>In terms of seismic data availability, the Acorn project used the PGS CNS Mega Survey (</w:t>
      </w:r>
      <w:hyperlink r:id="rId12" w:history="1">
        <w:r w:rsidRPr="00972203">
          <w:rPr>
            <w:rStyle w:val="Hyperlink"/>
            <w:sz w:val="22"/>
            <w:szCs w:val="22"/>
            <w:lang w:val="en-GB"/>
          </w:rPr>
          <w:t>www.pgs.com/data-library/europe/nw-europe/north-sea/</w:t>
        </w:r>
      </w:hyperlink>
      <w:r w:rsidRPr="00972203">
        <w:rPr>
          <w:sz w:val="22"/>
          <w:szCs w:val="22"/>
          <w:lang w:val="en-GB"/>
        </w:rPr>
        <w:t xml:space="preserve">), a 3D reflection seismic dataset that covered most of the Central North Sea region. The locations of the </w:t>
      </w:r>
      <w:r w:rsidR="00AD318A" w:rsidRPr="00972203">
        <w:rPr>
          <w:sz w:val="22"/>
          <w:szCs w:val="22"/>
          <w:lang w:val="en-GB"/>
        </w:rPr>
        <w:t xml:space="preserve">centroids of the </w:t>
      </w:r>
      <w:r w:rsidRPr="00972203">
        <w:rPr>
          <w:sz w:val="22"/>
          <w:szCs w:val="22"/>
          <w:lang w:val="en-GB"/>
        </w:rPr>
        <w:t xml:space="preserve">113 sites assessed (Figure 1) were plotted against the coverage </w:t>
      </w:r>
      <w:r w:rsidR="00AD318A" w:rsidRPr="00972203">
        <w:rPr>
          <w:sz w:val="22"/>
          <w:szCs w:val="22"/>
          <w:lang w:val="en-GB"/>
        </w:rPr>
        <w:t xml:space="preserve">map </w:t>
      </w:r>
      <w:r w:rsidRPr="00972203">
        <w:rPr>
          <w:sz w:val="22"/>
          <w:szCs w:val="22"/>
          <w:lang w:val="en-GB"/>
        </w:rPr>
        <w:t>of the CNS Mega Survey, and the sites located outside th</w:t>
      </w:r>
      <w:r w:rsidR="00090995" w:rsidRPr="00972203">
        <w:rPr>
          <w:sz w:val="22"/>
          <w:szCs w:val="22"/>
          <w:lang w:val="en-GB"/>
        </w:rPr>
        <w:t xml:space="preserve">e </w:t>
      </w:r>
      <w:r w:rsidR="0015498E" w:rsidRPr="00972203">
        <w:rPr>
          <w:sz w:val="22"/>
          <w:szCs w:val="22"/>
          <w:lang w:val="en-GB"/>
        </w:rPr>
        <w:t xml:space="preserve">seismic dataset </w:t>
      </w:r>
      <w:r w:rsidR="00090995" w:rsidRPr="00972203">
        <w:rPr>
          <w:sz w:val="22"/>
          <w:szCs w:val="22"/>
          <w:lang w:val="en-GB"/>
        </w:rPr>
        <w:t>coverage</w:t>
      </w:r>
      <w:r w:rsidRPr="00972203">
        <w:rPr>
          <w:sz w:val="22"/>
          <w:szCs w:val="22"/>
          <w:lang w:val="en-GB"/>
        </w:rPr>
        <w:t xml:space="preserve"> area were screened out. </w:t>
      </w:r>
      <w:r w:rsidR="00DC7EE0">
        <w:rPr>
          <w:sz w:val="22"/>
          <w:szCs w:val="22"/>
          <w:lang w:val="en-GB"/>
        </w:rPr>
        <w:t>Ten</w:t>
      </w:r>
      <w:r w:rsidRPr="00972203">
        <w:rPr>
          <w:sz w:val="22"/>
          <w:szCs w:val="22"/>
          <w:lang w:val="en-GB"/>
        </w:rPr>
        <w:t xml:space="preserve"> of the sites </w:t>
      </w:r>
      <w:r w:rsidR="0015498E" w:rsidRPr="00972203">
        <w:rPr>
          <w:sz w:val="22"/>
          <w:szCs w:val="22"/>
          <w:lang w:val="en-GB"/>
        </w:rPr>
        <w:t xml:space="preserve">were therefore screened out </w:t>
      </w:r>
      <w:r w:rsidR="0015498E">
        <w:rPr>
          <w:sz w:val="22"/>
          <w:szCs w:val="22"/>
          <w:lang w:val="en-GB"/>
        </w:rPr>
        <w:t>in this process.</w:t>
      </w:r>
    </w:p>
    <w:p w14:paraId="640CD9AF" w14:textId="6C56FFE2" w:rsidR="00264BC9" w:rsidRPr="00972203" w:rsidRDefault="004B3244" w:rsidP="00264BC9">
      <w:pPr>
        <w:pStyle w:val="BodyText"/>
        <w:spacing w:after="120" w:line="276" w:lineRule="auto"/>
        <w:rPr>
          <w:sz w:val="22"/>
          <w:szCs w:val="22"/>
          <w:lang w:val="en-GB"/>
        </w:rPr>
      </w:pPr>
      <w:r w:rsidRPr="00972203">
        <w:rPr>
          <w:sz w:val="22"/>
          <w:szCs w:val="22"/>
          <w:lang w:val="en-GB"/>
        </w:rPr>
        <w:lastRenderedPageBreak/>
        <w:t>After the assessment of the sites, 23 sites complied with all seven screening criteria (Figure 3). However, ten of these sites corresponded to sub</w:t>
      </w:r>
      <w:r>
        <w:rPr>
          <w:sz w:val="22"/>
          <w:szCs w:val="22"/>
          <w:lang w:val="en-GB"/>
        </w:rPr>
        <w:t>-units</w:t>
      </w:r>
      <w:r w:rsidRPr="00972203">
        <w:rPr>
          <w:sz w:val="22"/>
          <w:szCs w:val="22"/>
          <w:lang w:val="en-GB"/>
        </w:rPr>
        <w:t xml:space="preserve"> of the same two sites, Claymore and Pentland (five subdivision</w:t>
      </w:r>
      <w:r>
        <w:rPr>
          <w:sz w:val="22"/>
          <w:szCs w:val="22"/>
          <w:lang w:val="en-GB"/>
        </w:rPr>
        <w:t>s</w:t>
      </w:r>
      <w:r w:rsidRPr="00972203">
        <w:rPr>
          <w:sz w:val="22"/>
          <w:szCs w:val="22"/>
          <w:lang w:val="en-GB"/>
        </w:rPr>
        <w:t xml:space="preserve">, respectively). </w:t>
      </w:r>
      <w:r>
        <w:rPr>
          <w:sz w:val="22"/>
          <w:szCs w:val="22"/>
          <w:lang w:val="en-GB"/>
        </w:rPr>
        <w:t>I</w:t>
      </w:r>
      <w:r w:rsidRPr="00972203">
        <w:rPr>
          <w:sz w:val="22"/>
          <w:szCs w:val="22"/>
          <w:lang w:val="en-GB"/>
        </w:rPr>
        <w:t>n order to maximise the variety of sites that are selected</w:t>
      </w:r>
      <w:r>
        <w:rPr>
          <w:sz w:val="22"/>
          <w:szCs w:val="22"/>
          <w:lang w:val="en-GB"/>
        </w:rPr>
        <w:t xml:space="preserve"> as</w:t>
      </w:r>
      <w:r w:rsidRPr="00972203">
        <w:rPr>
          <w:sz w:val="22"/>
          <w:szCs w:val="22"/>
          <w:lang w:val="en-GB"/>
        </w:rPr>
        <w:t xml:space="preserve"> output from the screening process (</w:t>
      </w:r>
      <w:proofErr w:type="gramStart"/>
      <w:r w:rsidRPr="00972203">
        <w:rPr>
          <w:sz w:val="22"/>
          <w:szCs w:val="22"/>
          <w:lang w:val="en-GB"/>
        </w:rPr>
        <w:t>i.e.</w:t>
      </w:r>
      <w:proofErr w:type="gramEnd"/>
      <w:r w:rsidRPr="00972203">
        <w:rPr>
          <w:sz w:val="22"/>
          <w:szCs w:val="22"/>
          <w:lang w:val="en-GB"/>
        </w:rPr>
        <w:t xml:space="preserve"> to avoid including several subdivisions of the same site), we selected the subdivisions with greatest P50 capacity of the Claymore and Pentland subunits. This resulted in the selection of 15 sites, shown in Table 2, that constitute the pool of suitable sites after the screening stage (Figure 2).</w:t>
      </w:r>
    </w:p>
    <w:p w14:paraId="5C07F23A" w14:textId="504A318F" w:rsidR="00264BC9" w:rsidRPr="00972203" w:rsidRDefault="009419C2" w:rsidP="00C116C5">
      <w:pPr>
        <w:pStyle w:val="BodyText"/>
        <w:keepNext/>
        <w:spacing w:after="120" w:line="276" w:lineRule="auto"/>
        <w:jc w:val="center"/>
        <w:rPr>
          <w:sz w:val="22"/>
          <w:szCs w:val="22"/>
        </w:rPr>
      </w:pPr>
      <w:r w:rsidRPr="00972203">
        <w:rPr>
          <w:noProof/>
          <w:sz w:val="22"/>
          <w:szCs w:val="22"/>
          <w:lang w:val="en-GB" w:eastAsia="en-GB"/>
        </w:rPr>
        <w:drawing>
          <wp:inline distT="0" distB="0" distL="0" distR="0" wp14:anchorId="6C7017AB" wp14:editId="602BB16B">
            <wp:extent cx="5597718" cy="2461591"/>
            <wp:effectExtent l="0" t="0" r="317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14425" cy="2468938"/>
                    </a:xfrm>
                    <a:prstGeom prst="rect">
                      <a:avLst/>
                    </a:prstGeom>
                    <a:noFill/>
                    <a:ln>
                      <a:noFill/>
                    </a:ln>
                  </pic:spPr>
                </pic:pic>
              </a:graphicData>
            </a:graphic>
          </wp:inline>
        </w:drawing>
      </w:r>
    </w:p>
    <w:p w14:paraId="37E48B3D" w14:textId="64A12586" w:rsidR="00264BC9" w:rsidRDefault="00264BC9" w:rsidP="00C116C5">
      <w:pPr>
        <w:pStyle w:val="Caption"/>
      </w:pPr>
      <w:r w:rsidRPr="00972203">
        <w:t xml:space="preserve">Figure </w:t>
      </w:r>
      <w:r w:rsidRPr="00972203">
        <w:rPr>
          <w:noProof/>
        </w:rPr>
        <w:fldChar w:fldCharType="begin"/>
      </w:r>
      <w:r w:rsidRPr="00972203">
        <w:rPr>
          <w:noProof/>
        </w:rPr>
        <w:instrText xml:space="preserve"> SEQ Figure \* ARABIC </w:instrText>
      </w:r>
      <w:r w:rsidRPr="00972203">
        <w:rPr>
          <w:noProof/>
        </w:rPr>
        <w:fldChar w:fldCharType="separate"/>
      </w:r>
      <w:r w:rsidR="00300235">
        <w:rPr>
          <w:noProof/>
        </w:rPr>
        <w:t>3</w:t>
      </w:r>
      <w:r w:rsidRPr="00972203">
        <w:rPr>
          <w:noProof/>
        </w:rPr>
        <w:fldChar w:fldCharType="end"/>
      </w:r>
      <w:r w:rsidRPr="00972203">
        <w:t xml:space="preserve">: Site screening results. The graph shows the number of criteria passed by each of the 113 sites included in the assessment. </w:t>
      </w:r>
      <w:r w:rsidR="003D2745" w:rsidRPr="00972203">
        <w:t>23</w:t>
      </w:r>
      <w:r w:rsidRPr="00972203">
        <w:t xml:space="preserve"> sites passed all </w:t>
      </w:r>
      <w:r w:rsidR="0082516C">
        <w:t>seven</w:t>
      </w:r>
      <w:r w:rsidRPr="00972203">
        <w:t xml:space="preserve"> screening criteria.</w:t>
      </w:r>
    </w:p>
    <w:p w14:paraId="0B97AAA3" w14:textId="77777777" w:rsidR="00902B91" w:rsidRDefault="00902B91" w:rsidP="00902B91">
      <w:pPr>
        <w:pStyle w:val="BodyText"/>
        <w:spacing w:after="120" w:line="276" w:lineRule="auto"/>
        <w:rPr>
          <w:sz w:val="22"/>
          <w:szCs w:val="22"/>
          <w:lang w:val="en-GB"/>
        </w:rPr>
      </w:pPr>
    </w:p>
    <w:tbl>
      <w:tblPr>
        <w:tblW w:w="0" w:type="auto"/>
        <w:jc w:val="center"/>
        <w:tblBorders>
          <w:top w:val="single" w:sz="4" w:space="0" w:color="7F7F7F"/>
          <w:bottom w:val="single" w:sz="4" w:space="0" w:color="7F7F7F"/>
        </w:tblBorders>
        <w:tblCellMar>
          <w:top w:w="28" w:type="dxa"/>
          <w:left w:w="28" w:type="dxa"/>
          <w:bottom w:w="28" w:type="dxa"/>
          <w:right w:w="28" w:type="dxa"/>
        </w:tblCellMar>
        <w:tblLook w:val="04A0" w:firstRow="1" w:lastRow="0" w:firstColumn="1" w:lastColumn="0" w:noHBand="0" w:noVBand="1"/>
      </w:tblPr>
      <w:tblGrid>
        <w:gridCol w:w="2410"/>
        <w:gridCol w:w="1276"/>
        <w:gridCol w:w="1843"/>
      </w:tblGrid>
      <w:tr w:rsidR="0082516C" w:rsidRPr="00972203" w14:paraId="0F8162DE" w14:textId="77777777" w:rsidTr="0082516C">
        <w:trPr>
          <w:trHeight w:val="547"/>
          <w:jc w:val="center"/>
        </w:trPr>
        <w:tc>
          <w:tcPr>
            <w:tcW w:w="2410" w:type="dxa"/>
            <w:tcBorders>
              <w:bottom w:val="single" w:sz="4" w:space="0" w:color="7F7F7F"/>
            </w:tcBorders>
            <w:shd w:val="clear" w:color="auto" w:fill="F2F2F2"/>
            <w:vAlign w:val="center"/>
            <w:hideMark/>
          </w:tcPr>
          <w:p w14:paraId="0752A03D" w14:textId="77777777" w:rsidR="0082516C" w:rsidRPr="00972203" w:rsidRDefault="0082516C" w:rsidP="0082516C">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Site name</w:t>
            </w:r>
          </w:p>
        </w:tc>
        <w:tc>
          <w:tcPr>
            <w:tcW w:w="1276" w:type="dxa"/>
            <w:tcBorders>
              <w:bottom w:val="single" w:sz="4" w:space="0" w:color="7F7F7F"/>
            </w:tcBorders>
            <w:shd w:val="clear" w:color="auto" w:fill="F2F2F2"/>
            <w:vAlign w:val="center"/>
            <w:hideMark/>
          </w:tcPr>
          <w:p w14:paraId="07D9E894" w14:textId="77777777" w:rsidR="0082516C" w:rsidRPr="00972203" w:rsidRDefault="0082516C" w:rsidP="0082516C">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Type of site</w:t>
            </w:r>
          </w:p>
        </w:tc>
        <w:tc>
          <w:tcPr>
            <w:tcW w:w="1843" w:type="dxa"/>
            <w:tcBorders>
              <w:bottom w:val="single" w:sz="4" w:space="0" w:color="7F7F7F"/>
            </w:tcBorders>
            <w:shd w:val="clear" w:color="auto" w:fill="F2F2F2"/>
            <w:vAlign w:val="center"/>
            <w:hideMark/>
          </w:tcPr>
          <w:p w14:paraId="4DBC33E1"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Formation</w:t>
            </w:r>
          </w:p>
        </w:tc>
      </w:tr>
      <w:tr w:rsidR="0082516C" w:rsidRPr="00972203" w14:paraId="72A8DB88" w14:textId="77777777" w:rsidTr="0082516C">
        <w:trPr>
          <w:trHeight w:val="113"/>
          <w:jc w:val="center"/>
        </w:trPr>
        <w:tc>
          <w:tcPr>
            <w:tcW w:w="2410" w:type="dxa"/>
            <w:tcBorders>
              <w:top w:val="single" w:sz="4" w:space="0" w:color="7F7F7F"/>
              <w:bottom w:val="single" w:sz="4" w:space="0" w:color="7F7F7F"/>
            </w:tcBorders>
            <w:shd w:val="clear" w:color="auto" w:fill="auto"/>
            <w:vAlign w:val="center"/>
            <w:hideMark/>
          </w:tcPr>
          <w:p w14:paraId="71BA87DB"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Brae East Condensate Field</w:t>
            </w:r>
          </w:p>
        </w:tc>
        <w:tc>
          <w:tcPr>
            <w:tcW w:w="1276" w:type="dxa"/>
            <w:tcBorders>
              <w:top w:val="single" w:sz="4" w:space="0" w:color="7F7F7F"/>
              <w:bottom w:val="single" w:sz="4" w:space="0" w:color="7F7F7F"/>
            </w:tcBorders>
            <w:shd w:val="clear" w:color="auto" w:fill="auto"/>
            <w:noWrap/>
            <w:vAlign w:val="center"/>
            <w:hideMark/>
          </w:tcPr>
          <w:p w14:paraId="1BFAD904"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Gas Condensate</w:t>
            </w:r>
          </w:p>
        </w:tc>
        <w:tc>
          <w:tcPr>
            <w:tcW w:w="1843" w:type="dxa"/>
            <w:tcBorders>
              <w:top w:val="single" w:sz="4" w:space="0" w:color="7F7F7F"/>
              <w:bottom w:val="single" w:sz="4" w:space="0" w:color="7F7F7F"/>
            </w:tcBorders>
            <w:shd w:val="clear" w:color="auto" w:fill="auto"/>
            <w:noWrap/>
            <w:vAlign w:val="center"/>
            <w:hideMark/>
          </w:tcPr>
          <w:p w14:paraId="01643D0F"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Brae Fm</w:t>
            </w:r>
          </w:p>
        </w:tc>
      </w:tr>
      <w:tr w:rsidR="0082516C" w:rsidRPr="00972203" w14:paraId="2B6307A7" w14:textId="77777777" w:rsidTr="0082516C">
        <w:trPr>
          <w:trHeight w:val="113"/>
          <w:jc w:val="center"/>
        </w:trPr>
        <w:tc>
          <w:tcPr>
            <w:tcW w:w="2410" w:type="dxa"/>
            <w:shd w:val="clear" w:color="auto" w:fill="auto"/>
            <w:vAlign w:val="center"/>
            <w:hideMark/>
          </w:tcPr>
          <w:p w14:paraId="52FADF86"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Brae North Condensate Field</w:t>
            </w:r>
          </w:p>
        </w:tc>
        <w:tc>
          <w:tcPr>
            <w:tcW w:w="1276" w:type="dxa"/>
            <w:shd w:val="clear" w:color="auto" w:fill="auto"/>
            <w:noWrap/>
            <w:vAlign w:val="center"/>
            <w:hideMark/>
          </w:tcPr>
          <w:p w14:paraId="7D5DFFE7"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Gas Condensate</w:t>
            </w:r>
          </w:p>
        </w:tc>
        <w:tc>
          <w:tcPr>
            <w:tcW w:w="1843" w:type="dxa"/>
            <w:shd w:val="clear" w:color="auto" w:fill="auto"/>
            <w:noWrap/>
            <w:vAlign w:val="center"/>
            <w:hideMark/>
          </w:tcPr>
          <w:p w14:paraId="1A2F3429"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Brae Fm</w:t>
            </w:r>
          </w:p>
        </w:tc>
      </w:tr>
      <w:tr w:rsidR="0082516C" w:rsidRPr="00972203" w14:paraId="55F46549" w14:textId="77777777" w:rsidTr="0082516C">
        <w:trPr>
          <w:trHeight w:val="113"/>
          <w:jc w:val="center"/>
        </w:trPr>
        <w:tc>
          <w:tcPr>
            <w:tcW w:w="2410" w:type="dxa"/>
            <w:tcBorders>
              <w:top w:val="single" w:sz="4" w:space="0" w:color="7F7F7F"/>
              <w:bottom w:val="single" w:sz="4" w:space="0" w:color="7F7F7F"/>
            </w:tcBorders>
            <w:shd w:val="clear" w:color="auto" w:fill="auto"/>
            <w:vAlign w:val="center"/>
            <w:hideMark/>
          </w:tcPr>
          <w:p w14:paraId="11295A80"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Claymore_014_18*</w:t>
            </w:r>
          </w:p>
        </w:tc>
        <w:tc>
          <w:tcPr>
            <w:tcW w:w="1276" w:type="dxa"/>
            <w:tcBorders>
              <w:top w:val="single" w:sz="4" w:space="0" w:color="7F7F7F"/>
              <w:bottom w:val="single" w:sz="4" w:space="0" w:color="7F7F7F"/>
            </w:tcBorders>
            <w:shd w:val="clear" w:color="auto" w:fill="auto"/>
            <w:noWrap/>
            <w:vAlign w:val="center"/>
            <w:hideMark/>
          </w:tcPr>
          <w:p w14:paraId="7A81A941"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tcBorders>
              <w:top w:val="single" w:sz="4" w:space="0" w:color="7F7F7F"/>
              <w:bottom w:val="single" w:sz="4" w:space="0" w:color="7F7F7F"/>
            </w:tcBorders>
            <w:shd w:val="clear" w:color="auto" w:fill="auto"/>
            <w:noWrap/>
            <w:vAlign w:val="center"/>
            <w:hideMark/>
          </w:tcPr>
          <w:p w14:paraId="5B470AC3"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Kimmeridge Clay Fm</w:t>
            </w:r>
          </w:p>
        </w:tc>
      </w:tr>
      <w:tr w:rsidR="0082516C" w:rsidRPr="00972203" w14:paraId="5E10C9BA" w14:textId="77777777" w:rsidTr="0082516C">
        <w:trPr>
          <w:trHeight w:val="113"/>
          <w:jc w:val="center"/>
        </w:trPr>
        <w:tc>
          <w:tcPr>
            <w:tcW w:w="2410" w:type="dxa"/>
            <w:shd w:val="clear" w:color="auto" w:fill="auto"/>
            <w:vAlign w:val="center"/>
            <w:hideMark/>
          </w:tcPr>
          <w:p w14:paraId="1BDE7644"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Cromarty Sandstone Member</w:t>
            </w:r>
          </w:p>
        </w:tc>
        <w:tc>
          <w:tcPr>
            <w:tcW w:w="1276" w:type="dxa"/>
            <w:shd w:val="clear" w:color="auto" w:fill="auto"/>
            <w:noWrap/>
            <w:vAlign w:val="center"/>
            <w:hideMark/>
          </w:tcPr>
          <w:p w14:paraId="406BD2E3"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shd w:val="clear" w:color="auto" w:fill="auto"/>
            <w:noWrap/>
            <w:vAlign w:val="center"/>
            <w:hideMark/>
          </w:tcPr>
          <w:p w14:paraId="0386338C" w14:textId="77777777" w:rsidR="0082516C" w:rsidRPr="00972203" w:rsidRDefault="0082516C" w:rsidP="00DE6065">
            <w:pPr>
              <w:spacing w:after="0" w:line="240" w:lineRule="auto"/>
              <w:jc w:val="left"/>
              <w:rPr>
                <w:rFonts w:eastAsia="Times New Roman"/>
                <w:color w:val="000000"/>
                <w:sz w:val="18"/>
                <w:lang w:eastAsia="en-GB"/>
              </w:rPr>
            </w:pPr>
            <w:proofErr w:type="spellStart"/>
            <w:r w:rsidRPr="00972203">
              <w:rPr>
                <w:rFonts w:eastAsia="Times New Roman"/>
                <w:color w:val="000000"/>
                <w:sz w:val="18"/>
                <w:lang w:eastAsia="en-GB"/>
              </w:rPr>
              <w:t>Sele</w:t>
            </w:r>
            <w:proofErr w:type="spellEnd"/>
            <w:r w:rsidRPr="00972203">
              <w:rPr>
                <w:rFonts w:eastAsia="Times New Roman"/>
                <w:color w:val="000000"/>
                <w:sz w:val="18"/>
                <w:lang w:eastAsia="en-GB"/>
              </w:rPr>
              <w:t xml:space="preserve"> Fm</w:t>
            </w:r>
          </w:p>
        </w:tc>
      </w:tr>
      <w:tr w:rsidR="0082516C" w:rsidRPr="00972203" w14:paraId="1866B638" w14:textId="77777777" w:rsidTr="0082516C">
        <w:trPr>
          <w:trHeight w:val="113"/>
          <w:jc w:val="center"/>
        </w:trPr>
        <w:tc>
          <w:tcPr>
            <w:tcW w:w="2410" w:type="dxa"/>
            <w:tcBorders>
              <w:top w:val="single" w:sz="4" w:space="0" w:color="7F7F7F"/>
              <w:bottom w:val="single" w:sz="4" w:space="0" w:color="7F7F7F"/>
            </w:tcBorders>
            <w:shd w:val="clear" w:color="auto" w:fill="auto"/>
            <w:vAlign w:val="center"/>
            <w:hideMark/>
          </w:tcPr>
          <w:p w14:paraId="4517C12F"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Dornoch Formation</w:t>
            </w:r>
          </w:p>
        </w:tc>
        <w:tc>
          <w:tcPr>
            <w:tcW w:w="1276" w:type="dxa"/>
            <w:tcBorders>
              <w:top w:val="single" w:sz="4" w:space="0" w:color="7F7F7F"/>
              <w:bottom w:val="single" w:sz="4" w:space="0" w:color="7F7F7F"/>
            </w:tcBorders>
            <w:shd w:val="clear" w:color="auto" w:fill="auto"/>
            <w:noWrap/>
            <w:vAlign w:val="center"/>
            <w:hideMark/>
          </w:tcPr>
          <w:p w14:paraId="3B5AEF08"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tcBorders>
              <w:top w:val="single" w:sz="4" w:space="0" w:color="7F7F7F"/>
              <w:bottom w:val="single" w:sz="4" w:space="0" w:color="7F7F7F"/>
            </w:tcBorders>
            <w:shd w:val="clear" w:color="auto" w:fill="auto"/>
            <w:noWrap/>
            <w:vAlign w:val="center"/>
            <w:hideMark/>
          </w:tcPr>
          <w:p w14:paraId="2A90E045"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Dornoch Fm</w:t>
            </w:r>
          </w:p>
        </w:tc>
      </w:tr>
      <w:tr w:rsidR="0082516C" w:rsidRPr="00972203" w14:paraId="0FE7602E" w14:textId="77777777" w:rsidTr="0082516C">
        <w:trPr>
          <w:trHeight w:val="113"/>
          <w:jc w:val="center"/>
        </w:trPr>
        <w:tc>
          <w:tcPr>
            <w:tcW w:w="2410" w:type="dxa"/>
            <w:shd w:val="clear" w:color="auto" w:fill="auto"/>
            <w:vAlign w:val="center"/>
            <w:hideMark/>
          </w:tcPr>
          <w:p w14:paraId="3769312D"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Flugga Sandstone Member</w:t>
            </w:r>
          </w:p>
        </w:tc>
        <w:tc>
          <w:tcPr>
            <w:tcW w:w="1276" w:type="dxa"/>
            <w:shd w:val="clear" w:color="auto" w:fill="auto"/>
            <w:noWrap/>
            <w:vAlign w:val="center"/>
            <w:hideMark/>
          </w:tcPr>
          <w:p w14:paraId="599052FA"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shd w:val="clear" w:color="auto" w:fill="auto"/>
            <w:noWrap/>
            <w:vAlign w:val="center"/>
            <w:hideMark/>
          </w:tcPr>
          <w:p w14:paraId="10CC338A" w14:textId="77777777" w:rsidR="0082516C" w:rsidRPr="00972203" w:rsidRDefault="0082516C" w:rsidP="00DE6065">
            <w:pPr>
              <w:spacing w:after="0" w:line="240" w:lineRule="auto"/>
              <w:jc w:val="left"/>
              <w:rPr>
                <w:rFonts w:eastAsia="Times New Roman"/>
                <w:color w:val="000000"/>
                <w:sz w:val="18"/>
                <w:lang w:eastAsia="en-GB"/>
              </w:rPr>
            </w:pPr>
            <w:proofErr w:type="spellStart"/>
            <w:r w:rsidRPr="00972203">
              <w:rPr>
                <w:rFonts w:eastAsia="Times New Roman"/>
                <w:color w:val="000000"/>
                <w:sz w:val="18"/>
                <w:lang w:eastAsia="en-GB"/>
              </w:rPr>
              <w:t>Sele</w:t>
            </w:r>
            <w:proofErr w:type="spellEnd"/>
            <w:r w:rsidRPr="00972203">
              <w:rPr>
                <w:rFonts w:eastAsia="Times New Roman"/>
                <w:color w:val="000000"/>
                <w:sz w:val="18"/>
                <w:lang w:eastAsia="en-GB"/>
              </w:rPr>
              <w:t xml:space="preserve"> Fm</w:t>
            </w:r>
          </w:p>
        </w:tc>
      </w:tr>
      <w:tr w:rsidR="0082516C" w:rsidRPr="00972203" w14:paraId="0E6B8801" w14:textId="77777777" w:rsidTr="0082516C">
        <w:trPr>
          <w:trHeight w:val="113"/>
          <w:jc w:val="center"/>
        </w:trPr>
        <w:tc>
          <w:tcPr>
            <w:tcW w:w="2410" w:type="dxa"/>
            <w:tcBorders>
              <w:top w:val="single" w:sz="4" w:space="0" w:color="7F7F7F"/>
              <w:bottom w:val="single" w:sz="4" w:space="0" w:color="7F7F7F"/>
            </w:tcBorders>
            <w:shd w:val="clear" w:color="auto" w:fill="auto"/>
            <w:vAlign w:val="center"/>
            <w:hideMark/>
          </w:tcPr>
          <w:p w14:paraId="3A618467"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Forties 5</w:t>
            </w:r>
          </w:p>
        </w:tc>
        <w:tc>
          <w:tcPr>
            <w:tcW w:w="1276" w:type="dxa"/>
            <w:tcBorders>
              <w:top w:val="single" w:sz="4" w:space="0" w:color="7F7F7F"/>
              <w:bottom w:val="single" w:sz="4" w:space="0" w:color="7F7F7F"/>
            </w:tcBorders>
            <w:shd w:val="clear" w:color="auto" w:fill="auto"/>
            <w:noWrap/>
            <w:vAlign w:val="center"/>
            <w:hideMark/>
          </w:tcPr>
          <w:p w14:paraId="4A212607"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tcBorders>
              <w:top w:val="single" w:sz="4" w:space="0" w:color="7F7F7F"/>
              <w:bottom w:val="single" w:sz="4" w:space="0" w:color="7F7F7F"/>
            </w:tcBorders>
            <w:shd w:val="clear" w:color="auto" w:fill="auto"/>
            <w:noWrap/>
            <w:vAlign w:val="center"/>
            <w:hideMark/>
          </w:tcPr>
          <w:p w14:paraId="74BCC6BD" w14:textId="77777777" w:rsidR="0082516C" w:rsidRPr="00972203" w:rsidRDefault="0082516C" w:rsidP="00DE6065">
            <w:pPr>
              <w:spacing w:after="0" w:line="240" w:lineRule="auto"/>
              <w:jc w:val="left"/>
              <w:rPr>
                <w:rFonts w:eastAsia="Times New Roman"/>
                <w:color w:val="000000"/>
                <w:sz w:val="18"/>
                <w:lang w:eastAsia="en-GB"/>
              </w:rPr>
            </w:pPr>
            <w:proofErr w:type="spellStart"/>
            <w:r w:rsidRPr="00972203">
              <w:rPr>
                <w:rFonts w:eastAsia="Times New Roman"/>
                <w:color w:val="000000"/>
                <w:sz w:val="18"/>
                <w:lang w:eastAsia="en-GB"/>
              </w:rPr>
              <w:t>Sele</w:t>
            </w:r>
            <w:proofErr w:type="spellEnd"/>
            <w:r w:rsidRPr="00972203">
              <w:rPr>
                <w:rFonts w:eastAsia="Times New Roman"/>
                <w:color w:val="000000"/>
                <w:sz w:val="18"/>
                <w:lang w:eastAsia="en-GB"/>
              </w:rPr>
              <w:t xml:space="preserve"> Fm</w:t>
            </w:r>
          </w:p>
        </w:tc>
      </w:tr>
      <w:tr w:rsidR="0082516C" w:rsidRPr="00972203" w14:paraId="0C018AC0" w14:textId="77777777" w:rsidTr="0082516C">
        <w:trPr>
          <w:trHeight w:val="113"/>
          <w:jc w:val="center"/>
        </w:trPr>
        <w:tc>
          <w:tcPr>
            <w:tcW w:w="2410" w:type="dxa"/>
            <w:shd w:val="clear" w:color="auto" w:fill="auto"/>
            <w:vAlign w:val="center"/>
            <w:hideMark/>
          </w:tcPr>
          <w:p w14:paraId="4E4D4416"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Grid Sandstone Member</w:t>
            </w:r>
          </w:p>
        </w:tc>
        <w:tc>
          <w:tcPr>
            <w:tcW w:w="1276" w:type="dxa"/>
            <w:shd w:val="clear" w:color="auto" w:fill="auto"/>
            <w:noWrap/>
            <w:vAlign w:val="center"/>
            <w:hideMark/>
          </w:tcPr>
          <w:p w14:paraId="0539E2E7"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shd w:val="clear" w:color="auto" w:fill="auto"/>
            <w:noWrap/>
            <w:vAlign w:val="center"/>
            <w:hideMark/>
          </w:tcPr>
          <w:p w14:paraId="18C26268" w14:textId="77777777" w:rsidR="0082516C" w:rsidRPr="00972203" w:rsidRDefault="0082516C" w:rsidP="00DE6065">
            <w:pPr>
              <w:spacing w:after="0" w:line="240" w:lineRule="auto"/>
              <w:jc w:val="left"/>
              <w:rPr>
                <w:rFonts w:eastAsia="Times New Roman"/>
                <w:color w:val="000000"/>
                <w:sz w:val="18"/>
                <w:lang w:eastAsia="en-GB"/>
              </w:rPr>
            </w:pPr>
            <w:proofErr w:type="spellStart"/>
            <w:r w:rsidRPr="00972203">
              <w:rPr>
                <w:rFonts w:eastAsia="Times New Roman"/>
                <w:color w:val="000000"/>
                <w:sz w:val="18"/>
                <w:lang w:eastAsia="en-GB"/>
              </w:rPr>
              <w:t>Horda</w:t>
            </w:r>
            <w:proofErr w:type="spellEnd"/>
            <w:r w:rsidRPr="00972203">
              <w:rPr>
                <w:rFonts w:eastAsia="Times New Roman"/>
                <w:color w:val="000000"/>
                <w:sz w:val="18"/>
                <w:lang w:eastAsia="en-GB"/>
              </w:rPr>
              <w:t xml:space="preserve"> Fm</w:t>
            </w:r>
          </w:p>
        </w:tc>
      </w:tr>
      <w:tr w:rsidR="0082516C" w:rsidRPr="00972203" w14:paraId="55942F8B" w14:textId="77777777" w:rsidTr="0082516C">
        <w:trPr>
          <w:trHeight w:val="113"/>
          <w:jc w:val="center"/>
        </w:trPr>
        <w:tc>
          <w:tcPr>
            <w:tcW w:w="2410" w:type="dxa"/>
            <w:tcBorders>
              <w:top w:val="single" w:sz="4" w:space="0" w:color="7F7F7F"/>
              <w:bottom w:val="single" w:sz="4" w:space="0" w:color="7F7F7F"/>
            </w:tcBorders>
            <w:shd w:val="clear" w:color="auto" w:fill="auto"/>
            <w:vAlign w:val="center"/>
            <w:hideMark/>
          </w:tcPr>
          <w:p w14:paraId="32349AA1" w14:textId="77777777" w:rsidR="0082516C" w:rsidRPr="00972203" w:rsidRDefault="0082516C" w:rsidP="00DE6065">
            <w:pPr>
              <w:spacing w:after="0" w:line="240" w:lineRule="auto"/>
              <w:jc w:val="left"/>
              <w:rPr>
                <w:rFonts w:eastAsia="Times New Roman"/>
                <w:b/>
                <w:bCs/>
                <w:color w:val="000000"/>
                <w:sz w:val="18"/>
                <w:lang w:eastAsia="en-GB"/>
              </w:rPr>
            </w:pPr>
            <w:proofErr w:type="spellStart"/>
            <w:r w:rsidRPr="00972203">
              <w:rPr>
                <w:rFonts w:eastAsia="Times New Roman"/>
                <w:b/>
                <w:bCs/>
                <w:color w:val="000000"/>
                <w:sz w:val="18"/>
                <w:lang w:eastAsia="en-GB"/>
              </w:rPr>
              <w:t>Heimdal</w:t>
            </w:r>
            <w:proofErr w:type="spellEnd"/>
            <w:r w:rsidRPr="00972203">
              <w:rPr>
                <w:rFonts w:eastAsia="Times New Roman"/>
                <w:b/>
                <w:bCs/>
                <w:color w:val="000000"/>
                <w:sz w:val="18"/>
                <w:lang w:eastAsia="en-GB"/>
              </w:rPr>
              <w:t xml:space="preserve"> Sandstone Member</w:t>
            </w:r>
          </w:p>
        </w:tc>
        <w:tc>
          <w:tcPr>
            <w:tcW w:w="1276" w:type="dxa"/>
            <w:tcBorders>
              <w:top w:val="single" w:sz="4" w:space="0" w:color="7F7F7F"/>
              <w:bottom w:val="single" w:sz="4" w:space="0" w:color="7F7F7F"/>
            </w:tcBorders>
            <w:shd w:val="clear" w:color="auto" w:fill="auto"/>
            <w:noWrap/>
            <w:vAlign w:val="center"/>
            <w:hideMark/>
          </w:tcPr>
          <w:p w14:paraId="271CD2C7"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tcBorders>
              <w:top w:val="single" w:sz="4" w:space="0" w:color="7F7F7F"/>
              <w:bottom w:val="single" w:sz="4" w:space="0" w:color="7F7F7F"/>
            </w:tcBorders>
            <w:shd w:val="clear" w:color="auto" w:fill="auto"/>
            <w:noWrap/>
            <w:vAlign w:val="center"/>
            <w:hideMark/>
          </w:tcPr>
          <w:p w14:paraId="17CEF04A"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Lista Fm</w:t>
            </w:r>
          </w:p>
        </w:tc>
      </w:tr>
      <w:tr w:rsidR="0082516C" w:rsidRPr="00972203" w14:paraId="4FEEEBA0" w14:textId="77777777" w:rsidTr="0082516C">
        <w:trPr>
          <w:trHeight w:val="113"/>
          <w:jc w:val="center"/>
        </w:trPr>
        <w:tc>
          <w:tcPr>
            <w:tcW w:w="2410" w:type="dxa"/>
            <w:shd w:val="clear" w:color="auto" w:fill="auto"/>
            <w:vAlign w:val="center"/>
            <w:hideMark/>
          </w:tcPr>
          <w:p w14:paraId="30F0D1D2"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Maureen 2</w:t>
            </w:r>
          </w:p>
        </w:tc>
        <w:tc>
          <w:tcPr>
            <w:tcW w:w="1276" w:type="dxa"/>
            <w:shd w:val="clear" w:color="auto" w:fill="auto"/>
            <w:noWrap/>
            <w:vAlign w:val="center"/>
            <w:hideMark/>
          </w:tcPr>
          <w:p w14:paraId="21AE3577"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shd w:val="clear" w:color="auto" w:fill="auto"/>
            <w:noWrap/>
            <w:vAlign w:val="center"/>
            <w:hideMark/>
          </w:tcPr>
          <w:p w14:paraId="3345D758"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Maureen Fm</w:t>
            </w:r>
          </w:p>
        </w:tc>
      </w:tr>
      <w:tr w:rsidR="0082516C" w:rsidRPr="00972203" w14:paraId="1865095B" w14:textId="77777777" w:rsidTr="0082516C">
        <w:trPr>
          <w:trHeight w:val="113"/>
          <w:jc w:val="center"/>
        </w:trPr>
        <w:tc>
          <w:tcPr>
            <w:tcW w:w="2410" w:type="dxa"/>
            <w:tcBorders>
              <w:top w:val="single" w:sz="4" w:space="0" w:color="7F7F7F"/>
              <w:bottom w:val="single" w:sz="4" w:space="0" w:color="7F7F7F"/>
            </w:tcBorders>
            <w:shd w:val="clear" w:color="auto" w:fill="auto"/>
            <w:vAlign w:val="center"/>
            <w:hideMark/>
          </w:tcPr>
          <w:p w14:paraId="1BD22E9F" w14:textId="77777777" w:rsidR="0082516C" w:rsidRPr="00972203" w:rsidRDefault="0082516C" w:rsidP="00DE6065">
            <w:pPr>
              <w:spacing w:after="0" w:line="240" w:lineRule="auto"/>
              <w:jc w:val="left"/>
              <w:rPr>
                <w:rFonts w:eastAsia="Times New Roman"/>
                <w:b/>
                <w:bCs/>
                <w:color w:val="000000"/>
                <w:sz w:val="18"/>
                <w:lang w:eastAsia="en-GB"/>
              </w:rPr>
            </w:pPr>
            <w:proofErr w:type="spellStart"/>
            <w:r w:rsidRPr="00972203">
              <w:rPr>
                <w:rFonts w:eastAsia="Times New Roman"/>
                <w:b/>
                <w:bCs/>
                <w:color w:val="000000"/>
                <w:sz w:val="18"/>
                <w:lang w:eastAsia="en-GB"/>
              </w:rPr>
              <w:t>Mey</w:t>
            </w:r>
            <w:proofErr w:type="spellEnd"/>
            <w:r w:rsidRPr="00972203">
              <w:rPr>
                <w:rFonts w:eastAsia="Times New Roman"/>
                <w:b/>
                <w:bCs/>
                <w:color w:val="000000"/>
                <w:sz w:val="18"/>
                <w:lang w:eastAsia="en-GB"/>
              </w:rPr>
              <w:t xml:space="preserve"> 5</w:t>
            </w:r>
          </w:p>
        </w:tc>
        <w:tc>
          <w:tcPr>
            <w:tcW w:w="1276" w:type="dxa"/>
            <w:tcBorders>
              <w:top w:val="single" w:sz="4" w:space="0" w:color="7F7F7F"/>
              <w:bottom w:val="single" w:sz="4" w:space="0" w:color="7F7F7F"/>
            </w:tcBorders>
            <w:shd w:val="clear" w:color="auto" w:fill="auto"/>
            <w:noWrap/>
            <w:vAlign w:val="center"/>
            <w:hideMark/>
          </w:tcPr>
          <w:p w14:paraId="695346E7"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tcBorders>
              <w:top w:val="single" w:sz="4" w:space="0" w:color="7F7F7F"/>
              <w:bottom w:val="single" w:sz="4" w:space="0" w:color="7F7F7F"/>
            </w:tcBorders>
            <w:shd w:val="clear" w:color="auto" w:fill="auto"/>
            <w:noWrap/>
            <w:vAlign w:val="center"/>
            <w:hideMark/>
          </w:tcPr>
          <w:p w14:paraId="3AD3EE26"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Lista Fm</w:t>
            </w:r>
          </w:p>
        </w:tc>
      </w:tr>
      <w:tr w:rsidR="0082516C" w:rsidRPr="00972203" w14:paraId="082134CE" w14:textId="77777777" w:rsidTr="0082516C">
        <w:trPr>
          <w:trHeight w:val="113"/>
          <w:jc w:val="center"/>
        </w:trPr>
        <w:tc>
          <w:tcPr>
            <w:tcW w:w="2410" w:type="dxa"/>
            <w:shd w:val="clear" w:color="auto" w:fill="auto"/>
            <w:vAlign w:val="center"/>
            <w:hideMark/>
          </w:tcPr>
          <w:p w14:paraId="7724B0F6"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Pentland_016_21b*</w:t>
            </w:r>
          </w:p>
        </w:tc>
        <w:tc>
          <w:tcPr>
            <w:tcW w:w="1276" w:type="dxa"/>
            <w:shd w:val="clear" w:color="auto" w:fill="auto"/>
            <w:noWrap/>
            <w:vAlign w:val="center"/>
            <w:hideMark/>
          </w:tcPr>
          <w:p w14:paraId="55A5C374"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shd w:val="clear" w:color="auto" w:fill="auto"/>
            <w:noWrap/>
            <w:vAlign w:val="center"/>
            <w:hideMark/>
          </w:tcPr>
          <w:p w14:paraId="53481D2B"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Pentland Fm</w:t>
            </w:r>
          </w:p>
        </w:tc>
      </w:tr>
      <w:tr w:rsidR="0082516C" w:rsidRPr="00972203" w14:paraId="503CF873" w14:textId="77777777" w:rsidTr="0082516C">
        <w:trPr>
          <w:trHeight w:val="113"/>
          <w:jc w:val="center"/>
        </w:trPr>
        <w:tc>
          <w:tcPr>
            <w:tcW w:w="2410" w:type="dxa"/>
            <w:tcBorders>
              <w:top w:val="single" w:sz="4" w:space="0" w:color="7F7F7F"/>
              <w:bottom w:val="single" w:sz="4" w:space="0" w:color="7F7F7F"/>
            </w:tcBorders>
            <w:shd w:val="clear" w:color="auto" w:fill="auto"/>
            <w:vAlign w:val="center"/>
            <w:hideMark/>
          </w:tcPr>
          <w:p w14:paraId="7CF366B9"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Pibroch_015_21</w:t>
            </w:r>
          </w:p>
        </w:tc>
        <w:tc>
          <w:tcPr>
            <w:tcW w:w="1276" w:type="dxa"/>
            <w:tcBorders>
              <w:top w:val="single" w:sz="4" w:space="0" w:color="7F7F7F"/>
              <w:bottom w:val="single" w:sz="4" w:space="0" w:color="7F7F7F"/>
            </w:tcBorders>
            <w:shd w:val="clear" w:color="auto" w:fill="auto"/>
            <w:noWrap/>
            <w:vAlign w:val="center"/>
            <w:hideMark/>
          </w:tcPr>
          <w:p w14:paraId="20B8C7A3"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tcBorders>
              <w:top w:val="single" w:sz="4" w:space="0" w:color="7F7F7F"/>
              <w:bottom w:val="single" w:sz="4" w:space="0" w:color="7F7F7F"/>
            </w:tcBorders>
            <w:shd w:val="clear" w:color="auto" w:fill="auto"/>
            <w:noWrap/>
            <w:vAlign w:val="center"/>
            <w:hideMark/>
          </w:tcPr>
          <w:p w14:paraId="6BCF7893"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Piper Fm</w:t>
            </w:r>
          </w:p>
        </w:tc>
      </w:tr>
      <w:tr w:rsidR="0082516C" w:rsidRPr="00972203" w14:paraId="1CFE12AE" w14:textId="77777777" w:rsidTr="0082516C">
        <w:trPr>
          <w:trHeight w:val="113"/>
          <w:jc w:val="center"/>
        </w:trPr>
        <w:tc>
          <w:tcPr>
            <w:tcW w:w="2410" w:type="dxa"/>
            <w:shd w:val="clear" w:color="auto" w:fill="auto"/>
            <w:vAlign w:val="center"/>
            <w:hideMark/>
          </w:tcPr>
          <w:p w14:paraId="4E14382E"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Piper Oil Field</w:t>
            </w:r>
          </w:p>
        </w:tc>
        <w:tc>
          <w:tcPr>
            <w:tcW w:w="1276" w:type="dxa"/>
            <w:shd w:val="clear" w:color="auto" w:fill="auto"/>
            <w:noWrap/>
            <w:vAlign w:val="center"/>
            <w:hideMark/>
          </w:tcPr>
          <w:p w14:paraId="78BC25D5"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Oil &amp; Gas field</w:t>
            </w:r>
          </w:p>
        </w:tc>
        <w:tc>
          <w:tcPr>
            <w:tcW w:w="1843" w:type="dxa"/>
            <w:shd w:val="clear" w:color="auto" w:fill="auto"/>
            <w:noWrap/>
            <w:vAlign w:val="center"/>
            <w:hideMark/>
          </w:tcPr>
          <w:p w14:paraId="65045683"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Piper Fm</w:t>
            </w:r>
          </w:p>
        </w:tc>
      </w:tr>
      <w:tr w:rsidR="0082516C" w:rsidRPr="00972203" w14:paraId="4BE123B8" w14:textId="77777777" w:rsidTr="0082516C">
        <w:trPr>
          <w:trHeight w:val="113"/>
          <w:jc w:val="center"/>
        </w:trPr>
        <w:tc>
          <w:tcPr>
            <w:tcW w:w="2410" w:type="dxa"/>
            <w:tcBorders>
              <w:top w:val="single" w:sz="4" w:space="0" w:color="7F7F7F"/>
              <w:bottom w:val="single" w:sz="4" w:space="0" w:color="7F7F7F"/>
            </w:tcBorders>
            <w:shd w:val="clear" w:color="auto" w:fill="auto"/>
            <w:hideMark/>
          </w:tcPr>
          <w:p w14:paraId="5A1F4DEA" w14:textId="77777777" w:rsidR="0082516C" w:rsidRPr="00972203" w:rsidRDefault="0082516C" w:rsidP="00DE6065">
            <w:pPr>
              <w:spacing w:after="0" w:line="240" w:lineRule="auto"/>
              <w:jc w:val="left"/>
              <w:rPr>
                <w:rFonts w:eastAsia="Times New Roman"/>
                <w:b/>
                <w:bCs/>
                <w:color w:val="000000"/>
                <w:sz w:val="18"/>
                <w:lang w:eastAsia="en-GB"/>
              </w:rPr>
            </w:pPr>
            <w:r w:rsidRPr="00972203">
              <w:rPr>
                <w:rFonts w:eastAsia="Times New Roman"/>
                <w:b/>
                <w:bCs/>
                <w:color w:val="000000"/>
                <w:sz w:val="18"/>
                <w:lang w:eastAsia="en-GB"/>
              </w:rPr>
              <w:t>Scapa_014_20</w:t>
            </w:r>
          </w:p>
        </w:tc>
        <w:tc>
          <w:tcPr>
            <w:tcW w:w="1276" w:type="dxa"/>
            <w:tcBorders>
              <w:top w:val="single" w:sz="4" w:space="0" w:color="7F7F7F"/>
              <w:bottom w:val="single" w:sz="4" w:space="0" w:color="7F7F7F"/>
            </w:tcBorders>
            <w:shd w:val="clear" w:color="auto" w:fill="auto"/>
            <w:noWrap/>
            <w:hideMark/>
          </w:tcPr>
          <w:p w14:paraId="7DFCE664" w14:textId="77777777" w:rsidR="0082516C" w:rsidRPr="00972203" w:rsidRDefault="0082516C" w:rsidP="00DE6065">
            <w:pPr>
              <w:spacing w:after="0" w:line="240" w:lineRule="auto"/>
              <w:jc w:val="left"/>
              <w:rPr>
                <w:rFonts w:eastAsia="Times New Roman"/>
                <w:color w:val="000000"/>
                <w:sz w:val="18"/>
                <w:lang w:eastAsia="en-GB"/>
              </w:rPr>
            </w:pPr>
            <w:r w:rsidRPr="00972203">
              <w:rPr>
                <w:rFonts w:eastAsia="Times New Roman"/>
                <w:color w:val="000000"/>
                <w:sz w:val="18"/>
                <w:lang w:eastAsia="en-GB"/>
              </w:rPr>
              <w:t>Saline Aquifer</w:t>
            </w:r>
          </w:p>
        </w:tc>
        <w:tc>
          <w:tcPr>
            <w:tcW w:w="1843" w:type="dxa"/>
            <w:tcBorders>
              <w:top w:val="single" w:sz="4" w:space="0" w:color="7F7F7F"/>
              <w:bottom w:val="single" w:sz="4" w:space="0" w:color="7F7F7F"/>
            </w:tcBorders>
            <w:shd w:val="clear" w:color="auto" w:fill="auto"/>
            <w:noWrap/>
            <w:hideMark/>
          </w:tcPr>
          <w:p w14:paraId="6A1F891B" w14:textId="77777777" w:rsidR="0082516C" w:rsidRPr="00972203" w:rsidRDefault="0082516C" w:rsidP="00DE6065">
            <w:pPr>
              <w:spacing w:after="0" w:line="240" w:lineRule="auto"/>
              <w:jc w:val="left"/>
              <w:rPr>
                <w:rFonts w:eastAsia="Times New Roman"/>
                <w:color w:val="000000"/>
                <w:sz w:val="18"/>
                <w:lang w:eastAsia="en-GB"/>
              </w:rPr>
            </w:pPr>
            <w:proofErr w:type="spellStart"/>
            <w:r w:rsidRPr="00972203">
              <w:rPr>
                <w:rFonts w:eastAsia="Times New Roman"/>
                <w:color w:val="000000"/>
                <w:sz w:val="18"/>
                <w:lang w:eastAsia="en-GB"/>
              </w:rPr>
              <w:t>Valhall</w:t>
            </w:r>
            <w:proofErr w:type="spellEnd"/>
            <w:r w:rsidRPr="00972203">
              <w:rPr>
                <w:rFonts w:eastAsia="Times New Roman"/>
                <w:color w:val="000000"/>
                <w:sz w:val="18"/>
                <w:lang w:eastAsia="en-GB"/>
              </w:rPr>
              <w:t xml:space="preserve"> Fm</w:t>
            </w:r>
          </w:p>
        </w:tc>
      </w:tr>
    </w:tbl>
    <w:p w14:paraId="17241DB1" w14:textId="2A36234D" w:rsidR="00264BC9" w:rsidRDefault="008E3229" w:rsidP="008E3229">
      <w:pPr>
        <w:pStyle w:val="Caption"/>
      </w:pPr>
      <w:r>
        <w:t xml:space="preserve">Table </w:t>
      </w:r>
      <w:fldSimple w:instr=" SEQ Table \* ARABIC ">
        <w:r w:rsidR="00300235">
          <w:rPr>
            <w:noProof/>
          </w:rPr>
          <w:t>2</w:t>
        </w:r>
      </w:fldSimple>
      <w:r>
        <w:t xml:space="preserve">: </w:t>
      </w:r>
      <w:r w:rsidRPr="000F67DF">
        <w:t xml:space="preserve">Final fifteen sites selected after the </w:t>
      </w:r>
      <w:r w:rsidR="0077255F">
        <w:t>initial</w:t>
      </w:r>
      <w:r w:rsidR="00DE6065">
        <w:t xml:space="preserve"> </w:t>
      </w:r>
      <w:r w:rsidRPr="000F67DF">
        <w:t>screening process</w:t>
      </w:r>
      <w:r w:rsidR="0077255F">
        <w:t>es</w:t>
      </w:r>
      <w:r w:rsidRPr="000F67DF">
        <w:t>. Sites with an asterisk * mark the two sites with more than one subdivision in CO</w:t>
      </w:r>
      <w:r w:rsidRPr="00157F42">
        <w:rPr>
          <w:vertAlign w:val="subscript"/>
        </w:rPr>
        <w:t>2</w:t>
      </w:r>
      <w:r w:rsidRPr="000F67DF">
        <w:t>Stored that passed all screening criteria; in these cases, the subdivision with the greatest P50 capacity were se</w:t>
      </w:r>
      <w:r>
        <w:t>lected.</w:t>
      </w:r>
    </w:p>
    <w:p w14:paraId="4A3133B9" w14:textId="77777777" w:rsidR="008E3229" w:rsidRPr="008E3229" w:rsidRDefault="008E3229" w:rsidP="008E3229"/>
    <w:p w14:paraId="5F93CC97" w14:textId="77777777" w:rsidR="004D1F71" w:rsidRPr="00972203" w:rsidRDefault="004D1F71" w:rsidP="002B2A02">
      <w:pPr>
        <w:pStyle w:val="Heading2"/>
      </w:pPr>
      <w:r w:rsidRPr="00972203">
        <w:t>Ranking</w:t>
      </w:r>
    </w:p>
    <w:p w14:paraId="1C21C244" w14:textId="49E67176" w:rsidR="00C21397" w:rsidRPr="00972203" w:rsidRDefault="00902B91" w:rsidP="007539E0">
      <w:pPr>
        <w:pStyle w:val="BodyText"/>
        <w:spacing w:after="120" w:line="276" w:lineRule="auto"/>
        <w:rPr>
          <w:sz w:val="22"/>
          <w:szCs w:val="22"/>
          <w:lang w:val="en-GB"/>
        </w:rPr>
      </w:pPr>
      <w:r>
        <w:rPr>
          <w:sz w:val="22"/>
          <w:szCs w:val="22"/>
          <w:lang w:val="en-GB"/>
        </w:rPr>
        <w:t>From a purely technical point of view</w:t>
      </w:r>
      <w:r w:rsidR="004D1F71" w:rsidRPr="00972203">
        <w:rPr>
          <w:sz w:val="22"/>
          <w:szCs w:val="22"/>
          <w:lang w:val="en-GB"/>
        </w:rPr>
        <w:t xml:space="preserve">, all </w:t>
      </w:r>
      <w:r w:rsidR="0077255F">
        <w:rPr>
          <w:sz w:val="22"/>
          <w:szCs w:val="22"/>
          <w:lang w:val="en-GB"/>
        </w:rPr>
        <w:t xml:space="preserve">of </w:t>
      </w:r>
      <w:r w:rsidR="00042F5F" w:rsidRPr="00972203">
        <w:rPr>
          <w:sz w:val="22"/>
          <w:szCs w:val="22"/>
          <w:lang w:val="en-GB"/>
        </w:rPr>
        <w:t xml:space="preserve">the </w:t>
      </w:r>
      <w:r w:rsidR="004D1F71" w:rsidRPr="00972203">
        <w:rPr>
          <w:sz w:val="22"/>
          <w:szCs w:val="22"/>
          <w:lang w:val="en-GB"/>
        </w:rPr>
        <w:t>15</w:t>
      </w:r>
      <w:r w:rsidR="00DC7EE0">
        <w:rPr>
          <w:sz w:val="22"/>
          <w:szCs w:val="22"/>
          <w:lang w:val="en-GB"/>
        </w:rPr>
        <w:t xml:space="preserve"> ‘most suitable</w:t>
      </w:r>
      <w:r w:rsidR="004D1F71" w:rsidRPr="00972203">
        <w:rPr>
          <w:sz w:val="22"/>
          <w:szCs w:val="22"/>
          <w:lang w:val="en-GB"/>
        </w:rPr>
        <w:t xml:space="preserve"> sites</w:t>
      </w:r>
      <w:r w:rsidR="00DC7EE0">
        <w:rPr>
          <w:sz w:val="22"/>
          <w:szCs w:val="22"/>
          <w:lang w:val="en-GB"/>
        </w:rPr>
        <w:t>’</w:t>
      </w:r>
      <w:r w:rsidR="004D1F71" w:rsidRPr="00972203">
        <w:rPr>
          <w:sz w:val="22"/>
          <w:szCs w:val="22"/>
          <w:lang w:val="en-GB"/>
        </w:rPr>
        <w:t xml:space="preserve"> </w:t>
      </w:r>
      <w:r w:rsidR="00042F5F" w:rsidRPr="00972203">
        <w:rPr>
          <w:sz w:val="22"/>
          <w:szCs w:val="22"/>
          <w:lang w:val="en-GB"/>
        </w:rPr>
        <w:t>that remained</w:t>
      </w:r>
      <w:r w:rsidR="004D1F71" w:rsidRPr="00972203">
        <w:rPr>
          <w:sz w:val="22"/>
          <w:szCs w:val="22"/>
          <w:lang w:val="en-GB"/>
        </w:rPr>
        <w:t xml:space="preserve"> after the screening stage are suitable candidates to be</w:t>
      </w:r>
      <w:r>
        <w:rPr>
          <w:sz w:val="22"/>
          <w:szCs w:val="22"/>
          <w:lang w:val="en-GB"/>
        </w:rPr>
        <w:t>come</w:t>
      </w:r>
      <w:r w:rsidR="004D1F71" w:rsidRPr="00972203">
        <w:rPr>
          <w:sz w:val="22"/>
          <w:szCs w:val="22"/>
          <w:lang w:val="en-GB"/>
        </w:rPr>
        <w:t xml:space="preserve"> </w:t>
      </w:r>
      <w:r w:rsidR="00042F5F" w:rsidRPr="00972203">
        <w:rPr>
          <w:sz w:val="22"/>
          <w:szCs w:val="22"/>
          <w:lang w:val="en-GB"/>
        </w:rPr>
        <w:t>S</w:t>
      </w:r>
      <w:r w:rsidR="004D1F71" w:rsidRPr="00972203">
        <w:rPr>
          <w:sz w:val="22"/>
          <w:szCs w:val="22"/>
          <w:lang w:val="en-GB"/>
        </w:rPr>
        <w:t>ite 2</w:t>
      </w:r>
      <w:r w:rsidR="0077255F">
        <w:rPr>
          <w:sz w:val="22"/>
          <w:szCs w:val="22"/>
          <w:lang w:val="en-GB"/>
        </w:rPr>
        <w:t>;</w:t>
      </w:r>
      <w:r w:rsidR="0077255F" w:rsidRPr="00972203">
        <w:rPr>
          <w:sz w:val="22"/>
          <w:szCs w:val="22"/>
          <w:lang w:val="en-GB"/>
        </w:rPr>
        <w:t xml:space="preserve"> </w:t>
      </w:r>
      <w:r w:rsidR="004D1F71" w:rsidRPr="00972203">
        <w:rPr>
          <w:sz w:val="22"/>
          <w:szCs w:val="22"/>
          <w:lang w:val="en-GB"/>
        </w:rPr>
        <w:t xml:space="preserve">these sites all comply with the criteria </w:t>
      </w:r>
      <w:r w:rsidR="00294D39">
        <w:rPr>
          <w:sz w:val="22"/>
          <w:szCs w:val="22"/>
          <w:lang w:val="en-GB"/>
        </w:rPr>
        <w:t>employed</w:t>
      </w:r>
      <w:r w:rsidR="00294D39" w:rsidRPr="00972203">
        <w:rPr>
          <w:sz w:val="22"/>
          <w:szCs w:val="22"/>
          <w:lang w:val="en-GB"/>
        </w:rPr>
        <w:t xml:space="preserve"> </w:t>
      </w:r>
      <w:r w:rsidR="004D1F71" w:rsidRPr="00972203">
        <w:rPr>
          <w:sz w:val="22"/>
          <w:szCs w:val="22"/>
          <w:lang w:val="en-GB"/>
        </w:rPr>
        <w:t>in the basis of design and the site screening stage</w:t>
      </w:r>
      <w:r w:rsidR="0077255F">
        <w:rPr>
          <w:sz w:val="22"/>
          <w:szCs w:val="22"/>
          <w:lang w:val="en-GB"/>
        </w:rPr>
        <w:t>s</w:t>
      </w:r>
      <w:r w:rsidR="004D1F71" w:rsidRPr="00972203">
        <w:rPr>
          <w:sz w:val="22"/>
          <w:szCs w:val="22"/>
          <w:lang w:val="en-GB"/>
        </w:rPr>
        <w:t>. However, the binary method used in the previous stages (</w:t>
      </w:r>
      <w:proofErr w:type="gramStart"/>
      <w:r w:rsidR="004D1F71" w:rsidRPr="00972203">
        <w:rPr>
          <w:sz w:val="22"/>
          <w:szCs w:val="22"/>
          <w:lang w:val="en-GB"/>
        </w:rPr>
        <w:t>i.e.</w:t>
      </w:r>
      <w:proofErr w:type="gramEnd"/>
      <w:r w:rsidR="004D1F71" w:rsidRPr="00972203">
        <w:rPr>
          <w:sz w:val="22"/>
          <w:szCs w:val="22"/>
          <w:lang w:val="en-GB"/>
        </w:rPr>
        <w:t xml:space="preserve"> </w:t>
      </w:r>
      <w:r w:rsidR="0077255F">
        <w:rPr>
          <w:sz w:val="22"/>
          <w:szCs w:val="22"/>
          <w:lang w:val="en-GB"/>
        </w:rPr>
        <w:t>“</w:t>
      </w:r>
      <w:r w:rsidR="00806B66">
        <w:rPr>
          <w:sz w:val="22"/>
          <w:szCs w:val="22"/>
          <w:lang w:val="en-GB"/>
        </w:rPr>
        <w:t>met</w:t>
      </w:r>
      <w:r w:rsidR="0077255F">
        <w:rPr>
          <w:sz w:val="22"/>
          <w:szCs w:val="22"/>
          <w:lang w:val="en-GB"/>
        </w:rPr>
        <w:t>”</w:t>
      </w:r>
      <w:r w:rsidR="004D1F71" w:rsidRPr="00972203">
        <w:rPr>
          <w:sz w:val="22"/>
          <w:szCs w:val="22"/>
          <w:lang w:val="en-GB"/>
        </w:rPr>
        <w:t xml:space="preserve"> or </w:t>
      </w:r>
      <w:r w:rsidR="0077255F">
        <w:rPr>
          <w:sz w:val="22"/>
          <w:szCs w:val="22"/>
          <w:lang w:val="en-GB"/>
        </w:rPr>
        <w:t>“</w:t>
      </w:r>
      <w:r w:rsidR="004D1F71" w:rsidRPr="00972203">
        <w:rPr>
          <w:sz w:val="22"/>
          <w:szCs w:val="22"/>
          <w:lang w:val="en-GB"/>
        </w:rPr>
        <w:t xml:space="preserve">not </w:t>
      </w:r>
      <w:r w:rsidR="00806B66">
        <w:rPr>
          <w:sz w:val="22"/>
          <w:szCs w:val="22"/>
          <w:lang w:val="en-GB"/>
        </w:rPr>
        <w:t>met</w:t>
      </w:r>
      <w:r w:rsidR="0077255F">
        <w:rPr>
          <w:sz w:val="22"/>
          <w:szCs w:val="22"/>
          <w:lang w:val="en-GB"/>
        </w:rPr>
        <w:t>”</w:t>
      </w:r>
      <w:r w:rsidR="004D1F71" w:rsidRPr="00972203">
        <w:rPr>
          <w:sz w:val="22"/>
          <w:szCs w:val="22"/>
          <w:lang w:val="en-GB"/>
        </w:rPr>
        <w:t xml:space="preserve"> with the criteria) is not sufficient to select the final site, </w:t>
      </w:r>
      <w:r w:rsidR="007539E0">
        <w:rPr>
          <w:sz w:val="22"/>
          <w:szCs w:val="22"/>
          <w:lang w:val="en-GB"/>
        </w:rPr>
        <w:t>and a new type of analysis must be used to decide whether certain sites are more suitable than others. We therefore used a</w:t>
      </w:r>
      <w:r w:rsidR="004D1F71" w:rsidRPr="00972203">
        <w:rPr>
          <w:sz w:val="22"/>
          <w:szCs w:val="22"/>
          <w:lang w:val="en-GB"/>
        </w:rPr>
        <w:t xml:space="preserve"> more quantitative ranking </w:t>
      </w:r>
      <w:r w:rsidR="00636C4C">
        <w:rPr>
          <w:sz w:val="22"/>
          <w:szCs w:val="22"/>
          <w:lang w:val="en-GB"/>
        </w:rPr>
        <w:t>strategy</w:t>
      </w:r>
      <w:r w:rsidR="00636C4C" w:rsidRPr="00972203">
        <w:rPr>
          <w:sz w:val="22"/>
          <w:szCs w:val="22"/>
          <w:lang w:val="en-GB"/>
        </w:rPr>
        <w:t xml:space="preserve"> </w:t>
      </w:r>
      <w:r w:rsidR="004D1F71" w:rsidRPr="00972203">
        <w:rPr>
          <w:sz w:val="22"/>
          <w:szCs w:val="22"/>
          <w:lang w:val="en-GB"/>
        </w:rPr>
        <w:t xml:space="preserve">to </w:t>
      </w:r>
      <w:r w:rsidR="00C21397" w:rsidRPr="00972203">
        <w:rPr>
          <w:sz w:val="22"/>
          <w:szCs w:val="22"/>
          <w:lang w:val="en-GB"/>
        </w:rPr>
        <w:t xml:space="preserve">decide which </w:t>
      </w:r>
      <w:r w:rsidR="00A73A1C" w:rsidRPr="00972203">
        <w:rPr>
          <w:sz w:val="22"/>
          <w:szCs w:val="22"/>
          <w:lang w:val="en-GB"/>
        </w:rPr>
        <w:t xml:space="preserve">of the most suitable </w:t>
      </w:r>
      <w:r w:rsidR="00C21397" w:rsidRPr="00972203">
        <w:rPr>
          <w:sz w:val="22"/>
          <w:szCs w:val="22"/>
          <w:lang w:val="en-GB"/>
        </w:rPr>
        <w:t xml:space="preserve">sites will </w:t>
      </w:r>
      <w:r w:rsidR="00A73A1C" w:rsidRPr="00972203">
        <w:rPr>
          <w:sz w:val="22"/>
          <w:szCs w:val="22"/>
          <w:lang w:val="en-GB"/>
        </w:rPr>
        <w:t>be shortlisted</w:t>
      </w:r>
      <w:r w:rsidR="00C21397" w:rsidRPr="00972203">
        <w:rPr>
          <w:sz w:val="22"/>
          <w:szCs w:val="22"/>
          <w:lang w:val="en-GB"/>
        </w:rPr>
        <w:t xml:space="preserve"> to the due diligence stage</w:t>
      </w:r>
      <w:r w:rsidR="00A73A1C" w:rsidRPr="00972203">
        <w:rPr>
          <w:sz w:val="22"/>
          <w:szCs w:val="22"/>
          <w:lang w:val="en-GB"/>
        </w:rPr>
        <w:t xml:space="preserve"> </w:t>
      </w:r>
      <w:r w:rsidR="007539E0" w:rsidRPr="00972203">
        <w:rPr>
          <w:sz w:val="22"/>
          <w:szCs w:val="22"/>
          <w:lang w:val="en-GB"/>
        </w:rPr>
        <w:t>(</w:t>
      </w:r>
      <w:r w:rsidR="007539E0">
        <w:rPr>
          <w:sz w:val="22"/>
          <w:szCs w:val="22"/>
          <w:lang w:val="en-GB"/>
        </w:rPr>
        <w:t>Figure 2</w:t>
      </w:r>
      <w:r w:rsidR="00A73A1C" w:rsidRPr="00972203">
        <w:rPr>
          <w:sz w:val="22"/>
          <w:szCs w:val="22"/>
          <w:lang w:val="en-GB"/>
        </w:rPr>
        <w:t>)</w:t>
      </w:r>
      <w:r w:rsidR="004D1F71" w:rsidRPr="00972203">
        <w:rPr>
          <w:sz w:val="22"/>
          <w:szCs w:val="22"/>
          <w:lang w:val="en-GB"/>
        </w:rPr>
        <w:t xml:space="preserve">. </w:t>
      </w:r>
    </w:p>
    <w:p w14:paraId="441CAD06" w14:textId="2F0620C8" w:rsidR="004D1F71" w:rsidRPr="00972203" w:rsidRDefault="004D1F71" w:rsidP="004D1F71">
      <w:pPr>
        <w:pStyle w:val="BodyText"/>
        <w:spacing w:after="120" w:line="276" w:lineRule="auto"/>
        <w:rPr>
          <w:sz w:val="22"/>
          <w:szCs w:val="22"/>
          <w:lang w:val="en-GB"/>
        </w:rPr>
      </w:pPr>
      <w:r w:rsidRPr="00972203">
        <w:rPr>
          <w:sz w:val="22"/>
          <w:szCs w:val="22"/>
          <w:lang w:val="en-GB"/>
        </w:rPr>
        <w:t xml:space="preserve">The applied ranking methodology developed for this project draws on the learning outcomes from the </w:t>
      </w:r>
      <w:r w:rsidR="008C4EB5" w:rsidRPr="00972203">
        <w:rPr>
          <w:sz w:val="22"/>
          <w:szCs w:val="22"/>
          <w:lang w:val="en-GB"/>
        </w:rPr>
        <w:t>SSAP</w:t>
      </w:r>
      <w:r w:rsidRPr="00972203">
        <w:rPr>
          <w:sz w:val="22"/>
          <w:szCs w:val="22"/>
          <w:lang w:val="en-GB"/>
        </w:rPr>
        <w:t xml:space="preserve"> project</w:t>
      </w:r>
      <w:r w:rsidR="00A73A1C" w:rsidRPr="00972203">
        <w:rPr>
          <w:sz w:val="22"/>
          <w:szCs w:val="22"/>
          <w:lang w:val="en-GB"/>
        </w:rPr>
        <w:t xml:space="preserve"> </w:t>
      </w:r>
      <w:r w:rsidR="00A73A1C" w:rsidRPr="00972203">
        <w:rPr>
          <w:sz w:val="22"/>
          <w:szCs w:val="22"/>
          <w:lang w:val="en-GB"/>
        </w:rPr>
        <w:fldChar w:fldCharType="begin" w:fldLock="1"/>
      </w:r>
      <w:r w:rsidR="009D58AA">
        <w:rPr>
          <w:sz w:val="22"/>
          <w:szCs w:val="22"/>
          <w:lang w:val="en-GB"/>
        </w:rPr>
        <w:instrText>ADDIN CSL_CITATION {"citationItems":[{"id":"ITEM-1","itemData":{"abstract":"There are up to 20 specific storage sites under the UK seabed that have the potential to store up to 78 GT of CO2","author":[{"dropping-particle":"","family":"Pale Blue Dot","given":"","non-dropping-particle":"","parse-names":false,"suffix":""},{"dropping-particle":"","family":"Axis Well Technology","given":"","non-dropping-particle":"","parse-names":false,"suffix":""}],"id":"ITEM-1","issue":"April 2016","issued":{"date-parts":[["2016"]]},"number-of-pages":"48","title":"A Summary of Results from the Strategic UK CO2 Storage Appraisal Project, funded by DECC","type":"report"},"uris":["http://www.mendeley.com/documents/?uuid=e8a970db-f74f-4997-adb9-7b3619665eff"]}],"mendeley":{"formattedCitation":"(Pale Blue Dot and Axis Well Technology, 2016)","plainTextFormattedCitation":"(Pale Blue Dot and Axis Well Technology, 2016)","previouslyFormattedCitation":"(Pale Blue Dot and Axis Well Technology, 2016)"},"properties":{"noteIndex":0},"schema":"https://github.com/citation-style-language/schema/raw/master/csl-citation.json"}</w:instrText>
      </w:r>
      <w:r w:rsidR="00A73A1C" w:rsidRPr="00972203">
        <w:rPr>
          <w:sz w:val="22"/>
          <w:szCs w:val="22"/>
          <w:lang w:val="en-GB"/>
        </w:rPr>
        <w:fldChar w:fldCharType="separate"/>
      </w:r>
      <w:r w:rsidR="00C01E2D" w:rsidRPr="00C01E2D">
        <w:rPr>
          <w:noProof/>
          <w:sz w:val="22"/>
          <w:szCs w:val="22"/>
          <w:lang w:val="en-GB"/>
        </w:rPr>
        <w:t>(Pale Blue Dot and Axis Well Technology, 2016)</w:t>
      </w:r>
      <w:r w:rsidR="00A73A1C" w:rsidRPr="00972203">
        <w:rPr>
          <w:sz w:val="22"/>
          <w:szCs w:val="22"/>
          <w:lang w:val="en-GB"/>
        </w:rPr>
        <w:fldChar w:fldCharType="end"/>
      </w:r>
      <w:r w:rsidRPr="00972203">
        <w:rPr>
          <w:sz w:val="22"/>
          <w:szCs w:val="22"/>
          <w:lang w:val="en-GB"/>
        </w:rPr>
        <w:t xml:space="preserve">. It involves </w:t>
      </w:r>
      <w:r w:rsidR="00806B66">
        <w:rPr>
          <w:sz w:val="22"/>
          <w:szCs w:val="22"/>
          <w:lang w:val="en-GB"/>
        </w:rPr>
        <w:t>using</w:t>
      </w:r>
      <w:r w:rsidRPr="00972203">
        <w:rPr>
          <w:sz w:val="22"/>
          <w:szCs w:val="22"/>
          <w:lang w:val="en-GB"/>
        </w:rPr>
        <w:t xml:space="preserve"> six criteria to rank the selected CO</w:t>
      </w:r>
      <w:r w:rsidRPr="00972203">
        <w:rPr>
          <w:sz w:val="22"/>
          <w:szCs w:val="22"/>
          <w:vertAlign w:val="subscript"/>
          <w:lang w:val="en-GB"/>
        </w:rPr>
        <w:t>2</w:t>
      </w:r>
      <w:r w:rsidRPr="00972203">
        <w:rPr>
          <w:sz w:val="22"/>
          <w:szCs w:val="22"/>
          <w:lang w:val="en-GB"/>
        </w:rPr>
        <w:t xml:space="preserve"> storage sites in </w:t>
      </w:r>
      <w:r w:rsidRPr="00972203">
        <w:rPr>
          <w:sz w:val="22"/>
          <w:szCs w:val="22"/>
          <w:lang w:val="en-GB"/>
        </w:rPr>
        <w:lastRenderedPageBreak/>
        <w:t xml:space="preserve">order of suitability to host Site 2. These criteria were </w:t>
      </w:r>
      <w:r w:rsidR="00294D39">
        <w:rPr>
          <w:sz w:val="22"/>
          <w:szCs w:val="22"/>
          <w:lang w:val="en-GB"/>
        </w:rPr>
        <w:t xml:space="preserve">again </w:t>
      </w:r>
      <w:r w:rsidRPr="00972203">
        <w:rPr>
          <w:sz w:val="22"/>
          <w:szCs w:val="22"/>
          <w:lang w:val="en-GB"/>
        </w:rPr>
        <w:t xml:space="preserve">selected to comply with the aims of the Acorn project, </w:t>
      </w:r>
      <w:proofErr w:type="gramStart"/>
      <w:r w:rsidRPr="00972203">
        <w:rPr>
          <w:sz w:val="22"/>
          <w:szCs w:val="22"/>
          <w:lang w:val="en-GB"/>
        </w:rPr>
        <w:t>i.e.</w:t>
      </w:r>
      <w:proofErr w:type="gramEnd"/>
      <w:r w:rsidRPr="00972203">
        <w:rPr>
          <w:sz w:val="22"/>
          <w:szCs w:val="22"/>
          <w:lang w:val="en-GB"/>
        </w:rPr>
        <w:t xml:space="preserve"> prim</w:t>
      </w:r>
      <w:r w:rsidR="00294D39">
        <w:rPr>
          <w:sz w:val="22"/>
          <w:szCs w:val="22"/>
          <w:lang w:val="en-GB"/>
        </w:rPr>
        <w:t>arily</w:t>
      </w:r>
      <w:r w:rsidRPr="00972203">
        <w:rPr>
          <w:sz w:val="22"/>
          <w:szCs w:val="22"/>
          <w:lang w:val="en-GB"/>
        </w:rPr>
        <w:t xml:space="preserve"> reduced costs and high capacity. Some criteria had a positive correlation with the suitability of the site (</w:t>
      </w:r>
      <w:proofErr w:type="gramStart"/>
      <w:r w:rsidRPr="00972203">
        <w:rPr>
          <w:sz w:val="22"/>
          <w:szCs w:val="22"/>
          <w:lang w:val="en-GB"/>
        </w:rPr>
        <w:t>e.g.</w:t>
      </w:r>
      <w:proofErr w:type="gramEnd"/>
      <w:r w:rsidRPr="00972203">
        <w:rPr>
          <w:sz w:val="22"/>
          <w:szCs w:val="22"/>
          <w:lang w:val="en-GB"/>
        </w:rPr>
        <w:t xml:space="preserve"> higher capacity</w:t>
      </w:r>
      <w:r w:rsidR="00A73A1C" w:rsidRPr="00972203">
        <w:rPr>
          <w:sz w:val="22"/>
          <w:szCs w:val="22"/>
          <w:lang w:val="en-GB"/>
        </w:rPr>
        <w:t xml:space="preserve"> </w:t>
      </w:r>
      <w:r w:rsidR="00294D39">
        <w:rPr>
          <w:sz w:val="22"/>
          <w:szCs w:val="22"/>
          <w:lang w:val="en-GB"/>
        </w:rPr>
        <w:t>equates to an increasingly</w:t>
      </w:r>
      <w:r w:rsidRPr="00972203">
        <w:rPr>
          <w:sz w:val="22"/>
          <w:szCs w:val="22"/>
          <w:lang w:val="en-GB"/>
        </w:rPr>
        <w:t xml:space="preserve"> </w:t>
      </w:r>
      <w:r w:rsidR="00A73A1C" w:rsidRPr="00972203">
        <w:rPr>
          <w:sz w:val="22"/>
          <w:szCs w:val="22"/>
          <w:lang w:val="en-GB"/>
        </w:rPr>
        <w:t>more suitable</w:t>
      </w:r>
      <w:r w:rsidR="00294D39">
        <w:rPr>
          <w:sz w:val="22"/>
          <w:szCs w:val="22"/>
          <w:lang w:val="en-GB"/>
        </w:rPr>
        <w:t xml:space="preserve"> site</w:t>
      </w:r>
      <w:r w:rsidRPr="00972203">
        <w:rPr>
          <w:sz w:val="22"/>
          <w:szCs w:val="22"/>
          <w:lang w:val="en-GB"/>
        </w:rPr>
        <w:t xml:space="preserve">) </w:t>
      </w:r>
      <w:r w:rsidR="00294D39">
        <w:rPr>
          <w:sz w:val="22"/>
          <w:szCs w:val="22"/>
          <w:lang w:val="en-GB"/>
        </w:rPr>
        <w:t>whereas</w:t>
      </w:r>
      <w:r w:rsidR="00294D39" w:rsidRPr="00972203">
        <w:rPr>
          <w:sz w:val="22"/>
          <w:szCs w:val="22"/>
          <w:lang w:val="en-GB"/>
        </w:rPr>
        <w:t xml:space="preserve"> </w:t>
      </w:r>
      <w:r w:rsidRPr="00972203">
        <w:rPr>
          <w:sz w:val="22"/>
          <w:szCs w:val="22"/>
          <w:lang w:val="en-GB"/>
        </w:rPr>
        <w:t xml:space="preserve">others </w:t>
      </w:r>
      <w:r w:rsidR="00294D39">
        <w:rPr>
          <w:sz w:val="22"/>
          <w:szCs w:val="22"/>
          <w:lang w:val="en-GB"/>
        </w:rPr>
        <w:t xml:space="preserve">had </w:t>
      </w:r>
      <w:r w:rsidRPr="00972203">
        <w:rPr>
          <w:sz w:val="22"/>
          <w:szCs w:val="22"/>
          <w:lang w:val="en-GB"/>
        </w:rPr>
        <w:t xml:space="preserve">a negative correlation (e.g. </w:t>
      </w:r>
      <w:r w:rsidR="00294D39">
        <w:rPr>
          <w:sz w:val="22"/>
          <w:szCs w:val="22"/>
          <w:lang w:val="en-GB"/>
        </w:rPr>
        <w:t>higher</w:t>
      </w:r>
      <w:r w:rsidRPr="00972203">
        <w:rPr>
          <w:sz w:val="22"/>
          <w:szCs w:val="22"/>
          <w:lang w:val="en-GB"/>
        </w:rPr>
        <w:t xml:space="preserve"> cost </w:t>
      </w:r>
      <w:r w:rsidR="00294D39">
        <w:rPr>
          <w:sz w:val="22"/>
          <w:szCs w:val="22"/>
          <w:lang w:val="en-GB"/>
        </w:rPr>
        <w:t>equates to an increasingly</w:t>
      </w:r>
      <w:r w:rsidR="00294D39" w:rsidRPr="00972203">
        <w:rPr>
          <w:sz w:val="22"/>
          <w:szCs w:val="22"/>
          <w:lang w:val="en-GB"/>
        </w:rPr>
        <w:t xml:space="preserve"> </w:t>
      </w:r>
      <w:r w:rsidR="00294D39">
        <w:rPr>
          <w:sz w:val="22"/>
          <w:szCs w:val="22"/>
          <w:lang w:val="en-GB"/>
        </w:rPr>
        <w:t>less</w:t>
      </w:r>
      <w:r w:rsidR="00294D39" w:rsidRPr="00972203">
        <w:rPr>
          <w:sz w:val="22"/>
          <w:szCs w:val="22"/>
          <w:lang w:val="en-GB"/>
        </w:rPr>
        <w:t xml:space="preserve"> suitable</w:t>
      </w:r>
      <w:r w:rsidR="00294D39">
        <w:rPr>
          <w:sz w:val="22"/>
          <w:szCs w:val="22"/>
          <w:lang w:val="en-GB"/>
        </w:rPr>
        <w:t xml:space="preserve"> site</w:t>
      </w:r>
      <w:r w:rsidRPr="00972203">
        <w:rPr>
          <w:sz w:val="22"/>
          <w:szCs w:val="22"/>
          <w:lang w:val="en-GB"/>
        </w:rPr>
        <w:t>). The six ranking criteria used are: (a) storage resource</w:t>
      </w:r>
      <w:r w:rsidR="00A73A1C" w:rsidRPr="00972203">
        <w:rPr>
          <w:sz w:val="22"/>
          <w:szCs w:val="22"/>
          <w:lang w:val="en-GB"/>
        </w:rPr>
        <w:t xml:space="preserve"> (</w:t>
      </w:r>
      <w:r w:rsidR="00CE765F">
        <w:rPr>
          <w:sz w:val="22"/>
          <w:szCs w:val="22"/>
          <w:lang w:val="en-GB"/>
        </w:rPr>
        <w:t xml:space="preserve">P50 </w:t>
      </w:r>
      <w:r w:rsidR="00A73A1C" w:rsidRPr="00972203">
        <w:rPr>
          <w:sz w:val="22"/>
          <w:szCs w:val="22"/>
          <w:lang w:val="en-GB"/>
        </w:rPr>
        <w:t>capacity</w:t>
      </w:r>
      <w:r w:rsidR="00294D39" w:rsidRPr="00972203">
        <w:rPr>
          <w:sz w:val="22"/>
          <w:szCs w:val="22"/>
          <w:lang w:val="en-GB"/>
        </w:rPr>
        <w:t>)</w:t>
      </w:r>
      <w:r w:rsidR="00294D39">
        <w:rPr>
          <w:sz w:val="22"/>
          <w:szCs w:val="22"/>
          <w:lang w:val="en-GB"/>
        </w:rPr>
        <w:t>,</w:t>
      </w:r>
      <w:r w:rsidR="00294D39" w:rsidRPr="00972203">
        <w:rPr>
          <w:sz w:val="22"/>
          <w:szCs w:val="22"/>
          <w:lang w:val="en-GB"/>
        </w:rPr>
        <w:t xml:space="preserve"> </w:t>
      </w:r>
      <w:r w:rsidRPr="00972203">
        <w:rPr>
          <w:sz w:val="22"/>
          <w:szCs w:val="22"/>
          <w:lang w:val="en-GB"/>
        </w:rPr>
        <w:t>(b) injectivity</w:t>
      </w:r>
      <w:r w:rsidR="00294D39">
        <w:rPr>
          <w:sz w:val="22"/>
          <w:szCs w:val="22"/>
          <w:lang w:val="en-GB"/>
        </w:rPr>
        <w:t>,</w:t>
      </w:r>
      <w:r w:rsidR="00294D39" w:rsidRPr="00972203">
        <w:rPr>
          <w:sz w:val="22"/>
          <w:szCs w:val="22"/>
          <w:lang w:val="en-GB"/>
        </w:rPr>
        <w:t xml:space="preserve"> </w:t>
      </w:r>
      <w:r w:rsidRPr="00972203">
        <w:rPr>
          <w:sz w:val="22"/>
          <w:szCs w:val="22"/>
          <w:lang w:val="en-GB"/>
        </w:rPr>
        <w:t>(c) unit type</w:t>
      </w:r>
      <w:r w:rsidR="00294D39">
        <w:rPr>
          <w:sz w:val="22"/>
          <w:szCs w:val="22"/>
          <w:lang w:val="en-GB"/>
        </w:rPr>
        <w:t>,</w:t>
      </w:r>
      <w:r w:rsidR="00294D39" w:rsidRPr="00972203">
        <w:rPr>
          <w:sz w:val="22"/>
          <w:szCs w:val="22"/>
          <w:lang w:val="en-GB"/>
        </w:rPr>
        <w:t xml:space="preserve"> </w:t>
      </w:r>
      <w:r w:rsidRPr="00972203">
        <w:rPr>
          <w:sz w:val="22"/>
          <w:szCs w:val="22"/>
          <w:lang w:val="en-GB"/>
        </w:rPr>
        <w:t>(d) containment risk</w:t>
      </w:r>
      <w:r w:rsidR="00294D39">
        <w:rPr>
          <w:sz w:val="22"/>
          <w:szCs w:val="22"/>
          <w:lang w:val="en-GB"/>
        </w:rPr>
        <w:t>,</w:t>
      </w:r>
      <w:r w:rsidR="00294D39" w:rsidRPr="00972203">
        <w:rPr>
          <w:sz w:val="22"/>
          <w:szCs w:val="22"/>
          <w:lang w:val="en-GB"/>
        </w:rPr>
        <w:t xml:space="preserve"> </w:t>
      </w:r>
      <w:r w:rsidRPr="00972203">
        <w:rPr>
          <w:sz w:val="22"/>
          <w:szCs w:val="22"/>
          <w:lang w:val="en-GB"/>
        </w:rPr>
        <w:t>(e) development cost and (f) water depth.</w:t>
      </w:r>
    </w:p>
    <w:p w14:paraId="1B2695CD" w14:textId="28F8A88E" w:rsidR="004D1F71" w:rsidRPr="00972203" w:rsidRDefault="004D1F71" w:rsidP="004D1F71">
      <w:pPr>
        <w:pStyle w:val="BodyText"/>
        <w:spacing w:after="120" w:line="276" w:lineRule="auto"/>
        <w:rPr>
          <w:sz w:val="22"/>
          <w:szCs w:val="22"/>
          <w:lang w:val="en-GB"/>
        </w:rPr>
      </w:pPr>
      <w:r w:rsidRPr="00972203">
        <w:rPr>
          <w:sz w:val="22"/>
          <w:szCs w:val="22"/>
          <w:lang w:val="en-GB"/>
        </w:rPr>
        <w:t xml:space="preserve">Three of the </w:t>
      </w:r>
      <w:r w:rsidR="009A3C70" w:rsidRPr="00972203">
        <w:rPr>
          <w:sz w:val="22"/>
          <w:szCs w:val="22"/>
          <w:lang w:val="en-GB"/>
        </w:rPr>
        <w:t xml:space="preserve">ranking </w:t>
      </w:r>
      <w:r w:rsidRPr="00972203">
        <w:rPr>
          <w:sz w:val="22"/>
          <w:szCs w:val="22"/>
          <w:lang w:val="en-GB"/>
        </w:rPr>
        <w:t xml:space="preserve">criteria selected </w:t>
      </w:r>
      <w:r w:rsidR="00A73A1C" w:rsidRPr="00972203">
        <w:rPr>
          <w:sz w:val="22"/>
          <w:szCs w:val="22"/>
          <w:lang w:val="en-GB"/>
        </w:rPr>
        <w:t xml:space="preserve">(storage capacity, injectivity and unit type) </w:t>
      </w:r>
      <w:r w:rsidRPr="00972203">
        <w:rPr>
          <w:sz w:val="22"/>
          <w:szCs w:val="22"/>
          <w:lang w:val="en-GB"/>
        </w:rPr>
        <w:t xml:space="preserve">are related to the geological properties of the site. Despite </w:t>
      </w:r>
      <w:r w:rsidR="00624DE6">
        <w:rPr>
          <w:sz w:val="22"/>
          <w:szCs w:val="22"/>
          <w:lang w:val="en-GB"/>
        </w:rPr>
        <w:t xml:space="preserve">the fact that </w:t>
      </w:r>
      <w:r w:rsidRPr="00972203">
        <w:rPr>
          <w:sz w:val="22"/>
          <w:szCs w:val="22"/>
          <w:lang w:val="en-GB"/>
        </w:rPr>
        <w:t xml:space="preserve">calculation </w:t>
      </w:r>
      <w:r w:rsidR="00624DE6">
        <w:rPr>
          <w:sz w:val="22"/>
          <w:szCs w:val="22"/>
          <w:lang w:val="en-GB"/>
        </w:rPr>
        <w:t xml:space="preserve">of storage capacities </w:t>
      </w:r>
      <w:r w:rsidRPr="00972203">
        <w:rPr>
          <w:sz w:val="22"/>
          <w:szCs w:val="22"/>
          <w:lang w:val="en-GB"/>
        </w:rPr>
        <w:t xml:space="preserve">bears great uncertainty </w:t>
      </w:r>
      <w:r w:rsidR="00A73A1C" w:rsidRPr="00972203">
        <w:rPr>
          <w:noProof/>
          <w:sz w:val="22"/>
          <w:szCs w:val="22"/>
          <w:lang w:val="en-GB"/>
        </w:rPr>
        <w:fldChar w:fldCharType="begin" w:fldLock="1"/>
      </w:r>
      <w:r w:rsidR="009D58AA">
        <w:rPr>
          <w:noProof/>
          <w:sz w:val="22"/>
          <w:szCs w:val="22"/>
          <w:lang w:val="en-GB"/>
        </w:rPr>
        <w:instrText>ADDIN CSL_CITATION {"citationItems":[{"id":"ITEM-1","itemData":{"DOI":"10.1007/s11053-016-9310-7","ISSN":"15738981","abstract":"Carbon capture from stationary sources and geologic storage of carbon dioxide (CO2) is an important option to include in strategies to mitigate greenhouse gas emissions. However, the potential costs of commercial-scale CO2 storage are not well constrained, stemming from the inherent uncertainty in storage resource estimates coupled with a lack of detailed estimates of the infrastructure needed to access those resources. Storage resource estimates are highly dependent on storage efficiency values or storage coefficients, which are calculated based on ranges of uncertain geological and physical reservoir parameters. If dynamic factors (such as variability in storage efficiencies, pressure interference, and acceptable injection rates over time), reservoir pressure limitations, boundaries on migration of CO2, consideration of closed or semi-closed saline reservoir systems, and other possible constraints on the technically accessible CO2 storage resource (TASR) are accounted for, it is likely that only a fraction of the TASR could be available without incurring significant additional costs. Although storage resource estimates typically assume that any issues with pressure buildup due to CO2 injection will be mitigated by reservoir pressure management, estimates of the costs of CO2 storage generally do not include the costs of active pressure management. Production of saline waters (brines) could be essential to increasing the dynamic storage capacity of most reservoirs, but including the costs of this critical method of reservoir pressure management could increase current estimates of the costs of CO2 storage by two times, or more. Even without considering the implications for reservoir pressure management, geologic uncertainty can significantly impact CO2 storage capacities and costs, and contribute to uncertainty in carbon capture and storage (CCS) systems. Given the current state of available information and the scarcity of (data from) long-term commercial-scale CO2 storage projects, decision makers may experience considerable difficulty in ascertaining the realistic potential, the likely costs, and the most beneficial pattern of deployment of CCS as an option to reduce CO2 concentrations in the atmosphere.","author":[{"dropping-particle":"","family":"Anderson","given":"Steven T.","non-dropping-particle":"","parse-names":false,"suffix":""}],"container-title":"Natural Resources Research","id":"ITEM-1","issue":"2","issued":{"date-parts":[["2017"]]},"page":"137-159","publisher":"Springer US","title":"Cost Implications of Uncertainty in CO2 Storage Resource Estimates: A Review","type":"article-journal","volume":"26"},"uris":["http://www.mendeley.com/documents/?uuid=b9bb9770-83af-47d1-a3ff-04611e8526d1"]},{"id":"ITEM-2","itemData":{"DOI":"10.5194/se-2019-45","abstract":"Abstract. Carbon capture and storage (CCS) is a potentially important technology for the mitigation of industrial CO2 emissions, however the majority of the subsurface storage capacity is in geological strata for which there is relatively little information, the so-called saline aquifers. Published estimates of the potential storage capacity of such formations, based on limited data, often give no indication of the uncertainty, despite there being substantial uncertainty associated with the data used to calculate such estimates. Using only publicly available data, a group of experts independently estimated the storage capacity of 7 regional saline aquifers. The experts produced a wide range of estimates for each aquifer due a combination of using different published values for some variables and differences in their judgements of the aquifer properties such as area and thickness. The range of storage estimates produced by the experts shows that there is significant uncertainty in such estimates, in particular the experts' range does not capture the highest possible capacity estimates, meaning that by not accounting for uncertainty, such regional estimates may underestimate the true storage capacity. The result is applicable to single values of storage capacity of regional potential, but not to detailed studies of a single storage site.","author":[{"dropping-particle":"","family":"Wilkinson","given":"Mark","non-dropping-particle":"","parse-names":false,"suffix":""},{"dropping-particle":"","family":"Polson","given":"Debbie","non-dropping-particle":"","parse-names":false,"suffix":""}],"container-title":"Solid Earth Discussions","id":"ITEM-2","issued":{"date-parts":[["2019"]]},"page":"1-17","title":"Uncertainty in regional estimates of capacity for carbon capture and storage","type":"article-journal"},"uris":["http://www.mendeley.com/documents/?uuid=672b3c13-8f98-4b24-9bf2-f8daeb0e3a6b"]}],"mendeley":{"formattedCitation":"(Anderson, 2017; Wilkinson and Polson, 2019)","plainTextFormattedCitation":"(Anderson, 2017; Wilkinson and Polson, 2019)","previouslyFormattedCitation":"(Anderson, 2017; Wilkinson and Polson, 2019)"},"properties":{"noteIndex":0},"schema":"https://github.com/citation-style-language/schema/raw/master/csl-citation.json"}</w:instrText>
      </w:r>
      <w:r w:rsidR="00A73A1C" w:rsidRPr="00972203">
        <w:rPr>
          <w:noProof/>
          <w:sz w:val="22"/>
          <w:szCs w:val="22"/>
          <w:lang w:val="en-GB"/>
        </w:rPr>
        <w:fldChar w:fldCharType="separate"/>
      </w:r>
      <w:r w:rsidR="00C01E2D" w:rsidRPr="00C01E2D">
        <w:rPr>
          <w:noProof/>
          <w:sz w:val="22"/>
          <w:szCs w:val="22"/>
          <w:lang w:val="en-GB"/>
        </w:rPr>
        <w:t>(Anderson, 2017; Wilkinson and Polson, 2019)</w:t>
      </w:r>
      <w:r w:rsidR="00A73A1C" w:rsidRPr="00972203">
        <w:rPr>
          <w:noProof/>
          <w:sz w:val="22"/>
          <w:szCs w:val="22"/>
          <w:lang w:val="en-GB"/>
        </w:rPr>
        <w:fldChar w:fldCharType="end"/>
      </w:r>
      <w:r w:rsidRPr="00972203">
        <w:rPr>
          <w:sz w:val="22"/>
          <w:szCs w:val="22"/>
          <w:lang w:val="en-GB"/>
        </w:rPr>
        <w:t>, storage capacity has</w:t>
      </w:r>
      <w:r w:rsidR="00624DE6">
        <w:rPr>
          <w:sz w:val="22"/>
          <w:szCs w:val="22"/>
          <w:lang w:val="en-GB"/>
        </w:rPr>
        <w:t xml:space="preserve"> a </w:t>
      </w:r>
      <w:r w:rsidRPr="00972203">
        <w:rPr>
          <w:sz w:val="22"/>
          <w:szCs w:val="22"/>
          <w:lang w:val="en-GB"/>
        </w:rPr>
        <w:t>strong influence on the total cost of the project because of the economy of scale</w:t>
      </w:r>
      <w:r w:rsidR="00294D39">
        <w:rPr>
          <w:sz w:val="22"/>
          <w:szCs w:val="22"/>
          <w:lang w:val="en-GB"/>
        </w:rPr>
        <w:t xml:space="preserve">. </w:t>
      </w:r>
      <w:proofErr w:type="gramStart"/>
      <w:r w:rsidR="00294D39">
        <w:rPr>
          <w:sz w:val="22"/>
          <w:szCs w:val="22"/>
          <w:lang w:val="en-GB"/>
        </w:rPr>
        <w:t>A</w:t>
      </w:r>
      <w:r w:rsidR="00A73A1C" w:rsidRPr="00972203">
        <w:rPr>
          <w:sz w:val="22"/>
          <w:szCs w:val="22"/>
          <w:lang w:val="en-GB"/>
        </w:rPr>
        <w:t>ssuming that</w:t>
      </w:r>
      <w:proofErr w:type="gramEnd"/>
      <w:r w:rsidR="00A73A1C" w:rsidRPr="00972203">
        <w:rPr>
          <w:sz w:val="22"/>
          <w:szCs w:val="22"/>
          <w:lang w:val="en-GB"/>
        </w:rPr>
        <w:t xml:space="preserve"> </w:t>
      </w:r>
      <w:r w:rsidRPr="00972203">
        <w:rPr>
          <w:sz w:val="22"/>
          <w:szCs w:val="22"/>
          <w:lang w:val="en-GB"/>
        </w:rPr>
        <w:t>capital expenditure remains more or less constant, the</w:t>
      </w:r>
      <w:r w:rsidR="00294D39">
        <w:rPr>
          <w:sz w:val="22"/>
          <w:szCs w:val="22"/>
          <w:lang w:val="en-GB"/>
        </w:rPr>
        <w:t>n</w:t>
      </w:r>
      <w:r w:rsidRPr="00972203">
        <w:rPr>
          <w:sz w:val="22"/>
          <w:szCs w:val="22"/>
          <w:lang w:val="en-GB"/>
        </w:rPr>
        <w:t xml:space="preserve"> larger the capacity</w:t>
      </w:r>
      <w:r w:rsidR="00294D39">
        <w:rPr>
          <w:sz w:val="22"/>
          <w:szCs w:val="22"/>
          <w:lang w:val="en-GB"/>
        </w:rPr>
        <w:t xml:space="preserve"> equates to</w:t>
      </w:r>
      <w:r w:rsidRPr="00972203">
        <w:rPr>
          <w:sz w:val="22"/>
          <w:szCs w:val="22"/>
          <w:lang w:val="en-GB"/>
        </w:rPr>
        <w:t xml:space="preserve"> </w:t>
      </w:r>
      <w:r w:rsidR="00294D39">
        <w:rPr>
          <w:sz w:val="22"/>
          <w:szCs w:val="22"/>
          <w:lang w:val="en-GB"/>
        </w:rPr>
        <w:t xml:space="preserve">a </w:t>
      </w:r>
      <w:r w:rsidRPr="00972203">
        <w:rPr>
          <w:sz w:val="22"/>
          <w:szCs w:val="22"/>
          <w:lang w:val="en-GB"/>
        </w:rPr>
        <w:t>lower price per tonne of CO</w:t>
      </w:r>
      <w:r w:rsidRPr="00972203">
        <w:rPr>
          <w:sz w:val="22"/>
          <w:szCs w:val="22"/>
          <w:vertAlign w:val="subscript"/>
          <w:lang w:val="en-GB"/>
        </w:rPr>
        <w:t>2</w:t>
      </w:r>
      <w:r w:rsidRPr="00972203">
        <w:rPr>
          <w:sz w:val="22"/>
          <w:szCs w:val="22"/>
          <w:lang w:val="en-GB"/>
        </w:rPr>
        <w:t xml:space="preserve"> stored. </w:t>
      </w:r>
      <w:r w:rsidR="002219DA">
        <w:rPr>
          <w:sz w:val="22"/>
          <w:szCs w:val="22"/>
          <w:lang w:val="en-GB"/>
        </w:rPr>
        <w:t>The input sites included very large saline aquifers that extend within the pipeline area and far beyond, featuring massive storage capacities, sometimes 1-2 orders of magnitude greater than other smaller aquifers and fields located entirely within the 50</w:t>
      </w:r>
      <w:r w:rsidR="009D3655">
        <w:rPr>
          <w:sz w:val="22"/>
          <w:szCs w:val="22"/>
          <w:lang w:val="en-GB"/>
        </w:rPr>
        <w:t xml:space="preserve"> </w:t>
      </w:r>
      <w:r w:rsidR="002219DA">
        <w:rPr>
          <w:sz w:val="22"/>
          <w:szCs w:val="22"/>
          <w:lang w:val="en-GB"/>
        </w:rPr>
        <w:t>km corridor around the pipelines. In these cases, their capacities were averaged in proportion to the size located within the pipeline corridor, so that they do not outweigh the smaller sites in the</w:t>
      </w:r>
      <w:r w:rsidR="008B2729">
        <w:rPr>
          <w:sz w:val="22"/>
          <w:szCs w:val="22"/>
          <w:lang w:val="en-GB"/>
        </w:rPr>
        <w:t xml:space="preserve"> capacity</w:t>
      </w:r>
      <w:r w:rsidR="002219DA">
        <w:rPr>
          <w:sz w:val="22"/>
          <w:szCs w:val="22"/>
          <w:lang w:val="en-GB"/>
        </w:rPr>
        <w:t xml:space="preserve"> </w:t>
      </w:r>
      <w:r w:rsidR="00653BF3">
        <w:rPr>
          <w:sz w:val="22"/>
          <w:szCs w:val="22"/>
          <w:lang w:val="en-GB"/>
        </w:rPr>
        <w:t>ranking</w:t>
      </w:r>
      <w:r w:rsidR="002219DA">
        <w:rPr>
          <w:sz w:val="22"/>
          <w:szCs w:val="22"/>
          <w:lang w:val="en-GB"/>
        </w:rPr>
        <w:t xml:space="preserve">. </w:t>
      </w:r>
      <w:r w:rsidRPr="00972203">
        <w:rPr>
          <w:sz w:val="22"/>
          <w:szCs w:val="22"/>
          <w:lang w:val="en-GB"/>
        </w:rPr>
        <w:t xml:space="preserve">The injectivity value is calculated as the </w:t>
      </w:r>
      <w:r w:rsidR="00A73A1C" w:rsidRPr="00972203">
        <w:rPr>
          <w:sz w:val="22"/>
          <w:szCs w:val="22"/>
          <w:lang w:val="en-GB"/>
        </w:rPr>
        <w:t xml:space="preserve">product of the </w:t>
      </w:r>
      <w:r w:rsidRPr="00972203">
        <w:rPr>
          <w:sz w:val="22"/>
          <w:szCs w:val="22"/>
          <w:lang w:val="en-GB"/>
        </w:rPr>
        <w:t xml:space="preserve">permeability </w:t>
      </w:r>
      <w:r w:rsidR="00A73A1C" w:rsidRPr="00972203">
        <w:rPr>
          <w:sz w:val="22"/>
          <w:szCs w:val="22"/>
          <w:lang w:val="en-GB"/>
        </w:rPr>
        <w:t>and</w:t>
      </w:r>
      <w:r w:rsidRPr="00972203">
        <w:rPr>
          <w:sz w:val="22"/>
          <w:szCs w:val="22"/>
          <w:lang w:val="en-GB"/>
        </w:rPr>
        <w:t xml:space="preserve"> the </w:t>
      </w:r>
      <w:r w:rsidR="00294D39">
        <w:rPr>
          <w:sz w:val="22"/>
          <w:szCs w:val="22"/>
          <w:lang w:val="en-GB"/>
        </w:rPr>
        <w:t xml:space="preserve">average </w:t>
      </w:r>
      <w:r w:rsidRPr="00972203">
        <w:rPr>
          <w:sz w:val="22"/>
          <w:szCs w:val="22"/>
          <w:lang w:val="en-GB"/>
        </w:rPr>
        <w:t>thickness of the reservoir column</w:t>
      </w:r>
      <w:r w:rsidR="00294D39">
        <w:rPr>
          <w:sz w:val="22"/>
          <w:szCs w:val="22"/>
          <w:lang w:val="en-GB"/>
        </w:rPr>
        <w:t>; this approach</w:t>
      </w:r>
      <w:r w:rsidRPr="00972203">
        <w:rPr>
          <w:sz w:val="22"/>
          <w:szCs w:val="22"/>
          <w:lang w:val="en-GB"/>
        </w:rPr>
        <w:t xml:space="preserve"> is used as a proxy for how easy or how difficult </w:t>
      </w:r>
      <w:r w:rsidR="00294D39">
        <w:rPr>
          <w:sz w:val="22"/>
          <w:szCs w:val="22"/>
          <w:lang w:val="en-GB"/>
        </w:rPr>
        <w:t>CO</w:t>
      </w:r>
      <w:r w:rsidR="00294D39" w:rsidRPr="00294D39">
        <w:rPr>
          <w:sz w:val="22"/>
          <w:szCs w:val="22"/>
          <w:vertAlign w:val="subscript"/>
          <w:lang w:val="en-GB"/>
        </w:rPr>
        <w:t>2</w:t>
      </w:r>
      <w:r w:rsidR="00294D39" w:rsidRPr="00972203">
        <w:rPr>
          <w:sz w:val="22"/>
          <w:szCs w:val="22"/>
          <w:lang w:val="en-GB"/>
        </w:rPr>
        <w:t xml:space="preserve"> </w:t>
      </w:r>
      <w:r w:rsidRPr="00972203">
        <w:rPr>
          <w:sz w:val="22"/>
          <w:szCs w:val="22"/>
          <w:lang w:val="en-GB"/>
        </w:rPr>
        <w:t xml:space="preserve">injection will be. </w:t>
      </w:r>
      <w:r w:rsidR="00294D39">
        <w:rPr>
          <w:sz w:val="22"/>
          <w:szCs w:val="22"/>
          <w:lang w:val="en-GB"/>
        </w:rPr>
        <w:t>H</w:t>
      </w:r>
      <w:r w:rsidRPr="00972203">
        <w:rPr>
          <w:sz w:val="22"/>
          <w:szCs w:val="22"/>
          <w:lang w:val="en-GB"/>
        </w:rPr>
        <w:t>igher injectivity</w:t>
      </w:r>
      <w:r w:rsidR="00294D39">
        <w:rPr>
          <w:sz w:val="22"/>
          <w:szCs w:val="22"/>
          <w:lang w:val="en-GB"/>
        </w:rPr>
        <w:t xml:space="preserve"> results in a </w:t>
      </w:r>
      <w:r w:rsidRPr="00972203">
        <w:rPr>
          <w:sz w:val="22"/>
          <w:szCs w:val="22"/>
          <w:lang w:val="en-GB"/>
        </w:rPr>
        <w:t>high</w:t>
      </w:r>
      <w:r w:rsidR="006F333F">
        <w:rPr>
          <w:sz w:val="22"/>
          <w:szCs w:val="22"/>
          <w:lang w:val="en-GB"/>
        </w:rPr>
        <w:t>er</w:t>
      </w:r>
      <w:r w:rsidR="00294D39">
        <w:rPr>
          <w:sz w:val="22"/>
          <w:szCs w:val="22"/>
          <w:lang w:val="en-GB"/>
        </w:rPr>
        <w:t xml:space="preserve"> rank for </w:t>
      </w:r>
      <w:r w:rsidR="006F333F">
        <w:rPr>
          <w:sz w:val="22"/>
          <w:szCs w:val="22"/>
          <w:lang w:val="en-GB"/>
        </w:rPr>
        <w:t>a</w:t>
      </w:r>
      <w:r w:rsidR="00294D39">
        <w:rPr>
          <w:sz w:val="22"/>
          <w:szCs w:val="22"/>
          <w:lang w:val="en-GB"/>
        </w:rPr>
        <w:t xml:space="preserve"> site in terms of this criterion</w:t>
      </w:r>
      <w:r w:rsidRPr="00972203">
        <w:rPr>
          <w:sz w:val="22"/>
          <w:szCs w:val="22"/>
          <w:lang w:val="en-GB"/>
        </w:rPr>
        <w:t xml:space="preserve">. </w:t>
      </w:r>
    </w:p>
    <w:p w14:paraId="324D8C0D" w14:textId="02A4951D" w:rsidR="004D1F71" w:rsidRPr="00972203" w:rsidRDefault="004D1F71" w:rsidP="004D1F71">
      <w:pPr>
        <w:pStyle w:val="BodyText"/>
        <w:spacing w:after="120" w:line="276" w:lineRule="auto"/>
        <w:rPr>
          <w:sz w:val="22"/>
          <w:szCs w:val="22"/>
          <w:lang w:val="en-GB"/>
        </w:rPr>
      </w:pPr>
      <w:r w:rsidRPr="00972203">
        <w:rPr>
          <w:sz w:val="22"/>
          <w:szCs w:val="22"/>
          <w:lang w:val="en-GB"/>
        </w:rPr>
        <w:t>The remaining geological criterion used is the unit type. The CO</w:t>
      </w:r>
      <w:r w:rsidRPr="00972203">
        <w:rPr>
          <w:sz w:val="22"/>
          <w:szCs w:val="22"/>
          <w:vertAlign w:val="subscript"/>
          <w:lang w:val="en-GB"/>
        </w:rPr>
        <w:t>2</w:t>
      </w:r>
      <w:r w:rsidRPr="00972203">
        <w:rPr>
          <w:sz w:val="22"/>
          <w:szCs w:val="22"/>
          <w:lang w:val="en-GB"/>
        </w:rPr>
        <w:t>Stored database differentiates between four types of storage units: (</w:t>
      </w:r>
      <w:proofErr w:type="spellStart"/>
      <w:r w:rsidRPr="00972203">
        <w:rPr>
          <w:sz w:val="22"/>
          <w:szCs w:val="22"/>
          <w:lang w:val="en-GB"/>
        </w:rPr>
        <w:t>i</w:t>
      </w:r>
      <w:proofErr w:type="spellEnd"/>
      <w:r w:rsidRPr="00972203">
        <w:rPr>
          <w:sz w:val="22"/>
          <w:szCs w:val="22"/>
          <w:lang w:val="en-GB"/>
        </w:rPr>
        <w:t>) depleted oil and gas fields</w:t>
      </w:r>
      <w:r w:rsidR="006F333F">
        <w:rPr>
          <w:sz w:val="22"/>
          <w:szCs w:val="22"/>
          <w:lang w:val="en-GB"/>
        </w:rPr>
        <w:t>,</w:t>
      </w:r>
      <w:r w:rsidR="006F333F" w:rsidRPr="00972203">
        <w:rPr>
          <w:sz w:val="22"/>
          <w:szCs w:val="22"/>
          <w:lang w:val="en-GB"/>
        </w:rPr>
        <w:t xml:space="preserve"> </w:t>
      </w:r>
      <w:r w:rsidRPr="00972203">
        <w:rPr>
          <w:sz w:val="22"/>
          <w:szCs w:val="22"/>
          <w:lang w:val="en-GB"/>
        </w:rPr>
        <w:t xml:space="preserve">(ii) open saline aquifers with identified </w:t>
      </w:r>
      <w:r w:rsidR="0082516C">
        <w:rPr>
          <w:sz w:val="22"/>
          <w:szCs w:val="22"/>
          <w:lang w:val="en-GB"/>
        </w:rPr>
        <w:t xml:space="preserve">trap </w:t>
      </w:r>
      <w:r w:rsidRPr="00972203">
        <w:rPr>
          <w:sz w:val="22"/>
          <w:szCs w:val="22"/>
          <w:lang w:val="en-GB"/>
        </w:rPr>
        <w:t>structures</w:t>
      </w:r>
      <w:r w:rsidR="006F333F">
        <w:rPr>
          <w:sz w:val="22"/>
          <w:szCs w:val="22"/>
          <w:lang w:val="en-GB"/>
        </w:rPr>
        <w:t>,</w:t>
      </w:r>
      <w:r w:rsidR="006F333F" w:rsidRPr="00972203">
        <w:rPr>
          <w:sz w:val="22"/>
          <w:szCs w:val="22"/>
          <w:lang w:val="en-GB"/>
        </w:rPr>
        <w:t xml:space="preserve"> </w:t>
      </w:r>
      <w:r w:rsidRPr="00972203">
        <w:rPr>
          <w:sz w:val="22"/>
          <w:szCs w:val="22"/>
          <w:lang w:val="en-GB"/>
        </w:rPr>
        <w:t xml:space="preserve">(iii) open saline aquifers without identified </w:t>
      </w:r>
      <w:r w:rsidR="0082516C">
        <w:rPr>
          <w:sz w:val="22"/>
          <w:szCs w:val="22"/>
          <w:lang w:val="en-GB"/>
        </w:rPr>
        <w:t xml:space="preserve">trap </w:t>
      </w:r>
      <w:r w:rsidRPr="00972203">
        <w:rPr>
          <w:sz w:val="22"/>
          <w:szCs w:val="22"/>
          <w:lang w:val="en-GB"/>
        </w:rPr>
        <w:t>structures</w:t>
      </w:r>
      <w:r w:rsidR="006F333F" w:rsidRPr="00972203">
        <w:rPr>
          <w:sz w:val="22"/>
          <w:szCs w:val="22"/>
          <w:lang w:val="en-GB"/>
        </w:rPr>
        <w:t xml:space="preserve"> </w:t>
      </w:r>
      <w:r w:rsidRPr="00972203">
        <w:rPr>
          <w:sz w:val="22"/>
          <w:szCs w:val="22"/>
          <w:lang w:val="en-GB"/>
        </w:rPr>
        <w:t>and (iv) fully confined saline aquifers. We assigned a numerical value (0</w:t>
      </w:r>
      <w:r w:rsidR="006F333F">
        <w:rPr>
          <w:sz w:val="22"/>
          <w:szCs w:val="22"/>
          <w:lang w:val="en-GB"/>
        </w:rPr>
        <w:t xml:space="preserve"> to </w:t>
      </w:r>
      <w:r w:rsidRPr="00972203">
        <w:rPr>
          <w:sz w:val="22"/>
          <w:szCs w:val="22"/>
          <w:lang w:val="en-GB"/>
        </w:rPr>
        <w:t xml:space="preserve">3) to the sites based on their unit types and their suitability for storage, </w:t>
      </w:r>
      <w:r w:rsidR="006F333F">
        <w:rPr>
          <w:sz w:val="22"/>
          <w:szCs w:val="22"/>
          <w:lang w:val="en-GB"/>
        </w:rPr>
        <w:t>with</w:t>
      </w:r>
      <w:r w:rsidR="006F333F" w:rsidRPr="00972203">
        <w:rPr>
          <w:sz w:val="22"/>
          <w:szCs w:val="22"/>
          <w:lang w:val="en-GB"/>
        </w:rPr>
        <w:t xml:space="preserve"> </w:t>
      </w:r>
      <w:r w:rsidRPr="00972203">
        <w:rPr>
          <w:sz w:val="22"/>
          <w:szCs w:val="22"/>
          <w:lang w:val="en-GB"/>
        </w:rPr>
        <w:t>0 the least</w:t>
      </w:r>
      <w:r w:rsidR="006F333F">
        <w:rPr>
          <w:sz w:val="22"/>
          <w:szCs w:val="22"/>
          <w:lang w:val="en-GB"/>
        </w:rPr>
        <w:t xml:space="preserve"> suitable</w:t>
      </w:r>
      <w:r w:rsidRPr="00972203">
        <w:rPr>
          <w:sz w:val="22"/>
          <w:szCs w:val="22"/>
          <w:lang w:val="en-GB"/>
        </w:rPr>
        <w:t xml:space="preserve"> and 3 the most suitable unit type (positive correlation). Depleted oil and gas fields are considered the best storage type (</w:t>
      </w:r>
      <w:r w:rsidR="006F333F">
        <w:rPr>
          <w:sz w:val="22"/>
          <w:szCs w:val="22"/>
          <w:lang w:val="en-GB"/>
        </w:rPr>
        <w:t xml:space="preserve">giving a </w:t>
      </w:r>
      <w:r w:rsidRPr="00972203">
        <w:rPr>
          <w:sz w:val="22"/>
          <w:szCs w:val="22"/>
          <w:lang w:val="en-GB"/>
        </w:rPr>
        <w:t>value of 3), as these fields feature proven reservoir and caprock properties (since they have hosted hydrocarbons</w:t>
      </w:r>
      <w:r w:rsidR="006F333F">
        <w:rPr>
          <w:sz w:val="22"/>
          <w:szCs w:val="22"/>
          <w:lang w:val="en-GB"/>
        </w:rPr>
        <w:t xml:space="preserve"> for geological time periods</w:t>
      </w:r>
      <w:r w:rsidRPr="00972203">
        <w:rPr>
          <w:sz w:val="22"/>
          <w:szCs w:val="22"/>
          <w:lang w:val="en-GB"/>
        </w:rPr>
        <w:t xml:space="preserve">) and </w:t>
      </w:r>
      <w:r w:rsidR="006F333F">
        <w:rPr>
          <w:sz w:val="22"/>
          <w:szCs w:val="22"/>
          <w:lang w:val="en-GB"/>
        </w:rPr>
        <w:t xml:space="preserve">potentially retain </w:t>
      </w:r>
      <w:r w:rsidRPr="00972203">
        <w:rPr>
          <w:sz w:val="22"/>
          <w:szCs w:val="22"/>
          <w:lang w:val="en-GB"/>
        </w:rPr>
        <w:t xml:space="preserve">redundant infrastructure with </w:t>
      </w:r>
      <w:r w:rsidR="006F333F">
        <w:rPr>
          <w:sz w:val="22"/>
          <w:szCs w:val="22"/>
          <w:lang w:val="en-GB"/>
        </w:rPr>
        <w:t>opportunity</w:t>
      </w:r>
      <w:r w:rsidR="006F333F" w:rsidRPr="00972203">
        <w:rPr>
          <w:sz w:val="22"/>
          <w:szCs w:val="22"/>
          <w:lang w:val="en-GB"/>
        </w:rPr>
        <w:t xml:space="preserve"> </w:t>
      </w:r>
      <w:r w:rsidRPr="00972203">
        <w:rPr>
          <w:sz w:val="22"/>
          <w:szCs w:val="22"/>
          <w:lang w:val="en-GB"/>
        </w:rPr>
        <w:t>for re-use</w:t>
      </w:r>
      <w:r w:rsidR="006F333F">
        <w:rPr>
          <w:sz w:val="22"/>
          <w:szCs w:val="22"/>
          <w:lang w:val="en-GB"/>
        </w:rPr>
        <w:t xml:space="preserve"> and</w:t>
      </w:r>
      <w:r w:rsidRPr="00972203">
        <w:rPr>
          <w:sz w:val="22"/>
          <w:szCs w:val="22"/>
          <w:lang w:val="en-GB"/>
        </w:rPr>
        <w:t xml:space="preserve"> hence </w:t>
      </w:r>
      <w:r w:rsidR="009D05BF" w:rsidRPr="00972203">
        <w:rPr>
          <w:sz w:val="22"/>
          <w:szCs w:val="22"/>
          <w:lang w:val="en-GB"/>
        </w:rPr>
        <w:t>potential for reduced</w:t>
      </w:r>
      <w:r w:rsidRPr="00972203">
        <w:rPr>
          <w:sz w:val="22"/>
          <w:szCs w:val="22"/>
          <w:lang w:val="en-GB"/>
        </w:rPr>
        <w:t xml:space="preserve"> capital costs</w:t>
      </w:r>
      <w:r w:rsidR="009D05BF" w:rsidRPr="00972203">
        <w:rPr>
          <w:sz w:val="22"/>
          <w:szCs w:val="22"/>
          <w:lang w:val="en-GB"/>
        </w:rPr>
        <w:t xml:space="preserve"> </w:t>
      </w:r>
      <w:r w:rsidR="009D05BF" w:rsidRPr="00972203">
        <w:rPr>
          <w:sz w:val="22"/>
          <w:szCs w:val="22"/>
          <w:lang w:val="en-GB"/>
        </w:rPr>
        <w:fldChar w:fldCharType="begin" w:fldLock="1"/>
      </w:r>
      <w:r w:rsidR="009228F4">
        <w:rPr>
          <w:sz w:val="22"/>
          <w:szCs w:val="22"/>
          <w:lang w:val="en-GB"/>
        </w:rPr>
        <w:instrText>ADDIN CSL_CITATION {"citationItems":[{"id":"ITEM-1","itemData":{"DOI":"10.1016/j.jclepro.2019.06.087","ISSN":"09596526","abstract":"Research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Production","id":"ITEM-1","issued":{"date-parts":[["2019","10"]]},"page":"963-971","title":"Acorn: Developing full-chain industrial carbon capture and storage in a resource- and infrastructure-rich hydrocarbon province","type":"article-journal","volume":"233"},"uris":["http://www.mendeley.com/documents/?uuid=70c6bc31-4949-4838-968e-534a31bbff9a"]}],"mendeley":{"formattedCitation":"(Alcalde et al., 2019)","plainTextFormattedCitation":"(Alcalde et al., 2019)","previouslyFormattedCitation":"(Alcalde et al., 2019)"},"properties":{"noteIndex":0},"schema":"https://github.com/citation-style-language/schema/raw/master/csl-citation.json"}</w:instrText>
      </w:r>
      <w:r w:rsidR="009D05BF" w:rsidRPr="00972203">
        <w:rPr>
          <w:sz w:val="22"/>
          <w:szCs w:val="22"/>
          <w:lang w:val="en-GB"/>
        </w:rPr>
        <w:fldChar w:fldCharType="separate"/>
      </w:r>
      <w:r w:rsidR="00C01E2D" w:rsidRPr="00C01E2D">
        <w:rPr>
          <w:noProof/>
          <w:sz w:val="22"/>
          <w:szCs w:val="22"/>
          <w:lang w:val="en-GB"/>
        </w:rPr>
        <w:t>(Alcalde et al., 2019)</w:t>
      </w:r>
      <w:r w:rsidR="009D05BF" w:rsidRPr="00972203">
        <w:rPr>
          <w:sz w:val="22"/>
          <w:szCs w:val="22"/>
          <w:lang w:val="en-GB"/>
        </w:rPr>
        <w:fldChar w:fldCharType="end"/>
      </w:r>
      <w:r w:rsidRPr="00972203">
        <w:rPr>
          <w:sz w:val="22"/>
          <w:szCs w:val="22"/>
          <w:lang w:val="en-GB"/>
        </w:rPr>
        <w:t>.</w:t>
      </w:r>
      <w:r w:rsidR="00902B91">
        <w:rPr>
          <w:sz w:val="22"/>
          <w:szCs w:val="22"/>
          <w:lang w:val="en-GB"/>
        </w:rPr>
        <w:t xml:space="preserve"> Oil and gas structures are suitable for storage as long as the </w:t>
      </w:r>
      <w:r w:rsidR="00902B91" w:rsidRPr="00902B91">
        <w:rPr>
          <w:szCs w:val="22"/>
          <w:lang w:val="en-GB"/>
        </w:rPr>
        <w:t>CO</w:t>
      </w:r>
      <w:r w:rsidR="00902B91" w:rsidRPr="00902B91">
        <w:rPr>
          <w:szCs w:val="22"/>
          <w:vertAlign w:val="subscript"/>
          <w:lang w:val="en-GB"/>
        </w:rPr>
        <w:t>2</w:t>
      </w:r>
      <w:r w:rsidR="00902B91">
        <w:rPr>
          <w:sz w:val="22"/>
          <w:szCs w:val="22"/>
          <w:lang w:val="en-GB"/>
        </w:rPr>
        <w:t xml:space="preserve"> injection does not </w:t>
      </w:r>
      <w:r w:rsidR="00430227">
        <w:rPr>
          <w:sz w:val="22"/>
          <w:szCs w:val="22"/>
          <w:lang w:val="en-GB"/>
        </w:rPr>
        <w:t>mobilise the trapped hydrocarbons</w:t>
      </w:r>
      <w:r w:rsidR="00430227" w:rsidRPr="00430227">
        <w:rPr>
          <w:sz w:val="22"/>
          <w:szCs w:val="22"/>
          <w:lang w:val="en-GB"/>
        </w:rPr>
        <w:t xml:space="preserve"> </w:t>
      </w:r>
      <w:r w:rsidR="00430227">
        <w:rPr>
          <w:sz w:val="22"/>
          <w:szCs w:val="22"/>
          <w:lang w:val="en-GB"/>
        </w:rPr>
        <w:t xml:space="preserve">remaining </w:t>
      </w:r>
      <w:r w:rsidR="00430227">
        <w:rPr>
          <w:sz w:val="22"/>
          <w:szCs w:val="22"/>
          <w:lang w:val="en-GB"/>
        </w:rPr>
        <w:fldChar w:fldCharType="begin" w:fldLock="1"/>
      </w:r>
      <w:r w:rsidR="00CE765F">
        <w:rPr>
          <w:sz w:val="22"/>
          <w:szCs w:val="22"/>
          <w:lang w:val="en-GB"/>
        </w:rPr>
        <w:instrText>ADDIN CSL_CITATION {"citationItems":[{"id":"ITEM-1","itemData":{"DOI":"10.1016/j.apenergy.2020.115634","ISSN":"03062619","author":[{"dropping-particle":"","family":"Ghanbari","given":"Saeed","non-dropping-particle":"","parse-names":false,"suffix":""},{"dropping-particle":"","family":"Mackay","given":"Eric J.","non-dropping-particle":"","parse-names":false,"suffix":""},{"dropping-particle":"","family":"Heinemann","given":"Niklas","non-dropping-particle":"","parse-names":false,"suffix":""},{"dropping-particle":"","family":"Alcalde","given":"Juan","non-dropping-particle":"","parse-names":false,"suffix":""},{"dropping-particle":"","family":"James","given":"Alan","non-dropping-particle":"","parse-names":false,"suffix":""},{"dropping-particle":"","family":"Allen","given":"Michael J.","non-dropping-particle":"","parse-names":false,"suffix":""}],"container-title":"Applied Energy","id":"ITEM-1","issue":"July","issued":{"date-parts":[["2020","11"]]},"page":"115634","publisher":"Elsevier Ltd","title":"Impact of CO2 Mixing with Trapped Hydrocarbons on CO2 Storage Capacity and Security in a Saline Aquifer – Case Study from the Captain Sandstone, Moray Firth, UK","type":"article-journal","volume":"278"},"uris":["http://www.mendeley.com/documents/?uuid=b9e16d47-a207-4e5e-8125-7b295a102cb2"]}],"mendeley":{"formattedCitation":"(Ghanbari et al., 2020)","plainTextFormattedCitation":"(Ghanbari et al., 2020)","previouslyFormattedCitation":"(Ghanbari et al., 2020)"},"properties":{"noteIndex":0},"schema":"https://github.com/citation-style-language/schema/raw/master/csl-citation.json"}</w:instrText>
      </w:r>
      <w:r w:rsidR="00430227">
        <w:rPr>
          <w:sz w:val="22"/>
          <w:szCs w:val="22"/>
          <w:lang w:val="en-GB"/>
        </w:rPr>
        <w:fldChar w:fldCharType="separate"/>
      </w:r>
      <w:r w:rsidR="00C01E2D" w:rsidRPr="00C01E2D">
        <w:rPr>
          <w:noProof/>
          <w:sz w:val="22"/>
          <w:szCs w:val="22"/>
          <w:lang w:val="en-GB"/>
        </w:rPr>
        <w:t>(Ghanbari et al., 2020)</w:t>
      </w:r>
      <w:r w:rsidR="00430227">
        <w:rPr>
          <w:sz w:val="22"/>
          <w:szCs w:val="22"/>
          <w:lang w:val="en-GB"/>
        </w:rPr>
        <w:fldChar w:fldCharType="end"/>
      </w:r>
      <w:r w:rsidR="00430227">
        <w:rPr>
          <w:sz w:val="22"/>
          <w:szCs w:val="22"/>
          <w:lang w:val="en-GB"/>
        </w:rPr>
        <w:t xml:space="preserve">. </w:t>
      </w:r>
      <w:r w:rsidRPr="00972203">
        <w:rPr>
          <w:sz w:val="22"/>
          <w:szCs w:val="22"/>
          <w:lang w:val="en-GB"/>
        </w:rPr>
        <w:t xml:space="preserve">For the remaining types, open aquifers with </w:t>
      </w:r>
      <w:r w:rsidR="006F333F">
        <w:rPr>
          <w:sz w:val="22"/>
          <w:szCs w:val="22"/>
          <w:lang w:val="en-GB"/>
        </w:rPr>
        <w:t>identified</w:t>
      </w:r>
      <w:r w:rsidR="006F333F" w:rsidRPr="00972203">
        <w:rPr>
          <w:sz w:val="22"/>
          <w:szCs w:val="22"/>
          <w:lang w:val="en-GB"/>
        </w:rPr>
        <w:t xml:space="preserve"> </w:t>
      </w:r>
      <w:r w:rsidRPr="00972203">
        <w:rPr>
          <w:sz w:val="22"/>
          <w:szCs w:val="22"/>
          <w:lang w:val="en-GB"/>
        </w:rPr>
        <w:t xml:space="preserve">structures (value of 2) are considered more suitable than aquifers without identified structural constraints (value of 1), as they bear lower uncertainty about the reservoir architecture. </w:t>
      </w:r>
      <w:r w:rsidR="0082516C">
        <w:rPr>
          <w:sz w:val="22"/>
          <w:szCs w:val="22"/>
          <w:lang w:val="en-GB"/>
        </w:rPr>
        <w:t>Fully c</w:t>
      </w:r>
      <w:r w:rsidRPr="00972203">
        <w:rPr>
          <w:sz w:val="22"/>
          <w:szCs w:val="22"/>
          <w:lang w:val="en-GB"/>
        </w:rPr>
        <w:t xml:space="preserve">onfined saline aquifers are considered the least suitable type (value of 0), as the confinement can create pressure issues during the injection, affecting the capacity and potentially increasing the risk of leakage through, for example, near-wellbore structures or faults </w:t>
      </w:r>
      <w:r w:rsidR="00A73A1C" w:rsidRPr="00972203">
        <w:rPr>
          <w:noProof/>
          <w:sz w:val="22"/>
          <w:szCs w:val="22"/>
          <w:lang w:val="en-GB"/>
        </w:rPr>
        <w:fldChar w:fldCharType="begin" w:fldLock="1"/>
      </w:r>
      <w:r w:rsidR="009D58AA">
        <w:rPr>
          <w:noProof/>
          <w:sz w:val="22"/>
          <w:szCs w:val="22"/>
          <w:lang w:val="en-GB"/>
        </w:rPr>
        <w:instrText>ADDIN CSL_CITATION {"citationItems":[{"id":"ITEM-1","itemData":{"DOI":"10.1016/j.ijggc.2017.02.010","ISSN":"17505836","abstract":"Fluid injection in the subsurface has significantly increased over the last decades. Since fluid injection causes pressure buildup, reducing effective stresses, shear failure conditions may eventually occur, inducing microseismic and seismic events. Anticipating felt induced earthquakes that may be triggered in undetected faults is crucial for the success of fluid injection projects. We propose a methodology to detect and locate such low-permeability faults to reduce the risk of inducing felt seismic events. The methodology consists in using diagnostic plots to identify the divergence time between the logarithmic derivative of overpressure evolution measured in the field and the one that would correspond to an aquifer including the previously identified heterogeneities. We apply the proposed methodology to water and CO2injection through a horizontal well in a confined aquifer that has faults parallel to the well. We numerically obtain type curves that allow locating low-permeability faults once the divergence time is determined from the logarithmic derivative of overpressure for both water and CO2injection. Furthermore, we illustrate how to apply the methodology to detect multiple low-permeability faults. To perform a proper pressure management based on fault stability analysis to minimize the risk of inducing felt seismic events, the proposed methodology should be complemented with other multidisciplinary tools. This methodology can be extended to other geological settings and be used in several fluid injection applications.","author":[{"dropping-particle":"","family":"Vilarrasa","given":"Victor","non-dropping-particle":"","parse-names":false,"suffix":""},{"dropping-particle":"","family":"Bustarret","given":"Gil","non-dropping-particle":"","parse-names":false,"suffix":""},{"dropping-particle":"","family":"Laloui","given":"Lyesse","non-dropping-particle":"","parse-names":false,"suffix":""},{"dropping-particle":"","family":"Zeidouni","given":"Mehdi","non-dropping-particle":"","parse-names":false,"suffix":""}],"container-title":"International Journal of Greenhouse Gas Control","id":"ITEM-1","issued":{"date-parts":[["2017"]]},"page":"110-122","title":"A methodology to detect and locate low-permeability faults to reduce the risk of inducing seismicity of fluid injection operations in deep saline formations","type":"article-journal","volume":"59"},"uris":["http://www.mendeley.com/documents/?uuid=bf00938f-532e-474d-a6d0-d7b96dce311a"]},{"id":"ITEM-2","itemData":{"DOI":"10.2516/ogst/2010007","ISSN":"1294-4475","author":[{"dropping-particle":"","family":"Fleury","given":"M.","non-dropping-particle":"","parse-names":false,"suffix":""},{"dropping-particle":"","family":"Pironon","given":"J.","non-dropping-particle":"","parse-names":false,"suffix":""},{"dropping-particle":"","family":"Nindre","given":"Y.M.","non-dropping-particle":"Le","parse-names":false,"suffix":""},{"dropping-particle":"","family":"Bildstein","given":"O.","non-dropping-particle":"","parse-names":false,"suffix":""},{"dropping-particle":"","family":"Berne","given":"P.","non-dropping-particle":"","parse-names":false,"suffix":""},{"dropping-particle":"","family":"Lagneau","given":"V.","non-dropping-particle":"","parse-names":false,"suffix":""},{"dropping-particle":"","family":"Broseta","given":"D.","non-dropping-particle":"","parse-names":false,"suffix":""},{"dropping-particle":"","family":"Pichery","given":"T.","non-dropping-particle":"","parse-names":false,"suffix":""},{"dropping-particle":"","family":"Fillacier","given":"S.","non-dropping-particle":"","parse-names":false,"suffix":""},{"dropping-particle":"","family":"Lescanne","given":"M.","non-dropping-particle":"","parse-names":false,"suffix":""},{"dropping-particle":"","family":"Vidal","given":"O.","non-dropping-particle":"","parse-names":false,"suffix":""}],"container-title":"Oil &amp; Gas Science and Technology – Revue de l’Institut Français du Pétrole","id":"ITEM-2","issue":"3","issued":{"date-parts":[["2010"]]},"page":"435-444","title":"Storage: an Overview of the Geocarbone-Integrity Program and Results","type":"article-journal","volume":"65"},"uris":["http://www.mendeley.com/documents/?uuid=a9fc3253-7503-4cb4-97cd-bc5803a0e9e4"]}],"mendeley":{"formattedCitation":"(Fleury et al., 2010; Vilarrasa et al., 2017)","plainTextFormattedCitation":"(Fleury et al., 2010; Vilarrasa et al., 2017)","previouslyFormattedCitation":"(Fleury et al., 2010; Vilarrasa et al., 2017)"},"properties":{"noteIndex":0},"schema":"https://github.com/citation-style-language/schema/raw/master/csl-citation.json"}</w:instrText>
      </w:r>
      <w:r w:rsidR="00A73A1C" w:rsidRPr="00972203">
        <w:rPr>
          <w:noProof/>
          <w:sz w:val="22"/>
          <w:szCs w:val="22"/>
          <w:lang w:val="en-GB"/>
        </w:rPr>
        <w:fldChar w:fldCharType="separate"/>
      </w:r>
      <w:r w:rsidR="00C01E2D" w:rsidRPr="00C01E2D">
        <w:rPr>
          <w:noProof/>
          <w:sz w:val="22"/>
          <w:szCs w:val="22"/>
          <w:lang w:val="en-GB"/>
        </w:rPr>
        <w:t>(Fleury et al., 2010; Vilarrasa et al., 2017)</w:t>
      </w:r>
      <w:r w:rsidR="00A73A1C" w:rsidRPr="00972203">
        <w:rPr>
          <w:noProof/>
          <w:sz w:val="22"/>
          <w:szCs w:val="22"/>
          <w:lang w:val="en-GB"/>
        </w:rPr>
        <w:fldChar w:fldCharType="end"/>
      </w:r>
      <w:r w:rsidRPr="00972203">
        <w:rPr>
          <w:sz w:val="22"/>
          <w:szCs w:val="22"/>
          <w:lang w:val="en-GB"/>
        </w:rPr>
        <w:t>.</w:t>
      </w:r>
    </w:p>
    <w:p w14:paraId="64029980" w14:textId="289B9269" w:rsidR="004D1F71" w:rsidRPr="00972203" w:rsidRDefault="004D1F71" w:rsidP="004D1F71">
      <w:pPr>
        <w:pStyle w:val="BodyText"/>
        <w:spacing w:after="120" w:line="276" w:lineRule="auto"/>
        <w:rPr>
          <w:sz w:val="22"/>
          <w:szCs w:val="22"/>
          <w:lang w:val="en-GB"/>
        </w:rPr>
      </w:pPr>
      <w:r w:rsidRPr="00972203">
        <w:rPr>
          <w:sz w:val="22"/>
          <w:szCs w:val="22"/>
          <w:lang w:val="en-GB"/>
        </w:rPr>
        <w:t xml:space="preserve">The fourth factor </w:t>
      </w:r>
      <w:r w:rsidR="00624DE6">
        <w:rPr>
          <w:sz w:val="22"/>
          <w:szCs w:val="22"/>
          <w:lang w:val="en-GB"/>
        </w:rPr>
        <w:t xml:space="preserve">is </w:t>
      </w:r>
      <w:r w:rsidRPr="00972203">
        <w:rPr>
          <w:sz w:val="22"/>
          <w:szCs w:val="22"/>
          <w:lang w:val="en-GB"/>
        </w:rPr>
        <w:t xml:space="preserve">leakage risk, </w:t>
      </w:r>
      <w:r w:rsidR="006F333F">
        <w:rPr>
          <w:sz w:val="22"/>
          <w:szCs w:val="22"/>
          <w:lang w:val="en-GB"/>
        </w:rPr>
        <w:t>which</w:t>
      </w:r>
      <w:r w:rsidR="006F333F" w:rsidRPr="00972203">
        <w:rPr>
          <w:sz w:val="22"/>
          <w:szCs w:val="22"/>
          <w:lang w:val="en-GB"/>
        </w:rPr>
        <w:t xml:space="preserve"> </w:t>
      </w:r>
      <w:r w:rsidRPr="00972203">
        <w:rPr>
          <w:sz w:val="22"/>
          <w:szCs w:val="22"/>
          <w:lang w:val="en-GB"/>
        </w:rPr>
        <w:t xml:space="preserve">combines the risk of leakage through abandoned wells </w:t>
      </w:r>
      <w:r w:rsidR="00430227">
        <w:rPr>
          <w:sz w:val="22"/>
          <w:szCs w:val="22"/>
          <w:lang w:val="en-GB"/>
        </w:rPr>
        <w:t xml:space="preserve">(well risk) </w:t>
      </w:r>
      <w:r w:rsidRPr="00972203">
        <w:rPr>
          <w:sz w:val="22"/>
          <w:szCs w:val="22"/>
          <w:lang w:val="en-GB"/>
        </w:rPr>
        <w:t>and through geological features in</w:t>
      </w:r>
      <w:r w:rsidR="006F333F">
        <w:rPr>
          <w:sz w:val="22"/>
          <w:szCs w:val="22"/>
          <w:lang w:val="en-GB"/>
        </w:rPr>
        <w:t>, or at the top of,</w:t>
      </w:r>
      <w:r w:rsidRPr="00972203">
        <w:rPr>
          <w:sz w:val="22"/>
          <w:szCs w:val="22"/>
          <w:lang w:val="en-GB"/>
        </w:rPr>
        <w:t xml:space="preserve"> the stor</w:t>
      </w:r>
      <w:r w:rsidR="00624DE6">
        <w:rPr>
          <w:sz w:val="22"/>
          <w:szCs w:val="22"/>
          <w:lang w:val="en-GB"/>
        </w:rPr>
        <w:t>age</w:t>
      </w:r>
      <w:r w:rsidRPr="00972203">
        <w:rPr>
          <w:sz w:val="22"/>
          <w:szCs w:val="22"/>
          <w:lang w:val="en-GB"/>
        </w:rPr>
        <w:t xml:space="preserve"> </w:t>
      </w:r>
      <w:r w:rsidR="00624DE6">
        <w:rPr>
          <w:sz w:val="22"/>
          <w:szCs w:val="22"/>
          <w:lang w:val="en-GB"/>
        </w:rPr>
        <w:t>volume</w:t>
      </w:r>
      <w:r w:rsidR="00430227">
        <w:rPr>
          <w:sz w:val="22"/>
          <w:szCs w:val="22"/>
          <w:lang w:val="en-GB"/>
        </w:rPr>
        <w:t xml:space="preserve"> (geological risk)</w:t>
      </w:r>
      <w:r w:rsidRPr="00972203">
        <w:rPr>
          <w:sz w:val="22"/>
          <w:szCs w:val="22"/>
          <w:lang w:val="en-GB"/>
        </w:rPr>
        <w:t>. In terms of geological risk, the CO</w:t>
      </w:r>
      <w:r w:rsidRPr="00972203">
        <w:rPr>
          <w:sz w:val="22"/>
          <w:szCs w:val="22"/>
          <w:vertAlign w:val="subscript"/>
          <w:lang w:val="en-GB"/>
        </w:rPr>
        <w:t>2</w:t>
      </w:r>
      <w:r w:rsidRPr="00972203">
        <w:rPr>
          <w:sz w:val="22"/>
          <w:szCs w:val="22"/>
          <w:lang w:val="en-GB"/>
        </w:rPr>
        <w:t>Stored database contains a qualitative assessment of six factors related to the containment risk of each site. These factors relate to the caprock seal (</w:t>
      </w:r>
      <w:proofErr w:type="gramStart"/>
      <w:r w:rsidRPr="00972203">
        <w:rPr>
          <w:sz w:val="22"/>
          <w:szCs w:val="22"/>
          <w:lang w:val="en-GB"/>
        </w:rPr>
        <w:t>i.e.</w:t>
      </w:r>
      <w:proofErr w:type="gramEnd"/>
      <w:r w:rsidRPr="00972203">
        <w:rPr>
          <w:sz w:val="22"/>
          <w:szCs w:val="22"/>
          <w:lang w:val="en-GB"/>
        </w:rPr>
        <w:t xml:space="preserve"> fracture pressure capacity, seal </w:t>
      </w:r>
      <w:r w:rsidR="006F333F">
        <w:rPr>
          <w:sz w:val="22"/>
          <w:szCs w:val="22"/>
          <w:lang w:val="en-GB"/>
        </w:rPr>
        <w:t>geo</w:t>
      </w:r>
      <w:r w:rsidRPr="00972203">
        <w:rPr>
          <w:sz w:val="22"/>
          <w:szCs w:val="22"/>
          <w:lang w:val="en-GB"/>
        </w:rPr>
        <w:t>chemical reactivity and seal degradation), and to the presence of faults in the stor</w:t>
      </w:r>
      <w:r w:rsidR="00A96F73">
        <w:rPr>
          <w:sz w:val="22"/>
          <w:szCs w:val="22"/>
          <w:lang w:val="en-GB"/>
        </w:rPr>
        <w:t>age</w:t>
      </w:r>
      <w:r w:rsidRPr="00972203">
        <w:rPr>
          <w:sz w:val="22"/>
          <w:szCs w:val="22"/>
          <w:lang w:val="en-GB"/>
        </w:rPr>
        <w:t xml:space="preserve"> area (i.e. fault density, throw of the faults and relationship with the seal thickness and vertical extent of the faults). The seal </w:t>
      </w:r>
      <w:r w:rsidR="006F333F">
        <w:rPr>
          <w:sz w:val="22"/>
          <w:szCs w:val="22"/>
          <w:lang w:val="en-GB"/>
        </w:rPr>
        <w:t>geo</w:t>
      </w:r>
      <w:r w:rsidRPr="00972203">
        <w:rPr>
          <w:sz w:val="22"/>
          <w:szCs w:val="22"/>
          <w:lang w:val="en-GB"/>
        </w:rPr>
        <w:t>chemical reactivity factor was left out of the assessment, as the current understanding of the geochemical processes interface indicates that the reactivity at the CO</w:t>
      </w:r>
      <w:r w:rsidRPr="00972203">
        <w:rPr>
          <w:sz w:val="22"/>
          <w:szCs w:val="22"/>
          <w:vertAlign w:val="subscript"/>
          <w:lang w:val="en-GB"/>
        </w:rPr>
        <w:t>2</w:t>
      </w:r>
      <w:r w:rsidRPr="00972203">
        <w:rPr>
          <w:sz w:val="22"/>
          <w:szCs w:val="22"/>
          <w:lang w:val="en-GB"/>
        </w:rPr>
        <w:t xml:space="preserve">-seal interface and the subsequent leakage potential is </w:t>
      </w:r>
      <w:r w:rsidR="001705AE" w:rsidRPr="00972203">
        <w:rPr>
          <w:sz w:val="22"/>
          <w:szCs w:val="22"/>
          <w:lang w:val="en-GB"/>
        </w:rPr>
        <w:t>negligible</w:t>
      </w:r>
      <w:r w:rsidRPr="00972203">
        <w:rPr>
          <w:sz w:val="22"/>
          <w:szCs w:val="22"/>
          <w:lang w:val="en-GB"/>
        </w:rPr>
        <w:t xml:space="preserve"> </w:t>
      </w:r>
      <w:r w:rsidR="001705AE" w:rsidRPr="00972203">
        <w:rPr>
          <w:noProof/>
          <w:sz w:val="22"/>
          <w:szCs w:val="22"/>
          <w:lang w:val="en-GB"/>
        </w:rPr>
        <w:fldChar w:fldCharType="begin" w:fldLock="1"/>
      </w:r>
      <w:r w:rsidR="009D58AA">
        <w:rPr>
          <w:noProof/>
          <w:sz w:val="22"/>
          <w:szCs w:val="22"/>
          <w:lang w:val="en-GB"/>
        </w:rPr>
        <w:instrText>ADDIN CSL_CITATION {"citationItems":[{"id":"ITEM-1","itemData":{"DOI":"10.1016/j.ijggc.2012.01.012","ISSN":"17505836","abstract":"Long term containment of stored CO 2 in deep geological reservoirs will depend on the performance of the caprock to prevent the buoyant CO 2 from escaping to shallow drinking water aquifers or the ground surface. Here we report new laboratory experiments on CO 2-brine-caprock interactions and a review of the relevant literature.The Eau Claire Formation is the caprock overlying the Mount Simon sandstone formation, one of the target geological CO 2 storage reservoirs in the Midwest USA region. Batch experiments of Eau Claire shale dissolution in brine were conducted at 200°C and 300bars to test the extent of fluid-rock reactions. Scanning electron microscopy (SEM) and X-ray diffraction (XRD) analysis indicate minor dissolution of K-feldspar and anhydrite, and precipitation of pore-filling and pore-bridging illite and/or smectite, and siderite in the vicinity of pyrite.We also reviewed relevant reactivity experiments, modeling work, and field observations in the literature in an attempt to help define the framework for future studies on the geochemical systems of the caprock overlain on geological CO 2 storage formations. Reactivity of the caprock is generally shown to be low and limited to the vicinity of the CO 2-caprock interface, and is related to the original caprock mineralogical and petrophysical properties. Stable isotope studies indicate that CO 2 exists in both free phase and dissolved phase within the caprock. Carbonate and feldspar dissolution is reported in most studies, along with clay and secondary carbonate precipitation. Currently, research is mainly focused on the micro-fracture scale geochemistry of the shaly caprock. More attention is required on the potential pore scale reactions that may become significant given the long time scale associated with geological carbon storage. © 2012 Elsevier Ltd.","author":[{"dropping-particle":"","family":"Liu","given":"Faye","non-dropping-particle":"","parse-names":false,"suffix":""},{"dropping-particle":"","family":"Lu","given":"Peng","non-dropping-particle":"","parse-names":false,"suffix":""},{"dropping-particle":"","family":"Griffith","given":"Craig","non-dropping-particle":"","parse-names":false,"suffix":""},{"dropping-particle":"","family":"Hedges","given":"Sheila W.","non-dropping-particle":"","parse-names":false,"suffix":""},{"dropping-particle":"","family":"Soong","given":"Yee","non-dropping-particle":"","parse-names":false,"suffix":""},{"dropping-particle":"","family":"Hellevang","given":"Helge","non-dropping-particle":"","parse-names":false,"suffix":""},{"dropping-particle":"","family":"Zhu","given":"Chen","non-dropping-particle":"","parse-names":false,"suffix":""}],"container-title":"International Journal of Greenhouse Gas Control","id":"ITEM-1","issued":{"date-parts":[["2012"]]},"page":"153-167","publisher":"Elsevier Ltd","title":"CO 2-brine-caprock interaction: Reactivity experiments on Eau Claire shale and a review of relevant literature","type":"article-journal","volume":"7"},"uris":["http://www.mendeley.com/documents/?uuid=0d4a43d1-2b27-4f2a-beea-c1f636b0c58f"]}],"mendeley":{"formattedCitation":"(Liu et al., 2012)","plainTextFormattedCitation":"(Liu et al., 2012)","previouslyFormattedCitation":"(Liu et al., 2012)"},"properties":{"noteIndex":0},"schema":"https://github.com/citation-style-language/schema/raw/master/csl-citation.json"}</w:instrText>
      </w:r>
      <w:r w:rsidR="001705AE" w:rsidRPr="00972203">
        <w:rPr>
          <w:noProof/>
          <w:sz w:val="22"/>
          <w:szCs w:val="22"/>
          <w:lang w:val="en-GB"/>
        </w:rPr>
        <w:fldChar w:fldCharType="separate"/>
      </w:r>
      <w:r w:rsidR="00C01E2D" w:rsidRPr="00C01E2D">
        <w:rPr>
          <w:noProof/>
          <w:sz w:val="22"/>
          <w:szCs w:val="22"/>
          <w:lang w:val="en-GB"/>
        </w:rPr>
        <w:t>(Liu et al., 2012)</w:t>
      </w:r>
      <w:r w:rsidR="001705AE" w:rsidRPr="00972203">
        <w:rPr>
          <w:noProof/>
          <w:sz w:val="22"/>
          <w:szCs w:val="22"/>
          <w:lang w:val="en-GB"/>
        </w:rPr>
        <w:fldChar w:fldCharType="end"/>
      </w:r>
      <w:r w:rsidRPr="00972203">
        <w:rPr>
          <w:sz w:val="22"/>
          <w:szCs w:val="22"/>
          <w:lang w:val="en-GB"/>
        </w:rPr>
        <w:t xml:space="preserve">. For the calculation of the leakage risk (“geo-risk”), a value was assigned to each factor, according to their likelihood of failure assessment: 1 for “low”, 2 for “medium” and 3 for “high” risk. Each site has therefore </w:t>
      </w:r>
      <w:r w:rsidR="006F333F">
        <w:rPr>
          <w:sz w:val="22"/>
          <w:szCs w:val="22"/>
          <w:lang w:val="en-GB"/>
        </w:rPr>
        <w:t>given</w:t>
      </w:r>
      <w:r w:rsidR="006F333F" w:rsidRPr="00972203">
        <w:rPr>
          <w:sz w:val="22"/>
          <w:szCs w:val="22"/>
          <w:lang w:val="en-GB"/>
        </w:rPr>
        <w:t xml:space="preserve"> </w:t>
      </w:r>
      <w:r w:rsidRPr="00972203">
        <w:rPr>
          <w:sz w:val="22"/>
          <w:szCs w:val="22"/>
          <w:lang w:val="en-GB"/>
        </w:rPr>
        <w:t xml:space="preserve">a combined </w:t>
      </w:r>
      <w:proofErr w:type="spellStart"/>
      <w:r w:rsidRPr="00972203">
        <w:rPr>
          <w:sz w:val="22"/>
          <w:szCs w:val="22"/>
          <w:lang w:val="en-GB"/>
        </w:rPr>
        <w:t>georisk</w:t>
      </w:r>
      <w:proofErr w:type="spellEnd"/>
      <w:r w:rsidRPr="00972203">
        <w:rPr>
          <w:sz w:val="22"/>
          <w:szCs w:val="22"/>
          <w:lang w:val="en-GB"/>
        </w:rPr>
        <w:t xml:space="preserve"> factor, resulting from the sum of the individual assessments. The resulting geo-risk factor ranges from 5 (low risk) to a maximum of 13 (high risk). </w:t>
      </w:r>
    </w:p>
    <w:p w14:paraId="52C7A7FA" w14:textId="134C122D" w:rsidR="004D1F71" w:rsidRPr="00972203" w:rsidRDefault="004D1F71" w:rsidP="004D1F71">
      <w:pPr>
        <w:pStyle w:val="BodyText"/>
        <w:spacing w:after="120" w:line="276" w:lineRule="auto"/>
        <w:rPr>
          <w:sz w:val="22"/>
          <w:szCs w:val="22"/>
          <w:lang w:val="en-GB"/>
        </w:rPr>
      </w:pPr>
      <w:r w:rsidRPr="00972203">
        <w:rPr>
          <w:sz w:val="22"/>
          <w:szCs w:val="22"/>
          <w:lang w:val="en-GB"/>
        </w:rPr>
        <w:t>Abandoned wells are a major source of leakage risk, particularly in well-</w:t>
      </w:r>
      <w:r w:rsidR="006F333F">
        <w:rPr>
          <w:sz w:val="22"/>
          <w:szCs w:val="22"/>
          <w:lang w:val="en-GB"/>
        </w:rPr>
        <w:t>exploited</w:t>
      </w:r>
      <w:r w:rsidRPr="00972203">
        <w:rPr>
          <w:sz w:val="22"/>
          <w:szCs w:val="22"/>
          <w:lang w:val="en-GB"/>
        </w:rPr>
        <w:t xml:space="preserve"> hydrocarbon provinces such as the North Sea </w:t>
      </w:r>
      <w:r w:rsidR="001705AE" w:rsidRPr="00972203">
        <w:rPr>
          <w:sz w:val="22"/>
          <w:szCs w:val="22"/>
          <w:lang w:val="en-GB"/>
        </w:rPr>
        <w:fldChar w:fldCharType="begin" w:fldLock="1"/>
      </w:r>
      <w:r w:rsidR="009D58AA">
        <w:rPr>
          <w:sz w:val="22"/>
          <w:szCs w:val="22"/>
          <w:lang w:val="en-GB"/>
        </w:rPr>
        <w:instrText>ADDIN CSL_CITATION {"citationItems":[{"id":"ITEM-1","itemData":{"DOI":"10.1038/s41467-018-04423-1","ISSN":"2041-1723","abstract":"Carbon Capture and Storage (CCS) can help nations meet their Paris CO2 reduction commitments cost-effectively. However, lack of confidence in geologic CO2 storage security remains a barrier to CCS implementation. Here we present a numerical program that calculates CO2 storage security and leakage to the atmosphere over 10,000 years. This combines quantitative estimates of geological subsurface CO2 retention, and of surface CO2 leakage. We calculate that realistically well-regulated storage in regions with moderate well densities has a 50% probability that leakage remains below 0.0008% yr-1, with over 98% of the injected CO2 retained in the subsurface over 10,000 years. An unrealistic scenario, where CO2 storage is inadequately regulated, estimates that more than 78% will be retained over 10,000 years. Our modelling results suggest that geological storage of CO2 can be a secure climate change mitigation option, but we note that long-term behaviour of CO2 in the subsurface remains a key uncertainty.","author":[{"dropping-particle":"","family":"Alcalde","given":"Juan","non-dropping-particle":"","parse-names":false,"suffix":""},{"dropping-particle":"","family":"Flude","given":"Stephanie","non-dropping-particle":"","parse-names":false,"suffix":""},{"dropping-particle":"","family":"Wilkinson","given":"Mark","non-dropping-particle":"","parse-names":false,"suffix":""},{"dropping-particle":"","family":"Johnson","given":"Gareth","non-dropping-particle":"","parse-names":false,"suffix":""},{"dropping-particle":"","family":"Edlmann","given":"Katriona","non-dropping-particle":"","parse-names":false,"suffix":""},{"dropping-particle":"","family":"Bond","given":"Clare E","non-dropping-particle":"","parse-names":false,"suffix":""},{"dropping-particle":"","family":"Scott","given":"Vivian","non-dropping-particle":"","parse-names":false,"suffix":""},{"dropping-particle":"V.","family":"Gilfillan","given":"Stuart M.","non-dropping-particle":"","parse-names":false,"suffix":""},{"dropping-particle":"","family":"Ogaya","given":"Xènia","non-dropping-particle":"","parse-names":false,"suffix":""},{"dropping-particle":"","family":"Haszeldine","given":"R Stuart","non-dropping-particle":"","parse-names":false,"suffix":""}],"container-title":"Nature Communications","id":"ITEM-1","issue":"1","issued":{"date-parts":[["2018","12"]]},"page":"2201","title":"Estimating geological CO2 storage security to deliver on climate mitigation","type":"article-journal","volume":"9"},"uris":["http://www.mendeley.com/documents/?uuid=c1c604d5-5a45-4b56-ad48-bc28449ed1d3"]}],"mendeley":{"formattedCitation":"(Alcalde et al., 2018a)","plainTextFormattedCitation":"(Alcalde et al., 2018a)","previouslyFormattedCitation":"(Alcalde et al., 2018a)"},"properties":{"noteIndex":0},"schema":"https://github.com/citation-style-language/schema/raw/master/csl-citation.json"}</w:instrText>
      </w:r>
      <w:r w:rsidR="001705AE" w:rsidRPr="00972203">
        <w:rPr>
          <w:sz w:val="22"/>
          <w:szCs w:val="22"/>
          <w:lang w:val="en-GB"/>
        </w:rPr>
        <w:fldChar w:fldCharType="separate"/>
      </w:r>
      <w:r w:rsidR="00C01E2D" w:rsidRPr="00C01E2D">
        <w:rPr>
          <w:noProof/>
          <w:sz w:val="22"/>
          <w:szCs w:val="22"/>
          <w:lang w:val="en-GB"/>
        </w:rPr>
        <w:t>(Alcalde et al., 2018a)</w:t>
      </w:r>
      <w:r w:rsidR="001705AE" w:rsidRPr="00972203">
        <w:rPr>
          <w:sz w:val="22"/>
          <w:szCs w:val="22"/>
          <w:lang w:val="en-GB"/>
        </w:rPr>
        <w:fldChar w:fldCharType="end"/>
      </w:r>
      <w:r w:rsidRPr="00972203">
        <w:rPr>
          <w:sz w:val="22"/>
          <w:szCs w:val="22"/>
          <w:lang w:val="en-GB"/>
        </w:rPr>
        <w:t>. In this study, a well-risk factor was calculated based on the ratio of hydrocarbon wells per area in the store (in wells/km</w:t>
      </w:r>
      <w:r w:rsidRPr="00972203">
        <w:rPr>
          <w:sz w:val="22"/>
          <w:szCs w:val="22"/>
          <w:vertAlign w:val="superscript"/>
          <w:lang w:val="en-GB"/>
        </w:rPr>
        <w:t>2</w:t>
      </w:r>
      <w:r w:rsidRPr="00972203">
        <w:rPr>
          <w:sz w:val="22"/>
          <w:szCs w:val="22"/>
          <w:lang w:val="en-GB"/>
        </w:rPr>
        <w:t xml:space="preserve">). The status and quality of the wells is not taken into consideration at this stage as this would be impractical due to the </w:t>
      </w:r>
      <w:r w:rsidR="006F333F">
        <w:rPr>
          <w:sz w:val="22"/>
          <w:szCs w:val="22"/>
          <w:lang w:val="en-GB"/>
        </w:rPr>
        <w:t>large quantity</w:t>
      </w:r>
      <w:r w:rsidR="006F333F" w:rsidRPr="00972203">
        <w:rPr>
          <w:sz w:val="22"/>
          <w:szCs w:val="22"/>
          <w:lang w:val="en-GB"/>
        </w:rPr>
        <w:t xml:space="preserve"> </w:t>
      </w:r>
      <w:r w:rsidRPr="00972203">
        <w:rPr>
          <w:sz w:val="22"/>
          <w:szCs w:val="22"/>
          <w:lang w:val="en-GB"/>
        </w:rPr>
        <w:t xml:space="preserve">of wells to be checked, so the well-risk factor is only dependent on the </w:t>
      </w:r>
      <w:r w:rsidR="006F333F">
        <w:rPr>
          <w:sz w:val="22"/>
          <w:szCs w:val="22"/>
          <w:lang w:val="en-GB"/>
        </w:rPr>
        <w:t>number</w:t>
      </w:r>
      <w:r w:rsidR="006F333F" w:rsidRPr="00972203">
        <w:rPr>
          <w:sz w:val="22"/>
          <w:szCs w:val="22"/>
          <w:lang w:val="en-GB"/>
        </w:rPr>
        <w:t xml:space="preserve"> </w:t>
      </w:r>
      <w:r w:rsidRPr="00972203">
        <w:rPr>
          <w:sz w:val="22"/>
          <w:szCs w:val="22"/>
          <w:lang w:val="en-GB"/>
        </w:rPr>
        <w:t>of wells present in the store. As the saline aquifers have significantly greater areas than depleted oil and gas fields, the ratio of wells</w:t>
      </w:r>
      <w:r w:rsidR="009E1437" w:rsidRPr="00972203">
        <w:rPr>
          <w:sz w:val="22"/>
          <w:szCs w:val="22"/>
          <w:lang w:val="en-GB"/>
        </w:rPr>
        <w:t xml:space="preserve"> </w:t>
      </w:r>
      <w:r w:rsidRPr="00972203">
        <w:rPr>
          <w:sz w:val="22"/>
          <w:szCs w:val="22"/>
          <w:lang w:val="en-GB"/>
        </w:rPr>
        <w:t>per</w:t>
      </w:r>
      <w:r w:rsidR="009E1437" w:rsidRPr="00972203">
        <w:rPr>
          <w:sz w:val="22"/>
          <w:szCs w:val="22"/>
          <w:lang w:val="en-GB"/>
        </w:rPr>
        <w:t xml:space="preserve"> </w:t>
      </w:r>
      <w:r w:rsidRPr="00972203">
        <w:rPr>
          <w:sz w:val="22"/>
          <w:szCs w:val="22"/>
          <w:lang w:val="en-GB"/>
        </w:rPr>
        <w:t>area is significantly smaller (2-3 orders of magnitude) in these stores. Thus, a well-risk value of 3 was assigned to all the oil and gas fields and a value of 1 was assigned to the saline aquifers. The geo-risk and well-risk factors were summed into the “leakage risk” factor. This combined leakage risk ranged from 7 (</w:t>
      </w:r>
      <w:proofErr w:type="gramStart"/>
      <w:r w:rsidRPr="00972203">
        <w:rPr>
          <w:sz w:val="22"/>
          <w:szCs w:val="22"/>
          <w:lang w:val="en-GB"/>
        </w:rPr>
        <w:t>i.e.</w:t>
      </w:r>
      <w:proofErr w:type="gramEnd"/>
      <w:r w:rsidRPr="00972203">
        <w:rPr>
          <w:sz w:val="22"/>
          <w:szCs w:val="22"/>
          <w:lang w:val="en-GB"/>
        </w:rPr>
        <w:t xml:space="preserve"> the site with the lowest leakage risk) to 14 (the highest leakage risk). </w:t>
      </w:r>
    </w:p>
    <w:p w14:paraId="508411EA" w14:textId="708C2512" w:rsidR="004D1F71" w:rsidRPr="000C7C1A" w:rsidRDefault="004D1F71" w:rsidP="004D1F71">
      <w:pPr>
        <w:pStyle w:val="BodyText"/>
        <w:spacing w:after="120" w:line="276" w:lineRule="auto"/>
        <w:rPr>
          <w:sz w:val="22"/>
          <w:szCs w:val="22"/>
          <w:lang w:val="en-GB"/>
        </w:rPr>
      </w:pPr>
      <w:r w:rsidRPr="00972203">
        <w:rPr>
          <w:sz w:val="22"/>
          <w:szCs w:val="22"/>
          <w:lang w:val="en-GB"/>
        </w:rPr>
        <w:lastRenderedPageBreak/>
        <w:t xml:space="preserve">In terms of development cost, a proxy cost factor based on the geographic location and the depth of the site was calculated. The formula used </w:t>
      </w:r>
      <w:r w:rsidR="00D4436B">
        <w:rPr>
          <w:sz w:val="22"/>
          <w:szCs w:val="22"/>
          <w:lang w:val="en-GB"/>
        </w:rPr>
        <w:t xml:space="preserve">in this work </w:t>
      </w:r>
      <w:r w:rsidRPr="00972203">
        <w:rPr>
          <w:sz w:val="22"/>
          <w:szCs w:val="22"/>
          <w:lang w:val="en-GB"/>
        </w:rPr>
        <w:t>(eq. 1)</w:t>
      </w:r>
      <w:r w:rsidR="00D4436B">
        <w:rPr>
          <w:sz w:val="22"/>
          <w:szCs w:val="22"/>
          <w:lang w:val="en-GB"/>
        </w:rPr>
        <w:t xml:space="preserve"> </w:t>
      </w:r>
      <w:r w:rsidRPr="00972203">
        <w:rPr>
          <w:sz w:val="22"/>
          <w:szCs w:val="22"/>
          <w:lang w:val="en-GB"/>
        </w:rPr>
        <w:t xml:space="preserve">assumes a 5-well storage </w:t>
      </w:r>
      <w:r w:rsidRPr="000C7C1A">
        <w:rPr>
          <w:sz w:val="22"/>
          <w:szCs w:val="22"/>
          <w:lang w:val="en-GB"/>
        </w:rPr>
        <w:t>system and costs of £1.1</w:t>
      </w:r>
      <w:r w:rsidR="00624DE6">
        <w:rPr>
          <w:sz w:val="22"/>
          <w:szCs w:val="22"/>
          <w:lang w:val="en-GB"/>
        </w:rPr>
        <w:t>M</w:t>
      </w:r>
      <w:r w:rsidRPr="000C7C1A">
        <w:rPr>
          <w:sz w:val="22"/>
          <w:szCs w:val="22"/>
          <w:lang w:val="en-GB"/>
        </w:rPr>
        <w:t xml:space="preserve"> per kilometre</w:t>
      </w:r>
      <w:r w:rsidR="00806B66">
        <w:rPr>
          <w:sz w:val="22"/>
          <w:szCs w:val="22"/>
          <w:lang w:val="en-GB"/>
        </w:rPr>
        <w:t xml:space="preserve"> of installed pipeline and £</w:t>
      </w:r>
      <w:r w:rsidR="000C7C1A" w:rsidRPr="000C7C1A">
        <w:rPr>
          <w:sz w:val="22"/>
          <w:szCs w:val="22"/>
          <w:lang w:val="en-GB"/>
        </w:rPr>
        <w:t>17</w:t>
      </w:r>
      <w:r w:rsidR="00806B66">
        <w:rPr>
          <w:sz w:val="22"/>
          <w:szCs w:val="22"/>
          <w:lang w:val="en-GB"/>
        </w:rPr>
        <w:t>M</w:t>
      </w:r>
      <w:r w:rsidRPr="000C7C1A">
        <w:rPr>
          <w:sz w:val="22"/>
          <w:szCs w:val="22"/>
          <w:lang w:val="en-GB"/>
        </w:rPr>
        <w:t xml:space="preserve"> per kilometre of installed borehole: </w:t>
      </w:r>
    </w:p>
    <w:p w14:paraId="75B00DA7" w14:textId="47E1DFDC" w:rsidR="004D1F71" w:rsidRPr="00972203" w:rsidRDefault="004D1F71" w:rsidP="004D1F71">
      <w:pPr>
        <w:pStyle w:val="BodyText"/>
        <w:spacing w:after="120" w:line="240" w:lineRule="auto"/>
        <w:rPr>
          <w:sz w:val="22"/>
          <w:szCs w:val="22"/>
          <w:lang w:val="en-GB"/>
        </w:rPr>
      </w:pPr>
      <w:r w:rsidRPr="000C7C1A">
        <w:rPr>
          <w:i/>
          <w:sz w:val="22"/>
          <w:szCs w:val="22"/>
          <w:lang w:val="en-GB"/>
        </w:rPr>
        <w:t>Development cost (in £M) = l (km)* 1.1 £M/km + 5*d (</w:t>
      </w:r>
      <w:r w:rsidR="00AC67D1">
        <w:rPr>
          <w:i/>
          <w:sz w:val="22"/>
          <w:szCs w:val="22"/>
          <w:lang w:val="en-GB"/>
        </w:rPr>
        <w:t>k</w:t>
      </w:r>
      <w:r w:rsidRPr="000C7C1A">
        <w:rPr>
          <w:i/>
          <w:sz w:val="22"/>
          <w:szCs w:val="22"/>
          <w:lang w:val="en-GB"/>
        </w:rPr>
        <w:t>m) * 17 £M/km.</w:t>
      </w:r>
      <w:r w:rsidRPr="000C7C1A">
        <w:rPr>
          <w:i/>
          <w:sz w:val="22"/>
          <w:szCs w:val="22"/>
          <w:lang w:val="en-GB"/>
        </w:rPr>
        <w:tab/>
      </w:r>
      <w:r w:rsidRPr="000C7C1A">
        <w:rPr>
          <w:sz w:val="22"/>
          <w:szCs w:val="22"/>
          <w:lang w:val="en-GB"/>
        </w:rPr>
        <w:t>(eq. 1),</w:t>
      </w:r>
    </w:p>
    <w:p w14:paraId="7E08C317" w14:textId="73E14002" w:rsidR="004D1F71" w:rsidRPr="00972203" w:rsidRDefault="004D1F71" w:rsidP="004D1F71">
      <w:pPr>
        <w:pStyle w:val="BodyText"/>
        <w:spacing w:after="120" w:line="276" w:lineRule="auto"/>
        <w:rPr>
          <w:sz w:val="22"/>
          <w:szCs w:val="22"/>
          <w:lang w:val="en-GB"/>
        </w:rPr>
      </w:pPr>
      <w:r w:rsidRPr="00972203">
        <w:rPr>
          <w:sz w:val="22"/>
          <w:szCs w:val="22"/>
          <w:lang w:val="en-GB"/>
        </w:rPr>
        <w:t xml:space="preserve">Where </w:t>
      </w:r>
      <w:r w:rsidRPr="00972203">
        <w:rPr>
          <w:i/>
          <w:sz w:val="22"/>
          <w:szCs w:val="22"/>
          <w:lang w:val="en-GB"/>
        </w:rPr>
        <w:t>l</w:t>
      </w:r>
      <w:r w:rsidRPr="00972203">
        <w:rPr>
          <w:sz w:val="22"/>
          <w:szCs w:val="22"/>
          <w:lang w:val="en-GB"/>
        </w:rPr>
        <w:t xml:space="preserve"> is the distance </w:t>
      </w:r>
      <w:r w:rsidR="00D4436B">
        <w:rPr>
          <w:sz w:val="22"/>
          <w:szCs w:val="22"/>
          <w:lang w:val="en-GB"/>
        </w:rPr>
        <w:t xml:space="preserve">of the storage site </w:t>
      </w:r>
      <w:r w:rsidRPr="00972203">
        <w:rPr>
          <w:sz w:val="22"/>
          <w:szCs w:val="22"/>
          <w:lang w:val="en-GB"/>
        </w:rPr>
        <w:t xml:space="preserve">to the </w:t>
      </w:r>
      <w:r w:rsidR="00D4436B">
        <w:rPr>
          <w:sz w:val="22"/>
          <w:szCs w:val="22"/>
          <w:lang w:val="en-GB"/>
        </w:rPr>
        <w:t xml:space="preserve">nearest redundant </w:t>
      </w:r>
      <w:r w:rsidRPr="00972203">
        <w:rPr>
          <w:sz w:val="22"/>
          <w:szCs w:val="22"/>
          <w:lang w:val="en-GB"/>
        </w:rPr>
        <w:t xml:space="preserve">pipeline, and </w:t>
      </w:r>
      <w:r w:rsidRPr="00972203">
        <w:rPr>
          <w:i/>
          <w:sz w:val="22"/>
          <w:szCs w:val="22"/>
          <w:lang w:val="en-GB"/>
        </w:rPr>
        <w:t>d</w:t>
      </w:r>
      <w:r w:rsidRPr="00972203">
        <w:rPr>
          <w:sz w:val="22"/>
          <w:szCs w:val="22"/>
          <w:lang w:val="en-GB"/>
        </w:rPr>
        <w:t xml:space="preserve"> is the depth of the reservoir</w:t>
      </w:r>
      <w:r w:rsidR="0082516C">
        <w:rPr>
          <w:sz w:val="22"/>
          <w:szCs w:val="22"/>
          <w:lang w:val="en-GB"/>
        </w:rPr>
        <w:t xml:space="preserve"> below seafloor</w:t>
      </w:r>
      <w:r w:rsidRPr="00972203">
        <w:rPr>
          <w:sz w:val="22"/>
          <w:szCs w:val="22"/>
          <w:lang w:val="en-GB"/>
        </w:rPr>
        <w:t xml:space="preserve">. The cost assumptions are based on values collected in </w:t>
      </w:r>
      <w:r w:rsidR="001A1C44" w:rsidRPr="00972203">
        <w:rPr>
          <w:noProof/>
          <w:sz w:val="22"/>
          <w:szCs w:val="22"/>
          <w:lang w:val="en-GB"/>
        </w:rPr>
        <w:fldChar w:fldCharType="begin" w:fldLock="1"/>
      </w:r>
      <w:r w:rsidR="009D58AA">
        <w:rPr>
          <w:noProof/>
          <w:sz w:val="22"/>
          <w:szCs w:val="22"/>
          <w:lang w:val="en-GB"/>
        </w:rPr>
        <w:instrText>ADDIN CSL_CITATION {"citationItems":[{"id":"ITEM-1","itemData":{"abstract":"There are up to 20 specific storage sites under the UK seabed that have the potential to store up to 78 GT of CO2","author":[{"dropping-particle":"","family":"Pale Blue Dot","given":"","non-dropping-particle":"","parse-names":false,"suffix":""},{"dropping-particle":"","family":"Axis Well Technology","given":"","non-dropping-particle":"","parse-names":false,"suffix":""}],"id":"ITEM-1","issue":"April 2016","issued":{"date-parts":[["2016"]]},"number-of-pages":"48","title":"A Summary of Results from the Strategic UK CO2 Storage Appraisal Project, funded by DECC","type":"report"},"uris":["http://www.mendeley.com/documents/?uuid=e8a970db-f74f-4997-adb9-7b3619665eff"]}],"mendeley":{"formattedCitation":"(Pale Blue Dot and Axis Well Technology, 2016)","plainTextFormattedCitation":"(Pale Blue Dot and Axis Well Technology, 2016)","previouslyFormattedCitation":"(Pale Blue Dot and Axis Well Technology, 2016)"},"properties":{"noteIndex":0},"schema":"https://github.com/citation-style-language/schema/raw/master/csl-citation.json"}</w:instrText>
      </w:r>
      <w:r w:rsidR="001A1C44" w:rsidRPr="00972203">
        <w:rPr>
          <w:noProof/>
          <w:sz w:val="22"/>
          <w:szCs w:val="22"/>
          <w:lang w:val="en-GB"/>
        </w:rPr>
        <w:fldChar w:fldCharType="separate"/>
      </w:r>
      <w:r w:rsidR="00C01E2D" w:rsidRPr="00C01E2D">
        <w:rPr>
          <w:noProof/>
          <w:sz w:val="22"/>
          <w:szCs w:val="22"/>
          <w:lang w:val="en-GB"/>
        </w:rPr>
        <w:t>(Pale Blue Dot and Axis Well Technology, 2016)</w:t>
      </w:r>
      <w:r w:rsidR="001A1C44" w:rsidRPr="00972203">
        <w:rPr>
          <w:noProof/>
          <w:sz w:val="22"/>
          <w:szCs w:val="22"/>
          <w:lang w:val="en-GB"/>
        </w:rPr>
        <w:fldChar w:fldCharType="end"/>
      </w:r>
      <w:r w:rsidRPr="00972203">
        <w:rPr>
          <w:sz w:val="22"/>
          <w:szCs w:val="22"/>
          <w:lang w:val="en-GB"/>
        </w:rPr>
        <w:t xml:space="preserve">. This approach produces an oversimplified measure of the cost, but it is independent from other </w:t>
      </w:r>
      <w:r w:rsidR="001A1C44" w:rsidRPr="00972203">
        <w:rPr>
          <w:sz w:val="22"/>
          <w:szCs w:val="22"/>
          <w:lang w:val="en-GB"/>
        </w:rPr>
        <w:t>criteria</w:t>
      </w:r>
      <w:r w:rsidRPr="00972203">
        <w:rPr>
          <w:sz w:val="22"/>
          <w:szCs w:val="22"/>
          <w:lang w:val="en-GB"/>
        </w:rPr>
        <w:t xml:space="preserve"> (such as injectivity or capacity) and </w:t>
      </w:r>
      <w:r w:rsidR="000C7C1A">
        <w:rPr>
          <w:sz w:val="22"/>
          <w:szCs w:val="22"/>
          <w:lang w:val="en-GB"/>
        </w:rPr>
        <w:t>makes it</w:t>
      </w:r>
      <w:r w:rsidRPr="00972203">
        <w:rPr>
          <w:sz w:val="22"/>
          <w:szCs w:val="22"/>
          <w:lang w:val="en-GB"/>
        </w:rPr>
        <w:t xml:space="preserve"> suitable for this study.</w:t>
      </w:r>
    </w:p>
    <w:p w14:paraId="31313A46" w14:textId="29556F02" w:rsidR="004D1F71" w:rsidRDefault="004D1F71" w:rsidP="004D1F71">
      <w:pPr>
        <w:pStyle w:val="BodyText"/>
        <w:spacing w:after="120" w:line="276" w:lineRule="auto"/>
        <w:rPr>
          <w:sz w:val="22"/>
          <w:szCs w:val="22"/>
          <w:lang w:val="en-GB"/>
        </w:rPr>
      </w:pPr>
      <w:r w:rsidRPr="00972203">
        <w:rPr>
          <w:sz w:val="22"/>
          <w:szCs w:val="22"/>
          <w:lang w:val="en-GB"/>
        </w:rPr>
        <w:t xml:space="preserve">Finally, the </w:t>
      </w:r>
      <w:r w:rsidR="009D708F">
        <w:rPr>
          <w:sz w:val="22"/>
          <w:szCs w:val="22"/>
          <w:lang w:val="en-GB"/>
        </w:rPr>
        <w:t>sea</w:t>
      </w:r>
      <w:r w:rsidRPr="00972203">
        <w:rPr>
          <w:sz w:val="22"/>
          <w:szCs w:val="22"/>
          <w:lang w:val="en-GB"/>
        </w:rPr>
        <w:t xml:space="preserve">water depth at the storage location is important for the development of the storage site because it determines the type of platform required for the drilling operations. </w:t>
      </w:r>
      <w:r w:rsidR="0019465C">
        <w:rPr>
          <w:sz w:val="22"/>
          <w:szCs w:val="22"/>
          <w:lang w:val="en-GB"/>
        </w:rPr>
        <w:t>J</w:t>
      </w:r>
      <w:r w:rsidR="009228F4">
        <w:rPr>
          <w:sz w:val="22"/>
          <w:szCs w:val="22"/>
          <w:lang w:val="en-GB"/>
        </w:rPr>
        <w:t xml:space="preserve">ack up </w:t>
      </w:r>
      <w:r w:rsidRPr="00972203">
        <w:rPr>
          <w:sz w:val="22"/>
          <w:szCs w:val="22"/>
          <w:lang w:val="en-GB"/>
        </w:rPr>
        <w:t>platforms</w:t>
      </w:r>
      <w:r w:rsidR="0019465C">
        <w:rPr>
          <w:sz w:val="22"/>
          <w:szCs w:val="22"/>
          <w:lang w:val="en-GB"/>
        </w:rPr>
        <w:t xml:space="preserve"> are the most economic option for water depths of 150 m or less </w:t>
      </w:r>
      <w:r w:rsidR="003012D6">
        <w:rPr>
          <w:sz w:val="22"/>
          <w:szCs w:val="22"/>
          <w:lang w:val="en-GB"/>
        </w:rPr>
        <w:t xml:space="preserve">compared to other options like semisubmersible platforms </w:t>
      </w:r>
      <w:r w:rsidR="003012D6">
        <w:rPr>
          <w:sz w:val="22"/>
          <w:szCs w:val="22"/>
          <w:lang w:val="en-GB"/>
        </w:rPr>
        <w:fldChar w:fldCharType="begin" w:fldLock="1"/>
      </w:r>
      <w:r w:rsidR="002778A3">
        <w:rPr>
          <w:sz w:val="22"/>
          <w:szCs w:val="22"/>
          <w:lang w:val="en-GB"/>
        </w:rPr>
        <w:instrText>ADDIN CSL_CITATION {"citationItems":[{"id":"ITEM-1","itemData":{"DOI":"10.1080/15567240903226228","ISSN":"1556-7249","author":[{"dropping-particle":"","family":"Lee","given":"J.","non-dropping-particle":"","parse-names":false,"suffix":""},{"dropping-particle":"","family":"Jablonowski","given":"C. J.","non-dropping-particle":"","parse-names":false,"suffix":""}],"container-title":"Energy Sources, Part B: Economics, Planning, and Policy","id":"ITEM-1","issue":"4","issued":{"date-parts":[["2010","9","28"]]},"page":"390-399","title":"Measuring the Price Impact of Concentration in the Drilling Rig Market","type":"article-journal","volume":"5"},"uris":["http://www.mendeley.com/documents/?uuid=44e555e4-40f3-49e5-937d-71fb8222b60b"]}],"mendeley":{"formattedCitation":"(Lee and Jablonowski, 2010)","plainTextFormattedCitation":"(Lee and Jablonowski, 2010)","previouslyFormattedCitation":"(Lee and Jablonowski, 2010)"},"properties":{"noteIndex":0},"schema":"https://github.com/citation-style-language/schema/raw/master/csl-citation.json"}</w:instrText>
      </w:r>
      <w:r w:rsidR="003012D6">
        <w:rPr>
          <w:sz w:val="22"/>
          <w:szCs w:val="22"/>
          <w:lang w:val="en-GB"/>
        </w:rPr>
        <w:fldChar w:fldCharType="separate"/>
      </w:r>
      <w:r w:rsidR="003012D6" w:rsidRPr="003012D6">
        <w:rPr>
          <w:noProof/>
          <w:sz w:val="22"/>
          <w:szCs w:val="22"/>
          <w:lang w:val="en-GB"/>
        </w:rPr>
        <w:t>(Lee and Jablonowski, 2010)</w:t>
      </w:r>
      <w:r w:rsidR="003012D6">
        <w:rPr>
          <w:sz w:val="22"/>
          <w:szCs w:val="22"/>
          <w:lang w:val="en-GB"/>
        </w:rPr>
        <w:fldChar w:fldCharType="end"/>
      </w:r>
      <w:r w:rsidRPr="00972203">
        <w:rPr>
          <w:sz w:val="22"/>
          <w:szCs w:val="22"/>
          <w:lang w:val="en-GB"/>
        </w:rPr>
        <w:t xml:space="preserve">, and therefore shallow </w:t>
      </w:r>
      <w:r w:rsidR="009D708F">
        <w:rPr>
          <w:sz w:val="22"/>
          <w:szCs w:val="22"/>
          <w:lang w:val="en-GB"/>
        </w:rPr>
        <w:t>sea</w:t>
      </w:r>
      <w:r w:rsidRPr="00972203">
        <w:rPr>
          <w:sz w:val="22"/>
          <w:szCs w:val="22"/>
          <w:lang w:val="en-GB"/>
        </w:rPr>
        <w:t xml:space="preserve">water is preferred for Site 2. The selected sites are located at </w:t>
      </w:r>
      <w:r w:rsidR="009D708F">
        <w:rPr>
          <w:sz w:val="22"/>
          <w:szCs w:val="22"/>
          <w:lang w:val="en-GB"/>
        </w:rPr>
        <w:t>sea</w:t>
      </w:r>
      <w:r w:rsidRPr="00972203">
        <w:rPr>
          <w:sz w:val="22"/>
          <w:szCs w:val="22"/>
          <w:lang w:val="en-GB"/>
        </w:rPr>
        <w:t xml:space="preserve">water depths on the verge of the limit between deep- and shallow-water platforms (i.e., water depths between 100 and 150 m). Thus, the sites were ranked from shallower </w:t>
      </w:r>
      <w:r w:rsidR="009D708F">
        <w:rPr>
          <w:sz w:val="22"/>
          <w:szCs w:val="22"/>
          <w:lang w:val="en-GB"/>
        </w:rPr>
        <w:t>sea</w:t>
      </w:r>
      <w:r w:rsidRPr="00972203">
        <w:rPr>
          <w:sz w:val="22"/>
          <w:szCs w:val="22"/>
          <w:lang w:val="en-GB"/>
        </w:rPr>
        <w:t xml:space="preserve">water (more suitable) to deeper </w:t>
      </w:r>
      <w:r w:rsidR="009D708F">
        <w:rPr>
          <w:sz w:val="22"/>
          <w:szCs w:val="22"/>
          <w:lang w:val="en-GB"/>
        </w:rPr>
        <w:t>sea</w:t>
      </w:r>
      <w:r w:rsidRPr="00972203">
        <w:rPr>
          <w:sz w:val="22"/>
          <w:szCs w:val="22"/>
          <w:lang w:val="en-GB"/>
        </w:rPr>
        <w:t>water (less suitable).</w:t>
      </w:r>
    </w:p>
    <w:p w14:paraId="62554381" w14:textId="77777777" w:rsidR="00EA5B35" w:rsidRPr="00972203" w:rsidRDefault="00EA5B35" w:rsidP="004D1F71">
      <w:pPr>
        <w:pStyle w:val="BodyText"/>
        <w:spacing w:after="120" w:line="276" w:lineRule="auto"/>
        <w:rPr>
          <w:sz w:val="22"/>
          <w:szCs w:val="22"/>
          <w:lang w:val="en-GB"/>
        </w:rPr>
      </w:pPr>
    </w:p>
    <w:p w14:paraId="3C2FF632" w14:textId="1704BF5F" w:rsidR="00175192" w:rsidRDefault="00175192" w:rsidP="00175192">
      <w:pPr>
        <w:pStyle w:val="Heading3"/>
        <w:numPr>
          <w:ilvl w:val="2"/>
          <w:numId w:val="3"/>
        </w:numPr>
      </w:pPr>
      <w:r w:rsidRPr="00175192">
        <w:t>TOPSIS methodology for decision making</w:t>
      </w:r>
    </w:p>
    <w:p w14:paraId="79D7276C" w14:textId="03B9AF0D" w:rsidR="00FD4125" w:rsidRPr="00972203" w:rsidRDefault="00FD4125" w:rsidP="00FD4125">
      <w:r w:rsidRPr="00972203">
        <w:t xml:space="preserve">The </w:t>
      </w:r>
      <w:r>
        <w:t>quantification</w:t>
      </w:r>
      <w:r w:rsidRPr="00972203">
        <w:t xml:space="preserve"> of the 15 sites against these different criteria provided </w:t>
      </w:r>
      <w:r>
        <w:t xml:space="preserve">a ranking </w:t>
      </w:r>
      <w:r w:rsidRPr="00972203">
        <w:t>of their relative suitability to become Site 2 (</w:t>
      </w:r>
      <w:r w:rsidR="0055738A">
        <w:t>Table 3</w:t>
      </w:r>
      <w:r w:rsidRPr="00972203">
        <w:t>). However, none of the 15 sites ranked high (</w:t>
      </w:r>
      <w:proofErr w:type="gramStart"/>
      <w:r w:rsidRPr="00972203">
        <w:t>e.g.</w:t>
      </w:r>
      <w:proofErr w:type="gramEnd"/>
      <w:r w:rsidRPr="00972203">
        <w:t xml:space="preserve"> amongst the top five) in all of the criteria considered. This prevented a direct election of the best site, and so an alternative selection method was employed. To fully integrate all the selection criteria into a single decision-making process, we adapted the TOPSIS (Technique for Order Preference by Similarity to Ideal Solution</w:t>
      </w:r>
      <w:r>
        <w:t>,</w:t>
      </w:r>
      <w:r w:rsidRPr="00972203">
        <w:t xml:space="preserve"> </w:t>
      </w:r>
      <w:r w:rsidRPr="00972203">
        <w:rPr>
          <w:noProof/>
        </w:rPr>
        <w:fldChar w:fldCharType="begin" w:fldLock="1"/>
      </w:r>
      <w:r>
        <w:rPr>
          <w:noProof/>
        </w:rPr>
        <w:instrText>ADDIN CSL_CITATION {"citationItems":[{"id":"ITEM-1","itemData":{"author":[{"dropping-particle":"","family":"Yoon","given":"P. K.","non-dropping-particle":"","parse-names":false,"suffix":""},{"dropping-particle":"","family":"Hwang","given":"C. L.","non-dropping-particle":"","parse-names":false,"suffix":""}],"id":"ITEM-1","issued":{"date-parts":[["1995"]]},"publisher":"Sage Publications Inc.","publisher-place":"Thousand Oaks, CA","title":"Multiple Attribute Decision Making: An Introduction","type":"book"},"uris":["http://www.mendeley.com/documents/?uuid=e30a170c-b3fb-4c05-90f5-df8892a31952"]}],"mendeley":{"formattedCitation":"(Yoon and Hwang, 1995)","manualFormatting":"Yoon and Hwang, 1995","plainTextFormattedCitation":"(Yoon and Hwang, 1995)","previouslyFormattedCitation":"(Yoon and Hwang, 1995)"},"properties":{"noteIndex":0},"schema":"https://github.com/citation-style-language/schema/raw/master/csl-citation.json"}</w:instrText>
      </w:r>
      <w:r w:rsidRPr="00972203">
        <w:rPr>
          <w:noProof/>
        </w:rPr>
        <w:fldChar w:fldCharType="separate"/>
      </w:r>
      <w:r w:rsidRPr="00C01E2D">
        <w:rPr>
          <w:noProof/>
        </w:rPr>
        <w:t>Yoon and Hwang, 1995</w:t>
      </w:r>
      <w:r w:rsidRPr="00972203">
        <w:rPr>
          <w:noProof/>
        </w:rPr>
        <w:fldChar w:fldCharType="end"/>
      </w:r>
      <w:r w:rsidRPr="00972203">
        <w:t xml:space="preserve">) methodology to the characteristics of our project. The TOPSIS methodology is a compensatory process, </w:t>
      </w:r>
      <w:proofErr w:type="gramStart"/>
      <w:r w:rsidRPr="00972203">
        <w:t>i.e.</w:t>
      </w:r>
      <w:proofErr w:type="gramEnd"/>
      <w:r w:rsidRPr="00972203">
        <w:t xml:space="preserve"> no alternatives are excluded due to a single poor result against one criteria, and therefore it is suitable for multi-criteria decision-making. In TOPSIS, pairs of positive and negative ideal solutions are hypothesised based on the best and worst values for each of the ranking parameters </w:t>
      </w:r>
      <w:proofErr w:type="gramStart"/>
      <w:r w:rsidRPr="00972203">
        <w:t>considered;</w:t>
      </w:r>
      <w:proofErr w:type="gramEnd"/>
      <w:r w:rsidRPr="00972203">
        <w:t xml:space="preserve"> i.e. the positive ideal solution is the one that maximises the positive criteria and minimises the negative criteria, and vice versa (</w:t>
      </w:r>
      <w:r w:rsidR="007423B3">
        <w:t>Figure 4</w:t>
      </w:r>
      <w:r w:rsidRPr="00972203">
        <w:t xml:space="preserve">). The values of each site and for each of the criteria used are normalised against the maximum values. Not </w:t>
      </w:r>
      <w:proofErr w:type="gramStart"/>
      <w:r w:rsidRPr="00972203">
        <w:t>all of</w:t>
      </w:r>
      <w:proofErr w:type="gramEnd"/>
      <w:r w:rsidRPr="00972203">
        <w:t xml:space="preserve"> the criteria are equally valuable in terms of the suitability of the sites for the purposes of the Acorn project; for example, the water depth can influence the total cost of the project, but its impact in the total operation cost will be </w:t>
      </w:r>
      <w:r>
        <w:t>lower than the transport and drilling costs calculated in the cost criterion</w:t>
      </w:r>
      <w:r w:rsidRPr="00972203">
        <w:t xml:space="preserve">. </w:t>
      </w:r>
      <w:proofErr w:type="gramStart"/>
      <w:r w:rsidRPr="00972203">
        <w:t>In order to</w:t>
      </w:r>
      <w:proofErr w:type="gramEnd"/>
      <w:r w:rsidRPr="00972203">
        <w:t xml:space="preserve"> address this variability in the criteria, a relative weighting was applied to the different normalised values (weighting values for each criteri</w:t>
      </w:r>
      <w:r w:rsidR="00A53E83">
        <w:t>a shown in Table 3</w:t>
      </w:r>
      <w:r w:rsidR="00E41AF9">
        <w:t>)</w:t>
      </w:r>
      <w:r w:rsidR="00A53E83">
        <w:t xml:space="preserve">. </w:t>
      </w:r>
      <w:r w:rsidRPr="00972203">
        <w:t>Once the values are normalised and weighted, their distances (</w:t>
      </w:r>
      <w:proofErr w:type="gramStart"/>
      <w:r w:rsidRPr="00972203">
        <w:t>i.e.</w:t>
      </w:r>
      <w:proofErr w:type="gramEnd"/>
      <w:r w:rsidRPr="00972203">
        <w:t xml:space="preserve"> differences) to the positive and negative ideal solutions are calculated. Finally, the TOPSIS score (</w:t>
      </w:r>
      <w:r w:rsidRPr="00972203">
        <w:rPr>
          <w:i/>
        </w:rPr>
        <w:t>T</w:t>
      </w:r>
      <w:r w:rsidRPr="00972203">
        <w:rPr>
          <w:i/>
          <w:vertAlign w:val="subscript"/>
        </w:rPr>
        <w:t>s</w:t>
      </w:r>
      <w:r w:rsidRPr="00972203">
        <w:t>) of each site is then calculated as:</w:t>
      </w:r>
    </w:p>
    <w:p w14:paraId="4E10569D" w14:textId="77777777" w:rsidR="00FD4125" w:rsidRPr="00972203" w:rsidRDefault="00FE6FA0" w:rsidP="00FD4125">
      <w:pPr>
        <w:pStyle w:val="BodyText"/>
        <w:spacing w:after="120" w:line="276" w:lineRule="auto"/>
        <w:rPr>
          <w:sz w:val="22"/>
          <w:szCs w:val="22"/>
          <w:lang w:val="en-GB"/>
        </w:rPr>
      </w:pPr>
      <m:oMath>
        <m:sSub>
          <m:sSubPr>
            <m:ctrlPr>
              <w:rPr>
                <w:rFonts w:ascii="Cambria Math" w:hAnsi="Cambria Math"/>
                <w:i/>
                <w:sz w:val="22"/>
                <w:szCs w:val="22"/>
                <w:lang w:val="en-GB"/>
              </w:rPr>
            </m:ctrlPr>
          </m:sSubPr>
          <m:e>
            <m:r>
              <w:rPr>
                <w:rFonts w:ascii="Cambria Math" w:hAnsi="Cambria Math"/>
                <w:sz w:val="22"/>
                <w:szCs w:val="22"/>
                <w:lang w:val="en-GB"/>
              </w:rPr>
              <m:t>T</m:t>
            </m:r>
          </m:e>
          <m:sub>
            <m:r>
              <w:rPr>
                <w:rFonts w:ascii="Cambria Math" w:hAnsi="Cambria Math"/>
                <w:sz w:val="22"/>
                <w:szCs w:val="22"/>
                <w:lang w:val="en-GB"/>
              </w:rPr>
              <m:t>s</m:t>
            </m:r>
          </m:sub>
        </m:sSub>
        <m:r>
          <w:rPr>
            <w:rFonts w:ascii="Cambria Math" w:hAnsi="Cambria Math"/>
            <w:sz w:val="22"/>
            <w:szCs w:val="22"/>
            <w:lang w:val="en-GB"/>
          </w:rPr>
          <m:t>=</m:t>
        </m:r>
        <m:rad>
          <m:radPr>
            <m:degHide m:val="1"/>
            <m:ctrlPr>
              <w:rPr>
                <w:rFonts w:ascii="Cambria Math" w:hAnsi="Cambria Math"/>
                <w:i/>
                <w:sz w:val="22"/>
                <w:szCs w:val="22"/>
                <w:lang w:val="en-GB"/>
              </w:rPr>
            </m:ctrlPr>
          </m:radPr>
          <m:deg/>
          <m:e>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d</m:t>
                    </m:r>
                  </m:e>
                  <m:sub>
                    <m:r>
                      <w:rPr>
                        <w:rFonts w:ascii="Cambria Math" w:hAnsi="Cambria Math"/>
                        <w:sz w:val="22"/>
                        <w:szCs w:val="22"/>
                        <w:lang w:val="en-GB"/>
                      </w:rPr>
                      <m:t>+</m:t>
                    </m:r>
                  </m:sub>
                </m:sSub>
              </m:num>
              <m:den>
                <m:sSub>
                  <m:sSubPr>
                    <m:ctrlPr>
                      <w:rPr>
                        <w:rFonts w:ascii="Cambria Math" w:hAnsi="Cambria Math"/>
                        <w:i/>
                        <w:sz w:val="22"/>
                        <w:szCs w:val="22"/>
                        <w:lang w:val="en-GB"/>
                      </w:rPr>
                    </m:ctrlPr>
                  </m:sSubPr>
                  <m:e>
                    <m:r>
                      <w:rPr>
                        <w:rFonts w:ascii="Cambria Math" w:hAnsi="Cambria Math"/>
                        <w:sz w:val="22"/>
                        <w:szCs w:val="22"/>
                        <w:lang w:val="en-GB"/>
                      </w:rPr>
                      <m:t>d</m:t>
                    </m:r>
                  </m:e>
                  <m:sub>
                    <m:r>
                      <w:rPr>
                        <w:rFonts w:ascii="Cambria Math" w:hAnsi="Cambria Math"/>
                        <w:sz w:val="22"/>
                        <w:szCs w:val="22"/>
                        <w:lang w:val="en-GB"/>
                      </w:rPr>
                      <m:t>+</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d</m:t>
                    </m:r>
                  </m:e>
                  <m:sub>
                    <m:r>
                      <w:rPr>
                        <w:rFonts w:ascii="Cambria Math" w:hAnsi="Cambria Math"/>
                        <w:sz w:val="22"/>
                        <w:szCs w:val="22"/>
                        <w:lang w:val="en-GB"/>
                      </w:rPr>
                      <m:t>-</m:t>
                    </m:r>
                  </m:sub>
                </m:sSub>
              </m:den>
            </m:f>
          </m:e>
        </m:rad>
      </m:oMath>
      <w:r w:rsidR="00FD4125" w:rsidRPr="00972203">
        <w:rPr>
          <w:sz w:val="22"/>
          <w:szCs w:val="22"/>
          <w:lang w:val="en-GB"/>
        </w:rPr>
        <w:tab/>
        <w:t>(eq. 2),</w:t>
      </w:r>
    </w:p>
    <w:p w14:paraId="63D7B2F4" w14:textId="1B1746B4" w:rsidR="00FD4125" w:rsidRDefault="00FD4125" w:rsidP="00FD4125">
      <w:r w:rsidRPr="00972203">
        <w:t xml:space="preserve">where </w:t>
      </w:r>
      <w:r w:rsidRPr="00972203">
        <w:rPr>
          <w:i/>
        </w:rPr>
        <w:t>d</w:t>
      </w:r>
      <w:r w:rsidRPr="00972203">
        <w:rPr>
          <w:i/>
          <w:vertAlign w:val="subscript"/>
        </w:rPr>
        <w:t>+</w:t>
      </w:r>
      <w:r w:rsidRPr="00972203">
        <w:t xml:space="preserve"> is the separation from the ideal positive solution and </w:t>
      </w:r>
      <w:r w:rsidRPr="00972203">
        <w:rPr>
          <w:i/>
        </w:rPr>
        <w:t>d</w:t>
      </w:r>
      <w:r w:rsidRPr="00972203">
        <w:rPr>
          <w:i/>
          <w:vertAlign w:val="subscript"/>
        </w:rPr>
        <w:t>-</w:t>
      </w:r>
      <w:r w:rsidRPr="00972203">
        <w:t xml:space="preserve"> is the separation from the ideal negative solution </w:t>
      </w:r>
      <w:r w:rsidR="00193F75">
        <w:t>(Figure 4).</w:t>
      </w:r>
    </w:p>
    <w:p w14:paraId="00A60B21" w14:textId="77777777" w:rsidR="0055738A" w:rsidRPr="00972203" w:rsidRDefault="0055738A" w:rsidP="0055738A">
      <w:pPr>
        <w:pStyle w:val="BodyText"/>
        <w:keepNext/>
        <w:spacing w:after="120" w:line="276" w:lineRule="auto"/>
        <w:jc w:val="center"/>
      </w:pPr>
      <w:bookmarkStart w:id="3" w:name="_Ref26270329"/>
      <w:r w:rsidRPr="00972203">
        <w:rPr>
          <w:noProof/>
          <w:sz w:val="22"/>
          <w:szCs w:val="22"/>
          <w:lang w:val="en-GB" w:eastAsia="en-GB"/>
        </w:rPr>
        <w:lastRenderedPageBreak/>
        <w:drawing>
          <wp:inline distT="0" distB="0" distL="0" distR="0" wp14:anchorId="5BE24225" wp14:editId="12106AF9">
            <wp:extent cx="2270760" cy="25085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_Tops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0760" cy="2508503"/>
                    </a:xfrm>
                    <a:prstGeom prst="rect">
                      <a:avLst/>
                    </a:prstGeom>
                  </pic:spPr>
                </pic:pic>
              </a:graphicData>
            </a:graphic>
          </wp:inline>
        </w:drawing>
      </w:r>
    </w:p>
    <w:p w14:paraId="7D05A044" w14:textId="1A06DA96" w:rsidR="0055738A" w:rsidRPr="00972203" w:rsidRDefault="0055738A" w:rsidP="0055738A">
      <w:pPr>
        <w:pStyle w:val="Caption"/>
        <w:rPr>
          <w:sz w:val="22"/>
        </w:rPr>
      </w:pPr>
      <w:bookmarkStart w:id="4" w:name="_Ref36203231"/>
      <w:r w:rsidRPr="00972203">
        <w:t xml:space="preserve">Figure </w:t>
      </w:r>
      <w:bookmarkEnd w:id="4"/>
      <w:r w:rsidR="00635DEC">
        <w:t>4</w:t>
      </w:r>
      <w:r w:rsidRPr="00972203">
        <w:t xml:space="preserve">: </w:t>
      </w:r>
      <w:r>
        <w:t>S</w:t>
      </w:r>
      <w:r w:rsidRPr="00972203">
        <w:t xml:space="preserve">cheme of the methodology used for site selection, adapted from the Technique for Order Preference by Similarity to Ideal Solution (TOPSIS) </w:t>
      </w:r>
      <w:r w:rsidRPr="00972203">
        <w:fldChar w:fldCharType="begin" w:fldLock="1"/>
      </w:r>
      <w:r>
        <w:instrText>ADDIN CSL_CITATION {"citationItems":[{"id":"ITEM-1","itemData":{"author":[{"dropping-particle":"","family":"Yoon","given":"P. K.","non-dropping-particle":"","parse-names":false,"suffix":""},{"dropping-particle":"","family":"Hwang","given":"C. L.","non-dropping-particle":"","parse-names":false,"suffix":""}],"id":"ITEM-1","issued":{"date-parts":[["1995"]]},"publisher":"Sage Publications Inc.","publisher-place":"Thousand Oaks, CA","title":"Multiple Attribute Decision Making: An Introduction","type":"book"},"uris":["http://www.mendeley.com/documents/?uuid=e30a170c-b3fb-4c05-90f5-df8892a31952"]}],"mendeley":{"formattedCitation":"(Yoon and Hwang, 1995)","plainTextFormattedCitation":"(Yoon and Hwang, 1995)","previouslyFormattedCitation":"(Yoon and Hwang, 1995)"},"properties":{"noteIndex":0},"schema":"https://github.com/citation-style-language/schema/raw/master/csl-citation.json"}</w:instrText>
      </w:r>
      <w:r w:rsidRPr="00972203">
        <w:fldChar w:fldCharType="separate"/>
      </w:r>
      <w:r w:rsidRPr="00C01E2D">
        <w:rPr>
          <w:noProof/>
        </w:rPr>
        <w:t>(Yoon and Hwang, 1995)</w:t>
      </w:r>
      <w:r w:rsidRPr="00972203">
        <w:fldChar w:fldCharType="end"/>
      </w:r>
      <w:r w:rsidRPr="00972203">
        <w:t>. The sites are defined in multidimensional space</w:t>
      </w:r>
      <w:r>
        <w:t>,</w:t>
      </w:r>
      <w:r w:rsidRPr="00972203">
        <w:t xml:space="preserve"> determined by their values in each of the six ranking criteria. The best and worst values of the sites in each criterion determine the ideal positive and negative solutions to that criterion, respectively. The distances to these ideal positive (di+) and negative (di-) solutions are combined into a TOPSIS score (Ts), that is therefore dependent on all criteria at the same time.</w:t>
      </w:r>
    </w:p>
    <w:bookmarkEnd w:id="3"/>
    <w:p w14:paraId="64F92663" w14:textId="37D1612A" w:rsidR="00FD4125" w:rsidRPr="00972203" w:rsidRDefault="00FD4125" w:rsidP="00FD4125">
      <w:r w:rsidRPr="00972203">
        <w:t xml:space="preserve">The weighting factors were chosen based on the authors’ best knowledge. </w:t>
      </w:r>
      <w:r w:rsidR="00FF002B">
        <w:t xml:space="preserve">The selection of the weighting factors is probably the most subjective input to the TOPSIS process. However, it served as a “quality check” to test different scenarios, some focused on more geological criteria, others </w:t>
      </w:r>
      <w:r w:rsidR="00F142E1">
        <w:t>o</w:t>
      </w:r>
      <w:r w:rsidR="00FF002B">
        <w:t xml:space="preserve">n more economic criteria and finally some more averaged. </w:t>
      </w:r>
      <w:r w:rsidRPr="00972203">
        <w:t>The risk and unit type were assigned the highest weight value (24), followed by the cost (18), the injectivity (14), the capacity (12) and the water depth (8) (</w:t>
      </w:r>
      <w:r w:rsidR="0055738A">
        <w:t>Table 3</w:t>
      </w:r>
      <w:r w:rsidRPr="00972203">
        <w:t>). Different weighting scenarios were tested for sensitivity analysis with a set of four scenarios completed</w:t>
      </w:r>
      <w:r>
        <w:t>; this</w:t>
      </w:r>
      <w:r w:rsidRPr="00972203">
        <w:t xml:space="preserve"> confirmed good agreement with the rounded view calculation.</w:t>
      </w:r>
      <w:r w:rsidR="00F91DB0">
        <w:t xml:space="preserve"> </w:t>
      </w:r>
    </w:p>
    <w:p w14:paraId="45428572" w14:textId="77777777" w:rsidR="00FD4125" w:rsidRPr="00972203" w:rsidRDefault="00FD4125" w:rsidP="00FD4125">
      <w:pPr>
        <w:pStyle w:val="BodyText"/>
        <w:spacing w:after="120" w:line="276" w:lineRule="auto"/>
        <w:rPr>
          <w:sz w:val="22"/>
          <w:szCs w:val="22"/>
          <w:lang w:val="en-GB"/>
        </w:rPr>
      </w:pPr>
      <w:r w:rsidRPr="00972203">
        <w:rPr>
          <w:sz w:val="22"/>
          <w:szCs w:val="22"/>
          <w:lang w:val="en-GB"/>
        </w:rPr>
        <w:t xml:space="preserve">The TOPSIS analysis allowed for the selection of the top six sites that best complied with the desired criteria: Brae North Condensate Field, Dornoch, Grid Sandstone, </w:t>
      </w:r>
      <w:proofErr w:type="spellStart"/>
      <w:r w:rsidRPr="00972203">
        <w:rPr>
          <w:sz w:val="22"/>
          <w:szCs w:val="22"/>
          <w:lang w:val="en-GB"/>
        </w:rPr>
        <w:t>Heimdal</w:t>
      </w:r>
      <w:proofErr w:type="spellEnd"/>
      <w:r w:rsidRPr="00972203">
        <w:rPr>
          <w:sz w:val="22"/>
          <w:szCs w:val="22"/>
          <w:lang w:val="en-GB"/>
        </w:rPr>
        <w:t xml:space="preserve">, </w:t>
      </w:r>
      <w:proofErr w:type="spellStart"/>
      <w:r w:rsidRPr="00972203">
        <w:rPr>
          <w:sz w:val="22"/>
          <w:szCs w:val="22"/>
          <w:lang w:val="en-GB"/>
        </w:rPr>
        <w:t>Mey</w:t>
      </w:r>
      <w:proofErr w:type="spellEnd"/>
      <w:r w:rsidRPr="00972203">
        <w:rPr>
          <w:sz w:val="22"/>
          <w:szCs w:val="22"/>
          <w:lang w:val="en-GB"/>
        </w:rPr>
        <w:t xml:space="preserve"> and the Piper oil field. These sites passed to the final stage of the selection process, the </w:t>
      </w:r>
      <w:r>
        <w:rPr>
          <w:sz w:val="22"/>
          <w:szCs w:val="22"/>
          <w:lang w:val="en-GB"/>
        </w:rPr>
        <w:t>d</w:t>
      </w:r>
      <w:r w:rsidRPr="00972203">
        <w:rPr>
          <w:sz w:val="22"/>
          <w:szCs w:val="22"/>
          <w:lang w:val="en-GB"/>
        </w:rPr>
        <w:t xml:space="preserve">ue </w:t>
      </w:r>
      <w:r>
        <w:rPr>
          <w:sz w:val="22"/>
          <w:szCs w:val="22"/>
          <w:lang w:val="en-GB"/>
        </w:rPr>
        <w:t>d</w:t>
      </w:r>
      <w:r w:rsidRPr="00972203">
        <w:rPr>
          <w:sz w:val="22"/>
          <w:szCs w:val="22"/>
          <w:lang w:val="en-GB"/>
        </w:rPr>
        <w:t>iligence study.</w:t>
      </w:r>
    </w:p>
    <w:tbl>
      <w:tblPr>
        <w:tblW w:w="10466" w:type="dxa"/>
        <w:tblCellMar>
          <w:left w:w="0" w:type="dxa"/>
          <w:right w:w="0" w:type="dxa"/>
        </w:tblCellMar>
        <w:tblLook w:val="04A0" w:firstRow="1" w:lastRow="0" w:firstColumn="1" w:lastColumn="0" w:noHBand="0" w:noVBand="1"/>
      </w:tblPr>
      <w:tblGrid>
        <w:gridCol w:w="1593"/>
        <w:gridCol w:w="980"/>
        <w:gridCol w:w="1026"/>
        <w:gridCol w:w="981"/>
        <w:gridCol w:w="981"/>
        <w:gridCol w:w="981"/>
        <w:gridCol w:w="980"/>
        <w:gridCol w:w="16"/>
        <w:gridCol w:w="929"/>
        <w:gridCol w:w="612"/>
        <w:gridCol w:w="1387"/>
      </w:tblGrid>
      <w:tr w:rsidR="00175192" w:rsidRPr="00103130" w14:paraId="37F24324" w14:textId="77777777" w:rsidTr="0055738A">
        <w:trPr>
          <w:cantSplit/>
          <w:trHeight w:val="300"/>
        </w:trPr>
        <w:tc>
          <w:tcPr>
            <w:tcW w:w="1588" w:type="dxa"/>
            <w:tcBorders>
              <w:top w:val="single" w:sz="8" w:space="0" w:color="auto"/>
              <w:left w:val="nil"/>
              <w:bottom w:val="single" w:sz="8" w:space="0" w:color="auto"/>
              <w:right w:val="single" w:sz="8" w:space="0" w:color="auto"/>
            </w:tcBorders>
            <w:shd w:val="clear" w:color="000000" w:fill="E7E6E6"/>
            <w:noWrap/>
            <w:vAlign w:val="center"/>
            <w:hideMark/>
          </w:tcPr>
          <w:p w14:paraId="0110B585"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Criter</w:t>
            </w:r>
            <w:r>
              <w:rPr>
                <w:rFonts w:eastAsia="Times New Roman"/>
                <w:b/>
                <w:bCs/>
                <w:color w:val="000000"/>
                <w:sz w:val="16"/>
                <w:szCs w:val="16"/>
                <w:lang w:val="en-US" w:eastAsia="en-GB"/>
              </w:rPr>
              <w:t>ion</w:t>
            </w:r>
          </w:p>
        </w:tc>
        <w:tc>
          <w:tcPr>
            <w:tcW w:w="982" w:type="dxa"/>
            <w:tcBorders>
              <w:top w:val="single" w:sz="8" w:space="0" w:color="auto"/>
              <w:left w:val="nil"/>
              <w:bottom w:val="single" w:sz="8" w:space="0" w:color="auto"/>
              <w:right w:val="nil"/>
            </w:tcBorders>
            <w:shd w:val="clear" w:color="000000" w:fill="E7E6E6"/>
            <w:noWrap/>
            <w:vAlign w:val="center"/>
            <w:hideMark/>
          </w:tcPr>
          <w:p w14:paraId="79105D2B"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Capacity P50</w:t>
            </w:r>
          </w:p>
        </w:tc>
        <w:tc>
          <w:tcPr>
            <w:tcW w:w="1028" w:type="dxa"/>
            <w:tcBorders>
              <w:top w:val="single" w:sz="8" w:space="0" w:color="auto"/>
              <w:left w:val="single" w:sz="8" w:space="0" w:color="auto"/>
              <w:bottom w:val="single" w:sz="8" w:space="0" w:color="auto"/>
              <w:right w:val="nil"/>
            </w:tcBorders>
            <w:shd w:val="clear" w:color="000000" w:fill="E7E6E6"/>
            <w:noWrap/>
            <w:vAlign w:val="center"/>
            <w:hideMark/>
          </w:tcPr>
          <w:p w14:paraId="03D3411F"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Injectivity</w:t>
            </w:r>
          </w:p>
        </w:tc>
        <w:tc>
          <w:tcPr>
            <w:tcW w:w="982" w:type="dxa"/>
            <w:tcBorders>
              <w:top w:val="single" w:sz="8" w:space="0" w:color="auto"/>
              <w:left w:val="single" w:sz="8" w:space="0" w:color="auto"/>
              <w:bottom w:val="single" w:sz="8" w:space="0" w:color="auto"/>
              <w:right w:val="nil"/>
            </w:tcBorders>
            <w:shd w:val="clear" w:color="000000" w:fill="E7E6E6"/>
            <w:noWrap/>
            <w:vAlign w:val="center"/>
            <w:hideMark/>
          </w:tcPr>
          <w:p w14:paraId="5A760313" w14:textId="77777777" w:rsidR="00FD4125" w:rsidRPr="00786D87" w:rsidRDefault="00FD4125" w:rsidP="00FB1751">
            <w:pPr>
              <w:spacing w:after="0" w:line="240" w:lineRule="auto"/>
              <w:jc w:val="center"/>
              <w:rPr>
                <w:rFonts w:eastAsia="Times New Roman"/>
                <w:b/>
                <w:bCs/>
                <w:color w:val="000000"/>
                <w:sz w:val="16"/>
                <w:szCs w:val="16"/>
                <w:lang w:eastAsia="en-GB"/>
              </w:rPr>
            </w:pPr>
            <w:proofErr w:type="spellStart"/>
            <w:r w:rsidRPr="00786D87">
              <w:rPr>
                <w:rFonts w:eastAsia="Times New Roman"/>
                <w:b/>
                <w:bCs/>
                <w:color w:val="000000"/>
                <w:sz w:val="16"/>
                <w:szCs w:val="16"/>
                <w:lang w:val="en-US" w:eastAsia="en-GB"/>
              </w:rPr>
              <w:t>Georisk</w:t>
            </w:r>
            <w:proofErr w:type="spellEnd"/>
            <w:r w:rsidRPr="00786D87">
              <w:rPr>
                <w:rFonts w:eastAsia="Times New Roman"/>
                <w:b/>
                <w:bCs/>
                <w:color w:val="000000"/>
                <w:sz w:val="16"/>
                <w:szCs w:val="16"/>
                <w:lang w:val="en-US" w:eastAsia="en-GB"/>
              </w:rPr>
              <w:t xml:space="preserve"> + Well risk</w:t>
            </w:r>
          </w:p>
        </w:tc>
        <w:tc>
          <w:tcPr>
            <w:tcW w:w="982" w:type="dxa"/>
            <w:tcBorders>
              <w:top w:val="single" w:sz="8" w:space="0" w:color="auto"/>
              <w:left w:val="single" w:sz="8" w:space="0" w:color="auto"/>
              <w:bottom w:val="single" w:sz="8" w:space="0" w:color="auto"/>
              <w:right w:val="nil"/>
            </w:tcBorders>
            <w:shd w:val="clear" w:color="000000" w:fill="E7E6E6"/>
            <w:noWrap/>
            <w:vAlign w:val="center"/>
            <w:hideMark/>
          </w:tcPr>
          <w:p w14:paraId="7C60CE4F"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Cost</w:t>
            </w:r>
          </w:p>
        </w:tc>
        <w:tc>
          <w:tcPr>
            <w:tcW w:w="982" w:type="dxa"/>
            <w:tcBorders>
              <w:top w:val="single" w:sz="8" w:space="0" w:color="auto"/>
              <w:left w:val="single" w:sz="8" w:space="0" w:color="auto"/>
              <w:bottom w:val="single" w:sz="8" w:space="0" w:color="auto"/>
              <w:right w:val="nil"/>
            </w:tcBorders>
            <w:shd w:val="clear" w:color="000000" w:fill="E7E6E6"/>
            <w:noWrap/>
            <w:vAlign w:val="center"/>
            <w:hideMark/>
          </w:tcPr>
          <w:p w14:paraId="28D7A7CF"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Unit type</w:t>
            </w:r>
          </w:p>
        </w:tc>
        <w:tc>
          <w:tcPr>
            <w:tcW w:w="982"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14:paraId="744D7475"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Water depth</w:t>
            </w:r>
          </w:p>
        </w:tc>
        <w:tc>
          <w:tcPr>
            <w:tcW w:w="16" w:type="dxa"/>
            <w:tcBorders>
              <w:left w:val="single" w:sz="4" w:space="0" w:color="auto"/>
              <w:right w:val="single" w:sz="4" w:space="0" w:color="auto"/>
            </w:tcBorders>
            <w:shd w:val="clear" w:color="auto" w:fill="FFFFFF" w:themeFill="background1"/>
          </w:tcPr>
          <w:p w14:paraId="5A79988D" w14:textId="77777777" w:rsidR="00FD4125" w:rsidRPr="00786D87" w:rsidRDefault="00FD4125" w:rsidP="00FB1751">
            <w:pPr>
              <w:spacing w:after="0" w:line="240" w:lineRule="auto"/>
              <w:jc w:val="center"/>
              <w:rPr>
                <w:rFonts w:eastAsia="Times New Roman"/>
                <w:b/>
                <w:bCs/>
                <w:color w:val="000000"/>
                <w:sz w:val="16"/>
                <w:szCs w:val="16"/>
                <w:lang w:eastAsia="en-GB"/>
              </w:rPr>
            </w:pPr>
          </w:p>
        </w:tc>
        <w:tc>
          <w:tcPr>
            <w:tcW w:w="2924" w:type="dxa"/>
            <w:gridSpan w:val="3"/>
            <w:tcBorders>
              <w:top w:val="single" w:sz="4" w:space="0" w:color="auto"/>
              <w:left w:val="single" w:sz="4" w:space="0" w:color="auto"/>
              <w:bottom w:val="single" w:sz="4" w:space="0" w:color="auto"/>
            </w:tcBorders>
            <w:shd w:val="clear" w:color="000000" w:fill="E7E6E6"/>
            <w:noWrap/>
            <w:vAlign w:val="center"/>
            <w:hideMark/>
          </w:tcPr>
          <w:p w14:paraId="05DE305E"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eastAsia="en-GB"/>
              </w:rPr>
              <w:t>TOPSIS</w:t>
            </w:r>
          </w:p>
        </w:tc>
      </w:tr>
      <w:tr w:rsidR="00175192" w:rsidRPr="00103130" w14:paraId="403DB565" w14:textId="77777777" w:rsidTr="0055738A">
        <w:trPr>
          <w:cantSplit/>
          <w:trHeight w:val="300"/>
        </w:trPr>
        <w:tc>
          <w:tcPr>
            <w:tcW w:w="1588" w:type="dxa"/>
            <w:tcBorders>
              <w:top w:val="nil"/>
              <w:left w:val="nil"/>
              <w:bottom w:val="single" w:sz="8" w:space="0" w:color="auto"/>
              <w:right w:val="single" w:sz="8" w:space="0" w:color="auto"/>
            </w:tcBorders>
            <w:shd w:val="clear" w:color="000000" w:fill="E7E6E6"/>
            <w:noWrap/>
            <w:vAlign w:val="center"/>
            <w:hideMark/>
          </w:tcPr>
          <w:p w14:paraId="6406905F"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Correlation</w:t>
            </w:r>
          </w:p>
        </w:tc>
        <w:tc>
          <w:tcPr>
            <w:tcW w:w="982" w:type="dxa"/>
            <w:tcBorders>
              <w:top w:val="nil"/>
              <w:left w:val="nil"/>
              <w:bottom w:val="single" w:sz="8" w:space="0" w:color="auto"/>
              <w:right w:val="nil"/>
            </w:tcBorders>
            <w:shd w:val="clear" w:color="000000" w:fill="E7E6E6"/>
            <w:noWrap/>
            <w:vAlign w:val="center"/>
            <w:hideMark/>
          </w:tcPr>
          <w:p w14:paraId="6ADD739C"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Positive</w:t>
            </w:r>
          </w:p>
        </w:tc>
        <w:tc>
          <w:tcPr>
            <w:tcW w:w="1028" w:type="dxa"/>
            <w:tcBorders>
              <w:top w:val="nil"/>
              <w:left w:val="single" w:sz="8" w:space="0" w:color="auto"/>
              <w:bottom w:val="single" w:sz="8" w:space="0" w:color="auto"/>
              <w:right w:val="nil"/>
            </w:tcBorders>
            <w:shd w:val="clear" w:color="000000" w:fill="E7E6E6"/>
            <w:noWrap/>
            <w:vAlign w:val="center"/>
            <w:hideMark/>
          </w:tcPr>
          <w:p w14:paraId="4CA9257A"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Positive</w:t>
            </w:r>
          </w:p>
        </w:tc>
        <w:tc>
          <w:tcPr>
            <w:tcW w:w="982" w:type="dxa"/>
            <w:tcBorders>
              <w:top w:val="nil"/>
              <w:left w:val="single" w:sz="8" w:space="0" w:color="auto"/>
              <w:bottom w:val="single" w:sz="8" w:space="0" w:color="auto"/>
              <w:right w:val="nil"/>
            </w:tcBorders>
            <w:shd w:val="clear" w:color="000000" w:fill="E7E6E6"/>
            <w:noWrap/>
            <w:vAlign w:val="center"/>
            <w:hideMark/>
          </w:tcPr>
          <w:p w14:paraId="100F9243"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Negative</w:t>
            </w:r>
          </w:p>
        </w:tc>
        <w:tc>
          <w:tcPr>
            <w:tcW w:w="982" w:type="dxa"/>
            <w:tcBorders>
              <w:top w:val="nil"/>
              <w:left w:val="single" w:sz="8" w:space="0" w:color="auto"/>
              <w:bottom w:val="single" w:sz="8" w:space="0" w:color="auto"/>
              <w:right w:val="nil"/>
            </w:tcBorders>
            <w:shd w:val="clear" w:color="000000" w:fill="E7E6E6"/>
            <w:noWrap/>
            <w:vAlign w:val="center"/>
            <w:hideMark/>
          </w:tcPr>
          <w:p w14:paraId="406ADF1E"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Negative</w:t>
            </w:r>
          </w:p>
        </w:tc>
        <w:tc>
          <w:tcPr>
            <w:tcW w:w="982" w:type="dxa"/>
            <w:tcBorders>
              <w:top w:val="nil"/>
              <w:left w:val="single" w:sz="8" w:space="0" w:color="auto"/>
              <w:bottom w:val="single" w:sz="8" w:space="0" w:color="auto"/>
              <w:right w:val="nil"/>
            </w:tcBorders>
            <w:shd w:val="clear" w:color="000000" w:fill="E7E6E6"/>
            <w:noWrap/>
            <w:vAlign w:val="center"/>
            <w:hideMark/>
          </w:tcPr>
          <w:p w14:paraId="5EFE6660"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Positive</w:t>
            </w:r>
          </w:p>
        </w:tc>
        <w:tc>
          <w:tcPr>
            <w:tcW w:w="982" w:type="dxa"/>
            <w:tcBorders>
              <w:top w:val="nil"/>
              <w:left w:val="single" w:sz="8" w:space="0" w:color="auto"/>
              <w:bottom w:val="single" w:sz="8" w:space="0" w:color="auto"/>
              <w:right w:val="single" w:sz="4" w:space="0" w:color="auto"/>
            </w:tcBorders>
            <w:shd w:val="clear" w:color="000000" w:fill="E7E6E6"/>
            <w:noWrap/>
            <w:vAlign w:val="center"/>
            <w:hideMark/>
          </w:tcPr>
          <w:p w14:paraId="60AA60F7"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Negative</w:t>
            </w:r>
          </w:p>
        </w:tc>
        <w:tc>
          <w:tcPr>
            <w:tcW w:w="16" w:type="dxa"/>
            <w:tcBorders>
              <w:left w:val="single" w:sz="4" w:space="0" w:color="auto"/>
              <w:right w:val="single" w:sz="4" w:space="0" w:color="auto"/>
            </w:tcBorders>
            <w:shd w:val="clear" w:color="auto" w:fill="FFFFFF" w:themeFill="background1"/>
          </w:tcPr>
          <w:p w14:paraId="0356D9BF" w14:textId="77777777" w:rsidR="00FD4125" w:rsidRPr="00786D87" w:rsidRDefault="00FD4125" w:rsidP="00FB1751">
            <w:pPr>
              <w:spacing w:after="0" w:line="240" w:lineRule="auto"/>
              <w:jc w:val="center"/>
              <w:rPr>
                <w:rFonts w:eastAsia="Times New Roman"/>
                <w:b/>
                <w:bCs/>
                <w:color w:val="000000"/>
                <w:sz w:val="16"/>
                <w:szCs w:val="16"/>
                <w:lang w:eastAsia="en-GB"/>
              </w:rPr>
            </w:pPr>
          </w:p>
        </w:tc>
        <w:tc>
          <w:tcPr>
            <w:tcW w:w="2924" w:type="dxa"/>
            <w:gridSpan w:val="3"/>
            <w:tcBorders>
              <w:top w:val="single" w:sz="4" w:space="0" w:color="auto"/>
              <w:left w:val="single" w:sz="4" w:space="0" w:color="auto"/>
              <w:bottom w:val="single" w:sz="8" w:space="0" w:color="auto"/>
            </w:tcBorders>
            <w:shd w:val="clear" w:color="000000" w:fill="E7E6E6"/>
            <w:noWrap/>
            <w:vAlign w:val="center"/>
            <w:hideMark/>
          </w:tcPr>
          <w:p w14:paraId="35EC2B16"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eastAsia="en-GB"/>
              </w:rPr>
              <w:t>Positive</w:t>
            </w:r>
          </w:p>
        </w:tc>
      </w:tr>
      <w:tr w:rsidR="00175192" w:rsidRPr="00103130" w14:paraId="6DF595EF" w14:textId="77777777" w:rsidTr="0055738A">
        <w:trPr>
          <w:cantSplit/>
          <w:trHeight w:val="300"/>
        </w:trPr>
        <w:tc>
          <w:tcPr>
            <w:tcW w:w="1588" w:type="dxa"/>
            <w:tcBorders>
              <w:top w:val="nil"/>
              <w:left w:val="nil"/>
              <w:bottom w:val="single" w:sz="8" w:space="0" w:color="auto"/>
              <w:right w:val="single" w:sz="8" w:space="0" w:color="auto"/>
            </w:tcBorders>
            <w:shd w:val="clear" w:color="000000" w:fill="E7E6E6"/>
            <w:noWrap/>
            <w:vAlign w:val="center"/>
            <w:hideMark/>
          </w:tcPr>
          <w:p w14:paraId="1A64CBB2"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Weight</w:t>
            </w:r>
          </w:p>
        </w:tc>
        <w:tc>
          <w:tcPr>
            <w:tcW w:w="982" w:type="dxa"/>
            <w:tcBorders>
              <w:top w:val="nil"/>
              <w:left w:val="nil"/>
              <w:bottom w:val="single" w:sz="8" w:space="0" w:color="auto"/>
              <w:right w:val="nil"/>
            </w:tcBorders>
            <w:shd w:val="clear" w:color="000000" w:fill="E7E6E6"/>
            <w:noWrap/>
            <w:vAlign w:val="center"/>
            <w:hideMark/>
          </w:tcPr>
          <w:p w14:paraId="27E723A3"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12</w:t>
            </w:r>
          </w:p>
        </w:tc>
        <w:tc>
          <w:tcPr>
            <w:tcW w:w="1028" w:type="dxa"/>
            <w:tcBorders>
              <w:top w:val="nil"/>
              <w:left w:val="single" w:sz="8" w:space="0" w:color="auto"/>
              <w:bottom w:val="single" w:sz="8" w:space="0" w:color="auto"/>
              <w:right w:val="nil"/>
            </w:tcBorders>
            <w:shd w:val="clear" w:color="000000" w:fill="E7E6E6"/>
            <w:noWrap/>
            <w:vAlign w:val="center"/>
            <w:hideMark/>
          </w:tcPr>
          <w:p w14:paraId="694EF1FD"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14</w:t>
            </w:r>
          </w:p>
        </w:tc>
        <w:tc>
          <w:tcPr>
            <w:tcW w:w="982" w:type="dxa"/>
            <w:tcBorders>
              <w:top w:val="nil"/>
              <w:left w:val="single" w:sz="8" w:space="0" w:color="auto"/>
              <w:bottom w:val="single" w:sz="8" w:space="0" w:color="auto"/>
              <w:right w:val="nil"/>
            </w:tcBorders>
            <w:shd w:val="clear" w:color="000000" w:fill="E7E6E6"/>
            <w:noWrap/>
            <w:vAlign w:val="center"/>
            <w:hideMark/>
          </w:tcPr>
          <w:p w14:paraId="14A66595"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24</w:t>
            </w:r>
          </w:p>
        </w:tc>
        <w:tc>
          <w:tcPr>
            <w:tcW w:w="982" w:type="dxa"/>
            <w:tcBorders>
              <w:top w:val="nil"/>
              <w:left w:val="single" w:sz="8" w:space="0" w:color="auto"/>
              <w:bottom w:val="single" w:sz="8" w:space="0" w:color="auto"/>
              <w:right w:val="nil"/>
            </w:tcBorders>
            <w:shd w:val="clear" w:color="000000" w:fill="E7E6E6"/>
            <w:noWrap/>
            <w:vAlign w:val="center"/>
            <w:hideMark/>
          </w:tcPr>
          <w:p w14:paraId="4E93C378"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18</w:t>
            </w:r>
          </w:p>
        </w:tc>
        <w:tc>
          <w:tcPr>
            <w:tcW w:w="982" w:type="dxa"/>
            <w:tcBorders>
              <w:top w:val="nil"/>
              <w:left w:val="single" w:sz="8" w:space="0" w:color="auto"/>
              <w:bottom w:val="single" w:sz="8" w:space="0" w:color="auto"/>
              <w:right w:val="nil"/>
            </w:tcBorders>
            <w:shd w:val="clear" w:color="000000" w:fill="E7E6E6"/>
            <w:noWrap/>
            <w:vAlign w:val="center"/>
            <w:hideMark/>
          </w:tcPr>
          <w:p w14:paraId="15BEB13B"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24</w:t>
            </w:r>
          </w:p>
        </w:tc>
        <w:tc>
          <w:tcPr>
            <w:tcW w:w="982" w:type="dxa"/>
            <w:tcBorders>
              <w:top w:val="nil"/>
              <w:left w:val="single" w:sz="8" w:space="0" w:color="auto"/>
              <w:bottom w:val="single" w:sz="8" w:space="0" w:color="auto"/>
              <w:right w:val="single" w:sz="4" w:space="0" w:color="auto"/>
            </w:tcBorders>
            <w:shd w:val="clear" w:color="000000" w:fill="E7E6E6"/>
            <w:noWrap/>
            <w:vAlign w:val="center"/>
            <w:hideMark/>
          </w:tcPr>
          <w:p w14:paraId="4FA1E7B8"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8</w:t>
            </w:r>
          </w:p>
        </w:tc>
        <w:tc>
          <w:tcPr>
            <w:tcW w:w="16" w:type="dxa"/>
            <w:tcBorders>
              <w:left w:val="single" w:sz="4" w:space="0" w:color="auto"/>
              <w:right w:val="single" w:sz="4" w:space="0" w:color="auto"/>
            </w:tcBorders>
            <w:shd w:val="clear" w:color="auto" w:fill="FFFFFF" w:themeFill="background1"/>
          </w:tcPr>
          <w:p w14:paraId="11435C08" w14:textId="77777777" w:rsidR="00FD4125" w:rsidRPr="00786D87" w:rsidRDefault="00FD4125" w:rsidP="00FB1751">
            <w:pPr>
              <w:spacing w:after="0" w:line="240" w:lineRule="auto"/>
              <w:jc w:val="center"/>
              <w:rPr>
                <w:rFonts w:eastAsia="Times New Roman"/>
                <w:b/>
                <w:bCs/>
                <w:color w:val="000000"/>
                <w:sz w:val="16"/>
                <w:szCs w:val="16"/>
                <w:lang w:eastAsia="en-GB"/>
              </w:rPr>
            </w:pPr>
          </w:p>
        </w:tc>
        <w:tc>
          <w:tcPr>
            <w:tcW w:w="2924" w:type="dxa"/>
            <w:gridSpan w:val="3"/>
            <w:tcBorders>
              <w:top w:val="single" w:sz="8" w:space="0" w:color="auto"/>
              <w:left w:val="single" w:sz="4" w:space="0" w:color="auto"/>
              <w:bottom w:val="single" w:sz="4" w:space="0" w:color="auto"/>
            </w:tcBorders>
            <w:shd w:val="clear" w:color="000000" w:fill="E7E6E6"/>
            <w:noWrap/>
            <w:vAlign w:val="center"/>
            <w:hideMark/>
          </w:tcPr>
          <w:p w14:paraId="602E5EBE"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eastAsia="en-GB"/>
              </w:rPr>
              <w:t>-</w:t>
            </w:r>
          </w:p>
        </w:tc>
      </w:tr>
      <w:tr w:rsidR="0055738A" w:rsidRPr="00103130" w14:paraId="315090AF" w14:textId="77777777" w:rsidTr="0055738A">
        <w:trPr>
          <w:cantSplit/>
          <w:trHeight w:val="300"/>
        </w:trPr>
        <w:tc>
          <w:tcPr>
            <w:tcW w:w="1588" w:type="dxa"/>
            <w:tcBorders>
              <w:top w:val="nil"/>
              <w:left w:val="nil"/>
              <w:bottom w:val="single" w:sz="8" w:space="0" w:color="auto"/>
              <w:right w:val="single" w:sz="8" w:space="0" w:color="auto"/>
            </w:tcBorders>
            <w:shd w:val="clear" w:color="000000" w:fill="E7E6E6"/>
            <w:noWrap/>
            <w:vAlign w:val="center"/>
            <w:hideMark/>
          </w:tcPr>
          <w:p w14:paraId="0185D5C8"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Site name</w:t>
            </w:r>
          </w:p>
        </w:tc>
        <w:tc>
          <w:tcPr>
            <w:tcW w:w="982" w:type="dxa"/>
            <w:tcBorders>
              <w:top w:val="nil"/>
              <w:left w:val="nil"/>
              <w:bottom w:val="single" w:sz="8" w:space="0" w:color="auto"/>
              <w:right w:val="single" w:sz="8" w:space="0" w:color="auto"/>
            </w:tcBorders>
            <w:shd w:val="clear" w:color="000000" w:fill="E7E6E6"/>
            <w:noWrap/>
            <w:vAlign w:val="center"/>
            <w:hideMark/>
          </w:tcPr>
          <w:p w14:paraId="06671920"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Rank</w:t>
            </w:r>
          </w:p>
        </w:tc>
        <w:tc>
          <w:tcPr>
            <w:tcW w:w="1028" w:type="dxa"/>
            <w:tcBorders>
              <w:top w:val="nil"/>
              <w:left w:val="nil"/>
              <w:bottom w:val="single" w:sz="8" w:space="0" w:color="auto"/>
              <w:right w:val="single" w:sz="8" w:space="0" w:color="auto"/>
            </w:tcBorders>
            <w:shd w:val="clear" w:color="000000" w:fill="E7E6E6"/>
            <w:noWrap/>
            <w:vAlign w:val="center"/>
            <w:hideMark/>
          </w:tcPr>
          <w:p w14:paraId="3C3B8E55"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Rank</w:t>
            </w:r>
          </w:p>
        </w:tc>
        <w:tc>
          <w:tcPr>
            <w:tcW w:w="982" w:type="dxa"/>
            <w:tcBorders>
              <w:top w:val="nil"/>
              <w:left w:val="nil"/>
              <w:bottom w:val="single" w:sz="8" w:space="0" w:color="auto"/>
              <w:right w:val="single" w:sz="8" w:space="0" w:color="auto"/>
            </w:tcBorders>
            <w:shd w:val="clear" w:color="000000" w:fill="E7E6E6"/>
            <w:noWrap/>
            <w:vAlign w:val="center"/>
            <w:hideMark/>
          </w:tcPr>
          <w:p w14:paraId="53D03092"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Rank</w:t>
            </w:r>
          </w:p>
        </w:tc>
        <w:tc>
          <w:tcPr>
            <w:tcW w:w="982" w:type="dxa"/>
            <w:tcBorders>
              <w:top w:val="nil"/>
              <w:left w:val="nil"/>
              <w:bottom w:val="single" w:sz="8" w:space="0" w:color="auto"/>
              <w:right w:val="single" w:sz="8" w:space="0" w:color="auto"/>
            </w:tcBorders>
            <w:shd w:val="clear" w:color="000000" w:fill="E7E6E6"/>
            <w:noWrap/>
            <w:vAlign w:val="center"/>
            <w:hideMark/>
          </w:tcPr>
          <w:p w14:paraId="74E43BE2"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Rank</w:t>
            </w:r>
          </w:p>
        </w:tc>
        <w:tc>
          <w:tcPr>
            <w:tcW w:w="982" w:type="dxa"/>
            <w:tcBorders>
              <w:top w:val="nil"/>
              <w:left w:val="nil"/>
              <w:bottom w:val="single" w:sz="8" w:space="0" w:color="auto"/>
              <w:right w:val="single" w:sz="8" w:space="0" w:color="auto"/>
            </w:tcBorders>
            <w:shd w:val="clear" w:color="000000" w:fill="E7E6E6"/>
            <w:noWrap/>
            <w:vAlign w:val="center"/>
            <w:hideMark/>
          </w:tcPr>
          <w:p w14:paraId="72DA4E0D"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Rank</w:t>
            </w:r>
          </w:p>
        </w:tc>
        <w:tc>
          <w:tcPr>
            <w:tcW w:w="982" w:type="dxa"/>
            <w:tcBorders>
              <w:top w:val="nil"/>
              <w:left w:val="nil"/>
              <w:bottom w:val="single" w:sz="8" w:space="0" w:color="auto"/>
              <w:right w:val="single" w:sz="4" w:space="0" w:color="auto"/>
            </w:tcBorders>
            <w:shd w:val="clear" w:color="000000" w:fill="E7E6E6"/>
            <w:noWrap/>
            <w:vAlign w:val="center"/>
            <w:hideMark/>
          </w:tcPr>
          <w:p w14:paraId="3BF139CA"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val="en-US" w:eastAsia="en-GB"/>
              </w:rPr>
              <w:t>Rank</w:t>
            </w:r>
          </w:p>
        </w:tc>
        <w:tc>
          <w:tcPr>
            <w:tcW w:w="16" w:type="dxa"/>
            <w:tcBorders>
              <w:left w:val="single" w:sz="4" w:space="0" w:color="auto"/>
              <w:right w:val="single" w:sz="4" w:space="0" w:color="auto"/>
            </w:tcBorders>
            <w:shd w:val="clear" w:color="auto" w:fill="FFFFFF" w:themeFill="background1"/>
          </w:tcPr>
          <w:p w14:paraId="3042D7F8" w14:textId="77777777" w:rsidR="00FD4125" w:rsidRPr="00786D87" w:rsidRDefault="00FD4125" w:rsidP="00FB1751">
            <w:pPr>
              <w:spacing w:after="0" w:line="240" w:lineRule="auto"/>
              <w:jc w:val="left"/>
              <w:rPr>
                <w:rFonts w:eastAsia="Times New Roman"/>
                <w:b/>
                <w:bCs/>
                <w:color w:val="000000"/>
                <w:sz w:val="16"/>
                <w:szCs w:val="16"/>
                <w:lang w:eastAsia="en-GB"/>
              </w:rPr>
            </w:pPr>
          </w:p>
        </w:tc>
        <w:tc>
          <w:tcPr>
            <w:tcW w:w="930" w:type="dxa"/>
            <w:tcBorders>
              <w:top w:val="single" w:sz="4" w:space="0" w:color="auto"/>
              <w:left w:val="single" w:sz="4" w:space="0" w:color="auto"/>
              <w:bottom w:val="single" w:sz="4" w:space="0" w:color="auto"/>
              <w:right w:val="nil"/>
            </w:tcBorders>
            <w:shd w:val="clear" w:color="000000" w:fill="E7E6E6"/>
            <w:noWrap/>
            <w:vAlign w:val="center"/>
            <w:hideMark/>
          </w:tcPr>
          <w:p w14:paraId="0F6419EA"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eastAsia="en-GB"/>
              </w:rPr>
              <w:t>Value</w:t>
            </w:r>
          </w:p>
        </w:tc>
        <w:tc>
          <w:tcPr>
            <w:tcW w:w="613" w:type="dxa"/>
            <w:tcBorders>
              <w:top w:val="single" w:sz="4" w:space="0" w:color="auto"/>
              <w:left w:val="single" w:sz="8" w:space="0" w:color="auto"/>
              <w:bottom w:val="single" w:sz="4" w:space="0" w:color="auto"/>
              <w:right w:val="single" w:sz="4" w:space="0" w:color="auto"/>
            </w:tcBorders>
            <w:shd w:val="clear" w:color="000000" w:fill="E7E6E6"/>
            <w:noWrap/>
            <w:vAlign w:val="center"/>
            <w:hideMark/>
          </w:tcPr>
          <w:p w14:paraId="0E42F12A"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eastAsia="en-GB"/>
              </w:rPr>
              <w:t>Rank</w:t>
            </w:r>
          </w:p>
        </w:tc>
        <w:tc>
          <w:tcPr>
            <w:tcW w:w="1381" w:type="dxa"/>
            <w:tcBorders>
              <w:top w:val="single" w:sz="4" w:space="0" w:color="auto"/>
              <w:left w:val="single" w:sz="4" w:space="0" w:color="auto"/>
              <w:bottom w:val="single" w:sz="4" w:space="0" w:color="auto"/>
            </w:tcBorders>
            <w:shd w:val="clear" w:color="000000" w:fill="E7E6E6"/>
            <w:noWrap/>
            <w:vAlign w:val="center"/>
            <w:hideMark/>
          </w:tcPr>
          <w:p w14:paraId="392A92DA" w14:textId="77777777" w:rsidR="00FD4125" w:rsidRPr="00786D87" w:rsidRDefault="00FD4125" w:rsidP="00FB1751">
            <w:pPr>
              <w:spacing w:after="0" w:line="240" w:lineRule="auto"/>
              <w:jc w:val="center"/>
              <w:rPr>
                <w:rFonts w:eastAsia="Times New Roman"/>
                <w:bCs/>
                <w:color w:val="000000"/>
                <w:sz w:val="16"/>
                <w:szCs w:val="16"/>
                <w:lang w:eastAsia="en-GB"/>
              </w:rPr>
            </w:pPr>
            <w:r w:rsidRPr="00786D87">
              <w:rPr>
                <w:rFonts w:eastAsia="Times New Roman"/>
                <w:bCs/>
                <w:color w:val="000000"/>
                <w:sz w:val="16"/>
                <w:szCs w:val="16"/>
                <w:lang w:eastAsia="en-GB"/>
              </w:rPr>
              <w:t>Decision</w:t>
            </w:r>
          </w:p>
        </w:tc>
      </w:tr>
      <w:tr w:rsidR="0055738A" w:rsidRPr="00103130" w14:paraId="5C8839EE"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7ACB5B18"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Brae East Condensate Field</w:t>
            </w:r>
          </w:p>
        </w:tc>
        <w:tc>
          <w:tcPr>
            <w:tcW w:w="982" w:type="dxa"/>
            <w:tcBorders>
              <w:top w:val="nil"/>
              <w:left w:val="nil"/>
              <w:bottom w:val="single" w:sz="8" w:space="0" w:color="auto"/>
              <w:right w:val="single" w:sz="8" w:space="0" w:color="auto"/>
            </w:tcBorders>
            <w:shd w:val="clear" w:color="000000" w:fill="F7CAAC"/>
            <w:noWrap/>
            <w:vAlign w:val="center"/>
            <w:hideMark/>
          </w:tcPr>
          <w:p w14:paraId="66729988"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11</w:t>
            </w:r>
          </w:p>
        </w:tc>
        <w:tc>
          <w:tcPr>
            <w:tcW w:w="1028" w:type="dxa"/>
            <w:tcBorders>
              <w:top w:val="nil"/>
              <w:left w:val="nil"/>
              <w:bottom w:val="single" w:sz="8" w:space="0" w:color="auto"/>
              <w:right w:val="single" w:sz="8" w:space="0" w:color="auto"/>
            </w:tcBorders>
            <w:shd w:val="clear" w:color="000000" w:fill="C5E0B3"/>
            <w:noWrap/>
            <w:vAlign w:val="center"/>
            <w:hideMark/>
          </w:tcPr>
          <w:p w14:paraId="5578F35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5</w:t>
            </w:r>
          </w:p>
        </w:tc>
        <w:tc>
          <w:tcPr>
            <w:tcW w:w="982" w:type="dxa"/>
            <w:tcBorders>
              <w:top w:val="nil"/>
              <w:left w:val="nil"/>
              <w:bottom w:val="single" w:sz="8" w:space="0" w:color="auto"/>
              <w:right w:val="single" w:sz="8" w:space="0" w:color="auto"/>
            </w:tcBorders>
            <w:shd w:val="clear" w:color="000000" w:fill="C5E0B3"/>
            <w:noWrap/>
            <w:vAlign w:val="center"/>
            <w:hideMark/>
          </w:tcPr>
          <w:p w14:paraId="1C1B1609"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982" w:type="dxa"/>
            <w:tcBorders>
              <w:top w:val="nil"/>
              <w:left w:val="nil"/>
              <w:bottom w:val="single" w:sz="8" w:space="0" w:color="auto"/>
              <w:right w:val="single" w:sz="8" w:space="0" w:color="auto"/>
            </w:tcBorders>
            <w:shd w:val="clear" w:color="000000" w:fill="F7CAAC"/>
            <w:noWrap/>
            <w:vAlign w:val="center"/>
            <w:hideMark/>
          </w:tcPr>
          <w:p w14:paraId="5629262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13</w:t>
            </w:r>
          </w:p>
        </w:tc>
        <w:tc>
          <w:tcPr>
            <w:tcW w:w="982" w:type="dxa"/>
            <w:tcBorders>
              <w:top w:val="nil"/>
              <w:left w:val="nil"/>
              <w:bottom w:val="single" w:sz="8" w:space="0" w:color="auto"/>
              <w:right w:val="single" w:sz="8" w:space="0" w:color="auto"/>
            </w:tcBorders>
            <w:shd w:val="clear" w:color="000000" w:fill="C5E0B3"/>
            <w:noWrap/>
            <w:vAlign w:val="center"/>
            <w:hideMark/>
          </w:tcPr>
          <w:p w14:paraId="03AA23BB"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3</w:t>
            </w:r>
          </w:p>
        </w:tc>
        <w:tc>
          <w:tcPr>
            <w:tcW w:w="982" w:type="dxa"/>
            <w:tcBorders>
              <w:top w:val="nil"/>
              <w:left w:val="nil"/>
              <w:bottom w:val="single" w:sz="8" w:space="0" w:color="auto"/>
              <w:right w:val="single" w:sz="4" w:space="0" w:color="auto"/>
            </w:tcBorders>
            <w:shd w:val="clear" w:color="000000" w:fill="F4F484"/>
            <w:noWrap/>
            <w:vAlign w:val="center"/>
            <w:hideMark/>
          </w:tcPr>
          <w:p w14:paraId="312963D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7</w:t>
            </w:r>
          </w:p>
        </w:tc>
        <w:tc>
          <w:tcPr>
            <w:tcW w:w="16" w:type="dxa"/>
            <w:tcBorders>
              <w:left w:val="single" w:sz="4" w:space="0" w:color="auto"/>
              <w:right w:val="single" w:sz="4" w:space="0" w:color="auto"/>
            </w:tcBorders>
            <w:shd w:val="clear" w:color="auto" w:fill="FFFFFF" w:themeFill="background1"/>
          </w:tcPr>
          <w:p w14:paraId="1BE7538C"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47CD6B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0.44</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444D39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7</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2F75FD6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08E37E04"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7123388C"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Brae North Condensate Field</w:t>
            </w:r>
          </w:p>
        </w:tc>
        <w:tc>
          <w:tcPr>
            <w:tcW w:w="982" w:type="dxa"/>
            <w:tcBorders>
              <w:top w:val="nil"/>
              <w:left w:val="nil"/>
              <w:bottom w:val="single" w:sz="8" w:space="0" w:color="auto"/>
              <w:right w:val="single" w:sz="8" w:space="0" w:color="auto"/>
            </w:tcBorders>
            <w:shd w:val="clear" w:color="000000" w:fill="F4F484"/>
            <w:noWrap/>
            <w:vAlign w:val="center"/>
            <w:hideMark/>
          </w:tcPr>
          <w:p w14:paraId="6F3D51E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9</w:t>
            </w:r>
          </w:p>
        </w:tc>
        <w:tc>
          <w:tcPr>
            <w:tcW w:w="1028" w:type="dxa"/>
            <w:tcBorders>
              <w:top w:val="nil"/>
              <w:left w:val="nil"/>
              <w:bottom w:val="single" w:sz="8" w:space="0" w:color="auto"/>
              <w:right w:val="single" w:sz="8" w:space="0" w:color="auto"/>
            </w:tcBorders>
            <w:shd w:val="clear" w:color="000000" w:fill="F7CAAC"/>
            <w:noWrap/>
            <w:vAlign w:val="center"/>
            <w:hideMark/>
          </w:tcPr>
          <w:p w14:paraId="1E7D406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8" w:space="0" w:color="auto"/>
            </w:tcBorders>
            <w:shd w:val="clear" w:color="000000" w:fill="C5E0B3"/>
            <w:noWrap/>
            <w:vAlign w:val="center"/>
            <w:hideMark/>
          </w:tcPr>
          <w:p w14:paraId="461D602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982" w:type="dxa"/>
            <w:tcBorders>
              <w:top w:val="nil"/>
              <w:left w:val="nil"/>
              <w:bottom w:val="single" w:sz="8" w:space="0" w:color="auto"/>
              <w:right w:val="single" w:sz="8" w:space="0" w:color="auto"/>
            </w:tcBorders>
            <w:shd w:val="clear" w:color="000000" w:fill="F7CAAC"/>
            <w:noWrap/>
            <w:vAlign w:val="center"/>
            <w:hideMark/>
          </w:tcPr>
          <w:p w14:paraId="6FFE87B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11</w:t>
            </w:r>
          </w:p>
        </w:tc>
        <w:tc>
          <w:tcPr>
            <w:tcW w:w="982" w:type="dxa"/>
            <w:tcBorders>
              <w:top w:val="nil"/>
              <w:left w:val="nil"/>
              <w:bottom w:val="single" w:sz="8" w:space="0" w:color="auto"/>
              <w:right w:val="single" w:sz="8" w:space="0" w:color="auto"/>
            </w:tcBorders>
            <w:shd w:val="clear" w:color="000000" w:fill="C5E0B3"/>
            <w:noWrap/>
            <w:vAlign w:val="center"/>
            <w:hideMark/>
          </w:tcPr>
          <w:p w14:paraId="12AA5A1F"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3</w:t>
            </w:r>
          </w:p>
        </w:tc>
        <w:tc>
          <w:tcPr>
            <w:tcW w:w="982" w:type="dxa"/>
            <w:tcBorders>
              <w:top w:val="nil"/>
              <w:left w:val="nil"/>
              <w:bottom w:val="single" w:sz="8" w:space="0" w:color="auto"/>
              <w:right w:val="single" w:sz="4" w:space="0" w:color="auto"/>
            </w:tcBorders>
            <w:shd w:val="clear" w:color="000000" w:fill="C5E0B3"/>
            <w:noWrap/>
            <w:vAlign w:val="center"/>
            <w:hideMark/>
          </w:tcPr>
          <w:p w14:paraId="2C4FFF80"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1</w:t>
            </w:r>
          </w:p>
        </w:tc>
        <w:tc>
          <w:tcPr>
            <w:tcW w:w="16" w:type="dxa"/>
            <w:tcBorders>
              <w:left w:val="single" w:sz="4" w:space="0" w:color="auto"/>
              <w:right w:val="single" w:sz="4" w:space="0" w:color="auto"/>
            </w:tcBorders>
            <w:shd w:val="clear" w:color="auto" w:fill="FFFFFF" w:themeFill="background1"/>
          </w:tcPr>
          <w:p w14:paraId="140999BC"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F5B78AB"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0.44</w:t>
            </w:r>
          </w:p>
        </w:tc>
        <w:tc>
          <w:tcPr>
            <w:tcW w:w="61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3311AE1"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6</w:t>
            </w:r>
          </w:p>
        </w:tc>
        <w:tc>
          <w:tcPr>
            <w:tcW w:w="1381" w:type="dxa"/>
            <w:tcBorders>
              <w:top w:val="single" w:sz="4" w:space="0" w:color="auto"/>
              <w:left w:val="single" w:sz="4" w:space="0" w:color="auto"/>
              <w:bottom w:val="single" w:sz="4" w:space="0" w:color="auto"/>
            </w:tcBorders>
            <w:shd w:val="clear" w:color="auto" w:fill="C5E0B3" w:themeFill="accent6" w:themeFillTint="66"/>
            <w:noWrap/>
            <w:vAlign w:val="center"/>
            <w:hideMark/>
          </w:tcPr>
          <w:p w14:paraId="0DE0ECA7"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To due diligence</w:t>
            </w:r>
          </w:p>
        </w:tc>
      </w:tr>
      <w:tr w:rsidR="0055738A" w:rsidRPr="00103130" w14:paraId="1B30F20C"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1A66248A"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Claymore_014_18</w:t>
            </w:r>
          </w:p>
        </w:tc>
        <w:tc>
          <w:tcPr>
            <w:tcW w:w="982" w:type="dxa"/>
            <w:tcBorders>
              <w:top w:val="nil"/>
              <w:left w:val="nil"/>
              <w:bottom w:val="single" w:sz="8" w:space="0" w:color="auto"/>
              <w:right w:val="single" w:sz="8" w:space="0" w:color="auto"/>
            </w:tcBorders>
            <w:shd w:val="clear" w:color="000000" w:fill="F4F484"/>
            <w:noWrap/>
            <w:vAlign w:val="center"/>
            <w:hideMark/>
          </w:tcPr>
          <w:p w14:paraId="5B9487B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6</w:t>
            </w:r>
          </w:p>
        </w:tc>
        <w:tc>
          <w:tcPr>
            <w:tcW w:w="1028" w:type="dxa"/>
            <w:tcBorders>
              <w:top w:val="nil"/>
              <w:left w:val="nil"/>
              <w:bottom w:val="single" w:sz="8" w:space="0" w:color="auto"/>
              <w:right w:val="single" w:sz="8" w:space="0" w:color="auto"/>
            </w:tcBorders>
            <w:shd w:val="clear" w:color="000000" w:fill="F4F484"/>
            <w:noWrap/>
            <w:vAlign w:val="center"/>
            <w:hideMark/>
          </w:tcPr>
          <w:p w14:paraId="6C28540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6</w:t>
            </w:r>
          </w:p>
        </w:tc>
        <w:tc>
          <w:tcPr>
            <w:tcW w:w="982" w:type="dxa"/>
            <w:tcBorders>
              <w:top w:val="nil"/>
              <w:left w:val="nil"/>
              <w:bottom w:val="single" w:sz="8" w:space="0" w:color="auto"/>
              <w:right w:val="single" w:sz="8" w:space="0" w:color="auto"/>
            </w:tcBorders>
            <w:shd w:val="clear" w:color="000000" w:fill="C5E0B3"/>
            <w:noWrap/>
            <w:vAlign w:val="center"/>
            <w:hideMark/>
          </w:tcPr>
          <w:p w14:paraId="622D29E6"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5</w:t>
            </w:r>
          </w:p>
        </w:tc>
        <w:tc>
          <w:tcPr>
            <w:tcW w:w="982" w:type="dxa"/>
            <w:tcBorders>
              <w:top w:val="nil"/>
              <w:left w:val="nil"/>
              <w:bottom w:val="single" w:sz="8" w:space="0" w:color="auto"/>
              <w:right w:val="single" w:sz="8" w:space="0" w:color="auto"/>
            </w:tcBorders>
            <w:shd w:val="clear" w:color="000000" w:fill="F7CAAC"/>
            <w:noWrap/>
            <w:vAlign w:val="center"/>
            <w:hideMark/>
          </w:tcPr>
          <w:p w14:paraId="79AD38CA"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8" w:space="0" w:color="auto"/>
            </w:tcBorders>
            <w:shd w:val="clear" w:color="000000" w:fill="F7CAAC"/>
            <w:noWrap/>
            <w:vAlign w:val="center"/>
            <w:hideMark/>
          </w:tcPr>
          <w:p w14:paraId="05688E3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4" w:space="0" w:color="auto"/>
            </w:tcBorders>
            <w:shd w:val="clear" w:color="000000" w:fill="F7CAAC"/>
            <w:noWrap/>
            <w:vAlign w:val="center"/>
            <w:hideMark/>
          </w:tcPr>
          <w:p w14:paraId="17250FD4"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12</w:t>
            </w:r>
          </w:p>
        </w:tc>
        <w:tc>
          <w:tcPr>
            <w:tcW w:w="16" w:type="dxa"/>
            <w:tcBorders>
              <w:left w:val="single" w:sz="4" w:space="0" w:color="auto"/>
              <w:right w:val="single" w:sz="4" w:space="0" w:color="auto"/>
            </w:tcBorders>
            <w:shd w:val="clear" w:color="auto" w:fill="FFFFFF" w:themeFill="background1"/>
          </w:tcPr>
          <w:p w14:paraId="03DCF9CF"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F6819B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0.18</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7B079E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14</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78421BC9"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6F22CFEC"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3FC26BEF"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Cromarty Sandstone Member</w:t>
            </w:r>
          </w:p>
        </w:tc>
        <w:tc>
          <w:tcPr>
            <w:tcW w:w="982" w:type="dxa"/>
            <w:tcBorders>
              <w:top w:val="nil"/>
              <w:left w:val="nil"/>
              <w:bottom w:val="single" w:sz="8" w:space="0" w:color="auto"/>
              <w:right w:val="single" w:sz="8" w:space="0" w:color="auto"/>
            </w:tcBorders>
            <w:shd w:val="clear" w:color="000000" w:fill="F7CAAC"/>
            <w:noWrap/>
            <w:vAlign w:val="center"/>
            <w:hideMark/>
          </w:tcPr>
          <w:p w14:paraId="20B384CC"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14</w:t>
            </w:r>
          </w:p>
        </w:tc>
        <w:tc>
          <w:tcPr>
            <w:tcW w:w="1028" w:type="dxa"/>
            <w:tcBorders>
              <w:top w:val="nil"/>
              <w:left w:val="nil"/>
              <w:bottom w:val="single" w:sz="8" w:space="0" w:color="auto"/>
              <w:right w:val="single" w:sz="8" w:space="0" w:color="auto"/>
            </w:tcBorders>
            <w:shd w:val="clear" w:color="000000" w:fill="F4F484"/>
            <w:noWrap/>
            <w:vAlign w:val="center"/>
            <w:hideMark/>
          </w:tcPr>
          <w:p w14:paraId="21FA38D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10</w:t>
            </w:r>
          </w:p>
        </w:tc>
        <w:tc>
          <w:tcPr>
            <w:tcW w:w="982" w:type="dxa"/>
            <w:tcBorders>
              <w:top w:val="nil"/>
              <w:left w:val="nil"/>
              <w:bottom w:val="single" w:sz="8" w:space="0" w:color="auto"/>
              <w:right w:val="single" w:sz="8" w:space="0" w:color="auto"/>
            </w:tcBorders>
            <w:shd w:val="clear" w:color="000000" w:fill="F7CAAC"/>
            <w:noWrap/>
            <w:vAlign w:val="center"/>
            <w:hideMark/>
          </w:tcPr>
          <w:p w14:paraId="17634276"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11</w:t>
            </w:r>
          </w:p>
        </w:tc>
        <w:tc>
          <w:tcPr>
            <w:tcW w:w="982" w:type="dxa"/>
            <w:tcBorders>
              <w:top w:val="nil"/>
              <w:left w:val="nil"/>
              <w:bottom w:val="single" w:sz="8" w:space="0" w:color="auto"/>
              <w:right w:val="single" w:sz="8" w:space="0" w:color="auto"/>
            </w:tcBorders>
            <w:shd w:val="clear" w:color="000000" w:fill="F4F484"/>
            <w:noWrap/>
            <w:vAlign w:val="center"/>
            <w:hideMark/>
          </w:tcPr>
          <w:p w14:paraId="55F95EB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10</w:t>
            </w:r>
          </w:p>
        </w:tc>
        <w:tc>
          <w:tcPr>
            <w:tcW w:w="982" w:type="dxa"/>
            <w:tcBorders>
              <w:top w:val="nil"/>
              <w:left w:val="nil"/>
              <w:bottom w:val="single" w:sz="8" w:space="0" w:color="auto"/>
              <w:right w:val="single" w:sz="8" w:space="0" w:color="auto"/>
            </w:tcBorders>
            <w:shd w:val="clear" w:color="000000" w:fill="F7CAAC"/>
            <w:noWrap/>
            <w:vAlign w:val="center"/>
            <w:hideMark/>
          </w:tcPr>
          <w:p w14:paraId="5AB4698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4" w:space="0" w:color="auto"/>
            </w:tcBorders>
            <w:shd w:val="clear" w:color="000000" w:fill="C5E0B3"/>
            <w:noWrap/>
            <w:vAlign w:val="center"/>
            <w:hideMark/>
          </w:tcPr>
          <w:p w14:paraId="56404278"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16" w:type="dxa"/>
            <w:tcBorders>
              <w:left w:val="single" w:sz="4" w:space="0" w:color="auto"/>
              <w:right w:val="single" w:sz="4" w:space="0" w:color="auto"/>
            </w:tcBorders>
            <w:shd w:val="clear" w:color="auto" w:fill="FFFFFF" w:themeFill="background1"/>
          </w:tcPr>
          <w:p w14:paraId="7A42CFCE"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02B0659"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0.21</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D9F6F8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13</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288771B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481E6DE0"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258F8B65"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Dornoch Formation</w:t>
            </w:r>
          </w:p>
        </w:tc>
        <w:tc>
          <w:tcPr>
            <w:tcW w:w="982" w:type="dxa"/>
            <w:tcBorders>
              <w:top w:val="nil"/>
              <w:left w:val="nil"/>
              <w:bottom w:val="single" w:sz="8" w:space="0" w:color="auto"/>
              <w:right w:val="single" w:sz="8" w:space="0" w:color="auto"/>
            </w:tcBorders>
            <w:shd w:val="clear" w:color="000000" w:fill="F4F484"/>
            <w:noWrap/>
            <w:vAlign w:val="center"/>
            <w:hideMark/>
          </w:tcPr>
          <w:p w14:paraId="0EE36282"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1028" w:type="dxa"/>
            <w:tcBorders>
              <w:top w:val="nil"/>
              <w:left w:val="nil"/>
              <w:bottom w:val="single" w:sz="8" w:space="0" w:color="auto"/>
              <w:right w:val="single" w:sz="8" w:space="0" w:color="auto"/>
            </w:tcBorders>
            <w:shd w:val="clear" w:color="000000" w:fill="C5E0B3"/>
            <w:noWrap/>
            <w:vAlign w:val="center"/>
            <w:hideMark/>
          </w:tcPr>
          <w:p w14:paraId="4446CD46"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1</w:t>
            </w:r>
          </w:p>
        </w:tc>
        <w:tc>
          <w:tcPr>
            <w:tcW w:w="982" w:type="dxa"/>
            <w:tcBorders>
              <w:top w:val="nil"/>
              <w:left w:val="nil"/>
              <w:bottom w:val="single" w:sz="8" w:space="0" w:color="auto"/>
              <w:right w:val="single" w:sz="8" w:space="0" w:color="auto"/>
            </w:tcBorders>
            <w:shd w:val="clear" w:color="000000" w:fill="F4F484"/>
            <w:noWrap/>
            <w:vAlign w:val="center"/>
            <w:hideMark/>
          </w:tcPr>
          <w:p w14:paraId="6B3DCB2C"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single" w:sz="8" w:space="0" w:color="auto"/>
              <w:right w:val="single" w:sz="8" w:space="0" w:color="auto"/>
            </w:tcBorders>
            <w:shd w:val="clear" w:color="000000" w:fill="C5E0B3"/>
            <w:noWrap/>
            <w:vAlign w:val="center"/>
            <w:hideMark/>
          </w:tcPr>
          <w:p w14:paraId="3CA84188"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982" w:type="dxa"/>
            <w:tcBorders>
              <w:top w:val="nil"/>
              <w:left w:val="nil"/>
              <w:bottom w:val="single" w:sz="8" w:space="0" w:color="auto"/>
              <w:right w:val="single" w:sz="8" w:space="0" w:color="auto"/>
            </w:tcBorders>
            <w:shd w:val="clear" w:color="000000" w:fill="F4F484"/>
            <w:noWrap/>
            <w:vAlign w:val="center"/>
            <w:hideMark/>
          </w:tcPr>
          <w:p w14:paraId="1DE6E3A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single" w:sz="8" w:space="0" w:color="auto"/>
              <w:right w:val="single" w:sz="4" w:space="0" w:color="auto"/>
            </w:tcBorders>
            <w:shd w:val="clear" w:color="000000" w:fill="F4F484"/>
            <w:noWrap/>
            <w:vAlign w:val="center"/>
            <w:hideMark/>
          </w:tcPr>
          <w:p w14:paraId="3DB7A6E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6</w:t>
            </w:r>
          </w:p>
        </w:tc>
        <w:tc>
          <w:tcPr>
            <w:tcW w:w="16" w:type="dxa"/>
            <w:tcBorders>
              <w:left w:val="single" w:sz="4" w:space="0" w:color="auto"/>
              <w:right w:val="single" w:sz="4" w:space="0" w:color="auto"/>
            </w:tcBorders>
            <w:shd w:val="clear" w:color="auto" w:fill="FFFFFF" w:themeFill="background1"/>
          </w:tcPr>
          <w:p w14:paraId="498AB8B8"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9DD4BA6"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0.54</w:t>
            </w:r>
          </w:p>
        </w:tc>
        <w:tc>
          <w:tcPr>
            <w:tcW w:w="61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9AC1337"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3</w:t>
            </w:r>
          </w:p>
        </w:tc>
        <w:tc>
          <w:tcPr>
            <w:tcW w:w="1381" w:type="dxa"/>
            <w:tcBorders>
              <w:top w:val="single" w:sz="4" w:space="0" w:color="auto"/>
              <w:left w:val="single" w:sz="4" w:space="0" w:color="auto"/>
              <w:bottom w:val="single" w:sz="4" w:space="0" w:color="auto"/>
            </w:tcBorders>
            <w:shd w:val="clear" w:color="auto" w:fill="C5E0B3" w:themeFill="accent6" w:themeFillTint="66"/>
            <w:noWrap/>
            <w:vAlign w:val="center"/>
            <w:hideMark/>
          </w:tcPr>
          <w:p w14:paraId="096A251D"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To due diligence</w:t>
            </w:r>
          </w:p>
        </w:tc>
      </w:tr>
      <w:tr w:rsidR="0055738A" w:rsidRPr="00103130" w14:paraId="48CD436F"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526A07E2"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Flugga Sandstone Member</w:t>
            </w:r>
          </w:p>
        </w:tc>
        <w:tc>
          <w:tcPr>
            <w:tcW w:w="982" w:type="dxa"/>
            <w:tcBorders>
              <w:top w:val="nil"/>
              <w:left w:val="nil"/>
              <w:bottom w:val="single" w:sz="8" w:space="0" w:color="auto"/>
              <w:right w:val="single" w:sz="8" w:space="0" w:color="auto"/>
            </w:tcBorders>
            <w:shd w:val="clear" w:color="000000" w:fill="F7CAAC"/>
            <w:noWrap/>
            <w:vAlign w:val="center"/>
            <w:hideMark/>
          </w:tcPr>
          <w:p w14:paraId="48BD5D51"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12</w:t>
            </w:r>
          </w:p>
        </w:tc>
        <w:tc>
          <w:tcPr>
            <w:tcW w:w="1028" w:type="dxa"/>
            <w:tcBorders>
              <w:top w:val="nil"/>
              <w:left w:val="nil"/>
              <w:bottom w:val="single" w:sz="8" w:space="0" w:color="auto"/>
              <w:right w:val="single" w:sz="8" w:space="0" w:color="auto"/>
            </w:tcBorders>
            <w:shd w:val="clear" w:color="000000" w:fill="F4F484"/>
            <w:noWrap/>
            <w:vAlign w:val="center"/>
            <w:hideMark/>
          </w:tcPr>
          <w:p w14:paraId="23B1BBB4"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9</w:t>
            </w:r>
          </w:p>
        </w:tc>
        <w:tc>
          <w:tcPr>
            <w:tcW w:w="982" w:type="dxa"/>
            <w:tcBorders>
              <w:top w:val="nil"/>
              <w:left w:val="nil"/>
              <w:bottom w:val="single" w:sz="8" w:space="0" w:color="auto"/>
              <w:right w:val="single" w:sz="8" w:space="0" w:color="auto"/>
            </w:tcBorders>
            <w:shd w:val="clear" w:color="000000" w:fill="F7CAAC"/>
            <w:noWrap/>
            <w:vAlign w:val="center"/>
            <w:hideMark/>
          </w:tcPr>
          <w:p w14:paraId="747AA29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11</w:t>
            </w:r>
          </w:p>
        </w:tc>
        <w:tc>
          <w:tcPr>
            <w:tcW w:w="982" w:type="dxa"/>
            <w:tcBorders>
              <w:top w:val="nil"/>
              <w:left w:val="nil"/>
              <w:bottom w:val="single" w:sz="8" w:space="0" w:color="auto"/>
              <w:right w:val="single" w:sz="8" w:space="0" w:color="auto"/>
            </w:tcBorders>
            <w:shd w:val="clear" w:color="000000" w:fill="F4F484"/>
            <w:noWrap/>
            <w:vAlign w:val="center"/>
            <w:hideMark/>
          </w:tcPr>
          <w:p w14:paraId="1FBD19A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7</w:t>
            </w:r>
          </w:p>
        </w:tc>
        <w:tc>
          <w:tcPr>
            <w:tcW w:w="982" w:type="dxa"/>
            <w:tcBorders>
              <w:top w:val="nil"/>
              <w:left w:val="nil"/>
              <w:bottom w:val="single" w:sz="8" w:space="0" w:color="auto"/>
              <w:right w:val="single" w:sz="8" w:space="0" w:color="auto"/>
            </w:tcBorders>
            <w:shd w:val="clear" w:color="000000" w:fill="F7CAAC"/>
            <w:noWrap/>
            <w:vAlign w:val="center"/>
            <w:hideMark/>
          </w:tcPr>
          <w:p w14:paraId="348F0E5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4" w:space="0" w:color="auto"/>
            </w:tcBorders>
            <w:shd w:val="clear" w:color="000000" w:fill="F4F484"/>
            <w:noWrap/>
            <w:vAlign w:val="center"/>
            <w:hideMark/>
          </w:tcPr>
          <w:p w14:paraId="6F25E92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10</w:t>
            </w:r>
          </w:p>
        </w:tc>
        <w:tc>
          <w:tcPr>
            <w:tcW w:w="16" w:type="dxa"/>
            <w:tcBorders>
              <w:left w:val="single" w:sz="4" w:space="0" w:color="auto"/>
              <w:right w:val="single" w:sz="4" w:space="0" w:color="auto"/>
            </w:tcBorders>
            <w:shd w:val="clear" w:color="auto" w:fill="FFFFFF" w:themeFill="background1"/>
          </w:tcPr>
          <w:p w14:paraId="1C6F9827"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02CCF3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0.28</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2150EB2"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11</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0CE1AD9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1C1F1A98"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05A0E167"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Forties 5</w:t>
            </w:r>
          </w:p>
        </w:tc>
        <w:tc>
          <w:tcPr>
            <w:tcW w:w="982" w:type="dxa"/>
            <w:tcBorders>
              <w:top w:val="nil"/>
              <w:left w:val="nil"/>
              <w:bottom w:val="single" w:sz="8" w:space="0" w:color="auto"/>
              <w:right w:val="single" w:sz="8" w:space="0" w:color="auto"/>
            </w:tcBorders>
            <w:shd w:val="clear" w:color="000000" w:fill="C5E0B3"/>
            <w:noWrap/>
            <w:vAlign w:val="center"/>
            <w:hideMark/>
          </w:tcPr>
          <w:p w14:paraId="07F3EB5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5</w:t>
            </w:r>
          </w:p>
        </w:tc>
        <w:tc>
          <w:tcPr>
            <w:tcW w:w="1028" w:type="dxa"/>
            <w:tcBorders>
              <w:top w:val="nil"/>
              <w:left w:val="nil"/>
              <w:bottom w:val="single" w:sz="8" w:space="0" w:color="auto"/>
              <w:right w:val="single" w:sz="8" w:space="0" w:color="auto"/>
            </w:tcBorders>
            <w:shd w:val="clear" w:color="000000" w:fill="F7CAAC"/>
            <w:noWrap/>
            <w:vAlign w:val="center"/>
            <w:hideMark/>
          </w:tcPr>
          <w:p w14:paraId="3398F214"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14</w:t>
            </w:r>
          </w:p>
        </w:tc>
        <w:tc>
          <w:tcPr>
            <w:tcW w:w="982" w:type="dxa"/>
            <w:tcBorders>
              <w:top w:val="nil"/>
              <w:left w:val="nil"/>
              <w:bottom w:val="single" w:sz="8" w:space="0" w:color="auto"/>
              <w:right w:val="single" w:sz="8" w:space="0" w:color="auto"/>
            </w:tcBorders>
            <w:shd w:val="clear" w:color="000000" w:fill="F7CAAC"/>
            <w:noWrap/>
            <w:vAlign w:val="center"/>
            <w:hideMark/>
          </w:tcPr>
          <w:p w14:paraId="0D8BB1F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8" w:space="0" w:color="auto"/>
            </w:tcBorders>
            <w:shd w:val="clear" w:color="000000" w:fill="F4F484"/>
            <w:noWrap/>
            <w:vAlign w:val="center"/>
            <w:hideMark/>
          </w:tcPr>
          <w:p w14:paraId="43367219"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9</w:t>
            </w:r>
          </w:p>
        </w:tc>
        <w:tc>
          <w:tcPr>
            <w:tcW w:w="982" w:type="dxa"/>
            <w:tcBorders>
              <w:top w:val="nil"/>
              <w:left w:val="nil"/>
              <w:bottom w:val="single" w:sz="8" w:space="0" w:color="auto"/>
              <w:right w:val="single" w:sz="8" w:space="0" w:color="auto"/>
            </w:tcBorders>
            <w:shd w:val="clear" w:color="000000" w:fill="F4F484"/>
            <w:noWrap/>
            <w:vAlign w:val="center"/>
            <w:hideMark/>
          </w:tcPr>
          <w:p w14:paraId="1AC3F31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6</w:t>
            </w:r>
          </w:p>
        </w:tc>
        <w:tc>
          <w:tcPr>
            <w:tcW w:w="982" w:type="dxa"/>
            <w:tcBorders>
              <w:top w:val="nil"/>
              <w:left w:val="nil"/>
              <w:bottom w:val="single" w:sz="8" w:space="0" w:color="auto"/>
              <w:right w:val="single" w:sz="4" w:space="0" w:color="auto"/>
            </w:tcBorders>
            <w:shd w:val="clear" w:color="000000" w:fill="C5E0B3"/>
            <w:noWrap/>
            <w:vAlign w:val="center"/>
            <w:hideMark/>
          </w:tcPr>
          <w:p w14:paraId="6A5264B1"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16" w:type="dxa"/>
            <w:tcBorders>
              <w:left w:val="single" w:sz="4" w:space="0" w:color="auto"/>
              <w:right w:val="single" w:sz="4" w:space="0" w:color="auto"/>
            </w:tcBorders>
            <w:shd w:val="clear" w:color="auto" w:fill="FFFFFF" w:themeFill="background1"/>
          </w:tcPr>
          <w:p w14:paraId="75EDCD3D"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EE78F6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0.36</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4762296"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9</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5319B41A"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361F7B45"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704C0831"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Grid Sandstone Member</w:t>
            </w:r>
          </w:p>
        </w:tc>
        <w:tc>
          <w:tcPr>
            <w:tcW w:w="982" w:type="dxa"/>
            <w:tcBorders>
              <w:top w:val="nil"/>
              <w:left w:val="nil"/>
              <w:bottom w:val="single" w:sz="8" w:space="0" w:color="auto"/>
              <w:right w:val="single" w:sz="8" w:space="0" w:color="auto"/>
            </w:tcBorders>
            <w:shd w:val="clear" w:color="000000" w:fill="C5E0B3"/>
            <w:noWrap/>
            <w:vAlign w:val="center"/>
            <w:hideMark/>
          </w:tcPr>
          <w:p w14:paraId="2FE32AE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2</w:t>
            </w:r>
          </w:p>
        </w:tc>
        <w:tc>
          <w:tcPr>
            <w:tcW w:w="1028" w:type="dxa"/>
            <w:tcBorders>
              <w:top w:val="nil"/>
              <w:left w:val="nil"/>
              <w:bottom w:val="single" w:sz="8" w:space="0" w:color="auto"/>
              <w:right w:val="single" w:sz="8" w:space="0" w:color="auto"/>
            </w:tcBorders>
            <w:shd w:val="clear" w:color="000000" w:fill="C5E0B3"/>
            <w:noWrap/>
            <w:vAlign w:val="center"/>
            <w:hideMark/>
          </w:tcPr>
          <w:p w14:paraId="38F09C95"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2</w:t>
            </w:r>
          </w:p>
        </w:tc>
        <w:tc>
          <w:tcPr>
            <w:tcW w:w="982" w:type="dxa"/>
            <w:tcBorders>
              <w:top w:val="nil"/>
              <w:left w:val="nil"/>
              <w:bottom w:val="single" w:sz="8" w:space="0" w:color="auto"/>
              <w:right w:val="single" w:sz="8" w:space="0" w:color="auto"/>
            </w:tcBorders>
            <w:shd w:val="clear" w:color="000000" w:fill="C5E0B3"/>
            <w:noWrap/>
            <w:vAlign w:val="center"/>
            <w:hideMark/>
          </w:tcPr>
          <w:p w14:paraId="01B3C55E"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1</w:t>
            </w:r>
          </w:p>
        </w:tc>
        <w:tc>
          <w:tcPr>
            <w:tcW w:w="982" w:type="dxa"/>
            <w:tcBorders>
              <w:top w:val="nil"/>
              <w:left w:val="nil"/>
              <w:bottom w:val="single" w:sz="8" w:space="0" w:color="auto"/>
              <w:right w:val="single" w:sz="8" w:space="0" w:color="auto"/>
            </w:tcBorders>
            <w:shd w:val="clear" w:color="000000" w:fill="C5E0B3"/>
            <w:noWrap/>
            <w:vAlign w:val="center"/>
            <w:hideMark/>
          </w:tcPr>
          <w:p w14:paraId="68A75454"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2</w:t>
            </w:r>
          </w:p>
        </w:tc>
        <w:tc>
          <w:tcPr>
            <w:tcW w:w="982" w:type="dxa"/>
            <w:tcBorders>
              <w:top w:val="nil"/>
              <w:left w:val="nil"/>
              <w:bottom w:val="single" w:sz="8" w:space="0" w:color="auto"/>
              <w:right w:val="single" w:sz="8" w:space="0" w:color="auto"/>
            </w:tcBorders>
            <w:shd w:val="clear" w:color="000000" w:fill="F4F484"/>
            <w:noWrap/>
            <w:vAlign w:val="center"/>
            <w:hideMark/>
          </w:tcPr>
          <w:p w14:paraId="765B08A9"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single" w:sz="8" w:space="0" w:color="auto"/>
              <w:right w:val="single" w:sz="4" w:space="0" w:color="auto"/>
            </w:tcBorders>
            <w:shd w:val="clear" w:color="000000" w:fill="F4F484"/>
            <w:noWrap/>
            <w:vAlign w:val="center"/>
            <w:hideMark/>
          </w:tcPr>
          <w:p w14:paraId="1D682CB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16" w:type="dxa"/>
            <w:tcBorders>
              <w:left w:val="single" w:sz="4" w:space="0" w:color="auto"/>
              <w:right w:val="single" w:sz="4" w:space="0" w:color="auto"/>
            </w:tcBorders>
            <w:shd w:val="clear" w:color="auto" w:fill="FFFFFF" w:themeFill="background1"/>
          </w:tcPr>
          <w:p w14:paraId="408727FD"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C15FCC3"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0.69</w:t>
            </w:r>
          </w:p>
        </w:tc>
        <w:tc>
          <w:tcPr>
            <w:tcW w:w="61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28E953E"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1</w:t>
            </w:r>
          </w:p>
        </w:tc>
        <w:tc>
          <w:tcPr>
            <w:tcW w:w="1381" w:type="dxa"/>
            <w:tcBorders>
              <w:top w:val="single" w:sz="4" w:space="0" w:color="auto"/>
              <w:left w:val="single" w:sz="4" w:space="0" w:color="auto"/>
              <w:bottom w:val="single" w:sz="4" w:space="0" w:color="auto"/>
            </w:tcBorders>
            <w:shd w:val="clear" w:color="auto" w:fill="C5E0B3" w:themeFill="accent6" w:themeFillTint="66"/>
            <w:noWrap/>
            <w:vAlign w:val="center"/>
            <w:hideMark/>
          </w:tcPr>
          <w:p w14:paraId="03001B2F"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To due diligence</w:t>
            </w:r>
          </w:p>
        </w:tc>
      </w:tr>
      <w:tr w:rsidR="0055738A" w:rsidRPr="00103130" w14:paraId="40BEAD27"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70C8CB73" w14:textId="77777777" w:rsidR="00FD4125" w:rsidRPr="00786D87" w:rsidRDefault="00FD4125" w:rsidP="00FB1751">
            <w:pPr>
              <w:spacing w:after="0" w:line="240" w:lineRule="auto"/>
              <w:jc w:val="left"/>
              <w:rPr>
                <w:rFonts w:eastAsia="Times New Roman"/>
                <w:color w:val="000000"/>
                <w:sz w:val="16"/>
                <w:szCs w:val="16"/>
                <w:lang w:eastAsia="en-GB"/>
              </w:rPr>
            </w:pPr>
            <w:proofErr w:type="spellStart"/>
            <w:r w:rsidRPr="00786D87">
              <w:rPr>
                <w:rFonts w:eastAsia="Times New Roman"/>
                <w:color w:val="000000"/>
                <w:sz w:val="16"/>
                <w:szCs w:val="16"/>
                <w:lang w:eastAsia="en-GB"/>
              </w:rPr>
              <w:t>Heimdal</w:t>
            </w:r>
            <w:proofErr w:type="spellEnd"/>
            <w:r w:rsidRPr="00786D87">
              <w:rPr>
                <w:rFonts w:eastAsia="Times New Roman"/>
                <w:color w:val="000000"/>
                <w:sz w:val="16"/>
                <w:szCs w:val="16"/>
                <w:lang w:eastAsia="en-GB"/>
              </w:rPr>
              <w:t xml:space="preserve"> Sandstone Member</w:t>
            </w:r>
          </w:p>
        </w:tc>
        <w:tc>
          <w:tcPr>
            <w:tcW w:w="982" w:type="dxa"/>
            <w:tcBorders>
              <w:top w:val="nil"/>
              <w:left w:val="nil"/>
              <w:bottom w:val="single" w:sz="8" w:space="0" w:color="auto"/>
              <w:right w:val="single" w:sz="8" w:space="0" w:color="auto"/>
            </w:tcBorders>
            <w:shd w:val="clear" w:color="000000" w:fill="C5E0B3"/>
            <w:noWrap/>
            <w:vAlign w:val="center"/>
            <w:hideMark/>
          </w:tcPr>
          <w:p w14:paraId="6231F34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4</w:t>
            </w:r>
          </w:p>
        </w:tc>
        <w:tc>
          <w:tcPr>
            <w:tcW w:w="1028" w:type="dxa"/>
            <w:tcBorders>
              <w:top w:val="nil"/>
              <w:left w:val="nil"/>
              <w:bottom w:val="single" w:sz="8" w:space="0" w:color="auto"/>
              <w:right w:val="single" w:sz="8" w:space="0" w:color="auto"/>
            </w:tcBorders>
            <w:shd w:val="clear" w:color="000000" w:fill="C5E0B3"/>
            <w:noWrap/>
            <w:vAlign w:val="center"/>
            <w:hideMark/>
          </w:tcPr>
          <w:p w14:paraId="314E2E2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982" w:type="dxa"/>
            <w:tcBorders>
              <w:top w:val="nil"/>
              <w:left w:val="nil"/>
              <w:bottom w:val="single" w:sz="8" w:space="0" w:color="auto"/>
              <w:right w:val="single" w:sz="8" w:space="0" w:color="auto"/>
            </w:tcBorders>
            <w:shd w:val="clear" w:color="000000" w:fill="F7CAAC"/>
            <w:noWrap/>
            <w:vAlign w:val="center"/>
            <w:hideMark/>
          </w:tcPr>
          <w:p w14:paraId="1F4E5036"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8" w:space="0" w:color="auto"/>
            </w:tcBorders>
            <w:shd w:val="clear" w:color="000000" w:fill="C5E0B3"/>
            <w:noWrap/>
            <w:vAlign w:val="center"/>
            <w:hideMark/>
          </w:tcPr>
          <w:p w14:paraId="1A67F59F"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1</w:t>
            </w:r>
          </w:p>
        </w:tc>
        <w:tc>
          <w:tcPr>
            <w:tcW w:w="982" w:type="dxa"/>
            <w:tcBorders>
              <w:top w:val="nil"/>
              <w:left w:val="nil"/>
              <w:bottom w:val="single" w:sz="8" w:space="0" w:color="auto"/>
              <w:right w:val="single" w:sz="8" w:space="0" w:color="auto"/>
            </w:tcBorders>
            <w:shd w:val="clear" w:color="000000" w:fill="F7CAAC"/>
            <w:noWrap/>
            <w:vAlign w:val="center"/>
            <w:hideMark/>
          </w:tcPr>
          <w:p w14:paraId="21468B9D"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4" w:space="0" w:color="auto"/>
            </w:tcBorders>
            <w:shd w:val="clear" w:color="000000" w:fill="C5E0B3"/>
            <w:noWrap/>
            <w:vAlign w:val="center"/>
            <w:hideMark/>
          </w:tcPr>
          <w:p w14:paraId="2A66B804"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16" w:type="dxa"/>
            <w:tcBorders>
              <w:left w:val="single" w:sz="4" w:space="0" w:color="auto"/>
              <w:right w:val="single" w:sz="4" w:space="0" w:color="auto"/>
            </w:tcBorders>
            <w:shd w:val="clear" w:color="auto" w:fill="FFFFFF" w:themeFill="background1"/>
          </w:tcPr>
          <w:p w14:paraId="41AE2AD9"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1AEA5EA"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0.45</w:t>
            </w:r>
          </w:p>
        </w:tc>
        <w:tc>
          <w:tcPr>
            <w:tcW w:w="61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41FEF1B"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5</w:t>
            </w:r>
          </w:p>
        </w:tc>
        <w:tc>
          <w:tcPr>
            <w:tcW w:w="1381" w:type="dxa"/>
            <w:tcBorders>
              <w:top w:val="single" w:sz="4" w:space="0" w:color="auto"/>
              <w:left w:val="single" w:sz="4" w:space="0" w:color="auto"/>
              <w:bottom w:val="single" w:sz="4" w:space="0" w:color="auto"/>
            </w:tcBorders>
            <w:shd w:val="clear" w:color="auto" w:fill="C5E0B3" w:themeFill="accent6" w:themeFillTint="66"/>
            <w:noWrap/>
            <w:vAlign w:val="center"/>
            <w:hideMark/>
          </w:tcPr>
          <w:p w14:paraId="4824A444"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To due diligence</w:t>
            </w:r>
          </w:p>
        </w:tc>
      </w:tr>
      <w:tr w:rsidR="0055738A" w:rsidRPr="00103130" w14:paraId="4C546608"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6E0592F2"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Maureen 2</w:t>
            </w:r>
          </w:p>
        </w:tc>
        <w:tc>
          <w:tcPr>
            <w:tcW w:w="982" w:type="dxa"/>
            <w:tcBorders>
              <w:top w:val="nil"/>
              <w:left w:val="nil"/>
              <w:bottom w:val="single" w:sz="8" w:space="0" w:color="auto"/>
              <w:right w:val="single" w:sz="8" w:space="0" w:color="auto"/>
            </w:tcBorders>
            <w:shd w:val="clear" w:color="000000" w:fill="C5E0B3"/>
            <w:noWrap/>
            <w:vAlign w:val="center"/>
            <w:hideMark/>
          </w:tcPr>
          <w:p w14:paraId="66E34FB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1028" w:type="dxa"/>
            <w:tcBorders>
              <w:top w:val="nil"/>
              <w:left w:val="nil"/>
              <w:bottom w:val="single" w:sz="8" w:space="0" w:color="auto"/>
              <w:right w:val="single" w:sz="8" w:space="0" w:color="auto"/>
            </w:tcBorders>
            <w:shd w:val="clear" w:color="000000" w:fill="F7CAAC"/>
            <w:noWrap/>
            <w:vAlign w:val="center"/>
            <w:hideMark/>
          </w:tcPr>
          <w:p w14:paraId="397503D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13</w:t>
            </w:r>
          </w:p>
        </w:tc>
        <w:tc>
          <w:tcPr>
            <w:tcW w:w="982" w:type="dxa"/>
            <w:tcBorders>
              <w:top w:val="nil"/>
              <w:left w:val="nil"/>
              <w:bottom w:val="single" w:sz="8" w:space="0" w:color="auto"/>
              <w:right w:val="single" w:sz="8" w:space="0" w:color="auto"/>
            </w:tcBorders>
            <w:shd w:val="clear" w:color="000000" w:fill="F7CAAC"/>
            <w:noWrap/>
            <w:vAlign w:val="center"/>
            <w:hideMark/>
          </w:tcPr>
          <w:p w14:paraId="5921B822"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8" w:space="0" w:color="auto"/>
            </w:tcBorders>
            <w:shd w:val="clear" w:color="000000" w:fill="C5E0B3"/>
            <w:noWrap/>
            <w:vAlign w:val="center"/>
            <w:hideMark/>
          </w:tcPr>
          <w:p w14:paraId="7DA1C671"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5</w:t>
            </w:r>
          </w:p>
        </w:tc>
        <w:tc>
          <w:tcPr>
            <w:tcW w:w="982" w:type="dxa"/>
            <w:tcBorders>
              <w:top w:val="nil"/>
              <w:left w:val="nil"/>
              <w:bottom w:val="single" w:sz="8" w:space="0" w:color="auto"/>
              <w:right w:val="single" w:sz="8" w:space="0" w:color="auto"/>
            </w:tcBorders>
            <w:shd w:val="clear" w:color="000000" w:fill="F4F484"/>
            <w:noWrap/>
            <w:vAlign w:val="center"/>
            <w:hideMark/>
          </w:tcPr>
          <w:p w14:paraId="4246D1F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6</w:t>
            </w:r>
          </w:p>
        </w:tc>
        <w:tc>
          <w:tcPr>
            <w:tcW w:w="982" w:type="dxa"/>
            <w:tcBorders>
              <w:top w:val="nil"/>
              <w:left w:val="nil"/>
              <w:bottom w:val="single" w:sz="8" w:space="0" w:color="auto"/>
              <w:right w:val="single" w:sz="4" w:space="0" w:color="auto"/>
            </w:tcBorders>
            <w:shd w:val="clear" w:color="000000" w:fill="F7CAAC"/>
            <w:noWrap/>
            <w:vAlign w:val="center"/>
            <w:hideMark/>
          </w:tcPr>
          <w:p w14:paraId="31F0CBD1"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11</w:t>
            </w:r>
          </w:p>
        </w:tc>
        <w:tc>
          <w:tcPr>
            <w:tcW w:w="16" w:type="dxa"/>
            <w:tcBorders>
              <w:left w:val="single" w:sz="4" w:space="0" w:color="auto"/>
              <w:right w:val="single" w:sz="4" w:space="0" w:color="auto"/>
            </w:tcBorders>
            <w:shd w:val="clear" w:color="auto" w:fill="FFFFFF" w:themeFill="background1"/>
          </w:tcPr>
          <w:p w14:paraId="7DC7CC6A"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4FA074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0.43</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6F50F1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8</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7251EF40"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3E6C5D61"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5CDB1D71" w14:textId="77777777" w:rsidR="00FD4125" w:rsidRPr="00786D87" w:rsidRDefault="00FD4125" w:rsidP="00FB1751">
            <w:pPr>
              <w:spacing w:after="0" w:line="240" w:lineRule="auto"/>
              <w:jc w:val="left"/>
              <w:rPr>
                <w:rFonts w:eastAsia="Times New Roman"/>
                <w:color w:val="000000"/>
                <w:sz w:val="16"/>
                <w:szCs w:val="16"/>
                <w:lang w:eastAsia="en-GB"/>
              </w:rPr>
            </w:pPr>
            <w:proofErr w:type="spellStart"/>
            <w:r w:rsidRPr="00786D87">
              <w:rPr>
                <w:rFonts w:eastAsia="Times New Roman"/>
                <w:color w:val="000000"/>
                <w:sz w:val="16"/>
                <w:szCs w:val="16"/>
                <w:lang w:eastAsia="en-GB"/>
              </w:rPr>
              <w:t>Mey</w:t>
            </w:r>
            <w:proofErr w:type="spellEnd"/>
            <w:r w:rsidRPr="00786D87">
              <w:rPr>
                <w:rFonts w:eastAsia="Times New Roman"/>
                <w:color w:val="000000"/>
                <w:sz w:val="16"/>
                <w:szCs w:val="16"/>
                <w:lang w:eastAsia="en-GB"/>
              </w:rPr>
              <w:t xml:space="preserve"> 5</w:t>
            </w:r>
          </w:p>
        </w:tc>
        <w:tc>
          <w:tcPr>
            <w:tcW w:w="982" w:type="dxa"/>
            <w:tcBorders>
              <w:top w:val="nil"/>
              <w:left w:val="nil"/>
              <w:bottom w:val="single" w:sz="8" w:space="0" w:color="auto"/>
              <w:right w:val="single" w:sz="8" w:space="0" w:color="auto"/>
            </w:tcBorders>
            <w:shd w:val="clear" w:color="000000" w:fill="C5E0B3"/>
            <w:noWrap/>
            <w:vAlign w:val="center"/>
            <w:hideMark/>
          </w:tcPr>
          <w:p w14:paraId="5D055E67"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1</w:t>
            </w:r>
          </w:p>
        </w:tc>
        <w:tc>
          <w:tcPr>
            <w:tcW w:w="1028" w:type="dxa"/>
            <w:tcBorders>
              <w:top w:val="nil"/>
              <w:left w:val="nil"/>
              <w:bottom w:val="single" w:sz="8" w:space="0" w:color="auto"/>
              <w:right w:val="single" w:sz="8" w:space="0" w:color="auto"/>
            </w:tcBorders>
            <w:shd w:val="clear" w:color="000000" w:fill="F4F484"/>
            <w:noWrap/>
            <w:vAlign w:val="center"/>
            <w:hideMark/>
          </w:tcPr>
          <w:p w14:paraId="320373E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7</w:t>
            </w:r>
          </w:p>
        </w:tc>
        <w:tc>
          <w:tcPr>
            <w:tcW w:w="982" w:type="dxa"/>
            <w:tcBorders>
              <w:top w:val="nil"/>
              <w:left w:val="nil"/>
              <w:bottom w:val="single" w:sz="8" w:space="0" w:color="auto"/>
              <w:right w:val="single" w:sz="8" w:space="0" w:color="auto"/>
            </w:tcBorders>
            <w:shd w:val="clear" w:color="000000" w:fill="F7CAAC"/>
            <w:noWrap/>
            <w:vAlign w:val="center"/>
            <w:hideMark/>
          </w:tcPr>
          <w:p w14:paraId="498240A1"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12</w:t>
            </w:r>
          </w:p>
        </w:tc>
        <w:tc>
          <w:tcPr>
            <w:tcW w:w="982" w:type="dxa"/>
            <w:tcBorders>
              <w:top w:val="nil"/>
              <w:left w:val="nil"/>
              <w:bottom w:val="single" w:sz="8" w:space="0" w:color="auto"/>
              <w:right w:val="single" w:sz="8" w:space="0" w:color="auto"/>
            </w:tcBorders>
            <w:shd w:val="clear" w:color="000000" w:fill="F4F484"/>
            <w:noWrap/>
            <w:vAlign w:val="center"/>
            <w:hideMark/>
          </w:tcPr>
          <w:p w14:paraId="24F646E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6</w:t>
            </w:r>
          </w:p>
        </w:tc>
        <w:tc>
          <w:tcPr>
            <w:tcW w:w="982" w:type="dxa"/>
            <w:tcBorders>
              <w:top w:val="nil"/>
              <w:left w:val="nil"/>
              <w:bottom w:val="single" w:sz="8" w:space="0" w:color="auto"/>
              <w:right w:val="single" w:sz="8" w:space="0" w:color="auto"/>
            </w:tcBorders>
            <w:shd w:val="clear" w:color="000000" w:fill="F4F484"/>
            <w:noWrap/>
            <w:vAlign w:val="center"/>
            <w:hideMark/>
          </w:tcPr>
          <w:p w14:paraId="170B647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6</w:t>
            </w:r>
          </w:p>
        </w:tc>
        <w:tc>
          <w:tcPr>
            <w:tcW w:w="982" w:type="dxa"/>
            <w:tcBorders>
              <w:top w:val="nil"/>
              <w:left w:val="nil"/>
              <w:bottom w:val="single" w:sz="8" w:space="0" w:color="auto"/>
              <w:right w:val="single" w:sz="4" w:space="0" w:color="auto"/>
            </w:tcBorders>
            <w:shd w:val="clear" w:color="000000" w:fill="C5E0B3"/>
            <w:noWrap/>
            <w:vAlign w:val="center"/>
            <w:hideMark/>
          </w:tcPr>
          <w:p w14:paraId="2B19DA76"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16" w:type="dxa"/>
            <w:tcBorders>
              <w:left w:val="single" w:sz="4" w:space="0" w:color="auto"/>
              <w:right w:val="single" w:sz="4" w:space="0" w:color="auto"/>
            </w:tcBorders>
            <w:shd w:val="clear" w:color="auto" w:fill="FFFFFF" w:themeFill="background1"/>
          </w:tcPr>
          <w:p w14:paraId="19DEA14F"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CDF0F45"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0.55</w:t>
            </w:r>
          </w:p>
        </w:tc>
        <w:tc>
          <w:tcPr>
            <w:tcW w:w="61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4598D0D"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2</w:t>
            </w:r>
          </w:p>
        </w:tc>
        <w:tc>
          <w:tcPr>
            <w:tcW w:w="1381" w:type="dxa"/>
            <w:tcBorders>
              <w:top w:val="single" w:sz="4" w:space="0" w:color="auto"/>
              <w:left w:val="single" w:sz="4" w:space="0" w:color="auto"/>
              <w:bottom w:val="single" w:sz="4" w:space="0" w:color="auto"/>
            </w:tcBorders>
            <w:shd w:val="clear" w:color="auto" w:fill="C5E0B3" w:themeFill="accent6" w:themeFillTint="66"/>
            <w:noWrap/>
            <w:vAlign w:val="center"/>
            <w:hideMark/>
          </w:tcPr>
          <w:p w14:paraId="5A851465"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To due diligence</w:t>
            </w:r>
          </w:p>
        </w:tc>
      </w:tr>
      <w:tr w:rsidR="0055738A" w:rsidRPr="00103130" w14:paraId="675B365E"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5E472149"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Pentland_016_21b</w:t>
            </w:r>
          </w:p>
        </w:tc>
        <w:tc>
          <w:tcPr>
            <w:tcW w:w="982" w:type="dxa"/>
            <w:tcBorders>
              <w:top w:val="nil"/>
              <w:left w:val="nil"/>
              <w:bottom w:val="single" w:sz="8" w:space="0" w:color="auto"/>
              <w:right w:val="single" w:sz="8" w:space="0" w:color="auto"/>
            </w:tcBorders>
            <w:shd w:val="clear" w:color="000000" w:fill="F4F484"/>
            <w:noWrap/>
            <w:vAlign w:val="center"/>
            <w:hideMark/>
          </w:tcPr>
          <w:p w14:paraId="69D4DF8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7</w:t>
            </w:r>
          </w:p>
        </w:tc>
        <w:tc>
          <w:tcPr>
            <w:tcW w:w="1028" w:type="dxa"/>
            <w:tcBorders>
              <w:top w:val="nil"/>
              <w:left w:val="nil"/>
              <w:bottom w:val="single" w:sz="8" w:space="0" w:color="auto"/>
              <w:right w:val="single" w:sz="8" w:space="0" w:color="auto"/>
            </w:tcBorders>
            <w:shd w:val="clear" w:color="000000" w:fill="F7CAAC"/>
            <w:noWrap/>
            <w:vAlign w:val="center"/>
            <w:hideMark/>
          </w:tcPr>
          <w:p w14:paraId="26915C5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12</w:t>
            </w:r>
          </w:p>
        </w:tc>
        <w:tc>
          <w:tcPr>
            <w:tcW w:w="982" w:type="dxa"/>
            <w:tcBorders>
              <w:top w:val="nil"/>
              <w:left w:val="nil"/>
              <w:bottom w:val="single" w:sz="8" w:space="0" w:color="auto"/>
              <w:right w:val="single" w:sz="8" w:space="0" w:color="auto"/>
            </w:tcBorders>
            <w:shd w:val="clear" w:color="000000" w:fill="F4F484"/>
            <w:noWrap/>
            <w:vAlign w:val="center"/>
            <w:hideMark/>
          </w:tcPr>
          <w:p w14:paraId="318F9AC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single" w:sz="8" w:space="0" w:color="auto"/>
              <w:right w:val="single" w:sz="8" w:space="0" w:color="auto"/>
            </w:tcBorders>
            <w:shd w:val="clear" w:color="000000" w:fill="F4F484"/>
            <w:noWrap/>
            <w:vAlign w:val="center"/>
            <w:hideMark/>
          </w:tcPr>
          <w:p w14:paraId="6D3231E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single" w:sz="8" w:space="0" w:color="auto"/>
              <w:right w:val="single" w:sz="8" w:space="0" w:color="auto"/>
            </w:tcBorders>
            <w:shd w:val="clear" w:color="000000" w:fill="F7CAAC"/>
            <w:noWrap/>
            <w:vAlign w:val="center"/>
            <w:hideMark/>
          </w:tcPr>
          <w:p w14:paraId="39B0D0F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4" w:space="0" w:color="auto"/>
            </w:tcBorders>
            <w:shd w:val="clear" w:color="000000" w:fill="F7CAAC"/>
            <w:noWrap/>
            <w:vAlign w:val="center"/>
            <w:hideMark/>
          </w:tcPr>
          <w:p w14:paraId="4F4E801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16" w:type="dxa"/>
            <w:tcBorders>
              <w:left w:val="single" w:sz="4" w:space="0" w:color="auto"/>
              <w:right w:val="single" w:sz="4" w:space="0" w:color="auto"/>
            </w:tcBorders>
            <w:shd w:val="clear" w:color="auto" w:fill="FFFFFF" w:themeFill="background1"/>
          </w:tcPr>
          <w:p w14:paraId="119571DD"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2D3DEDE6"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0.25</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3BDC566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12</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0EEAF8E6"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156D2CAB"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3141916F"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Pibroch_015_21</w:t>
            </w:r>
          </w:p>
        </w:tc>
        <w:tc>
          <w:tcPr>
            <w:tcW w:w="982" w:type="dxa"/>
            <w:tcBorders>
              <w:top w:val="nil"/>
              <w:left w:val="nil"/>
              <w:bottom w:val="single" w:sz="8" w:space="0" w:color="auto"/>
              <w:right w:val="single" w:sz="8" w:space="0" w:color="auto"/>
            </w:tcBorders>
            <w:shd w:val="clear" w:color="000000" w:fill="F7CAAC"/>
            <w:noWrap/>
            <w:vAlign w:val="center"/>
            <w:hideMark/>
          </w:tcPr>
          <w:p w14:paraId="3B752EA2"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1028" w:type="dxa"/>
            <w:tcBorders>
              <w:top w:val="nil"/>
              <w:left w:val="nil"/>
              <w:bottom w:val="single" w:sz="8" w:space="0" w:color="auto"/>
              <w:right w:val="single" w:sz="8" w:space="0" w:color="auto"/>
            </w:tcBorders>
            <w:shd w:val="clear" w:color="000000" w:fill="F4F484"/>
            <w:noWrap/>
            <w:vAlign w:val="center"/>
            <w:hideMark/>
          </w:tcPr>
          <w:p w14:paraId="198AD87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single" w:sz="8" w:space="0" w:color="auto"/>
              <w:right w:val="single" w:sz="8" w:space="0" w:color="auto"/>
            </w:tcBorders>
            <w:shd w:val="clear" w:color="000000" w:fill="F4F484"/>
            <w:noWrap/>
            <w:vAlign w:val="center"/>
            <w:hideMark/>
          </w:tcPr>
          <w:p w14:paraId="7EA012D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single" w:sz="8" w:space="0" w:color="auto"/>
              <w:right w:val="single" w:sz="8" w:space="0" w:color="auto"/>
            </w:tcBorders>
            <w:shd w:val="clear" w:color="000000" w:fill="C5E0B3"/>
            <w:noWrap/>
            <w:vAlign w:val="center"/>
            <w:hideMark/>
          </w:tcPr>
          <w:p w14:paraId="5E00B839"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4</w:t>
            </w:r>
          </w:p>
        </w:tc>
        <w:tc>
          <w:tcPr>
            <w:tcW w:w="982" w:type="dxa"/>
            <w:tcBorders>
              <w:top w:val="nil"/>
              <w:left w:val="nil"/>
              <w:bottom w:val="single" w:sz="8" w:space="0" w:color="auto"/>
              <w:right w:val="single" w:sz="8" w:space="0" w:color="auto"/>
            </w:tcBorders>
            <w:shd w:val="clear" w:color="000000" w:fill="F7CAAC"/>
            <w:noWrap/>
            <w:vAlign w:val="center"/>
            <w:hideMark/>
          </w:tcPr>
          <w:p w14:paraId="5CA839F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single" w:sz="8" w:space="0" w:color="auto"/>
              <w:right w:val="single" w:sz="4" w:space="0" w:color="auto"/>
            </w:tcBorders>
            <w:shd w:val="clear" w:color="000000" w:fill="F7CAAC"/>
            <w:noWrap/>
            <w:vAlign w:val="center"/>
            <w:hideMark/>
          </w:tcPr>
          <w:p w14:paraId="3CC5DCE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13</w:t>
            </w:r>
          </w:p>
        </w:tc>
        <w:tc>
          <w:tcPr>
            <w:tcW w:w="16" w:type="dxa"/>
            <w:tcBorders>
              <w:left w:val="single" w:sz="4" w:space="0" w:color="auto"/>
              <w:right w:val="single" w:sz="4" w:space="0" w:color="auto"/>
            </w:tcBorders>
            <w:shd w:val="clear" w:color="auto" w:fill="FFFFFF" w:themeFill="background1"/>
          </w:tcPr>
          <w:p w14:paraId="0DB96284"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C052371"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0.30</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C2D7674"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10</w:t>
            </w:r>
          </w:p>
        </w:tc>
        <w:tc>
          <w:tcPr>
            <w:tcW w:w="1381" w:type="dxa"/>
            <w:tcBorders>
              <w:top w:val="single" w:sz="4" w:space="0" w:color="auto"/>
              <w:left w:val="single" w:sz="4" w:space="0" w:color="auto"/>
              <w:bottom w:val="single" w:sz="4" w:space="0" w:color="auto"/>
            </w:tcBorders>
            <w:shd w:val="clear" w:color="auto" w:fill="F7CAAC" w:themeFill="accent2" w:themeFillTint="66"/>
            <w:noWrap/>
            <w:vAlign w:val="center"/>
            <w:hideMark/>
          </w:tcPr>
          <w:p w14:paraId="4725EFC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r w:rsidR="0055738A" w:rsidRPr="00103130" w14:paraId="0B44CA4B" w14:textId="77777777" w:rsidTr="0055738A">
        <w:trPr>
          <w:cantSplit/>
          <w:trHeight w:val="300"/>
        </w:trPr>
        <w:tc>
          <w:tcPr>
            <w:tcW w:w="1588" w:type="dxa"/>
            <w:tcBorders>
              <w:top w:val="nil"/>
              <w:left w:val="nil"/>
              <w:bottom w:val="single" w:sz="8" w:space="0" w:color="auto"/>
              <w:right w:val="single" w:sz="8" w:space="0" w:color="auto"/>
            </w:tcBorders>
            <w:shd w:val="clear" w:color="auto" w:fill="auto"/>
            <w:noWrap/>
            <w:vAlign w:val="center"/>
            <w:hideMark/>
          </w:tcPr>
          <w:p w14:paraId="18576182"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Piper Oil Field</w:t>
            </w:r>
          </w:p>
        </w:tc>
        <w:tc>
          <w:tcPr>
            <w:tcW w:w="982" w:type="dxa"/>
            <w:tcBorders>
              <w:top w:val="nil"/>
              <w:left w:val="nil"/>
              <w:bottom w:val="single" w:sz="8" w:space="0" w:color="auto"/>
              <w:right w:val="single" w:sz="8" w:space="0" w:color="auto"/>
            </w:tcBorders>
            <w:shd w:val="clear" w:color="000000" w:fill="F4F484"/>
            <w:noWrap/>
            <w:vAlign w:val="center"/>
            <w:hideMark/>
          </w:tcPr>
          <w:p w14:paraId="6B447358"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10</w:t>
            </w:r>
          </w:p>
        </w:tc>
        <w:tc>
          <w:tcPr>
            <w:tcW w:w="1028" w:type="dxa"/>
            <w:tcBorders>
              <w:top w:val="nil"/>
              <w:left w:val="nil"/>
              <w:bottom w:val="single" w:sz="8" w:space="0" w:color="auto"/>
              <w:right w:val="single" w:sz="8" w:space="0" w:color="auto"/>
            </w:tcBorders>
            <w:shd w:val="clear" w:color="000000" w:fill="C5E0B3"/>
            <w:noWrap/>
            <w:vAlign w:val="center"/>
            <w:hideMark/>
          </w:tcPr>
          <w:p w14:paraId="3C09DCD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4</w:t>
            </w:r>
          </w:p>
        </w:tc>
        <w:tc>
          <w:tcPr>
            <w:tcW w:w="982" w:type="dxa"/>
            <w:tcBorders>
              <w:top w:val="nil"/>
              <w:left w:val="nil"/>
              <w:bottom w:val="single" w:sz="8" w:space="0" w:color="auto"/>
              <w:right w:val="single" w:sz="8" w:space="0" w:color="auto"/>
            </w:tcBorders>
            <w:shd w:val="clear" w:color="000000" w:fill="C5E0B3"/>
            <w:noWrap/>
            <w:vAlign w:val="center"/>
            <w:hideMark/>
          </w:tcPr>
          <w:p w14:paraId="616B320C"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3</w:t>
            </w:r>
          </w:p>
        </w:tc>
        <w:tc>
          <w:tcPr>
            <w:tcW w:w="982" w:type="dxa"/>
            <w:tcBorders>
              <w:top w:val="nil"/>
              <w:left w:val="nil"/>
              <w:bottom w:val="single" w:sz="8" w:space="0" w:color="auto"/>
              <w:right w:val="single" w:sz="8" w:space="0" w:color="auto"/>
            </w:tcBorders>
            <w:shd w:val="clear" w:color="000000" w:fill="F7CAAC"/>
            <w:noWrap/>
            <w:vAlign w:val="center"/>
            <w:hideMark/>
          </w:tcPr>
          <w:p w14:paraId="686BEACC"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12</w:t>
            </w:r>
          </w:p>
        </w:tc>
        <w:tc>
          <w:tcPr>
            <w:tcW w:w="982" w:type="dxa"/>
            <w:tcBorders>
              <w:top w:val="nil"/>
              <w:left w:val="nil"/>
              <w:bottom w:val="single" w:sz="8" w:space="0" w:color="auto"/>
              <w:right w:val="single" w:sz="8" w:space="0" w:color="auto"/>
            </w:tcBorders>
            <w:shd w:val="clear" w:color="000000" w:fill="C5E0B3"/>
            <w:noWrap/>
            <w:vAlign w:val="center"/>
            <w:hideMark/>
          </w:tcPr>
          <w:p w14:paraId="0F1B784B" w14:textId="77777777" w:rsidR="00FD4125" w:rsidRPr="00786D87" w:rsidRDefault="00FD4125" w:rsidP="00FB1751">
            <w:pPr>
              <w:spacing w:after="0" w:line="240" w:lineRule="auto"/>
              <w:jc w:val="center"/>
              <w:rPr>
                <w:rFonts w:eastAsia="Times New Roman"/>
                <w:b/>
                <w:bCs/>
                <w:color w:val="000000"/>
                <w:sz w:val="16"/>
                <w:szCs w:val="16"/>
                <w:lang w:eastAsia="en-GB"/>
              </w:rPr>
            </w:pPr>
            <w:r w:rsidRPr="00786D87">
              <w:rPr>
                <w:rFonts w:eastAsia="Times New Roman"/>
                <w:b/>
                <w:bCs/>
                <w:color w:val="000000"/>
                <w:sz w:val="16"/>
                <w:szCs w:val="16"/>
                <w:lang w:val="en-US" w:eastAsia="en-GB"/>
              </w:rPr>
              <w:t>3</w:t>
            </w:r>
          </w:p>
        </w:tc>
        <w:tc>
          <w:tcPr>
            <w:tcW w:w="982" w:type="dxa"/>
            <w:tcBorders>
              <w:top w:val="nil"/>
              <w:left w:val="nil"/>
              <w:bottom w:val="single" w:sz="8" w:space="0" w:color="auto"/>
              <w:right w:val="single" w:sz="4" w:space="0" w:color="auto"/>
            </w:tcBorders>
            <w:shd w:val="clear" w:color="000000" w:fill="F7CAAC"/>
            <w:noWrap/>
            <w:vAlign w:val="center"/>
            <w:hideMark/>
          </w:tcPr>
          <w:p w14:paraId="2BE2831B"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14</w:t>
            </w:r>
          </w:p>
        </w:tc>
        <w:tc>
          <w:tcPr>
            <w:tcW w:w="16" w:type="dxa"/>
            <w:tcBorders>
              <w:left w:val="single" w:sz="4" w:space="0" w:color="auto"/>
              <w:right w:val="single" w:sz="4" w:space="0" w:color="auto"/>
            </w:tcBorders>
            <w:shd w:val="clear" w:color="auto" w:fill="FFFFFF" w:themeFill="background1"/>
          </w:tcPr>
          <w:p w14:paraId="2BCC5C94"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A087554"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0.52</w:t>
            </w:r>
          </w:p>
        </w:tc>
        <w:tc>
          <w:tcPr>
            <w:tcW w:w="61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189F002"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4</w:t>
            </w:r>
          </w:p>
        </w:tc>
        <w:tc>
          <w:tcPr>
            <w:tcW w:w="1381" w:type="dxa"/>
            <w:tcBorders>
              <w:top w:val="single" w:sz="4" w:space="0" w:color="auto"/>
              <w:left w:val="single" w:sz="4" w:space="0" w:color="auto"/>
              <w:bottom w:val="single" w:sz="4" w:space="0" w:color="auto"/>
            </w:tcBorders>
            <w:shd w:val="clear" w:color="auto" w:fill="C5E0B3" w:themeFill="accent6" w:themeFillTint="66"/>
            <w:noWrap/>
            <w:vAlign w:val="center"/>
            <w:hideMark/>
          </w:tcPr>
          <w:p w14:paraId="73C9440E" w14:textId="77777777" w:rsidR="00FD4125" w:rsidRPr="00786D87" w:rsidRDefault="00FD4125" w:rsidP="00FB1751">
            <w:pPr>
              <w:spacing w:after="0" w:line="240" w:lineRule="auto"/>
              <w:jc w:val="center"/>
              <w:rPr>
                <w:rFonts w:eastAsia="Times New Roman"/>
                <w:b/>
                <w:color w:val="000000"/>
                <w:sz w:val="16"/>
                <w:szCs w:val="16"/>
                <w:lang w:eastAsia="en-GB"/>
              </w:rPr>
            </w:pPr>
            <w:r w:rsidRPr="00786D87">
              <w:rPr>
                <w:rFonts w:eastAsia="Times New Roman"/>
                <w:b/>
                <w:color w:val="000000"/>
                <w:sz w:val="16"/>
                <w:szCs w:val="16"/>
                <w:lang w:eastAsia="en-GB"/>
              </w:rPr>
              <w:t>To due diligence</w:t>
            </w:r>
          </w:p>
        </w:tc>
      </w:tr>
      <w:tr w:rsidR="0055738A" w:rsidRPr="00103130" w14:paraId="558A141E" w14:textId="77777777" w:rsidTr="0055738A">
        <w:trPr>
          <w:cantSplit/>
          <w:trHeight w:val="288"/>
        </w:trPr>
        <w:tc>
          <w:tcPr>
            <w:tcW w:w="1588" w:type="dxa"/>
            <w:tcBorders>
              <w:top w:val="nil"/>
              <w:left w:val="nil"/>
              <w:bottom w:val="nil"/>
              <w:right w:val="single" w:sz="8" w:space="0" w:color="auto"/>
            </w:tcBorders>
            <w:shd w:val="clear" w:color="auto" w:fill="auto"/>
            <w:noWrap/>
            <w:vAlign w:val="center"/>
            <w:hideMark/>
          </w:tcPr>
          <w:p w14:paraId="691166CD" w14:textId="77777777" w:rsidR="00FD4125" w:rsidRPr="00786D87" w:rsidRDefault="00FD4125" w:rsidP="00FB1751">
            <w:pPr>
              <w:spacing w:after="0" w:line="240" w:lineRule="auto"/>
              <w:jc w:val="left"/>
              <w:rPr>
                <w:rFonts w:eastAsia="Times New Roman"/>
                <w:color w:val="000000"/>
                <w:sz w:val="16"/>
                <w:szCs w:val="16"/>
                <w:lang w:eastAsia="en-GB"/>
              </w:rPr>
            </w:pPr>
            <w:r w:rsidRPr="00786D87">
              <w:rPr>
                <w:rFonts w:eastAsia="Times New Roman"/>
                <w:color w:val="000000"/>
                <w:sz w:val="16"/>
                <w:szCs w:val="16"/>
                <w:lang w:eastAsia="en-GB"/>
              </w:rPr>
              <w:t>Scapa_014_20</w:t>
            </w:r>
          </w:p>
        </w:tc>
        <w:tc>
          <w:tcPr>
            <w:tcW w:w="982" w:type="dxa"/>
            <w:tcBorders>
              <w:top w:val="nil"/>
              <w:left w:val="nil"/>
              <w:bottom w:val="nil"/>
              <w:right w:val="single" w:sz="8" w:space="0" w:color="auto"/>
            </w:tcBorders>
            <w:shd w:val="clear" w:color="000000" w:fill="F7CAAC"/>
            <w:noWrap/>
            <w:vAlign w:val="center"/>
            <w:hideMark/>
          </w:tcPr>
          <w:p w14:paraId="5BA1B238"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13</w:t>
            </w:r>
          </w:p>
        </w:tc>
        <w:tc>
          <w:tcPr>
            <w:tcW w:w="1028" w:type="dxa"/>
            <w:tcBorders>
              <w:top w:val="nil"/>
              <w:left w:val="nil"/>
              <w:bottom w:val="nil"/>
              <w:right w:val="single" w:sz="8" w:space="0" w:color="auto"/>
            </w:tcBorders>
            <w:shd w:val="clear" w:color="000000" w:fill="F7CAAC"/>
            <w:noWrap/>
            <w:vAlign w:val="center"/>
            <w:hideMark/>
          </w:tcPr>
          <w:p w14:paraId="653EEFD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11</w:t>
            </w:r>
          </w:p>
        </w:tc>
        <w:tc>
          <w:tcPr>
            <w:tcW w:w="982" w:type="dxa"/>
            <w:tcBorders>
              <w:top w:val="nil"/>
              <w:left w:val="nil"/>
              <w:bottom w:val="nil"/>
              <w:right w:val="single" w:sz="8" w:space="0" w:color="auto"/>
            </w:tcBorders>
            <w:shd w:val="clear" w:color="000000" w:fill="F4F484"/>
            <w:noWrap/>
            <w:vAlign w:val="center"/>
            <w:hideMark/>
          </w:tcPr>
          <w:p w14:paraId="3A83578E"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8</w:t>
            </w:r>
          </w:p>
        </w:tc>
        <w:tc>
          <w:tcPr>
            <w:tcW w:w="982" w:type="dxa"/>
            <w:tcBorders>
              <w:top w:val="nil"/>
              <w:left w:val="nil"/>
              <w:bottom w:val="nil"/>
              <w:right w:val="single" w:sz="8" w:space="0" w:color="auto"/>
            </w:tcBorders>
            <w:shd w:val="clear" w:color="000000" w:fill="F7CAAC"/>
            <w:noWrap/>
            <w:vAlign w:val="center"/>
            <w:hideMark/>
          </w:tcPr>
          <w:p w14:paraId="5BC2BD9F"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14</w:t>
            </w:r>
          </w:p>
        </w:tc>
        <w:tc>
          <w:tcPr>
            <w:tcW w:w="982" w:type="dxa"/>
            <w:tcBorders>
              <w:top w:val="nil"/>
              <w:left w:val="nil"/>
              <w:bottom w:val="nil"/>
              <w:right w:val="single" w:sz="8" w:space="0" w:color="auto"/>
            </w:tcBorders>
            <w:shd w:val="clear" w:color="000000" w:fill="F7CAAC"/>
            <w:noWrap/>
            <w:vAlign w:val="center"/>
            <w:hideMark/>
          </w:tcPr>
          <w:p w14:paraId="58F17133"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15</w:t>
            </w:r>
          </w:p>
        </w:tc>
        <w:tc>
          <w:tcPr>
            <w:tcW w:w="982" w:type="dxa"/>
            <w:tcBorders>
              <w:top w:val="nil"/>
              <w:left w:val="nil"/>
              <w:bottom w:val="nil"/>
              <w:right w:val="single" w:sz="4" w:space="0" w:color="auto"/>
            </w:tcBorders>
            <w:shd w:val="clear" w:color="000000" w:fill="F4F484"/>
            <w:noWrap/>
            <w:vAlign w:val="center"/>
            <w:hideMark/>
          </w:tcPr>
          <w:p w14:paraId="419095B5"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val="en-US" w:eastAsia="en-GB"/>
              </w:rPr>
              <w:t>9</w:t>
            </w:r>
          </w:p>
        </w:tc>
        <w:tc>
          <w:tcPr>
            <w:tcW w:w="16" w:type="dxa"/>
            <w:tcBorders>
              <w:left w:val="single" w:sz="4" w:space="0" w:color="auto"/>
              <w:right w:val="single" w:sz="4" w:space="0" w:color="auto"/>
            </w:tcBorders>
            <w:shd w:val="clear" w:color="auto" w:fill="FFFFFF" w:themeFill="background1"/>
          </w:tcPr>
          <w:p w14:paraId="62CC14F9" w14:textId="77777777" w:rsidR="00FD4125" w:rsidRPr="00786D87" w:rsidRDefault="00FD4125" w:rsidP="00FB1751">
            <w:pPr>
              <w:spacing w:after="0" w:line="240" w:lineRule="auto"/>
              <w:jc w:val="right"/>
              <w:rPr>
                <w:rFonts w:eastAsia="Times New Roman"/>
                <w:color w:val="000000"/>
                <w:sz w:val="16"/>
                <w:szCs w:val="16"/>
                <w:lang w:eastAsia="en-GB"/>
              </w:rPr>
            </w:pPr>
          </w:p>
        </w:tc>
        <w:tc>
          <w:tcPr>
            <w:tcW w:w="930" w:type="dxa"/>
            <w:tcBorders>
              <w:top w:val="single" w:sz="4" w:space="0" w:color="auto"/>
              <w:left w:val="single" w:sz="4" w:space="0" w:color="auto"/>
              <w:bottom w:val="nil"/>
              <w:right w:val="single" w:sz="4" w:space="0" w:color="auto"/>
            </w:tcBorders>
            <w:shd w:val="clear" w:color="auto" w:fill="F7CAAC" w:themeFill="accent2" w:themeFillTint="66"/>
            <w:noWrap/>
            <w:vAlign w:val="center"/>
            <w:hideMark/>
          </w:tcPr>
          <w:p w14:paraId="4A4D7497"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0.15</w:t>
            </w:r>
          </w:p>
        </w:tc>
        <w:tc>
          <w:tcPr>
            <w:tcW w:w="613" w:type="dxa"/>
            <w:tcBorders>
              <w:top w:val="single" w:sz="4" w:space="0" w:color="auto"/>
              <w:left w:val="single" w:sz="4" w:space="0" w:color="auto"/>
              <w:bottom w:val="nil"/>
              <w:right w:val="single" w:sz="4" w:space="0" w:color="auto"/>
            </w:tcBorders>
            <w:shd w:val="clear" w:color="auto" w:fill="F7CAAC" w:themeFill="accent2" w:themeFillTint="66"/>
            <w:noWrap/>
            <w:vAlign w:val="center"/>
            <w:hideMark/>
          </w:tcPr>
          <w:p w14:paraId="187EA06C"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15</w:t>
            </w:r>
          </w:p>
        </w:tc>
        <w:tc>
          <w:tcPr>
            <w:tcW w:w="1381" w:type="dxa"/>
            <w:tcBorders>
              <w:top w:val="single" w:sz="4" w:space="0" w:color="auto"/>
              <w:left w:val="single" w:sz="4" w:space="0" w:color="auto"/>
            </w:tcBorders>
            <w:shd w:val="clear" w:color="auto" w:fill="F7CAAC" w:themeFill="accent2" w:themeFillTint="66"/>
            <w:noWrap/>
            <w:vAlign w:val="center"/>
            <w:hideMark/>
          </w:tcPr>
          <w:p w14:paraId="4CDD015C" w14:textId="77777777" w:rsidR="00FD4125" w:rsidRPr="00786D87" w:rsidRDefault="00FD4125" w:rsidP="00FB1751">
            <w:pPr>
              <w:spacing w:after="0" w:line="240" w:lineRule="auto"/>
              <w:jc w:val="center"/>
              <w:rPr>
                <w:rFonts w:eastAsia="Times New Roman"/>
                <w:color w:val="000000"/>
                <w:sz w:val="16"/>
                <w:szCs w:val="16"/>
                <w:lang w:eastAsia="en-GB"/>
              </w:rPr>
            </w:pPr>
            <w:r w:rsidRPr="00786D87">
              <w:rPr>
                <w:rFonts w:eastAsia="Times New Roman"/>
                <w:color w:val="000000"/>
                <w:sz w:val="16"/>
                <w:szCs w:val="16"/>
                <w:lang w:eastAsia="en-GB"/>
              </w:rPr>
              <w:t>Hold</w:t>
            </w:r>
          </w:p>
        </w:tc>
      </w:tr>
    </w:tbl>
    <w:p w14:paraId="2D3299BE" w14:textId="77777777" w:rsidR="00FD4125" w:rsidRDefault="00FD4125" w:rsidP="00FD4125">
      <w:pPr>
        <w:pStyle w:val="Caption"/>
      </w:pPr>
    </w:p>
    <w:p w14:paraId="5744EC8C" w14:textId="76894B9E" w:rsidR="00FD4125" w:rsidRDefault="00FD4125" w:rsidP="00FD4125">
      <w:pPr>
        <w:jc w:val="center"/>
        <w:rPr>
          <w:sz w:val="18"/>
        </w:rPr>
      </w:pPr>
      <w:r w:rsidRPr="00FD4125">
        <w:rPr>
          <w:sz w:val="18"/>
        </w:rPr>
        <w:t xml:space="preserve">Table </w:t>
      </w:r>
      <w:r w:rsidR="0055738A">
        <w:rPr>
          <w:sz w:val="18"/>
        </w:rPr>
        <w:t>3</w:t>
      </w:r>
      <w:r w:rsidRPr="00FD4125">
        <w:rPr>
          <w:sz w:val="18"/>
        </w:rPr>
        <w:t>: criteria assessed and ranking of the target 15 sites, results of the TOPSIS analysis and decision taken for each of the sites. The sites are coloured based on their rank following a traffic-light scheme, with most suitable sites (ranked 1-5) in green, suitable sites (ranked 6-10) in yellow and least suitable sites (ranked 11-15) in red. The best ranked sites in each criterion are marked in bold. Positive correlation implies that the higher the criterion value, the more suitable the site is, whereas negative correlation implies that the higher the criterion value, the less suitable site the site is. The top six ranked sites were taken forward to the due diligence stage.</w:t>
      </w:r>
    </w:p>
    <w:p w14:paraId="475AEFD6" w14:textId="77777777" w:rsidR="00FD4125" w:rsidRPr="00FD4125" w:rsidRDefault="00FD4125" w:rsidP="00FD4125">
      <w:pPr>
        <w:jc w:val="center"/>
        <w:rPr>
          <w:sz w:val="18"/>
        </w:rPr>
      </w:pPr>
    </w:p>
    <w:p w14:paraId="562E6082" w14:textId="0676BA5A" w:rsidR="004D1F71" w:rsidRPr="00972203" w:rsidRDefault="006064CA" w:rsidP="00E3373D">
      <w:pPr>
        <w:pStyle w:val="Heading2"/>
        <w:rPr>
          <w:rStyle w:val="BookTitle"/>
          <w:rFonts w:ascii="Times New Roman" w:hAnsi="Times New Roman"/>
          <w:b/>
          <w:bCs w:val="0"/>
          <w:iCs w:val="0"/>
          <w:spacing w:val="0"/>
        </w:rPr>
      </w:pPr>
      <w:r w:rsidRPr="00972203">
        <w:rPr>
          <w:rStyle w:val="BookTitle"/>
          <w:rFonts w:ascii="Times New Roman" w:hAnsi="Times New Roman"/>
          <w:b/>
          <w:bCs w:val="0"/>
          <w:iCs w:val="0"/>
          <w:spacing w:val="0"/>
        </w:rPr>
        <w:t xml:space="preserve">Due </w:t>
      </w:r>
      <w:r w:rsidR="008B66AF">
        <w:rPr>
          <w:rStyle w:val="BookTitle"/>
          <w:rFonts w:ascii="Times New Roman" w:hAnsi="Times New Roman"/>
          <w:b/>
          <w:bCs w:val="0"/>
          <w:iCs w:val="0"/>
          <w:spacing w:val="0"/>
        </w:rPr>
        <w:t>d</w:t>
      </w:r>
      <w:r w:rsidRPr="00972203">
        <w:rPr>
          <w:rStyle w:val="BookTitle"/>
          <w:rFonts w:ascii="Times New Roman" w:hAnsi="Times New Roman"/>
          <w:b/>
          <w:bCs w:val="0"/>
          <w:iCs w:val="0"/>
          <w:spacing w:val="0"/>
        </w:rPr>
        <w:t>iligence</w:t>
      </w:r>
    </w:p>
    <w:p w14:paraId="5D9B39F7" w14:textId="5FE2CFDC" w:rsidR="00182233" w:rsidRDefault="00972203" w:rsidP="00182233">
      <w:pPr>
        <w:rPr>
          <w:rStyle w:val="BookTitle"/>
          <w:rFonts w:ascii="Times New Roman" w:hAnsi="Times New Roman"/>
          <w:b w:val="0"/>
          <w:spacing w:val="0"/>
        </w:rPr>
      </w:pPr>
      <w:r w:rsidRPr="00972203">
        <w:rPr>
          <w:rStyle w:val="BookTitle"/>
          <w:rFonts w:ascii="Times New Roman" w:hAnsi="Times New Roman"/>
          <w:b w:val="0"/>
          <w:spacing w:val="0"/>
        </w:rPr>
        <w:t xml:space="preserve">The </w:t>
      </w:r>
      <w:r w:rsidR="0043573D">
        <w:rPr>
          <w:rStyle w:val="BookTitle"/>
          <w:rFonts w:ascii="Times New Roman" w:hAnsi="Times New Roman"/>
          <w:b w:val="0"/>
          <w:spacing w:val="0"/>
        </w:rPr>
        <w:t>objective</w:t>
      </w:r>
      <w:r w:rsidR="0043573D" w:rsidRPr="00972203">
        <w:rPr>
          <w:rStyle w:val="BookTitle"/>
          <w:rFonts w:ascii="Times New Roman" w:hAnsi="Times New Roman"/>
          <w:b w:val="0"/>
          <w:spacing w:val="0"/>
        </w:rPr>
        <w:t xml:space="preserve"> </w:t>
      </w:r>
      <w:r w:rsidRPr="00972203">
        <w:rPr>
          <w:rStyle w:val="BookTitle"/>
          <w:rFonts w:ascii="Times New Roman" w:hAnsi="Times New Roman"/>
          <w:b w:val="0"/>
          <w:spacing w:val="0"/>
        </w:rPr>
        <w:t xml:space="preserve">of the </w:t>
      </w:r>
      <w:r w:rsidR="0043573D">
        <w:rPr>
          <w:rStyle w:val="BookTitle"/>
          <w:rFonts w:ascii="Times New Roman" w:hAnsi="Times New Roman"/>
          <w:b w:val="0"/>
          <w:spacing w:val="0"/>
        </w:rPr>
        <w:t>d</w:t>
      </w:r>
      <w:r w:rsidR="0043573D" w:rsidRPr="00972203">
        <w:rPr>
          <w:rStyle w:val="BookTitle"/>
          <w:rFonts w:ascii="Times New Roman" w:hAnsi="Times New Roman"/>
          <w:b w:val="0"/>
          <w:spacing w:val="0"/>
        </w:rPr>
        <w:t xml:space="preserve">ue </w:t>
      </w:r>
      <w:r w:rsidR="0043573D">
        <w:rPr>
          <w:rStyle w:val="BookTitle"/>
          <w:rFonts w:ascii="Times New Roman" w:hAnsi="Times New Roman"/>
          <w:b w:val="0"/>
          <w:spacing w:val="0"/>
        </w:rPr>
        <w:t>d</w:t>
      </w:r>
      <w:r w:rsidR="0043573D" w:rsidRPr="00972203">
        <w:rPr>
          <w:rStyle w:val="BookTitle"/>
          <w:rFonts w:ascii="Times New Roman" w:hAnsi="Times New Roman"/>
          <w:b w:val="0"/>
          <w:spacing w:val="0"/>
        </w:rPr>
        <w:t xml:space="preserve">iligence </w:t>
      </w:r>
      <w:r w:rsidRPr="00972203">
        <w:rPr>
          <w:rStyle w:val="BookTitle"/>
          <w:rFonts w:ascii="Times New Roman" w:hAnsi="Times New Roman"/>
          <w:b w:val="0"/>
          <w:spacing w:val="0"/>
        </w:rPr>
        <w:t xml:space="preserve">stage </w:t>
      </w:r>
      <w:r>
        <w:rPr>
          <w:rStyle w:val="BookTitle"/>
          <w:rFonts w:ascii="Times New Roman" w:hAnsi="Times New Roman"/>
          <w:b w:val="0"/>
          <w:spacing w:val="0"/>
        </w:rPr>
        <w:t>is</w:t>
      </w:r>
      <w:r w:rsidRPr="00972203">
        <w:rPr>
          <w:rStyle w:val="BookTitle"/>
          <w:rFonts w:ascii="Times New Roman" w:hAnsi="Times New Roman"/>
          <w:b w:val="0"/>
          <w:spacing w:val="0"/>
        </w:rPr>
        <w:t xml:space="preserve"> to provide an </w:t>
      </w:r>
      <w:r>
        <w:rPr>
          <w:rStyle w:val="BookTitle"/>
          <w:rFonts w:ascii="Times New Roman" w:hAnsi="Times New Roman"/>
          <w:b w:val="0"/>
          <w:spacing w:val="0"/>
        </w:rPr>
        <w:t>alternative</w:t>
      </w:r>
      <w:r w:rsidRPr="00972203">
        <w:rPr>
          <w:rStyle w:val="BookTitle"/>
          <w:rFonts w:ascii="Times New Roman" w:hAnsi="Times New Roman"/>
          <w:b w:val="0"/>
          <w:spacing w:val="0"/>
        </w:rPr>
        <w:t xml:space="preserve"> </w:t>
      </w:r>
      <w:r>
        <w:rPr>
          <w:rStyle w:val="BookTitle"/>
          <w:rFonts w:ascii="Times New Roman" w:hAnsi="Times New Roman"/>
          <w:b w:val="0"/>
          <w:spacing w:val="0"/>
        </w:rPr>
        <w:t>assessment of the key site parameters that is independent from the CO</w:t>
      </w:r>
      <w:r w:rsidRPr="00D110F2">
        <w:rPr>
          <w:rStyle w:val="BookTitle"/>
          <w:rFonts w:ascii="Times New Roman" w:hAnsi="Times New Roman"/>
          <w:b w:val="0"/>
          <w:spacing w:val="0"/>
          <w:vertAlign w:val="subscript"/>
        </w:rPr>
        <w:t>2</w:t>
      </w:r>
      <w:r>
        <w:rPr>
          <w:rStyle w:val="BookTitle"/>
          <w:rFonts w:ascii="Times New Roman" w:hAnsi="Times New Roman"/>
          <w:b w:val="0"/>
          <w:spacing w:val="0"/>
        </w:rPr>
        <w:t xml:space="preserve">Stored database. </w:t>
      </w:r>
      <w:r w:rsidR="00F1057E">
        <w:rPr>
          <w:rStyle w:val="BookTitle"/>
          <w:rFonts w:ascii="Times New Roman" w:hAnsi="Times New Roman"/>
          <w:b w:val="0"/>
          <w:spacing w:val="0"/>
        </w:rPr>
        <w:t xml:space="preserve">This approach is not intended to underestimate the value of the </w:t>
      </w:r>
      <w:r w:rsidR="00533341">
        <w:rPr>
          <w:rStyle w:val="BookTitle"/>
          <w:rFonts w:ascii="Times New Roman" w:hAnsi="Times New Roman"/>
          <w:b w:val="0"/>
          <w:spacing w:val="0"/>
        </w:rPr>
        <w:t xml:space="preserve">work behind the database, but to quality control </w:t>
      </w:r>
      <w:r w:rsidR="00624DE6">
        <w:rPr>
          <w:rStyle w:val="BookTitle"/>
          <w:rFonts w:ascii="Times New Roman" w:hAnsi="Times New Roman"/>
          <w:b w:val="0"/>
          <w:spacing w:val="0"/>
        </w:rPr>
        <w:t>th</w:t>
      </w:r>
      <w:r w:rsidR="00533341">
        <w:rPr>
          <w:rStyle w:val="BookTitle"/>
          <w:rFonts w:ascii="Times New Roman" w:hAnsi="Times New Roman"/>
          <w:b w:val="0"/>
          <w:spacing w:val="0"/>
        </w:rPr>
        <w:t xml:space="preserve">e values </w:t>
      </w:r>
      <w:r w:rsidR="00182233">
        <w:rPr>
          <w:rStyle w:val="BookTitle"/>
          <w:rFonts w:ascii="Times New Roman" w:hAnsi="Times New Roman"/>
          <w:b w:val="0"/>
          <w:spacing w:val="0"/>
        </w:rPr>
        <w:t xml:space="preserve">and try to find alternative data </w:t>
      </w:r>
      <w:r w:rsidR="00624DE6">
        <w:rPr>
          <w:rStyle w:val="BookTitle"/>
          <w:rFonts w:ascii="Times New Roman" w:hAnsi="Times New Roman"/>
          <w:b w:val="0"/>
          <w:spacing w:val="0"/>
        </w:rPr>
        <w:t xml:space="preserve">sources </w:t>
      </w:r>
      <w:r w:rsidR="00182233">
        <w:rPr>
          <w:rStyle w:val="BookTitle"/>
          <w:rFonts w:ascii="Times New Roman" w:hAnsi="Times New Roman"/>
          <w:b w:val="0"/>
          <w:spacing w:val="0"/>
        </w:rPr>
        <w:t xml:space="preserve">that help to </w:t>
      </w:r>
      <w:r w:rsidR="00624DE6">
        <w:rPr>
          <w:rStyle w:val="BookTitle"/>
          <w:rFonts w:ascii="Times New Roman" w:hAnsi="Times New Roman"/>
          <w:b w:val="0"/>
          <w:spacing w:val="0"/>
        </w:rPr>
        <w:t xml:space="preserve">develop better </w:t>
      </w:r>
      <w:r w:rsidR="00182233">
        <w:rPr>
          <w:rStyle w:val="BookTitle"/>
          <w:rFonts w:ascii="Times New Roman" w:hAnsi="Times New Roman"/>
          <w:b w:val="0"/>
          <w:spacing w:val="0"/>
        </w:rPr>
        <w:t>understanding of the six shortlisted sites</w:t>
      </w:r>
      <w:r w:rsidR="00310F51">
        <w:rPr>
          <w:rStyle w:val="BookTitle"/>
          <w:rFonts w:ascii="Times New Roman" w:hAnsi="Times New Roman"/>
          <w:b w:val="0"/>
          <w:spacing w:val="0"/>
        </w:rPr>
        <w:t>,</w:t>
      </w:r>
      <w:r w:rsidR="00310F51" w:rsidRPr="00310F51">
        <w:t xml:space="preserve"> </w:t>
      </w:r>
      <w:r w:rsidR="00310F51">
        <w:t>providing precise values for the subsets of the saline aquifers considered</w:t>
      </w:r>
      <w:r w:rsidR="00182233">
        <w:rPr>
          <w:rStyle w:val="BookTitle"/>
          <w:rFonts w:ascii="Times New Roman" w:hAnsi="Times New Roman"/>
          <w:b w:val="0"/>
          <w:spacing w:val="0"/>
        </w:rPr>
        <w:t xml:space="preserve">. </w:t>
      </w:r>
      <w:r w:rsidR="00310F51" w:rsidRPr="008F24AC">
        <w:t xml:space="preserve">This </w:t>
      </w:r>
      <w:r w:rsidR="00310F51">
        <w:t>assessment i</w:t>
      </w:r>
      <w:r w:rsidR="00310F51" w:rsidRPr="008F24AC">
        <w:t>nclude</w:t>
      </w:r>
      <w:r w:rsidR="00310F51">
        <w:t>d</w:t>
      </w:r>
      <w:r w:rsidR="00310F51" w:rsidRPr="008F24AC">
        <w:t xml:space="preserve"> </w:t>
      </w:r>
      <w:r w:rsidR="00310F51">
        <w:t xml:space="preserve">the revision of </w:t>
      </w:r>
      <w:r w:rsidR="00310F51" w:rsidRPr="008F24AC">
        <w:t>original well log data, technical papers from researchers and oilfield operators, selected analogues</w:t>
      </w:r>
      <w:r w:rsidR="00310F51">
        <w:t>,</w:t>
      </w:r>
      <w:r w:rsidR="00310F51" w:rsidRPr="008F24AC">
        <w:t xml:space="preserve"> and </w:t>
      </w:r>
      <w:r w:rsidR="00310F51">
        <w:t xml:space="preserve">an overview of </w:t>
      </w:r>
      <w:r w:rsidR="00310F51" w:rsidRPr="008F24AC">
        <w:t xml:space="preserve">the PGS </w:t>
      </w:r>
      <w:proofErr w:type="spellStart"/>
      <w:r w:rsidR="00310F51">
        <w:t>M</w:t>
      </w:r>
      <w:r w:rsidR="00310F51" w:rsidRPr="008F24AC">
        <w:t>ega</w:t>
      </w:r>
      <w:r w:rsidR="00310F51">
        <w:t>M</w:t>
      </w:r>
      <w:r w:rsidR="00310F51" w:rsidRPr="008F24AC">
        <w:t>erge</w:t>
      </w:r>
      <w:proofErr w:type="spellEnd"/>
      <w:r w:rsidR="00310F51" w:rsidRPr="008F24AC">
        <w:t xml:space="preserve"> seismic dataset.</w:t>
      </w:r>
      <w:r w:rsidR="00310F51">
        <w:t xml:space="preserve"> </w:t>
      </w:r>
    </w:p>
    <w:p w14:paraId="5A4737F4" w14:textId="68ECC78C" w:rsidR="00182233" w:rsidRPr="00972203" w:rsidRDefault="00182233" w:rsidP="008416D8">
      <w:r>
        <w:rPr>
          <w:rStyle w:val="BookTitle"/>
          <w:rFonts w:ascii="Times New Roman" w:hAnsi="Times New Roman"/>
          <w:b w:val="0"/>
          <w:spacing w:val="0"/>
        </w:rPr>
        <w:t xml:space="preserve">The initial action within the due diligence </w:t>
      </w:r>
      <w:r w:rsidR="0043573D">
        <w:rPr>
          <w:rStyle w:val="BookTitle"/>
          <w:rFonts w:ascii="Times New Roman" w:hAnsi="Times New Roman"/>
          <w:b w:val="0"/>
          <w:spacing w:val="0"/>
        </w:rPr>
        <w:t xml:space="preserve">process </w:t>
      </w:r>
      <w:r>
        <w:rPr>
          <w:rStyle w:val="BookTitle"/>
          <w:rFonts w:ascii="Times New Roman" w:hAnsi="Times New Roman"/>
          <w:b w:val="0"/>
          <w:spacing w:val="0"/>
        </w:rPr>
        <w:t xml:space="preserve">was to reduce the size of some of the extensive saline aquifers </w:t>
      </w:r>
      <w:r w:rsidRPr="00972203">
        <w:t>(</w:t>
      </w:r>
      <w:proofErr w:type="gramStart"/>
      <w:r w:rsidRPr="00972203">
        <w:t>e.g.</w:t>
      </w:r>
      <w:proofErr w:type="gramEnd"/>
      <w:r w:rsidRPr="00972203">
        <w:t xml:space="preserve"> Grid, </w:t>
      </w:r>
      <w:proofErr w:type="spellStart"/>
      <w:r w:rsidRPr="00972203">
        <w:t>Heimdal</w:t>
      </w:r>
      <w:proofErr w:type="spellEnd"/>
      <w:r w:rsidRPr="00972203">
        <w:t xml:space="preserve">, Dornoch and </w:t>
      </w:r>
      <w:proofErr w:type="spellStart"/>
      <w:r w:rsidRPr="00972203">
        <w:t>Mey</w:t>
      </w:r>
      <w:proofErr w:type="spellEnd"/>
      <w:r w:rsidRPr="00972203">
        <w:t xml:space="preserve">) by considering only those areas which were: </w:t>
      </w:r>
    </w:p>
    <w:p w14:paraId="3C82A37B" w14:textId="0AB76C23" w:rsidR="00345356" w:rsidRPr="00972203" w:rsidRDefault="00345356" w:rsidP="00430227">
      <w:pPr>
        <w:pStyle w:val="ListParagraph"/>
        <w:numPr>
          <w:ilvl w:val="0"/>
          <w:numId w:val="35"/>
        </w:numPr>
        <w:spacing w:after="0"/>
      </w:pPr>
      <w:r w:rsidRPr="00972203">
        <w:t xml:space="preserve">Within </w:t>
      </w:r>
      <w:r>
        <w:t>UK national waters.</w:t>
      </w:r>
    </w:p>
    <w:p w14:paraId="793A7776" w14:textId="02E04401" w:rsidR="00182233" w:rsidRDefault="00182233" w:rsidP="00430227">
      <w:pPr>
        <w:pStyle w:val="ListParagraph"/>
        <w:numPr>
          <w:ilvl w:val="0"/>
          <w:numId w:val="35"/>
        </w:numPr>
        <w:spacing w:after="0"/>
      </w:pPr>
      <w:r w:rsidRPr="00972203">
        <w:t>Within 15km of one of the three potentially re-usable pipeline</w:t>
      </w:r>
      <w:r w:rsidR="00F3043E">
        <w:t>s.</w:t>
      </w:r>
    </w:p>
    <w:p w14:paraId="5305D251" w14:textId="65E47376" w:rsidR="00182233" w:rsidRPr="00972203" w:rsidRDefault="00182233" w:rsidP="00430227">
      <w:pPr>
        <w:pStyle w:val="ListParagraph"/>
        <w:numPr>
          <w:ilvl w:val="0"/>
          <w:numId w:val="35"/>
        </w:numPr>
        <w:spacing w:after="0"/>
      </w:pPr>
      <w:r w:rsidRPr="00972203">
        <w:t>Supported with good 3D seismic coverage f</w:t>
      </w:r>
      <w:r w:rsidR="00F3043E">
        <w:t xml:space="preserve">rom the PGS </w:t>
      </w:r>
      <w:proofErr w:type="spellStart"/>
      <w:r w:rsidR="00F3043E">
        <w:t>MegaSurvey</w:t>
      </w:r>
      <w:proofErr w:type="spellEnd"/>
      <w:r w:rsidR="00F3043E">
        <w:t xml:space="preserve"> data set.</w:t>
      </w:r>
    </w:p>
    <w:p w14:paraId="21624F5C" w14:textId="591E5F84" w:rsidR="00182233" w:rsidRDefault="00182233" w:rsidP="00430227">
      <w:pPr>
        <w:pStyle w:val="ListParagraph"/>
        <w:numPr>
          <w:ilvl w:val="0"/>
          <w:numId w:val="35"/>
        </w:numPr>
        <w:spacing w:after="120"/>
      </w:pPr>
      <w:r w:rsidRPr="00972203">
        <w:t>Available for access by 2022 and do not carry significant long</w:t>
      </w:r>
      <w:r w:rsidR="00624DE6">
        <w:t>-</w:t>
      </w:r>
      <w:r w:rsidRPr="00972203">
        <w:t>lived producing petroleum assets.</w:t>
      </w:r>
    </w:p>
    <w:p w14:paraId="73D1541D" w14:textId="64F05B34" w:rsidR="005C0EC5" w:rsidRDefault="00042198" w:rsidP="00042198">
      <w:r>
        <w:t xml:space="preserve">The geographical constraints imposed by the distance to the </w:t>
      </w:r>
      <w:r w:rsidR="005C0EC5">
        <w:t>pipeline</w:t>
      </w:r>
      <w:r>
        <w:t>s and the seismic data coverage</w:t>
      </w:r>
      <w:r w:rsidRPr="00042198">
        <w:t xml:space="preserve"> </w:t>
      </w:r>
      <w:r>
        <w:t xml:space="preserve">of PGS </w:t>
      </w:r>
      <w:proofErr w:type="spellStart"/>
      <w:r>
        <w:t>MegaMerge</w:t>
      </w:r>
      <w:proofErr w:type="spellEnd"/>
      <w:r>
        <w:t xml:space="preserve"> divided two of the super-large saline aquifers, Grid and </w:t>
      </w:r>
      <w:proofErr w:type="spellStart"/>
      <w:r>
        <w:t>Mey</w:t>
      </w:r>
      <w:proofErr w:type="spellEnd"/>
      <w:r>
        <w:t xml:space="preserve"> 5, into two suitable sub-sites. Thus, the </w:t>
      </w:r>
      <w:r w:rsidR="0043573D">
        <w:t xml:space="preserve">due diligence </w:t>
      </w:r>
      <w:r>
        <w:t xml:space="preserve">studies were carried out in eight sites: (A) North Brae </w:t>
      </w:r>
      <w:r w:rsidR="0043573D">
        <w:t>condensate field</w:t>
      </w:r>
      <w:r>
        <w:t xml:space="preserve">, (B1) East Grid, (B2) West Grid, (C) </w:t>
      </w:r>
      <w:proofErr w:type="spellStart"/>
      <w:r>
        <w:t>Heimdal</w:t>
      </w:r>
      <w:proofErr w:type="spellEnd"/>
      <w:r>
        <w:t>, (D1</w:t>
      </w:r>
      <w:r w:rsidR="008F24AC">
        <w:t>) West</w:t>
      </w:r>
      <w:r>
        <w:t xml:space="preserve"> </w:t>
      </w:r>
      <w:proofErr w:type="spellStart"/>
      <w:r>
        <w:t>Mey</w:t>
      </w:r>
      <w:proofErr w:type="spellEnd"/>
      <w:r>
        <w:t xml:space="preserve">, (D2) East </w:t>
      </w:r>
      <w:proofErr w:type="spellStart"/>
      <w:r>
        <w:t>Mey</w:t>
      </w:r>
      <w:proofErr w:type="spellEnd"/>
      <w:r>
        <w:t xml:space="preserve">, (E) Dornoch and (F) Piper </w:t>
      </w:r>
      <w:r w:rsidR="00310F51">
        <w:t>Oil Field</w:t>
      </w:r>
      <w:r w:rsidR="0043573D">
        <w:t xml:space="preserve"> </w:t>
      </w:r>
      <w:r>
        <w:t>(</w:t>
      </w:r>
      <w:r>
        <w:fldChar w:fldCharType="begin"/>
      </w:r>
      <w:r>
        <w:instrText xml:space="preserve"> REF _Ref37500511 \h </w:instrText>
      </w:r>
      <w:r>
        <w:fldChar w:fldCharType="separate"/>
      </w:r>
      <w:r w:rsidR="00300235">
        <w:t xml:space="preserve">Figure </w:t>
      </w:r>
      <w:r w:rsidR="00300235">
        <w:rPr>
          <w:noProof/>
        </w:rPr>
        <w:t>4</w:t>
      </w:r>
      <w:r>
        <w:fldChar w:fldCharType="end"/>
      </w:r>
      <w:r>
        <w:t>).</w:t>
      </w:r>
      <w:r w:rsidR="00972187">
        <w:t xml:space="preserve"> The Pipe</w:t>
      </w:r>
      <w:r w:rsidR="00EE7A2F">
        <w:t>r</w:t>
      </w:r>
      <w:r w:rsidR="00972187">
        <w:t xml:space="preserve"> </w:t>
      </w:r>
      <w:r w:rsidR="00310F51">
        <w:t>O</w:t>
      </w:r>
      <w:r w:rsidR="00EE7A2F">
        <w:t>il</w:t>
      </w:r>
      <w:r w:rsidR="00310F51">
        <w:t xml:space="preserve"> F</w:t>
      </w:r>
      <w:r w:rsidR="00972187">
        <w:t xml:space="preserve">ield was the only site located out of the 15km polygon, but </w:t>
      </w:r>
      <w:r w:rsidR="008F24AC">
        <w:t xml:space="preserve">it was still considered in the </w:t>
      </w:r>
      <w:r w:rsidR="00EE7A2F">
        <w:t xml:space="preserve">due diligence </w:t>
      </w:r>
      <w:r w:rsidR="008F24AC">
        <w:t>stage because of its</w:t>
      </w:r>
      <w:r w:rsidR="00972187">
        <w:t xml:space="preserve"> suitable characteristics </w:t>
      </w:r>
      <w:r w:rsidR="008F24AC">
        <w:t>revealed in the ranking stage.</w:t>
      </w:r>
    </w:p>
    <w:p w14:paraId="27543242" w14:textId="77777777" w:rsidR="00430227" w:rsidRDefault="00430227" w:rsidP="00430227">
      <w:r w:rsidRPr="008F24AC">
        <w:t>The purpose of the due diligence</w:t>
      </w:r>
      <w:r>
        <w:t xml:space="preserve"> process</w:t>
      </w:r>
      <w:r w:rsidRPr="008F24AC">
        <w:t xml:space="preserve"> was </w:t>
      </w:r>
      <w:r>
        <w:t xml:space="preserve">to </w:t>
      </w:r>
      <w:r w:rsidRPr="008F24AC">
        <w:t>develop a</w:t>
      </w:r>
      <w:r>
        <w:t>n independent</w:t>
      </w:r>
      <w:r w:rsidRPr="008F24AC">
        <w:t xml:space="preserve"> view of key resource input parameters </w:t>
      </w:r>
      <w:r>
        <w:t>to compare and complement the information included in the</w:t>
      </w:r>
      <w:r w:rsidRPr="008F24AC">
        <w:t xml:space="preserve"> CO</w:t>
      </w:r>
      <w:r w:rsidRPr="008F24AC">
        <w:rPr>
          <w:vertAlign w:val="subscript"/>
        </w:rPr>
        <w:t>2</w:t>
      </w:r>
      <w:r w:rsidRPr="008F24AC">
        <w:t>Stored database.</w:t>
      </w:r>
      <w:r>
        <w:t xml:space="preserve"> The due diligence activity included:</w:t>
      </w:r>
    </w:p>
    <w:p w14:paraId="6418DC46" w14:textId="361D36EF" w:rsidR="00430227" w:rsidRDefault="00430227" w:rsidP="00430227">
      <w:pPr>
        <w:pStyle w:val="NoSpacing"/>
        <w:numPr>
          <w:ilvl w:val="0"/>
          <w:numId w:val="34"/>
        </w:numPr>
        <w:jc w:val="both"/>
      </w:pPr>
      <w:r>
        <w:t>Review of 3D seismic (dip and strike line) for faults or other potential containment issues.</w:t>
      </w:r>
    </w:p>
    <w:p w14:paraId="28C76284" w14:textId="0CF7E87C" w:rsidR="00430227" w:rsidRDefault="00430227" w:rsidP="00430227">
      <w:pPr>
        <w:pStyle w:val="NoSpacing"/>
        <w:numPr>
          <w:ilvl w:val="0"/>
          <w:numId w:val="34"/>
        </w:numPr>
        <w:spacing w:line="276" w:lineRule="auto"/>
        <w:jc w:val="both"/>
      </w:pPr>
      <w:r>
        <w:t>Screening for any fields in the area that had Cessation of Production (COP) after 2022.</w:t>
      </w:r>
    </w:p>
    <w:p w14:paraId="041B29D0" w14:textId="1D9E9518" w:rsidR="00430227" w:rsidRDefault="00430227" w:rsidP="00430227">
      <w:pPr>
        <w:pStyle w:val="NoSpacing"/>
        <w:numPr>
          <w:ilvl w:val="0"/>
          <w:numId w:val="34"/>
        </w:numPr>
        <w:jc w:val="both"/>
      </w:pPr>
      <w:r>
        <w:t>Literature review to understand the reservoir properties and provide an independent view from CO</w:t>
      </w:r>
      <w:r w:rsidRPr="00D110F2">
        <w:rPr>
          <w:vertAlign w:val="subscript"/>
        </w:rPr>
        <w:t>2</w:t>
      </w:r>
      <w:r>
        <w:t>Stored.</w:t>
      </w:r>
    </w:p>
    <w:p w14:paraId="211FCB75" w14:textId="67CA8E76" w:rsidR="00430227" w:rsidRDefault="00430227" w:rsidP="00430227">
      <w:pPr>
        <w:pStyle w:val="NoSpacing"/>
        <w:numPr>
          <w:ilvl w:val="0"/>
          <w:numId w:val="34"/>
        </w:numPr>
        <w:jc w:val="both"/>
      </w:pPr>
      <w:r>
        <w:t>Review of well logs to understand reservoir properties and depth of the target formations in the subsurface.</w:t>
      </w:r>
    </w:p>
    <w:p w14:paraId="5BCD1880" w14:textId="60C82F6A" w:rsidR="00430227" w:rsidRDefault="00430227" w:rsidP="00430227">
      <w:pPr>
        <w:pStyle w:val="NoSpacing"/>
        <w:numPr>
          <w:ilvl w:val="0"/>
          <w:numId w:val="34"/>
        </w:numPr>
        <w:jc w:val="both"/>
      </w:pPr>
      <w:r>
        <w:t>Probabilistic capacity estimate, to complement the assessments included in the CO</w:t>
      </w:r>
      <w:r w:rsidRPr="00D110F2">
        <w:rPr>
          <w:vertAlign w:val="subscript"/>
        </w:rPr>
        <w:t>2</w:t>
      </w:r>
      <w:r>
        <w:t>Stored dataset.</w:t>
      </w:r>
    </w:p>
    <w:p w14:paraId="07929825" w14:textId="77777777" w:rsidR="00430227" w:rsidRDefault="00430227" w:rsidP="00042198"/>
    <w:p w14:paraId="1476A341" w14:textId="77777777" w:rsidR="00393515" w:rsidRDefault="00393515" w:rsidP="00393515">
      <w:pPr>
        <w:keepNext/>
        <w:jc w:val="center"/>
      </w:pPr>
      <w:r>
        <w:rPr>
          <w:bCs/>
          <w:iCs/>
          <w:noProof/>
          <w:lang w:eastAsia="en-GB"/>
        </w:rPr>
        <w:lastRenderedPageBreak/>
        <w:drawing>
          <wp:inline distT="0" distB="0" distL="0" distR="0" wp14:anchorId="0E9F27D2" wp14:editId="72457FE4">
            <wp:extent cx="5302250" cy="3664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_D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7271" cy="3674412"/>
                    </a:xfrm>
                    <a:prstGeom prst="rect">
                      <a:avLst/>
                    </a:prstGeom>
                  </pic:spPr>
                </pic:pic>
              </a:graphicData>
            </a:graphic>
          </wp:inline>
        </w:drawing>
      </w:r>
    </w:p>
    <w:p w14:paraId="2661BD12" w14:textId="61F94E1B" w:rsidR="00393515" w:rsidRDefault="00393515" w:rsidP="00393515">
      <w:pPr>
        <w:pStyle w:val="Caption"/>
        <w:rPr>
          <w:rStyle w:val="BookTitle"/>
          <w:rFonts w:ascii="Times New Roman" w:hAnsi="Times New Roman"/>
          <w:b w:val="0"/>
          <w:spacing w:val="0"/>
        </w:rPr>
      </w:pPr>
      <w:bookmarkStart w:id="5" w:name="_Ref37500511"/>
      <w:r>
        <w:t xml:space="preserve">Figure </w:t>
      </w:r>
      <w:fldSimple w:instr=" SEQ Figure \* ARABIC ">
        <w:r w:rsidR="00300235">
          <w:rPr>
            <w:noProof/>
          </w:rPr>
          <w:t>4</w:t>
        </w:r>
      </w:fldSimple>
      <w:bookmarkEnd w:id="5"/>
      <w:r>
        <w:t xml:space="preserve">: </w:t>
      </w:r>
      <w:r w:rsidRPr="00972203">
        <w:t xml:space="preserve">Location of the </w:t>
      </w:r>
      <w:r>
        <w:t xml:space="preserve">eight sites (A to F) considered in the </w:t>
      </w:r>
      <w:r w:rsidR="00EE7A2F">
        <w:t>due d</w:t>
      </w:r>
      <w:r w:rsidR="00DE6065">
        <w:t>iligence</w:t>
      </w:r>
      <w:r>
        <w:t xml:space="preserve"> stage. Their shapes were constrained according to a maximum distance of 15km to the three pipelines (orange dashed polygon) and the coverage of the PGS </w:t>
      </w:r>
      <w:proofErr w:type="spellStart"/>
      <w:r>
        <w:t>MegaMerge</w:t>
      </w:r>
      <w:proofErr w:type="spellEnd"/>
      <w:r>
        <w:t xml:space="preserve"> seismic dataset (light grey shaded area).</w:t>
      </w:r>
    </w:p>
    <w:p w14:paraId="5EA6DE97" w14:textId="5D867275" w:rsidR="006064CA" w:rsidRPr="00E3373D" w:rsidRDefault="00057835" w:rsidP="00E3373D">
      <w:pPr>
        <w:pStyle w:val="Heading3"/>
        <w:numPr>
          <w:ilvl w:val="2"/>
          <w:numId w:val="3"/>
        </w:numPr>
        <w:rPr>
          <w:rStyle w:val="BookTitle"/>
          <w:rFonts w:ascii="Times New Roman" w:hAnsi="Times New Roman"/>
          <w:b w:val="0"/>
          <w:spacing w:val="0"/>
        </w:rPr>
      </w:pPr>
      <w:r w:rsidRPr="00E3373D">
        <w:rPr>
          <w:rStyle w:val="BookTitle"/>
          <w:rFonts w:ascii="Times New Roman" w:hAnsi="Times New Roman"/>
          <w:b w:val="0"/>
          <w:spacing w:val="0"/>
        </w:rPr>
        <w:t>Site comparison</w:t>
      </w:r>
    </w:p>
    <w:p w14:paraId="024638A2" w14:textId="0C26D18E" w:rsidR="008219B5" w:rsidRDefault="00E02CE7" w:rsidP="003F0B22">
      <w:pPr>
        <w:rPr>
          <w:lang w:eastAsia="en-GB"/>
        </w:rPr>
      </w:pPr>
      <w:r>
        <w:t xml:space="preserve">A summary of the information collated during the </w:t>
      </w:r>
      <w:r w:rsidR="00496FA8">
        <w:t xml:space="preserve">due diligence assessment </w:t>
      </w:r>
      <w:r>
        <w:t>for each site was included in a</w:t>
      </w:r>
      <w:r w:rsidR="00710FD0">
        <w:t xml:space="preserve"> set of</w:t>
      </w:r>
      <w:r>
        <w:t xml:space="preserve"> poster</w:t>
      </w:r>
      <w:r w:rsidR="00710FD0">
        <w:t>s</w:t>
      </w:r>
      <w:r>
        <w:t xml:space="preserve"> that can be accessed via the ACT Acorn website </w:t>
      </w:r>
      <w:r>
        <w:fldChar w:fldCharType="begin" w:fldLock="1"/>
      </w:r>
      <w:r w:rsidR="00467ADF">
        <w:instrText>ADDIN CSL_CITATION {"citationItems":[{"id":"ITEM-1","itemData":{"URL":"https://actacorn.eu/sites/default/files/ACT Acorn Site Selection Posters 1.0_0.pdf","accessed":{"date-parts":[["2020","8","14"]]},"author":[{"dropping-particle":"","family":"ACT Acorn","given":"","non-dropping-particle":"","parse-names":false,"suffix":""}],"container-title":"10196ACTC Rep 08 01 - Site Selection Report","id":"ITEM-1","issued":{"date-parts":[["2018"]]},"page":"8","title":"Annex 3 Site Selection Posters","type":"webpage"},"uris":["http://www.mendeley.com/documents/?uuid=6b8739c1-4d7f-4cc6-aacf-2f9ad2758217","http://www.mendeley.com/documents/?uuid=aebfa036-4876-4e26-bdf5-1feebba68c6c"]}],"mendeley":{"formattedCitation":"(ACT Acorn, 2018b)","plainTextFormattedCitation":"(ACT Acorn, 2018b)","previouslyFormattedCitation":"(ACT Acorn, 2018b)"},"properties":{"noteIndex":0},"schema":"https://github.com/citation-style-language/schema/raw/master/csl-citation.json"}</w:instrText>
      </w:r>
      <w:r>
        <w:fldChar w:fldCharType="separate"/>
      </w:r>
      <w:r w:rsidR="002B78D5" w:rsidRPr="002B78D5">
        <w:rPr>
          <w:noProof/>
        </w:rPr>
        <w:t>(ACT Acorn, 2018b)</w:t>
      </w:r>
      <w:r>
        <w:fldChar w:fldCharType="end"/>
      </w:r>
      <w:r>
        <w:t>. This</w:t>
      </w:r>
      <w:r w:rsidR="00710FD0">
        <w:t xml:space="preserve"> format</w:t>
      </w:r>
      <w:r>
        <w:t xml:space="preserve"> enabled a better comparison of the properties of the different sites.</w:t>
      </w:r>
      <w:r w:rsidR="0090761A">
        <w:t xml:space="preserve"> </w:t>
      </w:r>
      <w:r>
        <w:t>All</w:t>
      </w:r>
      <w:r w:rsidR="00302F29">
        <w:t xml:space="preserve"> eight sites represent good</w:t>
      </w:r>
      <w:r w:rsidR="0090761A">
        <w:t xml:space="preserve"> candidates for becoming Site 2. However, </w:t>
      </w:r>
      <w:r w:rsidR="00996821">
        <w:t xml:space="preserve">during </w:t>
      </w:r>
      <w:r w:rsidR="00302F29">
        <w:t xml:space="preserve">the comparison, six of them were removed from further consideration </w:t>
      </w:r>
      <w:r w:rsidR="00F620F0">
        <w:t xml:space="preserve">due </w:t>
      </w:r>
      <w:r w:rsidR="00302F29">
        <w:t>to different considerations</w:t>
      </w:r>
      <w:r w:rsidR="00996821">
        <w:t xml:space="preserve"> (</w:t>
      </w:r>
      <w:r w:rsidR="003012D6">
        <w:t xml:space="preserve">Table </w:t>
      </w:r>
      <w:r w:rsidR="00E41AF9">
        <w:t>4</w:t>
      </w:r>
      <w:r w:rsidR="00996821">
        <w:t>)</w:t>
      </w:r>
      <w:r w:rsidR="00302F29">
        <w:t>.</w:t>
      </w:r>
      <w:r w:rsidR="0090761A">
        <w:t xml:space="preserve"> </w:t>
      </w:r>
      <w:r w:rsidR="008219B5">
        <w:rPr>
          <w:lang w:eastAsia="en-GB"/>
        </w:rPr>
        <w:t xml:space="preserve">Two remaining sites, </w:t>
      </w:r>
      <w:proofErr w:type="spellStart"/>
      <w:r w:rsidR="008219B5">
        <w:rPr>
          <w:lang w:eastAsia="en-GB"/>
        </w:rPr>
        <w:t>Heimdal</w:t>
      </w:r>
      <w:proofErr w:type="spellEnd"/>
      <w:r w:rsidR="008219B5">
        <w:rPr>
          <w:lang w:eastAsia="en-GB"/>
        </w:rPr>
        <w:t xml:space="preserve"> and East </w:t>
      </w:r>
      <w:proofErr w:type="spellStart"/>
      <w:r w:rsidR="008219B5">
        <w:rPr>
          <w:lang w:eastAsia="en-GB"/>
        </w:rPr>
        <w:t>Mey</w:t>
      </w:r>
      <w:proofErr w:type="spellEnd"/>
      <w:r w:rsidR="008219B5">
        <w:rPr>
          <w:lang w:eastAsia="en-GB"/>
        </w:rPr>
        <w:t xml:space="preserve">, were therefore </w:t>
      </w:r>
      <w:r w:rsidR="00F620F0">
        <w:rPr>
          <w:lang w:eastAsia="en-GB"/>
        </w:rPr>
        <w:t>left from which to</w:t>
      </w:r>
      <w:r w:rsidR="008219B5">
        <w:rPr>
          <w:lang w:eastAsia="en-GB"/>
        </w:rPr>
        <w:t xml:space="preserve"> select the best candidate </w:t>
      </w:r>
      <w:r w:rsidR="00F620F0">
        <w:rPr>
          <w:lang w:eastAsia="en-GB"/>
        </w:rPr>
        <w:t>for</w:t>
      </w:r>
      <w:r w:rsidR="008219B5">
        <w:rPr>
          <w:lang w:eastAsia="en-GB"/>
        </w:rPr>
        <w:t xml:space="preserve"> Site 2.</w:t>
      </w:r>
    </w:p>
    <w:p w14:paraId="01DFD70F" w14:textId="2CD2825B" w:rsidR="00DD7FB4" w:rsidRDefault="00DD7FB4" w:rsidP="00C116C5">
      <w:pPr>
        <w:pStyle w:val="Caption"/>
      </w:pPr>
    </w:p>
    <w:tbl>
      <w:tblPr>
        <w:tblStyle w:val="TableGrid"/>
        <w:tblW w:w="0" w:type="auto"/>
        <w:tblBorders>
          <w:left w:val="none" w:sz="0" w:space="0" w:color="auto"/>
          <w:right w:val="none" w:sz="0" w:space="0" w:color="auto"/>
        </w:tblBorders>
        <w:tblCellMar>
          <w:top w:w="113" w:type="dxa"/>
          <w:bottom w:w="113" w:type="dxa"/>
        </w:tblCellMar>
        <w:tblLook w:val="04A0" w:firstRow="1" w:lastRow="0" w:firstColumn="1" w:lastColumn="0" w:noHBand="0" w:noVBand="1"/>
      </w:tblPr>
      <w:tblGrid>
        <w:gridCol w:w="1598"/>
        <w:gridCol w:w="6482"/>
        <w:gridCol w:w="1399"/>
        <w:gridCol w:w="987"/>
      </w:tblGrid>
      <w:tr w:rsidR="00DD7FB4" w:rsidRPr="0090761A" w14:paraId="4AFF608F" w14:textId="77777777" w:rsidTr="00393515">
        <w:trPr>
          <w:cantSplit/>
          <w:trHeight w:val="444"/>
        </w:trPr>
        <w:tc>
          <w:tcPr>
            <w:tcW w:w="1598" w:type="dxa"/>
            <w:shd w:val="clear" w:color="auto" w:fill="F2F2F2" w:themeFill="background1" w:themeFillShade="F2"/>
            <w:vAlign w:val="center"/>
          </w:tcPr>
          <w:p w14:paraId="034A010B" w14:textId="77777777" w:rsidR="00DD7FB4" w:rsidRPr="0090761A" w:rsidRDefault="00DD7FB4" w:rsidP="001A27D1">
            <w:pPr>
              <w:pStyle w:val="NoSpacing"/>
              <w:jc w:val="center"/>
              <w:rPr>
                <w:b/>
                <w:sz w:val="18"/>
                <w:szCs w:val="18"/>
              </w:rPr>
            </w:pPr>
            <w:r w:rsidRPr="0090761A">
              <w:rPr>
                <w:b/>
                <w:sz w:val="18"/>
                <w:szCs w:val="18"/>
              </w:rPr>
              <w:t>Site name</w:t>
            </w:r>
          </w:p>
        </w:tc>
        <w:tc>
          <w:tcPr>
            <w:tcW w:w="6482" w:type="dxa"/>
            <w:shd w:val="clear" w:color="auto" w:fill="F2F2F2" w:themeFill="background1" w:themeFillShade="F2"/>
            <w:vAlign w:val="center"/>
          </w:tcPr>
          <w:p w14:paraId="4916A504" w14:textId="77777777" w:rsidR="00DD7FB4" w:rsidRPr="0090761A" w:rsidRDefault="00DD7FB4" w:rsidP="001A27D1">
            <w:pPr>
              <w:pStyle w:val="NoSpacing"/>
              <w:jc w:val="center"/>
              <w:rPr>
                <w:b/>
                <w:sz w:val="18"/>
                <w:szCs w:val="18"/>
              </w:rPr>
            </w:pPr>
            <w:r w:rsidRPr="0090761A">
              <w:rPr>
                <w:b/>
                <w:sz w:val="18"/>
                <w:szCs w:val="18"/>
              </w:rPr>
              <w:t>Issue detected</w:t>
            </w:r>
          </w:p>
        </w:tc>
        <w:tc>
          <w:tcPr>
            <w:tcW w:w="1399" w:type="dxa"/>
            <w:shd w:val="clear" w:color="auto" w:fill="F2F2F2" w:themeFill="background1" w:themeFillShade="F2"/>
            <w:vAlign w:val="center"/>
          </w:tcPr>
          <w:p w14:paraId="04C566C4" w14:textId="77777777" w:rsidR="00DD7FB4" w:rsidRPr="0090761A" w:rsidRDefault="00DD7FB4" w:rsidP="001A27D1">
            <w:pPr>
              <w:pStyle w:val="NoSpacing"/>
              <w:jc w:val="center"/>
              <w:rPr>
                <w:b/>
                <w:sz w:val="18"/>
                <w:szCs w:val="18"/>
              </w:rPr>
            </w:pPr>
            <w:r w:rsidRPr="0090761A">
              <w:rPr>
                <w:b/>
                <w:sz w:val="18"/>
                <w:szCs w:val="18"/>
              </w:rPr>
              <w:t>Recommended action</w:t>
            </w:r>
          </w:p>
        </w:tc>
        <w:tc>
          <w:tcPr>
            <w:tcW w:w="987" w:type="dxa"/>
            <w:shd w:val="clear" w:color="auto" w:fill="F2F2F2" w:themeFill="background1" w:themeFillShade="F2"/>
            <w:vAlign w:val="center"/>
          </w:tcPr>
          <w:p w14:paraId="240410A5" w14:textId="77777777" w:rsidR="00DD7FB4" w:rsidRPr="0090761A" w:rsidRDefault="00DD7FB4" w:rsidP="001A27D1">
            <w:pPr>
              <w:pStyle w:val="NoSpacing"/>
              <w:jc w:val="center"/>
              <w:rPr>
                <w:b/>
                <w:sz w:val="18"/>
                <w:szCs w:val="18"/>
              </w:rPr>
            </w:pPr>
            <w:r>
              <w:rPr>
                <w:b/>
                <w:sz w:val="18"/>
                <w:szCs w:val="18"/>
              </w:rPr>
              <w:t>Final decision</w:t>
            </w:r>
          </w:p>
        </w:tc>
      </w:tr>
      <w:tr w:rsidR="00DD7FB4" w:rsidRPr="0090761A" w14:paraId="49D4F82F" w14:textId="77777777" w:rsidTr="00393515">
        <w:trPr>
          <w:cantSplit/>
        </w:trPr>
        <w:tc>
          <w:tcPr>
            <w:tcW w:w="1598" w:type="dxa"/>
          </w:tcPr>
          <w:p w14:paraId="422826E4" w14:textId="77777777" w:rsidR="00DD7FB4" w:rsidRPr="0090761A" w:rsidRDefault="00DD7FB4" w:rsidP="001A27D1">
            <w:pPr>
              <w:pStyle w:val="NoSpacing"/>
              <w:rPr>
                <w:b/>
                <w:sz w:val="18"/>
                <w:szCs w:val="18"/>
              </w:rPr>
            </w:pPr>
            <w:r w:rsidRPr="0090761A">
              <w:rPr>
                <w:b/>
                <w:sz w:val="18"/>
                <w:szCs w:val="18"/>
              </w:rPr>
              <w:t>(A) North Brae Condensate Field</w:t>
            </w:r>
          </w:p>
        </w:tc>
        <w:tc>
          <w:tcPr>
            <w:tcW w:w="6482" w:type="dxa"/>
          </w:tcPr>
          <w:p w14:paraId="1968C39C" w14:textId="6D63C4C6" w:rsidR="00DD7FB4" w:rsidRPr="0090761A" w:rsidRDefault="00DD7FB4" w:rsidP="001A27D1">
            <w:pPr>
              <w:pStyle w:val="NoSpacing"/>
              <w:jc w:val="both"/>
              <w:rPr>
                <w:sz w:val="18"/>
                <w:szCs w:val="18"/>
                <w:lang w:eastAsia="en-GB"/>
              </w:rPr>
            </w:pPr>
            <w:r w:rsidRPr="0090761A">
              <w:rPr>
                <w:sz w:val="18"/>
                <w:szCs w:val="18"/>
                <w:lang w:eastAsia="en-GB"/>
              </w:rPr>
              <w:t>Significantly more expensive (2</w:t>
            </w:r>
            <w:r w:rsidR="00DE6065">
              <w:rPr>
                <w:sz w:val="18"/>
                <w:szCs w:val="18"/>
                <w:lang w:eastAsia="en-GB"/>
              </w:rPr>
              <w:t xml:space="preserve"> to </w:t>
            </w:r>
            <w:r w:rsidRPr="0090761A">
              <w:rPr>
                <w:sz w:val="18"/>
                <w:szCs w:val="18"/>
                <w:lang w:eastAsia="en-GB"/>
              </w:rPr>
              <w:t xml:space="preserve">3 times more) when compared to the rest of the sites, due to its greater depth, which increases the drilling costs. </w:t>
            </w:r>
            <w:r>
              <w:rPr>
                <w:sz w:val="18"/>
                <w:szCs w:val="18"/>
                <w:lang w:eastAsia="en-GB"/>
              </w:rPr>
              <w:t xml:space="preserve">It also contains </w:t>
            </w:r>
            <w:proofErr w:type="gramStart"/>
            <w:r w:rsidRPr="0090761A">
              <w:rPr>
                <w:sz w:val="18"/>
                <w:szCs w:val="18"/>
                <w:lang w:eastAsia="en-GB"/>
              </w:rPr>
              <w:t xml:space="preserve">a </w:t>
            </w:r>
            <w:r w:rsidR="00496FA8">
              <w:rPr>
                <w:sz w:val="18"/>
                <w:szCs w:val="18"/>
                <w:lang w:eastAsia="en-GB"/>
              </w:rPr>
              <w:t>large</w:t>
            </w:r>
            <w:r w:rsidR="00496FA8" w:rsidRPr="0090761A">
              <w:rPr>
                <w:sz w:val="18"/>
                <w:szCs w:val="18"/>
                <w:lang w:eastAsia="en-GB"/>
              </w:rPr>
              <w:t xml:space="preserve"> </w:t>
            </w:r>
            <w:r w:rsidRPr="0090761A">
              <w:rPr>
                <w:sz w:val="18"/>
                <w:szCs w:val="18"/>
                <w:lang w:eastAsia="en-GB"/>
              </w:rPr>
              <w:t>number of</w:t>
            </w:r>
            <w:proofErr w:type="gramEnd"/>
            <w:r w:rsidRPr="0090761A">
              <w:rPr>
                <w:sz w:val="18"/>
                <w:szCs w:val="18"/>
                <w:lang w:eastAsia="en-GB"/>
              </w:rPr>
              <w:t xml:space="preserve"> abandoned wells</w:t>
            </w:r>
            <w:r>
              <w:rPr>
                <w:sz w:val="18"/>
                <w:szCs w:val="18"/>
                <w:lang w:eastAsia="en-GB"/>
              </w:rPr>
              <w:t xml:space="preserve"> </w:t>
            </w:r>
            <w:r w:rsidRPr="0090761A">
              <w:rPr>
                <w:sz w:val="18"/>
                <w:szCs w:val="18"/>
                <w:lang w:eastAsia="en-GB"/>
              </w:rPr>
              <w:t xml:space="preserve">(34 wells), </w:t>
            </w:r>
            <w:r>
              <w:rPr>
                <w:sz w:val="18"/>
                <w:szCs w:val="18"/>
                <w:lang w:eastAsia="en-GB"/>
              </w:rPr>
              <w:t>resulting in</w:t>
            </w:r>
            <w:r w:rsidRPr="0090761A">
              <w:rPr>
                <w:sz w:val="18"/>
                <w:szCs w:val="18"/>
                <w:lang w:eastAsia="en-GB"/>
              </w:rPr>
              <w:t xml:space="preserve"> a </w:t>
            </w:r>
            <w:r>
              <w:rPr>
                <w:sz w:val="18"/>
                <w:szCs w:val="18"/>
                <w:lang w:eastAsia="en-GB"/>
              </w:rPr>
              <w:t xml:space="preserve">well </w:t>
            </w:r>
            <w:r w:rsidRPr="0090761A">
              <w:rPr>
                <w:sz w:val="18"/>
                <w:szCs w:val="18"/>
                <w:lang w:eastAsia="en-GB"/>
              </w:rPr>
              <w:t>density of 2.1</w:t>
            </w:r>
            <w:r>
              <w:rPr>
                <w:sz w:val="18"/>
                <w:szCs w:val="18"/>
                <w:lang w:eastAsia="en-GB"/>
              </w:rPr>
              <w:t xml:space="preserve"> </w:t>
            </w:r>
            <w:r w:rsidRPr="0090761A">
              <w:rPr>
                <w:sz w:val="18"/>
                <w:szCs w:val="18"/>
                <w:lang w:eastAsia="en-GB"/>
              </w:rPr>
              <w:t>wells/km</w:t>
            </w:r>
            <w:r w:rsidRPr="0090761A">
              <w:rPr>
                <w:sz w:val="18"/>
                <w:szCs w:val="18"/>
                <w:vertAlign w:val="superscript"/>
                <w:lang w:eastAsia="en-GB"/>
              </w:rPr>
              <w:t>2</w:t>
            </w:r>
            <w:r w:rsidRPr="0090761A">
              <w:rPr>
                <w:sz w:val="18"/>
                <w:szCs w:val="18"/>
                <w:lang w:eastAsia="en-GB"/>
              </w:rPr>
              <w:t>.</w:t>
            </w:r>
          </w:p>
        </w:tc>
        <w:tc>
          <w:tcPr>
            <w:tcW w:w="1399" w:type="dxa"/>
            <w:shd w:val="clear" w:color="auto" w:fill="FFB3B3"/>
          </w:tcPr>
          <w:p w14:paraId="6324F5C9" w14:textId="77777777" w:rsidR="00DD7FB4" w:rsidRPr="0090761A" w:rsidRDefault="00DD7FB4" w:rsidP="001A27D1">
            <w:pPr>
              <w:pStyle w:val="NoSpacing"/>
              <w:rPr>
                <w:sz w:val="18"/>
                <w:szCs w:val="18"/>
              </w:rPr>
            </w:pPr>
            <w:r>
              <w:rPr>
                <w:sz w:val="18"/>
                <w:szCs w:val="18"/>
              </w:rPr>
              <w:t>Hold</w:t>
            </w:r>
          </w:p>
        </w:tc>
        <w:tc>
          <w:tcPr>
            <w:tcW w:w="987" w:type="dxa"/>
            <w:shd w:val="clear" w:color="auto" w:fill="FFB3B3"/>
          </w:tcPr>
          <w:p w14:paraId="1BF6101D" w14:textId="77777777" w:rsidR="00DD7FB4" w:rsidRPr="0090761A" w:rsidRDefault="00DD7FB4" w:rsidP="001A27D1">
            <w:pPr>
              <w:pStyle w:val="NoSpacing"/>
              <w:rPr>
                <w:sz w:val="18"/>
                <w:szCs w:val="18"/>
              </w:rPr>
            </w:pPr>
            <w:r>
              <w:rPr>
                <w:b/>
                <w:sz w:val="18"/>
                <w:szCs w:val="18"/>
              </w:rPr>
              <w:t>Dismissed</w:t>
            </w:r>
          </w:p>
        </w:tc>
      </w:tr>
      <w:tr w:rsidR="00DD7FB4" w:rsidRPr="0090761A" w14:paraId="2C3A1C9B" w14:textId="77777777" w:rsidTr="00393515">
        <w:trPr>
          <w:cantSplit/>
        </w:trPr>
        <w:tc>
          <w:tcPr>
            <w:tcW w:w="1598" w:type="dxa"/>
          </w:tcPr>
          <w:p w14:paraId="0A420024" w14:textId="77777777" w:rsidR="00DD7FB4" w:rsidRPr="0090761A" w:rsidRDefault="00DD7FB4" w:rsidP="001A27D1">
            <w:pPr>
              <w:pStyle w:val="NoSpacing"/>
              <w:rPr>
                <w:b/>
                <w:sz w:val="18"/>
                <w:szCs w:val="18"/>
              </w:rPr>
            </w:pPr>
            <w:r w:rsidRPr="0090761A">
              <w:rPr>
                <w:b/>
                <w:sz w:val="18"/>
                <w:szCs w:val="18"/>
              </w:rPr>
              <w:t>(B1) East Grid</w:t>
            </w:r>
          </w:p>
        </w:tc>
        <w:tc>
          <w:tcPr>
            <w:tcW w:w="6482" w:type="dxa"/>
          </w:tcPr>
          <w:p w14:paraId="210C091F" w14:textId="77777777" w:rsidR="00DD7FB4" w:rsidRPr="0090761A" w:rsidRDefault="00DD7FB4" w:rsidP="001A27D1">
            <w:pPr>
              <w:pStyle w:val="NoSpacing"/>
              <w:jc w:val="both"/>
              <w:rPr>
                <w:sz w:val="18"/>
                <w:szCs w:val="18"/>
                <w:lang w:eastAsia="en-GB"/>
              </w:rPr>
            </w:pPr>
            <w:r>
              <w:rPr>
                <w:sz w:val="18"/>
                <w:szCs w:val="18"/>
                <w:lang w:eastAsia="en-GB"/>
              </w:rPr>
              <w:t>Lack of</w:t>
            </w:r>
            <w:r w:rsidRPr="0090761A">
              <w:rPr>
                <w:sz w:val="18"/>
                <w:szCs w:val="18"/>
                <w:lang w:eastAsia="en-GB"/>
              </w:rPr>
              <w:t xml:space="preserve"> s</w:t>
            </w:r>
            <w:r>
              <w:rPr>
                <w:sz w:val="18"/>
                <w:szCs w:val="18"/>
                <w:lang w:eastAsia="en-GB"/>
              </w:rPr>
              <w:t>econdary containment reservoirs</w:t>
            </w:r>
          </w:p>
        </w:tc>
        <w:tc>
          <w:tcPr>
            <w:tcW w:w="1399" w:type="dxa"/>
            <w:shd w:val="clear" w:color="auto" w:fill="FFB3B3"/>
          </w:tcPr>
          <w:p w14:paraId="65C6ABE6" w14:textId="77777777" w:rsidR="00DD7FB4" w:rsidRPr="0090761A" w:rsidRDefault="00DD7FB4" w:rsidP="001A27D1">
            <w:pPr>
              <w:pStyle w:val="NoSpacing"/>
              <w:rPr>
                <w:sz w:val="18"/>
                <w:szCs w:val="18"/>
              </w:rPr>
            </w:pPr>
            <w:r w:rsidRPr="00D46B6A">
              <w:rPr>
                <w:sz w:val="18"/>
                <w:szCs w:val="18"/>
              </w:rPr>
              <w:t>Hold</w:t>
            </w:r>
          </w:p>
        </w:tc>
        <w:tc>
          <w:tcPr>
            <w:tcW w:w="987" w:type="dxa"/>
            <w:shd w:val="clear" w:color="auto" w:fill="FFB3B3"/>
          </w:tcPr>
          <w:p w14:paraId="11BD74E4" w14:textId="77777777" w:rsidR="00DD7FB4" w:rsidRPr="0090761A" w:rsidRDefault="00DD7FB4" w:rsidP="001A27D1">
            <w:pPr>
              <w:pStyle w:val="NoSpacing"/>
              <w:rPr>
                <w:sz w:val="18"/>
                <w:szCs w:val="18"/>
              </w:rPr>
            </w:pPr>
            <w:r>
              <w:rPr>
                <w:b/>
                <w:sz w:val="18"/>
                <w:szCs w:val="18"/>
              </w:rPr>
              <w:t>Dismissed</w:t>
            </w:r>
          </w:p>
        </w:tc>
      </w:tr>
      <w:tr w:rsidR="00DD7FB4" w:rsidRPr="0090761A" w14:paraId="0BFB1B61" w14:textId="77777777" w:rsidTr="00393515">
        <w:trPr>
          <w:cantSplit/>
        </w:trPr>
        <w:tc>
          <w:tcPr>
            <w:tcW w:w="1598" w:type="dxa"/>
          </w:tcPr>
          <w:p w14:paraId="4C682E9D" w14:textId="77777777" w:rsidR="00DD7FB4" w:rsidRPr="0090761A" w:rsidRDefault="00DD7FB4" w:rsidP="001A27D1">
            <w:pPr>
              <w:pStyle w:val="NoSpacing"/>
              <w:rPr>
                <w:b/>
                <w:sz w:val="18"/>
                <w:szCs w:val="18"/>
              </w:rPr>
            </w:pPr>
            <w:r w:rsidRPr="0090761A">
              <w:rPr>
                <w:b/>
                <w:sz w:val="18"/>
                <w:szCs w:val="18"/>
              </w:rPr>
              <w:t>(B2) West Grid</w:t>
            </w:r>
          </w:p>
        </w:tc>
        <w:tc>
          <w:tcPr>
            <w:tcW w:w="6482" w:type="dxa"/>
          </w:tcPr>
          <w:p w14:paraId="53D121BD" w14:textId="190E1444" w:rsidR="00DD7FB4" w:rsidRPr="0090761A" w:rsidRDefault="00DD7FB4" w:rsidP="001A27D1">
            <w:pPr>
              <w:pStyle w:val="NoSpacing"/>
              <w:jc w:val="both"/>
              <w:rPr>
                <w:sz w:val="18"/>
                <w:szCs w:val="18"/>
              </w:rPr>
            </w:pPr>
            <w:r>
              <w:rPr>
                <w:sz w:val="18"/>
                <w:szCs w:val="18"/>
                <w:lang w:eastAsia="en-GB"/>
              </w:rPr>
              <w:t xml:space="preserve">Lack of </w:t>
            </w:r>
            <w:r w:rsidRPr="0090761A">
              <w:rPr>
                <w:sz w:val="18"/>
                <w:szCs w:val="18"/>
                <w:lang w:eastAsia="en-GB"/>
              </w:rPr>
              <w:t>s</w:t>
            </w:r>
            <w:r>
              <w:rPr>
                <w:sz w:val="18"/>
                <w:szCs w:val="18"/>
                <w:lang w:eastAsia="en-GB"/>
              </w:rPr>
              <w:t xml:space="preserve">econdary containment reservoirs. Presence of </w:t>
            </w:r>
            <w:r w:rsidR="00496FA8">
              <w:rPr>
                <w:sz w:val="18"/>
                <w:szCs w:val="18"/>
                <w:lang w:eastAsia="en-GB"/>
              </w:rPr>
              <w:t>sandstone</w:t>
            </w:r>
            <w:r w:rsidR="00DE6065">
              <w:rPr>
                <w:sz w:val="18"/>
                <w:szCs w:val="18"/>
                <w:lang w:eastAsia="en-GB"/>
              </w:rPr>
              <w:t xml:space="preserve"> </w:t>
            </w:r>
            <w:r w:rsidRPr="0090761A">
              <w:rPr>
                <w:sz w:val="18"/>
                <w:szCs w:val="18"/>
                <w:lang w:eastAsia="en-GB"/>
              </w:rPr>
              <w:t xml:space="preserve">injection features from rapid </w:t>
            </w:r>
            <w:r>
              <w:rPr>
                <w:sz w:val="18"/>
                <w:szCs w:val="18"/>
                <w:lang w:eastAsia="en-GB"/>
              </w:rPr>
              <w:t xml:space="preserve">compaction, </w:t>
            </w:r>
            <w:r w:rsidRPr="0090761A">
              <w:rPr>
                <w:sz w:val="18"/>
                <w:szCs w:val="18"/>
                <w:lang w:eastAsia="en-GB"/>
              </w:rPr>
              <w:t>creating both containment challenges and</w:t>
            </w:r>
            <w:r>
              <w:rPr>
                <w:sz w:val="18"/>
                <w:szCs w:val="18"/>
                <w:lang w:eastAsia="en-GB"/>
              </w:rPr>
              <w:t xml:space="preserve"> </w:t>
            </w:r>
            <w:r w:rsidRPr="0090761A">
              <w:rPr>
                <w:sz w:val="18"/>
                <w:szCs w:val="18"/>
                <w:lang w:eastAsia="en-GB"/>
              </w:rPr>
              <w:t>reservoir complexity.</w:t>
            </w:r>
          </w:p>
        </w:tc>
        <w:tc>
          <w:tcPr>
            <w:tcW w:w="1399" w:type="dxa"/>
            <w:shd w:val="clear" w:color="auto" w:fill="FFB3B3"/>
          </w:tcPr>
          <w:p w14:paraId="19082E4C" w14:textId="77777777" w:rsidR="00DD7FB4" w:rsidRPr="0090761A" w:rsidRDefault="00DD7FB4" w:rsidP="001A27D1">
            <w:pPr>
              <w:pStyle w:val="NoSpacing"/>
              <w:rPr>
                <w:sz w:val="18"/>
                <w:szCs w:val="18"/>
              </w:rPr>
            </w:pPr>
            <w:r w:rsidRPr="00D46B6A">
              <w:rPr>
                <w:sz w:val="18"/>
                <w:szCs w:val="18"/>
              </w:rPr>
              <w:t>Hold</w:t>
            </w:r>
          </w:p>
        </w:tc>
        <w:tc>
          <w:tcPr>
            <w:tcW w:w="987" w:type="dxa"/>
            <w:shd w:val="clear" w:color="auto" w:fill="FFB3B3"/>
          </w:tcPr>
          <w:p w14:paraId="69E4DCE5" w14:textId="77777777" w:rsidR="00DD7FB4" w:rsidRPr="0090761A" w:rsidRDefault="00DD7FB4" w:rsidP="001A27D1">
            <w:pPr>
              <w:pStyle w:val="NoSpacing"/>
              <w:rPr>
                <w:sz w:val="18"/>
                <w:szCs w:val="18"/>
              </w:rPr>
            </w:pPr>
            <w:r>
              <w:rPr>
                <w:b/>
                <w:sz w:val="18"/>
                <w:szCs w:val="18"/>
              </w:rPr>
              <w:t>Dismissed</w:t>
            </w:r>
          </w:p>
        </w:tc>
      </w:tr>
      <w:tr w:rsidR="00DD7FB4" w:rsidRPr="0090761A" w14:paraId="705B0FB9" w14:textId="77777777" w:rsidTr="00393515">
        <w:trPr>
          <w:cantSplit/>
        </w:trPr>
        <w:tc>
          <w:tcPr>
            <w:tcW w:w="1598" w:type="dxa"/>
          </w:tcPr>
          <w:p w14:paraId="3B561814" w14:textId="77777777" w:rsidR="00DD7FB4" w:rsidRPr="0090761A" w:rsidRDefault="00DD7FB4" w:rsidP="001A27D1">
            <w:pPr>
              <w:pStyle w:val="NoSpacing"/>
              <w:rPr>
                <w:b/>
                <w:sz w:val="18"/>
                <w:szCs w:val="18"/>
              </w:rPr>
            </w:pPr>
            <w:r w:rsidRPr="0090761A">
              <w:rPr>
                <w:b/>
                <w:sz w:val="18"/>
                <w:szCs w:val="18"/>
              </w:rPr>
              <w:t xml:space="preserve">(C) </w:t>
            </w:r>
            <w:proofErr w:type="spellStart"/>
            <w:r w:rsidRPr="0090761A">
              <w:rPr>
                <w:b/>
                <w:sz w:val="18"/>
                <w:szCs w:val="18"/>
              </w:rPr>
              <w:t>Heimdal</w:t>
            </w:r>
            <w:proofErr w:type="spellEnd"/>
          </w:p>
        </w:tc>
        <w:tc>
          <w:tcPr>
            <w:tcW w:w="6482" w:type="dxa"/>
          </w:tcPr>
          <w:p w14:paraId="70E687D0" w14:textId="77777777" w:rsidR="00DD7FB4" w:rsidRPr="0090761A" w:rsidRDefault="00DD7FB4" w:rsidP="001A27D1">
            <w:pPr>
              <w:pStyle w:val="NoSpacing"/>
              <w:jc w:val="both"/>
              <w:rPr>
                <w:sz w:val="18"/>
                <w:szCs w:val="18"/>
              </w:rPr>
            </w:pPr>
            <w:r w:rsidRPr="0090761A">
              <w:rPr>
                <w:sz w:val="18"/>
                <w:szCs w:val="18"/>
              </w:rPr>
              <w:t xml:space="preserve">No </w:t>
            </w:r>
            <w:proofErr w:type="gramStart"/>
            <w:r w:rsidRPr="0090761A">
              <w:rPr>
                <w:sz w:val="18"/>
                <w:szCs w:val="18"/>
              </w:rPr>
              <w:t>particular issues</w:t>
            </w:r>
            <w:proofErr w:type="gramEnd"/>
            <w:r w:rsidRPr="0090761A">
              <w:rPr>
                <w:sz w:val="18"/>
                <w:szCs w:val="18"/>
              </w:rPr>
              <w:t xml:space="preserve"> detected</w:t>
            </w:r>
          </w:p>
        </w:tc>
        <w:tc>
          <w:tcPr>
            <w:tcW w:w="1399" w:type="dxa"/>
            <w:shd w:val="clear" w:color="auto" w:fill="B3FFC5"/>
          </w:tcPr>
          <w:p w14:paraId="56F51A84" w14:textId="276E89D6" w:rsidR="00DD7FB4" w:rsidRPr="00347AD6" w:rsidRDefault="00310F51" w:rsidP="00310F51">
            <w:pPr>
              <w:pStyle w:val="NoSpacing"/>
              <w:rPr>
                <w:b/>
                <w:sz w:val="18"/>
                <w:szCs w:val="18"/>
              </w:rPr>
            </w:pPr>
            <w:r>
              <w:rPr>
                <w:b/>
                <w:sz w:val="18"/>
                <w:szCs w:val="18"/>
              </w:rPr>
              <w:t>F</w:t>
            </w:r>
            <w:r w:rsidR="00DD7FB4">
              <w:rPr>
                <w:b/>
                <w:sz w:val="18"/>
                <w:szCs w:val="18"/>
              </w:rPr>
              <w:t>ace-to-face comparison</w:t>
            </w:r>
          </w:p>
        </w:tc>
        <w:tc>
          <w:tcPr>
            <w:tcW w:w="987" w:type="dxa"/>
            <w:shd w:val="clear" w:color="auto" w:fill="FFB3B3"/>
          </w:tcPr>
          <w:p w14:paraId="14071FC9" w14:textId="77777777" w:rsidR="00DD7FB4" w:rsidRPr="00347AD6" w:rsidRDefault="00DD7FB4" w:rsidP="001A27D1">
            <w:pPr>
              <w:pStyle w:val="NoSpacing"/>
              <w:rPr>
                <w:b/>
                <w:sz w:val="18"/>
                <w:szCs w:val="18"/>
              </w:rPr>
            </w:pPr>
            <w:r>
              <w:rPr>
                <w:b/>
                <w:sz w:val="18"/>
                <w:szCs w:val="18"/>
              </w:rPr>
              <w:t>Dismissed</w:t>
            </w:r>
          </w:p>
        </w:tc>
      </w:tr>
      <w:tr w:rsidR="00DD7FB4" w:rsidRPr="0090761A" w14:paraId="4B9AB9E0" w14:textId="77777777" w:rsidTr="00393515">
        <w:trPr>
          <w:cantSplit/>
        </w:trPr>
        <w:tc>
          <w:tcPr>
            <w:tcW w:w="1598" w:type="dxa"/>
          </w:tcPr>
          <w:p w14:paraId="707724C4" w14:textId="77777777" w:rsidR="00DD7FB4" w:rsidRPr="0090761A" w:rsidRDefault="00DD7FB4" w:rsidP="001A27D1">
            <w:pPr>
              <w:pStyle w:val="NoSpacing"/>
              <w:rPr>
                <w:b/>
                <w:sz w:val="18"/>
                <w:szCs w:val="18"/>
              </w:rPr>
            </w:pPr>
            <w:r w:rsidRPr="0090761A">
              <w:rPr>
                <w:b/>
                <w:sz w:val="18"/>
                <w:szCs w:val="18"/>
              </w:rPr>
              <w:t xml:space="preserve">(D1) West </w:t>
            </w:r>
            <w:proofErr w:type="spellStart"/>
            <w:r w:rsidRPr="0090761A">
              <w:rPr>
                <w:b/>
                <w:sz w:val="18"/>
                <w:szCs w:val="18"/>
              </w:rPr>
              <w:t>Mey</w:t>
            </w:r>
            <w:proofErr w:type="spellEnd"/>
          </w:p>
        </w:tc>
        <w:tc>
          <w:tcPr>
            <w:tcW w:w="6482" w:type="dxa"/>
          </w:tcPr>
          <w:p w14:paraId="25CA5716" w14:textId="0648C4E7" w:rsidR="00DD7FB4" w:rsidRPr="0090761A" w:rsidRDefault="00604441" w:rsidP="001A27D1">
            <w:pPr>
              <w:pStyle w:val="NoSpacing"/>
              <w:jc w:val="both"/>
              <w:rPr>
                <w:b/>
                <w:bCs/>
                <w:iCs/>
                <w:sz w:val="18"/>
                <w:szCs w:val="18"/>
              </w:rPr>
            </w:pPr>
            <w:r>
              <w:rPr>
                <w:sz w:val="18"/>
                <w:szCs w:val="18"/>
                <w:lang w:eastAsia="en-GB"/>
              </w:rPr>
              <w:t>At the western part</w:t>
            </w:r>
            <w:r w:rsidR="00496FA8">
              <w:rPr>
                <w:sz w:val="18"/>
                <w:szCs w:val="18"/>
                <w:lang w:eastAsia="en-GB"/>
              </w:rPr>
              <w:t xml:space="preserve">, the </w:t>
            </w:r>
            <w:proofErr w:type="spellStart"/>
            <w:r>
              <w:rPr>
                <w:sz w:val="18"/>
                <w:szCs w:val="18"/>
                <w:lang w:eastAsia="en-GB"/>
              </w:rPr>
              <w:t>Mey</w:t>
            </w:r>
            <w:proofErr w:type="spellEnd"/>
            <w:r>
              <w:rPr>
                <w:sz w:val="18"/>
                <w:szCs w:val="18"/>
                <w:lang w:eastAsia="en-GB"/>
              </w:rPr>
              <w:t xml:space="preserve"> Sandstone </w:t>
            </w:r>
            <w:r w:rsidR="00496FA8">
              <w:rPr>
                <w:sz w:val="18"/>
                <w:szCs w:val="18"/>
                <w:lang w:eastAsia="en-GB"/>
              </w:rPr>
              <w:t>unit</w:t>
            </w:r>
            <w:r w:rsidR="00DD7FB4" w:rsidRPr="0090761A">
              <w:rPr>
                <w:sz w:val="18"/>
                <w:szCs w:val="18"/>
                <w:lang w:eastAsia="en-GB"/>
              </w:rPr>
              <w:t xml:space="preserve"> </w:t>
            </w:r>
            <w:proofErr w:type="spellStart"/>
            <w:r w:rsidR="00DD7FB4" w:rsidRPr="0090761A">
              <w:rPr>
                <w:sz w:val="18"/>
                <w:szCs w:val="18"/>
                <w:lang w:eastAsia="en-GB"/>
              </w:rPr>
              <w:t>subcrops</w:t>
            </w:r>
            <w:proofErr w:type="spellEnd"/>
            <w:r w:rsidR="00DD7FB4" w:rsidRPr="0090761A">
              <w:rPr>
                <w:sz w:val="18"/>
                <w:szCs w:val="18"/>
                <w:lang w:eastAsia="en-GB"/>
              </w:rPr>
              <w:t xml:space="preserve"> </w:t>
            </w:r>
            <w:r w:rsidR="00496FA8">
              <w:rPr>
                <w:sz w:val="18"/>
                <w:szCs w:val="18"/>
                <w:lang w:eastAsia="en-GB"/>
              </w:rPr>
              <w:t>below</w:t>
            </w:r>
            <w:r w:rsidR="00496FA8" w:rsidRPr="0090761A">
              <w:rPr>
                <w:sz w:val="18"/>
                <w:szCs w:val="18"/>
                <w:lang w:eastAsia="en-GB"/>
              </w:rPr>
              <w:t xml:space="preserve"> </w:t>
            </w:r>
            <w:r w:rsidR="00DD7FB4" w:rsidRPr="0090761A">
              <w:rPr>
                <w:sz w:val="18"/>
                <w:szCs w:val="18"/>
                <w:lang w:eastAsia="en-GB"/>
              </w:rPr>
              <w:t>shallow</w:t>
            </w:r>
            <w:r w:rsidR="00DD7FB4">
              <w:rPr>
                <w:sz w:val="18"/>
                <w:szCs w:val="18"/>
                <w:lang w:eastAsia="en-GB"/>
              </w:rPr>
              <w:t xml:space="preserve"> </w:t>
            </w:r>
            <w:r w:rsidR="00DD7FB4" w:rsidRPr="0090761A">
              <w:rPr>
                <w:sz w:val="18"/>
                <w:szCs w:val="18"/>
                <w:lang w:eastAsia="en-GB"/>
              </w:rPr>
              <w:t xml:space="preserve">sediments close to the seabed, which </w:t>
            </w:r>
            <w:r w:rsidR="00842611">
              <w:rPr>
                <w:sz w:val="18"/>
                <w:szCs w:val="18"/>
                <w:lang w:eastAsia="en-GB"/>
              </w:rPr>
              <w:t xml:space="preserve">may </w:t>
            </w:r>
            <w:r w:rsidR="00DD7FB4">
              <w:rPr>
                <w:sz w:val="18"/>
                <w:szCs w:val="18"/>
                <w:lang w:eastAsia="en-GB"/>
              </w:rPr>
              <w:t>be a potential containment risk</w:t>
            </w:r>
          </w:p>
        </w:tc>
        <w:tc>
          <w:tcPr>
            <w:tcW w:w="1399" w:type="dxa"/>
            <w:shd w:val="clear" w:color="auto" w:fill="FFB3B3"/>
          </w:tcPr>
          <w:p w14:paraId="5E7B9F69" w14:textId="77777777" w:rsidR="00DD7FB4" w:rsidRPr="0090761A" w:rsidRDefault="00DD7FB4" w:rsidP="001A27D1">
            <w:pPr>
              <w:pStyle w:val="NoSpacing"/>
              <w:rPr>
                <w:sz w:val="18"/>
                <w:szCs w:val="18"/>
              </w:rPr>
            </w:pPr>
            <w:r>
              <w:rPr>
                <w:sz w:val="18"/>
                <w:szCs w:val="18"/>
              </w:rPr>
              <w:t>Hold</w:t>
            </w:r>
          </w:p>
        </w:tc>
        <w:tc>
          <w:tcPr>
            <w:tcW w:w="987" w:type="dxa"/>
            <w:shd w:val="clear" w:color="auto" w:fill="FFB3B3"/>
          </w:tcPr>
          <w:p w14:paraId="479F76BB" w14:textId="77777777" w:rsidR="00DD7FB4" w:rsidRPr="0090761A" w:rsidRDefault="00DD7FB4" w:rsidP="001A27D1">
            <w:pPr>
              <w:pStyle w:val="NoSpacing"/>
              <w:rPr>
                <w:sz w:val="18"/>
                <w:szCs w:val="18"/>
              </w:rPr>
            </w:pPr>
            <w:r>
              <w:rPr>
                <w:b/>
                <w:sz w:val="18"/>
                <w:szCs w:val="18"/>
              </w:rPr>
              <w:t>Dismissed</w:t>
            </w:r>
          </w:p>
        </w:tc>
      </w:tr>
      <w:tr w:rsidR="00DD7FB4" w:rsidRPr="0090761A" w14:paraId="0CC9762E" w14:textId="77777777" w:rsidTr="00393515">
        <w:trPr>
          <w:cantSplit/>
        </w:trPr>
        <w:tc>
          <w:tcPr>
            <w:tcW w:w="1598" w:type="dxa"/>
          </w:tcPr>
          <w:p w14:paraId="09D9AD55" w14:textId="77777777" w:rsidR="00DD7FB4" w:rsidRPr="0090761A" w:rsidRDefault="00DD7FB4" w:rsidP="001A27D1">
            <w:pPr>
              <w:pStyle w:val="NoSpacing"/>
              <w:rPr>
                <w:b/>
                <w:sz w:val="18"/>
                <w:szCs w:val="18"/>
              </w:rPr>
            </w:pPr>
            <w:r w:rsidRPr="0090761A">
              <w:rPr>
                <w:b/>
                <w:sz w:val="18"/>
                <w:szCs w:val="18"/>
              </w:rPr>
              <w:t xml:space="preserve">(D2) East </w:t>
            </w:r>
            <w:proofErr w:type="spellStart"/>
            <w:r w:rsidRPr="0090761A">
              <w:rPr>
                <w:b/>
                <w:sz w:val="18"/>
                <w:szCs w:val="18"/>
              </w:rPr>
              <w:t>Mey</w:t>
            </w:r>
            <w:proofErr w:type="spellEnd"/>
          </w:p>
        </w:tc>
        <w:tc>
          <w:tcPr>
            <w:tcW w:w="6482" w:type="dxa"/>
          </w:tcPr>
          <w:p w14:paraId="7EDB3904" w14:textId="77777777" w:rsidR="00DD7FB4" w:rsidRPr="0090761A" w:rsidRDefault="00DD7FB4" w:rsidP="001A27D1">
            <w:pPr>
              <w:pStyle w:val="NoSpacing"/>
              <w:jc w:val="both"/>
              <w:rPr>
                <w:sz w:val="18"/>
                <w:szCs w:val="18"/>
              </w:rPr>
            </w:pPr>
            <w:r w:rsidRPr="0090761A">
              <w:rPr>
                <w:sz w:val="18"/>
                <w:szCs w:val="18"/>
              </w:rPr>
              <w:t xml:space="preserve">No </w:t>
            </w:r>
            <w:proofErr w:type="gramStart"/>
            <w:r w:rsidRPr="0090761A">
              <w:rPr>
                <w:sz w:val="18"/>
                <w:szCs w:val="18"/>
              </w:rPr>
              <w:t>particular issues</w:t>
            </w:r>
            <w:proofErr w:type="gramEnd"/>
            <w:r w:rsidRPr="0090761A">
              <w:rPr>
                <w:sz w:val="18"/>
                <w:szCs w:val="18"/>
              </w:rPr>
              <w:t xml:space="preserve"> detected</w:t>
            </w:r>
          </w:p>
        </w:tc>
        <w:tc>
          <w:tcPr>
            <w:tcW w:w="1399" w:type="dxa"/>
            <w:shd w:val="clear" w:color="auto" w:fill="B3FFC5"/>
          </w:tcPr>
          <w:p w14:paraId="3B2755ED" w14:textId="2BC20E2F" w:rsidR="00DD7FB4" w:rsidRPr="00347AD6" w:rsidRDefault="00310F51" w:rsidP="001A27D1">
            <w:pPr>
              <w:pStyle w:val="NoSpacing"/>
              <w:rPr>
                <w:b/>
                <w:sz w:val="18"/>
                <w:szCs w:val="18"/>
              </w:rPr>
            </w:pPr>
            <w:r>
              <w:rPr>
                <w:b/>
                <w:sz w:val="18"/>
                <w:szCs w:val="18"/>
              </w:rPr>
              <w:t>F</w:t>
            </w:r>
            <w:r w:rsidR="00DD7FB4">
              <w:rPr>
                <w:b/>
                <w:sz w:val="18"/>
                <w:szCs w:val="18"/>
              </w:rPr>
              <w:t>ace-to-face comparison</w:t>
            </w:r>
          </w:p>
        </w:tc>
        <w:tc>
          <w:tcPr>
            <w:tcW w:w="987" w:type="dxa"/>
            <w:shd w:val="clear" w:color="auto" w:fill="B3FFC5"/>
          </w:tcPr>
          <w:p w14:paraId="6F182828" w14:textId="77777777" w:rsidR="00DD7FB4" w:rsidRPr="00347AD6" w:rsidRDefault="00DD7FB4" w:rsidP="001A27D1">
            <w:pPr>
              <w:pStyle w:val="NoSpacing"/>
              <w:rPr>
                <w:b/>
                <w:sz w:val="18"/>
                <w:szCs w:val="18"/>
              </w:rPr>
            </w:pPr>
            <w:r>
              <w:rPr>
                <w:b/>
                <w:sz w:val="18"/>
                <w:szCs w:val="18"/>
              </w:rPr>
              <w:t>Site selected</w:t>
            </w:r>
          </w:p>
        </w:tc>
      </w:tr>
      <w:tr w:rsidR="00DD7FB4" w:rsidRPr="0090761A" w14:paraId="0FA1AD78" w14:textId="77777777" w:rsidTr="00393515">
        <w:trPr>
          <w:cantSplit/>
        </w:trPr>
        <w:tc>
          <w:tcPr>
            <w:tcW w:w="1598" w:type="dxa"/>
            <w:tcBorders>
              <w:bottom w:val="single" w:sz="4" w:space="0" w:color="auto"/>
            </w:tcBorders>
          </w:tcPr>
          <w:p w14:paraId="27C768B4" w14:textId="77777777" w:rsidR="00DD7FB4" w:rsidRPr="0090761A" w:rsidRDefault="00DD7FB4" w:rsidP="001A27D1">
            <w:pPr>
              <w:pStyle w:val="NoSpacing"/>
              <w:rPr>
                <w:b/>
                <w:sz w:val="18"/>
                <w:szCs w:val="18"/>
              </w:rPr>
            </w:pPr>
            <w:r w:rsidRPr="0090761A">
              <w:rPr>
                <w:b/>
                <w:sz w:val="18"/>
                <w:szCs w:val="18"/>
              </w:rPr>
              <w:t>(E) Dornoch</w:t>
            </w:r>
          </w:p>
        </w:tc>
        <w:tc>
          <w:tcPr>
            <w:tcW w:w="6482" w:type="dxa"/>
            <w:tcBorders>
              <w:bottom w:val="single" w:sz="4" w:space="0" w:color="auto"/>
            </w:tcBorders>
          </w:tcPr>
          <w:p w14:paraId="28087864" w14:textId="2314FB47" w:rsidR="00DD7FB4" w:rsidRPr="0090761A" w:rsidRDefault="00DD7FB4" w:rsidP="001A27D1">
            <w:pPr>
              <w:pStyle w:val="NoSpacing"/>
              <w:jc w:val="both"/>
              <w:rPr>
                <w:sz w:val="18"/>
                <w:szCs w:val="18"/>
              </w:rPr>
            </w:pPr>
            <w:r>
              <w:rPr>
                <w:sz w:val="18"/>
                <w:szCs w:val="18"/>
                <w:lang w:eastAsia="en-GB"/>
              </w:rPr>
              <w:t>Lack of</w:t>
            </w:r>
            <w:r w:rsidRPr="0090761A">
              <w:rPr>
                <w:sz w:val="18"/>
                <w:szCs w:val="18"/>
                <w:lang w:eastAsia="en-GB"/>
              </w:rPr>
              <w:t xml:space="preserve"> s</w:t>
            </w:r>
            <w:r>
              <w:rPr>
                <w:sz w:val="18"/>
                <w:szCs w:val="18"/>
                <w:lang w:eastAsia="en-GB"/>
              </w:rPr>
              <w:t>econdary containment reservoirs. U</w:t>
            </w:r>
            <w:r w:rsidR="00842611">
              <w:rPr>
                <w:sz w:val="18"/>
                <w:szCs w:val="18"/>
                <w:lang w:eastAsia="en-GB"/>
              </w:rPr>
              <w:t>n</w:t>
            </w:r>
            <w:r>
              <w:rPr>
                <w:sz w:val="18"/>
                <w:szCs w:val="18"/>
                <w:lang w:eastAsia="en-GB"/>
              </w:rPr>
              <w:t xml:space="preserve">certainty in the </w:t>
            </w:r>
            <w:r w:rsidRPr="0090761A">
              <w:rPr>
                <w:sz w:val="18"/>
                <w:szCs w:val="18"/>
                <w:lang w:eastAsia="en-GB"/>
              </w:rPr>
              <w:t>hydraulic reservoir architecture due to a large shale</w:t>
            </w:r>
            <w:r>
              <w:rPr>
                <w:sz w:val="18"/>
                <w:szCs w:val="18"/>
                <w:lang w:eastAsia="en-GB"/>
              </w:rPr>
              <w:t xml:space="preserve"> </w:t>
            </w:r>
            <w:r w:rsidRPr="0090761A">
              <w:rPr>
                <w:sz w:val="18"/>
                <w:szCs w:val="18"/>
                <w:lang w:eastAsia="en-GB"/>
              </w:rPr>
              <w:t>separating upper and lower sands</w:t>
            </w:r>
            <w:r>
              <w:rPr>
                <w:sz w:val="18"/>
                <w:szCs w:val="18"/>
                <w:lang w:eastAsia="en-GB"/>
              </w:rPr>
              <w:t>, which might be the reason for the lack of oil fields in the Dornoch Formation</w:t>
            </w:r>
          </w:p>
        </w:tc>
        <w:tc>
          <w:tcPr>
            <w:tcW w:w="1399" w:type="dxa"/>
            <w:tcBorders>
              <w:bottom w:val="single" w:sz="4" w:space="0" w:color="auto"/>
            </w:tcBorders>
            <w:shd w:val="clear" w:color="auto" w:fill="FFB3B3"/>
          </w:tcPr>
          <w:p w14:paraId="67FF543D" w14:textId="77777777" w:rsidR="00DD7FB4" w:rsidRPr="0090761A" w:rsidRDefault="00DD7FB4" w:rsidP="001A27D1">
            <w:pPr>
              <w:pStyle w:val="NoSpacing"/>
              <w:rPr>
                <w:sz w:val="18"/>
                <w:szCs w:val="18"/>
              </w:rPr>
            </w:pPr>
            <w:r w:rsidRPr="00430CF4">
              <w:rPr>
                <w:sz w:val="18"/>
                <w:szCs w:val="18"/>
              </w:rPr>
              <w:t>Hold</w:t>
            </w:r>
          </w:p>
        </w:tc>
        <w:tc>
          <w:tcPr>
            <w:tcW w:w="987" w:type="dxa"/>
            <w:tcBorders>
              <w:bottom w:val="single" w:sz="4" w:space="0" w:color="auto"/>
            </w:tcBorders>
            <w:shd w:val="clear" w:color="auto" w:fill="FFB3B3"/>
          </w:tcPr>
          <w:p w14:paraId="494FA60A" w14:textId="77777777" w:rsidR="00DD7FB4" w:rsidRPr="0090761A" w:rsidRDefault="00DD7FB4" w:rsidP="001A27D1">
            <w:pPr>
              <w:pStyle w:val="NoSpacing"/>
              <w:rPr>
                <w:sz w:val="18"/>
                <w:szCs w:val="18"/>
              </w:rPr>
            </w:pPr>
            <w:r>
              <w:rPr>
                <w:b/>
                <w:sz w:val="18"/>
                <w:szCs w:val="18"/>
              </w:rPr>
              <w:t>Dismissed</w:t>
            </w:r>
          </w:p>
        </w:tc>
      </w:tr>
      <w:tr w:rsidR="00DD7FB4" w:rsidRPr="00996821" w14:paraId="3A33C48A" w14:textId="77777777" w:rsidTr="00393515">
        <w:trPr>
          <w:cantSplit/>
        </w:trPr>
        <w:tc>
          <w:tcPr>
            <w:tcW w:w="1598" w:type="dxa"/>
            <w:tcBorders>
              <w:bottom w:val="nil"/>
            </w:tcBorders>
          </w:tcPr>
          <w:p w14:paraId="48889448" w14:textId="77777777" w:rsidR="00DD7FB4" w:rsidRPr="0090761A" w:rsidRDefault="00DD7FB4" w:rsidP="001A27D1">
            <w:pPr>
              <w:pStyle w:val="NoSpacing"/>
              <w:rPr>
                <w:b/>
                <w:sz w:val="18"/>
                <w:szCs w:val="18"/>
              </w:rPr>
            </w:pPr>
            <w:r w:rsidRPr="0090761A">
              <w:rPr>
                <w:b/>
                <w:sz w:val="18"/>
                <w:szCs w:val="18"/>
              </w:rPr>
              <w:t>(F) Piper Oil Field</w:t>
            </w:r>
          </w:p>
        </w:tc>
        <w:tc>
          <w:tcPr>
            <w:tcW w:w="6482" w:type="dxa"/>
            <w:tcBorders>
              <w:bottom w:val="nil"/>
            </w:tcBorders>
          </w:tcPr>
          <w:p w14:paraId="3AAD7722" w14:textId="77777777" w:rsidR="00DD7FB4" w:rsidRPr="0090761A" w:rsidRDefault="00DD7FB4" w:rsidP="001A27D1">
            <w:pPr>
              <w:pStyle w:val="NoSpacing"/>
              <w:jc w:val="both"/>
              <w:rPr>
                <w:sz w:val="18"/>
                <w:szCs w:val="18"/>
              </w:rPr>
            </w:pPr>
            <w:r>
              <w:rPr>
                <w:sz w:val="18"/>
                <w:szCs w:val="18"/>
                <w:lang w:eastAsia="en-GB"/>
              </w:rPr>
              <w:t>L</w:t>
            </w:r>
            <w:r w:rsidRPr="0090761A">
              <w:rPr>
                <w:sz w:val="18"/>
                <w:szCs w:val="18"/>
                <w:lang w:eastAsia="en-GB"/>
              </w:rPr>
              <w:t>arge uncertainty around the status of</w:t>
            </w:r>
            <w:r>
              <w:rPr>
                <w:sz w:val="18"/>
                <w:szCs w:val="18"/>
                <w:lang w:eastAsia="en-GB"/>
              </w:rPr>
              <w:t xml:space="preserve"> the more than </w:t>
            </w:r>
            <w:r w:rsidRPr="0090761A">
              <w:rPr>
                <w:sz w:val="18"/>
                <w:szCs w:val="18"/>
                <w:lang w:eastAsia="en-GB"/>
              </w:rPr>
              <w:t>40</w:t>
            </w:r>
            <w:r>
              <w:rPr>
                <w:sz w:val="18"/>
                <w:szCs w:val="18"/>
                <w:lang w:eastAsia="en-GB"/>
              </w:rPr>
              <w:t xml:space="preserve"> </w:t>
            </w:r>
            <w:r w:rsidRPr="0090761A">
              <w:rPr>
                <w:sz w:val="18"/>
                <w:szCs w:val="18"/>
                <w:lang w:eastAsia="en-GB"/>
              </w:rPr>
              <w:t>abandoned wells, foll</w:t>
            </w:r>
            <w:r>
              <w:rPr>
                <w:sz w:val="18"/>
                <w:szCs w:val="18"/>
                <w:lang w:eastAsia="en-GB"/>
              </w:rPr>
              <w:t>owing the Piper Alpha disaster.</w:t>
            </w:r>
          </w:p>
        </w:tc>
        <w:tc>
          <w:tcPr>
            <w:tcW w:w="1399" w:type="dxa"/>
            <w:tcBorders>
              <w:bottom w:val="nil"/>
            </w:tcBorders>
            <w:shd w:val="clear" w:color="auto" w:fill="FFB3B3"/>
          </w:tcPr>
          <w:p w14:paraId="2BC01930" w14:textId="77777777" w:rsidR="00DD7FB4" w:rsidRPr="00996821" w:rsidRDefault="00DD7FB4" w:rsidP="001A27D1">
            <w:pPr>
              <w:pStyle w:val="NoSpacing"/>
              <w:rPr>
                <w:sz w:val="18"/>
                <w:szCs w:val="18"/>
              </w:rPr>
            </w:pPr>
            <w:r w:rsidRPr="00430CF4">
              <w:rPr>
                <w:sz w:val="18"/>
                <w:szCs w:val="18"/>
              </w:rPr>
              <w:t>Hold</w:t>
            </w:r>
          </w:p>
        </w:tc>
        <w:tc>
          <w:tcPr>
            <w:tcW w:w="987" w:type="dxa"/>
            <w:tcBorders>
              <w:bottom w:val="nil"/>
            </w:tcBorders>
            <w:shd w:val="clear" w:color="auto" w:fill="FFB3B3"/>
          </w:tcPr>
          <w:p w14:paraId="03930502" w14:textId="77777777" w:rsidR="00DD7FB4" w:rsidRPr="0090761A" w:rsidRDefault="00DD7FB4" w:rsidP="008E3229">
            <w:pPr>
              <w:pStyle w:val="NoSpacing"/>
              <w:keepNext/>
              <w:rPr>
                <w:sz w:val="18"/>
                <w:szCs w:val="18"/>
              </w:rPr>
            </w:pPr>
            <w:r>
              <w:rPr>
                <w:b/>
                <w:sz w:val="18"/>
                <w:szCs w:val="18"/>
              </w:rPr>
              <w:t>Dismissed</w:t>
            </w:r>
          </w:p>
        </w:tc>
      </w:tr>
    </w:tbl>
    <w:p w14:paraId="478985D3" w14:textId="4841F074" w:rsidR="00DD7FB4" w:rsidRDefault="008E3229" w:rsidP="008E3229">
      <w:pPr>
        <w:pStyle w:val="Caption"/>
        <w:rPr>
          <w:noProof/>
        </w:rPr>
      </w:pPr>
      <w:r>
        <w:lastRenderedPageBreak/>
        <w:t xml:space="preserve">Table </w:t>
      </w:r>
      <w:r w:rsidR="00E41AF9">
        <w:t>4</w:t>
      </w:r>
      <w:r>
        <w:t>:</w:t>
      </w:r>
      <w:r w:rsidRPr="008E3229">
        <w:t xml:space="preserve"> </w:t>
      </w:r>
      <w:r>
        <w:t xml:space="preserve">Issues observed during the site comparison in the </w:t>
      </w:r>
      <w:r w:rsidR="00496FA8">
        <w:t xml:space="preserve">due diligence </w:t>
      </w:r>
      <w:r>
        <w:t>stage</w:t>
      </w:r>
      <w:r>
        <w:rPr>
          <w:noProof/>
        </w:rPr>
        <w:t xml:space="preserve"> and recommendations proposed. Sites C (Heimdal) and D2 (East Mey) were taken forwad to a face-to-face comparison, and the East Mey site was finally selected to become Site 2.</w:t>
      </w:r>
    </w:p>
    <w:p w14:paraId="777075A7" w14:textId="77777777" w:rsidR="008E3229" w:rsidRPr="008E3229" w:rsidRDefault="008E3229" w:rsidP="008E3229"/>
    <w:p w14:paraId="614AC891" w14:textId="0D1D45F3" w:rsidR="003F0B22" w:rsidRDefault="000206BD" w:rsidP="0040211E">
      <w:pPr>
        <w:rPr>
          <w:lang w:eastAsia="en-GB"/>
        </w:rPr>
      </w:pPr>
      <w:r>
        <w:rPr>
          <w:lang w:eastAsia="en-GB"/>
        </w:rPr>
        <w:t>Both</w:t>
      </w:r>
      <w:r w:rsidR="00105908" w:rsidRPr="008219B5">
        <w:rPr>
          <w:lang w:eastAsia="en-GB"/>
        </w:rPr>
        <w:t xml:space="preserve"> East </w:t>
      </w:r>
      <w:proofErr w:type="spellStart"/>
      <w:r w:rsidR="00105908" w:rsidRPr="008219B5">
        <w:rPr>
          <w:lang w:eastAsia="en-GB"/>
        </w:rPr>
        <w:t>Heimdal</w:t>
      </w:r>
      <w:proofErr w:type="spellEnd"/>
      <w:r w:rsidR="00105908" w:rsidRPr="008219B5">
        <w:rPr>
          <w:lang w:eastAsia="en-GB"/>
        </w:rPr>
        <w:t xml:space="preserve"> and East </w:t>
      </w:r>
      <w:proofErr w:type="spellStart"/>
      <w:r w:rsidR="00105908" w:rsidRPr="008219B5">
        <w:rPr>
          <w:lang w:eastAsia="en-GB"/>
        </w:rPr>
        <w:t>Mey</w:t>
      </w:r>
      <w:proofErr w:type="spellEnd"/>
      <w:r w:rsidR="00105908" w:rsidRPr="008219B5">
        <w:rPr>
          <w:lang w:eastAsia="en-GB"/>
        </w:rPr>
        <w:t xml:space="preserve">, </w:t>
      </w:r>
      <w:r w:rsidR="00105908">
        <w:rPr>
          <w:lang w:eastAsia="en-GB"/>
        </w:rPr>
        <w:t xml:space="preserve">present similarities in several </w:t>
      </w:r>
      <w:r>
        <w:rPr>
          <w:lang w:eastAsia="en-GB"/>
        </w:rPr>
        <w:t>aspects, including b</w:t>
      </w:r>
      <w:r w:rsidR="00105908" w:rsidRPr="008219B5">
        <w:rPr>
          <w:lang w:eastAsia="en-GB"/>
        </w:rPr>
        <w:t>oth hav</w:t>
      </w:r>
      <w:r w:rsidR="00F620F0">
        <w:rPr>
          <w:lang w:eastAsia="en-GB"/>
        </w:rPr>
        <w:t>ing</w:t>
      </w:r>
      <w:r w:rsidR="00105908" w:rsidRPr="008219B5">
        <w:rPr>
          <w:lang w:eastAsia="en-GB"/>
        </w:rPr>
        <w:t xml:space="preserve"> good 3D coverage and access </w:t>
      </w:r>
      <w:r w:rsidR="00F620F0">
        <w:rPr>
          <w:lang w:eastAsia="en-GB"/>
        </w:rPr>
        <w:t>to</w:t>
      </w:r>
      <w:r w:rsidR="00F620F0" w:rsidRPr="008219B5">
        <w:rPr>
          <w:lang w:eastAsia="en-GB"/>
        </w:rPr>
        <w:t xml:space="preserve"> </w:t>
      </w:r>
      <w:r w:rsidR="00105908" w:rsidRPr="008219B5">
        <w:rPr>
          <w:lang w:eastAsia="en-GB"/>
        </w:rPr>
        <w:t>well data</w:t>
      </w:r>
      <w:r w:rsidR="00604441">
        <w:rPr>
          <w:lang w:eastAsia="en-GB"/>
        </w:rPr>
        <w:t xml:space="preserve"> via OGA’s National Data Repository (NDR, </w:t>
      </w:r>
      <w:hyperlink r:id="rId16" w:history="1">
        <w:r w:rsidR="00604441" w:rsidRPr="008662D9">
          <w:rPr>
            <w:rStyle w:val="Hyperlink"/>
            <w:lang w:eastAsia="en-GB"/>
          </w:rPr>
          <w:t>https://ndr.ogauthority.co.uk</w:t>
        </w:r>
      </w:hyperlink>
      <w:r w:rsidR="00604441">
        <w:rPr>
          <w:lang w:eastAsia="en-GB"/>
        </w:rPr>
        <w:t>)</w:t>
      </w:r>
      <w:r>
        <w:rPr>
          <w:lang w:eastAsia="en-GB"/>
        </w:rPr>
        <w:t xml:space="preserve">; </w:t>
      </w:r>
      <w:r w:rsidR="003F0B22">
        <w:rPr>
          <w:lang w:eastAsia="en-GB"/>
        </w:rPr>
        <w:t>reservoir quality (e.g. porosity and injectivity) are considered excellent; and</w:t>
      </w:r>
      <w:r w:rsidR="00F620F0">
        <w:rPr>
          <w:lang w:eastAsia="en-GB"/>
        </w:rPr>
        <w:t xml:space="preserve"> ther</w:t>
      </w:r>
      <w:r w:rsidR="00295E43">
        <w:rPr>
          <w:lang w:eastAsia="en-GB"/>
        </w:rPr>
        <w:t>e</w:t>
      </w:r>
      <w:r w:rsidR="00F620F0">
        <w:rPr>
          <w:lang w:eastAsia="en-GB"/>
        </w:rPr>
        <w:t xml:space="preserve"> are</w:t>
      </w:r>
      <w:r w:rsidR="003F0B22">
        <w:rPr>
          <w:lang w:eastAsia="en-GB"/>
        </w:rPr>
        <w:t xml:space="preserve"> minimal difference</w:t>
      </w:r>
      <w:r w:rsidR="00DE2A2C">
        <w:rPr>
          <w:lang w:eastAsia="en-GB"/>
        </w:rPr>
        <w:t>s</w:t>
      </w:r>
      <w:r w:rsidR="003F0B22">
        <w:rPr>
          <w:lang w:eastAsia="en-GB"/>
        </w:rPr>
        <w:t xml:space="preserve"> </w:t>
      </w:r>
      <w:r w:rsidR="00F620F0">
        <w:rPr>
          <w:lang w:eastAsia="en-GB"/>
        </w:rPr>
        <w:t xml:space="preserve">between </w:t>
      </w:r>
      <w:r w:rsidR="003F0B22">
        <w:rPr>
          <w:lang w:eastAsia="en-GB"/>
        </w:rPr>
        <w:t>them in containment risk score, d</w:t>
      </w:r>
      <w:r w:rsidR="00105908" w:rsidRPr="008219B5">
        <w:rPr>
          <w:lang w:eastAsia="en-GB"/>
        </w:rPr>
        <w:t xml:space="preserve">evelopment </w:t>
      </w:r>
      <w:r w:rsidR="003F0B22">
        <w:rPr>
          <w:lang w:eastAsia="en-GB"/>
        </w:rPr>
        <w:t>c</w:t>
      </w:r>
      <w:r w:rsidR="00105908" w:rsidRPr="008219B5">
        <w:rPr>
          <w:lang w:eastAsia="en-GB"/>
        </w:rPr>
        <w:t xml:space="preserve">ost </w:t>
      </w:r>
      <w:r w:rsidR="003F0B22">
        <w:rPr>
          <w:lang w:eastAsia="en-GB"/>
        </w:rPr>
        <w:t>factor and</w:t>
      </w:r>
      <w:r w:rsidR="00105908" w:rsidRPr="008219B5">
        <w:rPr>
          <w:lang w:eastAsia="en-GB"/>
        </w:rPr>
        <w:t xml:space="preserve"> </w:t>
      </w:r>
      <w:r w:rsidR="003F0B22">
        <w:rPr>
          <w:lang w:eastAsia="en-GB"/>
        </w:rPr>
        <w:t>w</w:t>
      </w:r>
      <w:r w:rsidR="00105908" w:rsidRPr="008219B5">
        <w:rPr>
          <w:lang w:eastAsia="en-GB"/>
        </w:rPr>
        <w:t xml:space="preserve">ater </w:t>
      </w:r>
      <w:r w:rsidR="003F0B22">
        <w:rPr>
          <w:lang w:eastAsia="en-GB"/>
        </w:rPr>
        <w:t>d</w:t>
      </w:r>
      <w:r w:rsidR="00105908" w:rsidRPr="008219B5">
        <w:rPr>
          <w:lang w:eastAsia="en-GB"/>
        </w:rPr>
        <w:t>epth</w:t>
      </w:r>
      <w:r w:rsidR="003F7BEB">
        <w:rPr>
          <w:lang w:eastAsia="en-GB"/>
        </w:rPr>
        <w:t xml:space="preserve"> </w:t>
      </w:r>
      <w:r w:rsidR="003F7BEB">
        <w:rPr>
          <w:lang w:eastAsia="en-GB"/>
        </w:rPr>
        <w:fldChar w:fldCharType="begin" w:fldLock="1"/>
      </w:r>
      <w:r w:rsidR="00467ADF">
        <w:rPr>
          <w:lang w:eastAsia="en-GB"/>
        </w:rPr>
        <w:instrText>ADDIN CSL_CITATION {"citationItems":[{"id":"ITEM-1","itemData":{"URL":"https://actacorn.eu/sites/default/files/ACT Acorn Site Selection Posters 1.0_0.pdf","accessed":{"date-parts":[["2020","8","14"]]},"author":[{"dropping-particle":"","family":"ACT Acorn","given":"","non-dropping-particle":"","parse-names":false,"suffix":""}],"container-title":"10196ACTC Rep 08 01 - Site Selection Report","id":"ITEM-1","issued":{"date-parts":[["2018"]]},"page":"8","title":"Annex 3 Site Selection Posters","type":"webpage"},"uris":["http://www.mendeley.com/documents/?uuid=aebfa036-4876-4e26-bdf5-1feebba68c6c","http://www.mendeley.com/documents/?uuid=6b8739c1-4d7f-4cc6-aacf-2f9ad2758217"]}],"mendeley":{"formattedCitation":"(ACT Acorn, 2018b)","plainTextFormattedCitation":"(ACT Acorn, 2018b)","previouslyFormattedCitation":"(ACT Acorn, 2018b)"},"properties":{"noteIndex":0},"schema":"https://github.com/citation-style-language/schema/raw/master/csl-citation.json"}</w:instrText>
      </w:r>
      <w:r w:rsidR="003F7BEB">
        <w:rPr>
          <w:lang w:eastAsia="en-GB"/>
        </w:rPr>
        <w:fldChar w:fldCharType="separate"/>
      </w:r>
      <w:r w:rsidR="002B78D5" w:rsidRPr="002B78D5">
        <w:rPr>
          <w:noProof/>
          <w:lang w:eastAsia="en-GB"/>
        </w:rPr>
        <w:t>(ACT Acorn, 2018b)</w:t>
      </w:r>
      <w:r w:rsidR="003F7BEB">
        <w:rPr>
          <w:lang w:eastAsia="en-GB"/>
        </w:rPr>
        <w:fldChar w:fldCharType="end"/>
      </w:r>
      <w:r w:rsidR="00105908" w:rsidRPr="008219B5">
        <w:rPr>
          <w:lang w:eastAsia="en-GB"/>
        </w:rPr>
        <w:t>.</w:t>
      </w:r>
      <w:r w:rsidR="003333F6">
        <w:rPr>
          <w:lang w:eastAsia="en-GB"/>
        </w:rPr>
        <w:t xml:space="preserve"> </w:t>
      </w:r>
      <w:r w:rsidR="009644F7">
        <w:rPr>
          <w:lang w:eastAsia="en-GB"/>
        </w:rPr>
        <w:t xml:space="preserve">However, three </w:t>
      </w:r>
      <w:r w:rsidR="003333F6">
        <w:rPr>
          <w:lang w:eastAsia="en-GB"/>
        </w:rPr>
        <w:t xml:space="preserve">aspects helped to tip the balance in favour of the East </w:t>
      </w:r>
      <w:proofErr w:type="spellStart"/>
      <w:r w:rsidR="003333F6">
        <w:rPr>
          <w:lang w:eastAsia="en-GB"/>
        </w:rPr>
        <w:t>Mey</w:t>
      </w:r>
      <w:proofErr w:type="spellEnd"/>
      <w:r w:rsidR="003333F6">
        <w:rPr>
          <w:lang w:eastAsia="en-GB"/>
        </w:rPr>
        <w:t xml:space="preserve"> site:</w:t>
      </w:r>
    </w:p>
    <w:p w14:paraId="339A7FF4" w14:textId="2D60E1C6" w:rsidR="006341AE" w:rsidRDefault="00D2465F" w:rsidP="00604441">
      <w:pPr>
        <w:pStyle w:val="ListParagraph"/>
        <w:numPr>
          <w:ilvl w:val="0"/>
          <w:numId w:val="29"/>
        </w:numPr>
        <w:rPr>
          <w:lang w:eastAsia="en-GB"/>
        </w:rPr>
      </w:pPr>
      <w:r w:rsidRPr="0040211E">
        <w:rPr>
          <w:u w:val="single"/>
          <w:lang w:eastAsia="en-GB"/>
        </w:rPr>
        <w:t>Knowledge</w:t>
      </w:r>
      <w:r w:rsidR="003333F6" w:rsidRPr="0040211E">
        <w:rPr>
          <w:u w:val="single"/>
          <w:lang w:eastAsia="en-GB"/>
        </w:rPr>
        <w:t xml:space="preserve"> availability</w:t>
      </w:r>
      <w:r w:rsidR="003333F6">
        <w:rPr>
          <w:lang w:eastAsia="en-GB"/>
        </w:rPr>
        <w:t xml:space="preserve">: </w:t>
      </w:r>
      <w:r w:rsidR="006341AE">
        <w:t xml:space="preserve">the </w:t>
      </w:r>
      <w:proofErr w:type="spellStart"/>
      <w:r w:rsidR="00802997">
        <w:rPr>
          <w:lang w:eastAsia="en-GB"/>
        </w:rPr>
        <w:t>Mey</w:t>
      </w:r>
      <w:proofErr w:type="spellEnd"/>
      <w:r w:rsidR="00802997">
        <w:rPr>
          <w:lang w:eastAsia="en-GB"/>
        </w:rPr>
        <w:t xml:space="preserve"> Sandstone is a </w:t>
      </w:r>
      <w:r w:rsidR="00802997" w:rsidRPr="00802997">
        <w:rPr>
          <w:lang w:eastAsia="en-GB"/>
        </w:rPr>
        <w:t>mature oil-producing reservoir</w:t>
      </w:r>
      <w:r w:rsidR="00802997">
        <w:rPr>
          <w:lang w:eastAsia="en-GB"/>
        </w:rPr>
        <w:t>, and the</w:t>
      </w:r>
      <w:r w:rsidR="00802997">
        <w:t xml:space="preserve"> </w:t>
      </w:r>
      <w:r w:rsidR="006341AE">
        <w:t xml:space="preserve">East </w:t>
      </w:r>
      <w:proofErr w:type="spellStart"/>
      <w:r w:rsidR="006341AE">
        <w:t>Mey</w:t>
      </w:r>
      <w:proofErr w:type="spellEnd"/>
      <w:r w:rsidR="006341AE">
        <w:t xml:space="preserve"> area contains ten oil and gas fields</w:t>
      </w:r>
      <w:r>
        <w:t>:</w:t>
      </w:r>
      <w:r w:rsidR="006341AE">
        <w:t xml:space="preserve"> Balmoral, Blenheim, Bladon, Burghley, Beauly, Brenda, Nicol, MacCulloch, </w:t>
      </w:r>
      <w:proofErr w:type="spellStart"/>
      <w:r w:rsidR="006341AE">
        <w:t>Donan</w:t>
      </w:r>
      <w:proofErr w:type="spellEnd"/>
      <w:r w:rsidR="006341AE">
        <w:t xml:space="preserve">, and </w:t>
      </w:r>
      <w:r w:rsidR="00430227">
        <w:t xml:space="preserve">the well </w:t>
      </w:r>
      <w:r w:rsidR="006341AE">
        <w:t>15/20b-11.</w:t>
      </w:r>
      <w:r>
        <w:t xml:space="preserve"> This </w:t>
      </w:r>
      <w:r w:rsidR="00966F09">
        <w:t xml:space="preserve">means that, in addition to the well and seismic data </w:t>
      </w:r>
      <w:r w:rsidR="00F34FB8">
        <w:t>reviewed during the site selection process,</w:t>
      </w:r>
      <w:r w:rsidR="00966F09">
        <w:t xml:space="preserve"> </w:t>
      </w:r>
      <w:r w:rsidR="00F34FB8">
        <w:t xml:space="preserve">a substantial amount of </w:t>
      </w:r>
      <w:r w:rsidR="00430227">
        <w:t>technical</w:t>
      </w:r>
      <w:r w:rsidR="00F34FB8">
        <w:t xml:space="preserve"> data (</w:t>
      </w:r>
      <w:proofErr w:type="gramStart"/>
      <w:r w:rsidR="00F34FB8">
        <w:t>e.g.</w:t>
      </w:r>
      <w:proofErr w:type="gramEnd"/>
      <w:r w:rsidR="00F34FB8">
        <w:t xml:space="preserve"> hydrogeological or production data) </w:t>
      </w:r>
      <w:r w:rsidR="00F66F8C">
        <w:t xml:space="preserve">will be available </w:t>
      </w:r>
      <w:r w:rsidR="00F34FB8">
        <w:t xml:space="preserve">to feed </w:t>
      </w:r>
      <w:r w:rsidR="00F66F8C">
        <w:t xml:space="preserve">into the </w:t>
      </w:r>
      <w:r w:rsidR="00F34FB8">
        <w:t xml:space="preserve">storage modelling </w:t>
      </w:r>
      <w:r w:rsidR="00F66F8C">
        <w:t>studies</w:t>
      </w:r>
      <w:r w:rsidR="00F34FB8">
        <w:t>. These models are critical for the selection of the injection locations and to produce predictions of the long-term fate of the injected CO</w:t>
      </w:r>
      <w:r w:rsidR="00F34FB8" w:rsidRPr="0040211E">
        <w:rPr>
          <w:vertAlign w:val="subscript"/>
        </w:rPr>
        <w:t>2</w:t>
      </w:r>
      <w:r w:rsidR="00F34FB8" w:rsidRPr="00F34FB8">
        <w:t xml:space="preserve"> </w:t>
      </w:r>
      <w:r w:rsidR="00F34FB8" w:rsidRPr="0040211E">
        <w:rPr>
          <w:vertAlign w:val="subscript"/>
        </w:rPr>
        <w:fldChar w:fldCharType="begin" w:fldLock="1"/>
      </w:r>
      <w:r w:rsidR="009228F4">
        <w:rPr>
          <w:vertAlign w:val="subscript"/>
        </w:rPr>
        <w:instrText>ADDIN CSL_CITATION {"citationItems":[{"id":"ITEM-1","itemData":{"DOI":"10.1016/j.jclepro.2019.06.087","ISSN":"09596526","abstract":"Research to date has identified cost and lack of support from stakeholders as two key barriers to the development of a carbon dioxide capture and storage (CCS) industry that is capable of effectively mitigating climate change. This paper responds to these challenges through systematic evaluation of the research and development process for the Acorn CCS project, a project designed to develop a scalable, full-chain CCS project on the north-east coast of the UK. Through assessment of Acorn's publicly-available outputs, we identify strategies which may help to enhance the viability of early-stage CCS projects. Initial capital costs can be minimised by infrastructure re-use, particularly pipelines, and by re-use of data describing the subsurface acquired during oil and gas exploration activity. Also, development of the project in separate stages of activity (e.g. different phases of infrastructure re-use and investment into new infrastructure) enables cost reduction for future build-out phases. Additionally, engagement of regional-level policy makers may help to build stakeholder support by situating CCS within regional decarbonisation narratives. We argue that these insights may be translated to general objectives for any CCS project sharing similar characteristics such as legacy infrastructure, industrial clusters and an involved stakeholder-base that is engaged with the fossil fuel industry.","author":[{"dropping-particle":"","family":"Alcalde","given":"Juan","non-dropping-particle":"","parse-names":false,"suffix":""},{"dropping-particle":"","family":"Heinemann","given":"Niklas","non-dropping-particle":"","parse-names":false,"suffix":""},{"dropping-particle":"","family":"Mabon","given":"Leslie","non-dropping-particle":"","parse-names":false,"suffix":""},{"dropping-particle":"","family":"Worden","given":"Richard H.","non-dropping-particle":"","parse-names":false,"suffix":""},{"dropping-particle":"","family":"Coninck","given":"Heleen","non-dropping-particle":"de","parse-names":false,"suffix":""},{"dropping-particle":"","family":"Robertson","given":"Hazel","non-dropping-particle":"","parse-names":false,"suffix":""},{"dropping-particle":"","family":"Maver","given":"Marko","non-dropping-particle":"","parse-names":false,"suffix":""},{"dropping-particle":"","family":"Ghanbari","given":"Saeed","non-dropping-particle":"","parse-names":false,"suffix":""},{"dropping-particle":"","family":"Swennenhuis","given":"Floris","non-dropping-particle":"","parse-names":false,"suffix":""},{"dropping-particle":"","family":"Mann","given":"Indira","non-dropping-particle":"","parse-names":false,"suffix":""},{"dropping-particle":"","family":"Walker","given":"Tiana","non-dropping-particle":"","parse-names":false,"suffix":""},{"dropping-particle":"","family":"Gomersal","given":"Sam","non-dropping-particle":"","parse-names":false,"suffix":""},{"dropping-particle":"","family":"Bond","given":"Clare E.","non-dropping-particle":"","parse-names":false,"suffix":""},{"dropping-particle":"","family":"Allen","given":"Michael J.","non-dropping-particle":"","parse-names":false,"suffix":""},{"dropping-particle":"","family":"Haszeldine","given":"R. Stuart","non-dropping-particle":"","parse-names":false,"suffix":""},{"dropping-particle":"","family":"James","given":"Alan","non-dropping-particle":"","parse-names":false,"suffix":""},{"dropping-particle":"","family":"Mackay","given":"Eric J.","non-dropping-particle":"","parse-names":false,"suffix":""},{"dropping-particle":"","family":"Brownsort","given":"Peter A.","non-dropping-particle":"","parse-names":false,"suffix":""},{"dropping-particle":"","family":"Faulkner","given":"Daniel R.","non-dropping-particle":"","parse-names":false,"suffix":""},{"dropping-particle":"","family":"Murphy","given":"Steve","non-dropping-particle":"","parse-names":false,"suffix":""}],"container-title":"Journal of Cleaner Production","id":"ITEM-1","issued":{"date-parts":[["2019","10"]]},"page":"963-971","title":"Acorn: Developing full-chain industrial carbon capture and storage in a resource- and infrastructure-rich hydrocarbon province","type":"article-journal","volume":"233"},"uris":["http://www.mendeley.com/documents/?uuid=70c6bc31-4949-4838-968e-534a31bbff9a"]}],"mendeley":{"formattedCitation":"(Alcalde et al., 2019)","plainTextFormattedCitation":"(Alcalde et al., 2019)","previouslyFormattedCitation":"(Alcalde et al., 2019)"},"properties":{"noteIndex":0},"schema":"https://github.com/citation-style-language/schema/raw/master/csl-citation.json"}</w:instrText>
      </w:r>
      <w:r w:rsidR="00F34FB8" w:rsidRPr="0040211E">
        <w:rPr>
          <w:vertAlign w:val="subscript"/>
        </w:rPr>
        <w:fldChar w:fldCharType="separate"/>
      </w:r>
      <w:r w:rsidR="00C01E2D" w:rsidRPr="00C01E2D">
        <w:rPr>
          <w:noProof/>
        </w:rPr>
        <w:t>(Alcalde et al., 2019)</w:t>
      </w:r>
      <w:r w:rsidR="00F34FB8" w:rsidRPr="0040211E">
        <w:rPr>
          <w:vertAlign w:val="subscript"/>
        </w:rPr>
        <w:fldChar w:fldCharType="end"/>
      </w:r>
      <w:r w:rsidR="00F34FB8">
        <w:t>.</w:t>
      </w:r>
    </w:p>
    <w:p w14:paraId="4AF8B896" w14:textId="12CC7A08" w:rsidR="003F7BEB" w:rsidRDefault="003F7BEB" w:rsidP="00604441">
      <w:pPr>
        <w:pStyle w:val="ListParagraph"/>
        <w:numPr>
          <w:ilvl w:val="0"/>
          <w:numId w:val="29"/>
        </w:numPr>
        <w:rPr>
          <w:lang w:eastAsia="en-GB"/>
        </w:rPr>
      </w:pPr>
      <w:r w:rsidRPr="0040211E">
        <w:rPr>
          <w:u w:val="single"/>
          <w:lang w:eastAsia="en-GB"/>
        </w:rPr>
        <w:t>De-risked structures</w:t>
      </w:r>
      <w:r>
        <w:rPr>
          <w:lang w:eastAsia="en-GB"/>
        </w:rPr>
        <w:t xml:space="preserve">: the </w:t>
      </w:r>
      <w:proofErr w:type="spellStart"/>
      <w:r w:rsidR="005543EC">
        <w:rPr>
          <w:lang w:eastAsia="en-GB"/>
        </w:rPr>
        <w:t>Mey</w:t>
      </w:r>
      <w:proofErr w:type="spellEnd"/>
      <w:r w:rsidR="005543EC">
        <w:rPr>
          <w:lang w:eastAsia="en-GB"/>
        </w:rPr>
        <w:t xml:space="preserve"> Sandstone forms the reservoir targeted in the East </w:t>
      </w:r>
      <w:proofErr w:type="spellStart"/>
      <w:r w:rsidR="005543EC">
        <w:rPr>
          <w:lang w:eastAsia="en-GB"/>
        </w:rPr>
        <w:t>Mey</w:t>
      </w:r>
      <w:proofErr w:type="spellEnd"/>
      <w:r w:rsidR="005543EC">
        <w:rPr>
          <w:lang w:eastAsia="en-GB"/>
        </w:rPr>
        <w:t xml:space="preserve"> site. The </w:t>
      </w:r>
      <w:r>
        <w:rPr>
          <w:lang w:eastAsia="en-GB"/>
        </w:rPr>
        <w:t xml:space="preserve">East </w:t>
      </w:r>
      <w:proofErr w:type="spellStart"/>
      <w:r>
        <w:rPr>
          <w:lang w:eastAsia="en-GB"/>
        </w:rPr>
        <w:t>Mey</w:t>
      </w:r>
      <w:proofErr w:type="spellEnd"/>
      <w:r>
        <w:rPr>
          <w:lang w:eastAsia="en-GB"/>
        </w:rPr>
        <w:t xml:space="preserve"> area contains at least six known structures that host the </w:t>
      </w:r>
      <w:r w:rsidR="00F66F8C">
        <w:rPr>
          <w:lang w:eastAsia="en-GB"/>
        </w:rPr>
        <w:t xml:space="preserve">previously listed </w:t>
      </w:r>
      <w:r>
        <w:rPr>
          <w:lang w:eastAsia="en-GB"/>
        </w:rPr>
        <w:t xml:space="preserve">hydrocarbon fields. The fact that these structures </w:t>
      </w:r>
      <w:r w:rsidR="00BC5E18">
        <w:rPr>
          <w:lang w:eastAsia="en-GB"/>
        </w:rPr>
        <w:t>have been</w:t>
      </w:r>
      <w:r>
        <w:rPr>
          <w:lang w:eastAsia="en-GB"/>
        </w:rPr>
        <w:t xml:space="preserve"> capable of </w:t>
      </w:r>
      <w:r w:rsidR="00F66F8C">
        <w:rPr>
          <w:lang w:eastAsia="en-GB"/>
        </w:rPr>
        <w:t xml:space="preserve">trapping </w:t>
      </w:r>
      <w:r w:rsidR="00BC5E18">
        <w:rPr>
          <w:lang w:eastAsia="en-GB"/>
        </w:rPr>
        <w:t xml:space="preserve">fluids for </w:t>
      </w:r>
      <w:r w:rsidR="00F66F8C">
        <w:rPr>
          <w:lang w:eastAsia="en-GB"/>
        </w:rPr>
        <w:t>many millions of years</w:t>
      </w:r>
      <w:r w:rsidR="00BC5E18">
        <w:rPr>
          <w:lang w:eastAsia="en-GB"/>
        </w:rPr>
        <w:t xml:space="preserve"> help</w:t>
      </w:r>
      <w:r w:rsidR="00C6138F">
        <w:rPr>
          <w:lang w:eastAsia="en-GB"/>
        </w:rPr>
        <w:t>s</w:t>
      </w:r>
      <w:r w:rsidR="00BC5E18">
        <w:rPr>
          <w:lang w:eastAsia="en-GB"/>
        </w:rPr>
        <w:t xml:space="preserve"> to reduce the u</w:t>
      </w:r>
      <w:r w:rsidR="005543EC">
        <w:rPr>
          <w:lang w:eastAsia="en-GB"/>
        </w:rPr>
        <w:t>ncertainty on the presence of a</w:t>
      </w:r>
      <w:r w:rsidR="00345356">
        <w:rPr>
          <w:lang w:eastAsia="en-GB"/>
        </w:rPr>
        <w:t xml:space="preserve"> fully</w:t>
      </w:r>
      <w:r w:rsidR="00BC5E18">
        <w:rPr>
          <w:lang w:eastAsia="en-GB"/>
        </w:rPr>
        <w:t xml:space="preserve"> </w:t>
      </w:r>
      <w:r w:rsidR="00345356">
        <w:rPr>
          <w:lang w:eastAsia="en-GB"/>
        </w:rPr>
        <w:t>operational</w:t>
      </w:r>
      <w:r w:rsidR="005543EC">
        <w:rPr>
          <w:lang w:eastAsia="en-GB"/>
        </w:rPr>
        <w:t xml:space="preserve"> caprock covering the </w:t>
      </w:r>
      <w:r w:rsidR="00345356">
        <w:rPr>
          <w:lang w:eastAsia="en-GB"/>
        </w:rPr>
        <w:t xml:space="preserve">target reservoir in the East </w:t>
      </w:r>
      <w:proofErr w:type="spellStart"/>
      <w:r w:rsidR="00345356">
        <w:rPr>
          <w:lang w:eastAsia="en-GB"/>
        </w:rPr>
        <w:t>Mey</w:t>
      </w:r>
      <w:proofErr w:type="spellEnd"/>
      <w:r w:rsidR="00345356">
        <w:rPr>
          <w:lang w:eastAsia="en-GB"/>
        </w:rPr>
        <w:t xml:space="preserve"> area</w:t>
      </w:r>
      <w:r w:rsidR="00604441">
        <w:rPr>
          <w:lang w:eastAsia="en-GB"/>
        </w:rPr>
        <w:t xml:space="preserve"> </w:t>
      </w:r>
      <w:r w:rsidR="00604441">
        <w:rPr>
          <w:lang w:eastAsia="en-GB"/>
        </w:rPr>
        <w:fldChar w:fldCharType="begin" w:fldLock="1"/>
      </w:r>
      <w:r w:rsidR="00CE765F">
        <w:rPr>
          <w:lang w:eastAsia="en-GB"/>
        </w:rPr>
        <w:instrText>ADDIN CSL_CITATION {"citationItems":[{"id":"ITEM-1","itemData":{"DOI":"10.3390/min10080691","ISSN":"2075-163X","abstract":"Petroleum-rich basins at a mature stage of exploration and production offer many opportunities for large-scale Carbon Capture and Storage (CCS) since oil and gas were demonstrably contained by low-permeability top-sealing rocks, such as shales. For CCS to work, there must be effectively no leakage from the injection site, so the nature of the top-seal is an important aspect for consideration when appraising prospective CCS opportunities. The Lower Cretaceous Rodby Shale and the Palaeocene Lista Shale have acted as seals to oil and gas accumulations (e.g., the Atlantic and Balmoral fields) and may now play a critical role in sealing the Acorn and East Mey subsurface carbon storage sites. The characteristics of these important shales have been little addressed in the hydrocarbon extraction phase, with an understandable focus on reservoir properties and their influence on resource recovery rates. Here, we assess the characteristics of the Rodby and Lista Shales using wireline logs, geomechanical tests, special core analysis (mercury intrusion) and mineralogical and petrographic techniques, with the aim of highlighting key properties that identify them as suitable top-seals. The two shales, defined using the relative gamma log values (or Vshale), have similar mean pore throat radius (approximately 18 nm), splitting tensile strength (approximately 2.5 MPa) and anisotropic values of splitting tensile strength, but they display significant differences in terms of wireline log character, porosity and mineralogy. The Lower Cretaceous Rodby Shale has a mean porosity of approximately 14 %, a mean permeability of 263 nD (2.58 × 10−19 m2), and is calcite rich and has clay minerals that are relatively rich in non-radioactive phases such as kaolinite. The Palaeocene Lista Shale has a mean porosity of approximately 16% a mean permeability of 225 nD (2.21 × 10−19 m2), and is calcite free, but contains abundant quartz silt and is dominated by smectite. The 2% difference in porosity does not seem to equate to a significant difference in permeability. Elastic properties derived from wireline log data show that Young’s modulus, material stiffness, is very low (5 GPa) for the most shale (clay mineral)-rich Rodby intervals, with Young’s modulus increasing as shale content decreases and as cementation (e.g., calcite) increases. Our work has shown that Young’s modulus, which can be used to inform the likeliness of tensile failure, may be predictable based on routine gamma, dens…","author":[{"dropping-particle":"","family":"Worden","given":"Richard H.","non-dropping-particle":"","parse-names":false,"suffix":""},{"dropping-particle":"","family":"Allen","given":"Michael J.","non-dropping-particle":"","parse-names":false,"suffix":""},{"dropping-particle":"","family":"Faulkner","given":"Daniel R.","non-dropping-particle":"","parse-names":false,"suffix":""},{"dropping-particle":"","family":"Utley","given":"James E.P. P.","non-dropping-particle":"","parse-names":false,"suffix":""},{"dropping-particle":"","family":"Bond","given":"Clare E.","non-dropping-particle":"","parse-names":false,"suffix":""},{"dropping-particle":"","family":"Alcalde","given":"Juan","non-dropping-particle":"","parse-names":false,"suffix":""},{"dropping-particle":"","family":"Heinemann","given":"Niklas","non-dropping-particle":"","parse-names":false,"suffix":""},{"dropping-particle":"","family":"Haszeldine","given":"R. Stuart","non-dropping-particle":"","parse-names":false,"suffix":""},{"dropping-particle":"","family":"Mackay","given":"Eric J.","non-dropping-particle":"","parse-names":false,"suffix":""},{"dropping-particle":"","family":"Ghanbari","given":"Saeed","non-dropping-particle":"","parse-names":false,"suffix":""}],"container-title":"Minerals","id":"ITEM-1","issue":"8","issued":{"date-parts":[["2020","8"]]},"page":"691","title":"The Lower Cretaceous Rodby Shale and the Palaeocene Lista Shale: characterization and comparison of top-seal mudstones at two planned CCS sites, offshore UK","type":"article-journal","volume":"10"},"uris":["http://www.mendeley.com/documents/?uuid=bfcef226-3a19-425e-a1bd-72654521d49d"]}],"mendeley":{"formattedCitation":"(Worden et al., 2020)","plainTextFormattedCitation":"(Worden et al., 2020)","previouslyFormattedCitation":"(Worden et al., 2020)"},"properties":{"noteIndex":0},"schema":"https://github.com/citation-style-language/schema/raw/master/csl-citation.json"}</w:instrText>
      </w:r>
      <w:r w:rsidR="00604441">
        <w:rPr>
          <w:lang w:eastAsia="en-GB"/>
        </w:rPr>
        <w:fldChar w:fldCharType="separate"/>
      </w:r>
      <w:r w:rsidR="00C01E2D" w:rsidRPr="00C01E2D">
        <w:rPr>
          <w:noProof/>
          <w:lang w:eastAsia="en-GB"/>
        </w:rPr>
        <w:t>(Worden et al., 2020)</w:t>
      </w:r>
      <w:r w:rsidR="00604441">
        <w:rPr>
          <w:lang w:eastAsia="en-GB"/>
        </w:rPr>
        <w:fldChar w:fldCharType="end"/>
      </w:r>
      <w:r w:rsidR="00604441">
        <w:rPr>
          <w:lang w:eastAsia="en-GB"/>
        </w:rPr>
        <w:t>.</w:t>
      </w:r>
    </w:p>
    <w:p w14:paraId="124A8B1E" w14:textId="7B3BF28E" w:rsidR="005543EC" w:rsidRDefault="005543EC" w:rsidP="00604441">
      <w:pPr>
        <w:pStyle w:val="ListParagraph"/>
        <w:numPr>
          <w:ilvl w:val="0"/>
          <w:numId w:val="29"/>
        </w:numPr>
        <w:rPr>
          <w:lang w:eastAsia="en-GB"/>
        </w:rPr>
      </w:pPr>
      <w:r w:rsidRPr="0040211E">
        <w:rPr>
          <w:u w:val="single"/>
          <w:lang w:eastAsia="en-GB"/>
        </w:rPr>
        <w:t>Abandoned wells status</w:t>
      </w:r>
      <w:r>
        <w:rPr>
          <w:lang w:eastAsia="en-GB"/>
        </w:rPr>
        <w:t xml:space="preserve">: </w:t>
      </w:r>
      <w:r w:rsidR="00D25C4E">
        <w:rPr>
          <w:lang w:eastAsia="en-GB"/>
        </w:rPr>
        <w:t>most</w:t>
      </w:r>
      <w:r>
        <w:rPr>
          <w:lang w:eastAsia="en-GB"/>
        </w:rPr>
        <w:t xml:space="preserve"> </w:t>
      </w:r>
      <w:r w:rsidR="00345356">
        <w:rPr>
          <w:lang w:eastAsia="en-GB"/>
        </w:rPr>
        <w:t xml:space="preserve">hydrocarbon </w:t>
      </w:r>
      <w:r w:rsidR="00D25C4E">
        <w:rPr>
          <w:lang w:eastAsia="en-GB"/>
        </w:rPr>
        <w:t>production</w:t>
      </w:r>
      <w:r w:rsidR="00345356">
        <w:rPr>
          <w:lang w:eastAsia="en-GB"/>
        </w:rPr>
        <w:t xml:space="preserve"> in the </w:t>
      </w:r>
      <w:r w:rsidR="001A42B4">
        <w:rPr>
          <w:lang w:eastAsia="en-GB"/>
        </w:rPr>
        <w:t xml:space="preserve">East </w:t>
      </w:r>
      <w:proofErr w:type="spellStart"/>
      <w:r w:rsidR="001A42B4">
        <w:rPr>
          <w:lang w:eastAsia="en-GB"/>
        </w:rPr>
        <w:t>Mey</w:t>
      </w:r>
      <w:proofErr w:type="spellEnd"/>
      <w:r w:rsidR="001A42B4">
        <w:rPr>
          <w:lang w:eastAsia="en-GB"/>
        </w:rPr>
        <w:t xml:space="preserve"> </w:t>
      </w:r>
      <w:r w:rsidR="00345356">
        <w:rPr>
          <w:lang w:eastAsia="en-GB"/>
        </w:rPr>
        <w:t xml:space="preserve">area </w:t>
      </w:r>
      <w:r w:rsidR="00D25C4E">
        <w:rPr>
          <w:lang w:eastAsia="en-GB"/>
        </w:rPr>
        <w:t>exploited fields</w:t>
      </w:r>
      <w:r w:rsidR="00802997">
        <w:rPr>
          <w:lang w:eastAsia="en-GB"/>
        </w:rPr>
        <w:t xml:space="preserve"> </w:t>
      </w:r>
      <w:r w:rsidR="001A42B4">
        <w:rPr>
          <w:lang w:eastAsia="en-GB"/>
        </w:rPr>
        <w:t xml:space="preserve">within the </w:t>
      </w:r>
      <w:proofErr w:type="spellStart"/>
      <w:r w:rsidR="001A42B4">
        <w:rPr>
          <w:lang w:eastAsia="en-GB"/>
        </w:rPr>
        <w:t>Mey</w:t>
      </w:r>
      <w:proofErr w:type="spellEnd"/>
      <w:r w:rsidR="00345356">
        <w:rPr>
          <w:lang w:eastAsia="en-GB"/>
        </w:rPr>
        <w:t xml:space="preserve"> Sandstone reservoir</w:t>
      </w:r>
      <w:r w:rsidR="001A42B4">
        <w:rPr>
          <w:lang w:eastAsia="en-GB"/>
        </w:rPr>
        <w:t>. This</w:t>
      </w:r>
      <w:r w:rsidR="00345356">
        <w:rPr>
          <w:lang w:eastAsia="en-GB"/>
        </w:rPr>
        <w:t xml:space="preserve"> </w:t>
      </w:r>
      <w:r w:rsidR="00802997">
        <w:rPr>
          <w:lang w:eastAsia="en-GB"/>
        </w:rPr>
        <w:t>impl</w:t>
      </w:r>
      <w:r w:rsidR="001A42B4">
        <w:rPr>
          <w:lang w:eastAsia="en-GB"/>
        </w:rPr>
        <w:t>ies</w:t>
      </w:r>
      <w:r w:rsidR="00802997">
        <w:rPr>
          <w:lang w:eastAsia="en-GB"/>
        </w:rPr>
        <w:t xml:space="preserve"> that the abandonment procedures put in place </w:t>
      </w:r>
      <w:r w:rsidR="00D25C4E">
        <w:rPr>
          <w:lang w:eastAsia="en-GB"/>
        </w:rPr>
        <w:t xml:space="preserve">to plug the wells </w:t>
      </w:r>
      <w:r w:rsidR="00802997">
        <w:rPr>
          <w:lang w:eastAsia="en-GB"/>
        </w:rPr>
        <w:t xml:space="preserve">were aimed at avoiding the escape of fluids from the </w:t>
      </w:r>
      <w:r w:rsidR="00D25C4E">
        <w:rPr>
          <w:lang w:eastAsia="en-GB"/>
        </w:rPr>
        <w:t>target formation to the surface</w:t>
      </w:r>
      <w:r w:rsidR="001A42B4">
        <w:rPr>
          <w:lang w:eastAsia="en-GB"/>
        </w:rPr>
        <w:t xml:space="preserve">. </w:t>
      </w:r>
      <w:r w:rsidR="00DD7FB4">
        <w:rPr>
          <w:lang w:eastAsia="en-GB"/>
        </w:rPr>
        <w:t>Therefore,</w:t>
      </w:r>
      <w:r w:rsidR="001A42B4">
        <w:rPr>
          <w:lang w:eastAsia="en-GB"/>
        </w:rPr>
        <w:t xml:space="preserve"> abandoned wells in this area are likely to include multiple cement plugs between the </w:t>
      </w:r>
      <w:proofErr w:type="spellStart"/>
      <w:r w:rsidR="00D25C4E">
        <w:rPr>
          <w:lang w:eastAsia="en-GB"/>
        </w:rPr>
        <w:t>Mey</w:t>
      </w:r>
      <w:proofErr w:type="spellEnd"/>
      <w:r w:rsidR="00D25C4E">
        <w:rPr>
          <w:lang w:eastAsia="en-GB"/>
        </w:rPr>
        <w:t xml:space="preserve"> Sandstone</w:t>
      </w:r>
      <w:r w:rsidR="001A42B4">
        <w:rPr>
          <w:lang w:eastAsia="en-GB"/>
        </w:rPr>
        <w:t xml:space="preserve"> and the seabed, providing additional barriers to the escape of the CO</w:t>
      </w:r>
      <w:r w:rsidR="001A42B4" w:rsidRPr="0040211E">
        <w:rPr>
          <w:vertAlign w:val="subscript"/>
          <w:lang w:eastAsia="en-GB"/>
        </w:rPr>
        <w:t>2</w:t>
      </w:r>
      <w:r w:rsidR="001A42B4">
        <w:rPr>
          <w:lang w:eastAsia="en-GB"/>
        </w:rPr>
        <w:t xml:space="preserve"> to the surface</w:t>
      </w:r>
      <w:r w:rsidR="00D25C4E">
        <w:rPr>
          <w:lang w:eastAsia="en-GB"/>
        </w:rPr>
        <w:t xml:space="preserve"> in the event of </w:t>
      </w:r>
      <w:r w:rsidR="00D25C4E" w:rsidRPr="00D25C4E">
        <w:rPr>
          <w:sz w:val="20"/>
          <w:lang w:eastAsia="en-GB"/>
        </w:rPr>
        <w:t>CO</w:t>
      </w:r>
      <w:r w:rsidR="00D25C4E" w:rsidRPr="00D25C4E">
        <w:rPr>
          <w:sz w:val="20"/>
          <w:vertAlign w:val="subscript"/>
          <w:lang w:eastAsia="en-GB"/>
        </w:rPr>
        <w:t>2</w:t>
      </w:r>
      <w:r w:rsidR="00D25C4E">
        <w:rPr>
          <w:lang w:eastAsia="en-GB"/>
        </w:rPr>
        <w:t xml:space="preserve"> migration through the abandoned wells</w:t>
      </w:r>
      <w:r w:rsidR="001A42B4">
        <w:rPr>
          <w:lang w:eastAsia="en-GB"/>
        </w:rPr>
        <w:t xml:space="preserve">. </w:t>
      </w:r>
      <w:r w:rsidR="00D25C4E">
        <w:rPr>
          <w:lang w:eastAsia="en-GB"/>
        </w:rPr>
        <w:t>On the other hand, m</w:t>
      </w:r>
      <w:r w:rsidR="001A42B4">
        <w:rPr>
          <w:lang w:eastAsia="en-GB"/>
        </w:rPr>
        <w:t xml:space="preserve">ost of the wells drilled and abandoned in the East </w:t>
      </w:r>
      <w:proofErr w:type="spellStart"/>
      <w:r w:rsidR="001A42B4">
        <w:rPr>
          <w:lang w:eastAsia="en-GB"/>
        </w:rPr>
        <w:t>Heimdal</w:t>
      </w:r>
      <w:proofErr w:type="spellEnd"/>
      <w:r w:rsidR="001A42B4">
        <w:rPr>
          <w:lang w:eastAsia="en-GB"/>
        </w:rPr>
        <w:t xml:space="preserve"> area originally targeted oil and gas fields </w:t>
      </w:r>
      <w:r w:rsidR="001A42B4" w:rsidRPr="001A42B4">
        <w:rPr>
          <w:lang w:eastAsia="en-GB"/>
        </w:rPr>
        <w:t xml:space="preserve">deeper </w:t>
      </w:r>
      <w:r w:rsidR="001A42B4">
        <w:rPr>
          <w:lang w:eastAsia="en-GB"/>
        </w:rPr>
        <w:t xml:space="preserve">than the </w:t>
      </w:r>
      <w:proofErr w:type="spellStart"/>
      <w:r w:rsidR="001A42B4">
        <w:rPr>
          <w:lang w:eastAsia="en-GB"/>
        </w:rPr>
        <w:t>Heimdal</w:t>
      </w:r>
      <w:proofErr w:type="spellEnd"/>
      <w:r w:rsidR="001A42B4">
        <w:rPr>
          <w:lang w:eastAsia="en-GB"/>
        </w:rPr>
        <w:t xml:space="preserve"> Formation (</w:t>
      </w:r>
      <w:proofErr w:type="gramStart"/>
      <w:r w:rsidR="001A42B4">
        <w:rPr>
          <w:lang w:eastAsia="en-GB"/>
        </w:rPr>
        <w:t>e.g.</w:t>
      </w:r>
      <w:proofErr w:type="gramEnd"/>
      <w:r w:rsidR="001A42B4">
        <w:rPr>
          <w:lang w:eastAsia="en-GB"/>
        </w:rPr>
        <w:t xml:space="preserve"> the </w:t>
      </w:r>
      <w:r w:rsidR="001A42B4" w:rsidRPr="001A42B4">
        <w:rPr>
          <w:lang w:eastAsia="en-GB"/>
        </w:rPr>
        <w:t>Brae fields</w:t>
      </w:r>
      <w:r w:rsidR="001A42B4">
        <w:rPr>
          <w:lang w:eastAsia="en-GB"/>
        </w:rPr>
        <w:t>)</w:t>
      </w:r>
      <w:r w:rsidR="001A42B4" w:rsidRPr="001A42B4">
        <w:rPr>
          <w:lang w:eastAsia="en-GB"/>
        </w:rPr>
        <w:t xml:space="preserve"> so </w:t>
      </w:r>
      <w:r w:rsidR="001A42B4">
        <w:rPr>
          <w:lang w:eastAsia="en-GB"/>
        </w:rPr>
        <w:t xml:space="preserve">they </w:t>
      </w:r>
      <w:r w:rsidR="001A42B4" w:rsidRPr="001A42B4">
        <w:rPr>
          <w:lang w:eastAsia="en-GB"/>
        </w:rPr>
        <w:t xml:space="preserve">may not be properly abandoned in the </w:t>
      </w:r>
      <w:proofErr w:type="spellStart"/>
      <w:r w:rsidR="001A42B4" w:rsidRPr="001A42B4">
        <w:rPr>
          <w:lang w:eastAsia="en-GB"/>
        </w:rPr>
        <w:t>Heimdal</w:t>
      </w:r>
      <w:proofErr w:type="spellEnd"/>
      <w:r w:rsidR="001A42B4" w:rsidRPr="001A42B4">
        <w:rPr>
          <w:lang w:eastAsia="en-GB"/>
        </w:rPr>
        <w:t xml:space="preserve"> </w:t>
      </w:r>
      <w:r w:rsidR="00F66F8C">
        <w:rPr>
          <w:lang w:eastAsia="en-GB"/>
        </w:rPr>
        <w:t>F</w:t>
      </w:r>
      <w:r w:rsidR="001A42B4" w:rsidRPr="001A42B4">
        <w:rPr>
          <w:lang w:eastAsia="en-GB"/>
        </w:rPr>
        <w:t xml:space="preserve">ormation itself, posing a </w:t>
      </w:r>
      <w:r w:rsidR="00430227">
        <w:rPr>
          <w:lang w:eastAsia="en-GB"/>
        </w:rPr>
        <w:t>greater</w:t>
      </w:r>
      <w:r w:rsidR="001A42B4" w:rsidRPr="001A42B4">
        <w:rPr>
          <w:lang w:eastAsia="en-GB"/>
        </w:rPr>
        <w:t xml:space="preserve"> containment risk</w:t>
      </w:r>
      <w:r w:rsidR="00430227">
        <w:rPr>
          <w:lang w:eastAsia="en-GB"/>
        </w:rPr>
        <w:t xml:space="preserve"> potential in this site</w:t>
      </w:r>
      <w:r w:rsidR="001A42B4" w:rsidRPr="001A42B4">
        <w:rPr>
          <w:lang w:eastAsia="en-GB"/>
        </w:rPr>
        <w:t>.</w:t>
      </w:r>
    </w:p>
    <w:p w14:paraId="42B63AB2" w14:textId="23BC2025" w:rsidR="00AA3440" w:rsidRPr="002B2A02" w:rsidRDefault="006E686B" w:rsidP="00E3373D">
      <w:pPr>
        <w:pStyle w:val="Heading1"/>
        <w:rPr>
          <w:rStyle w:val="BookTitle"/>
          <w:rFonts w:ascii="Times New Roman" w:hAnsi="Times New Roman"/>
          <w:b/>
          <w:bCs w:val="0"/>
          <w:iCs w:val="0"/>
          <w:spacing w:val="0"/>
        </w:rPr>
      </w:pPr>
      <w:r w:rsidRPr="002B2A02">
        <w:rPr>
          <w:rStyle w:val="BookTitle"/>
          <w:rFonts w:ascii="Times New Roman" w:hAnsi="Times New Roman"/>
          <w:b/>
          <w:bCs w:val="0"/>
          <w:iCs w:val="0"/>
          <w:spacing w:val="0"/>
        </w:rPr>
        <w:t>Discussion</w:t>
      </w:r>
      <w:r w:rsidR="00AA3440" w:rsidRPr="002B2A02">
        <w:rPr>
          <w:rStyle w:val="BookTitle"/>
          <w:rFonts w:ascii="Times New Roman" w:hAnsi="Times New Roman"/>
          <w:b/>
          <w:bCs w:val="0"/>
          <w:iCs w:val="0"/>
          <w:spacing w:val="0"/>
        </w:rPr>
        <w:t xml:space="preserve"> </w:t>
      </w:r>
    </w:p>
    <w:p w14:paraId="525577CD" w14:textId="77777777" w:rsidR="00A37ED9" w:rsidRPr="00317562" w:rsidRDefault="00A37ED9" w:rsidP="002B78D5">
      <w:pPr>
        <w:pStyle w:val="Subsection"/>
        <w:rPr>
          <w:rStyle w:val="BookTitle"/>
          <w:rFonts w:ascii="Times New Roman" w:hAnsi="Times New Roman"/>
          <w:b/>
          <w:bCs w:val="0"/>
          <w:iCs w:val="0"/>
          <w:spacing w:val="0"/>
        </w:rPr>
      </w:pPr>
      <w:r>
        <w:rPr>
          <w:rStyle w:val="BookTitle"/>
          <w:rFonts w:ascii="Times New Roman" w:hAnsi="Times New Roman"/>
          <w:b/>
          <w:bCs w:val="0"/>
          <w:iCs w:val="0"/>
          <w:spacing w:val="0"/>
        </w:rPr>
        <w:t>Site selection and data handling</w:t>
      </w:r>
    </w:p>
    <w:p w14:paraId="33E1D88D" w14:textId="24B27100" w:rsidR="00A37ED9" w:rsidRDefault="00A37ED9" w:rsidP="00AE5863">
      <w:pPr>
        <w:tabs>
          <w:tab w:val="left" w:pos="9923"/>
        </w:tabs>
        <w:spacing w:line="276" w:lineRule="auto"/>
        <w:rPr>
          <w:rStyle w:val="BookTitle"/>
          <w:rFonts w:ascii="Times New Roman" w:hAnsi="Times New Roman"/>
          <w:b w:val="0"/>
          <w:i/>
          <w:spacing w:val="0"/>
        </w:rPr>
      </w:pPr>
      <w:r>
        <w:rPr>
          <w:rStyle w:val="BookTitle"/>
          <w:rFonts w:ascii="Times New Roman" w:hAnsi="Times New Roman"/>
          <w:b w:val="0"/>
          <w:spacing w:val="0"/>
        </w:rPr>
        <w:t xml:space="preserve">The </w:t>
      </w:r>
      <w:r w:rsidR="00636C4C">
        <w:rPr>
          <w:rStyle w:val="BookTitle"/>
          <w:rFonts w:ascii="Times New Roman" w:hAnsi="Times New Roman"/>
          <w:b w:val="0"/>
          <w:spacing w:val="0"/>
        </w:rPr>
        <w:t xml:space="preserve">criteria-driven </w:t>
      </w:r>
      <w:r>
        <w:rPr>
          <w:rStyle w:val="BookTitle"/>
          <w:rFonts w:ascii="Times New Roman" w:hAnsi="Times New Roman"/>
          <w:b w:val="0"/>
          <w:spacing w:val="0"/>
        </w:rPr>
        <w:t>methodology</w:t>
      </w:r>
      <w:r w:rsidRPr="00F06736">
        <w:rPr>
          <w:rStyle w:val="BookTitle"/>
          <w:rFonts w:ascii="Times New Roman" w:hAnsi="Times New Roman"/>
          <w:b w:val="0"/>
          <w:spacing w:val="0"/>
        </w:rPr>
        <w:t xml:space="preserve"> </w:t>
      </w:r>
      <w:r>
        <w:rPr>
          <w:rStyle w:val="BookTitle"/>
          <w:rFonts w:ascii="Times New Roman" w:hAnsi="Times New Roman"/>
          <w:b w:val="0"/>
          <w:spacing w:val="0"/>
        </w:rPr>
        <w:t xml:space="preserve">presented in this </w:t>
      </w:r>
      <w:r w:rsidR="00AD7827">
        <w:rPr>
          <w:rStyle w:val="BookTitle"/>
          <w:rFonts w:ascii="Times New Roman" w:hAnsi="Times New Roman"/>
          <w:b w:val="0"/>
          <w:spacing w:val="0"/>
        </w:rPr>
        <w:t xml:space="preserve">study </w:t>
      </w:r>
      <w:r>
        <w:rPr>
          <w:rStyle w:val="BookTitle"/>
          <w:rFonts w:ascii="Times New Roman" w:hAnsi="Times New Roman"/>
          <w:b w:val="0"/>
          <w:spacing w:val="0"/>
        </w:rPr>
        <w:t xml:space="preserve">(Figure 2) allowed for the selection of East </w:t>
      </w:r>
      <w:proofErr w:type="spellStart"/>
      <w:r>
        <w:rPr>
          <w:rStyle w:val="BookTitle"/>
          <w:rFonts w:ascii="Times New Roman" w:hAnsi="Times New Roman"/>
          <w:b w:val="0"/>
          <w:spacing w:val="0"/>
        </w:rPr>
        <w:t>Mey</w:t>
      </w:r>
      <w:proofErr w:type="spellEnd"/>
      <w:r>
        <w:rPr>
          <w:rStyle w:val="BookTitle"/>
          <w:rFonts w:ascii="Times New Roman" w:hAnsi="Times New Roman"/>
          <w:b w:val="0"/>
          <w:spacing w:val="0"/>
        </w:rPr>
        <w:t xml:space="preserve"> as</w:t>
      </w:r>
      <w:r w:rsidR="00B82E32">
        <w:rPr>
          <w:rStyle w:val="BookTitle"/>
          <w:rFonts w:ascii="Times New Roman" w:hAnsi="Times New Roman"/>
          <w:b w:val="0"/>
          <w:spacing w:val="0"/>
        </w:rPr>
        <w:t xml:space="preserve"> </w:t>
      </w:r>
      <w:r>
        <w:rPr>
          <w:rStyle w:val="BookTitle"/>
          <w:rFonts w:ascii="Times New Roman" w:hAnsi="Times New Roman"/>
          <w:b w:val="0"/>
          <w:spacing w:val="0"/>
        </w:rPr>
        <w:t>Site 2 for the Acorn project. Our methodology incorporate</w:t>
      </w:r>
      <w:r w:rsidR="00B82E32">
        <w:rPr>
          <w:rStyle w:val="BookTitle"/>
          <w:rFonts w:ascii="Times New Roman" w:hAnsi="Times New Roman"/>
          <w:b w:val="0"/>
          <w:spacing w:val="0"/>
        </w:rPr>
        <w:t>d</w:t>
      </w:r>
      <w:r>
        <w:rPr>
          <w:rStyle w:val="BookTitle"/>
          <w:rFonts w:ascii="Times New Roman" w:hAnsi="Times New Roman"/>
          <w:b w:val="0"/>
          <w:spacing w:val="0"/>
        </w:rPr>
        <w:t xml:space="preserve"> valuable learnings from similar studies (see section 3), such as the use of multiple criteria and the </w:t>
      </w:r>
      <w:r w:rsidR="00D25C4E">
        <w:rPr>
          <w:rStyle w:val="BookTitle"/>
          <w:rFonts w:ascii="Times New Roman" w:hAnsi="Times New Roman"/>
          <w:b w:val="0"/>
          <w:spacing w:val="0"/>
        </w:rPr>
        <w:t>inclusion</w:t>
      </w:r>
      <w:r>
        <w:rPr>
          <w:rStyle w:val="BookTitle"/>
          <w:rFonts w:ascii="Times New Roman" w:hAnsi="Times New Roman"/>
          <w:b w:val="0"/>
          <w:spacing w:val="0"/>
        </w:rPr>
        <w:t xml:space="preserve"> of screening and ranking stages</w:t>
      </w:r>
      <w:r w:rsidRPr="00A37ED9">
        <w:rPr>
          <w:rStyle w:val="BookTitle"/>
          <w:rFonts w:ascii="Times New Roman" w:hAnsi="Times New Roman"/>
          <w:b w:val="0"/>
          <w:spacing w:val="0"/>
        </w:rPr>
        <w:t xml:space="preserve"> </w:t>
      </w:r>
      <w:r>
        <w:rPr>
          <w:rStyle w:val="BookTitle"/>
          <w:rFonts w:ascii="Times New Roman" w:hAnsi="Times New Roman"/>
          <w:b w:val="0"/>
          <w:spacing w:val="0"/>
        </w:rPr>
        <w:t xml:space="preserve">into the site selection workflow. However, the methodologies outlined in </w:t>
      </w:r>
      <w:r w:rsidR="00AD7827">
        <w:rPr>
          <w:rStyle w:val="BookTitle"/>
          <w:rFonts w:ascii="Times New Roman" w:hAnsi="Times New Roman"/>
          <w:b w:val="0"/>
          <w:spacing w:val="0"/>
        </w:rPr>
        <w:t xml:space="preserve">previous </w:t>
      </w:r>
      <w:r>
        <w:rPr>
          <w:rStyle w:val="BookTitle"/>
          <w:rFonts w:ascii="Times New Roman" w:hAnsi="Times New Roman"/>
          <w:b w:val="0"/>
          <w:spacing w:val="0"/>
        </w:rPr>
        <w:t>studies</w:t>
      </w:r>
      <w:r w:rsidRPr="00972203">
        <w:rPr>
          <w:rStyle w:val="BookTitle"/>
          <w:rFonts w:ascii="Times New Roman" w:hAnsi="Times New Roman"/>
          <w:b w:val="0"/>
          <w:spacing w:val="0"/>
        </w:rPr>
        <w:t xml:space="preserve"> </w:t>
      </w:r>
      <w:r>
        <w:rPr>
          <w:rStyle w:val="BookTitle"/>
          <w:rFonts w:ascii="Times New Roman" w:hAnsi="Times New Roman"/>
          <w:b w:val="0"/>
          <w:spacing w:val="0"/>
        </w:rPr>
        <w:t>are</w:t>
      </w:r>
      <w:r w:rsidRPr="00710FD0">
        <w:rPr>
          <w:rStyle w:val="BookTitle"/>
          <w:rFonts w:ascii="Times New Roman" w:hAnsi="Times New Roman"/>
          <w:b w:val="0"/>
          <w:spacing w:val="0"/>
        </w:rPr>
        <w:t xml:space="preserve"> </w:t>
      </w:r>
      <w:r>
        <w:rPr>
          <w:rStyle w:val="BookTitle"/>
          <w:rFonts w:ascii="Times New Roman" w:hAnsi="Times New Roman"/>
          <w:b w:val="0"/>
          <w:spacing w:val="0"/>
        </w:rPr>
        <w:t xml:space="preserve">generally either too region-specific or </w:t>
      </w:r>
      <w:r w:rsidR="00B82E32">
        <w:rPr>
          <w:rStyle w:val="BookTitle"/>
          <w:rFonts w:ascii="Times New Roman" w:hAnsi="Times New Roman"/>
          <w:b w:val="0"/>
          <w:spacing w:val="0"/>
        </w:rPr>
        <w:t xml:space="preserve">are </w:t>
      </w:r>
      <w:r>
        <w:rPr>
          <w:rStyle w:val="BookTitle"/>
          <w:rFonts w:ascii="Times New Roman" w:hAnsi="Times New Roman"/>
          <w:b w:val="0"/>
          <w:spacing w:val="0"/>
        </w:rPr>
        <w:t>only suitable for a first-order approach</w:t>
      </w:r>
      <w:r w:rsidRPr="00710FD0">
        <w:rPr>
          <w:rStyle w:val="BookTitle"/>
          <w:rFonts w:ascii="Times New Roman" w:hAnsi="Times New Roman"/>
          <w:b w:val="0"/>
          <w:spacing w:val="0"/>
        </w:rPr>
        <w:t>.</w:t>
      </w:r>
      <w:r>
        <w:rPr>
          <w:rStyle w:val="BookTitle"/>
          <w:rFonts w:ascii="Times New Roman" w:hAnsi="Times New Roman"/>
          <w:b w:val="0"/>
          <w:spacing w:val="0"/>
        </w:rPr>
        <w:t xml:space="preserve"> </w:t>
      </w:r>
      <w:r w:rsidR="00B82E32">
        <w:rPr>
          <w:rStyle w:val="BookTitle"/>
          <w:rFonts w:ascii="Times New Roman" w:hAnsi="Times New Roman"/>
          <w:b w:val="0"/>
          <w:spacing w:val="0"/>
        </w:rPr>
        <w:t>Here</w:t>
      </w:r>
      <w:r>
        <w:rPr>
          <w:rStyle w:val="BookTitle"/>
          <w:rFonts w:ascii="Times New Roman" w:hAnsi="Times New Roman"/>
          <w:b w:val="0"/>
          <w:spacing w:val="0"/>
        </w:rPr>
        <w:t>, the project specifications for the selection of Site 2 drove the creation of a criteria-driven site selection methodology adapted to the context, project requirements and data availab</w:t>
      </w:r>
      <w:r w:rsidR="00AD7827">
        <w:rPr>
          <w:rStyle w:val="BookTitle"/>
          <w:rFonts w:ascii="Times New Roman" w:hAnsi="Times New Roman"/>
          <w:b w:val="0"/>
          <w:spacing w:val="0"/>
        </w:rPr>
        <w:t>ility</w:t>
      </w:r>
      <w:r>
        <w:rPr>
          <w:rStyle w:val="BookTitle"/>
          <w:rFonts w:ascii="Times New Roman" w:hAnsi="Times New Roman"/>
          <w:b w:val="0"/>
          <w:spacing w:val="0"/>
        </w:rPr>
        <w:t xml:space="preserve">. We defined some absolute, specific criteria (in the </w:t>
      </w:r>
      <w:r w:rsidR="00AD7827">
        <w:rPr>
          <w:rStyle w:val="BookTitle"/>
          <w:rFonts w:ascii="Times New Roman" w:hAnsi="Times New Roman"/>
          <w:b w:val="0"/>
          <w:spacing w:val="0"/>
        </w:rPr>
        <w:t xml:space="preserve">basis </w:t>
      </w:r>
      <w:r>
        <w:rPr>
          <w:rStyle w:val="BookTitle"/>
          <w:rFonts w:ascii="Times New Roman" w:hAnsi="Times New Roman"/>
          <w:b w:val="0"/>
          <w:spacing w:val="0"/>
        </w:rPr>
        <w:t xml:space="preserve">of </w:t>
      </w:r>
      <w:r w:rsidR="00AD7827">
        <w:rPr>
          <w:rStyle w:val="BookTitle"/>
          <w:rFonts w:ascii="Times New Roman" w:hAnsi="Times New Roman"/>
          <w:b w:val="0"/>
          <w:spacing w:val="0"/>
        </w:rPr>
        <w:t xml:space="preserve">design </w:t>
      </w:r>
      <w:r>
        <w:rPr>
          <w:rStyle w:val="BookTitle"/>
          <w:rFonts w:ascii="Times New Roman" w:hAnsi="Times New Roman"/>
          <w:b w:val="0"/>
          <w:spacing w:val="0"/>
        </w:rPr>
        <w:t xml:space="preserve">and </w:t>
      </w:r>
      <w:r w:rsidR="00AD7827">
        <w:rPr>
          <w:rStyle w:val="BookTitle"/>
          <w:rFonts w:ascii="Times New Roman" w:hAnsi="Times New Roman"/>
          <w:b w:val="0"/>
          <w:spacing w:val="0"/>
        </w:rPr>
        <w:t xml:space="preserve">screening </w:t>
      </w:r>
      <w:r w:rsidR="00B82E32">
        <w:rPr>
          <w:rStyle w:val="BookTitle"/>
          <w:rFonts w:ascii="Times New Roman" w:hAnsi="Times New Roman"/>
          <w:b w:val="0"/>
          <w:spacing w:val="0"/>
        </w:rPr>
        <w:t>s</w:t>
      </w:r>
      <w:r>
        <w:rPr>
          <w:rStyle w:val="BookTitle"/>
          <w:rFonts w:ascii="Times New Roman" w:hAnsi="Times New Roman"/>
          <w:b w:val="0"/>
          <w:spacing w:val="0"/>
        </w:rPr>
        <w:t xml:space="preserve">tages) and more relative, weighted factors, or site qualification criteria (in the </w:t>
      </w:r>
      <w:r w:rsidR="00AD7827">
        <w:rPr>
          <w:rStyle w:val="BookTitle"/>
          <w:rFonts w:ascii="Times New Roman" w:hAnsi="Times New Roman"/>
          <w:b w:val="0"/>
          <w:spacing w:val="0"/>
        </w:rPr>
        <w:t xml:space="preserve">ranking </w:t>
      </w:r>
      <w:r>
        <w:rPr>
          <w:rStyle w:val="BookTitle"/>
          <w:rFonts w:ascii="Times New Roman" w:hAnsi="Times New Roman"/>
          <w:b w:val="0"/>
          <w:spacing w:val="0"/>
        </w:rPr>
        <w:t xml:space="preserve">and </w:t>
      </w:r>
      <w:r w:rsidR="00AD7827">
        <w:rPr>
          <w:rStyle w:val="BookTitle"/>
          <w:rFonts w:ascii="Times New Roman" w:hAnsi="Times New Roman"/>
          <w:b w:val="0"/>
          <w:spacing w:val="0"/>
        </w:rPr>
        <w:t xml:space="preserve">due diligence </w:t>
      </w:r>
      <w:r>
        <w:rPr>
          <w:rStyle w:val="BookTitle"/>
          <w:rFonts w:ascii="Times New Roman" w:hAnsi="Times New Roman"/>
          <w:b w:val="0"/>
          <w:spacing w:val="0"/>
        </w:rPr>
        <w:t xml:space="preserve">stages), similarly to </w:t>
      </w:r>
      <w:proofErr w:type="spellStart"/>
      <w:r>
        <w:rPr>
          <w:rStyle w:val="BookTitle"/>
          <w:rFonts w:ascii="Times New Roman" w:hAnsi="Times New Roman"/>
          <w:b w:val="0"/>
          <w:spacing w:val="0"/>
        </w:rPr>
        <w:t>Grataloup</w:t>
      </w:r>
      <w:proofErr w:type="spellEnd"/>
      <w:r>
        <w:rPr>
          <w:rStyle w:val="BookTitle"/>
          <w:rFonts w:ascii="Times New Roman" w:hAnsi="Times New Roman"/>
          <w:b w:val="0"/>
          <w:spacing w:val="0"/>
        </w:rPr>
        <w:t xml:space="preserve"> et </w:t>
      </w:r>
      <w:proofErr w:type="spellStart"/>
      <w:r>
        <w:rPr>
          <w:rStyle w:val="BookTitle"/>
          <w:rFonts w:ascii="Times New Roman" w:hAnsi="Times New Roman"/>
          <w:b w:val="0"/>
          <w:spacing w:val="0"/>
        </w:rPr>
        <w:t>al’s</w:t>
      </w:r>
      <w:proofErr w:type="spellEnd"/>
      <w:r>
        <w:rPr>
          <w:rStyle w:val="BookTitle"/>
          <w:rFonts w:ascii="Times New Roman" w:hAnsi="Times New Roman"/>
          <w:b w:val="0"/>
          <w:spacing w:val="0"/>
        </w:rPr>
        <w:t xml:space="preserve"> use of killer and qualification criteria </w:t>
      </w:r>
      <w:r>
        <w:rPr>
          <w:rStyle w:val="BookTitle"/>
          <w:rFonts w:ascii="Times New Roman" w:hAnsi="Times New Roman"/>
          <w:b w:val="0"/>
          <w:spacing w:val="0"/>
        </w:rPr>
        <w:fldChar w:fldCharType="begin" w:fldLock="1"/>
      </w:r>
      <w:r w:rsidR="009D58AA">
        <w:rPr>
          <w:rStyle w:val="BookTitle"/>
          <w:rFonts w:ascii="Times New Roman" w:hAnsi="Times New Roman"/>
          <w:b w:val="0"/>
          <w:spacing w:val="0"/>
        </w:rPr>
        <w:instrText>ADDIN CSL_CITATION {"citationItems":[{"id":"ITEM-1","itemData":{"DOI":"10.1016/j.egypro.2009.02.068","ISSN":"18766102","abstract":"Site selection is a fundamental step, which can condition the success of a CO2 geological storage. A CO2 storage has to gather several targets, which can be expressed through a list of criteria. In the proposed site selection methodology, these criteria can be classified into \"killer criteria\" and \"site-qualification criteria\", whose combinations allow identifying potential sites and the most appropriate one(s). This multicriteria methodology is applied on the PICOREF study area, located in the Paris Basin, on which potential site(s) in deep saline aquifers are investigated. © 2009 Elsevier Ltd. All rights reserved.","author":[{"dropping-particle":"","family":"Grataloup","given":"Sandrine","non-dropping-particle":"","parse-names":false,"suffix":""},{"dropping-particle":"","family":"Bonijoly","given":"Didier","non-dropping-particle":"","parse-names":false,"suffix":""},{"dropping-particle":"","family":"Brosse","given":"Etienne","non-dropping-particle":"","parse-names":false,"suffix":""},{"dropping-particle":"","family":"Dreux","given":"Rémi","non-dropping-particle":"","parse-names":false,"suffix":""},{"dropping-particle":"","family":"Garcia","given":"Daniel","non-dropping-particle":"","parse-names":false,"suffix":""},{"dropping-particle":"","family":"Hasanov","given":"Vladimir","non-dropping-particle":"","parse-names":false,"suffix":""},{"dropping-particle":"","family":"Lescanne","given":"Marc","non-dropping-particle":"","parse-names":false,"suffix":""},{"dropping-particle":"","family":"Renoux","given":"Patrick","non-dropping-particle":"","parse-names":false,"suffix":""},{"dropping-particle":"","family":"Thoraval","given":"Alain","non-dropping-particle":"","parse-names":false,"suffix":""}],"container-title":"Energy Procedia","id":"ITEM-1","issue":"1","issued":{"date-parts":[["2009"]]},"page":"2929-2936","publisher":"Elsevier","title":"A site selection methodology for CO2 underground storage in deep saline aquifers: case of the Paris Basin","type":"article-journal","volume":"1"},"uris":["http://www.mendeley.com/documents/?uuid=47e13756-6f49-40fc-a221-c31da84959f3"]}],"mendeley":{"formattedCitation":"(Grataloup et al., 2009)","plainTextFormattedCitation":"(Grataloup et al., 2009)","previouslyFormattedCitation":"(Grataloup et al., 2009)"},"properties":{"noteIndex":0},"schema":"https://github.com/citation-style-language/schema/raw/master/csl-citation.json"}</w:instrText>
      </w:r>
      <w:r>
        <w:rPr>
          <w:rStyle w:val="BookTitle"/>
          <w:rFonts w:ascii="Times New Roman" w:hAnsi="Times New Roman"/>
          <w:b w:val="0"/>
          <w:spacing w:val="0"/>
        </w:rPr>
        <w:fldChar w:fldCharType="separate"/>
      </w:r>
      <w:r w:rsidR="00C01E2D" w:rsidRPr="00C01E2D">
        <w:rPr>
          <w:rStyle w:val="BookTitle"/>
          <w:rFonts w:ascii="Times New Roman" w:hAnsi="Times New Roman"/>
          <w:b w:val="0"/>
          <w:noProof/>
          <w:spacing w:val="0"/>
        </w:rPr>
        <w:t>(Grataloup et al., 2009)</w:t>
      </w:r>
      <w:r>
        <w:rPr>
          <w:rStyle w:val="BookTitle"/>
          <w:rFonts w:ascii="Times New Roman" w:hAnsi="Times New Roman"/>
          <w:b w:val="0"/>
          <w:spacing w:val="0"/>
        </w:rPr>
        <w:fldChar w:fldCharType="end"/>
      </w:r>
      <w:r>
        <w:rPr>
          <w:rStyle w:val="BookTitle"/>
          <w:rFonts w:ascii="Times New Roman" w:hAnsi="Times New Roman"/>
          <w:b w:val="0"/>
          <w:spacing w:val="0"/>
        </w:rPr>
        <w:t>. The top-down site selection process</w:t>
      </w:r>
      <w:r w:rsidR="00AD7827">
        <w:rPr>
          <w:rStyle w:val="BookTitle"/>
          <w:rFonts w:ascii="Times New Roman" w:hAnsi="Times New Roman"/>
          <w:b w:val="0"/>
          <w:spacing w:val="0"/>
        </w:rPr>
        <w:t>,</w:t>
      </w:r>
      <w:r>
        <w:rPr>
          <w:rStyle w:val="BookTitle"/>
          <w:rFonts w:ascii="Times New Roman" w:hAnsi="Times New Roman"/>
          <w:b w:val="0"/>
          <w:spacing w:val="0"/>
        </w:rPr>
        <w:t xml:space="preserve"> presented here</w:t>
      </w:r>
      <w:r w:rsidR="00AD7827">
        <w:rPr>
          <w:rStyle w:val="BookTitle"/>
          <w:rFonts w:ascii="Times New Roman" w:hAnsi="Times New Roman"/>
          <w:b w:val="0"/>
          <w:spacing w:val="0"/>
        </w:rPr>
        <w:t>,</w:t>
      </w:r>
      <w:r>
        <w:rPr>
          <w:rStyle w:val="BookTitle"/>
          <w:rFonts w:ascii="Times New Roman" w:hAnsi="Times New Roman"/>
          <w:b w:val="0"/>
          <w:spacing w:val="0"/>
        </w:rPr>
        <w:t xml:space="preserve"> employed multiple criteria, that described both qualitative and quantitative information about sites</w:t>
      </w:r>
      <w:r w:rsidRPr="00AB535B">
        <w:rPr>
          <w:rStyle w:val="BookTitle"/>
          <w:rFonts w:ascii="Times New Roman" w:hAnsi="Times New Roman"/>
          <w:b w:val="0"/>
          <w:spacing w:val="0"/>
        </w:rPr>
        <w:t xml:space="preserve"> </w:t>
      </w:r>
      <w:r>
        <w:rPr>
          <w:rStyle w:val="BookTitle"/>
          <w:rFonts w:ascii="Times New Roman" w:hAnsi="Times New Roman"/>
          <w:b w:val="0"/>
          <w:spacing w:val="0"/>
        </w:rPr>
        <w:t>of different nature (geological, engineering, and financial). This forced the use of assumptions (</w:t>
      </w:r>
      <w:proofErr w:type="gramStart"/>
      <w:r>
        <w:rPr>
          <w:rStyle w:val="BookTitle"/>
          <w:rFonts w:ascii="Times New Roman" w:hAnsi="Times New Roman"/>
          <w:b w:val="0"/>
          <w:spacing w:val="0"/>
        </w:rPr>
        <w:t>e.g.</w:t>
      </w:r>
      <w:proofErr w:type="gramEnd"/>
      <w:r>
        <w:rPr>
          <w:rStyle w:val="BookTitle"/>
          <w:rFonts w:ascii="Times New Roman" w:hAnsi="Times New Roman"/>
          <w:b w:val="0"/>
          <w:spacing w:val="0"/>
        </w:rPr>
        <w:t xml:space="preserve"> number of wells and price per km in the calculation of the development cost) and “quantifiers” (e.g. unit type or risk) that allowed </w:t>
      </w:r>
      <w:r w:rsidR="00AD7827">
        <w:rPr>
          <w:rStyle w:val="BookTitle"/>
          <w:rFonts w:ascii="Times New Roman" w:hAnsi="Times New Roman"/>
          <w:b w:val="0"/>
          <w:spacing w:val="0"/>
        </w:rPr>
        <w:t xml:space="preserve">us to </w:t>
      </w:r>
      <w:r>
        <w:rPr>
          <w:rStyle w:val="BookTitle"/>
          <w:rFonts w:ascii="Times New Roman" w:hAnsi="Times New Roman"/>
          <w:b w:val="0"/>
          <w:spacing w:val="0"/>
        </w:rPr>
        <w:t>assign values to otherwise qualitative information. These criteria are suitable for the filtering stages of the site selection process, but they need to be reassessed in the due diligence stage to produce more accurate assessments of the</w:t>
      </w:r>
      <w:r w:rsidR="00B82E32">
        <w:rPr>
          <w:rStyle w:val="BookTitle"/>
          <w:rFonts w:ascii="Times New Roman" w:hAnsi="Times New Roman"/>
          <w:b w:val="0"/>
          <w:spacing w:val="0"/>
        </w:rPr>
        <w:t xml:space="preserve"> different aspects of </w:t>
      </w:r>
      <w:r>
        <w:rPr>
          <w:rStyle w:val="BookTitle"/>
          <w:rFonts w:ascii="Times New Roman" w:hAnsi="Times New Roman"/>
          <w:b w:val="0"/>
          <w:spacing w:val="0"/>
        </w:rPr>
        <w:t xml:space="preserve">sites, particularly </w:t>
      </w:r>
      <w:r w:rsidR="00B82E32">
        <w:rPr>
          <w:rStyle w:val="BookTitle"/>
          <w:rFonts w:ascii="Times New Roman" w:hAnsi="Times New Roman"/>
          <w:b w:val="0"/>
          <w:spacing w:val="0"/>
        </w:rPr>
        <w:t xml:space="preserve">those that will </w:t>
      </w:r>
      <w:r>
        <w:rPr>
          <w:rStyle w:val="BookTitle"/>
          <w:rFonts w:ascii="Times New Roman" w:hAnsi="Times New Roman"/>
          <w:b w:val="0"/>
          <w:spacing w:val="0"/>
        </w:rPr>
        <w:t>determine commercial decisions.</w:t>
      </w:r>
      <w:r w:rsidRPr="0028549F">
        <w:rPr>
          <w:lang w:eastAsia="en-GB"/>
        </w:rPr>
        <w:t xml:space="preserve"> </w:t>
      </w:r>
      <w:r>
        <w:rPr>
          <w:rStyle w:val="BookTitle"/>
          <w:rFonts w:ascii="Times New Roman" w:hAnsi="Times New Roman"/>
          <w:b w:val="0"/>
          <w:spacing w:val="0"/>
        </w:rPr>
        <w:t>We argue that first order selections can be successfully achieved using information compiled in storage databases and atlases, but that comprehensive site selection solutions require handling data sources (</w:t>
      </w:r>
      <w:proofErr w:type="gramStart"/>
      <w:r>
        <w:rPr>
          <w:rStyle w:val="BookTitle"/>
          <w:rFonts w:ascii="Times New Roman" w:hAnsi="Times New Roman"/>
          <w:b w:val="0"/>
          <w:spacing w:val="0"/>
        </w:rPr>
        <w:t>e.g.</w:t>
      </w:r>
      <w:proofErr w:type="gramEnd"/>
      <w:r>
        <w:rPr>
          <w:rStyle w:val="BookTitle"/>
          <w:rFonts w:ascii="Times New Roman" w:hAnsi="Times New Roman"/>
          <w:b w:val="0"/>
          <w:spacing w:val="0"/>
        </w:rPr>
        <w:t xml:space="preserve"> scientific articles or access to raw data sources, such as well-log and seismic data) so that the </w:t>
      </w:r>
      <w:r w:rsidR="00B82E32">
        <w:rPr>
          <w:rStyle w:val="BookTitle"/>
          <w:rFonts w:ascii="Times New Roman" w:hAnsi="Times New Roman"/>
          <w:b w:val="0"/>
          <w:spacing w:val="0"/>
        </w:rPr>
        <w:t xml:space="preserve">site </w:t>
      </w:r>
      <w:r>
        <w:rPr>
          <w:rStyle w:val="BookTitle"/>
          <w:rFonts w:ascii="Times New Roman" w:hAnsi="Times New Roman"/>
          <w:b w:val="0"/>
          <w:spacing w:val="0"/>
        </w:rPr>
        <w:t>selection can reach a commercial level.</w:t>
      </w:r>
    </w:p>
    <w:p w14:paraId="7A3D7455" w14:textId="000DB849" w:rsidR="00A37ED9" w:rsidRDefault="00A37ED9" w:rsidP="00A37ED9">
      <w:pPr>
        <w:spacing w:line="276" w:lineRule="auto"/>
        <w:rPr>
          <w:lang w:eastAsia="en-GB"/>
        </w:rPr>
      </w:pPr>
      <w:r>
        <w:rPr>
          <w:lang w:eastAsia="en-GB"/>
        </w:rPr>
        <w:t xml:space="preserve">The </w:t>
      </w:r>
      <w:r w:rsidRPr="00CB439B">
        <w:rPr>
          <w:lang w:eastAsia="en-GB"/>
        </w:rPr>
        <w:t>CO</w:t>
      </w:r>
      <w:r w:rsidRPr="00C14AD1">
        <w:rPr>
          <w:vertAlign w:val="subscript"/>
          <w:lang w:eastAsia="en-GB"/>
        </w:rPr>
        <w:t>2</w:t>
      </w:r>
      <w:r w:rsidRPr="00CB439B">
        <w:rPr>
          <w:lang w:eastAsia="en-GB"/>
        </w:rPr>
        <w:t>Stored database contains a comprehensive list of potential storage candidates</w:t>
      </w:r>
      <w:r>
        <w:rPr>
          <w:lang w:eastAsia="en-GB"/>
        </w:rPr>
        <w:t xml:space="preserve"> and a vast amount of information for each of the sites, related to multiple geological, engineering, risk and economic aspects. </w:t>
      </w:r>
      <w:r w:rsidRPr="00CB439B">
        <w:rPr>
          <w:lang w:eastAsia="en-GB"/>
        </w:rPr>
        <w:t>The site selection presented here benefited significantly from the access to th</w:t>
      </w:r>
      <w:r>
        <w:rPr>
          <w:lang w:eastAsia="en-GB"/>
        </w:rPr>
        <w:t xml:space="preserve">is </w:t>
      </w:r>
      <w:r w:rsidR="00AD7827">
        <w:rPr>
          <w:lang w:eastAsia="en-GB"/>
        </w:rPr>
        <w:t xml:space="preserve">pre-existing </w:t>
      </w:r>
      <w:r>
        <w:rPr>
          <w:lang w:eastAsia="en-GB"/>
        </w:rPr>
        <w:t>database, which provided the main inputs in most stages of the site selection workflow</w:t>
      </w:r>
      <w:r w:rsidRPr="00CB439B">
        <w:rPr>
          <w:lang w:eastAsia="en-GB"/>
        </w:rPr>
        <w:t xml:space="preserve">. </w:t>
      </w:r>
      <w:r>
        <w:rPr>
          <w:lang w:eastAsia="en-GB"/>
        </w:rPr>
        <w:t>However, it is virtually impossible to include all available data for the 11</w:t>
      </w:r>
      <w:r w:rsidR="00430227">
        <w:rPr>
          <w:lang w:eastAsia="en-GB"/>
        </w:rPr>
        <w:t>3</w:t>
      </w:r>
      <w:r>
        <w:rPr>
          <w:lang w:eastAsia="en-GB"/>
        </w:rPr>
        <w:t xml:space="preserve"> sites in the assessments, especially </w:t>
      </w:r>
      <w:r w:rsidR="00613BA8">
        <w:rPr>
          <w:lang w:eastAsia="en-GB"/>
        </w:rPr>
        <w:t>given</w:t>
      </w:r>
      <w:r>
        <w:rPr>
          <w:lang w:eastAsia="en-GB"/>
        </w:rPr>
        <w:t xml:space="preserve"> </w:t>
      </w:r>
      <w:r w:rsidR="004F3258">
        <w:rPr>
          <w:lang w:eastAsia="en-GB"/>
        </w:rPr>
        <w:t xml:space="preserve">the </w:t>
      </w:r>
      <w:r w:rsidR="00613BA8">
        <w:rPr>
          <w:lang w:eastAsia="en-GB"/>
        </w:rPr>
        <w:t xml:space="preserve">differences in the range of detail for different sites and </w:t>
      </w:r>
      <w:r>
        <w:rPr>
          <w:lang w:eastAsia="en-GB"/>
        </w:rPr>
        <w:t>the uncertaint</w:t>
      </w:r>
      <w:r w:rsidR="00613BA8">
        <w:rPr>
          <w:lang w:eastAsia="en-GB"/>
        </w:rPr>
        <w:t xml:space="preserve">ies </w:t>
      </w:r>
      <w:r w:rsidR="00AD7827">
        <w:rPr>
          <w:lang w:eastAsia="en-GB"/>
        </w:rPr>
        <w:t xml:space="preserve">that </w:t>
      </w:r>
      <w:r w:rsidR="00613BA8">
        <w:rPr>
          <w:lang w:eastAsia="en-GB"/>
        </w:rPr>
        <w:t xml:space="preserve">these </w:t>
      </w:r>
      <w:r w:rsidR="00613BA8">
        <w:rPr>
          <w:lang w:eastAsia="en-GB"/>
        </w:rPr>
        <w:lastRenderedPageBreak/>
        <w:t>bring</w:t>
      </w:r>
      <w:r w:rsidR="004F3258">
        <w:rPr>
          <w:lang w:eastAsia="en-GB"/>
        </w:rPr>
        <w:t>,</w:t>
      </w:r>
      <w:r w:rsidR="00613BA8">
        <w:rPr>
          <w:lang w:eastAsia="en-GB"/>
        </w:rPr>
        <w:t xml:space="preserve"> </w:t>
      </w:r>
      <w:r>
        <w:rPr>
          <w:lang w:eastAsia="en-GB"/>
        </w:rPr>
        <w:t>and the different weight</w:t>
      </w:r>
      <w:r w:rsidR="001A557B">
        <w:rPr>
          <w:lang w:eastAsia="en-GB"/>
        </w:rPr>
        <w:t>s that c</w:t>
      </w:r>
      <w:r>
        <w:rPr>
          <w:lang w:eastAsia="en-GB"/>
        </w:rPr>
        <w:t xml:space="preserve">an </w:t>
      </w:r>
      <w:r w:rsidR="001A557B">
        <w:rPr>
          <w:lang w:eastAsia="en-GB"/>
        </w:rPr>
        <w:t>influence</w:t>
      </w:r>
      <w:r>
        <w:rPr>
          <w:lang w:eastAsia="en-GB"/>
        </w:rPr>
        <w:t xml:space="preserve"> the final suitability result. A balance must exist between including enough data for the correct understanding of the storage suitability of the candidate sites and including too many criteria</w:t>
      </w:r>
      <w:r w:rsidR="0006494D">
        <w:rPr>
          <w:lang w:eastAsia="en-GB"/>
        </w:rPr>
        <w:t xml:space="preserve">, making </w:t>
      </w:r>
      <w:r w:rsidR="001A557B">
        <w:rPr>
          <w:lang w:eastAsia="en-GB"/>
        </w:rPr>
        <w:t>the result meaningless</w:t>
      </w:r>
      <w:r>
        <w:rPr>
          <w:lang w:eastAsia="en-GB"/>
        </w:rPr>
        <w:t>. Selecting the most appropriate criteria in each phase is therefore critical to ensure this balance.</w:t>
      </w:r>
    </w:p>
    <w:p w14:paraId="22A4DC4A" w14:textId="40390043" w:rsidR="00A37ED9" w:rsidRDefault="00A37ED9" w:rsidP="00A37ED9">
      <w:pPr>
        <w:pStyle w:val="NoSpacing"/>
        <w:spacing w:line="276" w:lineRule="auto"/>
        <w:jc w:val="both"/>
        <w:rPr>
          <w:lang w:eastAsia="en-GB"/>
        </w:rPr>
      </w:pPr>
      <w:r>
        <w:rPr>
          <w:lang w:eastAsia="en-GB"/>
        </w:rPr>
        <w:t xml:space="preserve">A remarkable </w:t>
      </w:r>
      <w:r w:rsidR="002F068B">
        <w:rPr>
          <w:lang w:eastAsia="en-GB"/>
        </w:rPr>
        <w:t>consequence</w:t>
      </w:r>
      <w:r>
        <w:rPr>
          <w:lang w:eastAsia="en-GB"/>
        </w:rPr>
        <w:t xml:space="preserve"> of the site selection process is that t</w:t>
      </w:r>
      <w:r w:rsidRPr="008219B5">
        <w:rPr>
          <w:lang w:eastAsia="en-GB"/>
        </w:rPr>
        <w:t xml:space="preserve">he due diligence process led to significant </w:t>
      </w:r>
      <w:r>
        <w:rPr>
          <w:lang w:eastAsia="en-GB"/>
        </w:rPr>
        <w:t>differences</w:t>
      </w:r>
      <w:r w:rsidRPr="008219B5">
        <w:rPr>
          <w:lang w:eastAsia="en-GB"/>
        </w:rPr>
        <w:t xml:space="preserve"> in the estimate</w:t>
      </w:r>
      <w:r>
        <w:rPr>
          <w:lang w:eastAsia="en-GB"/>
        </w:rPr>
        <w:t xml:space="preserve"> </w:t>
      </w:r>
      <w:r w:rsidRPr="008219B5">
        <w:rPr>
          <w:lang w:eastAsia="en-GB"/>
        </w:rPr>
        <w:t xml:space="preserve">of storage resource for </w:t>
      </w:r>
      <w:proofErr w:type="gramStart"/>
      <w:r w:rsidRPr="008219B5">
        <w:rPr>
          <w:lang w:eastAsia="en-GB"/>
        </w:rPr>
        <w:t>a number of</w:t>
      </w:r>
      <w:proofErr w:type="gramEnd"/>
      <w:r w:rsidRPr="008219B5">
        <w:rPr>
          <w:lang w:eastAsia="en-GB"/>
        </w:rPr>
        <w:t xml:space="preserve"> the sites. The </w:t>
      </w:r>
      <w:r>
        <w:rPr>
          <w:lang w:eastAsia="en-GB"/>
        </w:rPr>
        <w:t>storage capacities calculated</w:t>
      </w:r>
      <w:r w:rsidRPr="008219B5">
        <w:rPr>
          <w:lang w:eastAsia="en-GB"/>
        </w:rPr>
        <w:t xml:space="preserve"> in the </w:t>
      </w:r>
      <w:r w:rsidR="002F068B">
        <w:rPr>
          <w:lang w:eastAsia="en-GB"/>
        </w:rPr>
        <w:t>d</w:t>
      </w:r>
      <w:r w:rsidR="002F068B" w:rsidRPr="008219B5">
        <w:rPr>
          <w:lang w:eastAsia="en-GB"/>
        </w:rPr>
        <w:t xml:space="preserve">ue </w:t>
      </w:r>
      <w:r w:rsidR="002F068B">
        <w:rPr>
          <w:lang w:eastAsia="en-GB"/>
        </w:rPr>
        <w:t>d</w:t>
      </w:r>
      <w:r w:rsidR="002F068B" w:rsidRPr="008219B5">
        <w:rPr>
          <w:lang w:eastAsia="en-GB"/>
        </w:rPr>
        <w:t xml:space="preserve">iligence </w:t>
      </w:r>
      <w:r>
        <w:rPr>
          <w:lang w:eastAsia="en-GB"/>
        </w:rPr>
        <w:t>stage</w:t>
      </w:r>
      <w:r w:rsidRPr="008219B5">
        <w:rPr>
          <w:lang w:eastAsia="en-GB"/>
        </w:rPr>
        <w:t xml:space="preserve"> were derived from a series of reservoir</w:t>
      </w:r>
      <w:r>
        <w:rPr>
          <w:lang w:eastAsia="en-GB"/>
        </w:rPr>
        <w:t xml:space="preserve"> </w:t>
      </w:r>
      <w:r w:rsidRPr="008219B5">
        <w:rPr>
          <w:lang w:eastAsia="en-GB"/>
        </w:rPr>
        <w:t xml:space="preserve">simulation studies reported in the SSAP project </w:t>
      </w:r>
      <w:r>
        <w:rPr>
          <w:lang w:eastAsia="en-GB"/>
        </w:rPr>
        <w:fldChar w:fldCharType="begin" w:fldLock="1"/>
      </w:r>
      <w:r w:rsidR="009D58AA">
        <w:rPr>
          <w:lang w:eastAsia="en-GB"/>
        </w:rPr>
        <w:instrText>ADDIN CSL_CITATION {"citationItems":[{"id":"ITEM-1","itemData":{"abstract":"There are up to 20 specific storage sites under the UK seabed that have the potential to store up to 78 GT of CO2","author":[{"dropping-particle":"","family":"Pale Blue Dot","given":"","non-dropping-particle":"","parse-names":false,"suffix":""},{"dropping-particle":"","family":"Axis Well Technology","given":"","non-dropping-particle":"","parse-names":false,"suffix":""}],"id":"ITEM-1","issue":"April 2016","issued":{"date-parts":[["2016"]]},"number-of-pages":"48","title":"A Summary of Results from the Strategic UK CO2 Storage Appraisal Project, funded by DECC","type":"report"},"uris":["http://www.mendeley.com/documents/?uuid=e8a970db-f74f-4997-adb9-7b3619665eff"]}],"mendeley":{"formattedCitation":"(Pale Blue Dot and Axis Well Technology, 2016)","plainTextFormattedCitation":"(Pale Blue Dot and Axis Well Technology, 2016)","previouslyFormattedCitation":"(Pale Blue Dot and Axis Well Technology, 2016)"},"properties":{"noteIndex":0},"schema":"https://github.com/citation-style-language/schema/raw/master/csl-citation.json"}</w:instrText>
      </w:r>
      <w:r>
        <w:rPr>
          <w:lang w:eastAsia="en-GB"/>
        </w:rPr>
        <w:fldChar w:fldCharType="separate"/>
      </w:r>
      <w:r w:rsidR="00C01E2D" w:rsidRPr="00C01E2D">
        <w:rPr>
          <w:noProof/>
          <w:lang w:eastAsia="en-GB"/>
        </w:rPr>
        <w:t>(Pale Blue Dot and Axis Well Technology, 2016)</w:t>
      </w:r>
      <w:r>
        <w:rPr>
          <w:lang w:eastAsia="en-GB"/>
        </w:rPr>
        <w:fldChar w:fldCharType="end"/>
      </w:r>
      <w:r w:rsidRPr="008219B5">
        <w:rPr>
          <w:lang w:eastAsia="en-GB"/>
        </w:rPr>
        <w:t xml:space="preserve"> and these</w:t>
      </w:r>
      <w:r>
        <w:rPr>
          <w:lang w:eastAsia="en-GB"/>
        </w:rPr>
        <w:t xml:space="preserve"> we</w:t>
      </w:r>
      <w:r w:rsidRPr="008219B5">
        <w:rPr>
          <w:lang w:eastAsia="en-GB"/>
        </w:rPr>
        <w:t>re up to an order of magnitude greater than those included in the</w:t>
      </w:r>
      <w:r>
        <w:rPr>
          <w:lang w:eastAsia="en-GB"/>
        </w:rPr>
        <w:t xml:space="preserve"> </w:t>
      </w:r>
      <w:r w:rsidRPr="008219B5">
        <w:rPr>
          <w:lang w:eastAsia="en-GB"/>
        </w:rPr>
        <w:t>CO</w:t>
      </w:r>
      <w:r w:rsidRPr="00D110F2">
        <w:rPr>
          <w:vertAlign w:val="subscript"/>
          <w:lang w:eastAsia="en-GB"/>
        </w:rPr>
        <w:t>2</w:t>
      </w:r>
      <w:r w:rsidRPr="008219B5">
        <w:rPr>
          <w:lang w:eastAsia="en-GB"/>
        </w:rPr>
        <w:t>Stored database.</w:t>
      </w:r>
      <w:r>
        <w:rPr>
          <w:lang w:eastAsia="en-GB"/>
        </w:rPr>
        <w:t xml:space="preserve"> T</w:t>
      </w:r>
      <w:r w:rsidRPr="008219B5">
        <w:rPr>
          <w:lang w:eastAsia="en-GB"/>
        </w:rPr>
        <w:t xml:space="preserve">his </w:t>
      </w:r>
      <w:r w:rsidR="002F068B">
        <w:rPr>
          <w:lang w:eastAsia="en-GB"/>
        </w:rPr>
        <w:t xml:space="preserve">difference </w:t>
      </w:r>
      <w:r>
        <w:rPr>
          <w:lang w:eastAsia="en-GB"/>
        </w:rPr>
        <w:t>wa</w:t>
      </w:r>
      <w:r w:rsidRPr="008219B5">
        <w:rPr>
          <w:lang w:eastAsia="en-GB"/>
        </w:rPr>
        <w:t>s</w:t>
      </w:r>
      <w:r>
        <w:rPr>
          <w:lang w:eastAsia="en-GB"/>
        </w:rPr>
        <w:t xml:space="preserve"> mainly</w:t>
      </w:r>
      <w:r w:rsidRPr="008219B5">
        <w:rPr>
          <w:lang w:eastAsia="en-GB"/>
        </w:rPr>
        <w:t xml:space="preserve"> due to</w:t>
      </w:r>
      <w:r>
        <w:rPr>
          <w:lang w:eastAsia="en-GB"/>
        </w:rPr>
        <w:t xml:space="preserve"> </w:t>
      </w:r>
      <w:r w:rsidRPr="008219B5">
        <w:rPr>
          <w:lang w:eastAsia="en-GB"/>
        </w:rPr>
        <w:t>differences in the assumption</w:t>
      </w:r>
      <w:r>
        <w:rPr>
          <w:lang w:eastAsia="en-GB"/>
        </w:rPr>
        <w:t>s</w:t>
      </w:r>
      <w:r w:rsidRPr="008219B5">
        <w:rPr>
          <w:lang w:eastAsia="en-GB"/>
        </w:rPr>
        <w:t xml:space="preserve"> of storage efficiency factor</w:t>
      </w:r>
      <w:r>
        <w:rPr>
          <w:lang w:eastAsia="en-GB"/>
        </w:rPr>
        <w:t xml:space="preserve">s, and the fact that single, stochastic storage capacities were calculated for (sometimes massive) sites, where significant </w:t>
      </w:r>
      <w:r w:rsidR="002F068B">
        <w:rPr>
          <w:lang w:eastAsia="en-GB"/>
        </w:rPr>
        <w:t xml:space="preserve">spatial </w:t>
      </w:r>
      <w:r>
        <w:rPr>
          <w:lang w:eastAsia="en-GB"/>
        </w:rPr>
        <w:t xml:space="preserve">variations </w:t>
      </w:r>
      <w:r w:rsidR="002F068B">
        <w:rPr>
          <w:lang w:eastAsia="en-GB"/>
        </w:rPr>
        <w:t xml:space="preserve">have been </w:t>
      </w:r>
      <w:r>
        <w:rPr>
          <w:lang w:eastAsia="en-GB"/>
        </w:rPr>
        <w:t xml:space="preserve">averaged out. This emphasizes the issue that accurate capacity estimations are still a major </w:t>
      </w:r>
      <w:r w:rsidR="002F068B">
        <w:rPr>
          <w:lang w:eastAsia="en-GB"/>
        </w:rPr>
        <w:t xml:space="preserve">and </w:t>
      </w:r>
      <w:r>
        <w:rPr>
          <w:lang w:eastAsia="en-GB"/>
        </w:rPr>
        <w:t xml:space="preserve">outstanding </w:t>
      </w:r>
      <w:r w:rsidR="00AC45C6">
        <w:rPr>
          <w:lang w:eastAsia="en-GB"/>
        </w:rPr>
        <w:t>question</w:t>
      </w:r>
      <w:r>
        <w:rPr>
          <w:lang w:eastAsia="en-GB"/>
        </w:rPr>
        <w:t xml:space="preserve"> for CCS </w:t>
      </w:r>
      <w:r>
        <w:rPr>
          <w:lang w:eastAsia="en-GB"/>
        </w:rPr>
        <w:fldChar w:fldCharType="begin" w:fldLock="1"/>
      </w:r>
      <w:r w:rsidR="009D58AA">
        <w:rPr>
          <w:lang w:eastAsia="en-GB"/>
        </w:rPr>
        <w:instrText>ADDIN CSL_CITATION {"citationItems":[{"id":"ITEM-1","itemData":{"DOI":"10.1016/j.fuel.2011.07.004","ISSN":"00162361","abstract":"Implementation of carbon dioxide capture and geological storage to achieve a reduction in greenhouse gas emissions requires knowledge of carbon dioxide storage capacity in various geological formations. The storage capacity estimated can be of different levels of certainty and cost, while storage capacity estimation can be conducted at different scales and resolutions. Five different types of trapping mechanisms in deep saline aquifers are discussed, namely structural and stratigraphic trapping, residual gas trapping, solubility trapping, mineral trapping and hydrodynamic trapping. All these trapping mechanisms occur at different time frames, which need to be taken into consideration when estimating the storage capacity. A number of parameters that affect the storage capacity are also discussed for a better understanding of estimating the storage capacity of carbon dioxide. These parameters include in situ pressure, injectivity, temperature, permeability and compressibility and may affect one another but ultimately affect the storage capacity of carbon dioxide. The different methodologies for estimating carbon dioxide storage capacity are critically reviewed, including mathematical models, dimensional analysis and analytical investigations. The studies conducted on the benefits of cyclic injections were inconclusive, while the injection period was found to be an important factor in storage capacity as part of the ratio of time elapsed to injection period, which was a key parameter in storage capacity, for different gravitational numbers. Some studies showed that for short-term storage (time elapsed is less than 60 times the injection period), medium valued gravitational numbers of about 4.58 were preferred, while for long-term storage (time elapsed is larger than 60 times the injection period), low gravitational numbers of about 0.045 were preferred. The gravitational number depends on the injection rate and it was found in the study that the optimum injection rate was very close to 6.56 Mt/years. Meanwhile, several techniques were found to be able to increase the storage capacity of carbon dioxide in deep saline aquifers. These include using horizontal injection wells instead of vertical ones in the absence of chase brine injection or using vertical wells instead of horizontal ones in the presence of chase brine injection, introducing hydraulic fractures in the injection wells, producing brine from the formation to be transported to other aquifers, inj…","author":[{"dropping-particle":"","family":"Silva","given":"P. N.K.","non-dropping-particle":"De","parse-names":false,"suffix":""},{"dropping-particle":"","family":"Ranjith","given":"P. G.","non-dropping-particle":"","parse-names":false,"suffix":""}],"container-title":"Fuel","id":"ITEM-1","issued":{"date-parts":[["2012"]]},"page":"13-27","publisher":"Elsevier Ltd","title":"A study of methodologies for CO 2 storage capacity estimation of saline aquifers","type":"article-journal","volume":"93"},"uris":["http://www.mendeley.com/documents/?uuid=21bc2e87-85ec-43cf-a75c-c78680569c29"]},{"id":"ITEM-2","itemData":{"DOI":"10.1016/j.ijggc.2015.01.007","ISSN":"17505836","author":[{"dropping-particle":"","family":"Bachu","given":"Stefan","non-dropping-particle":"","parse-names":false,"suffix":""}],"container-title":"International Journal of Greenhouse Gas Control","id":"ITEM-2","issued":{"date-parts":[["2015","9"]]},"page":"188-202","title":"Review of CO2 storage efficiency in deep saline aquifers","type":"article-journal","volume":"40"},"uris":["http://www.mendeley.com/documents/?uuid=ea12f7e7-fb42-45b3-ac31-de8e2d70d456"]}],"mendeley":{"formattedCitation":"(Bachu, 2015; De Silva and Ranjith, 2012)","plainTextFormattedCitation":"(Bachu, 2015; De Silva and Ranjith, 2012)","previouslyFormattedCitation":"(Bachu, 2015; De Silva and Ranjith, 2012)"},"properties":{"noteIndex":0},"schema":"https://github.com/citation-style-language/schema/raw/master/csl-citation.json"}</w:instrText>
      </w:r>
      <w:r>
        <w:rPr>
          <w:lang w:eastAsia="en-GB"/>
        </w:rPr>
        <w:fldChar w:fldCharType="separate"/>
      </w:r>
      <w:r w:rsidR="00C01E2D" w:rsidRPr="00C01E2D">
        <w:rPr>
          <w:noProof/>
          <w:lang w:eastAsia="en-GB"/>
        </w:rPr>
        <w:t>(Bachu, 2015; De Silva and Ranjith, 2012)</w:t>
      </w:r>
      <w:r>
        <w:rPr>
          <w:lang w:eastAsia="en-GB"/>
        </w:rPr>
        <w:fldChar w:fldCharType="end"/>
      </w:r>
      <w:r>
        <w:rPr>
          <w:lang w:eastAsia="en-GB"/>
        </w:rPr>
        <w:t xml:space="preserve">, </w:t>
      </w:r>
      <w:r w:rsidR="001A557B">
        <w:rPr>
          <w:lang w:eastAsia="en-GB"/>
        </w:rPr>
        <w:t xml:space="preserve">and </w:t>
      </w:r>
      <w:r w:rsidR="002F068B">
        <w:rPr>
          <w:lang w:eastAsia="en-GB"/>
        </w:rPr>
        <w:t xml:space="preserve">thus </w:t>
      </w:r>
      <w:r>
        <w:rPr>
          <w:lang w:eastAsia="en-GB"/>
        </w:rPr>
        <w:t xml:space="preserve">pose </w:t>
      </w:r>
      <w:r w:rsidR="001A557B">
        <w:rPr>
          <w:lang w:eastAsia="en-GB"/>
        </w:rPr>
        <w:t xml:space="preserve">an </w:t>
      </w:r>
      <w:r>
        <w:rPr>
          <w:lang w:eastAsia="en-GB"/>
        </w:rPr>
        <w:t>important challenge for the development of</w:t>
      </w:r>
      <w:r w:rsidR="001A557B">
        <w:rPr>
          <w:lang w:eastAsia="en-GB"/>
        </w:rPr>
        <w:t xml:space="preserve"> CCS</w:t>
      </w:r>
      <w:r>
        <w:rPr>
          <w:lang w:eastAsia="en-GB"/>
        </w:rPr>
        <w:t xml:space="preserve"> technology </w:t>
      </w:r>
      <w:r>
        <w:rPr>
          <w:lang w:eastAsia="en-GB"/>
        </w:rPr>
        <w:fldChar w:fldCharType="begin" w:fldLock="1"/>
      </w:r>
      <w:r w:rsidR="009D58AA">
        <w:rPr>
          <w:lang w:eastAsia="en-GB"/>
        </w:rPr>
        <w:instrText>ADDIN CSL_CITATION {"citationItems":[{"id":"ITEM-1","itemData":{"DOI":"10.1007/s11053-016-9310-7","ISSN":"15738981","abstract":"Carbon capture from stationary sources and geologic storage of carbon dioxide (CO2) is an important option to include in strategies to mitigate greenhouse gas emissions. However, the potential costs of commercial-scale CO2 storage are not well constrained, stemming from the inherent uncertainty in storage resource estimates coupled with a lack of detailed estimates of the infrastructure needed to access those resources. Storage resource estimates are highly dependent on storage efficiency values or storage coefficients, which are calculated based on ranges of uncertain geological and physical reservoir parameters. If dynamic factors (such as variability in storage efficiencies, pressure interference, and acceptable injection rates over time), reservoir pressure limitations, boundaries on migration of CO2, consideration of closed or semi-closed saline reservoir systems, and other possible constraints on the technically accessible CO2 storage resource (TASR) are accounted for, it is likely that only a fraction of the TASR could be available without incurring significant additional costs. Although storage resource estimates typically assume that any issues with pressure buildup due to CO2 injection will be mitigated by reservoir pressure management, estimates of the costs of CO2 storage generally do not include the costs of active pressure management. Production of saline waters (brines) could be essential to increasing the dynamic storage capacity of most reservoirs, but including the costs of this critical method of reservoir pressure management could increase current estimates of the costs of CO2 storage by two times, or more. Even without considering the implications for reservoir pressure management, geologic uncertainty can significantly impact CO2 storage capacities and costs, and contribute to uncertainty in carbon capture and storage (CCS) systems. Given the current state of available information and the scarcity of (data from) long-term commercial-scale CO2 storage projects, decision makers may experience considerable difficulty in ascertaining the realistic potential, the likely costs, and the most beneficial pattern of deployment of CCS as an option to reduce CO2 concentrations in the atmosphere.","author":[{"dropping-particle":"","family":"Anderson","given":"Steven T.","non-dropping-particle":"","parse-names":false,"suffix":""}],"container-title":"Natural Resources Research","id":"ITEM-1","issue":"2","issued":{"date-parts":[["2017"]]},"page":"137-159","publisher":"Springer US","title":"Cost Implications of Uncertainty in CO2 Storage Resource Estimates: A Review","type":"article-journal","volume":"26"},"uris":["http://www.mendeley.com/documents/?uuid=b9bb9770-83af-47d1-a3ff-04611e8526d1"]},{"id":"ITEM-2","itemData":{"DOI":"10.1039/D0EE00674B","ISSN":"1754-5692","abstract":"Growth rate analysis indicates IPCC 2100 storage targets are achievable, however tradeoffs exist between CO 2 storage resource requirements, storage growth rate, and growth duration, with a ceiling on required storage resources of 2700 Gt.","author":[{"dropping-particle":"","family":"Zahasky","given":"Christopher","non-dropping-particle":"","parse-names":false,"suffix":""},{"dropping-particle":"","family":"Krevor","given":"Samuel","non-dropping-particle":"","parse-names":false,"suffix":""}],"container-title":"Energy &amp; Environmental Science","id":"ITEM-2","issued":{"date-parts":[["2020"]]},"publisher":"Royal Society of Chemistry","title":"Global geologic carbon storage requirements of climate change mitigation scenarios","type":"article-journal"},"uris":["http://www.mendeley.com/documents/?uuid=ec8df1fd-2850-43e3-84f3-51cacab49823"]}],"mendeley":{"formattedCitation":"(Anderson, 2017; Zahasky and Krevor, 2020)","plainTextFormattedCitation":"(Anderson, 2017; Zahasky and Krevor, 2020)","previouslyFormattedCitation":"(Anderson, 2017; Zahasky and Krevor, 2020)"},"properties":{"noteIndex":0},"schema":"https://github.com/citation-style-language/schema/raw/master/csl-citation.json"}</w:instrText>
      </w:r>
      <w:r>
        <w:rPr>
          <w:lang w:eastAsia="en-GB"/>
        </w:rPr>
        <w:fldChar w:fldCharType="separate"/>
      </w:r>
      <w:r w:rsidR="00C01E2D" w:rsidRPr="00C01E2D">
        <w:rPr>
          <w:noProof/>
          <w:lang w:eastAsia="en-GB"/>
        </w:rPr>
        <w:t>(Anderson, 2017; Zahasky and Krevor, 2020)</w:t>
      </w:r>
      <w:r>
        <w:rPr>
          <w:lang w:eastAsia="en-GB"/>
        </w:rPr>
        <w:fldChar w:fldCharType="end"/>
      </w:r>
      <w:r>
        <w:rPr>
          <w:lang w:eastAsia="en-GB"/>
        </w:rPr>
        <w:t>.</w:t>
      </w:r>
    </w:p>
    <w:p w14:paraId="5BF2F14C" w14:textId="77777777" w:rsidR="00A37ED9" w:rsidRDefault="00A37ED9" w:rsidP="00A37ED9">
      <w:pPr>
        <w:pStyle w:val="Heading2"/>
        <w:numPr>
          <w:ilvl w:val="0"/>
          <w:numId w:val="0"/>
        </w:numPr>
        <w:ind w:left="360"/>
        <w:rPr>
          <w:rStyle w:val="BookTitle"/>
          <w:rFonts w:ascii="Times New Roman" w:hAnsi="Times New Roman"/>
          <w:b/>
          <w:bCs w:val="0"/>
          <w:iCs w:val="0"/>
          <w:spacing w:val="0"/>
        </w:rPr>
      </w:pPr>
    </w:p>
    <w:p w14:paraId="560F0BE5" w14:textId="3E5B9F16" w:rsidR="002B2A02" w:rsidRDefault="00EB00BF" w:rsidP="002B78D5">
      <w:pPr>
        <w:pStyle w:val="Subsection"/>
        <w:rPr>
          <w:rStyle w:val="BookTitle"/>
          <w:rFonts w:ascii="Times New Roman" w:hAnsi="Times New Roman"/>
          <w:b/>
          <w:bCs w:val="0"/>
          <w:iCs w:val="0"/>
          <w:spacing w:val="0"/>
        </w:rPr>
      </w:pPr>
      <w:r>
        <w:rPr>
          <w:rStyle w:val="BookTitle"/>
          <w:rFonts w:ascii="Times New Roman" w:hAnsi="Times New Roman"/>
          <w:b/>
          <w:bCs w:val="0"/>
          <w:iCs w:val="0"/>
          <w:spacing w:val="0"/>
        </w:rPr>
        <w:t xml:space="preserve">The East </w:t>
      </w:r>
      <w:proofErr w:type="spellStart"/>
      <w:r>
        <w:rPr>
          <w:rStyle w:val="BookTitle"/>
          <w:rFonts w:ascii="Times New Roman" w:hAnsi="Times New Roman"/>
          <w:b/>
          <w:bCs w:val="0"/>
          <w:iCs w:val="0"/>
          <w:spacing w:val="0"/>
        </w:rPr>
        <w:t>Mey</w:t>
      </w:r>
      <w:proofErr w:type="spellEnd"/>
      <w:r w:rsidR="006F2AB6">
        <w:rPr>
          <w:rStyle w:val="BookTitle"/>
          <w:rFonts w:ascii="Times New Roman" w:hAnsi="Times New Roman"/>
          <w:b/>
          <w:bCs w:val="0"/>
          <w:iCs w:val="0"/>
          <w:spacing w:val="0"/>
        </w:rPr>
        <w:t xml:space="preserve"> storage site</w:t>
      </w:r>
    </w:p>
    <w:p w14:paraId="202A4681" w14:textId="6EE98BBF" w:rsidR="0040211E" w:rsidRDefault="004F3258" w:rsidP="00A37ED9">
      <w:pPr>
        <w:spacing w:line="276" w:lineRule="auto"/>
        <w:rPr>
          <w:lang w:eastAsia="en-GB"/>
        </w:rPr>
      </w:pPr>
      <w:r>
        <w:t xml:space="preserve">The </w:t>
      </w:r>
      <w:proofErr w:type="spellStart"/>
      <w:r>
        <w:t>Mey</w:t>
      </w:r>
      <w:proofErr w:type="spellEnd"/>
      <w:r>
        <w:t xml:space="preserve"> aquifer is a massive saline aquifer and not all of it will be target</w:t>
      </w:r>
      <w:r w:rsidR="00A96F73">
        <w:t>ed</w:t>
      </w:r>
      <w:r>
        <w:t xml:space="preserve"> for CO</w:t>
      </w:r>
      <w:r w:rsidRPr="004F3258">
        <w:rPr>
          <w:vertAlign w:val="subscript"/>
        </w:rPr>
        <w:t>2</w:t>
      </w:r>
      <w:r>
        <w:t xml:space="preserve"> storage. The “East </w:t>
      </w:r>
      <w:proofErr w:type="spellStart"/>
      <w:r>
        <w:t>Mey</w:t>
      </w:r>
      <w:proofErr w:type="spellEnd"/>
      <w:r>
        <w:t xml:space="preserve"> storage site” is hereby defined as</w:t>
      </w:r>
      <w:r w:rsidR="00C9069C">
        <w:t xml:space="preserve"> a </w:t>
      </w:r>
      <w:r w:rsidR="00175A4D">
        <w:t xml:space="preserve">portion of the </w:t>
      </w:r>
      <w:r w:rsidR="00C9069C">
        <w:t>Palaeocene sandstone interval</w:t>
      </w:r>
      <w:r w:rsidR="00762B9D">
        <w:t>,</w:t>
      </w:r>
      <w:r w:rsidR="00C9069C">
        <w:t xml:space="preserve"> called the </w:t>
      </w:r>
      <w:proofErr w:type="spellStart"/>
      <w:r w:rsidR="00C9069C">
        <w:t>Mey</w:t>
      </w:r>
      <w:proofErr w:type="spellEnd"/>
      <w:r w:rsidR="00C9069C">
        <w:t xml:space="preserve"> Sandstone Member</w:t>
      </w:r>
      <w:r w:rsidR="00762B9D">
        <w:t>,</w:t>
      </w:r>
      <w:r w:rsidR="00C9069C">
        <w:t xml:space="preserve"> as a potential storage reservoir</w:t>
      </w:r>
      <w:r w:rsidR="00175A4D">
        <w:t>,</w:t>
      </w:r>
      <w:r w:rsidR="00C9069C">
        <w:t xml:space="preserve"> </w:t>
      </w:r>
      <w:r w:rsidR="00175A4D">
        <w:t>with</w:t>
      </w:r>
      <w:r w:rsidR="00C9069C">
        <w:t xml:space="preserve"> the Lista Shale as caprock </w:t>
      </w:r>
      <w:r w:rsidR="00C9069C">
        <w:fldChar w:fldCharType="begin" w:fldLock="1"/>
      </w:r>
      <w:r w:rsidR="00CE765F">
        <w:instrText>ADDIN CSL_CITATION {"citationItems":[{"id":"ITEM-1","itemData":{"DOI":"10.3390/min10080691","ISSN":"2075-163X","abstract":"Petroleum-rich basins at a mature stage of exploration and production offer many opportunities for large-scale Carbon Capture and Storage (CCS) since oil and gas were demonstrably contained by low-permeability top-sealing rocks, such as shales. For CCS to work, there must be effectively no leakage from the injection site, so the nature of the top-seal is an important aspect for consideration when appraising prospective CCS opportunities. The Lower Cretaceous Rodby Shale and the Palaeocene Lista Shale have acted as seals to oil and gas accumulations (e.g., the Atlantic and Balmoral fields) and may now play a critical role in sealing the Acorn and East Mey subsurface carbon storage sites. The characteristics of these important shales have been little addressed in the hydrocarbon extraction phase, with an understandable focus on reservoir properties and their influence on resource recovery rates. Here, we assess the characteristics of the Rodby and Lista Shales using wireline logs, geomechanical tests, special core analysis (mercury intrusion) and mineralogical and petrographic techniques, with the aim of highlighting key properties that identify them as suitable top-seals. The two shales, defined using the relative gamma log values (or Vshale), have similar mean pore throat radius (approximately 18 nm), splitting tensile strength (approximately 2.5 MPa) and anisotropic values of splitting tensile strength, but they display significant differences in terms of wireline log character, porosity and mineralogy. The Lower Cretaceous Rodby Shale has a mean porosity of approximately 14 %, a mean permeability of 263 nD (2.58 × 10−19 m2), and is calcite rich and has clay minerals that are relatively rich in non-radioactive phases such as kaolinite. The Palaeocene Lista Shale has a mean porosity of approximately 16% a mean permeability of 225 nD (2.21 × 10−19 m2), and is calcite free, but contains abundant quartz silt and is dominated by smectite. The 2% difference in porosity does not seem to equate to a significant difference in permeability. Elastic properties derived from wireline log data show that Young’s modulus, material stiffness, is very low (5 GPa) for the most shale (clay mineral)-rich Rodby intervals, with Young’s modulus increasing as shale content decreases and as cementation (e.g., calcite) increases. Our work has shown that Young’s modulus, which can be used to inform the likeliness of tensile failure, may be predictable based on routine gamma, dens…","author":[{"dropping-particle":"","family":"Worden","given":"Richard H.","non-dropping-particle":"","parse-names":false,"suffix":""},{"dropping-particle":"","family":"Allen","given":"Michael J.","non-dropping-particle":"","parse-names":false,"suffix":""},{"dropping-particle":"","family":"Faulkner","given":"Daniel R.","non-dropping-particle":"","parse-names":false,"suffix":""},{"dropping-particle":"","family":"Utley","given":"James E.P. P.","non-dropping-particle":"","parse-names":false,"suffix":""},{"dropping-particle":"","family":"Bond","given":"Clare E.","non-dropping-particle":"","parse-names":false,"suffix":""},{"dropping-particle":"","family":"Alcalde","given":"Juan","non-dropping-particle":"","parse-names":false,"suffix":""},{"dropping-particle":"","family":"Heinemann","given":"Niklas","non-dropping-particle":"","parse-names":false,"suffix":""},{"dropping-particle":"","family":"Haszeldine","given":"R. Stuart","non-dropping-particle":"","parse-names":false,"suffix":""},{"dropping-particle":"","family":"Mackay","given":"Eric J.","non-dropping-particle":"","parse-names":false,"suffix":""},{"dropping-particle":"","family":"Ghanbari","given":"Saeed","non-dropping-particle":"","parse-names":false,"suffix":""}],"container-title":"Minerals","id":"ITEM-1","issue":"8","issued":{"date-parts":[["2020","8"]]},"page":"691","title":"The Lower Cretaceous Rodby Shale and the Palaeocene Lista Shale: characterization and comparison of top-seal mudstones at two planned CCS sites, offshore UK","type":"article-journal","volume":"10"},"uris":["http://www.mendeley.com/documents/?uuid=bfcef226-3a19-425e-a1bd-72654521d49d"]}],"mendeley":{"formattedCitation":"(Worden et al., 2020)","plainTextFormattedCitation":"(Worden et al., 2020)","previouslyFormattedCitation":"(Worden et al., 2020)"},"properties":{"noteIndex":0},"schema":"https://github.com/citation-style-language/schema/raw/master/csl-citation.json"}</w:instrText>
      </w:r>
      <w:r w:rsidR="00C9069C">
        <w:fldChar w:fldCharType="separate"/>
      </w:r>
      <w:r w:rsidR="00C01E2D" w:rsidRPr="00C01E2D">
        <w:rPr>
          <w:noProof/>
        </w:rPr>
        <w:t>(Worden et al., 2020)</w:t>
      </w:r>
      <w:r w:rsidR="00C9069C">
        <w:fldChar w:fldCharType="end"/>
      </w:r>
      <w:r w:rsidR="00C9069C">
        <w:t xml:space="preserve">. </w:t>
      </w:r>
      <w:r w:rsidR="0040211E">
        <w:rPr>
          <w:lang w:eastAsia="en-GB"/>
        </w:rPr>
        <w:t xml:space="preserve">The East </w:t>
      </w:r>
      <w:proofErr w:type="spellStart"/>
      <w:r w:rsidR="0040211E">
        <w:rPr>
          <w:lang w:eastAsia="en-GB"/>
        </w:rPr>
        <w:t>Mey</w:t>
      </w:r>
      <w:proofErr w:type="spellEnd"/>
      <w:r w:rsidR="0040211E">
        <w:rPr>
          <w:lang w:eastAsia="en-GB"/>
        </w:rPr>
        <w:t xml:space="preserve"> site is located in a mature hydrocarbon area, which has been subject of intense exploration and production activities since the late 1970’s </w:t>
      </w:r>
      <w:r w:rsidR="0040211E">
        <w:rPr>
          <w:lang w:eastAsia="en-GB"/>
        </w:rPr>
        <w:fldChar w:fldCharType="begin" w:fldLock="1"/>
      </w:r>
      <w:r w:rsidR="009D58AA">
        <w:rPr>
          <w:lang w:eastAsia="en-GB"/>
        </w:rPr>
        <w:instrText>ADDIN CSL_CITATION {"citationItems":[{"id":"ITEM-1","itemData":{"DOI":"10.1144/GSL.MEM.2003.020.01.33","ISSN":"0435-4052","author":[{"dropping-particle":"","family":"Gambaro","given":"M.","non-dropping-particle":"","parse-names":false,"suffix":""},{"dropping-particle":"","family":"Currie","given":"M.","non-dropping-particle":"","parse-names":false,"suffix":""}],"container-title":"Geological Society, London, Memoirs","id":"ITEM-1","issue":"1","issued":{"date-parts":[["2003"]]},"page":"395-413","title":"The Balmoral, Glamis and Stirling Fields, Block 16/21, UK Central North Sea","type":"article-journal","volume":"20"},"uris":["http://www.mendeley.com/documents/?uuid=054d4261-db3a-4c65-8cbb-060fa3f14f1a"]}],"mendeley":{"formattedCitation":"(Gambaro and Currie, 2003)","plainTextFormattedCitation":"(Gambaro and Currie, 2003)","previouslyFormattedCitation":"(Gambaro and Currie, 2003)"},"properties":{"noteIndex":0},"schema":"https://github.com/citation-style-language/schema/raw/master/csl-citation.json"}</w:instrText>
      </w:r>
      <w:r w:rsidR="0040211E">
        <w:rPr>
          <w:lang w:eastAsia="en-GB"/>
        </w:rPr>
        <w:fldChar w:fldCharType="separate"/>
      </w:r>
      <w:r w:rsidR="00C01E2D" w:rsidRPr="00C01E2D">
        <w:rPr>
          <w:noProof/>
          <w:lang w:eastAsia="en-GB"/>
        </w:rPr>
        <w:t>(Gambaro and Currie, 2003)</w:t>
      </w:r>
      <w:r w:rsidR="0040211E">
        <w:rPr>
          <w:lang w:eastAsia="en-GB"/>
        </w:rPr>
        <w:fldChar w:fldCharType="end"/>
      </w:r>
      <w:r w:rsidR="0040211E">
        <w:rPr>
          <w:lang w:eastAsia="en-GB"/>
        </w:rPr>
        <w:t xml:space="preserve">. During the </w:t>
      </w:r>
      <w:r w:rsidR="00762B9D">
        <w:rPr>
          <w:lang w:eastAsia="en-GB"/>
        </w:rPr>
        <w:t xml:space="preserve">due diligence </w:t>
      </w:r>
      <w:r w:rsidR="0040211E">
        <w:rPr>
          <w:lang w:eastAsia="en-GB"/>
        </w:rPr>
        <w:t xml:space="preserve">assessment, the target area extended from the Rob Roy </w:t>
      </w:r>
      <w:r w:rsidR="00762B9D">
        <w:rPr>
          <w:lang w:eastAsia="en-GB"/>
        </w:rPr>
        <w:t xml:space="preserve">to </w:t>
      </w:r>
      <w:r w:rsidR="0040211E">
        <w:rPr>
          <w:lang w:eastAsia="en-GB"/>
        </w:rPr>
        <w:t xml:space="preserve">Hamish area in the west </w:t>
      </w:r>
      <w:r w:rsidR="001A557B">
        <w:rPr>
          <w:lang w:eastAsia="en-GB"/>
        </w:rPr>
        <w:t xml:space="preserve">to </w:t>
      </w:r>
      <w:r w:rsidR="0040211E">
        <w:rPr>
          <w:lang w:eastAsia="en-GB"/>
        </w:rPr>
        <w:t>the Burghley field in the east. However, the western part includes the development area around the Scott field, which is still under production</w:t>
      </w:r>
      <w:r w:rsidR="0085209A">
        <w:rPr>
          <w:lang w:eastAsia="en-GB"/>
        </w:rPr>
        <w:t xml:space="preserve"> </w:t>
      </w:r>
      <w:r w:rsidR="0085209A">
        <w:rPr>
          <w:lang w:eastAsia="en-GB"/>
        </w:rPr>
        <w:fldChar w:fldCharType="begin" w:fldLock="1"/>
      </w:r>
      <w:r w:rsidR="009D58AA">
        <w:rPr>
          <w:lang w:eastAsia="en-GB"/>
        </w:rPr>
        <w:instrText>ADDIN CSL_CITATION {"citationItems":[{"id":"ITEM-1","itemData":{"URL":"https://www.ogauthority.co.uk/data-centre/data-downloads-and-publications/field-data/","accessed":{"date-parts":[["2020","7","8"]]},"author":[{"dropping-particle":"","family":"OGA","given":"","non-dropping-particle":"","parse-names":false,"suffix":""}],"container-title":"UK Oil and Gas Authority","id":"ITEM-1","issued":{"date-parts":[["2020"]]},"title":"Full list of Offshore Fields in Production","type":"webpage"},"uris":["http://www.mendeley.com/documents/?uuid=38466663-5696-4177-b467-e3d706e9c18e"]}],"mendeley":{"formattedCitation":"(OGA, 2020)","plainTextFormattedCitation":"(OGA, 2020)","previouslyFormattedCitation":"(OGA, 2020)"},"properties":{"noteIndex":0},"schema":"https://github.com/citation-style-language/schema/raw/master/csl-citation.json"}</w:instrText>
      </w:r>
      <w:r w:rsidR="0085209A">
        <w:rPr>
          <w:lang w:eastAsia="en-GB"/>
        </w:rPr>
        <w:fldChar w:fldCharType="separate"/>
      </w:r>
      <w:r w:rsidR="00C01E2D" w:rsidRPr="00C01E2D">
        <w:rPr>
          <w:noProof/>
          <w:lang w:eastAsia="en-GB"/>
        </w:rPr>
        <w:t>(OGA, 2020)</w:t>
      </w:r>
      <w:r w:rsidR="0085209A">
        <w:rPr>
          <w:lang w:eastAsia="en-GB"/>
        </w:rPr>
        <w:fldChar w:fldCharType="end"/>
      </w:r>
      <w:r w:rsidR="0040211E">
        <w:rPr>
          <w:lang w:eastAsia="en-GB"/>
        </w:rPr>
        <w:t>. Th</w:t>
      </w:r>
      <w:r w:rsidR="00762B9D">
        <w:rPr>
          <w:lang w:eastAsia="en-GB"/>
        </w:rPr>
        <w:t>e</w:t>
      </w:r>
      <w:r w:rsidR="0040211E">
        <w:rPr>
          <w:lang w:eastAsia="en-GB"/>
        </w:rPr>
        <w:t xml:space="preserve"> </w:t>
      </w:r>
      <w:r w:rsidR="00762B9D">
        <w:rPr>
          <w:lang w:eastAsia="en-GB"/>
        </w:rPr>
        <w:t xml:space="preserve">ongoing petroleum production </w:t>
      </w:r>
      <w:r w:rsidR="0040211E">
        <w:rPr>
          <w:lang w:eastAsia="en-GB"/>
        </w:rPr>
        <w:t xml:space="preserve">forced the exclusion of this region in favour of extending the storage development complex to the south, to incorporate the fields located southern of the Blenheim field (Figure 6). </w:t>
      </w:r>
      <w:proofErr w:type="gramStart"/>
      <w:r w:rsidR="0040211E">
        <w:rPr>
          <w:lang w:eastAsia="en-GB"/>
        </w:rPr>
        <w:t>The majority of</w:t>
      </w:r>
      <w:proofErr w:type="gramEnd"/>
      <w:r w:rsidR="0040211E">
        <w:rPr>
          <w:lang w:eastAsia="en-GB"/>
        </w:rPr>
        <w:t xml:space="preserve"> the fields in this region are located in the </w:t>
      </w:r>
      <w:proofErr w:type="spellStart"/>
      <w:r w:rsidR="0040211E">
        <w:rPr>
          <w:lang w:eastAsia="en-GB"/>
        </w:rPr>
        <w:t>Mey</w:t>
      </w:r>
      <w:proofErr w:type="spellEnd"/>
      <w:r w:rsidR="0040211E">
        <w:rPr>
          <w:lang w:eastAsia="en-GB"/>
        </w:rPr>
        <w:t xml:space="preserve"> Sandstone petroleum province</w:t>
      </w:r>
      <w:r w:rsidR="001A557B">
        <w:rPr>
          <w:lang w:eastAsia="en-GB"/>
        </w:rPr>
        <w:t>, and</w:t>
      </w:r>
      <w:r w:rsidR="0040211E">
        <w:rPr>
          <w:lang w:eastAsia="en-GB"/>
        </w:rPr>
        <w:t xml:space="preserve"> most fields have reached the end of their producing lives. Th</w:t>
      </w:r>
      <w:r w:rsidR="0085209A">
        <w:rPr>
          <w:lang w:eastAsia="en-GB"/>
        </w:rPr>
        <w:t>is area hence contains</w:t>
      </w:r>
      <w:r w:rsidR="0040211E">
        <w:rPr>
          <w:lang w:eastAsia="en-GB"/>
        </w:rPr>
        <w:t xml:space="preserve"> </w:t>
      </w:r>
      <w:proofErr w:type="gramStart"/>
      <w:r w:rsidR="0040211E">
        <w:rPr>
          <w:lang w:eastAsia="en-GB"/>
        </w:rPr>
        <w:t>a number of</w:t>
      </w:r>
      <w:proofErr w:type="gramEnd"/>
      <w:r w:rsidR="0040211E">
        <w:rPr>
          <w:lang w:eastAsia="en-GB"/>
        </w:rPr>
        <w:t xml:space="preserve"> potentially useful storage structures, including the Balmoral, Beauly, Blair, Brenda, Burghley, Glamis, and Stirling fields, which could have a positive impact in the capacity of the East </w:t>
      </w:r>
      <w:proofErr w:type="spellStart"/>
      <w:r w:rsidR="0040211E">
        <w:rPr>
          <w:lang w:eastAsia="en-GB"/>
        </w:rPr>
        <w:t>Mey</w:t>
      </w:r>
      <w:proofErr w:type="spellEnd"/>
      <w:r w:rsidR="0040211E">
        <w:rPr>
          <w:lang w:eastAsia="en-GB"/>
        </w:rPr>
        <w:t xml:space="preserve"> site.</w:t>
      </w:r>
      <w:r w:rsidR="00426F87">
        <w:rPr>
          <w:lang w:eastAsia="en-GB"/>
        </w:rPr>
        <w:t xml:space="preserve"> </w:t>
      </w:r>
      <w:r w:rsidR="00762B9D">
        <w:rPr>
          <w:lang w:eastAsia="en-GB"/>
        </w:rPr>
        <w:t>However</w:t>
      </w:r>
      <w:r w:rsidR="00426F87">
        <w:rPr>
          <w:lang w:eastAsia="en-GB"/>
        </w:rPr>
        <w:t xml:space="preserve">, the East </w:t>
      </w:r>
      <w:proofErr w:type="spellStart"/>
      <w:r w:rsidR="00426F87">
        <w:rPr>
          <w:lang w:eastAsia="en-GB"/>
        </w:rPr>
        <w:t>Mey</w:t>
      </w:r>
      <w:proofErr w:type="spellEnd"/>
      <w:r w:rsidR="00426F87">
        <w:rPr>
          <w:lang w:eastAsia="en-GB"/>
        </w:rPr>
        <w:t xml:space="preserve"> area </w:t>
      </w:r>
      <w:r w:rsidR="001A557B">
        <w:rPr>
          <w:lang w:eastAsia="en-GB"/>
        </w:rPr>
        <w:t>is still a</w:t>
      </w:r>
      <w:r w:rsidR="00426F87">
        <w:rPr>
          <w:lang w:eastAsia="en-GB"/>
        </w:rPr>
        <w:t xml:space="preserve"> considerable size </w:t>
      </w:r>
      <w:r w:rsidR="00651CF0">
        <w:rPr>
          <w:lang w:eastAsia="en-GB"/>
        </w:rPr>
        <w:t>(1</w:t>
      </w:r>
      <w:r w:rsidR="00762B9D">
        <w:rPr>
          <w:lang w:eastAsia="en-GB"/>
        </w:rPr>
        <w:t>,</w:t>
      </w:r>
      <w:r w:rsidR="00651CF0">
        <w:rPr>
          <w:lang w:eastAsia="en-GB"/>
        </w:rPr>
        <w:t>127 km</w:t>
      </w:r>
      <w:r w:rsidR="00651CF0" w:rsidRPr="00651CF0">
        <w:rPr>
          <w:vertAlign w:val="superscript"/>
          <w:lang w:eastAsia="en-GB"/>
        </w:rPr>
        <w:t>2</w:t>
      </w:r>
      <w:r w:rsidR="00651CF0">
        <w:rPr>
          <w:lang w:eastAsia="en-GB"/>
        </w:rPr>
        <w:t xml:space="preserve">) </w:t>
      </w:r>
      <w:r w:rsidR="00426F87">
        <w:rPr>
          <w:lang w:eastAsia="en-GB"/>
        </w:rPr>
        <w:t xml:space="preserve">and so a key part of the </w:t>
      </w:r>
      <w:r w:rsidR="00651CF0">
        <w:rPr>
          <w:lang w:eastAsia="en-GB"/>
        </w:rPr>
        <w:t>future</w:t>
      </w:r>
      <w:r w:rsidR="00426F87">
        <w:rPr>
          <w:lang w:eastAsia="en-GB"/>
        </w:rPr>
        <w:t xml:space="preserve"> work is to select the</w:t>
      </w:r>
      <w:r w:rsidR="00651CF0">
        <w:rPr>
          <w:lang w:eastAsia="en-GB"/>
        </w:rPr>
        <w:t xml:space="preserve"> </w:t>
      </w:r>
      <w:r w:rsidR="00426F87">
        <w:rPr>
          <w:lang w:eastAsia="en-GB"/>
        </w:rPr>
        <w:t xml:space="preserve">optimal injection point(s) and </w:t>
      </w:r>
      <w:r w:rsidR="001A557B">
        <w:rPr>
          <w:lang w:eastAsia="en-GB"/>
        </w:rPr>
        <w:t xml:space="preserve">to </w:t>
      </w:r>
      <w:r w:rsidR="00651CF0">
        <w:rPr>
          <w:lang w:eastAsia="en-GB"/>
        </w:rPr>
        <w:t>calculate</w:t>
      </w:r>
      <w:r w:rsidR="001A557B">
        <w:rPr>
          <w:lang w:eastAsia="en-GB"/>
        </w:rPr>
        <w:t xml:space="preserve"> the</w:t>
      </w:r>
      <w:r w:rsidR="00651CF0">
        <w:rPr>
          <w:lang w:eastAsia="en-GB"/>
        </w:rPr>
        <w:t xml:space="preserve"> </w:t>
      </w:r>
      <w:r w:rsidR="00426F87">
        <w:rPr>
          <w:lang w:eastAsia="en-GB"/>
        </w:rPr>
        <w:t>dynamic capacity.</w:t>
      </w:r>
    </w:p>
    <w:p w14:paraId="0D4C098D" w14:textId="5CEF99BC" w:rsidR="00393515" w:rsidRDefault="0040211E" w:rsidP="00A37ED9">
      <w:pPr>
        <w:spacing w:line="276" w:lineRule="auto"/>
      </w:pPr>
      <w:r>
        <w:rPr>
          <w:lang w:eastAsia="en-GB"/>
        </w:rPr>
        <w:t xml:space="preserve">The long-lasting hydrocarbon history in the study area </w:t>
      </w:r>
      <w:r w:rsidR="00762B9D">
        <w:rPr>
          <w:lang w:eastAsia="en-GB"/>
        </w:rPr>
        <w:t xml:space="preserve">presents </w:t>
      </w:r>
      <w:r>
        <w:rPr>
          <w:lang w:eastAsia="en-GB"/>
        </w:rPr>
        <w:t xml:space="preserve">other important positive and negative implications regarding the storage suitability of the East </w:t>
      </w:r>
      <w:proofErr w:type="spellStart"/>
      <w:r>
        <w:rPr>
          <w:lang w:eastAsia="en-GB"/>
        </w:rPr>
        <w:t>Mey</w:t>
      </w:r>
      <w:proofErr w:type="spellEnd"/>
      <w:r>
        <w:rPr>
          <w:lang w:eastAsia="en-GB"/>
        </w:rPr>
        <w:t xml:space="preserve"> site. The wealth of subsurface data</w:t>
      </w:r>
      <w:r w:rsidRPr="00C71B83">
        <w:t xml:space="preserve"> </w:t>
      </w:r>
      <w:r>
        <w:t>available (</w:t>
      </w:r>
      <w:proofErr w:type="gramStart"/>
      <w:r>
        <w:t>i.e.</w:t>
      </w:r>
      <w:proofErr w:type="gramEnd"/>
      <w:r>
        <w:t xml:space="preserve"> seismic, well-log, hydrogeological and production data) </w:t>
      </w:r>
      <w:r w:rsidR="00762B9D">
        <w:t xml:space="preserve">helps </w:t>
      </w:r>
      <w:r>
        <w:t>reduc</w:t>
      </w:r>
      <w:r w:rsidR="00762B9D">
        <w:t xml:space="preserve">e the uncertainty </w:t>
      </w:r>
      <w:r w:rsidR="001A557B">
        <w:t xml:space="preserve">in site </w:t>
      </w:r>
      <w:r>
        <w:t>characteristics</w:t>
      </w:r>
      <w:r w:rsidR="002C409E">
        <w:t xml:space="preserve">. The containment risk related to caprock efficiency, particularly in the fields area </w:t>
      </w:r>
      <w:proofErr w:type="gramStart"/>
      <w:r w:rsidR="002C409E">
        <w:t>is considered to be</w:t>
      </w:r>
      <w:proofErr w:type="gramEnd"/>
      <w:r w:rsidR="002C409E">
        <w:t xml:space="preserve"> minimal. The </w:t>
      </w:r>
      <w:r w:rsidR="002C409E" w:rsidRPr="00E01612">
        <w:rPr>
          <w:sz w:val="20"/>
        </w:rPr>
        <w:t>CO</w:t>
      </w:r>
      <w:r w:rsidR="002C409E" w:rsidRPr="00E01612">
        <w:rPr>
          <w:sz w:val="20"/>
          <w:vertAlign w:val="subscript"/>
        </w:rPr>
        <w:t>2</w:t>
      </w:r>
      <w:r w:rsidR="002C409E">
        <w:t xml:space="preserve"> injection can be designed to cross and fill some of the depleted oil and gas fields so that the buoyant </w:t>
      </w:r>
      <w:r w:rsidR="002C409E" w:rsidRPr="00E01612">
        <w:rPr>
          <w:sz w:val="20"/>
        </w:rPr>
        <w:t>CO</w:t>
      </w:r>
      <w:r w:rsidR="002C409E" w:rsidRPr="00E01612">
        <w:rPr>
          <w:sz w:val="20"/>
          <w:vertAlign w:val="subscript"/>
        </w:rPr>
        <w:t>2</w:t>
      </w:r>
      <w:r w:rsidR="002C409E">
        <w:t xml:space="preserve"> can be trapped within the structures, in addition to the residual trapping in the body of underlying water. The review of the seismic lines suggests that there are no major faults crossing the </w:t>
      </w:r>
      <w:proofErr w:type="spellStart"/>
      <w:r w:rsidR="002C409E">
        <w:t>Mey</w:t>
      </w:r>
      <w:proofErr w:type="spellEnd"/>
      <w:r w:rsidR="002C409E">
        <w:t xml:space="preserve"> Sandstone, although minor faults are commonly present in many of the structures within the target area. </w:t>
      </w:r>
      <w:r>
        <w:t xml:space="preserve">On the other hand, there is a substantial </w:t>
      </w:r>
      <w:r w:rsidR="00762B9D">
        <w:t xml:space="preserve">number </w:t>
      </w:r>
      <w:r>
        <w:t>of active and abandoned wells in the area (117 wells in total, according to the OGA, or 0.08 wells per km</w:t>
      </w:r>
      <w:r w:rsidRPr="000614E7">
        <w:rPr>
          <w:vertAlign w:val="superscript"/>
        </w:rPr>
        <w:t>2</w:t>
      </w:r>
      <w:r>
        <w:t xml:space="preserve">) (Figure 6). </w:t>
      </w:r>
      <w:r w:rsidR="002C409E">
        <w:t xml:space="preserve">As the </w:t>
      </w:r>
      <w:proofErr w:type="spellStart"/>
      <w:r w:rsidR="002C409E">
        <w:t>Mey</w:t>
      </w:r>
      <w:proofErr w:type="spellEnd"/>
      <w:r w:rsidR="002C409E">
        <w:t xml:space="preserve"> Sandstone is a mature</w:t>
      </w:r>
      <w:r w:rsidR="008F26E3">
        <w:t>,</w:t>
      </w:r>
      <w:r w:rsidR="002C409E">
        <w:t xml:space="preserve"> oil</w:t>
      </w:r>
      <w:r w:rsidR="008F26E3">
        <w:t>-</w:t>
      </w:r>
      <w:r w:rsidR="002C409E">
        <w:t xml:space="preserve">producing reservoir, well abandonment procedures </w:t>
      </w:r>
      <w:r w:rsidR="008F26E3">
        <w:t>we</w:t>
      </w:r>
      <w:r w:rsidR="002C409E">
        <w:t xml:space="preserve">re designed to avoid the escape of oil and gas from the </w:t>
      </w:r>
      <w:proofErr w:type="spellStart"/>
      <w:r w:rsidR="002C409E">
        <w:t>Mey</w:t>
      </w:r>
      <w:proofErr w:type="spellEnd"/>
      <w:r w:rsidR="002C409E">
        <w:t>, which will be helpful in retaining high CO</w:t>
      </w:r>
      <w:r w:rsidR="002C409E" w:rsidRPr="00157F42">
        <w:rPr>
          <w:vertAlign w:val="subscript"/>
        </w:rPr>
        <w:t>2</w:t>
      </w:r>
      <w:r w:rsidR="002C409E">
        <w:t xml:space="preserve"> integrity. However, these </w:t>
      </w:r>
      <w:r w:rsidR="008F26E3">
        <w:t xml:space="preserve">wells </w:t>
      </w:r>
      <w:r w:rsidR="002C409E">
        <w:t xml:space="preserve">will have to be reviewed on a </w:t>
      </w:r>
      <w:proofErr w:type="gramStart"/>
      <w:r w:rsidR="002C409E">
        <w:t>case by case</w:t>
      </w:r>
      <w:proofErr w:type="gramEnd"/>
      <w:r w:rsidR="002C409E">
        <w:t xml:space="preserve"> basis, especially for wells </w:t>
      </w:r>
      <w:r w:rsidR="00D93FA8">
        <w:t xml:space="preserve">where the oil and gas shows are located at different levels (i.e. </w:t>
      </w:r>
      <w:r w:rsidR="008F26E3">
        <w:t xml:space="preserve">stratigraphically </w:t>
      </w:r>
      <w:r w:rsidR="00D93FA8">
        <w:t xml:space="preserve">higher or lower) than the </w:t>
      </w:r>
      <w:proofErr w:type="spellStart"/>
      <w:r w:rsidR="002C409E">
        <w:t>Mey</w:t>
      </w:r>
      <w:proofErr w:type="spellEnd"/>
      <w:r w:rsidR="002C409E">
        <w:t xml:space="preserve"> </w:t>
      </w:r>
      <w:r w:rsidR="00D93FA8">
        <w:t xml:space="preserve">sandstone, </w:t>
      </w:r>
      <w:r w:rsidR="008F26E3">
        <w:t xml:space="preserve">just </w:t>
      </w:r>
      <w:r w:rsidR="00D93FA8">
        <w:t xml:space="preserve">in case the </w:t>
      </w:r>
      <w:proofErr w:type="spellStart"/>
      <w:r w:rsidR="00D93FA8">
        <w:t>Mey</w:t>
      </w:r>
      <w:proofErr w:type="spellEnd"/>
      <w:r w:rsidR="00D93FA8">
        <w:t xml:space="preserve"> </w:t>
      </w:r>
      <w:r w:rsidR="008F26E3">
        <w:t>F</w:t>
      </w:r>
      <w:r w:rsidR="00D93FA8">
        <w:t>ormation was left open</w:t>
      </w:r>
      <w:r w:rsidR="002C409E">
        <w:t>.</w:t>
      </w:r>
      <w:r w:rsidR="00D93FA8">
        <w:t xml:space="preserve"> Besides, i</w:t>
      </w:r>
      <w:r>
        <w:t xml:space="preserve">f legacy wells </w:t>
      </w:r>
      <w:r w:rsidR="00762B9D">
        <w:t xml:space="preserve">have been </w:t>
      </w:r>
      <w:r>
        <w:t>poorly abandoned</w:t>
      </w:r>
      <w:r w:rsidR="00762B9D">
        <w:t>,</w:t>
      </w:r>
      <w:r>
        <w:t xml:space="preserve"> or have suffered significant deterioration since their abandonment, </w:t>
      </w:r>
      <w:r w:rsidR="00762B9D">
        <w:t xml:space="preserve">then </w:t>
      </w:r>
      <w:r>
        <w:t xml:space="preserve">they </w:t>
      </w:r>
      <w:r w:rsidR="00762B9D">
        <w:t xml:space="preserve">may </w:t>
      </w:r>
      <w:r>
        <w:t xml:space="preserve">act as pathways for the </w:t>
      </w:r>
      <w:r w:rsidR="00762B9D">
        <w:t xml:space="preserve">vertical </w:t>
      </w:r>
      <w:r>
        <w:t xml:space="preserve">migration of </w:t>
      </w:r>
      <w:r w:rsidR="00762B9D">
        <w:rPr>
          <w:sz w:val="20"/>
        </w:rPr>
        <w:t>CO</w:t>
      </w:r>
      <w:r w:rsidR="00762B9D" w:rsidRPr="00D25C4E">
        <w:rPr>
          <w:sz w:val="20"/>
          <w:vertAlign w:val="subscript"/>
        </w:rPr>
        <w:t>2</w:t>
      </w:r>
      <w:r w:rsidR="00762B9D">
        <w:t xml:space="preserve"> from </w:t>
      </w:r>
      <w:r>
        <w:t xml:space="preserve">the reservoir </w:t>
      </w:r>
      <w:r>
        <w:fldChar w:fldCharType="begin" w:fldLock="1"/>
      </w:r>
      <w:r w:rsidR="009D58AA">
        <w:instrText xml:space="preserve">ADDIN CSL_CITATION {"citationItems":[{"id":"ITEM-1","itemData":{"DOI":"10.1007/s00254-008-1444-4","ISSN":"0943-0105","abstract":"Subsurface sequestration of CO2 in oil and gas provinces where permanence of hydrocarbon accumulations has proven the reliability of potential traps is rightly seen as a solid option for containment of CO2 atmospheric concentrations. However, one of the most promising provinces for carbon storage in North America, the Texas Gulf Coast, has also been heavily drilled for more than a century, puncturing many otherwise perfectly sound seals (&gt;125,000 wells over </w:instrText>
      </w:r>
      <w:r w:rsidR="009D58AA">
        <w:rPr>
          <w:rFonts w:ascii="Cambria Math" w:hAnsi="Cambria Math" w:cs="Cambria Math"/>
        </w:rPr>
        <w:instrText>∼</w:instrText>
      </w:r>
      <w:r w:rsidR="009D58AA">
        <w:instrText>50,000 km2). As a result, boreholes and, in particular, older abandoned wells could be major leakage pathways for sequestered CO2. This article presents statistics on well spatial and depth distribution that have been drawn from public domain sources and relates these data to historical plugging and abandonment regulations in the Texas Gulf Coast. Surface-well density averages of 2.4 wells/km2 can be locally much higher-but also much lower in larger areas. Average well penetration density drops to 0.27 and 0.05 well/km2 below a depth of 2,440 and 3,660 m, respectively. Natural mitigating factors such as thief zones and heaving \"shales\" could also play a role in limiting the impact of these direct conduits to the shallow subsurface and surface. © 2008 Springer-Verlag.","author":[{"dropping-particle":"","family":"Nicot","given":"Jean-Philippe","non-dropping-particle":"","parse-names":false,"suffix":""}],"container-title":"Environmental Geology","id":"ITEM-1","issue":"7","issued":{"date-parts":[["2009","6","8"]]},"page":"1625-1638","title":"A survey of oil and gas wells in the Texas Gulf Coast, USA, and implications for geological sequestration of CO2","type":"article-journal","volume":"57"},"uris":["http://www.mendeley.com/documents/?uuid=55ebddc8-ed2d-45f6-b8fd-51fa0d027db4"]},{"id":"ITEM-2","itemData":{"DOI":"10.1073/pnas.1605913113","ISSN":"10916490","abstract":"Recent measurements of methane emissions from abandoned oil/gas wells show that these wells can be a substantial source of methane to the atmosphere, particularly from a small proportion of high-emitting wells. However, identifying high emitters remains a challenge. We couple 163 well measurements of methane flow rates; ethane, propane, and n-butane concentrations; isotopes of methane; and noble gas concentrations from 88 wells in Pennsylvania with synthesized data from historical documents, field investigations, and state databases. Using our databases, we (i) improve estimates of the number of abandoned wells in Pennsylvania; (ii) characterize key attributes that accompany high emitters, including depth, type, plugging status, and coal area designation; and (iii) estimate attribute-specific and overall methane emissions from abandoned wells. High emitters are best predicted as unplugged gas wells and plugged/vented gas wells in coal areas and appear to be unrelated to the presence of underground natural gas storage areas or unconventional oil/gas production. Repeat measurements over 2 years show that flow rates of high emitters are sustained through time. Our attribute-based methane emission data and our comprehensive estimate of 470,000-750,000 abandoned wells in Pennsylvania result in estimated state-wide emissions of 0.04-0.07 Mt (1012 g) CH4 per year. This estimate represents 5-8% of annual anthropogenic methane emissions in Pennsylvania. Our methodology combining new field measurements with data mining of previously unavailable well attributes and numbers of wells can be used to improve methane emission estimates and prioritize cost-effective mitigation strategies for Pennsylvania and beyond.","author":[{"dropping-particle":"","family":"Kang","given":"Mary","non-dropping-particle":"","parse-names":false,"suffix":""},{"dropping-particle":"","family":"Christian","given":"Shanna","non-dropping-particle":"","parse-names":false,"suffix":""},{"dropping-particle":"","family":"Celia","given":"Michael A.","non-dropping-particle":"","parse-names":false,"suffix":""},{"dropping-particle":"","family":"Mauzerall","given":"Denise L.","non-dropping-particle":"","parse-names":false,"suffix":""},{"dropping-particle":"","family":"Bill","given":"Markus","non-dropping-particle":"","parse-names":false,"suffix":""},{"dropping-particle":"","family":"Miller","given":"Alana R.","non-dropping-particle":"","parse-names":false,"suffix":""},{"dropping-particle":"","family":"Chen","given":"Yuheng","non-dropping-particle":"","parse-names":false,"suffix":""},{"dropping-particle":"","family":"Conrad","given":"Mark E.","non-dropping-particle":"","parse-names":false,"suffix":""},{"dropping-particle":"","family":"Darrah","given":"Thomas H.","non-dropping-particle":"","parse-names":false,"suffix":""},{"dropping-particle":"","family":"Jackson","given":"Robert B.","non-dropping-particle":"","parse-names":false,"suffix":""}],"container-title":"Proceedings of the National Academy of Sciences of the United States of America","id":"ITEM-2","issue":"48","issued":{"date-parts":[["2016"]]},"page":"13636-13641","title":"Identification and characterization of high methane-emitting abandoned oil and gas wells","type":"article-journal","volume":"113"},"uris":["http://www.mendeley.com/documents/?uuid=24ee76cd-150c-4b7d-8182-15d894404d46"]}],"mendeley":{"formattedCitation":"(Kang et al., 2016; Nicot, 2009)","plainTextFormattedCitation":"(Kang et al., 2016; Nicot, 2009)","previouslyFormattedCitation":"(Kang et al., 2016; Nicot, 2009)"},"properties":{"noteIndex":0},"schema":"https://github.com/citation-style-language/schema/raw/master/csl-citation.json"}</w:instrText>
      </w:r>
      <w:r>
        <w:fldChar w:fldCharType="separate"/>
      </w:r>
      <w:r w:rsidR="00C01E2D" w:rsidRPr="00C01E2D">
        <w:rPr>
          <w:noProof/>
        </w:rPr>
        <w:t>(Kang et al., 2016; Nicot, 2009)</w:t>
      </w:r>
      <w:r>
        <w:fldChar w:fldCharType="end"/>
      </w:r>
      <w:r>
        <w:t xml:space="preserve">. It is thus </w:t>
      </w:r>
      <w:r w:rsidR="001A557B">
        <w:t xml:space="preserve">of </w:t>
      </w:r>
      <w:r w:rsidR="00762B9D">
        <w:t xml:space="preserve">great </w:t>
      </w:r>
      <w:r>
        <w:t>importan</w:t>
      </w:r>
      <w:r w:rsidR="001A557B">
        <w:t>ce</w:t>
      </w:r>
      <w:r>
        <w:t xml:space="preserve"> to determine </w:t>
      </w:r>
      <w:r w:rsidR="001A557B">
        <w:t>well</w:t>
      </w:r>
      <w:r>
        <w:t xml:space="preserve"> integrity and associated leakage risk prior to </w:t>
      </w:r>
      <w:r w:rsidR="001A557B">
        <w:t xml:space="preserve">any </w:t>
      </w:r>
      <w:r>
        <w:t xml:space="preserve">storage operation </w:t>
      </w:r>
      <w:r>
        <w:fldChar w:fldCharType="begin" w:fldLock="1"/>
      </w:r>
      <w:r w:rsidR="009D58AA">
        <w:instrText>ADDIN CSL_CITATION {"citationItems":[{"id":"ITEM-1","itemData":{"DOI":"10.1002/ghg.1599","ISSN":"21523878","abstract":"The condition of legacy oil and gas wells is an important issue for geologic CO2 storage projects. Many regions with large CO2 point sources coincide with historical oil and gas fields. This is especially apparent in the Midwestern United States, where over one million oil and gas wells are present dating back to the late 1800s. To investigate wellbore integrity factors in this region, the condition of oil and gas wells in Michigan and Ohio was summarized based on well status, depth, construction, age, and plugging specifications. To better understand the impact of well integrity on a local scale, six test study areas were also analyzed. These hypothetical test study areas were based on subsurface area necessary for an industrial scale CO2 storage application. Detailed records were used to categorize well conditions, and corrective actions necessary to repair the wells were then assigned. The results of the test study area analysis provide a real representation of the level of effort necessary to prepare sites for CO2 storage. Actions may involve relatively low-effort tasks to examine wellheads or more extensive well re-entry and plugging. The analysis indicated that many areas may have hundreds of wells, but no wells penetrating the deeper CO2 storage zones. At sites where many wells require corrective action, it may be challenging to efficiently plug and abandon wells. Options such as testing wellhead pressures, surface monitoring of CO2 leakage, and less extensive plugging requirements may help offset costs associated with remediating a large number of wells","author":[{"dropping-particle":"","family":"Sminchak","given":"J.R.","non-dropping-particle":"","parse-names":false,"suffix":""},{"dropping-particle":"","family":"Moody","given":"Mark","non-dropping-particle":"","parse-names":false,"suffix":""},{"dropping-particle":"","family":"Gupta","given":"Neeraj","non-dropping-particle":"","parse-names":false,"suffix":""},{"dropping-particle":"","family":"Larsen","given":"Glenn","non-dropping-particle":"","parse-names":false,"suffix":""}],"container-title":"Greenhouse Gases: Science and Technology","id":"ITEM-1","issue":"5","issued":{"date-parts":[["2017","10"]]},"page":"817-827","title":"Wellbore integrity factors for CO 2 storage in oil and gas producing areas in the Midwest United States","type":"article-journal","volume":"7"},"uris":["http://www.mendeley.com/documents/?uuid=b4f1574f-5945-42f6-9643-35135f62b0f6"]}],"mendeley":{"formattedCitation":"(Sminchak et al., 2017)","plainTextFormattedCitation":"(Sminchak et al., 2017)","previouslyFormattedCitation":"(Sminchak et al., 2017)"},"properties":{"noteIndex":0},"schema":"https://github.com/citation-style-language/schema/raw/master/csl-citation.json"}</w:instrText>
      </w:r>
      <w:r>
        <w:fldChar w:fldCharType="separate"/>
      </w:r>
      <w:r w:rsidR="00C01E2D" w:rsidRPr="00C01E2D">
        <w:rPr>
          <w:noProof/>
        </w:rPr>
        <w:t>(Sminchak et al., 2017)</w:t>
      </w:r>
      <w:r>
        <w:fldChar w:fldCharType="end"/>
      </w:r>
      <w:r>
        <w:t>, although this work can be challenging if the number of wells is high and/or the abandonment records are damaged or missing.</w:t>
      </w:r>
    </w:p>
    <w:p w14:paraId="303F02C4" w14:textId="559D3872" w:rsidR="00D93FA8" w:rsidRDefault="00D93FA8" w:rsidP="00A37ED9">
      <w:pPr>
        <w:spacing w:line="276" w:lineRule="auto"/>
      </w:pPr>
      <w:r w:rsidRPr="00D93FA8">
        <w:t xml:space="preserve">Reservoir quality and </w:t>
      </w:r>
      <w:r w:rsidR="008B28BF">
        <w:t xml:space="preserve">reservoir </w:t>
      </w:r>
      <w:r w:rsidRPr="00D93FA8">
        <w:t xml:space="preserve">extent </w:t>
      </w:r>
      <w:r w:rsidR="008F26E3">
        <w:t>are</w:t>
      </w:r>
      <w:r w:rsidRPr="00D93FA8">
        <w:t xml:space="preserve"> </w:t>
      </w:r>
      <w:r>
        <w:t>favourable,</w:t>
      </w:r>
      <w:r w:rsidRPr="00D93FA8">
        <w:t xml:space="preserve"> wit</w:t>
      </w:r>
      <w:r>
        <w:t>h high injectivity anticipated.</w:t>
      </w:r>
      <w:r w:rsidRPr="00D93FA8">
        <w:t xml:space="preserve"> </w:t>
      </w:r>
      <w:r>
        <w:t>The r</w:t>
      </w:r>
      <w:r w:rsidRPr="00D93FA8">
        <w:t>eservoir architecture indicates</w:t>
      </w:r>
      <w:r>
        <w:t xml:space="preserve"> the presence of</w:t>
      </w:r>
      <w:r w:rsidRPr="00D93FA8">
        <w:t xml:space="preserve"> shale baffles, which could help to enhance storage efficiency, but their extent and continuity</w:t>
      </w:r>
      <w:r>
        <w:t xml:space="preserve"> should be studied in detail </w:t>
      </w:r>
      <w:r w:rsidR="008B28BF">
        <w:t>during</w:t>
      </w:r>
      <w:r>
        <w:t xml:space="preserve"> future site characterisation stages. </w:t>
      </w:r>
      <w:r w:rsidRPr="00D93FA8">
        <w:t xml:space="preserve">The overall area also has some structural closures </w:t>
      </w:r>
      <w:r w:rsidRPr="00D93FA8">
        <w:lastRenderedPageBreak/>
        <w:t>in addition to the</w:t>
      </w:r>
      <w:r>
        <w:t xml:space="preserve"> </w:t>
      </w:r>
      <w:r w:rsidRPr="00D93FA8">
        <w:t>body of the underlying aquifer</w:t>
      </w:r>
      <w:r w:rsidR="008F26E3">
        <w:t>, thus</w:t>
      </w:r>
      <w:r w:rsidRPr="00D93FA8">
        <w:t xml:space="preserve"> affording an ability to buoyantly trap </w:t>
      </w:r>
      <w:r>
        <w:t>a portion of the</w:t>
      </w:r>
      <w:r w:rsidRPr="00D93FA8">
        <w:t xml:space="preserve"> CO</w:t>
      </w:r>
      <w:r w:rsidRPr="00157F42">
        <w:rPr>
          <w:vertAlign w:val="subscript"/>
        </w:rPr>
        <w:t>2</w:t>
      </w:r>
      <w:r w:rsidRPr="00D93FA8">
        <w:t>.</w:t>
      </w:r>
      <w:r w:rsidR="008C3DED" w:rsidRPr="008C3DED">
        <w:t xml:space="preserve"> </w:t>
      </w:r>
      <w:r w:rsidR="008C3DED">
        <w:t xml:space="preserve">In summary, all these factors make </w:t>
      </w:r>
      <w:r w:rsidR="008C3DED" w:rsidRPr="00D93FA8">
        <w:t xml:space="preserve">East </w:t>
      </w:r>
      <w:proofErr w:type="spellStart"/>
      <w:r w:rsidR="008C3DED" w:rsidRPr="00D93FA8">
        <w:t>Mey</w:t>
      </w:r>
      <w:proofErr w:type="spellEnd"/>
      <w:r w:rsidR="008C3DED" w:rsidRPr="00D93FA8">
        <w:t xml:space="preserve"> a </w:t>
      </w:r>
      <w:r w:rsidR="008C3DED">
        <w:t>suitable selection for the development of</w:t>
      </w:r>
      <w:r w:rsidR="008C3DED" w:rsidRPr="00D93FA8">
        <w:t xml:space="preserve"> Site 2.</w:t>
      </w:r>
    </w:p>
    <w:p w14:paraId="3582CD16" w14:textId="4076168E" w:rsidR="00393515" w:rsidRDefault="00393515" w:rsidP="00393515">
      <w:pPr>
        <w:rPr>
          <w:lang w:eastAsia="en-GB"/>
        </w:rPr>
      </w:pPr>
      <w:r w:rsidRPr="00393515">
        <w:rPr>
          <w:bCs/>
          <w:iCs/>
          <w:noProof/>
          <w:lang w:eastAsia="en-GB"/>
        </w:rPr>
        <w:t xml:space="preserve"> </w:t>
      </w:r>
      <w:r>
        <w:rPr>
          <w:bCs/>
          <w:iCs/>
          <w:noProof/>
          <w:lang w:eastAsia="en-GB"/>
        </w:rPr>
        <w:drawing>
          <wp:inline distT="0" distB="0" distL="0" distR="0" wp14:anchorId="5C8BAEF3" wp14:editId="75C37551">
            <wp:extent cx="4511803" cy="2894274"/>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_EMe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6499" cy="2897287"/>
                    </a:xfrm>
                    <a:prstGeom prst="rect">
                      <a:avLst/>
                    </a:prstGeom>
                  </pic:spPr>
                </pic:pic>
              </a:graphicData>
            </a:graphic>
          </wp:inline>
        </w:drawing>
      </w:r>
    </w:p>
    <w:p w14:paraId="760297EF" w14:textId="3E7B097C" w:rsidR="00393515" w:rsidRDefault="00393515" w:rsidP="00393515">
      <w:pPr>
        <w:pStyle w:val="Caption"/>
        <w:rPr>
          <w:rStyle w:val="BookTitle"/>
          <w:rFonts w:ascii="Times New Roman" w:hAnsi="Times New Roman"/>
          <w:b w:val="0"/>
          <w:spacing w:val="0"/>
        </w:rPr>
      </w:pPr>
      <w:r>
        <w:t xml:space="preserve">Figure </w:t>
      </w:r>
      <w:fldSimple w:instr=" SEQ Figure \* ARABIC ">
        <w:r w:rsidR="00300235">
          <w:rPr>
            <w:noProof/>
          </w:rPr>
          <w:t>5</w:t>
        </w:r>
      </w:fldSimple>
      <w:r>
        <w:t xml:space="preserve">: Final location of the East </w:t>
      </w:r>
      <w:proofErr w:type="spellStart"/>
      <w:r>
        <w:t>Mey</w:t>
      </w:r>
      <w:proofErr w:type="spellEnd"/>
      <w:r>
        <w:t xml:space="preserve"> storage complex (black polygon), including the location of the oil and gas fields in the area (in turquoise) and </w:t>
      </w:r>
      <w:r w:rsidR="008B66AF">
        <w:t>the polygon studied during the d</w:t>
      </w:r>
      <w:r>
        <w:t xml:space="preserve">ue </w:t>
      </w:r>
      <w:r w:rsidR="008B66AF">
        <w:t>d</w:t>
      </w:r>
      <w:r>
        <w:t xml:space="preserve">iligence stage (in dotted red). The circled crosses mark the location of the 117 wells that sample the East </w:t>
      </w:r>
      <w:proofErr w:type="spellStart"/>
      <w:r>
        <w:t>Mey</w:t>
      </w:r>
      <w:proofErr w:type="spellEnd"/>
      <w:r>
        <w:t xml:space="preserve"> storage complex and its surroundings (source: OGA).</w:t>
      </w:r>
    </w:p>
    <w:p w14:paraId="28E38FA8" w14:textId="3AA0DCAE" w:rsidR="0040211E" w:rsidRDefault="0040211E" w:rsidP="0040211E"/>
    <w:p w14:paraId="7F9BF445" w14:textId="7C00CC91" w:rsidR="00086316" w:rsidRPr="002B78D5" w:rsidRDefault="00AE5863" w:rsidP="002B78D5">
      <w:pPr>
        <w:pStyle w:val="Section"/>
        <w:rPr>
          <w:rStyle w:val="BookTitle"/>
          <w:rFonts w:ascii="Times New Roman" w:hAnsi="Times New Roman"/>
          <w:b/>
          <w:spacing w:val="0"/>
        </w:rPr>
      </w:pPr>
      <w:r w:rsidRPr="002B78D5">
        <w:rPr>
          <w:rStyle w:val="BookTitle"/>
          <w:rFonts w:ascii="Times New Roman" w:hAnsi="Times New Roman"/>
          <w:b/>
          <w:spacing w:val="0"/>
        </w:rPr>
        <w:t>Conclusions</w:t>
      </w:r>
    </w:p>
    <w:p w14:paraId="6C4D2AFD" w14:textId="2786B80C" w:rsidR="00C9069C" w:rsidRDefault="008E3229" w:rsidP="00175A4D">
      <w:pPr>
        <w:pStyle w:val="NoSpacing"/>
        <w:spacing w:line="276" w:lineRule="auto"/>
        <w:jc w:val="both"/>
        <w:rPr>
          <w:rStyle w:val="BookTitle"/>
          <w:rFonts w:ascii="Times New Roman" w:hAnsi="Times New Roman"/>
          <w:b w:val="0"/>
          <w:spacing w:val="0"/>
        </w:rPr>
      </w:pPr>
      <w:r>
        <w:rPr>
          <w:rStyle w:val="BookTitle"/>
          <w:rFonts w:ascii="Times New Roman" w:hAnsi="Times New Roman"/>
          <w:b w:val="0"/>
          <w:spacing w:val="0"/>
        </w:rPr>
        <w:t xml:space="preserve">A criteria-driven methodology allowed for the selection of East </w:t>
      </w:r>
      <w:proofErr w:type="spellStart"/>
      <w:r>
        <w:rPr>
          <w:rStyle w:val="BookTitle"/>
          <w:rFonts w:ascii="Times New Roman" w:hAnsi="Times New Roman"/>
          <w:b w:val="0"/>
          <w:spacing w:val="0"/>
        </w:rPr>
        <w:t>Mey</w:t>
      </w:r>
      <w:proofErr w:type="spellEnd"/>
      <w:r>
        <w:rPr>
          <w:rStyle w:val="BookTitle"/>
          <w:rFonts w:ascii="Times New Roman" w:hAnsi="Times New Roman"/>
          <w:b w:val="0"/>
          <w:spacing w:val="0"/>
        </w:rPr>
        <w:t xml:space="preserve"> as </w:t>
      </w:r>
      <w:r w:rsidR="00214C6C">
        <w:rPr>
          <w:rStyle w:val="BookTitle"/>
          <w:rFonts w:ascii="Times New Roman" w:hAnsi="Times New Roman"/>
          <w:b w:val="0"/>
          <w:spacing w:val="0"/>
        </w:rPr>
        <w:t>the most suitable site to serve as backup and/or upscaling option for the Acorn CCS project in northeast Scotland. The workflow draws on some criteria from previous studies for storage site selection, but critically incorporates project-specific elements that ensure the compliance with the aims of Acorn (</w:t>
      </w:r>
      <w:proofErr w:type="gramStart"/>
      <w:r w:rsidR="00214C6C">
        <w:rPr>
          <w:rStyle w:val="BookTitle"/>
          <w:rFonts w:ascii="Times New Roman" w:hAnsi="Times New Roman"/>
          <w:b w:val="0"/>
          <w:spacing w:val="0"/>
        </w:rPr>
        <w:t>e.g.</w:t>
      </w:r>
      <w:proofErr w:type="gramEnd"/>
      <w:r w:rsidR="00214C6C">
        <w:rPr>
          <w:rStyle w:val="BookTitle"/>
          <w:rFonts w:ascii="Times New Roman" w:hAnsi="Times New Roman"/>
          <w:b w:val="0"/>
          <w:spacing w:val="0"/>
        </w:rPr>
        <w:t xml:space="preserve"> </w:t>
      </w:r>
      <w:r w:rsidR="007E3AFF">
        <w:rPr>
          <w:rStyle w:val="BookTitle"/>
          <w:rFonts w:ascii="Times New Roman" w:hAnsi="Times New Roman"/>
          <w:b w:val="0"/>
          <w:spacing w:val="0"/>
        </w:rPr>
        <w:t xml:space="preserve">high capacity and injectivity, low capital cost, proximity to re-usable infrastructure). The workflow </w:t>
      </w:r>
      <w:r w:rsidR="00294044">
        <w:rPr>
          <w:rStyle w:val="BookTitle"/>
          <w:rFonts w:ascii="Times New Roman" w:hAnsi="Times New Roman"/>
          <w:b w:val="0"/>
          <w:spacing w:val="0"/>
        </w:rPr>
        <w:t xml:space="preserve">included four major stages, that </w:t>
      </w:r>
      <w:r w:rsidR="00DD423D">
        <w:rPr>
          <w:rStyle w:val="BookTitle"/>
          <w:rFonts w:ascii="Times New Roman" w:hAnsi="Times New Roman"/>
          <w:b w:val="0"/>
          <w:spacing w:val="0"/>
        </w:rPr>
        <w:t xml:space="preserve">allowed </w:t>
      </w:r>
      <w:r w:rsidR="00DA36EB">
        <w:rPr>
          <w:rStyle w:val="BookTitle"/>
          <w:rFonts w:ascii="Times New Roman" w:hAnsi="Times New Roman"/>
          <w:b w:val="0"/>
          <w:spacing w:val="0"/>
        </w:rPr>
        <w:t>rationale</w:t>
      </w:r>
      <w:r w:rsidR="00DD423D">
        <w:rPr>
          <w:rStyle w:val="BookTitle"/>
          <w:rFonts w:ascii="Times New Roman" w:hAnsi="Times New Roman"/>
          <w:b w:val="0"/>
          <w:spacing w:val="0"/>
        </w:rPr>
        <w:t xml:space="preserve"> select</w:t>
      </w:r>
      <w:r w:rsidR="00DA36EB">
        <w:rPr>
          <w:rStyle w:val="BookTitle"/>
          <w:rFonts w:ascii="Times New Roman" w:hAnsi="Times New Roman"/>
          <w:b w:val="0"/>
          <w:spacing w:val="0"/>
        </w:rPr>
        <w:t>ion of suitable sites</w:t>
      </w:r>
      <w:r w:rsidR="00DD423D">
        <w:rPr>
          <w:rStyle w:val="BookTitle"/>
          <w:rFonts w:ascii="Times New Roman" w:hAnsi="Times New Roman"/>
          <w:b w:val="0"/>
          <w:spacing w:val="0"/>
        </w:rPr>
        <w:t xml:space="preserve"> </w:t>
      </w:r>
      <w:r w:rsidR="00E32923">
        <w:rPr>
          <w:rStyle w:val="BookTitle"/>
          <w:rFonts w:ascii="Times New Roman" w:hAnsi="Times New Roman"/>
          <w:b w:val="0"/>
          <w:spacing w:val="0"/>
        </w:rPr>
        <w:t>from over 500 input sites from the CO</w:t>
      </w:r>
      <w:r w:rsidR="00E32923" w:rsidRPr="00E32923">
        <w:rPr>
          <w:rStyle w:val="BookTitle"/>
          <w:rFonts w:ascii="Times New Roman" w:hAnsi="Times New Roman"/>
          <w:b w:val="0"/>
          <w:spacing w:val="0"/>
          <w:vertAlign w:val="subscript"/>
        </w:rPr>
        <w:t>2</w:t>
      </w:r>
      <w:r w:rsidR="00E32923">
        <w:rPr>
          <w:rStyle w:val="BookTitle"/>
          <w:rFonts w:ascii="Times New Roman" w:hAnsi="Times New Roman"/>
          <w:b w:val="0"/>
          <w:spacing w:val="0"/>
        </w:rPr>
        <w:t>Stored database</w:t>
      </w:r>
      <w:r w:rsidR="00DA36EB">
        <w:rPr>
          <w:rStyle w:val="BookTitle"/>
          <w:rFonts w:ascii="Times New Roman" w:hAnsi="Times New Roman"/>
          <w:b w:val="0"/>
          <w:spacing w:val="0"/>
        </w:rPr>
        <w:t>, and ultimately resulted in the most suitable site be chosen</w:t>
      </w:r>
      <w:r w:rsidR="00E32923">
        <w:rPr>
          <w:rStyle w:val="BookTitle"/>
          <w:rFonts w:ascii="Times New Roman" w:hAnsi="Times New Roman"/>
          <w:b w:val="0"/>
          <w:spacing w:val="0"/>
        </w:rPr>
        <w:t>.</w:t>
      </w:r>
      <w:r w:rsidR="002F5E1B">
        <w:rPr>
          <w:rStyle w:val="BookTitle"/>
          <w:rFonts w:ascii="Times New Roman" w:hAnsi="Times New Roman"/>
          <w:b w:val="0"/>
          <w:spacing w:val="0"/>
        </w:rPr>
        <w:t xml:space="preserve"> </w:t>
      </w:r>
      <w:r w:rsidR="00AC45C6">
        <w:rPr>
          <w:rStyle w:val="BookTitle"/>
          <w:rFonts w:ascii="Times New Roman" w:hAnsi="Times New Roman"/>
          <w:b w:val="0"/>
          <w:spacing w:val="0"/>
        </w:rPr>
        <w:t xml:space="preserve">The site selection approach </w:t>
      </w:r>
      <w:r w:rsidR="00DA36EB">
        <w:rPr>
          <w:rStyle w:val="BookTitle"/>
          <w:rFonts w:ascii="Times New Roman" w:hAnsi="Times New Roman"/>
          <w:b w:val="0"/>
          <w:spacing w:val="0"/>
        </w:rPr>
        <w:t xml:space="preserve">that was </w:t>
      </w:r>
      <w:r w:rsidR="00AC45C6">
        <w:rPr>
          <w:rStyle w:val="BookTitle"/>
          <w:rFonts w:ascii="Times New Roman" w:hAnsi="Times New Roman"/>
          <w:b w:val="0"/>
          <w:spacing w:val="0"/>
        </w:rPr>
        <w:t xml:space="preserve">employed included different geological, </w:t>
      </w:r>
      <w:r w:rsidR="007A2B01">
        <w:rPr>
          <w:rStyle w:val="BookTitle"/>
          <w:rFonts w:ascii="Times New Roman" w:hAnsi="Times New Roman"/>
          <w:b w:val="0"/>
          <w:spacing w:val="0"/>
        </w:rPr>
        <w:t>financial</w:t>
      </w:r>
      <w:r w:rsidR="00AC45C6">
        <w:rPr>
          <w:rStyle w:val="BookTitle"/>
          <w:rFonts w:ascii="Times New Roman" w:hAnsi="Times New Roman"/>
          <w:b w:val="0"/>
          <w:spacing w:val="0"/>
        </w:rPr>
        <w:t xml:space="preserve">, </w:t>
      </w:r>
      <w:r w:rsidR="007A2B01">
        <w:rPr>
          <w:rStyle w:val="BookTitle"/>
          <w:rFonts w:ascii="Times New Roman" w:hAnsi="Times New Roman"/>
          <w:b w:val="0"/>
          <w:spacing w:val="0"/>
        </w:rPr>
        <w:t>engineering</w:t>
      </w:r>
      <w:r w:rsidR="00AC45C6">
        <w:rPr>
          <w:rStyle w:val="BookTitle"/>
          <w:rFonts w:ascii="Times New Roman" w:hAnsi="Times New Roman"/>
          <w:b w:val="0"/>
          <w:spacing w:val="0"/>
        </w:rPr>
        <w:t xml:space="preserve"> and safety criteria, ensuring that all aspects of the full </w:t>
      </w:r>
      <w:r w:rsidR="00AC45C6" w:rsidRPr="00AC45C6">
        <w:rPr>
          <w:rStyle w:val="BookTitle"/>
          <w:rFonts w:ascii="Times New Roman" w:hAnsi="Times New Roman"/>
          <w:b w:val="0"/>
          <w:spacing w:val="0"/>
          <w:sz w:val="20"/>
        </w:rPr>
        <w:t>CO</w:t>
      </w:r>
      <w:r w:rsidR="00AC45C6" w:rsidRPr="00AC45C6">
        <w:rPr>
          <w:rStyle w:val="BookTitle"/>
          <w:rFonts w:ascii="Times New Roman" w:hAnsi="Times New Roman"/>
          <w:b w:val="0"/>
          <w:spacing w:val="0"/>
          <w:sz w:val="20"/>
          <w:vertAlign w:val="subscript"/>
        </w:rPr>
        <w:t>2</w:t>
      </w:r>
      <w:r w:rsidR="00AC45C6">
        <w:rPr>
          <w:rStyle w:val="BookTitle"/>
          <w:rFonts w:ascii="Times New Roman" w:hAnsi="Times New Roman"/>
          <w:b w:val="0"/>
          <w:spacing w:val="0"/>
        </w:rPr>
        <w:t xml:space="preserve"> storage chain were reflected.</w:t>
      </w:r>
      <w:r w:rsidR="007A2B01">
        <w:rPr>
          <w:rStyle w:val="BookTitle"/>
          <w:rFonts w:ascii="Times New Roman" w:hAnsi="Times New Roman"/>
          <w:b w:val="0"/>
          <w:spacing w:val="0"/>
        </w:rPr>
        <w:t xml:space="preserve"> </w:t>
      </w:r>
      <w:r w:rsidR="00DA36EB">
        <w:rPr>
          <w:rStyle w:val="BookTitle"/>
          <w:rFonts w:ascii="Times New Roman" w:hAnsi="Times New Roman"/>
          <w:b w:val="0"/>
          <w:spacing w:val="0"/>
        </w:rPr>
        <w:t xml:space="preserve">Given </w:t>
      </w:r>
      <w:r w:rsidR="007A2B01">
        <w:rPr>
          <w:rStyle w:val="BookTitle"/>
          <w:rFonts w:ascii="Times New Roman" w:hAnsi="Times New Roman"/>
          <w:b w:val="0"/>
          <w:spacing w:val="0"/>
        </w:rPr>
        <w:t xml:space="preserve">the </w:t>
      </w:r>
      <w:r w:rsidR="00DA36EB">
        <w:rPr>
          <w:rStyle w:val="BookTitle"/>
          <w:rFonts w:ascii="Times New Roman" w:hAnsi="Times New Roman"/>
          <w:b w:val="0"/>
          <w:spacing w:val="0"/>
        </w:rPr>
        <w:t xml:space="preserve">large number </w:t>
      </w:r>
      <w:r w:rsidR="007A2B01">
        <w:rPr>
          <w:rStyle w:val="BookTitle"/>
          <w:rFonts w:ascii="Times New Roman" w:hAnsi="Times New Roman"/>
          <w:b w:val="0"/>
          <w:spacing w:val="0"/>
        </w:rPr>
        <w:t xml:space="preserve">of input sites to be </w:t>
      </w:r>
      <w:r w:rsidR="0006494D">
        <w:rPr>
          <w:rStyle w:val="BookTitle"/>
          <w:rFonts w:ascii="Times New Roman" w:hAnsi="Times New Roman"/>
          <w:b w:val="0"/>
          <w:spacing w:val="0"/>
        </w:rPr>
        <w:t xml:space="preserve">analysed, it </w:t>
      </w:r>
      <w:r w:rsidR="00DA36EB">
        <w:rPr>
          <w:rStyle w:val="BookTitle"/>
          <w:rFonts w:ascii="Times New Roman" w:hAnsi="Times New Roman"/>
          <w:b w:val="0"/>
          <w:spacing w:val="0"/>
        </w:rPr>
        <w:t xml:space="preserve">is </w:t>
      </w:r>
      <w:r w:rsidR="0006494D">
        <w:rPr>
          <w:rStyle w:val="BookTitle"/>
          <w:rFonts w:ascii="Times New Roman" w:hAnsi="Times New Roman"/>
          <w:b w:val="0"/>
          <w:spacing w:val="0"/>
        </w:rPr>
        <w:t xml:space="preserve">imperative to achieve a balance of criteria included, to ensure a correct consideration of the sites while keeping </w:t>
      </w:r>
      <w:r w:rsidR="00DA36EB">
        <w:rPr>
          <w:rStyle w:val="BookTitle"/>
          <w:rFonts w:ascii="Times New Roman" w:hAnsi="Times New Roman"/>
          <w:b w:val="0"/>
          <w:spacing w:val="0"/>
        </w:rPr>
        <w:t xml:space="preserve">a reasonable level of complexity in </w:t>
      </w:r>
      <w:r w:rsidR="0006494D">
        <w:rPr>
          <w:rStyle w:val="BookTitle"/>
          <w:rFonts w:ascii="Times New Roman" w:hAnsi="Times New Roman"/>
          <w:b w:val="0"/>
          <w:spacing w:val="0"/>
        </w:rPr>
        <w:t xml:space="preserve">the decision-making process. </w:t>
      </w:r>
    </w:p>
    <w:p w14:paraId="61546CBF" w14:textId="77777777" w:rsidR="00C9069C" w:rsidRDefault="00C9069C" w:rsidP="00175A4D">
      <w:pPr>
        <w:pStyle w:val="NoSpacing"/>
        <w:spacing w:line="276" w:lineRule="auto"/>
        <w:jc w:val="both"/>
        <w:rPr>
          <w:rStyle w:val="BookTitle"/>
          <w:rFonts w:ascii="Times New Roman" w:hAnsi="Times New Roman"/>
          <w:b w:val="0"/>
          <w:spacing w:val="0"/>
        </w:rPr>
      </w:pPr>
    </w:p>
    <w:p w14:paraId="38BB4245" w14:textId="2F2D0AC3" w:rsidR="0006494D" w:rsidRDefault="00C9069C" w:rsidP="00175A4D">
      <w:pPr>
        <w:pStyle w:val="NoSpacing"/>
        <w:spacing w:line="276" w:lineRule="auto"/>
        <w:jc w:val="both"/>
        <w:rPr>
          <w:rStyle w:val="BookTitle"/>
          <w:rFonts w:ascii="Times New Roman" w:hAnsi="Times New Roman"/>
          <w:b w:val="0"/>
          <w:spacing w:val="0"/>
        </w:rPr>
      </w:pPr>
      <w:r>
        <w:rPr>
          <w:rStyle w:val="BookTitle"/>
          <w:rFonts w:ascii="Times New Roman" w:hAnsi="Times New Roman"/>
          <w:b w:val="0"/>
          <w:spacing w:val="0"/>
        </w:rPr>
        <w:t>The selected site</w:t>
      </w:r>
      <w:r w:rsidR="00DA36EB">
        <w:rPr>
          <w:rStyle w:val="BookTitle"/>
          <w:rFonts w:ascii="Times New Roman" w:hAnsi="Times New Roman"/>
          <w:b w:val="0"/>
          <w:spacing w:val="0"/>
        </w:rPr>
        <w:t>,</w:t>
      </w:r>
      <w:r>
        <w:rPr>
          <w:rStyle w:val="BookTitle"/>
          <w:rFonts w:ascii="Times New Roman" w:hAnsi="Times New Roman"/>
          <w:b w:val="0"/>
          <w:spacing w:val="0"/>
        </w:rPr>
        <w:t xml:space="preserve"> East </w:t>
      </w:r>
      <w:proofErr w:type="spellStart"/>
      <w:r>
        <w:rPr>
          <w:rStyle w:val="BookTitle"/>
          <w:rFonts w:ascii="Times New Roman" w:hAnsi="Times New Roman"/>
          <w:b w:val="0"/>
          <w:spacing w:val="0"/>
        </w:rPr>
        <w:t>Mey</w:t>
      </w:r>
      <w:proofErr w:type="spellEnd"/>
      <w:r>
        <w:rPr>
          <w:rStyle w:val="BookTitle"/>
          <w:rFonts w:ascii="Times New Roman" w:hAnsi="Times New Roman"/>
          <w:b w:val="0"/>
          <w:spacing w:val="0"/>
        </w:rPr>
        <w:t xml:space="preserve">, belongs to the greater Palaeocene </w:t>
      </w:r>
      <w:proofErr w:type="spellStart"/>
      <w:r>
        <w:rPr>
          <w:rStyle w:val="BookTitle"/>
          <w:rFonts w:ascii="Times New Roman" w:hAnsi="Times New Roman"/>
          <w:b w:val="0"/>
          <w:spacing w:val="0"/>
        </w:rPr>
        <w:t>Mey</w:t>
      </w:r>
      <w:proofErr w:type="spellEnd"/>
      <w:r>
        <w:rPr>
          <w:rStyle w:val="BookTitle"/>
          <w:rFonts w:ascii="Times New Roman" w:hAnsi="Times New Roman"/>
          <w:b w:val="0"/>
          <w:spacing w:val="0"/>
        </w:rPr>
        <w:t xml:space="preserve"> Sandstone Member,</w:t>
      </w:r>
      <w:r w:rsidR="00175A4D">
        <w:rPr>
          <w:rStyle w:val="BookTitle"/>
          <w:rFonts w:ascii="Times New Roman" w:hAnsi="Times New Roman"/>
          <w:b w:val="0"/>
          <w:spacing w:val="0"/>
        </w:rPr>
        <w:t xml:space="preserve"> and</w:t>
      </w:r>
      <w:r>
        <w:rPr>
          <w:rStyle w:val="BookTitle"/>
          <w:rFonts w:ascii="Times New Roman" w:hAnsi="Times New Roman"/>
          <w:b w:val="0"/>
          <w:spacing w:val="0"/>
        </w:rPr>
        <w:t xml:space="preserve"> </w:t>
      </w:r>
      <w:proofErr w:type="gramStart"/>
      <w:r>
        <w:rPr>
          <w:rStyle w:val="BookTitle"/>
          <w:rFonts w:ascii="Times New Roman" w:hAnsi="Times New Roman"/>
          <w:b w:val="0"/>
          <w:spacing w:val="0"/>
        </w:rPr>
        <w:t>is located in</w:t>
      </w:r>
      <w:proofErr w:type="gramEnd"/>
      <w:r>
        <w:rPr>
          <w:rStyle w:val="BookTitle"/>
          <w:rFonts w:ascii="Times New Roman" w:hAnsi="Times New Roman"/>
          <w:b w:val="0"/>
          <w:spacing w:val="0"/>
        </w:rPr>
        <w:t xml:space="preserve"> a mature hydrocarbon area</w:t>
      </w:r>
      <w:r w:rsidR="00175A4D">
        <w:rPr>
          <w:rStyle w:val="BookTitle"/>
          <w:rFonts w:ascii="Times New Roman" w:hAnsi="Times New Roman"/>
          <w:b w:val="0"/>
          <w:spacing w:val="0"/>
        </w:rPr>
        <w:t xml:space="preserve">. It represents a suitable site due to its excellent reservoir quality (porosity and injectivity), data availability and relatively low risk and development cost. Its decades-long </w:t>
      </w:r>
      <w:r w:rsidR="00DA36EB">
        <w:rPr>
          <w:rStyle w:val="BookTitle"/>
          <w:rFonts w:ascii="Times New Roman" w:hAnsi="Times New Roman"/>
          <w:b w:val="0"/>
          <w:spacing w:val="0"/>
        </w:rPr>
        <w:t xml:space="preserve">history of </w:t>
      </w:r>
      <w:r w:rsidR="00175A4D">
        <w:rPr>
          <w:rStyle w:val="BookTitle"/>
          <w:rFonts w:ascii="Times New Roman" w:hAnsi="Times New Roman"/>
          <w:b w:val="0"/>
          <w:spacing w:val="0"/>
        </w:rPr>
        <w:t xml:space="preserve">hydrocarbon </w:t>
      </w:r>
      <w:r w:rsidR="00DA36EB">
        <w:rPr>
          <w:rStyle w:val="BookTitle"/>
          <w:rFonts w:ascii="Times New Roman" w:hAnsi="Times New Roman"/>
          <w:b w:val="0"/>
          <w:spacing w:val="0"/>
        </w:rPr>
        <w:t xml:space="preserve">exploitation </w:t>
      </w:r>
      <w:r w:rsidR="00175A4D">
        <w:rPr>
          <w:rStyle w:val="BookTitle"/>
          <w:rFonts w:ascii="Times New Roman" w:hAnsi="Times New Roman"/>
          <w:b w:val="0"/>
          <w:spacing w:val="0"/>
        </w:rPr>
        <w:t xml:space="preserve">has both positive and negative aspects to the suitability of the site, </w:t>
      </w:r>
      <w:r>
        <w:rPr>
          <w:rStyle w:val="BookTitle"/>
          <w:rFonts w:ascii="Times New Roman" w:hAnsi="Times New Roman"/>
          <w:b w:val="0"/>
          <w:spacing w:val="0"/>
        </w:rPr>
        <w:t>ensuring the availability of subsurface (</w:t>
      </w:r>
      <w:proofErr w:type="gramStart"/>
      <w:r>
        <w:rPr>
          <w:rStyle w:val="BookTitle"/>
          <w:rFonts w:ascii="Times New Roman" w:hAnsi="Times New Roman"/>
          <w:b w:val="0"/>
          <w:spacing w:val="0"/>
        </w:rPr>
        <w:t>e.g.</w:t>
      </w:r>
      <w:proofErr w:type="gramEnd"/>
      <w:r>
        <w:rPr>
          <w:rStyle w:val="BookTitle"/>
          <w:rFonts w:ascii="Times New Roman" w:hAnsi="Times New Roman"/>
          <w:b w:val="0"/>
          <w:spacing w:val="0"/>
        </w:rPr>
        <w:t xml:space="preserve"> 3D seismic coverage, well-log and core data) and hydrocarbon production data</w:t>
      </w:r>
      <w:r w:rsidR="00175A4D">
        <w:rPr>
          <w:rStyle w:val="BookTitle"/>
          <w:rFonts w:ascii="Times New Roman" w:hAnsi="Times New Roman"/>
          <w:b w:val="0"/>
          <w:spacing w:val="0"/>
        </w:rPr>
        <w:t>, reducing the containment uncertainty of the storage structures and increasing the amount of abandoned wells to be monitored in the area</w:t>
      </w:r>
      <w:r>
        <w:rPr>
          <w:rStyle w:val="BookTitle"/>
          <w:rFonts w:ascii="Times New Roman" w:hAnsi="Times New Roman"/>
          <w:b w:val="0"/>
          <w:spacing w:val="0"/>
        </w:rPr>
        <w:t xml:space="preserve">. </w:t>
      </w:r>
      <w:r w:rsidR="00175A4D">
        <w:rPr>
          <w:rStyle w:val="BookTitle"/>
          <w:rFonts w:ascii="Times New Roman" w:hAnsi="Times New Roman"/>
          <w:b w:val="0"/>
          <w:spacing w:val="0"/>
        </w:rPr>
        <w:t xml:space="preserve">Future work required to develop this site includes selecting the most appropriate </w:t>
      </w:r>
      <w:r w:rsidR="006B27FE">
        <w:rPr>
          <w:rStyle w:val="BookTitle"/>
          <w:rFonts w:ascii="Times New Roman" w:hAnsi="Times New Roman"/>
          <w:b w:val="0"/>
          <w:spacing w:val="0"/>
        </w:rPr>
        <w:t xml:space="preserve">injection point(s), </w:t>
      </w:r>
      <w:r w:rsidR="00DA36EB">
        <w:rPr>
          <w:rStyle w:val="BookTitle"/>
          <w:rFonts w:ascii="Times New Roman" w:hAnsi="Times New Roman"/>
          <w:b w:val="0"/>
          <w:spacing w:val="0"/>
        </w:rPr>
        <w:t xml:space="preserve">calculating </w:t>
      </w:r>
      <w:r w:rsidR="006B27FE">
        <w:rPr>
          <w:rStyle w:val="BookTitle"/>
          <w:rFonts w:ascii="Times New Roman" w:hAnsi="Times New Roman"/>
          <w:b w:val="0"/>
          <w:spacing w:val="0"/>
        </w:rPr>
        <w:t xml:space="preserve">its dynamic capacity, </w:t>
      </w:r>
      <w:r w:rsidR="00DA36EB">
        <w:rPr>
          <w:rStyle w:val="BookTitle"/>
          <w:rFonts w:ascii="Times New Roman" w:hAnsi="Times New Roman"/>
          <w:b w:val="0"/>
          <w:spacing w:val="0"/>
        </w:rPr>
        <w:t xml:space="preserve">analysing </w:t>
      </w:r>
      <w:r w:rsidR="006B27FE">
        <w:rPr>
          <w:rStyle w:val="BookTitle"/>
          <w:rFonts w:ascii="Times New Roman" w:hAnsi="Times New Roman"/>
          <w:b w:val="0"/>
          <w:spacing w:val="0"/>
        </w:rPr>
        <w:t>in detail the status of the abandoned wells in the area,</w:t>
      </w:r>
      <w:r w:rsidR="00DA36EB">
        <w:rPr>
          <w:rStyle w:val="BookTitle"/>
          <w:rFonts w:ascii="Times New Roman" w:hAnsi="Times New Roman"/>
          <w:b w:val="0"/>
          <w:spacing w:val="0"/>
        </w:rPr>
        <w:t xml:space="preserve"> </w:t>
      </w:r>
      <w:proofErr w:type="gramStart"/>
      <w:r w:rsidR="00DA36EB">
        <w:rPr>
          <w:rStyle w:val="BookTitle"/>
          <w:rFonts w:ascii="Times New Roman" w:hAnsi="Times New Roman"/>
          <w:b w:val="0"/>
          <w:spacing w:val="0"/>
        </w:rPr>
        <w:t xml:space="preserve">in order </w:t>
      </w:r>
      <w:r w:rsidR="006B27FE">
        <w:rPr>
          <w:rStyle w:val="BookTitle"/>
          <w:rFonts w:ascii="Times New Roman" w:hAnsi="Times New Roman"/>
          <w:b w:val="0"/>
          <w:spacing w:val="0"/>
        </w:rPr>
        <w:t>to</w:t>
      </w:r>
      <w:proofErr w:type="gramEnd"/>
      <w:r w:rsidR="006B27FE">
        <w:rPr>
          <w:rStyle w:val="BookTitle"/>
          <w:rFonts w:ascii="Times New Roman" w:hAnsi="Times New Roman"/>
          <w:b w:val="0"/>
          <w:spacing w:val="0"/>
        </w:rPr>
        <w:t xml:space="preserve"> ensure safe and effective </w:t>
      </w:r>
      <w:r w:rsidR="006B27FE" w:rsidRPr="006B27FE">
        <w:rPr>
          <w:rStyle w:val="BookTitle"/>
          <w:rFonts w:ascii="Times New Roman" w:hAnsi="Times New Roman"/>
          <w:b w:val="0"/>
          <w:spacing w:val="0"/>
          <w:sz w:val="20"/>
        </w:rPr>
        <w:t>CO</w:t>
      </w:r>
      <w:r w:rsidR="006B27FE" w:rsidRPr="006B27FE">
        <w:rPr>
          <w:rStyle w:val="BookTitle"/>
          <w:rFonts w:ascii="Times New Roman" w:hAnsi="Times New Roman"/>
          <w:b w:val="0"/>
          <w:spacing w:val="0"/>
          <w:sz w:val="20"/>
          <w:vertAlign w:val="subscript"/>
        </w:rPr>
        <w:t>2</w:t>
      </w:r>
      <w:r w:rsidR="006B27FE">
        <w:rPr>
          <w:rStyle w:val="BookTitle"/>
          <w:rFonts w:ascii="Times New Roman" w:hAnsi="Times New Roman"/>
          <w:b w:val="0"/>
          <w:spacing w:val="0"/>
        </w:rPr>
        <w:t xml:space="preserve"> storage operations.</w:t>
      </w:r>
    </w:p>
    <w:p w14:paraId="40718250" w14:textId="187DA6FA" w:rsidR="00393515" w:rsidRDefault="00393515" w:rsidP="0050793C">
      <w:pPr>
        <w:pStyle w:val="BodyText"/>
        <w:spacing w:after="120" w:line="276" w:lineRule="auto"/>
        <w:rPr>
          <w:b/>
          <w:sz w:val="22"/>
          <w:szCs w:val="22"/>
          <w:lang w:val="en-GB"/>
        </w:rPr>
      </w:pPr>
    </w:p>
    <w:p w14:paraId="2CDCCA3B" w14:textId="1BAFC9FD" w:rsidR="00006D85" w:rsidRPr="00972203" w:rsidRDefault="00006D85" w:rsidP="00006D85">
      <w:pPr>
        <w:pStyle w:val="BodyText"/>
        <w:spacing w:after="120" w:line="276" w:lineRule="auto"/>
        <w:rPr>
          <w:b/>
          <w:sz w:val="22"/>
          <w:szCs w:val="22"/>
          <w:lang w:val="en-GB"/>
        </w:rPr>
      </w:pPr>
      <w:r>
        <w:rPr>
          <w:b/>
          <w:sz w:val="22"/>
          <w:szCs w:val="22"/>
          <w:lang w:val="en-GB"/>
        </w:rPr>
        <w:t>Acknowledgements</w:t>
      </w:r>
    </w:p>
    <w:p w14:paraId="2F2ACAEA" w14:textId="7585ABA9" w:rsidR="00006D85" w:rsidRPr="00DD20EA" w:rsidRDefault="00006D85" w:rsidP="00006D85">
      <w:pPr>
        <w:spacing w:after="80"/>
      </w:pPr>
      <w:r>
        <w:t xml:space="preserve">Project ACT-Acorn is gratefully thanked for funding this study. </w:t>
      </w:r>
      <w:r w:rsidRPr="00006D85">
        <w:t xml:space="preserve">ACT Acorn, project 271500, received funding from BEIS (UK), RCN (Norway) and RVO (Netherland), and </w:t>
      </w:r>
      <w:r w:rsidR="00D2312C">
        <w:t>wa</w:t>
      </w:r>
      <w:r w:rsidRPr="00006D85">
        <w:t>s co-funded by the European Commission under the ERA-Net instrument of the Horizon 2020 programme. ACT Grant number 691712.</w:t>
      </w:r>
      <w:r>
        <w:t xml:space="preserve"> J. Alcalde is funded by MICINN (Juan de la </w:t>
      </w:r>
      <w:proofErr w:type="spellStart"/>
      <w:r>
        <w:t>Cierva</w:t>
      </w:r>
      <w:proofErr w:type="spellEnd"/>
      <w:r>
        <w:t xml:space="preserve"> fellowship - IJC2018-036074-I). </w:t>
      </w:r>
      <w:r w:rsidR="004F3258" w:rsidRPr="004F3258">
        <w:t xml:space="preserve">S. Ghanbari is currently supported by the </w:t>
      </w:r>
      <w:proofErr w:type="spellStart"/>
      <w:r w:rsidR="004F3258" w:rsidRPr="004F3258">
        <w:t>Energi</w:t>
      </w:r>
      <w:proofErr w:type="spellEnd"/>
      <w:r w:rsidR="004F3258" w:rsidRPr="004F3258">
        <w:t xml:space="preserve"> Simulation. </w:t>
      </w:r>
      <w:proofErr w:type="spellStart"/>
      <w:r w:rsidR="004F3258" w:rsidRPr="004F3258">
        <w:t>Energi</w:t>
      </w:r>
      <w:proofErr w:type="spellEnd"/>
      <w:r w:rsidR="004F3258" w:rsidRPr="004F3258">
        <w:t xml:space="preserve"> Simulation is also thanked for funding the chair in reactive transport simulation held by E. Mackay.</w:t>
      </w:r>
    </w:p>
    <w:p w14:paraId="1E152944" w14:textId="77777777" w:rsidR="00006D85" w:rsidRDefault="00006D85" w:rsidP="0050793C">
      <w:pPr>
        <w:pStyle w:val="BodyText"/>
        <w:spacing w:after="120" w:line="276" w:lineRule="auto"/>
        <w:rPr>
          <w:b/>
          <w:sz w:val="22"/>
          <w:szCs w:val="22"/>
          <w:lang w:val="en-GB"/>
        </w:rPr>
      </w:pPr>
    </w:p>
    <w:p w14:paraId="6E96769F" w14:textId="6F5F9203" w:rsidR="00C27E10" w:rsidRPr="00972203" w:rsidRDefault="00C27E10" w:rsidP="0050793C">
      <w:pPr>
        <w:pStyle w:val="BodyText"/>
        <w:spacing w:after="120" w:line="276" w:lineRule="auto"/>
        <w:rPr>
          <w:b/>
          <w:sz w:val="22"/>
          <w:szCs w:val="22"/>
          <w:lang w:val="en-GB"/>
        </w:rPr>
      </w:pPr>
      <w:r w:rsidRPr="00972203">
        <w:rPr>
          <w:b/>
          <w:sz w:val="22"/>
          <w:szCs w:val="22"/>
          <w:lang w:val="en-GB"/>
        </w:rPr>
        <w:lastRenderedPageBreak/>
        <w:t>References</w:t>
      </w:r>
    </w:p>
    <w:p w14:paraId="1C58E05A" w14:textId="25460A89" w:rsidR="00E41AF9" w:rsidRPr="00E41AF9" w:rsidRDefault="003404E8" w:rsidP="00E41AF9">
      <w:pPr>
        <w:widowControl w:val="0"/>
        <w:autoSpaceDE w:val="0"/>
        <w:autoSpaceDN w:val="0"/>
        <w:adjustRightInd w:val="0"/>
        <w:spacing w:after="120" w:line="240" w:lineRule="auto"/>
        <w:ind w:left="480" w:hanging="480"/>
        <w:rPr>
          <w:noProof/>
          <w:szCs w:val="24"/>
        </w:rPr>
      </w:pPr>
      <w:r w:rsidRPr="00972203">
        <w:rPr>
          <w:b/>
        </w:rPr>
        <w:fldChar w:fldCharType="begin" w:fldLock="1"/>
      </w:r>
      <w:r w:rsidRPr="00972203">
        <w:rPr>
          <w:b/>
        </w:rPr>
        <w:instrText xml:space="preserve">ADDIN Mendeley Bibliography CSL_BIBLIOGRAPHY </w:instrText>
      </w:r>
      <w:r w:rsidRPr="00972203">
        <w:rPr>
          <w:b/>
        </w:rPr>
        <w:fldChar w:fldCharType="separate"/>
      </w:r>
      <w:r w:rsidR="00E41AF9" w:rsidRPr="00E41AF9">
        <w:rPr>
          <w:noProof/>
          <w:szCs w:val="24"/>
        </w:rPr>
        <w:t>ACT Acorn, 2018a. Site selection report [WWW Document]. 10196ACTC Rep 08 01 - Site Sel. Rep. URL https://actacorn.eu/sites/default/files/ACT Acorn Site Selection Report 1.0_0.pdf (accessed 8.14.20).</w:t>
      </w:r>
    </w:p>
    <w:p w14:paraId="18A38FC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ACT Acorn, 2018b. Annex 3 Site Selection Posters [WWW Document]. 10196ACTC Rep 08 01 - Site Sel. Rep. URL https://actacorn.eu/sites/default/files/ACT Acorn Site Selection Posters 1.0_0.pdf (accessed 8.14.20).</w:t>
      </w:r>
    </w:p>
    <w:p w14:paraId="55D05A4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Alcalde, J., Flude, S., Wilkinson, M., Johnson, G., Edlmann, K., Bond, C.E., Scott, V., Gilfillan, S.M. V., Ogaya, X., Haszeldine, R.S., 2018a. Estimating geological CO2 storage security to deliver on climate mitigation. Nat. Commun. 9, 2201. https://doi.org/10.1038/s41467-018-04423-1</w:t>
      </w:r>
    </w:p>
    <w:p w14:paraId="352529F8"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Alcalde, J., Heinemann, N., Mabon, L., Worden, R.H., de Coninck, H., Robertson, H., Maver, M., Ghanbari, S., Swennenhuis, F., Mann, I., Walker, T., Gomersal, S., Bond, C.E., Allen, M.J., Haszeldine, R.S., James, A., Mackay, E.J., Brownsort, P.A., Faulkner, D.R., Murphy, S., 2019. Acorn: Developing full-chain industrial carbon capture and storage in a resource- and infrastructure-rich hydrocarbon province. J. Clean. Prod. 233, 963–971. https://doi.org/10.1016/j.jclepro.2019.06.087</w:t>
      </w:r>
    </w:p>
    <w:p w14:paraId="6DC7DB71"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Alcalde, J., Smith, P., Haszeldine, R.S., Bond, C.E., 2018b. The potential for implementation of Negative Emission Technologies in Scotland. Int. J. Greenh. Gas Control 76, 85–91. https://doi.org/10.1016/j.ijggc.2018.06.021</w:t>
      </w:r>
    </w:p>
    <w:p w14:paraId="273A81C7"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Allen, M.J., Faulkner, D.R., Worden, R.H., Rice-Birchall, E., Katirtsidis, N., Utley, J.E.P., 2020. Geomechanical and petrographic assessment of a CO2 storage site: Application to the Acorn CO2 Storage Site, offshore United Kingdom. Int. J. Greenh. Gas Control 94, 102923. https://doi.org/10.1016/j.ijggc.2019.102923</w:t>
      </w:r>
    </w:p>
    <w:p w14:paraId="0A916F5C"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Anderson, S.T., 2017. Cost Implications of Uncertainty in CO2 Storage Resource Estimates: A Review. Nat. Resour. Res. 26, 137–159. https://doi.org/10.1007/s11053-016-9310-7</w:t>
      </w:r>
    </w:p>
    <w:p w14:paraId="0869DB84"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Anthonsen, K.L., Aagaard, P., Bergmo, P.E.S., Gislason, S.R., Lothe, A.E., Mortensen, G.M., Snæbjörnsdóttir, S., 2014. Characterisation and selection of the most prospective CO2 storage sites in the Nordic region. Energy Procedia 63, 4884–4896. https://doi.org/10.1016/j.egypro.2014.11.519</w:t>
      </w:r>
    </w:p>
    <w:p w14:paraId="6017082E"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Bachu, S., 2015. Review of CO2 storage efficiency in deep saline aquifers. Int. J. Greenh. Gas Control 40, 188–202. https://doi.org/10.1016/j.ijggc.2015.01.007</w:t>
      </w:r>
    </w:p>
    <w:p w14:paraId="6EA1B383"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Bachu, S., 2000. Sequestration of CO2 in geological media: Criteria and approach for site selection in response to climate change. Energy Convers. Manag. 41, 953–970. https://doi.org/10.1016/S0196-8904(99)00149-1</w:t>
      </w:r>
    </w:p>
    <w:p w14:paraId="4C708A85"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Bachu, S., Adams, J.J., 2003. Sequestration of CO2 in geological media in response to climate change: Capacity of deep saline aquifers to sequester CO2 in solution. Energy Convers. Manag. 44, 3151–3175. https://doi.org/10.1016/S0196-8904(03)00101-8</w:t>
      </w:r>
    </w:p>
    <w:p w14:paraId="147EF9BE"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Bentham, M., Mallows, T., Lowndes, J., Green, A., 2014. CO2STORage evaluation database (CO2Stored). The UK’s online storage atlas. Energy Procedia 63, 5103–5113. https://doi.org/10.1016/j.egypro.2014.11.540</w:t>
      </w:r>
    </w:p>
    <w:p w14:paraId="663FB74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Bradshaw, J., Dance, T., 2005. Mapping geological storage prospectivity of CO2 for the world’s sedimentary basins and regional source to sink matching, in: Greenhouse Gas Control Technologies. pp. 583–591. https://doi.org/10.1016/B978-008044704-9/50059-8</w:t>
      </w:r>
    </w:p>
    <w:p w14:paraId="3567F78A"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Brosse, É., Badinier, G., Blanchard, F., Caspard, E., Collin, P.Y., Delmas, J., Dezayes, C., Dreux, R., Dufournet, A., Durst, P., Fillacier, S., Garcia, D., Grataloup, S., Hanot, F., Hasanov, V., Houel, P., Kervévan, C., Lansiart, M., Lescanne, M., Menjoz, A., Monnet, M., Mougin, P., Nedelec, B., Poutrel, A., Rachez, X., Renoux, P., Rigollet, C., Ruffier-Meray, V., Saysset, S., Thinon, I., Thoraval, A., Vidal-Gilbert, S., 2010. Selection and Characterization of Geological Sites able to Host a Pilot-Scale CO 2 Storage in the Paris Basin ( GéoCarbone -PICOREF). Oil Gas Sci. Technol. – Rev. l’Institut Français du Pétrole 65, 375–403. https://doi.org/10.2516/ogst/2009085</w:t>
      </w:r>
    </w:p>
    <w:p w14:paraId="7090388E"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Brownsort, P.A., Scott, V., Haszeldine, R.S., 2016. Reducing costs of carbon capture and storage by shared reuse of existing pipeline—Case study of a CO2 capture cluster for industry and power in Scotland. Int. J. Greenh. Gas Control 52, 130–138. https://doi.org/10.1016/j.ijggc.2016.06.004</w:t>
      </w:r>
    </w:p>
    <w:p w14:paraId="67D68E1A"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Bui, M., Adjiman, C.S., Bardow, A., Anthony, E.J., Boston, A., Brown, S., Fennell, P.S., Fuss, S., Galindo, A., Hackett, L.A., Hallett, J.P., Herzog, H.J., Jackson, G., Kemper, J., Krevor, S., Maitland, G.C., Matuszewski, M., Metcalfe, I.S., Petit, C., Puxty, G., Reimer, J., Reiner, D.M., Rubin, E.S., Scott, S.A., Shah, N., Smit, B., Trusler, J.P.M., Webley, P., Wilcox, J., Mac Dowell, N., 2018. Carbon capture and storage (CCS): The way forward. Energy Environ. Sci. 11, 1062–1176. https://doi.org/10.1039/c7ee02342a</w:t>
      </w:r>
    </w:p>
    <w:p w14:paraId="2D1678A7"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Chadwick, A., Arts, R., Bernstone, C., May, F., Thibeau, S., Zweigel, P., 2008. Best practice for the storage of CO2 in saline aquifers - observations and guidelines from the SACS and CO2STORE projects, North Star.</w:t>
      </w:r>
    </w:p>
    <w:p w14:paraId="521F6626"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 xml:space="preserve">De Silva, P.N.K., Ranjith, P.G., 2012. A study of methodologies for CO 2 storage capacity estimation of saline aquifers. </w:t>
      </w:r>
      <w:r w:rsidRPr="00E41AF9">
        <w:rPr>
          <w:noProof/>
          <w:szCs w:val="24"/>
        </w:rPr>
        <w:lastRenderedPageBreak/>
        <w:t>Fuel 93, 13–27. https://doi.org/10.1016/j.fuel.2011.07.004</w:t>
      </w:r>
    </w:p>
    <w:p w14:paraId="199EA496"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Delprat-Jannaud, F., Korre, A., Shi, J.-Q., McConnell, B., Arvaniti,  s A., Boavida, D., Car, M., Gastine, M., Grunnaleite, I., Bateman, K., Poulsen, N., Sinayuc, C., Vähäkuopus, T., Vercelli, S., Wójcicki, A., 2014. State-of-the-Art Review of Co2 Storage Site Selection and Characterisation Methods. CO2GeoNet 2, A132–A605. https://doi.org/10.1177/2050640614548980</w:t>
      </w:r>
    </w:p>
    <w:p w14:paraId="761CCDBB"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Edlmann, K., Edwards, M.A., Qiao, X.J., Haszeldine, R.S., McDermott, C.I., 2015. Appraisal of global CO2 storage opportunities using the geomechanical facies approach. Environ. Earth Sci. 73, 8075–8096. https://doi.org/10.1007/s12665-014-3965-3</w:t>
      </w:r>
    </w:p>
    <w:p w14:paraId="4A0D6476"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Eiken, O., Ringrose, P., Hermanrud, C., Nazarian, B., Torp, T.A., Høier, L., 2011. Lessons Learned from 14 years of CCS Operations: Sleipner, In Salah and Snøhvit. Energy Procedia 4, 5541–5548. https://doi.org/10.1016/j.egypro.2011.02.541</w:t>
      </w:r>
    </w:p>
    <w:p w14:paraId="7ED3E180"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Evans, D., Armour, D., Bathurst, P., 2003. Millennium Atlas : petroleum geology of the central and northern North Sea Lower and Middle Jurassic, Millenium Atlas.</w:t>
      </w:r>
    </w:p>
    <w:p w14:paraId="217ED527"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Fleury, M., Pironon, J., Le Nindre, Y.M., Bildstein, O., Berne, P., Lagneau, V., Broseta, D., Pichery, T., Fillacier, S., Lescanne, M., Vidal, O., 2010. Storage: an Overview of the Geocarbone-Integrity Program and Results. Oil Gas Sci. Technol. – Rev. l’Institut Français du Pétrole 65, 435–444. https://doi.org/10.2516/ogst/2010007</w:t>
      </w:r>
    </w:p>
    <w:p w14:paraId="19C3F124"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Gambaro, M., Currie, M., 2003. The Balmoral, Glamis and Stirling Fields, Block 16/21, UK Central North Sea. Geol. Soc. London, Mem. 20, 395–413. https://doi.org/10.1144/GSL.MEM.2003.020.01.33</w:t>
      </w:r>
    </w:p>
    <w:p w14:paraId="0D06BFDB"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Gammer, D., Green, A., Holloway, S., Smith, G., 2011. The energy technologies institute’s UK CO2 Storage Appraisal Project (UKSAP). Soc. Pet. Eng. - Offshore Eur. Oil Gas Conf. Exhib. 2011, OE 2011 2, 1045–1058. https://doi.org/10.2118/148426-ms</w:t>
      </w:r>
    </w:p>
    <w:p w14:paraId="56FAFCD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Ghanbari, S., Mackay, E.J., Heinemann, N., Alcalde, J., James, A., Allen, M.J., 2020. Impact of CO2 Mixing with Trapped Hydrocarbons on CO2 Storage Capacity and Security in a Saline Aquifer – Case Study from the Captain Sandstone, Moray Firth, UK. Appl. Energy 278, 115634. https://doi.org/10.1016/j.apenergy.2020.115634</w:t>
      </w:r>
    </w:p>
    <w:p w14:paraId="75C38EFC"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Global CCS Institute, 2019. The Global Status of CCS: 2019. Australia.</w:t>
      </w:r>
    </w:p>
    <w:p w14:paraId="6A515E8B"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Grataloup, S., Bonijoly, D., Brosse, E., Dreux, R., Garcia, D., Hasanov, V., Lescanne, M., Renoux, P., Thoraval, A., 2009. A site selection methodology for CO2 underground storage in deep saline aquifers: case of the Paris Basin. Energy Procedia 1, 2929–2936. https://doi.org/10.1016/j.egypro.2009.02.068</w:t>
      </w:r>
    </w:p>
    <w:p w14:paraId="4EA4E438"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Gross, R., 2015. Approaches to cost reduction in carbon capture and storage and offshore wind.</w:t>
      </w:r>
    </w:p>
    <w:p w14:paraId="26D41D80"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Haszeldine, R.S., Flude, S., Johnson, G., Scott, V., 2018. Negative emissions technologies and carbon capture and storage to achieve the Paris Agreement commitments. Philos. Trans. R. Soc. A Math. Phys. Eng. Sci. 376. https://doi.org/10.1098/rsta.2016.0447</w:t>
      </w:r>
    </w:p>
    <w:p w14:paraId="327C7338"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Heinemann, N., Alcalde, J., Johnson, G., Roberts, J.J., McCay, A.T., Booth, M.G., 2019. Low-carbon geoenergy resource options in the midland valley of Scotland, UK. Scottish J. Geol. 55, 93–106. https://doi.org/10.1144/sjg2019-007</w:t>
      </w:r>
    </w:p>
    <w:p w14:paraId="6B5CFC44"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Heinemann, N., Robertson, H., Alcalde, J., James, A., Ghanbari, S., Bond, C., Faulkner, D., Allen, M., Mackay, E., Haszeldine, R.S., 2018. Applied risk and consequence analysis for CO 2 storage projects – the Captain X storage site, offshore UK (Acorn), in: 14th Greenhouse Gas Control Technologies Conference Melbourne 21-26 October 2018 (GHGT-14). p. 8.</w:t>
      </w:r>
    </w:p>
    <w:p w14:paraId="69469D22"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Holloway, S., Vincent, C.J., Bentham, M.S., Kirk, K.L., 2006. Top-down and bottom-up estimates of CO2 storage capacity in the United Kingdom sector of the southern North Sea basin. Environ. Geosci. 13, 71–84. https://doi.org/10.1306/eg.11080505015</w:t>
      </w:r>
    </w:p>
    <w:p w14:paraId="550718DC"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Hsu, C.W., Chen, L.T., Hu, A.H., Chang, Y.M., 2012. Site selection for carbon dioxide geological storage using analytic network process. Sep. Purif. Technol. 94, 146–153. https://doi.org/10.1016/j.seppur.2011.08.019</w:t>
      </w:r>
    </w:p>
    <w:p w14:paraId="0C51A543"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IPCC, 2018. Global Warming of 1.5°C. An IPCC Special Report on the impacts of global warming of 1.5°C above pre-industrial levels and related global greenhouse gas emission pathways, in the context of strengthening the global response to the threat of climate change,.</w:t>
      </w:r>
    </w:p>
    <w:p w14:paraId="333DC00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ISO 27914, 2017. Carbon dioxide capture, transportation and geological storage — Geological storage.</w:t>
      </w:r>
    </w:p>
    <w:p w14:paraId="62FD7BDA"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Kang, M., Christian, S., Celia, M.A., Mauzerall, D.L., Bill, M., Miller, A.R., Chen, Y., Conrad, M.E., Darrah, T.H., Jackson, R.B., 2016. Identification and characterization of high methane-emitting abandoned oil and gas wells. Proc. Natl. Acad. Sci. U. S. A. 113, 13636–13641. https://doi.org/10.1073/pnas.1605913113</w:t>
      </w:r>
    </w:p>
    <w:p w14:paraId="31853ED3"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lastRenderedPageBreak/>
        <w:t>Kerr, R.A., 2011. Energy supplies. Peak oil production may already be here. Science 331, 1510–1511. https://doi.org/10.1126/science.331.6024.1510</w:t>
      </w:r>
    </w:p>
    <w:p w14:paraId="5FC7FC51"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Koukouzas, N., Ziogou, F., Gemeni, V., 2009. Preliminary assessment of CO2 geological storage opportunities in Greece. Int. J. Greenh. Gas Control 3, 502–513. https://doi.org/10.1016/j.ijggc.2008.10.005</w:t>
      </w:r>
    </w:p>
    <w:p w14:paraId="16279D33"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Lee, J., Jablonowski, C.J., 2010. Measuring the Price Impact of Concentration in the Drilling Rig Market. Energy Sources, Part B Econ. Planning, Policy 5, 390–399. https://doi.org/10.1080/15567240903226228</w:t>
      </w:r>
    </w:p>
    <w:p w14:paraId="08C664FA"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Li, X., Ohsumi, T., Koide, H., Akimoto, K., Kotsubo, H., 2005. Near-future perspective of CO2 aquifer storage in Japan: Site selection and capacity. Energy 30, 2360–2369. https://doi.org/10.1016/j.energy.2004.08.026</w:t>
      </w:r>
    </w:p>
    <w:p w14:paraId="3E1C8E2E"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Liu, F., Lu, P., Griffith, C., Hedges, S.W., Soong, Y., Hellevang, H., Zhu, C., 2012. CO 2-brine-caprock interaction: Reactivity experiments on Eau Claire shale and a review of relevant literature. Int. J. Greenh. Gas Control 7, 153–167. https://doi.org/10.1016/j.ijggc.2012.01.012</w:t>
      </w:r>
    </w:p>
    <w:p w14:paraId="68875FD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Llamas, B., Cienfuegos, P., 2012. Multicriteria decision methodology to select suitable areas for storing CO2. Energy Environ. 23, 249–264. https://doi.org/10.1260/0958-305X.23.2-3.249</w:t>
      </w:r>
    </w:p>
    <w:p w14:paraId="2C75835E"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Mander, S., Anderson, K., Larkin, A., Gough, C., Vaughan, N., 2017. The Role of Bio-energy with Carbon Capture and Storage in Meeting the Climate Mitigation Challenge: A Whole System Perspective. Energy Procedia 114, 6036–6043. https://doi.org/10.1016/j.egypro.2017.03.1739</w:t>
      </w:r>
    </w:p>
    <w:p w14:paraId="333D7E12"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Mathias, S.A., Hardisty, P.E., Trudell, M.R., Zimmerman, R.W., 2009. Approximate Solutions for Pressure Buildup During CO2 Injection in Brine Aquifers. Transp. Porous Media 79, 265–284. https://doi.org/10.1007/s11242-008-9316-7</w:t>
      </w:r>
    </w:p>
    <w:p w14:paraId="591A58F8"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Matter, J.M., Stute, M., Snebjornsdottir, S.O., Oelkers, E.H., Gislason, S.R., Aradottir, E.S., Sigfusson, B., Gunnarsson, I., Alfredsson, H.A., Wolff-boenisch, D., Mesfin, K., Dideriksen, K., Broecker, W.S., 2016. Rapid Carbon Mineralization for pPermanent Disposal of Anthropogenic Carbon Dioxide Emissions. Science (80-. ). 352, 1312–1314. https://doi.org/dx.doi.org/10.1126/science.aad8132]</w:t>
      </w:r>
    </w:p>
    <w:p w14:paraId="62D41987" w14:textId="078100A6"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Monaghan, A.A., Arsenikos, S., Callaghan, E., Ellen, R., Gent, C., Hannis, S., Henderson, A., Leslie, G., Johnson, K., Kassyk, M., Kearsey, T., Kim, A., Kimbell, G., Quinn, M., McLean, W., Millward, D., Pharaoh, T., Sankey, M., Smith, N., Uguna, C., Vane, C., Vincent, C., Williamson, P., 2017. Palaeozoic Petroleum Systems of the Central North Sea/Mid North Sea High.</w:t>
      </w:r>
      <w:r>
        <w:rPr>
          <w:noProof/>
          <w:szCs w:val="24"/>
        </w:rPr>
        <w:t xml:space="preserve"> British Geological Survey, 92 pages. </w:t>
      </w:r>
      <w:r w:rsidRPr="00E41AF9">
        <w:rPr>
          <w:noProof/>
          <w:szCs w:val="24"/>
        </w:rPr>
        <w:t>http://nora.nerc.ac.uk/id/eprint/516766</w:t>
      </w:r>
    </w:p>
    <w:p w14:paraId="7DE43E69"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Nicot, J.-P., 2009. A survey of oil and gas wells in the Texas Gulf Coast, USA, and implications for geological sequestration of CO2. Environ. Geol. 57, 1625–1638. https://doi.org/10.1007/s00254-008-1444-4</w:t>
      </w:r>
    </w:p>
    <w:p w14:paraId="383B3157"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OGA, 2020. Full list of Offshore Fields in Production [WWW Document]. UK Oil Gas Auth. URL https://www.ogauthority.co.uk/data-centre/data-downloads-and-publications/field-data/ (accessed 7.8.20).</w:t>
      </w:r>
    </w:p>
    <w:p w14:paraId="51E09F5C"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OGA, 2018a. Carbon Capture Storage Licence Awarded [WWW Document]. UK Oil Gas Auth. URL https://www.ogauthority.co.uk/news-publications/news/2018/carbon-capture-storage-licence-awarded/</w:t>
      </w:r>
    </w:p>
    <w:p w14:paraId="314E7493"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OGA, 2018b. UKCS Decommissioning 2018 Cost Estimate Report.</w:t>
      </w:r>
    </w:p>
    <w:p w14:paraId="29DAF150"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Pale Blue Dot, Axis Well Technology, 2016. A Summary of Results from the Strategic UK CO2 Storage Appraisal Project, funded by DECC.</w:t>
      </w:r>
    </w:p>
    <w:p w14:paraId="4F684F98"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Prelicz, R.M., Mackie, E.A.V., Otto, C.T., 2012. Methodologies for CO2 storage capacity estimation: Review and evaluation of CO2 storage atlases. First Break 30, 71–76. https://doi.org/10.3997/2214-4609.20144131</w:t>
      </w:r>
    </w:p>
    <w:p w14:paraId="6FC269A2"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Ramírez, A., Hagedoorn, S., Kramers, L., Wildenborg, T., Hendriks, C., 2010. Screening CO2 storage options in The Netherlands. Int. J. Greenh. Gas Control 4, 367–380. https://doi.org/10.1016/j.ijggc.2009.10.015</w:t>
      </w:r>
    </w:p>
    <w:p w14:paraId="105B6FE1"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Raza, A., Rezaee, R., Gholami, R., Bing, C.H., Nagarajan, R., Hamid, M.A., 2016. A screening criterion for selection of suitable CO2 storage sites. J. Nat. Gas Sci. Eng. 28, 317–327. https://doi.org/10.1016/j.jngse.2015.11.053</w:t>
      </w:r>
    </w:p>
    <w:p w14:paraId="1EDFC050"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Sanz-Pérez, E.S., Murdock, C.R., Didas, S.A., Jones, C.W., 2016. Direct Capture of CO2 from Ambient Air. Chem. Rev. 116, 11840–11876. https://doi.org/10.1021/acs.chemrev.6b00173</w:t>
      </w:r>
    </w:p>
    <w:p w14:paraId="08E19209"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Scafidi, J., Gilfillan, S.M.V., 2019. Offsetting Carbon Capture and Storage costs with methane and geothermal energy production through reuse of a depleted hydrocarbon field coupled with a saline aquifer. Int. J. Greenh. Gas Control 90, 102788. https://doi.org/10.1016/j.ijggc.2019.102788</w:t>
      </w:r>
    </w:p>
    <w:p w14:paraId="50AC15FF"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SCCS, 2015. CO2 storage and Enhanced Oil Recovery in the North Sea: Securing a low-carbon future for the UK.</w:t>
      </w:r>
    </w:p>
    <w:p w14:paraId="74D4B059"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Shell, The Crown Estate, Scottish Government, Scottish Enterprise, Vattenfall, 2015. CO2Multistore: Optimising CO2 storage in geological formations; a case study offshore Scotland.</w:t>
      </w:r>
    </w:p>
    <w:p w14:paraId="1E7E48EF"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lastRenderedPageBreak/>
        <w:t>Shi, J.Q., Durucan, S., 2005. CO 2 Storage in Deep Unminable Coal Seams 60, 547–558.</w:t>
      </w:r>
    </w:p>
    <w:p w14:paraId="6DC0C360"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Singh, P., Haines, M., 2014. A review of existing carbon capture and storage cluster projects and future opportunities. Energy Procedia 63, 7247–7260. https://doi.org/10.1016/j.egypro.2014.11.761</w:t>
      </w:r>
    </w:p>
    <w:p w14:paraId="17142FD1"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Sminchak, J.R., Moody, M., Gupta, N., Larsen, G., 2017. Wellbore integrity factors for CO 2 storage in oil and gas producing areas in the Midwest United States. Greenh. Gases Sci. Technol. 7, 817–827. https://doi.org/10.1002/ghg.1599</w:t>
      </w:r>
    </w:p>
    <w:p w14:paraId="7C7B14C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Stewart, R.J., Scott, V., Haszeldine, R.S., Ainger, D., Argent, S., 2014. The feasibility of a European-wide integrated CO 2 transport network. Greenh. Gases Sci. Technol. 4, 481–494. https://doi.org/10.1002/ghg.1410</w:t>
      </w:r>
    </w:p>
    <w:p w14:paraId="18D9FF4D"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Sun, X., Alcalde, J., Gomez-Rivas, E., Struth, L., Johnson, G., Travé, A., Gómez-Rivas, E., Struth, L., Johnson, G., Travé, A., 2020. Appraisal of CO2 storage potential in compressional hydrocarbon-bearing basins: Global assessment and case study in the Sichuan Basin (China). Geosci. Front. 11, 2309–2321. https://doi.org/10.1016/j.gsf.2020.02.008</w:t>
      </w:r>
    </w:p>
    <w:p w14:paraId="7E23E624"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Swennenhuis, F., Mabon, L., Flach, T.A., de Coninck, H., 2020. What role for CCS in delivering just transitions? An evaluation in the North Sea region. Int. J. Greenh. Gas Control 94, 102903. https://doi.org/10.1016/j.ijggc.2019.102903</w:t>
      </w:r>
    </w:p>
    <w:p w14:paraId="4240E39F"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Tucker, O., Tinios, L., 2017. Experience in Developing the Goldeneye Storage Permit Application. Energy Procedia 114, 7466–7479. https://doi.org/10.1016/j.egypro.2017.03.1880</w:t>
      </w:r>
    </w:p>
    <w:p w14:paraId="4E691E02"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UNFCCC, 2015. Adoption of the Paris Agreement. Proposal by the President., Paris Climate Change Conference - November 2015, COP 21. https://doi.org/FCCC/CP/2015/L.9/Rev.1</w:t>
      </w:r>
    </w:p>
    <w:p w14:paraId="31B10500"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UNIDO, 2011. Global industrial ccs technology roadmap - sectoral assessment: Source-to-sink matching final report. Report UNI11–ES–001–2.</w:t>
      </w:r>
    </w:p>
    <w:p w14:paraId="6F199568"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van der Meer, L.G.H. (Bert), Hofstee, C., Orlic, B., 2009. The fluid flow consequences of CO2 migration from 1000 to 600 metres upon passing the critical conditions of CO2. Energy Procedia 1, 3213–3220. https://doi.org/10.1016/j.egypro.2009.02.105</w:t>
      </w:r>
    </w:p>
    <w:p w14:paraId="4385B0C4"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Vangkilde-Pedersen, T., Anthonsen, K.L., Smith, N., Kirk, K., neele, F., van der Meer, B., Le Gallo, Y., Bossie-Codreanu, D., Wojcicki, A., Le Nindre, Y.M., Hendriks, C., Dalhoff, F., Peter Christensen, N., 2009. Assessing European capacity for geological storage of carbon dioxide-the EU GeoCapacity project. Energy Procedia 1, 2663–2670. https://doi.org/10.1016/j.egypro.2009.02.034</w:t>
      </w:r>
    </w:p>
    <w:p w14:paraId="7ADB1DF3"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Vilarrasa, V., Bustarret, G., Laloui, L., Zeidouni, M., 2017. A methodology to detect and locate low-permeability faults to reduce the risk of inducing seismicity of fluid injection operations in deep saline formations. Int. J. Greenh. Gas Control 59, 110–122. https://doi.org/10.1016/j.ijggc.2017.02.010</w:t>
      </w:r>
    </w:p>
    <w:p w14:paraId="4318EFCF"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Wei, N., Li, X., Wang, Y., Dahowski, R.T., Davidson, C.L., Bromhal, G.S., 2013. A preliminary sub-basin scale evaluation framework of site suitability for onshore aquifer-based CO2 storage in China. Int. J. Greenh. Gas Control 12, 231–246. https://doi.org/10.1016/j.ijggc.2012.10.012</w:t>
      </w:r>
    </w:p>
    <w:p w14:paraId="2EB4ADD8"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Wennersten, R., Sun, Q., Li, H., 2015. The future potential for Carbon Capture and Storage in climate change mitigation - An overview from perspectives of technology, economy and risk. J. Clean. Prod. 103, 724–736. https://doi.org/10.1016/j.jclepro.2014.09.023</w:t>
      </w:r>
    </w:p>
    <w:p w14:paraId="647E028C"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Wilkinson, M., Polson, D., 2019. Uncertainty in regional estimates of capacity for carbon capture and storage. Solid Earth Discuss. 1–17. https://doi.org/10.5194/se-2019-45</w:t>
      </w:r>
    </w:p>
    <w:p w14:paraId="51348ED9"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Worden, R.H., Allen, M.J., Faulkner, D.R., Utley, J.E.P.P., Bond, C.E., Alcalde, J., Heinemann, N., Haszeldine, R.S., Mackay, E.J., Ghanbari, S., 2020. The Lower Cretaceous Rodby Shale and the Palaeocene Lista Shale: characterization and comparison of top-seal mudstones at two planned CCS sites, offshore UK. Minerals 10, 691. https://doi.org/10.3390/min10080691</w:t>
      </w:r>
    </w:p>
    <w:p w14:paraId="6858FA70"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Yang, W., Peng, B., Liu, Q., Wang, S., Dong, Y., Lai, Y., 2017. Evaluation of CO2enhanced oil recovery and CO2storage potential in oil reservoirs of Bohai Bay Basin, China. Int. J. Greenh. Gas Control 65, 86–98. https://doi.org/10.1016/j.ijggc.2017.08.012</w:t>
      </w:r>
    </w:p>
    <w:p w14:paraId="388C9233"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Yoon, P.K., Hwang, C.L., 1995. Multiple Attribute Decision Making: An Introduction. Sage Publications Inc., Thousand Oaks, CA.</w:t>
      </w:r>
    </w:p>
    <w:p w14:paraId="03D17D81" w14:textId="77777777" w:rsidR="00E41AF9" w:rsidRPr="00E41AF9" w:rsidRDefault="00E41AF9" w:rsidP="00E41AF9">
      <w:pPr>
        <w:widowControl w:val="0"/>
        <w:autoSpaceDE w:val="0"/>
        <w:autoSpaceDN w:val="0"/>
        <w:adjustRightInd w:val="0"/>
        <w:spacing w:after="120" w:line="240" w:lineRule="auto"/>
        <w:ind w:left="480" w:hanging="480"/>
        <w:rPr>
          <w:noProof/>
          <w:szCs w:val="24"/>
        </w:rPr>
      </w:pPr>
      <w:r w:rsidRPr="00E41AF9">
        <w:rPr>
          <w:noProof/>
          <w:szCs w:val="24"/>
        </w:rPr>
        <w:t>Zahasky, C., Krevor, S., 2020. Global geologic carbon storage requirements of climate change mitigation scenarios. Energy Environ. Sci. https://doi.org/10.1039/D0EE00674B</w:t>
      </w:r>
    </w:p>
    <w:p w14:paraId="16C88293" w14:textId="77777777" w:rsidR="00E41AF9" w:rsidRPr="00E41AF9" w:rsidRDefault="00E41AF9" w:rsidP="00E41AF9">
      <w:pPr>
        <w:widowControl w:val="0"/>
        <w:autoSpaceDE w:val="0"/>
        <w:autoSpaceDN w:val="0"/>
        <w:adjustRightInd w:val="0"/>
        <w:spacing w:after="120" w:line="240" w:lineRule="auto"/>
        <w:ind w:left="480" w:hanging="480"/>
        <w:rPr>
          <w:noProof/>
        </w:rPr>
      </w:pPr>
      <w:r w:rsidRPr="00E41AF9">
        <w:rPr>
          <w:noProof/>
          <w:szCs w:val="24"/>
        </w:rPr>
        <w:t xml:space="preserve">Zhou, D., Zhao, Z., Liao, J., Sun, Z., 2011. A preliminary assessment on CO2 storage capacity in the Pearl River Mouth </w:t>
      </w:r>
      <w:r w:rsidRPr="00E41AF9">
        <w:rPr>
          <w:noProof/>
          <w:szCs w:val="24"/>
        </w:rPr>
        <w:lastRenderedPageBreak/>
        <w:t>Basin offshore Guangdong, China. Int. J. Greenh. Gas Control 5, 308–317. https://doi.org/10.1016/j.ijggc.2010.09.011</w:t>
      </w:r>
    </w:p>
    <w:p w14:paraId="5326201D" w14:textId="20F42C24" w:rsidR="007979FD" w:rsidRPr="00972203" w:rsidRDefault="003404E8" w:rsidP="00120500">
      <w:pPr>
        <w:pStyle w:val="BodyText"/>
        <w:spacing w:after="120" w:line="276" w:lineRule="auto"/>
        <w:rPr>
          <w:b/>
        </w:rPr>
      </w:pPr>
      <w:r w:rsidRPr="00972203">
        <w:rPr>
          <w:b/>
          <w:sz w:val="22"/>
          <w:szCs w:val="22"/>
          <w:lang w:val="en-GB"/>
        </w:rPr>
        <w:fldChar w:fldCharType="end"/>
      </w:r>
    </w:p>
    <w:sectPr w:rsidR="007979FD" w:rsidRPr="00972203" w:rsidSect="000207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2D191" w14:textId="77777777" w:rsidR="00FE6FA0" w:rsidRDefault="00FE6FA0" w:rsidP="00577D73">
      <w:pPr>
        <w:spacing w:after="0" w:line="240" w:lineRule="auto"/>
      </w:pPr>
      <w:r>
        <w:separator/>
      </w:r>
    </w:p>
  </w:endnote>
  <w:endnote w:type="continuationSeparator" w:id="0">
    <w:p w14:paraId="639F1F7E" w14:textId="77777777" w:rsidR="00FE6FA0" w:rsidRDefault="00FE6FA0" w:rsidP="00577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vOT833fb896+20">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6F138" w14:textId="77777777" w:rsidR="00FE6FA0" w:rsidRDefault="00FE6FA0" w:rsidP="00577D73">
      <w:pPr>
        <w:spacing w:after="0" w:line="240" w:lineRule="auto"/>
      </w:pPr>
      <w:r>
        <w:separator/>
      </w:r>
    </w:p>
  </w:footnote>
  <w:footnote w:type="continuationSeparator" w:id="0">
    <w:p w14:paraId="4A8FAC4D" w14:textId="77777777" w:rsidR="00FE6FA0" w:rsidRDefault="00FE6FA0" w:rsidP="00577D73">
      <w:pPr>
        <w:spacing w:after="0" w:line="240" w:lineRule="auto"/>
      </w:pPr>
      <w:r>
        <w:continuationSeparator/>
      </w:r>
    </w:p>
  </w:footnote>
  <w:footnote w:id="1">
    <w:p w14:paraId="2F76C2A2" w14:textId="77777777" w:rsidR="002C409E" w:rsidRPr="00577D73" w:rsidRDefault="002C409E" w:rsidP="00FC3371">
      <w:pPr>
        <w:pStyle w:val="FootnoteText"/>
        <w:rPr>
          <w:lang w:val="es-ES"/>
        </w:rPr>
      </w:pPr>
      <w:r w:rsidRPr="00372E88">
        <w:rPr>
          <w:rStyle w:val="FootnoteReference"/>
        </w:rPr>
        <w:footnoteRef/>
      </w:r>
      <w:r>
        <w:t xml:space="preserve"> </w:t>
      </w:r>
      <w:hyperlink r:id="rId1" w:history="1">
        <w:r>
          <w:rPr>
            <w:rStyle w:val="Hyperlink"/>
          </w:rPr>
          <w:t>http://www.co2stored.co.uk/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0C8"/>
    <w:multiLevelType w:val="hybridMultilevel"/>
    <w:tmpl w:val="70D87CDC"/>
    <w:lvl w:ilvl="0" w:tplc="CF9894C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95BBD"/>
    <w:multiLevelType w:val="hybridMultilevel"/>
    <w:tmpl w:val="5A08750C"/>
    <w:lvl w:ilvl="0" w:tplc="CF9894C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C95289"/>
    <w:multiLevelType w:val="hybridMultilevel"/>
    <w:tmpl w:val="22346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4431ED"/>
    <w:multiLevelType w:val="hybridMultilevel"/>
    <w:tmpl w:val="3D6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80E9C"/>
    <w:multiLevelType w:val="multilevel"/>
    <w:tmpl w:val="50820D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4E6921"/>
    <w:multiLevelType w:val="hybridMultilevel"/>
    <w:tmpl w:val="1F4044E2"/>
    <w:lvl w:ilvl="0" w:tplc="305E0C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D00906"/>
    <w:multiLevelType w:val="hybridMultilevel"/>
    <w:tmpl w:val="0DCCAB2A"/>
    <w:lvl w:ilvl="0" w:tplc="CF9894C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B7BBF"/>
    <w:multiLevelType w:val="hybridMultilevel"/>
    <w:tmpl w:val="57166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CC7B0F"/>
    <w:multiLevelType w:val="hybridMultilevel"/>
    <w:tmpl w:val="83D4C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AE0E2E"/>
    <w:multiLevelType w:val="hybridMultilevel"/>
    <w:tmpl w:val="7A28AC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D32AEE"/>
    <w:multiLevelType w:val="hybridMultilevel"/>
    <w:tmpl w:val="39D63F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5AE"/>
    <w:multiLevelType w:val="multilevel"/>
    <w:tmpl w:val="046021A0"/>
    <w:lvl w:ilvl="0">
      <w:start w:val="1"/>
      <w:numFmt w:val="decimal"/>
      <w:pStyle w:val="Section"/>
      <w:lvlText w:val="%1."/>
      <w:lvlJc w:val="left"/>
      <w:pPr>
        <w:ind w:left="360" w:hanging="360"/>
      </w:pPr>
    </w:lvl>
    <w:lvl w:ilvl="1">
      <w:start w:val="1"/>
      <w:numFmt w:val="decimal"/>
      <w:pStyle w:val="Subsection"/>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3F5C81"/>
    <w:multiLevelType w:val="hybridMultilevel"/>
    <w:tmpl w:val="F2B25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A4B80"/>
    <w:multiLevelType w:val="hybridMultilevel"/>
    <w:tmpl w:val="412EF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CD073A"/>
    <w:multiLevelType w:val="hybridMultilevel"/>
    <w:tmpl w:val="2F1E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2E0B06"/>
    <w:multiLevelType w:val="multilevel"/>
    <w:tmpl w:val="4516CB1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F065D4"/>
    <w:multiLevelType w:val="hybridMultilevel"/>
    <w:tmpl w:val="C0C27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55F71"/>
    <w:multiLevelType w:val="multilevel"/>
    <w:tmpl w:val="4516CB1E"/>
    <w:lvl w:ilvl="0">
      <w:start w:val="1"/>
      <w:numFmt w:val="decimal"/>
      <w:lvlText w:val="%1."/>
      <w:lvlJc w:val="left"/>
      <w:pPr>
        <w:ind w:left="144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8" w15:restartNumberingAfterBreak="0">
    <w:nsid w:val="3F2B1378"/>
    <w:multiLevelType w:val="hybridMultilevel"/>
    <w:tmpl w:val="0B6EFC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BB2625"/>
    <w:multiLevelType w:val="hybridMultilevel"/>
    <w:tmpl w:val="333C15CC"/>
    <w:lvl w:ilvl="0" w:tplc="97E49FC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105AA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BB0D8D"/>
    <w:multiLevelType w:val="hybridMultilevel"/>
    <w:tmpl w:val="C1A0A8DE"/>
    <w:lvl w:ilvl="0" w:tplc="08090001">
      <w:start w:val="1"/>
      <w:numFmt w:val="bullet"/>
      <w:lvlText w:val=""/>
      <w:lvlJc w:val="left"/>
      <w:pPr>
        <w:ind w:left="720" w:hanging="360"/>
      </w:pPr>
      <w:rPr>
        <w:rFonts w:ascii="Symbol" w:hAnsi="Symbol" w:hint="default"/>
      </w:rPr>
    </w:lvl>
    <w:lvl w:ilvl="1" w:tplc="D75A1394">
      <w:numFmt w:val="bullet"/>
      <w:lvlText w:val="•"/>
      <w:lvlJc w:val="left"/>
      <w:pPr>
        <w:ind w:left="1440" w:hanging="360"/>
      </w:pPr>
      <w:rPr>
        <w:rFonts w:ascii="Times New Roman" w:eastAsia="Calibri" w:hAnsi="Times New Roman" w:cs="Times New Roman" w:hint="default"/>
        <w:color w:val="6599CD"/>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67A8D"/>
    <w:multiLevelType w:val="hybridMultilevel"/>
    <w:tmpl w:val="216EF0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1D3E88"/>
    <w:multiLevelType w:val="hybridMultilevel"/>
    <w:tmpl w:val="412ED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6A2F72"/>
    <w:multiLevelType w:val="hybridMultilevel"/>
    <w:tmpl w:val="B226F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7A214C"/>
    <w:multiLevelType w:val="multilevel"/>
    <w:tmpl w:val="9DA8DC2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DC4922"/>
    <w:multiLevelType w:val="hybridMultilevel"/>
    <w:tmpl w:val="A22CF57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211A12"/>
    <w:multiLevelType w:val="hybridMultilevel"/>
    <w:tmpl w:val="BFF83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5C33FF5"/>
    <w:multiLevelType w:val="multilevel"/>
    <w:tmpl w:val="3D8C7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75440D8"/>
    <w:multiLevelType w:val="multilevel"/>
    <w:tmpl w:val="9DA8DC2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030B80"/>
    <w:multiLevelType w:val="hybridMultilevel"/>
    <w:tmpl w:val="7832837C"/>
    <w:lvl w:ilvl="0" w:tplc="113C770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37739"/>
    <w:multiLevelType w:val="hybridMultilevel"/>
    <w:tmpl w:val="D8829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A0A9D"/>
    <w:multiLevelType w:val="hybridMultilevel"/>
    <w:tmpl w:val="A3A440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E756C7"/>
    <w:multiLevelType w:val="hybridMultilevel"/>
    <w:tmpl w:val="9B94152E"/>
    <w:lvl w:ilvl="0" w:tplc="283281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820077"/>
    <w:multiLevelType w:val="hybridMultilevel"/>
    <w:tmpl w:val="AB28B044"/>
    <w:lvl w:ilvl="0" w:tplc="AC3E45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3326F0"/>
    <w:multiLevelType w:val="hybridMultilevel"/>
    <w:tmpl w:val="E2EC0FA6"/>
    <w:lvl w:ilvl="0" w:tplc="76C6E698">
      <w:start w:val="1"/>
      <w:numFmt w:val="decimal"/>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9CF3F14"/>
    <w:multiLevelType w:val="hybridMultilevel"/>
    <w:tmpl w:val="58C88A28"/>
    <w:lvl w:ilvl="0" w:tplc="08090001">
      <w:start w:val="1"/>
      <w:numFmt w:val="bullet"/>
      <w:lvlText w:val=""/>
      <w:lvlJc w:val="left"/>
      <w:pPr>
        <w:ind w:left="720" w:hanging="360"/>
      </w:pPr>
      <w:rPr>
        <w:rFonts w:ascii="Symbol" w:eastAsia="Times New Roman"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11"/>
  </w:num>
  <w:num w:numId="4">
    <w:abstractNumId w:val="35"/>
  </w:num>
  <w:num w:numId="5">
    <w:abstractNumId w:val="2"/>
  </w:num>
  <w:num w:numId="6">
    <w:abstractNumId w:val="16"/>
  </w:num>
  <w:num w:numId="7">
    <w:abstractNumId w:val="18"/>
  </w:num>
  <w:num w:numId="8">
    <w:abstractNumId w:val="12"/>
  </w:num>
  <w:num w:numId="9">
    <w:abstractNumId w:val="30"/>
  </w:num>
  <w:num w:numId="10">
    <w:abstractNumId w:val="21"/>
  </w:num>
  <w:num w:numId="11">
    <w:abstractNumId w:val="19"/>
  </w:num>
  <w:num w:numId="12">
    <w:abstractNumId w:val="14"/>
  </w:num>
  <w:num w:numId="13">
    <w:abstractNumId w:val="28"/>
  </w:num>
  <w:num w:numId="14">
    <w:abstractNumId w:val="20"/>
  </w:num>
  <w:num w:numId="15">
    <w:abstractNumId w:val="4"/>
  </w:num>
  <w:num w:numId="16">
    <w:abstractNumId w:val="29"/>
  </w:num>
  <w:num w:numId="17">
    <w:abstractNumId w:val="25"/>
  </w:num>
  <w:num w:numId="18">
    <w:abstractNumId w:val="34"/>
  </w:num>
  <w:num w:numId="19">
    <w:abstractNumId w:val="33"/>
  </w:num>
  <w:num w:numId="20">
    <w:abstractNumId w:val="7"/>
  </w:num>
  <w:num w:numId="21">
    <w:abstractNumId w:val="23"/>
  </w:num>
  <w:num w:numId="22">
    <w:abstractNumId w:val="13"/>
  </w:num>
  <w:num w:numId="23">
    <w:abstractNumId w:val="31"/>
  </w:num>
  <w:num w:numId="24">
    <w:abstractNumId w:val="27"/>
  </w:num>
  <w:num w:numId="25">
    <w:abstractNumId w:val="8"/>
  </w:num>
  <w:num w:numId="26">
    <w:abstractNumId w:val="5"/>
  </w:num>
  <w:num w:numId="27">
    <w:abstractNumId w:val="9"/>
  </w:num>
  <w:num w:numId="28">
    <w:abstractNumId w:val="36"/>
  </w:num>
  <w:num w:numId="29">
    <w:abstractNumId w:val="26"/>
  </w:num>
  <w:num w:numId="30">
    <w:abstractNumId w:val="3"/>
  </w:num>
  <w:num w:numId="31">
    <w:abstractNumId w:val="24"/>
  </w:num>
  <w:num w:numId="32">
    <w:abstractNumId w:val="10"/>
  </w:num>
  <w:num w:numId="33">
    <w:abstractNumId w:val="6"/>
  </w:num>
  <w:num w:numId="34">
    <w:abstractNumId w:val="1"/>
  </w:num>
  <w:num w:numId="35">
    <w:abstractNumId w:val="0"/>
  </w:num>
  <w:num w:numId="36">
    <w:abstractNumId w:val="15"/>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C"/>
    <w:rsid w:val="00000FDB"/>
    <w:rsid w:val="0000322A"/>
    <w:rsid w:val="0000342C"/>
    <w:rsid w:val="00006D85"/>
    <w:rsid w:val="00007694"/>
    <w:rsid w:val="00010497"/>
    <w:rsid w:val="00011010"/>
    <w:rsid w:val="00011159"/>
    <w:rsid w:val="00015833"/>
    <w:rsid w:val="000174B1"/>
    <w:rsid w:val="00017996"/>
    <w:rsid w:val="000206BD"/>
    <w:rsid w:val="000207C0"/>
    <w:rsid w:val="00021FFB"/>
    <w:rsid w:val="00023C6C"/>
    <w:rsid w:val="000266DA"/>
    <w:rsid w:val="00026CB0"/>
    <w:rsid w:val="00027918"/>
    <w:rsid w:val="000369AB"/>
    <w:rsid w:val="00040DCD"/>
    <w:rsid w:val="00042198"/>
    <w:rsid w:val="00042F5F"/>
    <w:rsid w:val="00042FE3"/>
    <w:rsid w:val="00044BB6"/>
    <w:rsid w:val="00046883"/>
    <w:rsid w:val="00056434"/>
    <w:rsid w:val="00057436"/>
    <w:rsid w:val="00057835"/>
    <w:rsid w:val="000614E7"/>
    <w:rsid w:val="0006494D"/>
    <w:rsid w:val="00065BE8"/>
    <w:rsid w:val="0006693B"/>
    <w:rsid w:val="0007454F"/>
    <w:rsid w:val="00075851"/>
    <w:rsid w:val="00075939"/>
    <w:rsid w:val="00080A4F"/>
    <w:rsid w:val="00081F3F"/>
    <w:rsid w:val="0008224E"/>
    <w:rsid w:val="00085C09"/>
    <w:rsid w:val="00086316"/>
    <w:rsid w:val="00090995"/>
    <w:rsid w:val="0009425A"/>
    <w:rsid w:val="000958AD"/>
    <w:rsid w:val="00096AC4"/>
    <w:rsid w:val="000A129E"/>
    <w:rsid w:val="000A41F4"/>
    <w:rsid w:val="000B1F73"/>
    <w:rsid w:val="000B3D8D"/>
    <w:rsid w:val="000B4AA5"/>
    <w:rsid w:val="000C4EF4"/>
    <w:rsid w:val="000C57AE"/>
    <w:rsid w:val="000C639F"/>
    <w:rsid w:val="000C7C10"/>
    <w:rsid w:val="000C7C1A"/>
    <w:rsid w:val="000D2BFF"/>
    <w:rsid w:val="000D3FEC"/>
    <w:rsid w:val="000E33BE"/>
    <w:rsid w:val="000E3E3C"/>
    <w:rsid w:val="000E5350"/>
    <w:rsid w:val="000F186B"/>
    <w:rsid w:val="000F196A"/>
    <w:rsid w:val="000F4242"/>
    <w:rsid w:val="000F759B"/>
    <w:rsid w:val="00103130"/>
    <w:rsid w:val="00105908"/>
    <w:rsid w:val="00110505"/>
    <w:rsid w:val="00110B1A"/>
    <w:rsid w:val="00112A8F"/>
    <w:rsid w:val="00113B59"/>
    <w:rsid w:val="00114A5B"/>
    <w:rsid w:val="00114B66"/>
    <w:rsid w:val="0011501A"/>
    <w:rsid w:val="00115E92"/>
    <w:rsid w:val="00120500"/>
    <w:rsid w:val="0012139F"/>
    <w:rsid w:val="0012184F"/>
    <w:rsid w:val="00124E40"/>
    <w:rsid w:val="0012721C"/>
    <w:rsid w:val="001300C4"/>
    <w:rsid w:val="001326D2"/>
    <w:rsid w:val="00132F6C"/>
    <w:rsid w:val="00133D53"/>
    <w:rsid w:val="0014083C"/>
    <w:rsid w:val="0014115D"/>
    <w:rsid w:val="001509E6"/>
    <w:rsid w:val="00152B77"/>
    <w:rsid w:val="00152F40"/>
    <w:rsid w:val="0015498E"/>
    <w:rsid w:val="00157F42"/>
    <w:rsid w:val="001605F8"/>
    <w:rsid w:val="00167258"/>
    <w:rsid w:val="001673AC"/>
    <w:rsid w:val="001705AE"/>
    <w:rsid w:val="00173463"/>
    <w:rsid w:val="00175192"/>
    <w:rsid w:val="00175820"/>
    <w:rsid w:val="00175A4D"/>
    <w:rsid w:val="00180339"/>
    <w:rsid w:val="00182233"/>
    <w:rsid w:val="00183D6D"/>
    <w:rsid w:val="0019294D"/>
    <w:rsid w:val="00193F75"/>
    <w:rsid w:val="0019465C"/>
    <w:rsid w:val="001A13EB"/>
    <w:rsid w:val="001A1C44"/>
    <w:rsid w:val="001A27D1"/>
    <w:rsid w:val="001A2820"/>
    <w:rsid w:val="001A42B4"/>
    <w:rsid w:val="001A5117"/>
    <w:rsid w:val="001A557B"/>
    <w:rsid w:val="001B37E8"/>
    <w:rsid w:val="001B4867"/>
    <w:rsid w:val="001C0A1B"/>
    <w:rsid w:val="001C1EEC"/>
    <w:rsid w:val="001C24EC"/>
    <w:rsid w:val="001C2DE6"/>
    <w:rsid w:val="001C41C5"/>
    <w:rsid w:val="001C6ED4"/>
    <w:rsid w:val="001D2C7F"/>
    <w:rsid w:val="001D3661"/>
    <w:rsid w:val="001E1EFA"/>
    <w:rsid w:val="001E6FB9"/>
    <w:rsid w:val="0020098F"/>
    <w:rsid w:val="002107E1"/>
    <w:rsid w:val="002143A3"/>
    <w:rsid w:val="00214959"/>
    <w:rsid w:val="00214C6C"/>
    <w:rsid w:val="00215C72"/>
    <w:rsid w:val="002219DA"/>
    <w:rsid w:val="0023183D"/>
    <w:rsid w:val="0024117A"/>
    <w:rsid w:val="002434A9"/>
    <w:rsid w:val="00245113"/>
    <w:rsid w:val="0025284B"/>
    <w:rsid w:val="0025292E"/>
    <w:rsid w:val="00264BC9"/>
    <w:rsid w:val="00266BD1"/>
    <w:rsid w:val="00275374"/>
    <w:rsid w:val="002778A3"/>
    <w:rsid w:val="00283A70"/>
    <w:rsid w:val="00284BBF"/>
    <w:rsid w:val="00284F5C"/>
    <w:rsid w:val="0028549F"/>
    <w:rsid w:val="00286A33"/>
    <w:rsid w:val="0029072A"/>
    <w:rsid w:val="00294044"/>
    <w:rsid w:val="00294C9F"/>
    <w:rsid w:val="00294D39"/>
    <w:rsid w:val="00295E43"/>
    <w:rsid w:val="002A72E2"/>
    <w:rsid w:val="002B1EDB"/>
    <w:rsid w:val="002B26EE"/>
    <w:rsid w:val="002B2A02"/>
    <w:rsid w:val="002B3696"/>
    <w:rsid w:val="002B5F79"/>
    <w:rsid w:val="002B70C7"/>
    <w:rsid w:val="002B78D5"/>
    <w:rsid w:val="002C1505"/>
    <w:rsid w:val="002C192C"/>
    <w:rsid w:val="002C409E"/>
    <w:rsid w:val="002C52C6"/>
    <w:rsid w:val="002C6812"/>
    <w:rsid w:val="002D30D0"/>
    <w:rsid w:val="002D30E3"/>
    <w:rsid w:val="002D764C"/>
    <w:rsid w:val="002E0667"/>
    <w:rsid w:val="002E430B"/>
    <w:rsid w:val="002E7284"/>
    <w:rsid w:val="002E7560"/>
    <w:rsid w:val="002E77BF"/>
    <w:rsid w:val="002F068B"/>
    <w:rsid w:val="002F11CA"/>
    <w:rsid w:val="002F33B6"/>
    <w:rsid w:val="002F44BC"/>
    <w:rsid w:val="002F5E1B"/>
    <w:rsid w:val="002F6FE4"/>
    <w:rsid w:val="00300235"/>
    <w:rsid w:val="003012D6"/>
    <w:rsid w:val="00301D4D"/>
    <w:rsid w:val="00302F29"/>
    <w:rsid w:val="0030553F"/>
    <w:rsid w:val="00310F51"/>
    <w:rsid w:val="00312547"/>
    <w:rsid w:val="00314134"/>
    <w:rsid w:val="0031590E"/>
    <w:rsid w:val="00317562"/>
    <w:rsid w:val="0031798B"/>
    <w:rsid w:val="00327F8A"/>
    <w:rsid w:val="003313AF"/>
    <w:rsid w:val="003333F6"/>
    <w:rsid w:val="003404E8"/>
    <w:rsid w:val="003431FA"/>
    <w:rsid w:val="00345356"/>
    <w:rsid w:val="00347AD6"/>
    <w:rsid w:val="00350198"/>
    <w:rsid w:val="0035118C"/>
    <w:rsid w:val="00351DAD"/>
    <w:rsid w:val="00357A9E"/>
    <w:rsid w:val="00360282"/>
    <w:rsid w:val="00360BAB"/>
    <w:rsid w:val="003629EA"/>
    <w:rsid w:val="00363496"/>
    <w:rsid w:val="00366A92"/>
    <w:rsid w:val="0037290E"/>
    <w:rsid w:val="0037298D"/>
    <w:rsid w:val="00372E88"/>
    <w:rsid w:val="00374E0A"/>
    <w:rsid w:val="00376ADF"/>
    <w:rsid w:val="00380234"/>
    <w:rsid w:val="00380FA4"/>
    <w:rsid w:val="00381B38"/>
    <w:rsid w:val="003822E9"/>
    <w:rsid w:val="0038339E"/>
    <w:rsid w:val="003845AA"/>
    <w:rsid w:val="00393515"/>
    <w:rsid w:val="00393F70"/>
    <w:rsid w:val="00396F05"/>
    <w:rsid w:val="003A5175"/>
    <w:rsid w:val="003A64AC"/>
    <w:rsid w:val="003B2239"/>
    <w:rsid w:val="003B43D2"/>
    <w:rsid w:val="003B4B33"/>
    <w:rsid w:val="003C04B6"/>
    <w:rsid w:val="003C2BFA"/>
    <w:rsid w:val="003C46B1"/>
    <w:rsid w:val="003C4F01"/>
    <w:rsid w:val="003D2745"/>
    <w:rsid w:val="003D592B"/>
    <w:rsid w:val="003D6778"/>
    <w:rsid w:val="003D72BF"/>
    <w:rsid w:val="003E0208"/>
    <w:rsid w:val="003E0AEA"/>
    <w:rsid w:val="003E3616"/>
    <w:rsid w:val="003E7D49"/>
    <w:rsid w:val="003F0B22"/>
    <w:rsid w:val="003F19C4"/>
    <w:rsid w:val="003F2B9F"/>
    <w:rsid w:val="003F4DCA"/>
    <w:rsid w:val="003F6CA5"/>
    <w:rsid w:val="003F7BEB"/>
    <w:rsid w:val="0040211E"/>
    <w:rsid w:val="004045FD"/>
    <w:rsid w:val="004053CB"/>
    <w:rsid w:val="00410343"/>
    <w:rsid w:val="0041139D"/>
    <w:rsid w:val="00412B84"/>
    <w:rsid w:val="00414327"/>
    <w:rsid w:val="00415959"/>
    <w:rsid w:val="004250D7"/>
    <w:rsid w:val="00426755"/>
    <w:rsid w:val="00426F87"/>
    <w:rsid w:val="00430227"/>
    <w:rsid w:val="00433CE4"/>
    <w:rsid w:val="0043573D"/>
    <w:rsid w:val="00442CFE"/>
    <w:rsid w:val="0044642E"/>
    <w:rsid w:val="004464A9"/>
    <w:rsid w:val="0045093C"/>
    <w:rsid w:val="004533B9"/>
    <w:rsid w:val="00453C43"/>
    <w:rsid w:val="00455D42"/>
    <w:rsid w:val="004566A3"/>
    <w:rsid w:val="00463C7F"/>
    <w:rsid w:val="00463EC9"/>
    <w:rsid w:val="004645BF"/>
    <w:rsid w:val="004666EB"/>
    <w:rsid w:val="00466E53"/>
    <w:rsid w:val="00467ADF"/>
    <w:rsid w:val="00467C79"/>
    <w:rsid w:val="004714E5"/>
    <w:rsid w:val="004737CD"/>
    <w:rsid w:val="00474D56"/>
    <w:rsid w:val="004759DE"/>
    <w:rsid w:val="00477FDE"/>
    <w:rsid w:val="00480C40"/>
    <w:rsid w:val="00481236"/>
    <w:rsid w:val="00481F02"/>
    <w:rsid w:val="004820EE"/>
    <w:rsid w:val="004846AB"/>
    <w:rsid w:val="004866CE"/>
    <w:rsid w:val="00487E87"/>
    <w:rsid w:val="00496947"/>
    <w:rsid w:val="00496FA8"/>
    <w:rsid w:val="004A3BD8"/>
    <w:rsid w:val="004B1F8B"/>
    <w:rsid w:val="004B3244"/>
    <w:rsid w:val="004B4CC9"/>
    <w:rsid w:val="004C0877"/>
    <w:rsid w:val="004C2668"/>
    <w:rsid w:val="004C571D"/>
    <w:rsid w:val="004D1312"/>
    <w:rsid w:val="004D1BBD"/>
    <w:rsid w:val="004D1F71"/>
    <w:rsid w:val="004E1237"/>
    <w:rsid w:val="004F29DA"/>
    <w:rsid w:val="004F3258"/>
    <w:rsid w:val="004F3838"/>
    <w:rsid w:val="004F39C1"/>
    <w:rsid w:val="004F5780"/>
    <w:rsid w:val="0050223D"/>
    <w:rsid w:val="00504382"/>
    <w:rsid w:val="0050724F"/>
    <w:rsid w:val="0050793C"/>
    <w:rsid w:val="005079A5"/>
    <w:rsid w:val="005112AE"/>
    <w:rsid w:val="00514366"/>
    <w:rsid w:val="00515AA0"/>
    <w:rsid w:val="005166FF"/>
    <w:rsid w:val="005177D5"/>
    <w:rsid w:val="005207DB"/>
    <w:rsid w:val="0052145C"/>
    <w:rsid w:val="0052614B"/>
    <w:rsid w:val="00530C61"/>
    <w:rsid w:val="005322BB"/>
    <w:rsid w:val="00533341"/>
    <w:rsid w:val="00537AFB"/>
    <w:rsid w:val="00540867"/>
    <w:rsid w:val="00543658"/>
    <w:rsid w:val="00552D32"/>
    <w:rsid w:val="005543EC"/>
    <w:rsid w:val="00557203"/>
    <w:rsid w:val="0055738A"/>
    <w:rsid w:val="00560ABE"/>
    <w:rsid w:val="0056362B"/>
    <w:rsid w:val="00565CCC"/>
    <w:rsid w:val="0056791A"/>
    <w:rsid w:val="00571646"/>
    <w:rsid w:val="0057198C"/>
    <w:rsid w:val="00572523"/>
    <w:rsid w:val="00574B68"/>
    <w:rsid w:val="00575BF0"/>
    <w:rsid w:val="00575E43"/>
    <w:rsid w:val="00576B2F"/>
    <w:rsid w:val="00577D73"/>
    <w:rsid w:val="0058057A"/>
    <w:rsid w:val="00583897"/>
    <w:rsid w:val="00583E51"/>
    <w:rsid w:val="0058721F"/>
    <w:rsid w:val="005B31E7"/>
    <w:rsid w:val="005B3F4F"/>
    <w:rsid w:val="005B645A"/>
    <w:rsid w:val="005B79D9"/>
    <w:rsid w:val="005C0EC5"/>
    <w:rsid w:val="005C47CB"/>
    <w:rsid w:val="005D4B92"/>
    <w:rsid w:val="005D5729"/>
    <w:rsid w:val="005D5E6A"/>
    <w:rsid w:val="005D63DA"/>
    <w:rsid w:val="005D6E23"/>
    <w:rsid w:val="005D75FC"/>
    <w:rsid w:val="005E2386"/>
    <w:rsid w:val="005E2563"/>
    <w:rsid w:val="005E3DB0"/>
    <w:rsid w:val="005E4D94"/>
    <w:rsid w:val="005E62DE"/>
    <w:rsid w:val="005F01DC"/>
    <w:rsid w:val="005F2445"/>
    <w:rsid w:val="005F3B86"/>
    <w:rsid w:val="005F5D1E"/>
    <w:rsid w:val="00601466"/>
    <w:rsid w:val="00604441"/>
    <w:rsid w:val="006064CA"/>
    <w:rsid w:val="00606A28"/>
    <w:rsid w:val="0060769E"/>
    <w:rsid w:val="006139B9"/>
    <w:rsid w:val="00613BA8"/>
    <w:rsid w:val="00615D4A"/>
    <w:rsid w:val="00620676"/>
    <w:rsid w:val="0062305B"/>
    <w:rsid w:val="00624CD8"/>
    <w:rsid w:val="00624DE6"/>
    <w:rsid w:val="0062541A"/>
    <w:rsid w:val="006341AE"/>
    <w:rsid w:val="00635DEC"/>
    <w:rsid w:val="00636C4C"/>
    <w:rsid w:val="00636E4A"/>
    <w:rsid w:val="00636EC2"/>
    <w:rsid w:val="006375C6"/>
    <w:rsid w:val="0063784A"/>
    <w:rsid w:val="00643317"/>
    <w:rsid w:val="0064332A"/>
    <w:rsid w:val="00646DD6"/>
    <w:rsid w:val="006470B0"/>
    <w:rsid w:val="00647F36"/>
    <w:rsid w:val="00651CF0"/>
    <w:rsid w:val="00653BF3"/>
    <w:rsid w:val="00653D30"/>
    <w:rsid w:val="00657C7E"/>
    <w:rsid w:val="006649AE"/>
    <w:rsid w:val="006654B5"/>
    <w:rsid w:val="00666DA5"/>
    <w:rsid w:val="00673EFC"/>
    <w:rsid w:val="006766F6"/>
    <w:rsid w:val="00685344"/>
    <w:rsid w:val="0068623A"/>
    <w:rsid w:val="0068787E"/>
    <w:rsid w:val="00687F66"/>
    <w:rsid w:val="006913C9"/>
    <w:rsid w:val="00691531"/>
    <w:rsid w:val="0069229E"/>
    <w:rsid w:val="006A1890"/>
    <w:rsid w:val="006A55EB"/>
    <w:rsid w:val="006A795C"/>
    <w:rsid w:val="006B27FE"/>
    <w:rsid w:val="006B36F9"/>
    <w:rsid w:val="006B68E8"/>
    <w:rsid w:val="006C53C7"/>
    <w:rsid w:val="006C686A"/>
    <w:rsid w:val="006C6925"/>
    <w:rsid w:val="006D021E"/>
    <w:rsid w:val="006D0707"/>
    <w:rsid w:val="006D2B52"/>
    <w:rsid w:val="006D3FEB"/>
    <w:rsid w:val="006D62A8"/>
    <w:rsid w:val="006D74FB"/>
    <w:rsid w:val="006E2249"/>
    <w:rsid w:val="006E56C2"/>
    <w:rsid w:val="006E5997"/>
    <w:rsid w:val="006E686B"/>
    <w:rsid w:val="006E7064"/>
    <w:rsid w:val="006F04C2"/>
    <w:rsid w:val="006F14A8"/>
    <w:rsid w:val="006F2924"/>
    <w:rsid w:val="006F2AB6"/>
    <w:rsid w:val="006F333F"/>
    <w:rsid w:val="006F3862"/>
    <w:rsid w:val="006F441A"/>
    <w:rsid w:val="006F5ED0"/>
    <w:rsid w:val="00700359"/>
    <w:rsid w:val="007017E5"/>
    <w:rsid w:val="007024E4"/>
    <w:rsid w:val="00702A6A"/>
    <w:rsid w:val="00703EB5"/>
    <w:rsid w:val="007048C9"/>
    <w:rsid w:val="00710FD0"/>
    <w:rsid w:val="00713D3D"/>
    <w:rsid w:val="007217E3"/>
    <w:rsid w:val="007237E9"/>
    <w:rsid w:val="00727F82"/>
    <w:rsid w:val="00730403"/>
    <w:rsid w:val="00730F9D"/>
    <w:rsid w:val="00734035"/>
    <w:rsid w:val="00736E99"/>
    <w:rsid w:val="007423B3"/>
    <w:rsid w:val="00745D31"/>
    <w:rsid w:val="007539E0"/>
    <w:rsid w:val="00754985"/>
    <w:rsid w:val="00755869"/>
    <w:rsid w:val="00756548"/>
    <w:rsid w:val="00762B9D"/>
    <w:rsid w:val="00765D85"/>
    <w:rsid w:val="00771B32"/>
    <w:rsid w:val="0077255F"/>
    <w:rsid w:val="007751EA"/>
    <w:rsid w:val="007842B6"/>
    <w:rsid w:val="007854BF"/>
    <w:rsid w:val="00786D87"/>
    <w:rsid w:val="007939F7"/>
    <w:rsid w:val="0079417D"/>
    <w:rsid w:val="00795473"/>
    <w:rsid w:val="007979FD"/>
    <w:rsid w:val="00797F44"/>
    <w:rsid w:val="007A2B01"/>
    <w:rsid w:val="007B3A50"/>
    <w:rsid w:val="007B7A31"/>
    <w:rsid w:val="007C2D34"/>
    <w:rsid w:val="007C6052"/>
    <w:rsid w:val="007C717C"/>
    <w:rsid w:val="007D1FB2"/>
    <w:rsid w:val="007D65EA"/>
    <w:rsid w:val="007D6751"/>
    <w:rsid w:val="007E2240"/>
    <w:rsid w:val="007E2748"/>
    <w:rsid w:val="007E3AFF"/>
    <w:rsid w:val="007E68CB"/>
    <w:rsid w:val="007F190C"/>
    <w:rsid w:val="00802997"/>
    <w:rsid w:val="00806B66"/>
    <w:rsid w:val="00810C52"/>
    <w:rsid w:val="008126C7"/>
    <w:rsid w:val="008219B5"/>
    <w:rsid w:val="0082516C"/>
    <w:rsid w:val="0082561D"/>
    <w:rsid w:val="008260DD"/>
    <w:rsid w:val="0082615E"/>
    <w:rsid w:val="00831C53"/>
    <w:rsid w:val="0083759B"/>
    <w:rsid w:val="008403B0"/>
    <w:rsid w:val="008416D8"/>
    <w:rsid w:val="00842611"/>
    <w:rsid w:val="00843481"/>
    <w:rsid w:val="0084432E"/>
    <w:rsid w:val="0085209A"/>
    <w:rsid w:val="0085295D"/>
    <w:rsid w:val="00857388"/>
    <w:rsid w:val="00860EB5"/>
    <w:rsid w:val="00860EE1"/>
    <w:rsid w:val="00860F0A"/>
    <w:rsid w:val="0086228B"/>
    <w:rsid w:val="00864C99"/>
    <w:rsid w:val="00866192"/>
    <w:rsid w:val="0086646F"/>
    <w:rsid w:val="0086753B"/>
    <w:rsid w:val="008733BE"/>
    <w:rsid w:val="00873CF7"/>
    <w:rsid w:val="0087616E"/>
    <w:rsid w:val="008834B5"/>
    <w:rsid w:val="008842F1"/>
    <w:rsid w:val="00884343"/>
    <w:rsid w:val="008845A7"/>
    <w:rsid w:val="008865B1"/>
    <w:rsid w:val="00887692"/>
    <w:rsid w:val="00890C72"/>
    <w:rsid w:val="00894004"/>
    <w:rsid w:val="00897E08"/>
    <w:rsid w:val="008A03ED"/>
    <w:rsid w:val="008B2729"/>
    <w:rsid w:val="008B28BF"/>
    <w:rsid w:val="008B66AF"/>
    <w:rsid w:val="008C1A0E"/>
    <w:rsid w:val="008C3DED"/>
    <w:rsid w:val="008C428B"/>
    <w:rsid w:val="008C4EB5"/>
    <w:rsid w:val="008C64B6"/>
    <w:rsid w:val="008C6A83"/>
    <w:rsid w:val="008D6F6B"/>
    <w:rsid w:val="008E0392"/>
    <w:rsid w:val="008E3229"/>
    <w:rsid w:val="008E4B03"/>
    <w:rsid w:val="008E5686"/>
    <w:rsid w:val="008E5D9F"/>
    <w:rsid w:val="008F00BD"/>
    <w:rsid w:val="008F017D"/>
    <w:rsid w:val="008F24AC"/>
    <w:rsid w:val="008F2530"/>
    <w:rsid w:val="008F26E3"/>
    <w:rsid w:val="008F45AF"/>
    <w:rsid w:val="008F4FED"/>
    <w:rsid w:val="008F55F7"/>
    <w:rsid w:val="00902B91"/>
    <w:rsid w:val="00907392"/>
    <w:rsid w:val="0090761A"/>
    <w:rsid w:val="00907E88"/>
    <w:rsid w:val="00911B3F"/>
    <w:rsid w:val="00915212"/>
    <w:rsid w:val="00920D51"/>
    <w:rsid w:val="009228F4"/>
    <w:rsid w:val="009259DC"/>
    <w:rsid w:val="00932BEC"/>
    <w:rsid w:val="00932F42"/>
    <w:rsid w:val="009348EB"/>
    <w:rsid w:val="009404D7"/>
    <w:rsid w:val="009419C2"/>
    <w:rsid w:val="00946C9E"/>
    <w:rsid w:val="00946CA2"/>
    <w:rsid w:val="009551B2"/>
    <w:rsid w:val="00957ABF"/>
    <w:rsid w:val="009619F3"/>
    <w:rsid w:val="009644F7"/>
    <w:rsid w:val="00966F09"/>
    <w:rsid w:val="00967BE4"/>
    <w:rsid w:val="00972121"/>
    <w:rsid w:val="00972187"/>
    <w:rsid w:val="00972203"/>
    <w:rsid w:val="009736FD"/>
    <w:rsid w:val="00973D2C"/>
    <w:rsid w:val="009773B3"/>
    <w:rsid w:val="00981567"/>
    <w:rsid w:val="0098371C"/>
    <w:rsid w:val="00983CF6"/>
    <w:rsid w:val="00992919"/>
    <w:rsid w:val="00992A02"/>
    <w:rsid w:val="009965CE"/>
    <w:rsid w:val="00996821"/>
    <w:rsid w:val="009974EA"/>
    <w:rsid w:val="009A1227"/>
    <w:rsid w:val="009A35CE"/>
    <w:rsid w:val="009A3823"/>
    <w:rsid w:val="009A3C70"/>
    <w:rsid w:val="009B0AFF"/>
    <w:rsid w:val="009B6C41"/>
    <w:rsid w:val="009B788B"/>
    <w:rsid w:val="009C0AF4"/>
    <w:rsid w:val="009C33F3"/>
    <w:rsid w:val="009C7FD6"/>
    <w:rsid w:val="009D05BF"/>
    <w:rsid w:val="009D3655"/>
    <w:rsid w:val="009D58AA"/>
    <w:rsid w:val="009D708F"/>
    <w:rsid w:val="009E0A25"/>
    <w:rsid w:val="009E0A2B"/>
    <w:rsid w:val="009E1437"/>
    <w:rsid w:val="009E2031"/>
    <w:rsid w:val="009E3195"/>
    <w:rsid w:val="009E4D94"/>
    <w:rsid w:val="009F2BF1"/>
    <w:rsid w:val="009F5689"/>
    <w:rsid w:val="00A01492"/>
    <w:rsid w:val="00A0213A"/>
    <w:rsid w:val="00A027A5"/>
    <w:rsid w:val="00A061E7"/>
    <w:rsid w:val="00A16750"/>
    <w:rsid w:val="00A2162A"/>
    <w:rsid w:val="00A22486"/>
    <w:rsid w:val="00A3514C"/>
    <w:rsid w:val="00A36217"/>
    <w:rsid w:val="00A369F0"/>
    <w:rsid w:val="00A378D1"/>
    <w:rsid w:val="00A37ED9"/>
    <w:rsid w:val="00A45BF5"/>
    <w:rsid w:val="00A472C2"/>
    <w:rsid w:val="00A47C79"/>
    <w:rsid w:val="00A53E83"/>
    <w:rsid w:val="00A54B33"/>
    <w:rsid w:val="00A60FA4"/>
    <w:rsid w:val="00A61564"/>
    <w:rsid w:val="00A644AC"/>
    <w:rsid w:val="00A662F3"/>
    <w:rsid w:val="00A72075"/>
    <w:rsid w:val="00A731C5"/>
    <w:rsid w:val="00A73A1C"/>
    <w:rsid w:val="00A7696E"/>
    <w:rsid w:val="00A77866"/>
    <w:rsid w:val="00A82785"/>
    <w:rsid w:val="00A83095"/>
    <w:rsid w:val="00A84CE1"/>
    <w:rsid w:val="00A853D7"/>
    <w:rsid w:val="00A8585F"/>
    <w:rsid w:val="00A9393C"/>
    <w:rsid w:val="00A94FCE"/>
    <w:rsid w:val="00A9540A"/>
    <w:rsid w:val="00A96F73"/>
    <w:rsid w:val="00A970A7"/>
    <w:rsid w:val="00AA2B20"/>
    <w:rsid w:val="00AA3440"/>
    <w:rsid w:val="00AA6BD7"/>
    <w:rsid w:val="00AB07B1"/>
    <w:rsid w:val="00AB0EA3"/>
    <w:rsid w:val="00AB3E41"/>
    <w:rsid w:val="00AB535B"/>
    <w:rsid w:val="00AB67AF"/>
    <w:rsid w:val="00AB6B91"/>
    <w:rsid w:val="00AC45C6"/>
    <w:rsid w:val="00AC67D1"/>
    <w:rsid w:val="00AD318A"/>
    <w:rsid w:val="00AD7827"/>
    <w:rsid w:val="00AD78AC"/>
    <w:rsid w:val="00AE32A6"/>
    <w:rsid w:val="00AE5863"/>
    <w:rsid w:val="00AE74FD"/>
    <w:rsid w:val="00AF09D8"/>
    <w:rsid w:val="00AF1D88"/>
    <w:rsid w:val="00AF3257"/>
    <w:rsid w:val="00AF36C9"/>
    <w:rsid w:val="00AF3F68"/>
    <w:rsid w:val="00AF4B5C"/>
    <w:rsid w:val="00AF5B91"/>
    <w:rsid w:val="00AF621E"/>
    <w:rsid w:val="00B06A3A"/>
    <w:rsid w:val="00B07D18"/>
    <w:rsid w:val="00B107DC"/>
    <w:rsid w:val="00B10E8E"/>
    <w:rsid w:val="00B10EFA"/>
    <w:rsid w:val="00B2409C"/>
    <w:rsid w:val="00B2575C"/>
    <w:rsid w:val="00B26E75"/>
    <w:rsid w:val="00B329FC"/>
    <w:rsid w:val="00B33C83"/>
    <w:rsid w:val="00B352CC"/>
    <w:rsid w:val="00B443CA"/>
    <w:rsid w:val="00B520E6"/>
    <w:rsid w:val="00B53F31"/>
    <w:rsid w:val="00B54843"/>
    <w:rsid w:val="00B56371"/>
    <w:rsid w:val="00B6135D"/>
    <w:rsid w:val="00B649E4"/>
    <w:rsid w:val="00B64C1A"/>
    <w:rsid w:val="00B660E6"/>
    <w:rsid w:val="00B67550"/>
    <w:rsid w:val="00B71F72"/>
    <w:rsid w:val="00B74C71"/>
    <w:rsid w:val="00B75559"/>
    <w:rsid w:val="00B81A2A"/>
    <w:rsid w:val="00B81B79"/>
    <w:rsid w:val="00B82E32"/>
    <w:rsid w:val="00B83F42"/>
    <w:rsid w:val="00B84042"/>
    <w:rsid w:val="00B91238"/>
    <w:rsid w:val="00B9367E"/>
    <w:rsid w:val="00B94B67"/>
    <w:rsid w:val="00BA4489"/>
    <w:rsid w:val="00BA4524"/>
    <w:rsid w:val="00BA7D97"/>
    <w:rsid w:val="00BB03BA"/>
    <w:rsid w:val="00BB5311"/>
    <w:rsid w:val="00BB753C"/>
    <w:rsid w:val="00BB7D31"/>
    <w:rsid w:val="00BB7DE5"/>
    <w:rsid w:val="00BC345C"/>
    <w:rsid w:val="00BC5E18"/>
    <w:rsid w:val="00BD0775"/>
    <w:rsid w:val="00BD202F"/>
    <w:rsid w:val="00BE242A"/>
    <w:rsid w:val="00BE31F9"/>
    <w:rsid w:val="00BE69F1"/>
    <w:rsid w:val="00BE7EA3"/>
    <w:rsid w:val="00BF3836"/>
    <w:rsid w:val="00BF3F88"/>
    <w:rsid w:val="00BF5428"/>
    <w:rsid w:val="00BF583B"/>
    <w:rsid w:val="00BF77D6"/>
    <w:rsid w:val="00C01E2D"/>
    <w:rsid w:val="00C116C5"/>
    <w:rsid w:val="00C14971"/>
    <w:rsid w:val="00C14AD1"/>
    <w:rsid w:val="00C15F59"/>
    <w:rsid w:val="00C168F9"/>
    <w:rsid w:val="00C16C7A"/>
    <w:rsid w:val="00C208BF"/>
    <w:rsid w:val="00C21397"/>
    <w:rsid w:val="00C21B6E"/>
    <w:rsid w:val="00C27E10"/>
    <w:rsid w:val="00C3022C"/>
    <w:rsid w:val="00C32A88"/>
    <w:rsid w:val="00C33B92"/>
    <w:rsid w:val="00C350D8"/>
    <w:rsid w:val="00C37F31"/>
    <w:rsid w:val="00C40FF3"/>
    <w:rsid w:val="00C6138F"/>
    <w:rsid w:val="00C62304"/>
    <w:rsid w:val="00C63D85"/>
    <w:rsid w:val="00C7133F"/>
    <w:rsid w:val="00C71B83"/>
    <w:rsid w:val="00C77379"/>
    <w:rsid w:val="00C77C99"/>
    <w:rsid w:val="00C80C8F"/>
    <w:rsid w:val="00C81D7B"/>
    <w:rsid w:val="00C8259F"/>
    <w:rsid w:val="00C9069C"/>
    <w:rsid w:val="00C957FF"/>
    <w:rsid w:val="00CA60A0"/>
    <w:rsid w:val="00CA7E92"/>
    <w:rsid w:val="00CB0FE1"/>
    <w:rsid w:val="00CB3A6E"/>
    <w:rsid w:val="00CB439B"/>
    <w:rsid w:val="00CB646F"/>
    <w:rsid w:val="00CB7A19"/>
    <w:rsid w:val="00CC0612"/>
    <w:rsid w:val="00CC4862"/>
    <w:rsid w:val="00CC4BCA"/>
    <w:rsid w:val="00CD3A35"/>
    <w:rsid w:val="00CE0FEE"/>
    <w:rsid w:val="00CE3BDE"/>
    <w:rsid w:val="00CE508F"/>
    <w:rsid w:val="00CE53E5"/>
    <w:rsid w:val="00CE5745"/>
    <w:rsid w:val="00CE63D0"/>
    <w:rsid w:val="00CE765F"/>
    <w:rsid w:val="00CF3BB0"/>
    <w:rsid w:val="00CF78DD"/>
    <w:rsid w:val="00D03604"/>
    <w:rsid w:val="00D05F06"/>
    <w:rsid w:val="00D110F2"/>
    <w:rsid w:val="00D15ABA"/>
    <w:rsid w:val="00D161DE"/>
    <w:rsid w:val="00D2312C"/>
    <w:rsid w:val="00D2465F"/>
    <w:rsid w:val="00D25689"/>
    <w:rsid w:val="00D25C4E"/>
    <w:rsid w:val="00D33B16"/>
    <w:rsid w:val="00D362C9"/>
    <w:rsid w:val="00D3640D"/>
    <w:rsid w:val="00D3681D"/>
    <w:rsid w:val="00D369F5"/>
    <w:rsid w:val="00D37DB3"/>
    <w:rsid w:val="00D4436B"/>
    <w:rsid w:val="00D5343F"/>
    <w:rsid w:val="00D54022"/>
    <w:rsid w:val="00D559AB"/>
    <w:rsid w:val="00D55B2E"/>
    <w:rsid w:val="00D55E3B"/>
    <w:rsid w:val="00D57356"/>
    <w:rsid w:val="00D62CA2"/>
    <w:rsid w:val="00D67560"/>
    <w:rsid w:val="00D73988"/>
    <w:rsid w:val="00D772B0"/>
    <w:rsid w:val="00D808A0"/>
    <w:rsid w:val="00D80F49"/>
    <w:rsid w:val="00D8624F"/>
    <w:rsid w:val="00D86DC6"/>
    <w:rsid w:val="00D87CEF"/>
    <w:rsid w:val="00D92D37"/>
    <w:rsid w:val="00D93FA8"/>
    <w:rsid w:val="00D96964"/>
    <w:rsid w:val="00D9768D"/>
    <w:rsid w:val="00DA344E"/>
    <w:rsid w:val="00DA36EB"/>
    <w:rsid w:val="00DA5544"/>
    <w:rsid w:val="00DB011F"/>
    <w:rsid w:val="00DB0265"/>
    <w:rsid w:val="00DB6101"/>
    <w:rsid w:val="00DB624C"/>
    <w:rsid w:val="00DB6F5A"/>
    <w:rsid w:val="00DC141B"/>
    <w:rsid w:val="00DC27FE"/>
    <w:rsid w:val="00DC4548"/>
    <w:rsid w:val="00DC6260"/>
    <w:rsid w:val="00DC66C2"/>
    <w:rsid w:val="00DC6BC2"/>
    <w:rsid w:val="00DC7EE0"/>
    <w:rsid w:val="00DD20F3"/>
    <w:rsid w:val="00DD3C69"/>
    <w:rsid w:val="00DD423D"/>
    <w:rsid w:val="00DD7FB4"/>
    <w:rsid w:val="00DE1372"/>
    <w:rsid w:val="00DE2304"/>
    <w:rsid w:val="00DE2A2C"/>
    <w:rsid w:val="00DE3591"/>
    <w:rsid w:val="00DE3D4F"/>
    <w:rsid w:val="00DE6065"/>
    <w:rsid w:val="00DF4710"/>
    <w:rsid w:val="00DF5F9F"/>
    <w:rsid w:val="00E02CE7"/>
    <w:rsid w:val="00E02E99"/>
    <w:rsid w:val="00E06907"/>
    <w:rsid w:val="00E06B5C"/>
    <w:rsid w:val="00E07D11"/>
    <w:rsid w:val="00E108C5"/>
    <w:rsid w:val="00E1206A"/>
    <w:rsid w:val="00E216B5"/>
    <w:rsid w:val="00E23BCD"/>
    <w:rsid w:val="00E262D3"/>
    <w:rsid w:val="00E30C06"/>
    <w:rsid w:val="00E30E14"/>
    <w:rsid w:val="00E32923"/>
    <w:rsid w:val="00E3373D"/>
    <w:rsid w:val="00E34602"/>
    <w:rsid w:val="00E37028"/>
    <w:rsid w:val="00E4054C"/>
    <w:rsid w:val="00E40D03"/>
    <w:rsid w:val="00E41AF9"/>
    <w:rsid w:val="00E43022"/>
    <w:rsid w:val="00E457FB"/>
    <w:rsid w:val="00E47D99"/>
    <w:rsid w:val="00E51197"/>
    <w:rsid w:val="00E51CE6"/>
    <w:rsid w:val="00E543BC"/>
    <w:rsid w:val="00E549C0"/>
    <w:rsid w:val="00E559F0"/>
    <w:rsid w:val="00E606B1"/>
    <w:rsid w:val="00E62E16"/>
    <w:rsid w:val="00E66272"/>
    <w:rsid w:val="00E7267E"/>
    <w:rsid w:val="00E7378F"/>
    <w:rsid w:val="00E74EB2"/>
    <w:rsid w:val="00E7532B"/>
    <w:rsid w:val="00E75F27"/>
    <w:rsid w:val="00E764D9"/>
    <w:rsid w:val="00E900FC"/>
    <w:rsid w:val="00E95002"/>
    <w:rsid w:val="00E959F4"/>
    <w:rsid w:val="00E95B18"/>
    <w:rsid w:val="00EA33AF"/>
    <w:rsid w:val="00EA3A16"/>
    <w:rsid w:val="00EA3E7F"/>
    <w:rsid w:val="00EA5B35"/>
    <w:rsid w:val="00EA6A26"/>
    <w:rsid w:val="00EA6AEE"/>
    <w:rsid w:val="00EB00BF"/>
    <w:rsid w:val="00EB04EF"/>
    <w:rsid w:val="00EB0B44"/>
    <w:rsid w:val="00EB1BC6"/>
    <w:rsid w:val="00EB4947"/>
    <w:rsid w:val="00EB63FA"/>
    <w:rsid w:val="00EB65AE"/>
    <w:rsid w:val="00EC04AB"/>
    <w:rsid w:val="00EC0E0E"/>
    <w:rsid w:val="00EC1FE8"/>
    <w:rsid w:val="00EC424E"/>
    <w:rsid w:val="00EC5DB1"/>
    <w:rsid w:val="00EC5EE3"/>
    <w:rsid w:val="00ED4C3A"/>
    <w:rsid w:val="00ED6047"/>
    <w:rsid w:val="00EE0584"/>
    <w:rsid w:val="00EE7A2F"/>
    <w:rsid w:val="00EF1740"/>
    <w:rsid w:val="00EF3720"/>
    <w:rsid w:val="00EF48FF"/>
    <w:rsid w:val="00F019D8"/>
    <w:rsid w:val="00F01C06"/>
    <w:rsid w:val="00F02F31"/>
    <w:rsid w:val="00F06736"/>
    <w:rsid w:val="00F069EA"/>
    <w:rsid w:val="00F1057E"/>
    <w:rsid w:val="00F13C69"/>
    <w:rsid w:val="00F142E1"/>
    <w:rsid w:val="00F1494F"/>
    <w:rsid w:val="00F15152"/>
    <w:rsid w:val="00F1692F"/>
    <w:rsid w:val="00F211E0"/>
    <w:rsid w:val="00F238B7"/>
    <w:rsid w:val="00F24210"/>
    <w:rsid w:val="00F2447D"/>
    <w:rsid w:val="00F24777"/>
    <w:rsid w:val="00F252A6"/>
    <w:rsid w:val="00F26FD2"/>
    <w:rsid w:val="00F3043E"/>
    <w:rsid w:val="00F339B8"/>
    <w:rsid w:val="00F34FB8"/>
    <w:rsid w:val="00F37FDC"/>
    <w:rsid w:val="00F426EC"/>
    <w:rsid w:val="00F431CF"/>
    <w:rsid w:val="00F43D4C"/>
    <w:rsid w:val="00F44AF7"/>
    <w:rsid w:val="00F44B00"/>
    <w:rsid w:val="00F47417"/>
    <w:rsid w:val="00F47CBC"/>
    <w:rsid w:val="00F50173"/>
    <w:rsid w:val="00F52F91"/>
    <w:rsid w:val="00F620F0"/>
    <w:rsid w:val="00F6212F"/>
    <w:rsid w:val="00F645FD"/>
    <w:rsid w:val="00F66F8C"/>
    <w:rsid w:val="00F67185"/>
    <w:rsid w:val="00F74FB6"/>
    <w:rsid w:val="00F771F5"/>
    <w:rsid w:val="00F80A65"/>
    <w:rsid w:val="00F80FD2"/>
    <w:rsid w:val="00F8346D"/>
    <w:rsid w:val="00F83DEB"/>
    <w:rsid w:val="00F86647"/>
    <w:rsid w:val="00F86AB1"/>
    <w:rsid w:val="00F91DB0"/>
    <w:rsid w:val="00F92161"/>
    <w:rsid w:val="00F95A1E"/>
    <w:rsid w:val="00F96FBB"/>
    <w:rsid w:val="00F97ACA"/>
    <w:rsid w:val="00FA34F7"/>
    <w:rsid w:val="00FA3F37"/>
    <w:rsid w:val="00FB0B9C"/>
    <w:rsid w:val="00FB1751"/>
    <w:rsid w:val="00FC0508"/>
    <w:rsid w:val="00FC3371"/>
    <w:rsid w:val="00FC36A6"/>
    <w:rsid w:val="00FC6EDF"/>
    <w:rsid w:val="00FD0F3E"/>
    <w:rsid w:val="00FD257F"/>
    <w:rsid w:val="00FD4125"/>
    <w:rsid w:val="00FE6C6C"/>
    <w:rsid w:val="00FE6FA0"/>
    <w:rsid w:val="00FE72B4"/>
    <w:rsid w:val="00FF002B"/>
    <w:rsid w:val="00FF6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D7EA2"/>
  <w15:docId w15:val="{793A9B5B-14A6-46D8-8365-CD9A38C4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F44"/>
    <w:pPr>
      <w:spacing w:after="160" w:line="259" w:lineRule="auto"/>
      <w:jc w:val="both"/>
    </w:pPr>
    <w:rPr>
      <w:rFonts w:ascii="Times New Roman" w:hAnsi="Times New Roman"/>
      <w:sz w:val="22"/>
      <w:szCs w:val="22"/>
      <w:lang w:eastAsia="en-US"/>
    </w:rPr>
  </w:style>
  <w:style w:type="paragraph" w:styleId="Heading1">
    <w:name w:val="heading 1"/>
    <w:basedOn w:val="Section"/>
    <w:next w:val="Normal"/>
    <w:link w:val="Heading1Char"/>
    <w:uiPriority w:val="9"/>
    <w:qFormat/>
    <w:rsid w:val="002B2A02"/>
    <w:pPr>
      <w:keepNext/>
      <w:keepLines/>
      <w:spacing w:before="240" w:after="0"/>
      <w:outlineLvl w:val="0"/>
    </w:pPr>
    <w:rPr>
      <w:rFonts w:eastAsiaTheme="majorEastAsia" w:cstheme="majorBidi"/>
      <w:szCs w:val="32"/>
    </w:rPr>
  </w:style>
  <w:style w:type="paragraph" w:styleId="Heading2">
    <w:name w:val="heading 2"/>
    <w:basedOn w:val="Subsection"/>
    <w:next w:val="Normal"/>
    <w:link w:val="Heading2Char"/>
    <w:uiPriority w:val="9"/>
    <w:unhideWhenUsed/>
    <w:qFormat/>
    <w:rsid w:val="002B2A02"/>
    <w:pPr>
      <w:keepNext/>
      <w:keepLines/>
      <w:spacing w:before="40" w:after="0"/>
      <w:outlineLvl w:val="1"/>
    </w:pPr>
    <w:rPr>
      <w:rFonts w:eastAsiaTheme="majorEastAsia" w:cstheme="majorBidi"/>
      <w:szCs w:val="26"/>
    </w:rPr>
  </w:style>
  <w:style w:type="paragraph" w:styleId="Heading3">
    <w:name w:val="heading 3"/>
    <w:basedOn w:val="Heading2"/>
    <w:next w:val="Normal"/>
    <w:link w:val="Heading3Char"/>
    <w:uiPriority w:val="9"/>
    <w:unhideWhenUsed/>
    <w:qFormat/>
    <w:rsid w:val="00E3373D"/>
    <w:pPr>
      <w:outlineLvl w:val="2"/>
    </w:pPr>
    <w:rPr>
      <w:b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C21B6E"/>
    <w:pPr>
      <w:keepNext/>
      <w:keepLines/>
      <w:spacing w:before="40" w:after="40"/>
    </w:pPr>
    <w:rPr>
      <w:color w:val="404040"/>
      <w:lang w:val="en-US"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vAlign w:val="center"/>
    </w:tcPr>
    <w:tblStylePr w:type="firstRow">
      <w:pPr>
        <w:jc w:val="center"/>
      </w:pPr>
      <w:rPr>
        <w:b/>
        <w:color w:val="E7E6E6"/>
      </w:rPr>
      <w:tblPr/>
      <w:tcPr>
        <w:shd w:val="clear" w:color="auto" w:fill="6598CC"/>
      </w:tcPr>
    </w:tblStylePr>
    <w:tblStylePr w:type="firstCol">
      <w:rPr>
        <w:b/>
      </w:rPr>
    </w:tblStylePr>
    <w:tblStylePr w:type="band1Horz">
      <w:rPr>
        <w:rFonts w:ascii="Calibri" w:hAnsi="Calibri"/>
        <w:sz w:val="20"/>
      </w:rPr>
      <w:tblPr/>
      <w:tcPr>
        <w:shd w:val="clear" w:color="auto" w:fill="FBE4D5"/>
      </w:tcPr>
    </w:tblStylePr>
    <w:tblStylePr w:type="band2Horz">
      <w:tblPr/>
      <w:tcPr>
        <w:shd w:val="clear" w:color="auto" w:fill="FCFDFE"/>
      </w:tcPr>
    </w:tblStylePr>
  </w:style>
  <w:style w:type="paragraph" w:styleId="BodyText">
    <w:name w:val="Body Text"/>
    <w:basedOn w:val="Normal"/>
    <w:link w:val="BodyTextChar"/>
    <w:semiHidden/>
    <w:rsid w:val="009736FD"/>
    <w:pPr>
      <w:suppressAutoHyphens/>
      <w:spacing w:after="0" w:line="360" w:lineRule="auto"/>
    </w:pPr>
    <w:rPr>
      <w:rFonts w:eastAsia="Times New Roman"/>
      <w:sz w:val="20"/>
      <w:szCs w:val="20"/>
      <w:lang w:val="en-US"/>
    </w:rPr>
  </w:style>
  <w:style w:type="character" w:customStyle="1" w:styleId="BodyTextChar">
    <w:name w:val="Body Text Char"/>
    <w:link w:val="BodyText"/>
    <w:semiHidden/>
    <w:rsid w:val="009736FD"/>
    <w:rPr>
      <w:rFonts w:ascii="Times New Roman" w:eastAsia="Times New Roman" w:hAnsi="Times New Roman" w:cs="Times New Roman"/>
      <w:noProof/>
      <w:sz w:val="20"/>
      <w:szCs w:val="20"/>
      <w:lang w:val="en-US"/>
    </w:rPr>
  </w:style>
  <w:style w:type="character" w:styleId="BookTitle">
    <w:name w:val="Book Title"/>
    <w:uiPriority w:val="33"/>
    <w:qFormat/>
    <w:rsid w:val="005322BB"/>
    <w:rPr>
      <w:rFonts w:ascii="Calibri" w:hAnsi="Calibri"/>
      <w:b/>
      <w:bCs/>
      <w:i w:val="0"/>
      <w:iCs/>
      <w:spacing w:val="5"/>
    </w:rPr>
  </w:style>
  <w:style w:type="paragraph" w:styleId="ListParagraph">
    <w:name w:val="List Paragraph"/>
    <w:basedOn w:val="Normal"/>
    <w:uiPriority w:val="34"/>
    <w:qFormat/>
    <w:rsid w:val="005322BB"/>
    <w:pPr>
      <w:numPr>
        <w:numId w:val="4"/>
      </w:numPr>
      <w:contextualSpacing/>
    </w:pPr>
  </w:style>
  <w:style w:type="character" w:styleId="CommentReference">
    <w:name w:val="annotation reference"/>
    <w:uiPriority w:val="99"/>
    <w:semiHidden/>
    <w:unhideWhenUsed/>
    <w:rsid w:val="009A3823"/>
    <w:rPr>
      <w:sz w:val="16"/>
      <w:szCs w:val="16"/>
    </w:rPr>
  </w:style>
  <w:style w:type="paragraph" w:styleId="CommentText">
    <w:name w:val="annotation text"/>
    <w:basedOn w:val="Normal"/>
    <w:link w:val="CommentTextChar"/>
    <w:uiPriority w:val="99"/>
    <w:semiHidden/>
    <w:unhideWhenUsed/>
    <w:rsid w:val="009A3823"/>
    <w:pPr>
      <w:spacing w:line="240" w:lineRule="auto"/>
    </w:pPr>
    <w:rPr>
      <w:sz w:val="20"/>
      <w:szCs w:val="20"/>
    </w:rPr>
  </w:style>
  <w:style w:type="character" w:customStyle="1" w:styleId="CommentTextChar">
    <w:name w:val="Comment Text Char"/>
    <w:link w:val="CommentText"/>
    <w:uiPriority w:val="99"/>
    <w:semiHidden/>
    <w:rsid w:val="009A3823"/>
    <w:rPr>
      <w:sz w:val="20"/>
      <w:szCs w:val="20"/>
    </w:rPr>
  </w:style>
  <w:style w:type="paragraph" w:styleId="CommentSubject">
    <w:name w:val="annotation subject"/>
    <w:basedOn w:val="CommentText"/>
    <w:next w:val="CommentText"/>
    <w:link w:val="CommentSubjectChar"/>
    <w:uiPriority w:val="99"/>
    <w:semiHidden/>
    <w:unhideWhenUsed/>
    <w:rsid w:val="009A3823"/>
    <w:rPr>
      <w:b/>
      <w:bCs/>
    </w:rPr>
  </w:style>
  <w:style w:type="character" w:customStyle="1" w:styleId="CommentSubjectChar">
    <w:name w:val="Comment Subject Char"/>
    <w:link w:val="CommentSubject"/>
    <w:uiPriority w:val="99"/>
    <w:semiHidden/>
    <w:rsid w:val="009A3823"/>
    <w:rPr>
      <w:b/>
      <w:bCs/>
      <w:sz w:val="20"/>
      <w:szCs w:val="20"/>
    </w:rPr>
  </w:style>
  <w:style w:type="paragraph" w:styleId="BalloonText">
    <w:name w:val="Balloon Text"/>
    <w:basedOn w:val="Normal"/>
    <w:link w:val="BalloonTextChar"/>
    <w:uiPriority w:val="99"/>
    <w:semiHidden/>
    <w:unhideWhenUsed/>
    <w:rsid w:val="009A382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A3823"/>
    <w:rPr>
      <w:rFonts w:ascii="Segoe UI" w:hAnsi="Segoe UI" w:cs="Segoe UI"/>
      <w:sz w:val="18"/>
      <w:szCs w:val="18"/>
    </w:rPr>
  </w:style>
  <w:style w:type="table" w:styleId="TableGrid">
    <w:name w:val="Table Grid"/>
    <w:basedOn w:val="TableNormal"/>
    <w:uiPriority w:val="39"/>
    <w:rsid w:val="00C77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116C5"/>
    <w:pPr>
      <w:keepNext/>
      <w:spacing w:after="120" w:line="276" w:lineRule="auto"/>
      <w:jc w:val="center"/>
    </w:pPr>
    <w:rPr>
      <w:iCs/>
      <w:sz w:val="18"/>
    </w:rPr>
  </w:style>
  <w:style w:type="table" w:customStyle="1" w:styleId="Tablanormal21">
    <w:name w:val="Tabla normal 21"/>
    <w:basedOn w:val="TableNormal"/>
    <w:uiPriority w:val="42"/>
    <w:rsid w:val="009A122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uiPriority w:val="99"/>
    <w:unhideWhenUsed/>
    <w:rsid w:val="007237E9"/>
    <w:rPr>
      <w:color w:val="0000FF"/>
      <w:u w:val="single"/>
    </w:rPr>
  </w:style>
  <w:style w:type="character" w:styleId="PlaceholderText">
    <w:name w:val="Placeholder Text"/>
    <w:uiPriority w:val="99"/>
    <w:semiHidden/>
    <w:rsid w:val="00B107DC"/>
    <w:rPr>
      <w:color w:val="808080"/>
    </w:rPr>
  </w:style>
  <w:style w:type="character" w:styleId="FollowedHyperlink">
    <w:name w:val="FollowedHyperlink"/>
    <w:uiPriority w:val="99"/>
    <w:semiHidden/>
    <w:unhideWhenUsed/>
    <w:rsid w:val="00F211E0"/>
    <w:rPr>
      <w:color w:val="954F72"/>
      <w:u w:val="single"/>
    </w:rPr>
  </w:style>
  <w:style w:type="paragraph" w:styleId="FootnoteText">
    <w:name w:val="footnote text"/>
    <w:basedOn w:val="Normal"/>
    <w:link w:val="FootnoteTextChar"/>
    <w:uiPriority w:val="99"/>
    <w:semiHidden/>
    <w:unhideWhenUsed/>
    <w:rsid w:val="00577D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D73"/>
    <w:rPr>
      <w:rFonts w:ascii="Times New Roman" w:hAnsi="Times New Roman"/>
      <w:lang w:eastAsia="en-US"/>
    </w:rPr>
  </w:style>
  <w:style w:type="character" w:styleId="FootnoteReference">
    <w:name w:val="footnote reference"/>
    <w:basedOn w:val="DefaultParagraphFont"/>
    <w:uiPriority w:val="99"/>
    <w:semiHidden/>
    <w:unhideWhenUsed/>
    <w:rsid w:val="00577D73"/>
    <w:rPr>
      <w:vertAlign w:val="superscript"/>
    </w:rPr>
  </w:style>
  <w:style w:type="paragraph" w:customStyle="1" w:styleId="Section">
    <w:name w:val="Section"/>
    <w:basedOn w:val="BodyText"/>
    <w:next w:val="Heading1"/>
    <w:link w:val="SectionChar"/>
    <w:qFormat/>
    <w:rsid w:val="0050793C"/>
    <w:pPr>
      <w:numPr>
        <w:numId w:val="3"/>
      </w:numPr>
      <w:spacing w:after="120" w:line="276" w:lineRule="auto"/>
    </w:pPr>
    <w:rPr>
      <w:b/>
      <w:sz w:val="22"/>
      <w:szCs w:val="22"/>
      <w:lang w:val="en-GB"/>
    </w:rPr>
  </w:style>
  <w:style w:type="paragraph" w:customStyle="1" w:styleId="Subsection">
    <w:name w:val="Subsection"/>
    <w:basedOn w:val="Section"/>
    <w:link w:val="SubsectionChar"/>
    <w:qFormat/>
    <w:rsid w:val="0050793C"/>
    <w:pPr>
      <w:numPr>
        <w:ilvl w:val="1"/>
      </w:numPr>
    </w:pPr>
    <w:rPr>
      <w:i/>
    </w:rPr>
  </w:style>
  <w:style w:type="character" w:customStyle="1" w:styleId="SectionChar">
    <w:name w:val="Section Char"/>
    <w:basedOn w:val="BodyTextChar"/>
    <w:link w:val="Section"/>
    <w:rsid w:val="0050793C"/>
    <w:rPr>
      <w:rFonts w:ascii="Times New Roman" w:eastAsia="Times New Roman" w:hAnsi="Times New Roman" w:cs="Times New Roman"/>
      <w:b/>
      <w:noProof/>
      <w:sz w:val="22"/>
      <w:szCs w:val="22"/>
      <w:lang w:val="en-US" w:eastAsia="en-US"/>
    </w:rPr>
  </w:style>
  <w:style w:type="character" w:customStyle="1" w:styleId="Heading1Char">
    <w:name w:val="Heading 1 Char"/>
    <w:basedOn w:val="DefaultParagraphFont"/>
    <w:link w:val="Heading1"/>
    <w:uiPriority w:val="9"/>
    <w:rsid w:val="002B2A02"/>
    <w:rPr>
      <w:rFonts w:ascii="Times New Roman" w:eastAsiaTheme="majorEastAsia" w:hAnsi="Times New Roman" w:cstheme="majorBidi"/>
      <w:b/>
      <w:sz w:val="22"/>
      <w:szCs w:val="32"/>
      <w:lang w:eastAsia="en-US"/>
    </w:rPr>
  </w:style>
  <w:style w:type="character" w:customStyle="1" w:styleId="SubsectionChar">
    <w:name w:val="Subsection Char"/>
    <w:basedOn w:val="SectionChar"/>
    <w:link w:val="Subsection"/>
    <w:rsid w:val="0050793C"/>
    <w:rPr>
      <w:rFonts w:ascii="Times New Roman" w:eastAsia="Times New Roman" w:hAnsi="Times New Roman" w:cs="Times New Roman"/>
      <w:b/>
      <w:i/>
      <w:noProof/>
      <w:sz w:val="22"/>
      <w:szCs w:val="22"/>
      <w:lang w:val="en-US" w:eastAsia="en-US"/>
    </w:rPr>
  </w:style>
  <w:style w:type="paragraph" w:styleId="NoSpacing">
    <w:name w:val="No Spacing"/>
    <w:uiPriority w:val="1"/>
    <w:qFormat/>
    <w:rsid w:val="00F3043E"/>
    <w:rPr>
      <w:rFonts w:ascii="Times New Roman" w:hAnsi="Times New Roman"/>
      <w:sz w:val="22"/>
      <w:szCs w:val="22"/>
      <w:lang w:eastAsia="en-US"/>
    </w:rPr>
  </w:style>
  <w:style w:type="character" w:styleId="EndnoteReference">
    <w:name w:val="endnote reference"/>
    <w:basedOn w:val="DefaultParagraphFont"/>
    <w:uiPriority w:val="99"/>
    <w:semiHidden/>
    <w:unhideWhenUsed/>
    <w:rsid w:val="00DE2A2C"/>
    <w:rPr>
      <w:vertAlign w:val="superscript"/>
    </w:rPr>
  </w:style>
  <w:style w:type="character" w:customStyle="1" w:styleId="Heading2Char">
    <w:name w:val="Heading 2 Char"/>
    <w:basedOn w:val="DefaultParagraphFont"/>
    <w:link w:val="Heading2"/>
    <w:uiPriority w:val="9"/>
    <w:rsid w:val="002B2A02"/>
    <w:rPr>
      <w:rFonts w:ascii="Times New Roman" w:eastAsiaTheme="majorEastAsia" w:hAnsi="Times New Roman" w:cstheme="majorBidi"/>
      <w:b/>
      <w:i/>
      <w:sz w:val="22"/>
      <w:szCs w:val="26"/>
      <w:lang w:eastAsia="en-US"/>
    </w:rPr>
  </w:style>
  <w:style w:type="character" w:customStyle="1" w:styleId="Heading3Char">
    <w:name w:val="Heading 3 Char"/>
    <w:basedOn w:val="DefaultParagraphFont"/>
    <w:link w:val="Heading3"/>
    <w:uiPriority w:val="9"/>
    <w:rsid w:val="00E3373D"/>
    <w:rPr>
      <w:rFonts w:ascii="Times New Roman" w:eastAsiaTheme="majorEastAsia" w:hAnsi="Times New Roman" w:cstheme="majorBidi"/>
      <w:i/>
      <w:sz w:val="22"/>
      <w:szCs w:val="24"/>
      <w:lang w:eastAsia="en-US"/>
    </w:rPr>
  </w:style>
  <w:style w:type="character" w:styleId="LineNumber">
    <w:name w:val="line number"/>
    <w:basedOn w:val="DefaultParagraphFont"/>
    <w:uiPriority w:val="99"/>
    <w:semiHidden/>
    <w:unhideWhenUsed/>
    <w:rsid w:val="00BE7EA3"/>
  </w:style>
  <w:style w:type="paragraph" w:styleId="Revision">
    <w:name w:val="Revision"/>
    <w:hidden/>
    <w:uiPriority w:val="99"/>
    <w:semiHidden/>
    <w:rsid w:val="00294D39"/>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30397">
      <w:bodyDiv w:val="1"/>
      <w:marLeft w:val="0"/>
      <w:marRight w:val="0"/>
      <w:marTop w:val="0"/>
      <w:marBottom w:val="0"/>
      <w:divBdr>
        <w:top w:val="none" w:sz="0" w:space="0" w:color="auto"/>
        <w:left w:val="none" w:sz="0" w:space="0" w:color="auto"/>
        <w:bottom w:val="none" w:sz="0" w:space="0" w:color="auto"/>
        <w:right w:val="none" w:sz="0" w:space="0" w:color="auto"/>
      </w:divBdr>
    </w:div>
    <w:div w:id="248082643">
      <w:bodyDiv w:val="1"/>
      <w:marLeft w:val="0"/>
      <w:marRight w:val="0"/>
      <w:marTop w:val="0"/>
      <w:marBottom w:val="0"/>
      <w:divBdr>
        <w:top w:val="none" w:sz="0" w:space="0" w:color="auto"/>
        <w:left w:val="none" w:sz="0" w:space="0" w:color="auto"/>
        <w:bottom w:val="none" w:sz="0" w:space="0" w:color="auto"/>
        <w:right w:val="none" w:sz="0" w:space="0" w:color="auto"/>
      </w:divBdr>
    </w:div>
    <w:div w:id="423500316">
      <w:bodyDiv w:val="1"/>
      <w:marLeft w:val="0"/>
      <w:marRight w:val="0"/>
      <w:marTop w:val="0"/>
      <w:marBottom w:val="0"/>
      <w:divBdr>
        <w:top w:val="none" w:sz="0" w:space="0" w:color="auto"/>
        <w:left w:val="none" w:sz="0" w:space="0" w:color="auto"/>
        <w:bottom w:val="none" w:sz="0" w:space="0" w:color="auto"/>
        <w:right w:val="none" w:sz="0" w:space="0" w:color="auto"/>
      </w:divBdr>
    </w:div>
    <w:div w:id="1014380682">
      <w:bodyDiv w:val="1"/>
      <w:marLeft w:val="0"/>
      <w:marRight w:val="0"/>
      <w:marTop w:val="0"/>
      <w:marBottom w:val="0"/>
      <w:divBdr>
        <w:top w:val="none" w:sz="0" w:space="0" w:color="auto"/>
        <w:left w:val="none" w:sz="0" w:space="0" w:color="auto"/>
        <w:bottom w:val="none" w:sz="0" w:space="0" w:color="auto"/>
        <w:right w:val="none" w:sz="0" w:space="0" w:color="auto"/>
      </w:divBdr>
    </w:div>
    <w:div w:id="1105539401">
      <w:bodyDiv w:val="1"/>
      <w:marLeft w:val="0"/>
      <w:marRight w:val="0"/>
      <w:marTop w:val="0"/>
      <w:marBottom w:val="0"/>
      <w:divBdr>
        <w:top w:val="none" w:sz="0" w:space="0" w:color="auto"/>
        <w:left w:val="none" w:sz="0" w:space="0" w:color="auto"/>
        <w:bottom w:val="none" w:sz="0" w:space="0" w:color="auto"/>
        <w:right w:val="none" w:sz="0" w:space="0" w:color="auto"/>
      </w:divBdr>
    </w:div>
    <w:div w:id="1131561278">
      <w:bodyDiv w:val="1"/>
      <w:marLeft w:val="0"/>
      <w:marRight w:val="0"/>
      <w:marTop w:val="0"/>
      <w:marBottom w:val="0"/>
      <w:divBdr>
        <w:top w:val="none" w:sz="0" w:space="0" w:color="auto"/>
        <w:left w:val="none" w:sz="0" w:space="0" w:color="auto"/>
        <w:bottom w:val="none" w:sz="0" w:space="0" w:color="auto"/>
        <w:right w:val="none" w:sz="0" w:space="0" w:color="auto"/>
      </w:divBdr>
    </w:div>
    <w:div w:id="1264415415">
      <w:bodyDiv w:val="1"/>
      <w:marLeft w:val="0"/>
      <w:marRight w:val="0"/>
      <w:marTop w:val="0"/>
      <w:marBottom w:val="0"/>
      <w:divBdr>
        <w:top w:val="none" w:sz="0" w:space="0" w:color="auto"/>
        <w:left w:val="none" w:sz="0" w:space="0" w:color="auto"/>
        <w:bottom w:val="none" w:sz="0" w:space="0" w:color="auto"/>
        <w:right w:val="none" w:sz="0" w:space="0" w:color="auto"/>
      </w:divBdr>
    </w:div>
    <w:div w:id="1264991552">
      <w:bodyDiv w:val="1"/>
      <w:marLeft w:val="0"/>
      <w:marRight w:val="0"/>
      <w:marTop w:val="0"/>
      <w:marBottom w:val="0"/>
      <w:divBdr>
        <w:top w:val="none" w:sz="0" w:space="0" w:color="auto"/>
        <w:left w:val="none" w:sz="0" w:space="0" w:color="auto"/>
        <w:bottom w:val="none" w:sz="0" w:space="0" w:color="auto"/>
        <w:right w:val="none" w:sz="0" w:space="0" w:color="auto"/>
      </w:divBdr>
    </w:div>
    <w:div w:id="1300189692">
      <w:bodyDiv w:val="1"/>
      <w:marLeft w:val="0"/>
      <w:marRight w:val="0"/>
      <w:marTop w:val="0"/>
      <w:marBottom w:val="0"/>
      <w:divBdr>
        <w:top w:val="none" w:sz="0" w:space="0" w:color="auto"/>
        <w:left w:val="none" w:sz="0" w:space="0" w:color="auto"/>
        <w:bottom w:val="none" w:sz="0" w:space="0" w:color="auto"/>
        <w:right w:val="none" w:sz="0" w:space="0" w:color="auto"/>
      </w:divBdr>
    </w:div>
    <w:div w:id="1308314294">
      <w:bodyDiv w:val="1"/>
      <w:marLeft w:val="0"/>
      <w:marRight w:val="0"/>
      <w:marTop w:val="0"/>
      <w:marBottom w:val="0"/>
      <w:divBdr>
        <w:top w:val="none" w:sz="0" w:space="0" w:color="auto"/>
        <w:left w:val="none" w:sz="0" w:space="0" w:color="auto"/>
        <w:bottom w:val="none" w:sz="0" w:space="0" w:color="auto"/>
        <w:right w:val="none" w:sz="0" w:space="0" w:color="auto"/>
      </w:divBdr>
    </w:div>
    <w:div w:id="1565217169">
      <w:bodyDiv w:val="1"/>
      <w:marLeft w:val="0"/>
      <w:marRight w:val="0"/>
      <w:marTop w:val="0"/>
      <w:marBottom w:val="0"/>
      <w:divBdr>
        <w:top w:val="none" w:sz="0" w:space="0" w:color="auto"/>
        <w:left w:val="none" w:sz="0" w:space="0" w:color="auto"/>
        <w:bottom w:val="none" w:sz="0" w:space="0" w:color="auto"/>
        <w:right w:val="none" w:sz="0" w:space="0" w:color="auto"/>
      </w:divBdr>
    </w:div>
    <w:div w:id="1661735550">
      <w:bodyDiv w:val="1"/>
      <w:marLeft w:val="0"/>
      <w:marRight w:val="0"/>
      <w:marTop w:val="0"/>
      <w:marBottom w:val="0"/>
      <w:divBdr>
        <w:top w:val="none" w:sz="0" w:space="0" w:color="auto"/>
        <w:left w:val="none" w:sz="0" w:space="0" w:color="auto"/>
        <w:bottom w:val="none" w:sz="0" w:space="0" w:color="auto"/>
        <w:right w:val="none" w:sz="0" w:space="0" w:color="auto"/>
      </w:divBdr>
    </w:div>
    <w:div w:id="1824079568">
      <w:bodyDiv w:val="1"/>
      <w:marLeft w:val="0"/>
      <w:marRight w:val="0"/>
      <w:marTop w:val="0"/>
      <w:marBottom w:val="0"/>
      <w:divBdr>
        <w:top w:val="none" w:sz="0" w:space="0" w:color="auto"/>
        <w:left w:val="none" w:sz="0" w:space="0" w:color="auto"/>
        <w:bottom w:val="none" w:sz="0" w:space="0" w:color="auto"/>
        <w:right w:val="none" w:sz="0" w:space="0" w:color="auto"/>
      </w:divBdr>
    </w:div>
    <w:div w:id="1977251881">
      <w:bodyDiv w:val="1"/>
      <w:marLeft w:val="0"/>
      <w:marRight w:val="0"/>
      <w:marTop w:val="0"/>
      <w:marBottom w:val="0"/>
      <w:divBdr>
        <w:top w:val="none" w:sz="0" w:space="0" w:color="auto"/>
        <w:left w:val="none" w:sz="0" w:space="0" w:color="auto"/>
        <w:bottom w:val="none" w:sz="0" w:space="0" w:color="auto"/>
        <w:right w:val="none" w:sz="0" w:space="0" w:color="auto"/>
      </w:divBdr>
    </w:div>
    <w:div w:id="1988513920">
      <w:bodyDiv w:val="1"/>
      <w:marLeft w:val="0"/>
      <w:marRight w:val="0"/>
      <w:marTop w:val="0"/>
      <w:marBottom w:val="0"/>
      <w:divBdr>
        <w:top w:val="none" w:sz="0" w:space="0" w:color="auto"/>
        <w:left w:val="none" w:sz="0" w:space="0" w:color="auto"/>
        <w:bottom w:val="none" w:sz="0" w:space="0" w:color="auto"/>
        <w:right w:val="none" w:sz="0" w:space="0" w:color="auto"/>
      </w:divBdr>
    </w:div>
    <w:div w:id="2064599794">
      <w:bodyDiv w:val="1"/>
      <w:marLeft w:val="0"/>
      <w:marRight w:val="0"/>
      <w:marTop w:val="0"/>
      <w:marBottom w:val="0"/>
      <w:divBdr>
        <w:top w:val="none" w:sz="0" w:space="0" w:color="auto"/>
        <w:left w:val="none" w:sz="0" w:space="0" w:color="auto"/>
        <w:bottom w:val="none" w:sz="0" w:space="0" w:color="auto"/>
        <w:right w:val="none" w:sz="0" w:space="0" w:color="auto"/>
      </w:divBdr>
    </w:div>
    <w:div w:id="2112165000">
      <w:bodyDiv w:val="1"/>
      <w:marLeft w:val="0"/>
      <w:marRight w:val="0"/>
      <w:marTop w:val="0"/>
      <w:marBottom w:val="0"/>
      <w:divBdr>
        <w:top w:val="none" w:sz="0" w:space="0" w:color="auto"/>
        <w:left w:val="none" w:sz="0" w:space="0" w:color="auto"/>
        <w:bottom w:val="none" w:sz="0" w:space="0" w:color="auto"/>
        <w:right w:val="none" w:sz="0" w:space="0" w:color="auto"/>
      </w:divBdr>
    </w:div>
    <w:div w:id="2115242123">
      <w:bodyDiv w:val="1"/>
      <w:marLeft w:val="0"/>
      <w:marRight w:val="0"/>
      <w:marTop w:val="0"/>
      <w:marBottom w:val="0"/>
      <w:divBdr>
        <w:top w:val="none" w:sz="0" w:space="0" w:color="auto"/>
        <w:left w:val="none" w:sz="0" w:space="0" w:color="auto"/>
        <w:bottom w:val="none" w:sz="0" w:space="0" w:color="auto"/>
        <w:right w:val="none" w:sz="0" w:space="0" w:color="auto"/>
      </w:divBdr>
    </w:div>
    <w:div w:id="2126074213">
      <w:bodyDiv w:val="1"/>
      <w:marLeft w:val="0"/>
      <w:marRight w:val="0"/>
      <w:marTop w:val="0"/>
      <w:marBottom w:val="0"/>
      <w:divBdr>
        <w:top w:val="none" w:sz="0" w:space="0" w:color="auto"/>
        <w:left w:val="none" w:sz="0" w:space="0" w:color="auto"/>
        <w:bottom w:val="none" w:sz="0" w:space="0" w:color="auto"/>
        <w:right w:val="none" w:sz="0" w:space="0" w:color="auto"/>
      </w:divBdr>
    </w:div>
    <w:div w:id="213039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lcalde@geo3bcn.csic.es"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gs.com/data-library/europe/nw-europe/north-sea/"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ndr.ogauthority.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gauthority.co.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co2store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ETI16</b:Tag>
    <b:SourceType>Report</b:SourceType>
    <b:Guid>{17DD92BE-88C0-41AE-B460-F08E531B9653}</b:Guid>
    <b:Title>Progressing Development of the UK’s Strategic Carbon Dioxide Storage Resource</b:Title>
    <b:Year>2016</b:Year>
    <b:Author>
      <b:Author>
        <b:Corporate>ETI</b:Corporate>
      </b:Author>
    </b:Author>
    <b:RefOrder>2</b:RefOrder>
  </b:Source>
  <b:Source>
    <b:Tag>Yoo95</b:Tag>
    <b:SourceType>Book</b:SourceType>
    <b:Guid>{0E035201-BAC1-4445-ACCD-40F5776D7460}</b:Guid>
    <b:Author>
      <b:Author>
        <b:NameList>
          <b:Person>
            <b:Last>Yoon</b:Last>
            <b:First>P.</b:First>
            <b:Middle>K.</b:Middle>
          </b:Person>
          <b:Person>
            <b:Last>Hwang</b:Last>
            <b:First>C.</b:First>
            <b:Middle>L.</b:Middle>
          </b:Person>
        </b:NameList>
      </b:Author>
    </b:Author>
    <b:Title>Mutliple Attribute Decision Making - An Introduction</b:Title>
    <b:Year>1995</b:Year>
    <b:Publisher>Sage Publications Inc. </b:Publisher>
    <b:RefOrder>3</b:RefOrder>
  </b:Source>
</b:Sources>
</file>

<file path=customXml/itemProps1.xml><?xml version="1.0" encoding="utf-8"?>
<ds:datastoreItem xmlns:ds="http://schemas.openxmlformats.org/officeDocument/2006/customXml" ds:itemID="{C6FCA5B0-E99D-AF46-AE8B-C01E62B5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54821</Words>
  <Characters>312484</Characters>
  <Application>Microsoft Office Word</Application>
  <DocSecurity>0</DocSecurity>
  <Lines>2604</Lines>
  <Paragraphs>733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366572</CharactersWithSpaces>
  <SharedDoc>false</SharedDoc>
  <HLinks>
    <vt:vector size="30" baseType="variant">
      <vt:variant>
        <vt:i4>6029331</vt:i4>
      </vt:variant>
      <vt:variant>
        <vt:i4>39</vt:i4>
      </vt:variant>
      <vt:variant>
        <vt:i4>0</vt:i4>
      </vt:variant>
      <vt:variant>
        <vt:i4>5</vt:i4>
      </vt:variant>
      <vt:variant>
        <vt:lpwstr>https://www.pgs.com/data-library/europe/nw-europe/north-sea/</vt:lpwstr>
      </vt:variant>
      <vt:variant>
        <vt:lpwstr/>
      </vt:variant>
      <vt:variant>
        <vt:i4>524312</vt:i4>
      </vt:variant>
      <vt:variant>
        <vt:i4>36</vt:i4>
      </vt:variant>
      <vt:variant>
        <vt:i4>0</vt:i4>
      </vt:variant>
      <vt:variant>
        <vt:i4>5</vt:i4>
      </vt:variant>
      <vt:variant>
        <vt:lpwstr>http://www.ogauthority.co.uk/</vt:lpwstr>
      </vt:variant>
      <vt:variant>
        <vt:lpwstr/>
      </vt:variant>
      <vt:variant>
        <vt:i4>2293885</vt:i4>
      </vt:variant>
      <vt:variant>
        <vt:i4>6</vt:i4>
      </vt:variant>
      <vt:variant>
        <vt:i4>0</vt:i4>
      </vt:variant>
      <vt:variant>
        <vt:i4>5</vt:i4>
      </vt:variant>
      <vt:variant>
        <vt:lpwstr>https://www.sciencedirect.com/science/article/pii/S0959652619320426?via%3Dihub</vt:lpwstr>
      </vt:variant>
      <vt:variant>
        <vt:lpwstr>bib44</vt:lpwstr>
      </vt:variant>
      <vt:variant>
        <vt:i4>2359421</vt:i4>
      </vt:variant>
      <vt:variant>
        <vt:i4>3</vt:i4>
      </vt:variant>
      <vt:variant>
        <vt:i4>0</vt:i4>
      </vt:variant>
      <vt:variant>
        <vt:i4>5</vt:i4>
      </vt:variant>
      <vt:variant>
        <vt:lpwstr>https://www.sciencedirect.com/science/article/pii/S0959652619320426?via%3Dihub</vt:lpwstr>
      </vt:variant>
      <vt:variant>
        <vt:lpwstr>bib37</vt:lpwstr>
      </vt:variant>
      <vt:variant>
        <vt:i4>2293885</vt:i4>
      </vt:variant>
      <vt:variant>
        <vt:i4>0</vt:i4>
      </vt:variant>
      <vt:variant>
        <vt:i4>0</vt:i4>
      </vt:variant>
      <vt:variant>
        <vt:i4>5</vt:i4>
      </vt:variant>
      <vt:variant>
        <vt:lpwstr>https://www.sciencedirect.com/science/article/pii/S0959652619320426?via%3Dihub</vt:lpwstr>
      </vt:variant>
      <vt:variant>
        <vt:lpwstr>bib47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Alcalde</dc:creator>
  <cp:keywords/>
  <dc:description/>
  <cp:lastModifiedBy>Worden, Richard</cp:lastModifiedBy>
  <cp:revision>2</cp:revision>
  <cp:lastPrinted>2020-08-14T18:11:00Z</cp:lastPrinted>
  <dcterms:created xsi:type="dcterms:W3CDTF">2021-09-03T11:34:00Z</dcterms:created>
  <dcterms:modified xsi:type="dcterms:W3CDTF">2021-09-03T11:34:00Z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http://www.zotero.org/styles/applied-energy</vt:lpwstr>
  </property>
  <property fmtid="{D5CDD505-2E9C-101B-9397-08002B2CF9AE}" pid="7" name="Mendeley Recent Style Name 2_1">
    <vt:lpwstr>Applied Energy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http://www.zotero.org/styles/energy-and-environmental-science</vt:lpwstr>
  </property>
  <property fmtid="{D5CDD505-2E9C-101B-9397-08002B2CF9AE}" pid="13" name="Mendeley Recent Style Name 5_1">
    <vt:lpwstr>Energy &amp; Environmental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http://www.zotero.org/styles/journal-of-structural-geology</vt:lpwstr>
  </property>
  <property fmtid="{D5CDD505-2E9C-101B-9397-08002B2CF9AE}" pid="17" name="Mendeley Recent Style Name 7_1">
    <vt:lpwstr>Journal of Structural Geology</vt:lpwstr>
  </property>
  <property fmtid="{D5CDD505-2E9C-101B-9397-08002B2CF9AE}" pid="18" name="Mendeley Recent Style Id 8_1">
    <vt:lpwstr>http://www.zotero.org/styles/marine-and-petroleum-geology</vt:lpwstr>
  </property>
  <property fmtid="{D5CDD505-2E9C-101B-9397-08002B2CF9AE}" pid="19" name="Mendeley Recent Style Name 8_1">
    <vt:lpwstr>Marine and Petroleum Geology</vt:lpwstr>
  </property>
  <property fmtid="{D5CDD505-2E9C-101B-9397-08002B2CF9AE}" pid="20" name="Mendeley Recent Style Id 9_1">
    <vt:lpwstr>http://www.zotero.org/styles/renewable-and-sustainable-energy-reviews</vt:lpwstr>
  </property>
  <property fmtid="{D5CDD505-2E9C-101B-9397-08002B2CF9AE}" pid="21" name="Mendeley Recent Style Name 9_1">
    <vt:lpwstr>Renewable and Sustainable Energy Reviews</vt:lpwstr>
  </property>
  <property fmtid="{D5CDD505-2E9C-101B-9397-08002B2CF9AE}" pid="22" name="Mendeley Document_1">
    <vt:lpwstr>True</vt:lpwstr>
  </property>
  <property fmtid="{D5CDD505-2E9C-101B-9397-08002B2CF9AE}" pid="23" name="Mendeley Citation Style_1">
    <vt:lpwstr>http://www.zotero.org/styles/marine-and-petroleum-geology</vt:lpwstr>
  </property>
  <property fmtid="{D5CDD505-2E9C-101B-9397-08002B2CF9AE}" pid="24" name="Mendeley Unique User Id_1">
    <vt:lpwstr>08539a62-6e91-327b-a67a-8a6efb344fe5</vt:lpwstr>
  </property>
</Properties>
</file>