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charts/style1.xml" ContentType="application/vnd.ms-office.chartstyle+xml"/>
  <Override PartName="/word/charts/style3.xml" ContentType="application/vnd.ms-office.chartstyle+xml"/>
  <Override PartName="/word/endnotes.xml" ContentType="application/vnd.openxmlformats-officedocument.wordprocessingml.endnotes+xml"/>
  <Override PartName="/word/charts/colors2.xml" ContentType="application/vnd.ms-office.chartcolorstyle+xml"/>
  <Override PartName="/word/charts/chart1.xml" ContentType="application/vnd.openxmlformats-officedocument.drawingml.chart+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charts/chart3.xml" ContentType="application/vnd.openxmlformats-officedocument.drawingml.chart+xml"/>
  <Override PartName="/word/document.xml" ContentType="application/vnd.openxmlformats-officedocument.wordprocessingml.document.main+xml"/>
  <Override PartName="/word/charts/style2.xml" ContentType="application/vnd.ms-office.chartstyle+xml"/>
  <Override PartName="/word/charts/colors1.xml" ContentType="application/vnd.ms-office.chartcolorstyle+xml"/>
  <Override PartName="/word/charts/colors3.xml" ContentType="application/vnd.ms-office.chartcolorstyle+xml"/>
  <Override PartName="/word/settings.xml" ContentType="application/vnd.openxmlformats-officedocument.wordprocessingml.settings+xml"/>
  <Override PartName="/word/charts/chart2.xml" ContentType="application/vnd.openxmlformats-officedocument.drawingml.chart+xml"/>
  <Default Extension="rels" ContentType="application/vnd.openxmlformats-package.relationships+xml"/>
  <Override PartName="/word/styles.xml" ContentType="application/vnd.openxmlformats-officedocument.wordprocessingml.styles+xml"/>
  <Default Extension="emf" ContentType="image/x-emf"/>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666" w:rsidRPr="00781BD2" w:rsidRDefault="00257666" w:rsidP="000652B4">
      <w:pPr>
        <w:spacing w:line="360" w:lineRule="auto"/>
        <w:rPr>
          <w:sz w:val="22"/>
          <w:szCs w:val="22"/>
        </w:rPr>
      </w:pPr>
    </w:p>
    <w:p w:rsidR="00AF165B" w:rsidRDefault="00AF165B" w:rsidP="00AF165B">
      <w:pPr>
        <w:pStyle w:val="NormalWeb"/>
        <w:spacing w:line="360" w:lineRule="auto"/>
        <w:rPr>
          <w:rFonts w:ascii="Times" w:hAnsi="Times"/>
          <w:b/>
          <w:bCs/>
          <w:color w:val="000000" w:themeColor="text1"/>
        </w:rPr>
      </w:pPr>
      <w:r>
        <w:rPr>
          <w:rFonts w:ascii="Times" w:hAnsi="Times"/>
          <w:b/>
          <w:bCs/>
          <w:color w:val="000000" w:themeColor="text1"/>
        </w:rPr>
        <w:t>Synthesis, Antiviral Activity, Preliminary Pharmacokinetics and Structural Parameters of Thiazolide Amine Salts</w:t>
      </w:r>
    </w:p>
    <w:p w:rsidR="00AF165B" w:rsidRPr="00097DC5" w:rsidRDefault="00AF165B" w:rsidP="00AF165B">
      <w:pPr>
        <w:pStyle w:val="NormalWeb"/>
        <w:spacing w:line="360" w:lineRule="auto"/>
        <w:rPr>
          <w:rFonts w:ascii="Times" w:hAnsi="Times"/>
          <w:lang w:val="fr-FR"/>
        </w:rPr>
      </w:pPr>
      <w:r w:rsidRPr="00967A18">
        <w:rPr>
          <w:rFonts w:ascii="Times" w:hAnsi="Times"/>
          <w:sz w:val="22"/>
          <w:szCs w:val="22"/>
          <w:lang w:val="fr-FR"/>
        </w:rPr>
        <w:t>Andrew V. Stachulski, *</w:t>
      </w:r>
      <w:r w:rsidRPr="00967A18">
        <w:rPr>
          <w:rFonts w:ascii="Times" w:hAnsi="Times"/>
          <w:sz w:val="22"/>
          <w:szCs w:val="22"/>
          <w:vertAlign w:val="superscript"/>
          <w:lang w:val="fr-FR"/>
        </w:rPr>
        <w:t>a</w:t>
      </w:r>
      <w:r w:rsidRPr="00967A18">
        <w:rPr>
          <w:rFonts w:ascii="Times" w:hAnsi="Times"/>
          <w:sz w:val="22"/>
          <w:szCs w:val="22"/>
          <w:lang w:val="fr-FR"/>
        </w:rPr>
        <w:t xml:space="preserve"> </w:t>
      </w:r>
      <w:r>
        <w:rPr>
          <w:rFonts w:ascii="Times" w:hAnsi="Times"/>
          <w:sz w:val="22"/>
          <w:szCs w:val="22"/>
          <w:lang w:val="fr-FR"/>
        </w:rPr>
        <w:t>Jean-Franc</w:t>
      </w:r>
      <w:r w:rsidRPr="00967A18">
        <w:rPr>
          <w:rFonts w:ascii="Times" w:hAnsi="Times"/>
          <w:sz w:val="22"/>
          <w:szCs w:val="22"/>
          <w:lang w:val="fr-FR"/>
        </w:rPr>
        <w:t>ois Rossignol,</w:t>
      </w:r>
      <w:r w:rsidRPr="00967A18">
        <w:rPr>
          <w:rFonts w:ascii="Times" w:hAnsi="Times"/>
          <w:sz w:val="22"/>
          <w:szCs w:val="22"/>
          <w:vertAlign w:val="superscript"/>
          <w:lang w:val="fr-FR"/>
        </w:rPr>
        <w:t>b</w:t>
      </w:r>
      <w:r w:rsidRPr="00967A18">
        <w:rPr>
          <w:rFonts w:ascii="Times" w:hAnsi="Times"/>
          <w:sz w:val="22"/>
          <w:szCs w:val="22"/>
          <w:lang w:val="fr-FR"/>
        </w:rPr>
        <w:t xml:space="preserve"> </w:t>
      </w:r>
      <w:r w:rsidRPr="00967A18">
        <w:rPr>
          <w:rFonts w:ascii="Times" w:hAnsi="Times"/>
          <w:color w:val="2196D1"/>
          <w:position w:val="10"/>
          <w:sz w:val="16"/>
          <w:szCs w:val="16"/>
          <w:lang w:val="fr-FR"/>
        </w:rPr>
        <w:t xml:space="preserve"> </w:t>
      </w:r>
      <w:r w:rsidRPr="00967A18">
        <w:rPr>
          <w:rFonts w:ascii="Times" w:hAnsi="Times"/>
          <w:sz w:val="22"/>
          <w:szCs w:val="22"/>
          <w:lang w:val="fr-FR"/>
        </w:rPr>
        <w:t>Sophie Pate,</w:t>
      </w:r>
      <w:r w:rsidRPr="00967A18">
        <w:rPr>
          <w:rFonts w:ascii="Times" w:hAnsi="Times"/>
          <w:sz w:val="22"/>
          <w:szCs w:val="22"/>
          <w:vertAlign w:val="superscript"/>
          <w:lang w:val="fr-FR"/>
        </w:rPr>
        <w:t>a</w:t>
      </w:r>
      <w:r w:rsidRPr="00967A18">
        <w:rPr>
          <w:rFonts w:ascii="Times" w:hAnsi="Times"/>
          <w:sz w:val="22"/>
          <w:szCs w:val="22"/>
          <w:lang w:val="fr-FR"/>
        </w:rPr>
        <w:t xml:space="preserve"> Joshua Taujanskas,</w:t>
      </w:r>
      <w:r w:rsidRPr="00967A18">
        <w:rPr>
          <w:rFonts w:ascii="Times" w:hAnsi="Times"/>
          <w:sz w:val="22"/>
          <w:szCs w:val="22"/>
          <w:vertAlign w:val="superscript"/>
          <w:lang w:val="fr-FR"/>
        </w:rPr>
        <w:t>a</w:t>
      </w:r>
      <w:r w:rsidRPr="00967A18">
        <w:rPr>
          <w:rFonts w:ascii="Times" w:hAnsi="Times"/>
          <w:sz w:val="22"/>
          <w:szCs w:val="22"/>
          <w:lang w:val="fr-FR"/>
        </w:rPr>
        <w:t xml:space="preserve"> </w:t>
      </w:r>
      <w:r>
        <w:rPr>
          <w:rFonts w:ascii="Times" w:hAnsi="Times"/>
          <w:sz w:val="22"/>
          <w:szCs w:val="22"/>
          <w:lang w:val="fr-FR"/>
        </w:rPr>
        <w:t>Craig M. Robertson,</w:t>
      </w:r>
      <w:r>
        <w:rPr>
          <w:rFonts w:ascii="Times" w:hAnsi="Times"/>
          <w:sz w:val="22"/>
          <w:szCs w:val="22"/>
          <w:vertAlign w:val="superscript"/>
          <w:lang w:val="fr-FR"/>
        </w:rPr>
        <w:t>a</w:t>
      </w:r>
      <w:r>
        <w:rPr>
          <w:rFonts w:ascii="Times" w:hAnsi="Times"/>
          <w:sz w:val="22"/>
          <w:szCs w:val="22"/>
          <w:lang w:val="fr-FR"/>
        </w:rPr>
        <w:t xml:space="preserve"> </w:t>
      </w:r>
      <w:r w:rsidRPr="00967A18">
        <w:rPr>
          <w:rFonts w:ascii="Times" w:hAnsi="Times"/>
          <w:sz w:val="22"/>
          <w:szCs w:val="22"/>
          <w:lang w:val="fr-FR"/>
        </w:rPr>
        <w:t>Rudi Aerts,</w:t>
      </w:r>
      <w:r w:rsidRPr="00967A18">
        <w:rPr>
          <w:rFonts w:ascii="Times" w:hAnsi="Times"/>
          <w:sz w:val="22"/>
          <w:szCs w:val="22"/>
          <w:vertAlign w:val="superscript"/>
          <w:lang w:val="fr-FR"/>
        </w:rPr>
        <w:t>c</w:t>
      </w:r>
      <w:r w:rsidRPr="00967A18">
        <w:rPr>
          <w:rFonts w:ascii="Times" w:hAnsi="Times"/>
          <w:sz w:val="22"/>
          <w:szCs w:val="22"/>
          <w:lang w:val="fr-FR"/>
        </w:rPr>
        <w:t xml:space="preserve"> </w:t>
      </w:r>
      <w:r w:rsidRPr="00097DC5">
        <w:rPr>
          <w:rFonts w:ascii="Times" w:hAnsi="Times"/>
          <w:sz w:val="22"/>
          <w:szCs w:val="22"/>
          <w:lang w:val="fr-FR"/>
        </w:rPr>
        <w:t>Etienne Pascal,</w:t>
      </w:r>
      <w:r w:rsidRPr="00097DC5">
        <w:rPr>
          <w:rFonts w:ascii="Times" w:hAnsi="Times"/>
          <w:sz w:val="22"/>
          <w:szCs w:val="22"/>
          <w:vertAlign w:val="superscript"/>
          <w:lang w:val="fr-FR"/>
        </w:rPr>
        <w:t>c</w:t>
      </w:r>
      <w:r w:rsidRPr="00097DC5">
        <w:rPr>
          <w:rFonts w:ascii="Times" w:hAnsi="Times"/>
          <w:sz w:val="22"/>
          <w:szCs w:val="22"/>
          <w:lang w:val="fr-FR"/>
        </w:rPr>
        <w:t xml:space="preserve"> Sara Piacentini,</w:t>
      </w:r>
      <w:r w:rsidRPr="00097DC5">
        <w:rPr>
          <w:rFonts w:ascii="Times" w:hAnsi="Times"/>
          <w:sz w:val="22"/>
          <w:szCs w:val="22"/>
          <w:vertAlign w:val="superscript"/>
          <w:lang w:val="fr-FR"/>
        </w:rPr>
        <w:t xml:space="preserve"> d</w:t>
      </w:r>
      <w:r w:rsidRPr="00097DC5">
        <w:rPr>
          <w:rFonts w:ascii="Times" w:hAnsi="Times"/>
          <w:sz w:val="22"/>
          <w:szCs w:val="22"/>
          <w:lang w:val="fr-FR"/>
        </w:rPr>
        <w:t xml:space="preserve"> Simone La Frazia,</w:t>
      </w:r>
      <w:r w:rsidRPr="00097DC5">
        <w:rPr>
          <w:rFonts w:ascii="Times" w:hAnsi="Times"/>
          <w:sz w:val="22"/>
          <w:szCs w:val="22"/>
          <w:vertAlign w:val="superscript"/>
          <w:lang w:val="fr-FR"/>
        </w:rPr>
        <w:t>d</w:t>
      </w:r>
      <w:r w:rsidRPr="00097DC5">
        <w:rPr>
          <w:rFonts w:ascii="Times" w:hAnsi="Times"/>
          <w:sz w:val="22"/>
          <w:szCs w:val="22"/>
          <w:lang w:val="fr-FR"/>
        </w:rPr>
        <w:t xml:space="preserve"> M. Gabriella Santoro,</w:t>
      </w:r>
      <w:r w:rsidRPr="00097DC5">
        <w:rPr>
          <w:rFonts w:ascii="Times" w:hAnsi="Times"/>
          <w:sz w:val="22"/>
          <w:szCs w:val="22"/>
          <w:vertAlign w:val="superscript"/>
          <w:lang w:val="fr-FR"/>
        </w:rPr>
        <w:t xml:space="preserve"> d</w:t>
      </w:r>
      <w:r w:rsidRPr="00097DC5">
        <w:rPr>
          <w:rFonts w:ascii="Times" w:hAnsi="Times"/>
          <w:sz w:val="22"/>
          <w:szCs w:val="22"/>
          <w:lang w:val="fr-FR"/>
        </w:rPr>
        <w:t xml:space="preserve"> and Paul M. O’Neill</w:t>
      </w:r>
      <w:r w:rsidRPr="00097DC5">
        <w:rPr>
          <w:rFonts w:ascii="Times" w:hAnsi="Times"/>
          <w:sz w:val="22"/>
          <w:szCs w:val="22"/>
          <w:vertAlign w:val="superscript"/>
          <w:lang w:val="fr-FR"/>
        </w:rPr>
        <w:t>a</w:t>
      </w:r>
      <w:r w:rsidRPr="00097DC5">
        <w:rPr>
          <w:rFonts w:ascii="Times" w:hAnsi="Times"/>
          <w:sz w:val="22"/>
          <w:szCs w:val="22"/>
          <w:lang w:val="fr-FR"/>
        </w:rPr>
        <w:t xml:space="preserve"> </w:t>
      </w:r>
    </w:p>
    <w:p w:rsidR="00AF165B" w:rsidRPr="00DA61B1" w:rsidRDefault="00AF165B" w:rsidP="00AF165B">
      <w:pPr>
        <w:spacing w:line="360" w:lineRule="auto"/>
        <w:rPr>
          <w:sz w:val="22"/>
          <w:szCs w:val="22"/>
        </w:rPr>
      </w:pPr>
      <w:r w:rsidRPr="00F53EA7">
        <w:rPr>
          <w:position w:val="6"/>
          <w:sz w:val="22"/>
          <w:szCs w:val="22"/>
          <w:vertAlign w:val="superscript"/>
        </w:rPr>
        <w:t>a</w:t>
      </w:r>
      <w:r w:rsidRPr="00DA61B1">
        <w:rPr>
          <w:position w:val="6"/>
          <w:sz w:val="22"/>
          <w:szCs w:val="22"/>
        </w:rPr>
        <w:t xml:space="preserve"> </w:t>
      </w:r>
      <w:r w:rsidRPr="00DA61B1">
        <w:rPr>
          <w:sz w:val="22"/>
          <w:szCs w:val="22"/>
        </w:rPr>
        <w:t xml:space="preserve">Robert Robinson Laboratories, Department of Chemistry, University of Liverpool, Liverpool L69 7ZD, UK </w:t>
      </w:r>
    </w:p>
    <w:p w:rsidR="00AF165B" w:rsidRPr="00DA61B1" w:rsidRDefault="00AF165B" w:rsidP="00AF165B">
      <w:pPr>
        <w:spacing w:line="360" w:lineRule="auto"/>
        <w:rPr>
          <w:sz w:val="22"/>
          <w:szCs w:val="22"/>
        </w:rPr>
      </w:pPr>
      <w:r w:rsidRPr="00F53EA7">
        <w:rPr>
          <w:position w:val="6"/>
          <w:sz w:val="22"/>
          <w:szCs w:val="22"/>
          <w:vertAlign w:val="superscript"/>
        </w:rPr>
        <w:t>b</w:t>
      </w:r>
      <w:r w:rsidRPr="00DA61B1">
        <w:rPr>
          <w:position w:val="6"/>
          <w:sz w:val="22"/>
          <w:szCs w:val="22"/>
        </w:rPr>
        <w:t xml:space="preserve"> </w:t>
      </w:r>
      <w:r w:rsidRPr="00DA61B1">
        <w:rPr>
          <w:sz w:val="22"/>
          <w:szCs w:val="22"/>
        </w:rPr>
        <w:t xml:space="preserve">Romark Laboratories, L.C., Tampa, 33609 FL, United States </w:t>
      </w:r>
    </w:p>
    <w:p w:rsidR="00AF165B" w:rsidRPr="00DA61B1" w:rsidRDefault="00AF165B" w:rsidP="00AF165B">
      <w:pPr>
        <w:spacing w:line="360" w:lineRule="auto"/>
        <w:rPr>
          <w:rFonts w:eastAsia="Times New Roman"/>
          <w:sz w:val="22"/>
          <w:szCs w:val="22"/>
          <w:lang w:eastAsia="en-GB"/>
        </w:rPr>
      </w:pPr>
      <w:r w:rsidRPr="00F53EA7">
        <w:rPr>
          <w:color w:val="000000" w:themeColor="text1"/>
          <w:position w:val="6"/>
          <w:sz w:val="22"/>
          <w:szCs w:val="22"/>
          <w:vertAlign w:val="superscript"/>
        </w:rPr>
        <w:t>c</w:t>
      </w:r>
      <w:r w:rsidRPr="00DA61B1">
        <w:rPr>
          <w:color w:val="FF0000"/>
          <w:sz w:val="22"/>
          <w:szCs w:val="22"/>
        </w:rPr>
        <w:t xml:space="preserve"> </w:t>
      </w:r>
      <w:r w:rsidRPr="00DA61B1">
        <w:rPr>
          <w:rFonts w:eastAsia="Times New Roman"/>
          <w:sz w:val="22"/>
          <w:szCs w:val="22"/>
          <w:lang w:eastAsia="en-GB"/>
        </w:rPr>
        <w:t>Romark Belgium BVBA, Roosveld 6, 3400 Landen</w:t>
      </w:r>
      <w:r>
        <w:rPr>
          <w:rFonts w:eastAsia="Times New Roman"/>
          <w:sz w:val="22"/>
          <w:szCs w:val="22"/>
          <w:lang w:eastAsia="en-GB"/>
        </w:rPr>
        <w:t>,</w:t>
      </w:r>
      <w:r w:rsidRPr="00213C5E">
        <w:rPr>
          <w:rFonts w:eastAsia="Times New Roman"/>
          <w:sz w:val="22"/>
          <w:szCs w:val="22"/>
          <w:lang w:eastAsia="en-GB"/>
        </w:rPr>
        <w:t xml:space="preserve"> </w:t>
      </w:r>
      <w:r w:rsidRPr="00DA61B1">
        <w:rPr>
          <w:rFonts w:eastAsia="Times New Roman"/>
          <w:sz w:val="22"/>
          <w:szCs w:val="22"/>
          <w:lang w:eastAsia="en-GB"/>
        </w:rPr>
        <w:t>Belgium</w:t>
      </w:r>
    </w:p>
    <w:p w:rsidR="00AF165B" w:rsidRPr="00B67A03" w:rsidRDefault="00AF165B" w:rsidP="00AF165B">
      <w:pPr>
        <w:spacing w:line="360" w:lineRule="auto"/>
        <w:rPr>
          <w:rFonts w:eastAsia="Times New Roman"/>
          <w:sz w:val="22"/>
          <w:szCs w:val="22"/>
          <w:lang w:eastAsia="en-GB"/>
        </w:rPr>
      </w:pPr>
      <w:r w:rsidRPr="00F53EA7">
        <w:rPr>
          <w:position w:val="6"/>
          <w:sz w:val="22"/>
          <w:szCs w:val="22"/>
          <w:vertAlign w:val="superscript"/>
        </w:rPr>
        <w:t>d</w:t>
      </w:r>
      <w:r w:rsidRPr="00B67A03">
        <w:rPr>
          <w:sz w:val="22"/>
          <w:szCs w:val="22"/>
        </w:rPr>
        <w:t xml:space="preserve"> </w:t>
      </w:r>
      <w:r w:rsidRPr="00B67A03">
        <w:rPr>
          <w:rFonts w:eastAsia="Times New Roman"/>
          <w:sz w:val="22"/>
          <w:szCs w:val="22"/>
          <w:lang w:eastAsia="en-GB"/>
        </w:rPr>
        <w:t xml:space="preserve">Department of Biology, University of Rome Tor Vergata, 00133 Rome, Italy </w:t>
      </w:r>
    </w:p>
    <w:p w:rsidR="00AF165B" w:rsidRDefault="00AF165B" w:rsidP="00AF165B"/>
    <w:p w:rsidR="000652B4" w:rsidRPr="00781BD2" w:rsidRDefault="000652B4" w:rsidP="000652B4">
      <w:pPr>
        <w:spacing w:line="360" w:lineRule="auto"/>
        <w:rPr>
          <w:sz w:val="22"/>
          <w:szCs w:val="22"/>
        </w:rPr>
      </w:pPr>
    </w:p>
    <w:p w:rsidR="000A2290" w:rsidRPr="00781BD2" w:rsidRDefault="000A2290" w:rsidP="000652B4">
      <w:pPr>
        <w:spacing w:line="360" w:lineRule="auto"/>
        <w:rPr>
          <w:b/>
          <w:bCs/>
        </w:rPr>
      </w:pPr>
      <w:r w:rsidRPr="00781BD2">
        <w:rPr>
          <w:b/>
          <w:bCs/>
        </w:rPr>
        <w:t>Abstract</w:t>
      </w:r>
    </w:p>
    <w:p w:rsidR="004E6FDF" w:rsidRPr="00781BD2" w:rsidRDefault="008F5B8C" w:rsidP="000652B4">
      <w:pPr>
        <w:spacing w:line="360" w:lineRule="auto"/>
        <w:rPr>
          <w:b/>
        </w:rPr>
      </w:pPr>
      <w:r w:rsidRPr="00781BD2">
        <w:rPr>
          <w:b/>
        </w:rPr>
        <w:t xml:space="preserve">Background  </w:t>
      </w:r>
    </w:p>
    <w:p w:rsidR="00097DC5" w:rsidRPr="00781BD2" w:rsidRDefault="000A2290" w:rsidP="000652B4">
      <w:pPr>
        <w:spacing w:line="360" w:lineRule="auto"/>
      </w:pPr>
      <w:r w:rsidRPr="00781BD2">
        <w:t>The thiazolides</w:t>
      </w:r>
      <w:r w:rsidR="00383117" w:rsidRPr="00781BD2">
        <w:t>,</w:t>
      </w:r>
      <w:r w:rsidR="007E5845" w:rsidRPr="00781BD2">
        <w:t xml:space="preserve"> typified by nitazoxanide (NTZ)</w:t>
      </w:r>
      <w:r w:rsidRPr="00781BD2">
        <w:t xml:space="preserve">, are an important class of antiinfective </w:t>
      </w:r>
      <w:r w:rsidR="001D0351" w:rsidRPr="00781BD2">
        <w:t>agent</w:t>
      </w:r>
      <w:r w:rsidRPr="00781BD2">
        <w:t xml:space="preserve">s. </w:t>
      </w:r>
      <w:r w:rsidR="001F10BD" w:rsidRPr="00781BD2">
        <w:t>A significant problem with NTZ and its active circulating metabolite tizoxanide (TZ) is</w:t>
      </w:r>
      <w:r w:rsidR="009B11D9" w:rsidRPr="00781BD2">
        <w:t xml:space="preserve"> their</w:t>
      </w:r>
      <w:r w:rsidR="00BE5E9D" w:rsidRPr="00781BD2">
        <w:t xml:space="preserve"> poor solubility</w:t>
      </w:r>
      <w:r w:rsidRPr="00781BD2">
        <w:t>.</w:t>
      </w:r>
      <w:r w:rsidR="00DA4C31" w:rsidRPr="00781BD2">
        <w:t xml:space="preserve"> </w:t>
      </w:r>
      <w:r w:rsidR="001F10BD" w:rsidRPr="00781BD2">
        <w:rPr>
          <w:b/>
        </w:rPr>
        <w:t xml:space="preserve">Results </w:t>
      </w:r>
      <w:r w:rsidR="00C039C4" w:rsidRPr="00781BD2">
        <w:t>We</w:t>
      </w:r>
      <w:r w:rsidR="00DA4C31" w:rsidRPr="00781BD2">
        <w:t xml:space="preserve"> report the preparation and evaluation of a series of amine salts of tizoxanide</w:t>
      </w:r>
      <w:r w:rsidR="000C48B2" w:rsidRPr="00781BD2">
        <w:t xml:space="preserve"> (TZ)</w:t>
      </w:r>
      <w:r w:rsidR="00DA4C31" w:rsidRPr="00781BD2">
        <w:t xml:space="preserve"> and th</w:t>
      </w:r>
      <w:r w:rsidR="009B74F0" w:rsidRPr="00781BD2">
        <w:t>e corresponding 5-Cl thiazolide</w:t>
      </w:r>
      <w:r w:rsidR="00DA4C31" w:rsidRPr="00781BD2">
        <w:t>.</w:t>
      </w:r>
      <w:r w:rsidR="0069266F" w:rsidRPr="00781BD2">
        <w:t xml:space="preserve"> </w:t>
      </w:r>
      <w:r w:rsidR="00F41D67" w:rsidRPr="00781BD2">
        <w:t>These salts demonstrated improved aqueous solubility</w:t>
      </w:r>
      <w:r w:rsidR="00126F9B" w:rsidRPr="00781BD2">
        <w:t xml:space="preserve"> </w:t>
      </w:r>
      <w:r w:rsidR="00F41D67" w:rsidRPr="00781BD2">
        <w:t xml:space="preserve">and absorption as shown by physicochemical and </w:t>
      </w:r>
      <w:r w:rsidR="00F41D67" w:rsidRPr="00781BD2">
        <w:rPr>
          <w:i/>
          <w:iCs/>
        </w:rPr>
        <w:t>in vivo</w:t>
      </w:r>
      <w:r w:rsidR="00F41D67" w:rsidRPr="00781BD2">
        <w:t xml:space="preserve"> measure</w:t>
      </w:r>
      <w:r w:rsidR="00126F9B" w:rsidRPr="00781BD2">
        <w:t>ments.</w:t>
      </w:r>
      <w:r w:rsidR="00C970F0" w:rsidRPr="00781BD2">
        <w:t xml:space="preserve"> </w:t>
      </w:r>
      <w:r w:rsidR="00126F9B" w:rsidRPr="00781BD2">
        <w:t xml:space="preserve">They </w:t>
      </w:r>
      <w:r w:rsidR="002146E8" w:rsidRPr="00781BD2">
        <w:t>combine</w:t>
      </w:r>
      <w:r w:rsidR="00126F9B" w:rsidRPr="00781BD2">
        <w:t xml:space="preserve"> </w:t>
      </w:r>
      <w:r w:rsidR="00F41D67" w:rsidRPr="00781BD2">
        <w:t xml:space="preserve">antiviral activity against influenza A virus </w:t>
      </w:r>
      <w:r w:rsidR="00F46976" w:rsidRPr="00781BD2">
        <w:t>with excellent cell safety indices</w:t>
      </w:r>
      <w:r w:rsidR="00F41D67" w:rsidRPr="00781BD2">
        <w:t>.</w:t>
      </w:r>
      <w:r w:rsidR="00C970F0" w:rsidRPr="00781BD2">
        <w:t xml:space="preserve"> We also report the X-ray crystal structural data of the </w:t>
      </w:r>
      <w:r w:rsidR="00281C27" w:rsidRPr="00781BD2">
        <w:t>ethanolamine salt</w:t>
      </w:r>
      <w:r w:rsidR="00C970F0" w:rsidRPr="00781BD2">
        <w:t>.</w:t>
      </w:r>
      <w:r w:rsidR="00A149E8" w:rsidRPr="00781BD2">
        <w:t xml:space="preserve"> </w:t>
      </w:r>
      <w:r w:rsidR="007E1161" w:rsidRPr="00781BD2">
        <w:rPr>
          <w:b/>
        </w:rPr>
        <w:t xml:space="preserve">Conclusions </w:t>
      </w:r>
      <w:r w:rsidR="00471B07" w:rsidRPr="00781BD2">
        <w:t>The ethanol salt of TZ retains the activity of the parent together with an improved cell safety index, making it a good candidate for further evaluation.</w:t>
      </w:r>
    </w:p>
    <w:p w:rsidR="00F34788" w:rsidRPr="00781BD2" w:rsidRDefault="00F34788" w:rsidP="000652B4">
      <w:pPr>
        <w:spacing w:line="360" w:lineRule="auto"/>
      </w:pPr>
    </w:p>
    <w:p w:rsidR="00F34788" w:rsidRPr="00781BD2" w:rsidRDefault="00F34788" w:rsidP="000652B4">
      <w:pPr>
        <w:spacing w:line="360" w:lineRule="auto"/>
        <w:rPr>
          <w:b/>
          <w:bCs/>
        </w:rPr>
      </w:pPr>
      <w:r w:rsidRPr="00781BD2">
        <w:rPr>
          <w:b/>
          <w:bCs/>
        </w:rPr>
        <w:t>Introduction</w:t>
      </w:r>
    </w:p>
    <w:p w:rsidR="00DA0452" w:rsidRPr="00781BD2" w:rsidRDefault="00DA0452" w:rsidP="000652B4">
      <w:pPr>
        <w:spacing w:line="360" w:lineRule="auto"/>
        <w:rPr>
          <w:b/>
          <w:bCs/>
        </w:rPr>
      </w:pPr>
      <w:r w:rsidRPr="00781BD2">
        <w:rPr>
          <w:b/>
          <w:bCs/>
        </w:rPr>
        <w:t>General</w:t>
      </w:r>
    </w:p>
    <w:p w:rsidR="000652B4" w:rsidRPr="00781BD2" w:rsidRDefault="000652B4" w:rsidP="000652B4">
      <w:pPr>
        <w:spacing w:line="360" w:lineRule="auto"/>
      </w:pPr>
      <w:r w:rsidRPr="00781BD2">
        <w:t>N</w:t>
      </w:r>
      <w:r w:rsidR="00010CE4" w:rsidRPr="00781BD2">
        <w:t xml:space="preserve">itazoxanide </w:t>
      </w:r>
      <w:r w:rsidR="0067477F" w:rsidRPr="00781BD2">
        <w:t>[</w:t>
      </w:r>
      <w:r w:rsidR="00010CE4" w:rsidRPr="00781BD2">
        <w:t>N</w:t>
      </w:r>
      <w:r w:rsidRPr="00781BD2">
        <w:t>TZ</w:t>
      </w:r>
      <w:r w:rsidR="00D84A81" w:rsidRPr="00781BD2">
        <w:t>; 2-</w:t>
      </w:r>
      <w:r w:rsidR="00A26D1C" w:rsidRPr="00781BD2">
        <w:t>[</w:t>
      </w:r>
      <w:r w:rsidR="00D84A81" w:rsidRPr="00781BD2">
        <w:t>(acetyloxy)-</w:t>
      </w:r>
      <w:r w:rsidR="00D84A81" w:rsidRPr="00781BD2">
        <w:rPr>
          <w:i/>
          <w:iCs/>
        </w:rPr>
        <w:t>N</w:t>
      </w:r>
      <w:r w:rsidR="00D84A81" w:rsidRPr="00781BD2">
        <w:t>-(5-nitro-2-thiazolyl)</w:t>
      </w:r>
      <w:r w:rsidR="00A26D1C" w:rsidRPr="00781BD2">
        <w:t>]</w:t>
      </w:r>
      <w:r w:rsidR="00D84A81" w:rsidRPr="00781BD2">
        <w:t xml:space="preserve"> benzamide</w:t>
      </w:r>
      <w:r w:rsidR="0067477F" w:rsidRPr="00781BD2">
        <w:t>]</w:t>
      </w:r>
      <w:r w:rsidRPr="00781BD2">
        <w:t xml:space="preserve"> </w:t>
      </w:r>
      <w:r w:rsidRPr="00781BD2">
        <w:rPr>
          <w:b/>
          <w:bCs/>
        </w:rPr>
        <w:t>1</w:t>
      </w:r>
      <w:r w:rsidR="005E436D" w:rsidRPr="00781BD2">
        <w:rPr>
          <w:b/>
          <w:bCs/>
        </w:rPr>
        <w:t>a</w:t>
      </w:r>
      <w:r w:rsidR="00B7352D" w:rsidRPr="00781BD2">
        <w:rPr>
          <w:bCs/>
        </w:rPr>
        <w:t>, Figure 1,</w:t>
      </w:r>
      <w:r w:rsidRPr="00781BD2">
        <w:t xml:space="preserve"> was first </w:t>
      </w:r>
      <w:r w:rsidR="00A051E3" w:rsidRPr="00781BD2">
        <w:t>reported</w:t>
      </w:r>
      <w:r w:rsidRPr="00781BD2">
        <w:t xml:space="preserve"> in </w:t>
      </w:r>
      <w:r w:rsidR="00A051E3" w:rsidRPr="00781BD2">
        <w:t>1976</w:t>
      </w:r>
      <w:r w:rsidRPr="00781BD2">
        <w:t xml:space="preserve"> by Rossignol and Cavier</w:t>
      </w:r>
      <w:r w:rsidR="00041CA5" w:rsidRPr="00781BD2">
        <w:t xml:space="preserve"> </w:t>
      </w:r>
      <w:r w:rsidR="0044609F" w:rsidRPr="00781BD2">
        <w:t xml:space="preserve">[1] </w:t>
      </w:r>
      <w:r w:rsidRPr="00781BD2">
        <w:t>;</w:t>
      </w:r>
      <w:r w:rsidR="0044609F" w:rsidRPr="00781BD2">
        <w:t xml:space="preserve"> </w:t>
      </w:r>
      <w:r w:rsidRPr="00781BD2">
        <w:t xml:space="preserve">it </w:t>
      </w:r>
      <w:r w:rsidR="00322B92" w:rsidRPr="00781BD2">
        <w:t>resembled</w:t>
      </w:r>
      <w:r w:rsidRPr="00781BD2">
        <w:t xml:space="preserve"> the known antiinfective agent niclosamide </w:t>
      </w:r>
      <w:r w:rsidRPr="00781BD2">
        <w:rPr>
          <w:b/>
          <w:bCs/>
        </w:rPr>
        <w:t>2</w:t>
      </w:r>
      <w:r w:rsidR="0044609F" w:rsidRPr="00781BD2">
        <w:rPr>
          <w:b/>
          <w:bCs/>
        </w:rPr>
        <w:t xml:space="preserve"> </w:t>
      </w:r>
      <w:r w:rsidR="0044609F" w:rsidRPr="00781BD2">
        <w:rPr>
          <w:bCs/>
        </w:rPr>
        <w:t>[2]</w:t>
      </w:r>
      <w:r w:rsidRPr="00781BD2">
        <w:t>, replacing the anilide by a nitrothiazolyl amide</w:t>
      </w:r>
      <w:r w:rsidR="009275DA" w:rsidRPr="00781BD2">
        <w:t xml:space="preserve"> </w:t>
      </w:r>
      <w:r w:rsidRPr="00781BD2">
        <w:t>and showed promising antiparasitic activity</w:t>
      </w:r>
      <w:r w:rsidR="00414369" w:rsidRPr="00781BD2">
        <w:rPr>
          <w:i/>
          <w:iCs/>
        </w:rPr>
        <w:t xml:space="preserve"> in vitro </w:t>
      </w:r>
      <w:r w:rsidR="00414369" w:rsidRPr="00781BD2">
        <w:t xml:space="preserve">and </w:t>
      </w:r>
      <w:r w:rsidR="00414369" w:rsidRPr="00781BD2">
        <w:rPr>
          <w:i/>
          <w:iCs/>
        </w:rPr>
        <w:t>in vivo</w:t>
      </w:r>
      <w:r w:rsidRPr="00781BD2">
        <w:t xml:space="preserve">. Originally </w:t>
      </w:r>
      <w:r w:rsidR="000E66BE" w:rsidRPr="00781BD2">
        <w:t xml:space="preserve">NTZ </w:t>
      </w:r>
      <w:r w:rsidRPr="00781BD2">
        <w:rPr>
          <w:b/>
          <w:bCs/>
        </w:rPr>
        <w:t>1</w:t>
      </w:r>
      <w:r w:rsidR="005E436D" w:rsidRPr="00781BD2">
        <w:rPr>
          <w:b/>
          <w:bCs/>
        </w:rPr>
        <w:t>a</w:t>
      </w:r>
      <w:r w:rsidRPr="00781BD2">
        <w:t xml:space="preserve"> was developed for the treatment of protozoal and helminth parasit</w:t>
      </w:r>
      <w:r w:rsidR="00347098" w:rsidRPr="00781BD2">
        <w:t>ic infection</w:t>
      </w:r>
      <w:r w:rsidR="00925C84" w:rsidRPr="00781BD2">
        <w:t>s</w:t>
      </w:r>
      <w:r w:rsidR="0006196E" w:rsidRPr="00781BD2">
        <w:t xml:space="preserve"> [3-5]</w:t>
      </w:r>
      <w:r w:rsidR="00347098" w:rsidRPr="00781BD2">
        <w:t xml:space="preserve">, but later its most important application became the treatment of </w:t>
      </w:r>
      <w:r w:rsidR="00347098" w:rsidRPr="00781BD2">
        <w:rPr>
          <w:i/>
          <w:iCs/>
        </w:rPr>
        <w:t xml:space="preserve">Cryptosporidium </w:t>
      </w:r>
      <w:r w:rsidR="00347098" w:rsidRPr="00781BD2">
        <w:t>spp. infections</w:t>
      </w:r>
      <w:r w:rsidR="0006196E" w:rsidRPr="00781BD2">
        <w:t xml:space="preserve"> [6,7]</w:t>
      </w:r>
      <w:r w:rsidR="004D631B" w:rsidRPr="00781BD2">
        <w:t>:</w:t>
      </w:r>
      <w:r w:rsidR="00347098" w:rsidRPr="00781BD2">
        <w:t xml:space="preserve"> </w:t>
      </w:r>
      <w:r w:rsidR="004D631B" w:rsidRPr="00781BD2">
        <w:t>t</w:t>
      </w:r>
      <w:r w:rsidR="00347098" w:rsidRPr="00781BD2">
        <w:t xml:space="preserve">o this day, it is the only </w:t>
      </w:r>
      <w:r w:rsidR="00157A27" w:rsidRPr="00781BD2">
        <w:t xml:space="preserve">FDA-approved treatment for </w:t>
      </w:r>
      <w:r w:rsidR="00157A27" w:rsidRPr="00781BD2">
        <w:rPr>
          <w:i/>
          <w:iCs/>
        </w:rPr>
        <w:t>Cryptosporidium parvum</w:t>
      </w:r>
      <w:r w:rsidR="00157A27" w:rsidRPr="00781BD2">
        <w:t>.</w:t>
      </w:r>
      <w:r w:rsidR="004D631B" w:rsidRPr="00781BD2">
        <w:t xml:space="preserve"> It has been established from studies of its antiparasitic activity that one important mode of action of NTZ </w:t>
      </w:r>
      <w:r w:rsidR="004D631B" w:rsidRPr="00781BD2">
        <w:rPr>
          <w:b/>
          <w:bCs/>
        </w:rPr>
        <w:t>1a</w:t>
      </w:r>
      <w:r w:rsidR="004D631B" w:rsidRPr="00781BD2">
        <w:t xml:space="preserve"> is</w:t>
      </w:r>
      <w:r w:rsidR="00274A88" w:rsidRPr="00781BD2">
        <w:t xml:space="preserve"> inhibition of the folding chaperone protein disul</w:t>
      </w:r>
      <w:r w:rsidR="00312489" w:rsidRPr="00781BD2">
        <w:t>f</w:t>
      </w:r>
      <w:r w:rsidR="00274A88" w:rsidRPr="00781BD2">
        <w:t>ide isomerase</w:t>
      </w:r>
      <w:r w:rsidR="0006196E" w:rsidRPr="00781BD2">
        <w:t xml:space="preserve"> [8]</w:t>
      </w:r>
      <w:r w:rsidR="00814517" w:rsidRPr="00781BD2">
        <w:t>.</w:t>
      </w:r>
      <w:r w:rsidR="00FA6E6D" w:rsidRPr="00781BD2">
        <w:t xml:space="preserve"> </w:t>
      </w:r>
      <w:r w:rsidR="00F961B2" w:rsidRPr="00781BD2">
        <w:t xml:space="preserve">NTZ </w:t>
      </w:r>
      <w:r w:rsidR="00F961B2" w:rsidRPr="00781BD2">
        <w:rPr>
          <w:b/>
          <w:bCs/>
        </w:rPr>
        <w:t>1a</w:t>
      </w:r>
      <w:r w:rsidR="00F961B2" w:rsidRPr="00781BD2">
        <w:t xml:space="preserve"> also has valuable antibacterial activity against both aerobic and anaerobic species, operating by inhibition of pyruvate oxidoreductases</w:t>
      </w:r>
      <w:r w:rsidR="00597DB3" w:rsidRPr="00781BD2">
        <w:t xml:space="preserve"> in the case of anaerobes</w:t>
      </w:r>
      <w:r w:rsidR="0006196E" w:rsidRPr="00781BD2">
        <w:t xml:space="preserve"> [9,10]</w:t>
      </w:r>
      <w:r w:rsidR="00F961B2" w:rsidRPr="00781BD2">
        <w:t>.</w:t>
      </w:r>
    </w:p>
    <w:p w:rsidR="006C6C9B" w:rsidRPr="00781BD2" w:rsidRDefault="002E6625" w:rsidP="006C6C9B">
      <w:pPr>
        <w:spacing w:line="360" w:lineRule="auto"/>
        <w:jc w:val="center"/>
      </w:pPr>
      <w:r w:rsidRPr="00781BD2">
        <w:rPr>
          <w:noProof/>
          <w:lang w:val="en-US"/>
        </w:rPr>
        <w:drawing>
          <wp:inline distT="0" distB="0" distL="0" distR="0">
            <wp:extent cx="4937760" cy="1174771"/>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81037" cy="1185067"/>
                    </a:xfrm>
                    <a:prstGeom prst="rect">
                      <a:avLst/>
                    </a:prstGeom>
                  </pic:spPr>
                </pic:pic>
              </a:graphicData>
            </a:graphic>
          </wp:inline>
        </w:drawing>
      </w:r>
    </w:p>
    <w:p w:rsidR="006C6C9B" w:rsidRPr="00781BD2" w:rsidRDefault="006C6C9B" w:rsidP="006C6C9B">
      <w:pPr>
        <w:spacing w:line="360" w:lineRule="auto"/>
        <w:rPr>
          <w:sz w:val="22"/>
          <w:szCs w:val="22"/>
        </w:rPr>
      </w:pPr>
      <w:r w:rsidRPr="00781BD2">
        <w:rPr>
          <w:b/>
          <w:bCs/>
          <w:sz w:val="22"/>
          <w:szCs w:val="22"/>
        </w:rPr>
        <w:t xml:space="preserve">              </w:t>
      </w:r>
      <w:r w:rsidR="00CE221F" w:rsidRPr="00781BD2">
        <w:rPr>
          <w:b/>
          <w:bCs/>
          <w:sz w:val="22"/>
          <w:szCs w:val="22"/>
        </w:rPr>
        <w:t xml:space="preserve">   </w:t>
      </w:r>
      <w:r w:rsidRPr="00781BD2">
        <w:rPr>
          <w:b/>
          <w:bCs/>
          <w:sz w:val="22"/>
          <w:szCs w:val="22"/>
        </w:rPr>
        <w:t>1a</w:t>
      </w:r>
      <w:r w:rsidRPr="00781BD2">
        <w:rPr>
          <w:sz w:val="22"/>
          <w:szCs w:val="22"/>
        </w:rPr>
        <w:t xml:space="preserve"> R = COCH</w:t>
      </w:r>
      <w:r w:rsidRPr="00781BD2">
        <w:rPr>
          <w:sz w:val="22"/>
          <w:szCs w:val="22"/>
          <w:vertAlign w:val="subscript"/>
        </w:rPr>
        <w:t>3</w:t>
      </w:r>
      <w:r w:rsidRPr="00781BD2">
        <w:rPr>
          <w:sz w:val="22"/>
          <w:szCs w:val="22"/>
        </w:rPr>
        <w:t xml:space="preserve">                                     </w:t>
      </w:r>
      <w:r w:rsidR="00CE221F" w:rsidRPr="00781BD2">
        <w:rPr>
          <w:sz w:val="22"/>
          <w:szCs w:val="22"/>
        </w:rPr>
        <w:t xml:space="preserve">    </w:t>
      </w:r>
      <w:r w:rsidRPr="00781BD2">
        <w:rPr>
          <w:b/>
          <w:bCs/>
          <w:sz w:val="22"/>
          <w:szCs w:val="22"/>
        </w:rPr>
        <w:t>2</w:t>
      </w:r>
      <w:r w:rsidRPr="00781BD2">
        <w:rPr>
          <w:b/>
          <w:bCs/>
          <w:sz w:val="22"/>
          <w:szCs w:val="22"/>
        </w:rPr>
        <w:tab/>
      </w:r>
      <w:r w:rsidRPr="00781BD2">
        <w:rPr>
          <w:b/>
          <w:bCs/>
          <w:sz w:val="22"/>
          <w:szCs w:val="22"/>
        </w:rPr>
        <w:tab/>
      </w:r>
      <w:r w:rsidRPr="00781BD2">
        <w:rPr>
          <w:b/>
          <w:bCs/>
          <w:sz w:val="22"/>
          <w:szCs w:val="22"/>
        </w:rPr>
        <w:tab/>
        <w:t xml:space="preserve">       3a</w:t>
      </w:r>
      <w:r w:rsidRPr="00781BD2">
        <w:rPr>
          <w:sz w:val="22"/>
          <w:szCs w:val="22"/>
        </w:rPr>
        <w:t xml:space="preserve"> R = COCH</w:t>
      </w:r>
      <w:r w:rsidRPr="00781BD2">
        <w:rPr>
          <w:sz w:val="22"/>
          <w:szCs w:val="22"/>
          <w:vertAlign w:val="subscript"/>
        </w:rPr>
        <w:t>3</w:t>
      </w:r>
    </w:p>
    <w:p w:rsidR="006C6C9B" w:rsidRPr="00781BD2" w:rsidRDefault="006C6C9B" w:rsidP="006C6C9B">
      <w:pPr>
        <w:spacing w:line="360" w:lineRule="auto"/>
        <w:rPr>
          <w:sz w:val="22"/>
          <w:szCs w:val="22"/>
        </w:rPr>
      </w:pPr>
      <w:r w:rsidRPr="00781BD2">
        <w:rPr>
          <w:b/>
          <w:bCs/>
          <w:sz w:val="22"/>
          <w:szCs w:val="22"/>
        </w:rPr>
        <w:t xml:space="preserve">              </w:t>
      </w:r>
      <w:r w:rsidR="00CE221F" w:rsidRPr="00781BD2">
        <w:rPr>
          <w:b/>
          <w:bCs/>
          <w:sz w:val="22"/>
          <w:szCs w:val="22"/>
        </w:rPr>
        <w:t xml:space="preserve">   </w:t>
      </w:r>
      <w:r w:rsidRPr="00781BD2">
        <w:rPr>
          <w:b/>
          <w:bCs/>
          <w:sz w:val="22"/>
          <w:szCs w:val="22"/>
        </w:rPr>
        <w:t>1b</w:t>
      </w:r>
      <w:r w:rsidRPr="00781BD2">
        <w:rPr>
          <w:sz w:val="22"/>
          <w:szCs w:val="22"/>
        </w:rPr>
        <w:t xml:space="preserve"> R = H</w:t>
      </w:r>
      <w:r w:rsidRPr="00781BD2">
        <w:rPr>
          <w:sz w:val="22"/>
          <w:szCs w:val="22"/>
        </w:rPr>
        <w:tab/>
      </w:r>
      <w:r w:rsidRPr="00781BD2">
        <w:rPr>
          <w:sz w:val="22"/>
          <w:szCs w:val="22"/>
        </w:rPr>
        <w:tab/>
      </w:r>
      <w:r w:rsidRPr="00781BD2">
        <w:rPr>
          <w:sz w:val="22"/>
          <w:szCs w:val="22"/>
        </w:rPr>
        <w:tab/>
      </w:r>
      <w:r w:rsidRPr="00781BD2">
        <w:rPr>
          <w:sz w:val="22"/>
          <w:szCs w:val="22"/>
        </w:rPr>
        <w:tab/>
      </w:r>
      <w:r w:rsidRPr="00781BD2">
        <w:rPr>
          <w:sz w:val="22"/>
          <w:szCs w:val="22"/>
        </w:rPr>
        <w:tab/>
      </w:r>
      <w:r w:rsidRPr="00781BD2">
        <w:rPr>
          <w:sz w:val="22"/>
          <w:szCs w:val="22"/>
        </w:rPr>
        <w:tab/>
      </w:r>
      <w:r w:rsidRPr="00781BD2">
        <w:rPr>
          <w:sz w:val="22"/>
          <w:szCs w:val="22"/>
        </w:rPr>
        <w:tab/>
      </w:r>
      <w:r w:rsidR="00CE221F" w:rsidRPr="00781BD2">
        <w:rPr>
          <w:sz w:val="22"/>
          <w:szCs w:val="22"/>
        </w:rPr>
        <w:t xml:space="preserve">       </w:t>
      </w:r>
      <w:r w:rsidRPr="00781BD2">
        <w:rPr>
          <w:b/>
          <w:bCs/>
          <w:sz w:val="22"/>
          <w:szCs w:val="22"/>
        </w:rPr>
        <w:t>3b</w:t>
      </w:r>
      <w:r w:rsidRPr="00781BD2">
        <w:rPr>
          <w:sz w:val="22"/>
          <w:szCs w:val="22"/>
        </w:rPr>
        <w:t xml:space="preserve"> R = H</w:t>
      </w:r>
    </w:p>
    <w:p w:rsidR="00513175" w:rsidRPr="00781BD2" w:rsidRDefault="00B93AC4" w:rsidP="00B93AC4">
      <w:pPr>
        <w:spacing w:line="360" w:lineRule="auto"/>
        <w:jc w:val="center"/>
        <w:rPr>
          <w:i/>
          <w:iCs/>
        </w:rPr>
      </w:pPr>
      <w:r w:rsidRPr="00781BD2">
        <w:rPr>
          <w:noProof/>
          <w:lang w:val="en-US"/>
        </w:rPr>
        <w:drawing>
          <wp:inline distT="0" distB="0" distL="0" distR="0">
            <wp:extent cx="4236720" cy="1010594"/>
            <wp:effectExtent l="25400" t="0" r="508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276713" cy="1020134"/>
                    </a:xfrm>
                    <a:prstGeom prst="rect">
                      <a:avLst/>
                    </a:prstGeom>
                  </pic:spPr>
                </pic:pic>
              </a:graphicData>
            </a:graphic>
          </wp:inline>
        </w:drawing>
      </w:r>
    </w:p>
    <w:p w:rsidR="009D7F2C" w:rsidRPr="00781BD2" w:rsidRDefault="00B93AC4" w:rsidP="00B93AC4">
      <w:pPr>
        <w:spacing w:line="360" w:lineRule="auto"/>
        <w:rPr>
          <w:b/>
          <w:bCs/>
          <w:sz w:val="22"/>
        </w:rPr>
      </w:pPr>
      <w:r w:rsidRPr="00781BD2">
        <w:rPr>
          <w:b/>
          <w:bCs/>
          <w:sz w:val="22"/>
        </w:rPr>
        <w:t xml:space="preserve">                                   4                                                                        5</w:t>
      </w:r>
    </w:p>
    <w:p w:rsidR="009D7F2C" w:rsidRPr="00781BD2" w:rsidRDefault="009D7F2C" w:rsidP="00B93AC4">
      <w:pPr>
        <w:spacing w:line="360" w:lineRule="auto"/>
        <w:rPr>
          <w:b/>
          <w:bCs/>
          <w:sz w:val="22"/>
        </w:rPr>
      </w:pPr>
      <w:r w:rsidRPr="00781BD2">
        <w:rPr>
          <w:b/>
          <w:bCs/>
          <w:sz w:val="22"/>
        </w:rPr>
        <w:t>Figure 1. Thiazolide Structures</w:t>
      </w:r>
      <w:r w:rsidR="00B7352D" w:rsidRPr="00781BD2">
        <w:rPr>
          <w:b/>
          <w:bCs/>
          <w:sz w:val="22"/>
        </w:rPr>
        <w:t xml:space="preserve"> and Niclosamide</w:t>
      </w:r>
    </w:p>
    <w:p w:rsidR="00B93AC4" w:rsidRPr="00781BD2" w:rsidRDefault="00B93AC4" w:rsidP="00B93AC4">
      <w:pPr>
        <w:spacing w:line="360" w:lineRule="auto"/>
        <w:rPr>
          <w:b/>
          <w:bCs/>
          <w:sz w:val="22"/>
        </w:rPr>
      </w:pPr>
    </w:p>
    <w:p w:rsidR="00564916" w:rsidRPr="00781BD2" w:rsidRDefault="00564916" w:rsidP="000652B4">
      <w:pPr>
        <w:spacing w:line="360" w:lineRule="auto"/>
        <w:rPr>
          <w:b/>
          <w:bCs/>
        </w:rPr>
      </w:pPr>
      <w:r w:rsidRPr="00781BD2">
        <w:rPr>
          <w:b/>
          <w:bCs/>
        </w:rPr>
        <w:t>Thiazolides as Antiviral Agents</w:t>
      </w:r>
      <w:r w:rsidR="00513175" w:rsidRPr="00781BD2">
        <w:rPr>
          <w:b/>
          <w:bCs/>
        </w:rPr>
        <w:t>:</w:t>
      </w:r>
      <w:r w:rsidR="00045BD4" w:rsidRPr="00781BD2">
        <w:rPr>
          <w:b/>
          <w:bCs/>
        </w:rPr>
        <w:t xml:space="preserve"> SAR and Breadth of Spectrum</w:t>
      </w:r>
      <w:r w:rsidR="000E66BE" w:rsidRPr="00781BD2">
        <w:rPr>
          <w:b/>
          <w:bCs/>
        </w:rPr>
        <w:tab/>
      </w:r>
    </w:p>
    <w:p w:rsidR="00720F57" w:rsidRPr="00781BD2" w:rsidRDefault="000E66BE" w:rsidP="000652B4">
      <w:pPr>
        <w:spacing w:line="360" w:lineRule="auto"/>
      </w:pPr>
      <w:r w:rsidRPr="00781BD2">
        <w:t xml:space="preserve">An exciting new chapter in the development of </w:t>
      </w:r>
      <w:r w:rsidR="00673A86" w:rsidRPr="00781BD2">
        <w:t xml:space="preserve">NTZ </w:t>
      </w:r>
      <w:r w:rsidR="00673A86" w:rsidRPr="00781BD2">
        <w:rPr>
          <w:b/>
          <w:bCs/>
        </w:rPr>
        <w:t>1</w:t>
      </w:r>
      <w:r w:rsidR="005E436D" w:rsidRPr="00781BD2">
        <w:rPr>
          <w:b/>
          <w:bCs/>
        </w:rPr>
        <w:t>a</w:t>
      </w:r>
      <w:r w:rsidR="00673A86" w:rsidRPr="00781BD2">
        <w:t xml:space="preserve"> began with the discovery </w:t>
      </w:r>
      <w:r w:rsidR="003C39FA" w:rsidRPr="00781BD2">
        <w:t>of its antiviral activity, during the course of treating cryptosporidiosis in patients with AIDS</w:t>
      </w:r>
      <w:r w:rsidR="0025357D" w:rsidRPr="00781BD2">
        <w:t xml:space="preserve"> [11]</w:t>
      </w:r>
      <w:r w:rsidR="003C39FA" w:rsidRPr="00781BD2">
        <w:t xml:space="preserve">. The first clinical trial with NTZ </w:t>
      </w:r>
      <w:r w:rsidR="003C39FA" w:rsidRPr="00781BD2">
        <w:rPr>
          <w:b/>
          <w:bCs/>
        </w:rPr>
        <w:t>1</w:t>
      </w:r>
      <w:r w:rsidR="005E436D" w:rsidRPr="00781BD2">
        <w:rPr>
          <w:b/>
          <w:bCs/>
        </w:rPr>
        <w:t>a</w:t>
      </w:r>
      <w:r w:rsidR="003C39FA" w:rsidRPr="00781BD2">
        <w:t xml:space="preserve"> as an antiviral agent </w:t>
      </w:r>
      <w:r w:rsidR="007852ED" w:rsidRPr="00781BD2">
        <w:t>was against rotavirus</w:t>
      </w:r>
      <w:r w:rsidR="00D56DAE" w:rsidRPr="00781BD2">
        <w:t>-</w:t>
      </w:r>
      <w:r w:rsidR="007852ED" w:rsidRPr="00781BD2">
        <w:t>induced diahorrea</w:t>
      </w:r>
      <w:r w:rsidR="0025357D" w:rsidRPr="00781BD2">
        <w:t xml:space="preserve"> [12]</w:t>
      </w:r>
      <w:r w:rsidR="007852ED" w:rsidRPr="00781BD2">
        <w:t>, including young children as patients.</w:t>
      </w:r>
      <w:r w:rsidR="001B1591" w:rsidRPr="00781BD2">
        <w:t xml:space="preserve"> I</w:t>
      </w:r>
      <w:r w:rsidR="00852BA2" w:rsidRPr="00781BD2">
        <w:t xml:space="preserve">ndeed, NTZ </w:t>
      </w:r>
      <w:r w:rsidR="00852BA2" w:rsidRPr="00781BD2">
        <w:rPr>
          <w:b/>
          <w:bCs/>
        </w:rPr>
        <w:t>1a</w:t>
      </w:r>
      <w:r w:rsidR="00852BA2" w:rsidRPr="00781BD2">
        <w:t xml:space="preserve"> proved to be a broad- spectrum antiviral,</w:t>
      </w:r>
      <w:r w:rsidR="001B1591" w:rsidRPr="00781BD2">
        <w:t xml:space="preserve"> also highly effective against hepatitis B, hepatitis C and influenza A virus</w:t>
      </w:r>
      <w:r w:rsidR="00852BA2" w:rsidRPr="00781BD2">
        <w:t>,</w:t>
      </w:r>
      <w:r w:rsidR="001B1591" w:rsidRPr="00781BD2">
        <w:t xml:space="preserve"> and has performed well in clinical trials</w:t>
      </w:r>
      <w:r w:rsidR="006933F1" w:rsidRPr="00781BD2">
        <w:t xml:space="preserve"> [</w:t>
      </w:r>
      <w:r w:rsidR="004071BC" w:rsidRPr="00781BD2">
        <w:t>1</w:t>
      </w:r>
      <w:r w:rsidR="009F232C" w:rsidRPr="00781BD2">
        <w:t>3</w:t>
      </w:r>
      <w:r w:rsidR="004071BC" w:rsidRPr="00781BD2">
        <w:t>-1</w:t>
      </w:r>
      <w:r w:rsidR="002541CB" w:rsidRPr="00781BD2">
        <w:t>6</w:t>
      </w:r>
      <w:r w:rsidR="006933F1" w:rsidRPr="00781BD2">
        <w:t>]</w:t>
      </w:r>
      <w:r w:rsidR="001B1591" w:rsidRPr="00781BD2">
        <w:t xml:space="preserve"> against all these viruses</w:t>
      </w:r>
      <w:r w:rsidR="00852BA2" w:rsidRPr="00781BD2">
        <w:t>.</w:t>
      </w:r>
      <w:r w:rsidR="000F03FE" w:rsidRPr="00781BD2">
        <w:t xml:space="preserve"> </w:t>
      </w:r>
    </w:p>
    <w:p w:rsidR="000E66BE" w:rsidRPr="00781BD2" w:rsidRDefault="00647F1A" w:rsidP="00720F57">
      <w:pPr>
        <w:spacing w:line="360" w:lineRule="auto"/>
        <w:ind w:firstLine="720"/>
      </w:pPr>
      <w:r w:rsidRPr="00781BD2">
        <w:t xml:space="preserve">The nitro group is not essential for activity: the 5´-Cl analogue </w:t>
      </w:r>
      <w:r w:rsidR="00502A51" w:rsidRPr="00781BD2">
        <w:rPr>
          <w:b/>
          <w:bCs/>
        </w:rPr>
        <w:t>3a</w:t>
      </w:r>
      <w:r w:rsidRPr="00781BD2">
        <w:t xml:space="preserve"> has an almost parallel spectrum of activity, </w:t>
      </w:r>
      <w:r w:rsidR="00B11814" w:rsidRPr="00781BD2">
        <w:t xml:space="preserve">at low micromolar </w:t>
      </w:r>
      <w:r w:rsidR="005E436D" w:rsidRPr="00781BD2">
        <w:t>values</w:t>
      </w:r>
      <w:r w:rsidR="006933F1" w:rsidRPr="00781BD2">
        <w:t xml:space="preserve"> [17]</w:t>
      </w:r>
      <w:r w:rsidR="00B11814" w:rsidRPr="00781BD2">
        <w:t xml:space="preserve">, </w:t>
      </w:r>
      <w:r w:rsidRPr="00781BD2">
        <w:t xml:space="preserve">and the 4´-ethanesulfonyl analogue </w:t>
      </w:r>
      <w:r w:rsidR="00502A51" w:rsidRPr="00781BD2">
        <w:rPr>
          <w:b/>
          <w:bCs/>
        </w:rPr>
        <w:t>4</w:t>
      </w:r>
      <w:r w:rsidRPr="00781BD2">
        <w:rPr>
          <w:b/>
          <w:bCs/>
        </w:rPr>
        <w:t xml:space="preserve"> </w:t>
      </w:r>
      <w:r w:rsidRPr="00781BD2">
        <w:t xml:space="preserve">shows excellent </w:t>
      </w:r>
      <w:r w:rsidRPr="00781BD2">
        <w:rPr>
          <w:i/>
          <w:iCs/>
        </w:rPr>
        <w:t>in vitro</w:t>
      </w:r>
      <w:r w:rsidRPr="00781BD2">
        <w:t xml:space="preserve"> activity against an H1N1 strain of influenza A virus</w:t>
      </w:r>
      <w:r w:rsidR="00B11814" w:rsidRPr="00781BD2">
        <w:t>, IC</w:t>
      </w:r>
      <w:r w:rsidR="00B11814" w:rsidRPr="00781BD2">
        <w:rPr>
          <w:vertAlign w:val="subscript"/>
        </w:rPr>
        <w:t>50</w:t>
      </w:r>
      <w:r w:rsidR="00B11814" w:rsidRPr="00781BD2">
        <w:t xml:space="preserve"> = 0.14 </w:t>
      </w:r>
      <w:r w:rsidR="00B11814" w:rsidRPr="00781BD2">
        <w:rPr>
          <w:rFonts w:ascii="Symbol" w:hAnsi="Symbol"/>
        </w:rPr>
        <w:t></w:t>
      </w:r>
      <w:r w:rsidR="00B11814" w:rsidRPr="00781BD2">
        <w:t>M</w:t>
      </w:r>
      <w:r w:rsidRPr="00781BD2">
        <w:t xml:space="preserve">. </w:t>
      </w:r>
      <w:r w:rsidR="003A3F2B" w:rsidRPr="00781BD2">
        <w:t xml:space="preserve">We have reported a number of </w:t>
      </w:r>
      <w:r w:rsidR="001355C0" w:rsidRPr="00781BD2">
        <w:t xml:space="preserve">4´-/5´-substituted </w:t>
      </w:r>
      <w:r w:rsidR="003A3F2B" w:rsidRPr="00781BD2">
        <w:t>thiazolides</w:t>
      </w:r>
      <w:r w:rsidR="00C6123D" w:rsidRPr="00781BD2">
        <w:t>,</w:t>
      </w:r>
      <w:r w:rsidR="003A3F2B" w:rsidRPr="00781BD2">
        <w:t xml:space="preserve"> which show low micromolar activity against hepatitis B and C and influenza A</w:t>
      </w:r>
      <w:r w:rsidR="006933F1" w:rsidRPr="00781BD2">
        <w:t xml:space="preserve"> [18-20]</w:t>
      </w:r>
      <w:r w:rsidR="003A3F2B" w:rsidRPr="00781BD2">
        <w:t>.</w:t>
      </w:r>
    </w:p>
    <w:p w:rsidR="00C537C4" w:rsidRPr="00781BD2" w:rsidRDefault="00116889" w:rsidP="00D831C5">
      <w:pPr>
        <w:widowControl w:val="0"/>
        <w:autoSpaceDE w:val="0"/>
        <w:autoSpaceDN w:val="0"/>
        <w:adjustRightInd w:val="0"/>
        <w:spacing w:line="360" w:lineRule="auto"/>
        <w:ind w:firstLine="720"/>
        <w:jc w:val="both"/>
        <w:rPr>
          <w:rFonts w:cstheme="majorHAnsi"/>
        </w:rPr>
      </w:pPr>
      <w:r w:rsidRPr="00781BD2">
        <w:t xml:space="preserve">In addition to </w:t>
      </w:r>
      <w:r w:rsidR="00EB3BDA" w:rsidRPr="00781BD2">
        <w:t xml:space="preserve">the clinical trials noted above, NTZ </w:t>
      </w:r>
      <w:r w:rsidR="00EB3BDA" w:rsidRPr="00781BD2">
        <w:rPr>
          <w:b/>
          <w:bCs/>
        </w:rPr>
        <w:t>1a</w:t>
      </w:r>
      <w:r w:rsidR="00EB3BDA" w:rsidRPr="00781BD2">
        <w:t xml:space="preserve"> </w:t>
      </w:r>
      <w:r w:rsidRPr="00781BD2">
        <w:t xml:space="preserve">and its active circulating metabolite tizoxanide </w:t>
      </w:r>
      <w:r w:rsidRPr="00781BD2">
        <w:rPr>
          <w:b/>
          <w:bCs/>
        </w:rPr>
        <w:t>1b</w:t>
      </w:r>
      <w:r w:rsidRPr="00781BD2">
        <w:t xml:space="preserve"> </w:t>
      </w:r>
      <w:r w:rsidR="00EB3BDA" w:rsidRPr="00781BD2">
        <w:t>exhibit broad</w:t>
      </w:r>
      <w:r w:rsidR="00707A17" w:rsidRPr="00781BD2">
        <w:t>-</w:t>
      </w:r>
      <w:r w:rsidR="00EB3BDA" w:rsidRPr="00781BD2">
        <w:t xml:space="preserve">spectrum activity against many </w:t>
      </w:r>
      <w:r w:rsidR="00513175" w:rsidRPr="00781BD2">
        <w:t>class</w:t>
      </w:r>
      <w:r w:rsidR="00707A17" w:rsidRPr="00781BD2">
        <w:t>es of viruses.</w:t>
      </w:r>
      <w:r w:rsidR="00513175" w:rsidRPr="00781BD2">
        <w:rPr>
          <w:rFonts w:ascii="Calibri Light" w:hAnsi="Calibri Light"/>
          <w:sz w:val="22"/>
          <w:szCs w:val="22"/>
        </w:rPr>
        <w:t xml:space="preserve"> </w:t>
      </w:r>
      <w:r w:rsidR="00513175" w:rsidRPr="00781BD2">
        <w:t xml:space="preserve">Thus </w:t>
      </w:r>
      <w:r w:rsidR="00513175" w:rsidRPr="00781BD2">
        <w:rPr>
          <w:b/>
          <w:bCs/>
        </w:rPr>
        <w:t>1a</w:t>
      </w:r>
      <w:r w:rsidR="00513175" w:rsidRPr="00781BD2">
        <w:t xml:space="preserve"> and </w:t>
      </w:r>
      <w:r w:rsidR="00513175" w:rsidRPr="00781BD2">
        <w:rPr>
          <w:b/>
          <w:bCs/>
        </w:rPr>
        <w:t>1b</w:t>
      </w:r>
      <w:r w:rsidR="00513175" w:rsidRPr="00781BD2">
        <w:t xml:space="preserve"> were reported to be effective in cell culture assays against a broad range of </w:t>
      </w:r>
      <w:r w:rsidR="00585952" w:rsidRPr="00781BD2">
        <w:t>ten</w:t>
      </w:r>
      <w:r w:rsidR="00AA283B" w:rsidRPr="00781BD2">
        <w:t xml:space="preserve"> classes of </w:t>
      </w:r>
      <w:r w:rsidR="00513175" w:rsidRPr="00781BD2">
        <w:t>RNA and DNA viruses</w:t>
      </w:r>
      <w:r w:rsidR="00585952" w:rsidRPr="00781BD2">
        <w:t>,</w:t>
      </w:r>
      <w:r w:rsidR="00513175" w:rsidRPr="00781BD2">
        <w:t xml:space="preserve"> </w:t>
      </w:r>
      <w:r w:rsidR="00585952" w:rsidRPr="00781BD2">
        <w:t>namely</w:t>
      </w:r>
      <w:r w:rsidR="00513175" w:rsidRPr="00781BD2">
        <w:t xml:space="preserve"> the </w:t>
      </w:r>
      <w:r w:rsidR="00513175" w:rsidRPr="00781BD2">
        <w:rPr>
          <w:i/>
        </w:rPr>
        <w:t>Orthomyxoviridae</w:t>
      </w:r>
      <w:r w:rsidR="00513175" w:rsidRPr="00781BD2">
        <w:t xml:space="preserve"> </w:t>
      </w:r>
      <w:r w:rsidR="00585952" w:rsidRPr="00781BD2">
        <w:t>[</w:t>
      </w:r>
      <w:r w:rsidR="00513175" w:rsidRPr="00781BD2">
        <w:t xml:space="preserve">(influenza A </w:t>
      </w:r>
      <w:r w:rsidR="00585952" w:rsidRPr="00781BD2">
        <w:t>and</w:t>
      </w:r>
      <w:r w:rsidR="00513175" w:rsidRPr="00781BD2">
        <w:t xml:space="preserve"> B viruses</w:t>
      </w:r>
      <w:r w:rsidR="00041CA5" w:rsidRPr="00781BD2">
        <w:t>)</w:t>
      </w:r>
      <w:r w:rsidR="00513175" w:rsidRPr="00781BD2">
        <w:t xml:space="preserve"> (IAV</w:t>
      </w:r>
      <w:r w:rsidR="00041CA5" w:rsidRPr="00781BD2">
        <w:t xml:space="preserve"> </w:t>
      </w:r>
      <w:r w:rsidR="00585952" w:rsidRPr="00781BD2">
        <w:t>and</w:t>
      </w:r>
      <w:r w:rsidR="00513175" w:rsidRPr="00781BD2">
        <w:t xml:space="preserve"> </w:t>
      </w:r>
      <w:r w:rsidR="00041CA5" w:rsidRPr="00781BD2">
        <w:t>I</w:t>
      </w:r>
      <w:r w:rsidR="00513175" w:rsidRPr="00781BD2">
        <w:t>B</w:t>
      </w:r>
      <w:r w:rsidR="00041CA5" w:rsidRPr="00781BD2">
        <w:t>V</w:t>
      </w:r>
      <w:r w:rsidR="00513175" w:rsidRPr="00781BD2">
        <w:t xml:space="preserve">)], the </w:t>
      </w:r>
      <w:r w:rsidR="00F80D60" w:rsidRPr="00781BD2">
        <w:rPr>
          <w:i/>
        </w:rPr>
        <w:t>P</w:t>
      </w:r>
      <w:r w:rsidR="00513175" w:rsidRPr="00781BD2">
        <w:rPr>
          <w:i/>
        </w:rPr>
        <w:t>aramyxoviridae</w:t>
      </w:r>
      <w:r w:rsidR="00513175" w:rsidRPr="00781BD2">
        <w:t xml:space="preserve"> </w:t>
      </w:r>
      <w:r w:rsidR="00585952" w:rsidRPr="00781BD2">
        <w:t>[</w:t>
      </w:r>
      <w:r w:rsidR="00F80D60" w:rsidRPr="00781BD2">
        <w:t>para</w:t>
      </w:r>
      <w:r w:rsidR="00513175" w:rsidRPr="00781BD2">
        <w:t xml:space="preserve">influenza Sendai virus (SeV) and respiratory syncytial virus A-2 (RSV)], the </w:t>
      </w:r>
      <w:r w:rsidR="00F80D60" w:rsidRPr="00781BD2">
        <w:rPr>
          <w:i/>
          <w:iCs/>
        </w:rPr>
        <w:t>P</w:t>
      </w:r>
      <w:r w:rsidR="00513175" w:rsidRPr="00781BD2">
        <w:rPr>
          <w:i/>
          <w:iCs/>
        </w:rPr>
        <w:t>icornaviridae</w:t>
      </w:r>
      <w:r w:rsidR="00513175" w:rsidRPr="00781BD2">
        <w:t xml:space="preserve"> (human rhinovirus type 2) and the </w:t>
      </w:r>
      <w:r w:rsidR="00F80D60" w:rsidRPr="00781BD2">
        <w:rPr>
          <w:i/>
          <w:iCs/>
        </w:rPr>
        <w:t>C</w:t>
      </w:r>
      <w:r w:rsidR="00513175" w:rsidRPr="00781BD2">
        <w:rPr>
          <w:i/>
          <w:iCs/>
        </w:rPr>
        <w:t>oronaviridae</w:t>
      </w:r>
      <w:r w:rsidR="00513175" w:rsidRPr="00781BD2">
        <w:t xml:space="preserve"> [c</w:t>
      </w:r>
      <w:r w:rsidR="00F80D60" w:rsidRPr="00781BD2">
        <w:t>anine coronavirus S-378 (CCoV)],</w:t>
      </w:r>
      <w:r w:rsidR="00513175" w:rsidRPr="00781BD2">
        <w:t xml:space="preserve"> the </w:t>
      </w:r>
      <w:r w:rsidR="0016659D" w:rsidRPr="00781BD2">
        <w:rPr>
          <w:i/>
          <w:iCs/>
        </w:rPr>
        <w:t>R</w:t>
      </w:r>
      <w:r w:rsidR="00513175" w:rsidRPr="00781BD2">
        <w:rPr>
          <w:i/>
          <w:iCs/>
        </w:rPr>
        <w:t>etroviridae</w:t>
      </w:r>
      <w:r w:rsidR="00513175" w:rsidRPr="00781BD2">
        <w:t xml:space="preserve"> </w:t>
      </w:r>
      <w:r w:rsidR="00585952" w:rsidRPr="00781BD2">
        <w:t>[</w:t>
      </w:r>
      <w:r w:rsidR="00513175" w:rsidRPr="00781BD2">
        <w:t xml:space="preserve">(human immunodeficiency virus (HIV)], the </w:t>
      </w:r>
      <w:r w:rsidR="00513175" w:rsidRPr="00781BD2">
        <w:rPr>
          <w:i/>
        </w:rPr>
        <w:t xml:space="preserve">Flaviviridae </w:t>
      </w:r>
      <w:r w:rsidR="00585952" w:rsidRPr="00781BD2">
        <w:t>[</w:t>
      </w:r>
      <w:r w:rsidR="00513175" w:rsidRPr="00781BD2">
        <w:t xml:space="preserve">Hepatitis C virus (HCV), Japanese Encephalitis Virus (JEV), the Yellow Fever virus 17DD (YFV), the </w:t>
      </w:r>
      <w:r w:rsidR="00F80D60" w:rsidRPr="00781BD2">
        <w:t>D</w:t>
      </w:r>
      <w:r w:rsidR="00513175" w:rsidRPr="00781BD2">
        <w:t>engue fever virus -2 (DFV), the Zika virus (ZIKV)</w:t>
      </w:r>
      <w:r w:rsidR="00F80D60" w:rsidRPr="00781BD2">
        <w:t>]</w:t>
      </w:r>
      <w:r w:rsidR="00513175" w:rsidRPr="00781BD2">
        <w:t xml:space="preserve">, the </w:t>
      </w:r>
      <w:r w:rsidR="00F80D60" w:rsidRPr="00781BD2">
        <w:rPr>
          <w:i/>
          <w:iCs/>
        </w:rPr>
        <w:t>T</w:t>
      </w:r>
      <w:r w:rsidR="00513175" w:rsidRPr="00781BD2">
        <w:rPr>
          <w:i/>
          <w:iCs/>
        </w:rPr>
        <w:t>ogaviridae</w:t>
      </w:r>
      <w:r w:rsidR="00852E12" w:rsidRPr="00781BD2">
        <w:t xml:space="preserve"> [chikungunya virus, Sindbis virus (SINV)</w:t>
      </w:r>
      <w:r w:rsidR="00513175" w:rsidRPr="00781BD2">
        <w:t xml:space="preserve"> </w:t>
      </w:r>
      <w:r w:rsidR="00585952" w:rsidRPr="00781BD2">
        <w:t xml:space="preserve">and </w:t>
      </w:r>
      <w:r w:rsidR="00513175" w:rsidRPr="00781BD2">
        <w:t>the S</w:t>
      </w:r>
      <w:r w:rsidR="00041CA5" w:rsidRPr="00781BD2">
        <w:t>e</w:t>
      </w:r>
      <w:r w:rsidR="00513175" w:rsidRPr="00781BD2">
        <w:t xml:space="preserve">mliki </w:t>
      </w:r>
      <w:r w:rsidR="00041CA5" w:rsidRPr="00781BD2">
        <w:t xml:space="preserve">Forest </w:t>
      </w:r>
      <w:r w:rsidR="00513175" w:rsidRPr="00781BD2">
        <w:t xml:space="preserve">virus (SFV)], the </w:t>
      </w:r>
      <w:r w:rsidR="00F80D60" w:rsidRPr="00781BD2">
        <w:rPr>
          <w:i/>
          <w:iCs/>
        </w:rPr>
        <w:t>R</w:t>
      </w:r>
      <w:r w:rsidR="00513175" w:rsidRPr="00781BD2">
        <w:rPr>
          <w:i/>
          <w:iCs/>
        </w:rPr>
        <w:t xml:space="preserve">eoviridae </w:t>
      </w:r>
      <w:r w:rsidR="00F80D60" w:rsidRPr="00781BD2">
        <w:t>[Simian A/SA11-G3P[2] and human Wa-G1P[8] rotaviruses</w:t>
      </w:r>
      <w:r w:rsidR="00513175" w:rsidRPr="00781BD2">
        <w:t xml:space="preserve">], the </w:t>
      </w:r>
      <w:r w:rsidR="00DF734C" w:rsidRPr="00781BD2">
        <w:rPr>
          <w:i/>
          <w:iCs/>
        </w:rPr>
        <w:t>C</w:t>
      </w:r>
      <w:r w:rsidR="00513175" w:rsidRPr="00781BD2">
        <w:rPr>
          <w:i/>
          <w:iCs/>
        </w:rPr>
        <w:t>al</w:t>
      </w:r>
      <w:r w:rsidR="00DF734C" w:rsidRPr="00781BD2">
        <w:rPr>
          <w:i/>
          <w:iCs/>
        </w:rPr>
        <w:t>i</w:t>
      </w:r>
      <w:r w:rsidR="00513175" w:rsidRPr="00781BD2">
        <w:rPr>
          <w:i/>
          <w:iCs/>
        </w:rPr>
        <w:t xml:space="preserve">civiridae </w:t>
      </w:r>
      <w:r w:rsidR="00513175" w:rsidRPr="00781BD2">
        <w:t xml:space="preserve">(norovirus), and the </w:t>
      </w:r>
      <w:r w:rsidR="00DF734C" w:rsidRPr="00781BD2">
        <w:rPr>
          <w:i/>
          <w:iCs/>
        </w:rPr>
        <w:t>H</w:t>
      </w:r>
      <w:r w:rsidR="00513175" w:rsidRPr="00781BD2">
        <w:rPr>
          <w:i/>
          <w:iCs/>
        </w:rPr>
        <w:t xml:space="preserve">erpesviridae </w:t>
      </w:r>
      <w:r w:rsidR="00513175" w:rsidRPr="00781BD2">
        <w:t xml:space="preserve">(herpes simplex virus (HSV-1 </w:t>
      </w:r>
      <w:r w:rsidR="00585952" w:rsidRPr="00781BD2">
        <w:t>and</w:t>
      </w:r>
      <w:r w:rsidR="00513175" w:rsidRPr="00781BD2">
        <w:t xml:space="preserve"> -2)</w:t>
      </w:r>
      <w:r w:rsidR="006858C6" w:rsidRPr="00781BD2">
        <w:t xml:space="preserve"> [16]</w:t>
      </w:r>
      <w:r w:rsidR="00513175" w:rsidRPr="00781BD2">
        <w:t xml:space="preserve">. </w:t>
      </w:r>
    </w:p>
    <w:p w:rsidR="008510FF" w:rsidRPr="00781BD2" w:rsidRDefault="00513175" w:rsidP="00513175">
      <w:pPr>
        <w:widowControl w:val="0"/>
        <w:autoSpaceDE w:val="0"/>
        <w:autoSpaceDN w:val="0"/>
        <w:adjustRightInd w:val="0"/>
        <w:spacing w:line="360" w:lineRule="auto"/>
        <w:ind w:firstLine="720"/>
        <w:jc w:val="both"/>
        <w:rPr>
          <w:rFonts w:cstheme="majorHAnsi"/>
        </w:rPr>
      </w:pPr>
      <w:r w:rsidRPr="00781BD2">
        <w:t>More recently Wang et al</w:t>
      </w:r>
      <w:r w:rsidR="00DF734C" w:rsidRPr="00781BD2">
        <w:t>.</w:t>
      </w:r>
      <w:r w:rsidRPr="00781BD2">
        <w:t xml:space="preserve"> showed that nitazoxanide was effective against the emerging coronavirus SARS-CoV-2 </w:t>
      </w:r>
      <w:r w:rsidR="00274185" w:rsidRPr="00781BD2">
        <w:t>(</w:t>
      </w:r>
      <w:r w:rsidR="00274185" w:rsidRPr="00781BD2">
        <w:rPr>
          <w:rFonts w:cstheme="majorHAnsi"/>
        </w:rPr>
        <w:t>Covid-19)</w:t>
      </w:r>
      <w:r w:rsidR="00615CE2" w:rsidRPr="00781BD2">
        <w:rPr>
          <w:rFonts w:cstheme="majorHAnsi"/>
        </w:rPr>
        <w:t xml:space="preserve"> [21]</w:t>
      </w:r>
      <w:r w:rsidRPr="00781BD2">
        <w:t>.</w:t>
      </w:r>
      <w:r w:rsidRPr="00781BD2">
        <w:rPr>
          <w:rFonts w:cstheme="majorHAnsi"/>
        </w:rPr>
        <w:t xml:space="preserve"> </w:t>
      </w:r>
      <w:r w:rsidR="00EF55DE" w:rsidRPr="00781BD2">
        <w:rPr>
          <w:rFonts w:cstheme="majorHAnsi"/>
        </w:rPr>
        <w:t xml:space="preserve">With or without </w:t>
      </w:r>
      <w:r w:rsidRPr="00781BD2">
        <w:rPr>
          <w:rFonts w:cstheme="majorHAnsi"/>
        </w:rPr>
        <w:t>safe vaccines</w:t>
      </w:r>
      <w:r w:rsidR="00EF55DE" w:rsidRPr="00781BD2">
        <w:rPr>
          <w:rFonts w:cstheme="majorHAnsi"/>
        </w:rPr>
        <w:t>,</w:t>
      </w:r>
      <w:r w:rsidRPr="00781BD2">
        <w:rPr>
          <w:rFonts w:cstheme="majorHAnsi"/>
        </w:rPr>
        <w:t xml:space="preserve"> a chemoprophylactic treatment would be extremely useful. Two large clinical studies </w:t>
      </w:r>
      <w:r w:rsidR="00984C6D" w:rsidRPr="00781BD2">
        <w:rPr>
          <w:rFonts w:cstheme="majorHAnsi"/>
        </w:rPr>
        <w:t xml:space="preserve">with </w:t>
      </w:r>
      <w:r w:rsidR="00370E0B" w:rsidRPr="00781BD2">
        <w:rPr>
          <w:rFonts w:cstheme="majorHAnsi"/>
        </w:rPr>
        <w:t xml:space="preserve">nitazoxanide </w:t>
      </w:r>
      <w:r w:rsidR="009812ED" w:rsidRPr="00781BD2">
        <w:rPr>
          <w:rFonts w:cstheme="majorHAnsi"/>
        </w:rPr>
        <w:t xml:space="preserve">against </w:t>
      </w:r>
      <w:r w:rsidR="009812ED" w:rsidRPr="00781BD2">
        <w:t xml:space="preserve">SARS-CoV-2 </w:t>
      </w:r>
      <w:r w:rsidRPr="00781BD2">
        <w:rPr>
          <w:rFonts w:cstheme="majorHAnsi"/>
        </w:rPr>
        <w:t xml:space="preserve">in a total of 1,800 subjects </w:t>
      </w:r>
      <w:r w:rsidR="002D2083" w:rsidRPr="00781BD2">
        <w:rPr>
          <w:rFonts w:cstheme="majorHAnsi"/>
        </w:rPr>
        <w:t>have been recruited</w:t>
      </w:r>
      <w:r w:rsidRPr="00781BD2">
        <w:rPr>
          <w:rFonts w:cstheme="majorHAnsi"/>
        </w:rPr>
        <w:t xml:space="preserve"> in the US among populations at risk testing the effect of the drug on post-exposure prophylaxis in health care workers and residents of the nursing homes</w:t>
      </w:r>
      <w:r w:rsidR="004A124D" w:rsidRPr="00781BD2">
        <w:rPr>
          <w:rFonts w:cstheme="majorHAnsi"/>
        </w:rPr>
        <w:t xml:space="preserve"> [22, 23]</w:t>
      </w:r>
      <w:r w:rsidR="00AA5BD9" w:rsidRPr="00781BD2">
        <w:rPr>
          <w:rFonts w:cstheme="majorHAnsi"/>
        </w:rPr>
        <w:t>.</w:t>
      </w:r>
      <w:r w:rsidRPr="00781BD2">
        <w:rPr>
          <w:rFonts w:cstheme="majorHAnsi"/>
        </w:rPr>
        <w:t xml:space="preserve"> </w:t>
      </w:r>
    </w:p>
    <w:p w:rsidR="00E7217E" w:rsidRPr="00781BD2" w:rsidRDefault="00E7217E" w:rsidP="00E7217E">
      <w:pPr>
        <w:widowControl w:val="0"/>
        <w:autoSpaceDE w:val="0"/>
        <w:autoSpaceDN w:val="0"/>
        <w:adjustRightInd w:val="0"/>
        <w:spacing w:line="360" w:lineRule="auto"/>
        <w:jc w:val="both"/>
        <w:rPr>
          <w:rFonts w:cstheme="majorHAnsi"/>
          <w:b/>
          <w:bCs/>
        </w:rPr>
      </w:pPr>
      <w:r w:rsidRPr="00781BD2">
        <w:rPr>
          <w:rFonts w:cstheme="majorHAnsi"/>
          <w:b/>
          <w:bCs/>
        </w:rPr>
        <w:t>Mode of antiviral action of NTZ</w:t>
      </w:r>
    </w:p>
    <w:p w:rsidR="00370130" w:rsidRPr="00781BD2" w:rsidRDefault="00370130" w:rsidP="00370130">
      <w:pPr>
        <w:widowControl w:val="0"/>
        <w:autoSpaceDE w:val="0"/>
        <w:autoSpaceDN w:val="0"/>
        <w:adjustRightInd w:val="0"/>
        <w:spacing w:line="360" w:lineRule="auto"/>
        <w:ind w:firstLine="720"/>
        <w:jc w:val="both"/>
        <w:rPr>
          <w:rFonts w:cstheme="majorHAnsi"/>
        </w:rPr>
      </w:pPr>
      <w:r w:rsidRPr="00781BD2">
        <w:t xml:space="preserve">Nitazoxanide and tizoxanide are modulators of mitochondrial activity by uncoupling oxidative phosphorylation. Studies indicate that tizoxanide decreases cellular ATP in a dose-dependent manner in MDCK cells infected with the influenza viruses. Maximum inhibition of ATP in influenza infected or uninfected MDCK cells reaches up to 45% after 24 hours of exposure to 100 µM tizoxanide. In these experiments a 10% reduction of ATP </w:t>
      </w:r>
      <w:r w:rsidR="000B5BEA" w:rsidRPr="00781BD2">
        <w:t>results from</w:t>
      </w:r>
      <w:r w:rsidRPr="00781BD2">
        <w:t xml:space="preserve"> adding less than 10 µM of tizoxanide</w:t>
      </w:r>
      <w:r w:rsidR="000B5BEA" w:rsidRPr="00781BD2">
        <w:t>,</w:t>
      </w:r>
      <w:r w:rsidRPr="00781BD2">
        <w:t xml:space="preserve"> sufficient to inhibit influenza virus replication by approximately 90%. The decrease in cellular ATP does not affect cell viability and is reversible after eliminating tizoxanide from the culture</w:t>
      </w:r>
      <w:r w:rsidR="00380716" w:rsidRPr="00781BD2">
        <w:t xml:space="preserve"> [24]</w:t>
      </w:r>
      <w:r w:rsidRPr="00781BD2">
        <w:t>. Studies of a number of different viruses have shown viral replication is ATP-dependent</w:t>
      </w:r>
      <w:r w:rsidR="00380716" w:rsidRPr="00781BD2">
        <w:t xml:space="preserve"> [25-29]</w:t>
      </w:r>
      <w:r w:rsidRPr="00781BD2">
        <w:t>. In the case of nitazoxanide, key viral proteins</w:t>
      </w:r>
      <w:r w:rsidR="00F41D67" w:rsidRPr="00781BD2">
        <w:t xml:space="preserve"> like hemagglutinin (influenza) and</w:t>
      </w:r>
      <w:r w:rsidRPr="00781BD2">
        <w:t xml:space="preserve"> F-protein (RSV </w:t>
      </w:r>
      <w:r w:rsidR="00F8422B" w:rsidRPr="00781BD2">
        <w:t>and</w:t>
      </w:r>
      <w:r w:rsidRPr="00781BD2">
        <w:t xml:space="preserve"> parainfluenza) have been identified as the </w:t>
      </w:r>
      <w:r w:rsidR="0037047F" w:rsidRPr="00781BD2">
        <w:t>drug target</w:t>
      </w:r>
      <w:r w:rsidR="00380716" w:rsidRPr="00781BD2">
        <w:t xml:space="preserve"> [30, 31]</w:t>
      </w:r>
      <w:r w:rsidRPr="00781BD2">
        <w:t>. In addition, inhibition of ATP and its downstream effect on AMP-activated protein kinase activation has been shown to suppress secretion of pro-inflammatory cytokines</w:t>
      </w:r>
      <w:r w:rsidR="00380716" w:rsidRPr="00781BD2">
        <w:t xml:space="preserve"> [32-34]</w:t>
      </w:r>
      <w:r w:rsidR="00F8422B" w:rsidRPr="00781BD2">
        <w:t>.</w:t>
      </w:r>
      <w:r w:rsidRPr="00781BD2">
        <w:rPr>
          <w:rFonts w:cstheme="majorHAnsi"/>
        </w:rPr>
        <w:t xml:space="preserve"> </w:t>
      </w:r>
      <w:r w:rsidR="00651226" w:rsidRPr="00781BD2">
        <w:rPr>
          <w:rFonts w:cstheme="majorHAnsi"/>
        </w:rPr>
        <w:t>We have very recently discovered</w:t>
      </w:r>
      <w:r w:rsidR="00AF6146" w:rsidRPr="00781BD2">
        <w:rPr>
          <w:rFonts w:cstheme="majorHAnsi"/>
        </w:rPr>
        <w:t xml:space="preserve"> that NTZ shares with other drugs the ability to inhibit viral syncytia formation </w:t>
      </w:r>
      <w:r w:rsidR="00FB4A77" w:rsidRPr="00781BD2">
        <w:rPr>
          <w:rFonts w:cstheme="majorHAnsi"/>
        </w:rPr>
        <w:t>induced by the SARS-CoV</w:t>
      </w:r>
      <w:r w:rsidR="006E0751" w:rsidRPr="00781BD2">
        <w:rPr>
          <w:rFonts w:cstheme="majorHAnsi"/>
        </w:rPr>
        <w:t>-</w:t>
      </w:r>
      <w:r w:rsidR="00FB4A77" w:rsidRPr="00781BD2">
        <w:rPr>
          <w:rFonts w:cstheme="majorHAnsi"/>
        </w:rPr>
        <w:t>2 spike protein</w:t>
      </w:r>
      <w:r w:rsidR="00A32414" w:rsidRPr="00781BD2">
        <w:rPr>
          <w:rFonts w:cstheme="majorHAnsi"/>
        </w:rPr>
        <w:t xml:space="preserve"> [35]</w:t>
      </w:r>
      <w:r w:rsidR="00FB4A77" w:rsidRPr="00781BD2">
        <w:rPr>
          <w:rFonts w:cstheme="majorHAnsi"/>
        </w:rPr>
        <w:t xml:space="preserve">; </w:t>
      </w:r>
      <w:r w:rsidR="005C7E44" w:rsidRPr="00781BD2">
        <w:rPr>
          <w:rFonts w:cstheme="majorHAnsi"/>
        </w:rPr>
        <w:t>further</w:t>
      </w:r>
      <w:r w:rsidR="00651226" w:rsidRPr="00781BD2">
        <w:rPr>
          <w:rFonts w:cstheme="majorHAnsi"/>
        </w:rPr>
        <w:t xml:space="preserve">more, </w:t>
      </w:r>
      <w:r w:rsidR="00FB4A77" w:rsidRPr="00781BD2">
        <w:rPr>
          <w:rFonts w:cstheme="majorHAnsi"/>
        </w:rPr>
        <w:t>it also enhances RNA sensor activity</w:t>
      </w:r>
      <w:r w:rsidR="00A32414" w:rsidRPr="00781BD2">
        <w:rPr>
          <w:rFonts w:cstheme="majorHAnsi"/>
        </w:rPr>
        <w:t xml:space="preserve"> [36, 37]</w:t>
      </w:r>
      <w:r w:rsidR="00FB4A77" w:rsidRPr="00781BD2">
        <w:rPr>
          <w:rFonts w:cstheme="majorHAnsi"/>
        </w:rPr>
        <w:t>.</w:t>
      </w:r>
    </w:p>
    <w:p w:rsidR="00354012" w:rsidRPr="00781BD2" w:rsidRDefault="00354012" w:rsidP="00333510">
      <w:pPr>
        <w:spacing w:line="360" w:lineRule="auto"/>
        <w:rPr>
          <w:b/>
          <w:bCs/>
        </w:rPr>
      </w:pPr>
    </w:p>
    <w:p w:rsidR="00354012" w:rsidRPr="00781BD2" w:rsidRDefault="00354012" w:rsidP="00354012">
      <w:pPr>
        <w:spacing w:line="360" w:lineRule="auto"/>
        <w:jc w:val="center"/>
        <w:rPr>
          <w:b/>
          <w:bCs/>
        </w:rPr>
      </w:pPr>
      <w:r w:rsidRPr="00781BD2">
        <w:rPr>
          <w:b/>
          <w:bCs/>
          <w:noProof/>
          <w:lang w:val="en-US"/>
        </w:rPr>
        <w:drawing>
          <wp:inline distT="0" distB="0" distL="0" distR="0">
            <wp:extent cx="4465320" cy="1360388"/>
            <wp:effectExtent l="2540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54956" cy="1387696"/>
                    </a:xfrm>
                    <a:prstGeom prst="rect">
                      <a:avLst/>
                    </a:prstGeom>
                  </pic:spPr>
                </pic:pic>
              </a:graphicData>
            </a:graphic>
          </wp:inline>
        </w:drawing>
      </w:r>
    </w:p>
    <w:p w:rsidR="00517475" w:rsidRPr="00781BD2" w:rsidRDefault="00354012" w:rsidP="000652B4">
      <w:pPr>
        <w:spacing w:line="360" w:lineRule="auto"/>
        <w:rPr>
          <w:b/>
          <w:bCs/>
          <w:sz w:val="22"/>
        </w:rPr>
      </w:pPr>
      <w:r w:rsidRPr="00781BD2">
        <w:rPr>
          <w:b/>
          <w:bCs/>
          <w:sz w:val="22"/>
        </w:rPr>
        <w:t xml:space="preserve">                                     </w:t>
      </w:r>
      <w:r w:rsidR="00E80145" w:rsidRPr="00781BD2">
        <w:rPr>
          <w:b/>
          <w:bCs/>
          <w:sz w:val="22"/>
        </w:rPr>
        <w:t>6</w:t>
      </w:r>
      <w:r w:rsidRPr="00781BD2">
        <w:rPr>
          <w:b/>
          <w:bCs/>
          <w:sz w:val="22"/>
        </w:rPr>
        <w:t xml:space="preserve">                                                                    </w:t>
      </w:r>
      <w:r w:rsidR="003F7B03" w:rsidRPr="00781BD2">
        <w:rPr>
          <w:b/>
          <w:bCs/>
          <w:sz w:val="22"/>
        </w:rPr>
        <w:t xml:space="preserve">           </w:t>
      </w:r>
      <w:r w:rsidRPr="00781BD2">
        <w:rPr>
          <w:b/>
          <w:bCs/>
          <w:sz w:val="22"/>
        </w:rPr>
        <w:t>7</w:t>
      </w:r>
    </w:p>
    <w:p w:rsidR="00517475" w:rsidRPr="00781BD2" w:rsidRDefault="00517475" w:rsidP="000652B4">
      <w:pPr>
        <w:spacing w:line="360" w:lineRule="auto"/>
        <w:rPr>
          <w:bCs/>
          <w:sz w:val="22"/>
        </w:rPr>
      </w:pPr>
      <w:r w:rsidRPr="00781BD2">
        <w:rPr>
          <w:b/>
          <w:bCs/>
          <w:sz w:val="22"/>
        </w:rPr>
        <w:t xml:space="preserve">Figure 2. </w:t>
      </w:r>
      <w:r w:rsidRPr="00781BD2">
        <w:rPr>
          <w:bCs/>
          <w:sz w:val="22"/>
        </w:rPr>
        <w:t xml:space="preserve">Examples of prodrug ester and salt formulations. </w:t>
      </w:r>
    </w:p>
    <w:p w:rsidR="00E64D83" w:rsidRPr="00781BD2" w:rsidRDefault="00E64D83" w:rsidP="000652B4">
      <w:pPr>
        <w:spacing w:line="360" w:lineRule="auto"/>
        <w:rPr>
          <w:bCs/>
          <w:sz w:val="22"/>
        </w:rPr>
      </w:pPr>
    </w:p>
    <w:p w:rsidR="00564916" w:rsidRPr="00781BD2" w:rsidRDefault="00564916" w:rsidP="000652B4">
      <w:pPr>
        <w:spacing w:line="360" w:lineRule="auto"/>
        <w:rPr>
          <w:b/>
          <w:bCs/>
        </w:rPr>
      </w:pPr>
      <w:r w:rsidRPr="00781BD2">
        <w:rPr>
          <w:b/>
          <w:bCs/>
        </w:rPr>
        <w:t>Pharmacokinetic Characteristics of Nitazoxanide</w:t>
      </w:r>
      <w:r w:rsidR="001D3691" w:rsidRPr="00781BD2">
        <w:rPr>
          <w:b/>
          <w:bCs/>
        </w:rPr>
        <w:tab/>
      </w:r>
    </w:p>
    <w:p w:rsidR="001D3691" w:rsidRPr="00781BD2" w:rsidRDefault="001D3691" w:rsidP="000652B4">
      <w:pPr>
        <w:spacing w:line="360" w:lineRule="auto"/>
      </w:pPr>
      <w:r w:rsidRPr="00781BD2">
        <w:t xml:space="preserve">NTZ </w:t>
      </w:r>
      <w:r w:rsidRPr="00781BD2">
        <w:rPr>
          <w:b/>
          <w:bCs/>
        </w:rPr>
        <w:t>1</w:t>
      </w:r>
      <w:r w:rsidR="00350868" w:rsidRPr="00781BD2">
        <w:rPr>
          <w:b/>
          <w:bCs/>
        </w:rPr>
        <w:t>a</w:t>
      </w:r>
      <w:r w:rsidRPr="00781BD2">
        <w:t xml:space="preserve"> is administered orally but is only partially absorbed </w:t>
      </w:r>
      <w:r w:rsidR="004E32C0" w:rsidRPr="00781BD2">
        <w:t>from</w:t>
      </w:r>
      <w:r w:rsidRPr="00781BD2">
        <w:t xml:space="preserve"> the gastro-intestinal tract</w:t>
      </w:r>
      <w:r w:rsidR="00CD7394" w:rsidRPr="00781BD2">
        <w:t xml:space="preserve"> [38]</w:t>
      </w:r>
      <w:r w:rsidR="00502A51" w:rsidRPr="00781BD2">
        <w:t>. It is effectively a prodrug for</w:t>
      </w:r>
      <w:r w:rsidR="004A298C" w:rsidRPr="00781BD2">
        <w:t xml:space="preserve"> </w:t>
      </w:r>
      <w:r w:rsidR="00502A51" w:rsidRPr="00781BD2">
        <w:t>t</w:t>
      </w:r>
      <w:r w:rsidR="004A298C" w:rsidRPr="00781BD2">
        <w:t xml:space="preserve">he deacetyl derivative tizoxanide </w:t>
      </w:r>
      <w:r w:rsidR="00350868" w:rsidRPr="00781BD2">
        <w:rPr>
          <w:b/>
          <w:bCs/>
        </w:rPr>
        <w:t>1b</w:t>
      </w:r>
      <w:r w:rsidR="00502A51" w:rsidRPr="00781BD2">
        <w:t>,</w:t>
      </w:r>
      <w:r w:rsidR="00350868" w:rsidRPr="00781BD2">
        <w:t xml:space="preserve"> </w:t>
      </w:r>
      <w:r w:rsidR="00502A51" w:rsidRPr="00781BD2">
        <w:t xml:space="preserve">which </w:t>
      </w:r>
      <w:r w:rsidR="00350868" w:rsidRPr="00781BD2">
        <w:t xml:space="preserve">is formed immediately on absorption </w:t>
      </w:r>
      <w:r w:rsidR="00BB379E" w:rsidRPr="00781BD2">
        <w:t xml:space="preserve">and subsequently excreted from the body largely as the </w:t>
      </w:r>
      <w:r w:rsidR="00BB379E" w:rsidRPr="00781BD2">
        <w:rPr>
          <w:i/>
          <w:iCs/>
        </w:rPr>
        <w:t>O</w:t>
      </w:r>
      <w:r w:rsidR="00BB379E" w:rsidRPr="00781BD2">
        <w:t xml:space="preserve">-glucuronide </w:t>
      </w:r>
      <w:r w:rsidR="00502A51" w:rsidRPr="00781BD2">
        <w:rPr>
          <w:b/>
          <w:bCs/>
        </w:rPr>
        <w:t>5</w:t>
      </w:r>
      <w:r w:rsidR="005A258D" w:rsidRPr="00781BD2">
        <w:rPr>
          <w:b/>
          <w:bCs/>
        </w:rPr>
        <w:t xml:space="preserve"> </w:t>
      </w:r>
      <w:r w:rsidR="005A258D" w:rsidRPr="00781BD2">
        <w:rPr>
          <w:bCs/>
        </w:rPr>
        <w:t>[39]</w:t>
      </w:r>
      <w:r w:rsidR="00BB71BA" w:rsidRPr="00781BD2">
        <w:t xml:space="preserve">: </w:t>
      </w:r>
      <w:r w:rsidR="00BB71BA" w:rsidRPr="00781BD2">
        <w:rPr>
          <w:b/>
          <w:bCs/>
        </w:rPr>
        <w:t>1a</w:t>
      </w:r>
      <w:r w:rsidR="00BB71BA" w:rsidRPr="00781BD2">
        <w:t xml:space="preserve"> has</w:t>
      </w:r>
      <w:r w:rsidR="00B632EA" w:rsidRPr="00781BD2">
        <w:t xml:space="preserve"> a plasma half</w:t>
      </w:r>
      <w:r w:rsidR="003A3F2B" w:rsidRPr="00781BD2">
        <w:t>-</w:t>
      </w:r>
      <w:r w:rsidR="00B632EA" w:rsidRPr="00781BD2">
        <w:t>life of 1.3h.</w:t>
      </w:r>
      <w:r w:rsidR="000D34D4" w:rsidRPr="00781BD2">
        <w:t xml:space="preserve"> Such a biodisposition is perfectly acceptable for intestinal infection</w:t>
      </w:r>
      <w:r w:rsidR="00616B18" w:rsidRPr="00781BD2">
        <w:t>s</w:t>
      </w:r>
      <w:r w:rsidR="000D34D4" w:rsidRPr="00781BD2">
        <w:t xml:space="preserve">, </w:t>
      </w:r>
      <w:r w:rsidR="00616B18" w:rsidRPr="00781BD2">
        <w:t xml:space="preserve">but to achieve adequate systemic circulation of </w:t>
      </w:r>
      <w:r w:rsidR="00616B18" w:rsidRPr="00781BD2">
        <w:rPr>
          <w:b/>
          <w:bCs/>
        </w:rPr>
        <w:t>1a</w:t>
      </w:r>
      <w:r w:rsidR="00662FB3" w:rsidRPr="00781BD2">
        <w:rPr>
          <w:b/>
          <w:bCs/>
        </w:rPr>
        <w:t>/1b</w:t>
      </w:r>
      <w:r w:rsidR="00616B18" w:rsidRPr="00781BD2">
        <w:t xml:space="preserve"> for viruses such as influenza A is a major challenge.</w:t>
      </w:r>
      <w:r w:rsidR="008F71AE" w:rsidRPr="00781BD2">
        <w:t xml:space="preserve"> We have described the synthesis and evaluation of prodrug amino-acid esters such as </w:t>
      </w:r>
      <w:r w:rsidR="00502A51" w:rsidRPr="00781BD2">
        <w:rPr>
          <w:b/>
          <w:bCs/>
        </w:rPr>
        <w:t>6</w:t>
      </w:r>
      <w:r w:rsidR="00DB0CA6" w:rsidRPr="00781BD2">
        <w:rPr>
          <w:bCs/>
        </w:rPr>
        <w:t>,</w:t>
      </w:r>
      <w:r w:rsidR="008F71AE" w:rsidRPr="00781BD2">
        <w:t xml:space="preserve"> </w:t>
      </w:r>
      <w:r w:rsidR="00517475" w:rsidRPr="00781BD2">
        <w:t xml:space="preserve">Figure 2, </w:t>
      </w:r>
      <w:r w:rsidR="008F71AE" w:rsidRPr="00781BD2">
        <w:t>which</w:t>
      </w:r>
      <w:r w:rsidR="004073E5" w:rsidRPr="00781BD2">
        <w:t xml:space="preserve"> greatly improve the absolute oral bioavailability of </w:t>
      </w:r>
      <w:r w:rsidR="004073E5" w:rsidRPr="00781BD2">
        <w:rPr>
          <w:b/>
          <w:bCs/>
        </w:rPr>
        <w:t>1a</w:t>
      </w:r>
      <w:r w:rsidR="004073E5" w:rsidRPr="00781BD2">
        <w:t xml:space="preserve">, </w:t>
      </w:r>
      <w:r w:rsidR="00EA3AE5" w:rsidRPr="00781BD2">
        <w:t xml:space="preserve">to </w:t>
      </w:r>
      <w:r w:rsidR="004073E5" w:rsidRPr="00781BD2">
        <w:t xml:space="preserve">about 20% in the case of </w:t>
      </w:r>
      <w:r w:rsidR="00502A51" w:rsidRPr="00781BD2">
        <w:rPr>
          <w:b/>
          <w:bCs/>
        </w:rPr>
        <w:t>6</w:t>
      </w:r>
      <w:r w:rsidR="00FD58E9" w:rsidRPr="00781BD2">
        <w:rPr>
          <w:b/>
          <w:bCs/>
        </w:rPr>
        <w:t xml:space="preserve"> </w:t>
      </w:r>
      <w:r w:rsidR="00FD58E9" w:rsidRPr="00781BD2">
        <w:rPr>
          <w:bCs/>
        </w:rPr>
        <w:t>[40]</w:t>
      </w:r>
      <w:r w:rsidR="004073E5" w:rsidRPr="00781BD2">
        <w:t>.</w:t>
      </w:r>
    </w:p>
    <w:p w:rsidR="00F12F0B" w:rsidRPr="00781BD2" w:rsidRDefault="006A15B0" w:rsidP="000652B4">
      <w:pPr>
        <w:spacing w:line="360" w:lineRule="auto"/>
      </w:pPr>
      <w:r w:rsidRPr="00781BD2">
        <w:tab/>
        <w:t xml:space="preserve">Another approach to improve the pharmacokinetic parameters of </w:t>
      </w:r>
      <w:r w:rsidRPr="00781BD2">
        <w:rPr>
          <w:b/>
          <w:bCs/>
        </w:rPr>
        <w:t>1a/1b</w:t>
      </w:r>
      <w:r w:rsidRPr="00781BD2">
        <w:t xml:space="preserve"> is to administer the active agent as an amine salt. </w:t>
      </w:r>
      <w:r w:rsidR="00BC7629" w:rsidRPr="00781BD2">
        <w:t xml:space="preserve">Tizoxanide </w:t>
      </w:r>
      <w:r w:rsidR="00BC7629" w:rsidRPr="00781BD2">
        <w:rPr>
          <w:b/>
        </w:rPr>
        <w:t>1b</w:t>
      </w:r>
      <w:r w:rsidR="00BC7629" w:rsidRPr="00781BD2">
        <w:t xml:space="preserve"> is relatively acidic, with </w:t>
      </w:r>
      <w:r w:rsidR="00BC7629" w:rsidRPr="00781BD2">
        <w:rPr>
          <w:i/>
        </w:rPr>
        <w:t>both</w:t>
      </w:r>
      <w:r w:rsidR="00BC7629" w:rsidRPr="00781BD2">
        <w:t xml:space="preserve"> OH and NH protons being removed at pH 9 and above, and is reported to have </w:t>
      </w:r>
      <w:r w:rsidR="00F2613B" w:rsidRPr="00781BD2">
        <w:t xml:space="preserve">a first </w:t>
      </w:r>
      <w:r w:rsidR="00BC7629" w:rsidRPr="00781BD2">
        <w:t xml:space="preserve">pKa = </w:t>
      </w:r>
      <w:r w:rsidR="00A52069" w:rsidRPr="00781BD2">
        <w:t>6.7</w:t>
      </w:r>
      <w:r w:rsidR="00260270" w:rsidRPr="00781BD2">
        <w:t xml:space="preserve"> [41]</w:t>
      </w:r>
      <w:r w:rsidR="00BC7629" w:rsidRPr="00781BD2">
        <w:t xml:space="preserve">. </w:t>
      </w:r>
      <w:r w:rsidR="00AC1A04" w:rsidRPr="00781BD2">
        <w:t xml:space="preserve">Ethanolamine proved to be a suitable amine for generation of a stable salt of </w:t>
      </w:r>
      <w:r w:rsidR="00AC1A04" w:rsidRPr="00781BD2">
        <w:rPr>
          <w:b/>
        </w:rPr>
        <w:t>1b</w:t>
      </w:r>
      <w:r w:rsidR="00AC1A04" w:rsidRPr="00781BD2">
        <w:t>: the beta-oxygen reduces its pKa compared with ethylamine</w:t>
      </w:r>
      <w:r w:rsidR="00DE35CB" w:rsidRPr="00781BD2">
        <w:t xml:space="preserve"> (viz. 9.5 as opposed to 10.5)</w:t>
      </w:r>
      <w:r w:rsidR="00AC1A04" w:rsidRPr="00781BD2">
        <w:t xml:space="preserve">, and crucially it is very well tolerated </w:t>
      </w:r>
      <w:r w:rsidR="00AC1A04" w:rsidRPr="00781BD2">
        <w:rPr>
          <w:i/>
        </w:rPr>
        <w:t>in vivo</w:t>
      </w:r>
      <w:r w:rsidR="00AC1A04" w:rsidRPr="00781BD2">
        <w:t xml:space="preserve">. </w:t>
      </w:r>
      <w:r w:rsidR="00AA0287" w:rsidRPr="00781BD2">
        <w:t xml:space="preserve">The corresponding ethanolamine salt </w:t>
      </w:r>
      <w:r w:rsidR="00AA0287" w:rsidRPr="00781BD2">
        <w:rPr>
          <w:b/>
        </w:rPr>
        <w:t>7</w:t>
      </w:r>
      <w:r w:rsidR="00260270" w:rsidRPr="00781BD2">
        <w:rPr>
          <w:b/>
        </w:rPr>
        <w:t xml:space="preserve"> </w:t>
      </w:r>
      <w:r w:rsidR="00260270" w:rsidRPr="00781BD2">
        <w:t>[42]</w:t>
      </w:r>
      <w:r w:rsidR="002C084C" w:rsidRPr="00781BD2">
        <w:t xml:space="preserve">, Figure 2, </w:t>
      </w:r>
      <w:r w:rsidR="00AA0287" w:rsidRPr="00781BD2">
        <w:t>of</w:t>
      </w:r>
      <w:r w:rsidRPr="00781BD2">
        <w:t xml:space="preserve"> niclosamide </w:t>
      </w:r>
      <w:r w:rsidRPr="00781BD2">
        <w:rPr>
          <w:b/>
          <w:bCs/>
        </w:rPr>
        <w:t>2</w:t>
      </w:r>
      <w:r w:rsidR="00A93935" w:rsidRPr="00781BD2">
        <w:t xml:space="preserve"> </w:t>
      </w:r>
      <w:r w:rsidR="00CD1CD3" w:rsidRPr="00781BD2">
        <w:t>is at least as well tolerated as the parent</w:t>
      </w:r>
      <w:r w:rsidR="00E92875" w:rsidRPr="00781BD2">
        <w:t>, with no adverse long-term effects seen after one year’s oral administration at high doses in rats and dogs</w:t>
      </w:r>
      <w:r w:rsidR="00260270" w:rsidRPr="00781BD2">
        <w:t xml:space="preserve"> [43, 44]</w:t>
      </w:r>
      <w:r w:rsidR="00CD1CD3" w:rsidRPr="00781BD2">
        <w:t xml:space="preserve">. </w:t>
      </w:r>
      <w:r w:rsidR="00A152E1" w:rsidRPr="00781BD2">
        <w:t xml:space="preserve">In parallel with NTZ </w:t>
      </w:r>
      <w:r w:rsidR="00A152E1" w:rsidRPr="00781BD2">
        <w:rPr>
          <w:b/>
          <w:bCs/>
        </w:rPr>
        <w:t>1a</w:t>
      </w:r>
      <w:r w:rsidR="00A152E1" w:rsidRPr="00781BD2">
        <w:t xml:space="preserve">, niclosamide </w:t>
      </w:r>
      <w:r w:rsidR="00F32D55" w:rsidRPr="00781BD2">
        <w:rPr>
          <w:b/>
          <w:bCs/>
        </w:rPr>
        <w:t xml:space="preserve">2 </w:t>
      </w:r>
      <w:r w:rsidR="00A152E1" w:rsidRPr="00781BD2">
        <w:t xml:space="preserve">is excreted primarily as its </w:t>
      </w:r>
      <w:r w:rsidR="00A152E1" w:rsidRPr="00781BD2">
        <w:rPr>
          <w:i/>
          <w:iCs/>
        </w:rPr>
        <w:t>O</w:t>
      </w:r>
      <w:r w:rsidR="00A152E1" w:rsidRPr="00781BD2">
        <w:t xml:space="preserve">-aryl glucuronide but </w:t>
      </w:r>
      <w:r w:rsidR="00EF7DF0" w:rsidRPr="00781BD2">
        <w:t>its pharmacokinetic profile is less favourable overall owing to</w:t>
      </w:r>
      <w:r w:rsidR="00E60295" w:rsidRPr="00781BD2">
        <w:t xml:space="preserve"> </w:t>
      </w:r>
      <w:r w:rsidR="00A152E1" w:rsidRPr="00781BD2">
        <w:t>oxidative metabolism</w:t>
      </w:r>
      <w:r w:rsidR="00141357" w:rsidRPr="00781BD2">
        <w:t xml:space="preserve">, </w:t>
      </w:r>
      <w:r w:rsidR="00E60295" w:rsidRPr="00781BD2">
        <w:t>generating the 3-OH derivative</w:t>
      </w:r>
      <w:r w:rsidR="00260270" w:rsidRPr="00781BD2">
        <w:t xml:space="preserve"> [45]</w:t>
      </w:r>
      <w:r w:rsidR="00E60295" w:rsidRPr="00781BD2">
        <w:t>.</w:t>
      </w:r>
    </w:p>
    <w:p w:rsidR="00F12F0B" w:rsidRPr="00781BD2" w:rsidRDefault="00F12F0B" w:rsidP="000652B4">
      <w:pPr>
        <w:spacing w:line="360" w:lineRule="auto"/>
        <w:rPr>
          <w:rFonts w:cs="FrutigerLTStd-Bold"/>
          <w:b/>
          <w:bCs/>
          <w:szCs w:val="20"/>
          <w:lang w:val="en-US"/>
        </w:rPr>
      </w:pPr>
    </w:p>
    <w:p w:rsidR="00F12F0B" w:rsidRPr="00781BD2" w:rsidRDefault="00F12F0B" w:rsidP="000652B4">
      <w:pPr>
        <w:spacing w:line="360" w:lineRule="auto"/>
        <w:rPr>
          <w:rFonts w:cs="FrutigerLTStd-Bold"/>
          <w:b/>
          <w:bCs/>
          <w:szCs w:val="20"/>
          <w:lang w:val="en-US"/>
        </w:rPr>
      </w:pPr>
      <w:r w:rsidRPr="00781BD2">
        <w:rPr>
          <w:rFonts w:cs="FrutigerLTStd-Bold"/>
          <w:b/>
          <w:bCs/>
          <w:szCs w:val="20"/>
          <w:lang w:val="en-US"/>
        </w:rPr>
        <w:t>Materials &amp; methods/experimental</w:t>
      </w:r>
    </w:p>
    <w:p w:rsidR="00F12F0B" w:rsidRPr="00781BD2" w:rsidRDefault="00F12F0B" w:rsidP="00F12F0B">
      <w:pPr>
        <w:spacing w:line="360" w:lineRule="auto"/>
        <w:rPr>
          <w:b/>
          <w:iCs/>
        </w:rPr>
      </w:pPr>
      <w:r w:rsidRPr="00781BD2">
        <w:rPr>
          <w:b/>
          <w:iCs/>
        </w:rPr>
        <w:t>Chemistry</w:t>
      </w:r>
    </w:p>
    <w:p w:rsidR="00F12F0B" w:rsidRPr="00781BD2" w:rsidRDefault="00F12F0B" w:rsidP="00F12F0B">
      <w:pPr>
        <w:spacing w:line="360" w:lineRule="auto"/>
      </w:pPr>
      <w:r w:rsidRPr="00781BD2">
        <w:t xml:space="preserve">1H and 13C spectra were obtained on a Bruker 400MHz instrument (100MHz for 13C spectra) equipped with a multinuclear 5-mm BBFO probe. 1H spectra (at 400.13 MHz) and 13C(1H) spectra (at 100.61Mhz) were acquired at ambient temperature using standard parameters set; solvent resonances were used for referencing purpose. </w:t>
      </w:r>
    </w:p>
    <w:p w:rsidR="00F12F0B" w:rsidRPr="00781BD2" w:rsidRDefault="00F12F0B" w:rsidP="00F12F0B">
      <w:pPr>
        <w:spacing w:line="360" w:lineRule="auto"/>
        <w:rPr>
          <w:rFonts w:eastAsia="Times New Roman"/>
          <w:lang w:eastAsia="en-GB"/>
        </w:rPr>
      </w:pPr>
      <w:r w:rsidRPr="00781BD2">
        <w:rPr>
          <w:rFonts w:eastAsia="Times New Roman"/>
          <w:lang w:eastAsia="en-GB"/>
        </w:rPr>
        <w:t xml:space="preserve">Low- and high-resolution mass spectra were obtained by direct injection of sample solutions into a Micromass LCT mass spectrometer operated in the electrospray mode, by +ve or -ve ion as indicated (Micromass LCT Waters Micromass UK Ltd, Manchester, UK). </w:t>
      </w:r>
    </w:p>
    <w:p w:rsidR="00F12F0B" w:rsidRPr="00781BD2" w:rsidRDefault="00F12F0B" w:rsidP="00F12F0B">
      <w:pPr>
        <w:spacing w:line="360" w:lineRule="auto"/>
      </w:pPr>
      <w:r w:rsidRPr="00781BD2">
        <w:rPr>
          <w:rFonts w:eastAsia="Times New Roman"/>
          <w:lang w:eastAsia="en-GB"/>
        </w:rPr>
        <w:t>HPLC chromatograms were obtained on an Agilent 1200 instrument, equipped with UV (DAD) and MS (ESI +/-) detectors. Sample were eluted with a gradient water/acetonitrile (with formic acid buffer) through an Ascentis Express column (C18, 100 x 4.6mm, 2.7 µm, from Supelco) equipped with a column guard.</w:t>
      </w:r>
    </w:p>
    <w:p w:rsidR="00F12F0B" w:rsidRPr="00781BD2" w:rsidRDefault="00F12F0B" w:rsidP="00F12F0B">
      <w:pPr>
        <w:spacing w:line="360" w:lineRule="auto"/>
      </w:pPr>
    </w:p>
    <w:p w:rsidR="00F12F0B" w:rsidRPr="00781BD2" w:rsidRDefault="00F12F0B" w:rsidP="00F12F0B">
      <w:pPr>
        <w:spacing w:line="360" w:lineRule="auto"/>
        <w:rPr>
          <w:b/>
          <w:i/>
          <w:iCs/>
        </w:rPr>
      </w:pPr>
      <w:r w:rsidRPr="00781BD2">
        <w:rPr>
          <w:i/>
          <w:iCs/>
        </w:rPr>
        <w:t xml:space="preserve">2-Hydroxybenzoyl-N-[(5-nitro)thiazol-2-yl]amide, Ethanolamine Salt </w:t>
      </w:r>
      <w:r w:rsidRPr="00781BD2">
        <w:rPr>
          <w:b/>
          <w:i/>
          <w:iCs/>
        </w:rPr>
        <w:t>8</w:t>
      </w:r>
    </w:p>
    <w:p w:rsidR="00F12F0B" w:rsidRPr="00781BD2" w:rsidRDefault="00F12F0B" w:rsidP="00F12F0B">
      <w:pPr>
        <w:spacing w:line="360" w:lineRule="auto"/>
        <w:rPr>
          <w:rFonts w:eastAsia="Cambria"/>
        </w:rPr>
      </w:pPr>
      <w:r w:rsidRPr="00781BD2">
        <w:rPr>
          <w:rFonts w:eastAsia="Cambria"/>
        </w:rPr>
        <w:t xml:space="preserve">Tizoxanide </w:t>
      </w:r>
      <w:r w:rsidRPr="00781BD2">
        <w:rPr>
          <w:rFonts w:eastAsia="Cambria"/>
          <w:b/>
        </w:rPr>
        <w:t xml:space="preserve">1b </w:t>
      </w:r>
      <w:r w:rsidRPr="00781BD2">
        <w:rPr>
          <w:rFonts w:eastAsia="Cambria"/>
        </w:rPr>
        <w:t>(0.53 g, 2 mmol) was suspended in methanol (MeOH, 20 ml) containing ethanolamine (0.15 mL). The suspension was warmed to 50°C for a few minutes, giving a virtually clear yellow solution which was filtered and concentrated to 5 mL when crystallization readily began. Diethyl ether (Et</w:t>
      </w:r>
      <w:r w:rsidRPr="00781BD2">
        <w:rPr>
          <w:rFonts w:eastAsia="Cambria"/>
          <w:vertAlign w:val="subscript"/>
        </w:rPr>
        <w:t>2</w:t>
      </w:r>
      <w:r w:rsidRPr="00781BD2">
        <w:rPr>
          <w:rFonts w:eastAsia="Cambria"/>
        </w:rPr>
        <w:t>O, 5 mL) was added and the mixture was cooled to 0°C to complete crystallization. Filtration, washing with Et</w:t>
      </w:r>
      <w:r w:rsidRPr="00781BD2">
        <w:rPr>
          <w:rFonts w:eastAsia="Cambria"/>
          <w:vertAlign w:val="subscript"/>
        </w:rPr>
        <w:t>2</w:t>
      </w:r>
      <w:r w:rsidRPr="00781BD2">
        <w:rPr>
          <w:rFonts w:eastAsia="Cambria"/>
        </w:rPr>
        <w:t xml:space="preserve">O containing a little MeOH and drying afforded the title salt </w:t>
      </w:r>
      <w:r w:rsidRPr="00781BD2">
        <w:rPr>
          <w:rFonts w:eastAsia="Cambria"/>
          <w:b/>
        </w:rPr>
        <w:t>8</w:t>
      </w:r>
      <w:r w:rsidRPr="00781BD2">
        <w:rPr>
          <w:rFonts w:eastAsia="Cambria"/>
        </w:rPr>
        <w:t xml:space="preserve"> (0.49 g, 75%) as a yellow crystalline solid, mp 158-160°C (decomposition); Found: C, 44.1; H, 4.2; N, 17.35; S, 9.8. C</w:t>
      </w:r>
      <w:r w:rsidRPr="00781BD2">
        <w:rPr>
          <w:rFonts w:eastAsia="Cambria"/>
          <w:vertAlign w:val="subscript"/>
        </w:rPr>
        <w:t>12</w:t>
      </w:r>
      <w:r w:rsidRPr="00781BD2">
        <w:rPr>
          <w:rFonts w:eastAsia="Cambria"/>
        </w:rPr>
        <w:t>H</w:t>
      </w:r>
      <w:r w:rsidRPr="00781BD2">
        <w:rPr>
          <w:rFonts w:eastAsia="Cambria"/>
          <w:vertAlign w:val="subscript"/>
        </w:rPr>
        <w:t>14</w:t>
      </w:r>
      <w:r w:rsidRPr="00781BD2">
        <w:rPr>
          <w:rFonts w:eastAsia="Cambria"/>
        </w:rPr>
        <w:t>N</w:t>
      </w:r>
      <w:r w:rsidRPr="00781BD2">
        <w:rPr>
          <w:rFonts w:eastAsia="Cambria"/>
          <w:vertAlign w:val="subscript"/>
        </w:rPr>
        <w:t>4</w:t>
      </w:r>
      <w:r w:rsidRPr="00781BD2">
        <w:rPr>
          <w:rFonts w:eastAsia="Cambria"/>
        </w:rPr>
        <w:t>O</w:t>
      </w:r>
      <w:r w:rsidRPr="00781BD2">
        <w:rPr>
          <w:rFonts w:eastAsia="Cambria"/>
          <w:vertAlign w:val="subscript"/>
        </w:rPr>
        <w:t>5</w:t>
      </w:r>
      <w:r w:rsidRPr="00781BD2">
        <w:rPr>
          <w:rFonts w:eastAsia="Cambria"/>
        </w:rPr>
        <w:t>S requires C, 44.2; H, 4.3; N, 17.2; S, 9.8%; 1H NMR [400 MHz, (CD</w:t>
      </w:r>
      <w:r w:rsidRPr="00781BD2">
        <w:rPr>
          <w:rFonts w:eastAsia="Cambria"/>
          <w:vertAlign w:val="subscript"/>
        </w:rPr>
        <w:t>3</w:t>
      </w:r>
      <w:r w:rsidRPr="00781BD2">
        <w:rPr>
          <w:rFonts w:eastAsia="Cambria"/>
        </w:rPr>
        <w:t>)</w:t>
      </w:r>
      <w:r w:rsidRPr="00781BD2">
        <w:rPr>
          <w:rFonts w:eastAsia="Cambria"/>
          <w:vertAlign w:val="subscript"/>
        </w:rPr>
        <w:t>2</w:t>
      </w:r>
      <w:r w:rsidRPr="00781BD2">
        <w:rPr>
          <w:rFonts w:eastAsia="Cambria"/>
        </w:rPr>
        <w:t xml:space="preserve">SO] </w:t>
      </w:r>
      <w:r w:rsidRPr="00781BD2">
        <w:rPr>
          <w:rFonts w:ascii="Symbol" w:eastAsia="Cambria" w:hAnsi="Symbol"/>
        </w:rPr>
        <w:t></w:t>
      </w:r>
      <w:r w:rsidRPr="00781BD2">
        <w:rPr>
          <w:rFonts w:eastAsia="Cambria"/>
        </w:rPr>
        <w:t xml:space="preserve"> 2.86 (2H, t, CH</w:t>
      </w:r>
      <w:r w:rsidRPr="00781BD2">
        <w:rPr>
          <w:rFonts w:eastAsia="Cambria"/>
          <w:vertAlign w:val="subscript"/>
        </w:rPr>
        <w:t>2</w:t>
      </w:r>
      <w:r w:rsidRPr="00781BD2">
        <w:rPr>
          <w:rFonts w:eastAsia="Cambria"/>
        </w:rPr>
        <w:t>CH</w:t>
      </w:r>
      <w:r w:rsidRPr="00781BD2">
        <w:rPr>
          <w:rFonts w:eastAsia="Cambria"/>
          <w:vertAlign w:val="subscript"/>
        </w:rPr>
        <w:t>2</w:t>
      </w:r>
      <w:r w:rsidRPr="00781BD2">
        <w:rPr>
          <w:rFonts w:eastAsia="Cambria"/>
        </w:rPr>
        <w:t>), 3.57 (2H, t, CH</w:t>
      </w:r>
      <w:r w:rsidRPr="00781BD2">
        <w:rPr>
          <w:rFonts w:eastAsia="Cambria"/>
          <w:vertAlign w:val="subscript"/>
        </w:rPr>
        <w:t>2</w:t>
      </w:r>
      <w:r w:rsidRPr="00781BD2">
        <w:rPr>
          <w:rFonts w:eastAsia="Cambria"/>
        </w:rPr>
        <w:t>CH</w:t>
      </w:r>
      <w:r w:rsidRPr="00781BD2">
        <w:rPr>
          <w:rFonts w:eastAsia="Cambria"/>
          <w:vertAlign w:val="subscript"/>
        </w:rPr>
        <w:t>2</w:t>
      </w:r>
      <w:r w:rsidRPr="00781BD2">
        <w:rPr>
          <w:rFonts w:eastAsia="Cambria"/>
        </w:rPr>
        <w:t>), 5.20 (1H, br s, OH), 6.81 (2H, m, ArH), 7.32 (1H, m, ArH), 7.67 (3H, br s, NH</w:t>
      </w:r>
      <w:r w:rsidRPr="00781BD2">
        <w:rPr>
          <w:rFonts w:eastAsia="Cambria"/>
          <w:vertAlign w:val="subscript"/>
        </w:rPr>
        <w:t>3</w:t>
      </w:r>
      <w:r w:rsidRPr="00781BD2">
        <w:rPr>
          <w:rFonts w:eastAsia="Cambria"/>
          <w:vertAlign w:val="superscript"/>
        </w:rPr>
        <w:t>+</w:t>
      </w:r>
      <w:r w:rsidRPr="00781BD2">
        <w:rPr>
          <w:rFonts w:eastAsia="Cambria"/>
        </w:rPr>
        <w:t>), 7.91 (1H, m, ArH), 8.51 (1H, s, 4´-H) and 14.71 (1H, br s, NH); 13C NMR [100 MHz, (CD</w:t>
      </w:r>
      <w:r w:rsidRPr="00781BD2">
        <w:rPr>
          <w:rFonts w:eastAsia="Cambria"/>
          <w:vertAlign w:val="subscript"/>
        </w:rPr>
        <w:t>3</w:t>
      </w:r>
      <w:r w:rsidRPr="00781BD2">
        <w:rPr>
          <w:rFonts w:eastAsia="Cambria"/>
        </w:rPr>
        <w:t>)</w:t>
      </w:r>
      <w:r w:rsidRPr="00781BD2">
        <w:rPr>
          <w:rFonts w:eastAsia="Cambria"/>
          <w:vertAlign w:val="subscript"/>
        </w:rPr>
        <w:t>2</w:t>
      </w:r>
      <w:r w:rsidRPr="00781BD2">
        <w:rPr>
          <w:rFonts w:eastAsia="Cambria"/>
        </w:rPr>
        <w:t xml:space="preserve">SO] </w:t>
      </w:r>
      <w:r w:rsidRPr="00781BD2">
        <w:rPr>
          <w:rFonts w:ascii="Symbol" w:eastAsia="Cambria" w:hAnsi="Symbol"/>
        </w:rPr>
        <w:t></w:t>
      </w:r>
      <w:r w:rsidRPr="00781BD2">
        <w:rPr>
          <w:rFonts w:eastAsia="Cambria"/>
        </w:rPr>
        <w:t xml:space="preserve"> 41.6, 57.9, 117.5, 118.2, 119.9, 130.1, 133.4, 137.9, 145.9, 161.3, 171.6 and 172.2; m/z (-ve ion electrospray mode) 264 [(M-H)</w:t>
      </w:r>
      <w:r w:rsidRPr="00781BD2">
        <w:rPr>
          <w:rFonts w:ascii="Symbol" w:eastAsia="Cambria" w:hAnsi="Symbol"/>
          <w:vertAlign w:val="superscript"/>
        </w:rPr>
        <w:t></w:t>
      </w:r>
      <w:r w:rsidRPr="00781BD2">
        <w:rPr>
          <w:rFonts w:eastAsia="Cambria"/>
        </w:rPr>
        <w:t>]. Found: m/z, 264.0092. C</w:t>
      </w:r>
      <w:r w:rsidRPr="00781BD2">
        <w:rPr>
          <w:rFonts w:eastAsia="Cambria"/>
          <w:vertAlign w:val="subscript"/>
        </w:rPr>
        <w:t>10</w:t>
      </w:r>
      <w:r w:rsidRPr="00781BD2">
        <w:rPr>
          <w:rFonts w:eastAsia="Cambria"/>
        </w:rPr>
        <w:t>H</w:t>
      </w:r>
      <w:r w:rsidRPr="00781BD2">
        <w:rPr>
          <w:rFonts w:eastAsia="Cambria"/>
          <w:vertAlign w:val="subscript"/>
        </w:rPr>
        <w:t>6</w:t>
      </w:r>
      <w:r w:rsidRPr="00781BD2">
        <w:rPr>
          <w:rFonts w:eastAsia="Cambria"/>
        </w:rPr>
        <w:t>N</w:t>
      </w:r>
      <w:r w:rsidRPr="00781BD2">
        <w:rPr>
          <w:rFonts w:eastAsia="Cambria"/>
          <w:vertAlign w:val="subscript"/>
        </w:rPr>
        <w:t>3</w:t>
      </w:r>
      <w:r w:rsidRPr="00781BD2">
        <w:rPr>
          <w:rFonts w:eastAsia="Cambria"/>
        </w:rPr>
        <w:t>O</w:t>
      </w:r>
      <w:r w:rsidRPr="00781BD2">
        <w:rPr>
          <w:rFonts w:eastAsia="Cambria"/>
          <w:vertAlign w:val="subscript"/>
        </w:rPr>
        <w:t>4</w:t>
      </w:r>
      <w:r w:rsidRPr="00781BD2">
        <w:rPr>
          <w:rFonts w:eastAsia="Cambria"/>
        </w:rPr>
        <w:t>S requires m/z, 264.0085.</w:t>
      </w:r>
    </w:p>
    <w:p w:rsidR="00F12F0B" w:rsidRPr="00781BD2" w:rsidRDefault="00F12F0B" w:rsidP="00F12F0B">
      <w:pPr>
        <w:spacing w:line="360" w:lineRule="auto"/>
        <w:rPr>
          <w:rFonts w:eastAsia="Cambria"/>
        </w:rPr>
      </w:pPr>
    </w:p>
    <w:p w:rsidR="00F12F0B" w:rsidRPr="00781BD2" w:rsidRDefault="00F12F0B" w:rsidP="00F12F0B">
      <w:pPr>
        <w:spacing w:line="360" w:lineRule="auto"/>
        <w:rPr>
          <w:i/>
          <w:iCs/>
        </w:rPr>
      </w:pPr>
      <w:r w:rsidRPr="00781BD2">
        <w:rPr>
          <w:i/>
          <w:iCs/>
        </w:rPr>
        <w:t xml:space="preserve">2-Hydroxybenzoyl-N-[(5-chloro)thiazol-2-yl]amide, Ethanolamine Salt </w:t>
      </w:r>
      <w:r w:rsidRPr="00781BD2">
        <w:rPr>
          <w:b/>
          <w:i/>
          <w:iCs/>
        </w:rPr>
        <w:t>9</w:t>
      </w:r>
    </w:p>
    <w:p w:rsidR="00F12F0B" w:rsidRPr="00781BD2" w:rsidRDefault="00F12F0B" w:rsidP="00F12F0B">
      <w:pPr>
        <w:spacing w:line="360" w:lineRule="auto"/>
        <w:rPr>
          <w:rFonts w:eastAsia="Cambria"/>
        </w:rPr>
      </w:pPr>
      <w:r w:rsidRPr="00781BD2">
        <w:rPr>
          <w:rFonts w:eastAsia="Cambria"/>
        </w:rPr>
        <w:t xml:space="preserve">This salt was prepared similarly to </w:t>
      </w:r>
      <w:r w:rsidRPr="00781BD2">
        <w:rPr>
          <w:rFonts w:eastAsia="Cambria"/>
          <w:b/>
          <w:bCs/>
        </w:rPr>
        <w:t>8</w:t>
      </w:r>
      <w:r w:rsidRPr="00781BD2">
        <w:rPr>
          <w:rFonts w:eastAsia="Cambria"/>
        </w:rPr>
        <w:t xml:space="preserve"> using RM4848 </w:t>
      </w:r>
      <w:r w:rsidRPr="00781BD2">
        <w:rPr>
          <w:rFonts w:eastAsia="Cambria"/>
          <w:b/>
          <w:bCs/>
        </w:rPr>
        <w:t>3b</w:t>
      </w:r>
      <w:r w:rsidRPr="00781BD2">
        <w:rPr>
          <w:rFonts w:eastAsia="Cambria"/>
        </w:rPr>
        <w:t xml:space="preserve"> (0.51 g, 2 mmol), giving the product </w:t>
      </w:r>
      <w:r w:rsidRPr="00781BD2">
        <w:rPr>
          <w:rFonts w:eastAsia="Cambria"/>
          <w:b/>
        </w:rPr>
        <w:t>9</w:t>
      </w:r>
      <w:r w:rsidRPr="00781BD2">
        <w:rPr>
          <w:rFonts w:eastAsia="Cambria"/>
        </w:rPr>
        <w:t xml:space="preserve"> (0.48 g, 76%); Found: C, 45.7; H, 4.5; N, 13.35; S, 10.15. C</w:t>
      </w:r>
      <w:r w:rsidRPr="00781BD2">
        <w:rPr>
          <w:rFonts w:eastAsia="Cambria"/>
          <w:vertAlign w:val="subscript"/>
        </w:rPr>
        <w:t>12</w:t>
      </w:r>
      <w:r w:rsidRPr="00781BD2">
        <w:rPr>
          <w:rFonts w:eastAsia="Cambria"/>
        </w:rPr>
        <w:t>H</w:t>
      </w:r>
      <w:r w:rsidRPr="00781BD2">
        <w:rPr>
          <w:rFonts w:eastAsia="Cambria"/>
          <w:vertAlign w:val="subscript"/>
        </w:rPr>
        <w:t>14</w:t>
      </w:r>
      <w:r w:rsidRPr="00781BD2">
        <w:rPr>
          <w:rFonts w:eastAsia="Cambria"/>
        </w:rPr>
        <w:t>ClN</w:t>
      </w:r>
      <w:r w:rsidRPr="00781BD2">
        <w:rPr>
          <w:rFonts w:eastAsia="Cambria"/>
          <w:vertAlign w:val="subscript"/>
        </w:rPr>
        <w:t>3</w:t>
      </w:r>
      <w:r w:rsidRPr="00781BD2">
        <w:rPr>
          <w:rFonts w:eastAsia="Cambria"/>
        </w:rPr>
        <w:t>O</w:t>
      </w:r>
      <w:r w:rsidRPr="00781BD2">
        <w:rPr>
          <w:rFonts w:eastAsia="Cambria"/>
          <w:vertAlign w:val="subscript"/>
        </w:rPr>
        <w:t>3</w:t>
      </w:r>
      <w:r w:rsidRPr="00781BD2">
        <w:rPr>
          <w:rFonts w:eastAsia="Cambria"/>
        </w:rPr>
        <w:t>S requires C, 45.6; H, 4.5; N, 13.3; S, 10.15%; 1H NMR [400 MHz, (CD</w:t>
      </w:r>
      <w:r w:rsidRPr="00781BD2">
        <w:rPr>
          <w:rFonts w:eastAsia="Cambria"/>
          <w:vertAlign w:val="subscript"/>
        </w:rPr>
        <w:t>3</w:t>
      </w:r>
      <w:r w:rsidRPr="00781BD2">
        <w:rPr>
          <w:rFonts w:eastAsia="Cambria"/>
        </w:rPr>
        <w:t>)</w:t>
      </w:r>
      <w:r w:rsidRPr="00781BD2">
        <w:rPr>
          <w:rFonts w:eastAsia="Cambria"/>
          <w:vertAlign w:val="subscript"/>
        </w:rPr>
        <w:t>2</w:t>
      </w:r>
      <w:r w:rsidRPr="00781BD2">
        <w:rPr>
          <w:rFonts w:eastAsia="Cambria"/>
        </w:rPr>
        <w:t xml:space="preserve">SO] </w:t>
      </w:r>
      <w:r w:rsidRPr="00781BD2">
        <w:rPr>
          <w:rFonts w:ascii="Symbol" w:eastAsia="Cambria" w:hAnsi="Symbol"/>
        </w:rPr>
        <w:t></w:t>
      </w:r>
      <w:r w:rsidRPr="00781BD2">
        <w:rPr>
          <w:rFonts w:eastAsia="Cambria"/>
        </w:rPr>
        <w:t xml:space="preserve"> 2.86 (2 H, t, CH</w:t>
      </w:r>
      <w:r w:rsidRPr="00781BD2">
        <w:rPr>
          <w:rFonts w:eastAsia="Cambria"/>
          <w:vertAlign w:val="subscript"/>
        </w:rPr>
        <w:t>2</w:t>
      </w:r>
      <w:r w:rsidRPr="00781BD2">
        <w:rPr>
          <w:rFonts w:eastAsia="Cambria"/>
        </w:rPr>
        <w:t>CH</w:t>
      </w:r>
      <w:r w:rsidRPr="00781BD2">
        <w:rPr>
          <w:rFonts w:eastAsia="Cambria"/>
          <w:vertAlign w:val="subscript"/>
        </w:rPr>
        <w:t>2</w:t>
      </w:r>
      <w:r w:rsidRPr="00781BD2">
        <w:rPr>
          <w:rFonts w:eastAsia="Cambria"/>
        </w:rPr>
        <w:t>), 3.58 (2H, t, CH</w:t>
      </w:r>
      <w:r w:rsidRPr="00781BD2">
        <w:rPr>
          <w:rFonts w:eastAsia="Cambria"/>
          <w:vertAlign w:val="subscript"/>
        </w:rPr>
        <w:t>2</w:t>
      </w:r>
      <w:r w:rsidRPr="00781BD2">
        <w:rPr>
          <w:rFonts w:eastAsia="Cambria"/>
        </w:rPr>
        <w:t>CH</w:t>
      </w:r>
      <w:r w:rsidRPr="00781BD2">
        <w:rPr>
          <w:rFonts w:eastAsia="Cambria"/>
          <w:vertAlign w:val="subscript"/>
        </w:rPr>
        <w:t>2</w:t>
      </w:r>
      <w:r w:rsidRPr="00781BD2">
        <w:rPr>
          <w:rFonts w:eastAsia="Cambria"/>
        </w:rPr>
        <w:t>), 5.20 (1 H, br s, OH), 6.67-6.73 (2 H, 2m, ArH), 7.20 (1 H, m, ArH), 7.23 (1 H, s, 4´-H) and 7.83 (1 H, dd, ArH); the NH</w:t>
      </w:r>
      <w:r w:rsidRPr="00781BD2">
        <w:rPr>
          <w:rFonts w:eastAsia="Cambria"/>
          <w:vertAlign w:val="subscript"/>
        </w:rPr>
        <w:t>3</w:t>
      </w:r>
      <w:r w:rsidRPr="00781BD2">
        <w:rPr>
          <w:rFonts w:eastAsia="Cambria"/>
          <w:vertAlign w:val="superscript"/>
        </w:rPr>
        <w:t>+</w:t>
      </w:r>
      <w:r w:rsidRPr="00781BD2">
        <w:rPr>
          <w:rFonts w:eastAsia="Cambria"/>
        </w:rPr>
        <w:t xml:space="preserve"> appears as a very broad signal centred at </w:t>
      </w:r>
      <w:r w:rsidRPr="00781BD2">
        <w:rPr>
          <w:rFonts w:ascii="Symbol" w:eastAsia="Cambria" w:hAnsi="Symbol"/>
        </w:rPr>
        <w:t></w:t>
      </w:r>
      <w:r w:rsidRPr="00781BD2">
        <w:rPr>
          <w:rFonts w:eastAsia="Cambria"/>
        </w:rPr>
        <w:t xml:space="preserve"> 7.65; 13C NMR [100 MHz, (CD</w:t>
      </w:r>
      <w:r w:rsidRPr="00781BD2">
        <w:rPr>
          <w:rFonts w:eastAsia="Cambria"/>
          <w:vertAlign w:val="subscript"/>
        </w:rPr>
        <w:t>3</w:t>
      </w:r>
      <w:r w:rsidRPr="00781BD2">
        <w:rPr>
          <w:rFonts w:eastAsia="Cambria"/>
        </w:rPr>
        <w:t>)</w:t>
      </w:r>
      <w:r w:rsidRPr="00781BD2">
        <w:rPr>
          <w:rFonts w:eastAsia="Cambria"/>
          <w:vertAlign w:val="subscript"/>
        </w:rPr>
        <w:t>2</w:t>
      </w:r>
      <w:r w:rsidRPr="00781BD2">
        <w:rPr>
          <w:rFonts w:eastAsia="Cambria"/>
        </w:rPr>
        <w:t xml:space="preserve">SO] </w:t>
      </w:r>
      <w:r w:rsidRPr="00781BD2">
        <w:rPr>
          <w:rFonts w:ascii="Symbol" w:eastAsia="Cambria" w:hAnsi="Symbol"/>
        </w:rPr>
        <w:t></w:t>
      </w:r>
      <w:r w:rsidRPr="00781BD2">
        <w:rPr>
          <w:rFonts w:eastAsia="Cambria"/>
        </w:rPr>
        <w:t xml:space="preserve"> 41.7, 58.0, 114.3, 116.8, 117.4, 120.4, 129.4, 132.1, 135.3, 162.4, 164.5 and 169.5; m/z (-ve ion electrospray mode) 253 [(M-H)</w:t>
      </w:r>
      <w:r w:rsidRPr="00781BD2">
        <w:rPr>
          <w:rFonts w:ascii="Symbol" w:eastAsia="Cambria" w:hAnsi="Symbol"/>
          <w:vertAlign w:val="superscript"/>
        </w:rPr>
        <w:t></w:t>
      </w:r>
      <w:r w:rsidRPr="00781BD2">
        <w:rPr>
          <w:rFonts w:eastAsia="Cambria"/>
        </w:rPr>
        <w:t>]. Found: m/z, 252.9849. C</w:t>
      </w:r>
      <w:r w:rsidRPr="00781BD2">
        <w:rPr>
          <w:rFonts w:eastAsia="Cambria"/>
          <w:vertAlign w:val="subscript"/>
        </w:rPr>
        <w:t>10</w:t>
      </w:r>
      <w:r w:rsidRPr="00781BD2">
        <w:rPr>
          <w:rFonts w:eastAsia="Cambria"/>
        </w:rPr>
        <w:t>H</w:t>
      </w:r>
      <w:r w:rsidRPr="00781BD2">
        <w:rPr>
          <w:rFonts w:eastAsia="Cambria"/>
          <w:vertAlign w:val="subscript"/>
        </w:rPr>
        <w:t>6</w:t>
      </w:r>
      <w:r w:rsidRPr="00781BD2">
        <w:rPr>
          <w:rFonts w:eastAsia="Cambria"/>
          <w:vertAlign w:val="superscript"/>
        </w:rPr>
        <w:t>35</w:t>
      </w:r>
      <w:r w:rsidRPr="00781BD2">
        <w:rPr>
          <w:rFonts w:eastAsia="Cambria"/>
        </w:rPr>
        <w:t>ClN</w:t>
      </w:r>
      <w:r w:rsidRPr="00781BD2">
        <w:rPr>
          <w:rFonts w:eastAsia="Cambria"/>
          <w:vertAlign w:val="subscript"/>
        </w:rPr>
        <w:t>2</w:t>
      </w:r>
      <w:r w:rsidRPr="00781BD2">
        <w:rPr>
          <w:rFonts w:eastAsia="Cambria"/>
        </w:rPr>
        <w:t>O</w:t>
      </w:r>
      <w:r w:rsidRPr="00781BD2">
        <w:rPr>
          <w:rFonts w:eastAsia="Cambria"/>
          <w:vertAlign w:val="subscript"/>
        </w:rPr>
        <w:t>2</w:t>
      </w:r>
      <w:r w:rsidRPr="00781BD2">
        <w:rPr>
          <w:rFonts w:eastAsia="Cambria"/>
        </w:rPr>
        <w:t>S requires m/z, 252.9844.</w:t>
      </w:r>
    </w:p>
    <w:p w:rsidR="00F12F0B" w:rsidRPr="00781BD2" w:rsidRDefault="00F12F0B" w:rsidP="00F12F0B">
      <w:pPr>
        <w:spacing w:line="360" w:lineRule="auto"/>
        <w:rPr>
          <w:rFonts w:eastAsia="Cambria"/>
        </w:rPr>
      </w:pPr>
    </w:p>
    <w:p w:rsidR="00F12F0B" w:rsidRPr="00781BD2" w:rsidRDefault="00F12F0B" w:rsidP="00F12F0B">
      <w:pPr>
        <w:spacing w:line="360" w:lineRule="auto"/>
        <w:rPr>
          <w:i/>
          <w:iCs/>
        </w:rPr>
      </w:pPr>
      <w:r w:rsidRPr="00781BD2">
        <w:rPr>
          <w:i/>
          <w:iCs/>
        </w:rPr>
        <w:t xml:space="preserve">2-Hydroxybenzoyl-N-[(5-nitro)thiazol-2-yl]amide, Morpholine Salt </w:t>
      </w:r>
      <w:r w:rsidRPr="00781BD2">
        <w:rPr>
          <w:b/>
          <w:bCs/>
          <w:i/>
          <w:iCs/>
        </w:rPr>
        <w:t>10</w:t>
      </w:r>
      <w:r w:rsidRPr="00781BD2">
        <w:rPr>
          <w:i/>
          <w:iCs/>
        </w:rPr>
        <w:t xml:space="preserve"> </w:t>
      </w:r>
    </w:p>
    <w:p w:rsidR="00F12F0B" w:rsidRPr="00781BD2" w:rsidRDefault="00F12F0B" w:rsidP="00F12F0B">
      <w:pPr>
        <w:spacing w:line="360" w:lineRule="auto"/>
      </w:pPr>
      <w:r w:rsidRPr="00781BD2">
        <w:t xml:space="preserve">This salt was prepared similarly to </w:t>
      </w:r>
      <w:r w:rsidRPr="00781BD2">
        <w:rPr>
          <w:b/>
          <w:bCs/>
        </w:rPr>
        <w:t>8</w:t>
      </w:r>
      <w:r w:rsidRPr="00781BD2">
        <w:t xml:space="preserve"> from tizoxanide </w:t>
      </w:r>
      <w:r w:rsidRPr="00781BD2">
        <w:rPr>
          <w:b/>
          <w:bCs/>
        </w:rPr>
        <w:t>1b</w:t>
      </w:r>
      <w:r w:rsidRPr="00781BD2">
        <w:t xml:space="preserve"> (0.53 g, 2 mmol) and morpholine (0.24 mL), giving </w:t>
      </w:r>
      <w:r w:rsidRPr="00781BD2">
        <w:rPr>
          <w:b/>
        </w:rPr>
        <w:t>10</w:t>
      </w:r>
      <w:r w:rsidRPr="00781BD2">
        <w:t xml:space="preserve"> as a yellow microcrystalline solid (0.66 g, 94%); Found: C, 47.7; H, 4.6; N, 16.0; S, 9.2. C</w:t>
      </w:r>
      <w:r w:rsidRPr="00781BD2">
        <w:rPr>
          <w:vertAlign w:val="subscript"/>
        </w:rPr>
        <w:t>14</w:t>
      </w:r>
      <w:r w:rsidRPr="00781BD2">
        <w:t>H</w:t>
      </w:r>
      <w:r w:rsidRPr="00781BD2">
        <w:rPr>
          <w:vertAlign w:val="subscript"/>
        </w:rPr>
        <w:t>16</w:t>
      </w:r>
      <w:r w:rsidRPr="00781BD2">
        <w:t>N</w:t>
      </w:r>
      <w:r w:rsidRPr="00781BD2">
        <w:rPr>
          <w:vertAlign w:val="subscript"/>
        </w:rPr>
        <w:t>4</w:t>
      </w:r>
      <w:r w:rsidRPr="00781BD2">
        <w:t>O</w:t>
      </w:r>
      <w:r w:rsidRPr="00781BD2">
        <w:rPr>
          <w:vertAlign w:val="subscript"/>
        </w:rPr>
        <w:t>5</w:t>
      </w:r>
      <w:r w:rsidRPr="00781BD2">
        <w:t>S requires C, 47.7; H, 4.6; N, 15.9; S, 9.1%; 1H NMR [400 MHz, (CD</w:t>
      </w:r>
      <w:r w:rsidRPr="00781BD2">
        <w:rPr>
          <w:vertAlign w:val="subscript"/>
        </w:rPr>
        <w:t>3</w:t>
      </w:r>
      <w:r w:rsidRPr="00781BD2">
        <w:t>)</w:t>
      </w:r>
      <w:r w:rsidRPr="00781BD2">
        <w:rPr>
          <w:vertAlign w:val="subscript"/>
        </w:rPr>
        <w:t>2</w:t>
      </w:r>
      <w:r w:rsidRPr="00781BD2">
        <w:t xml:space="preserve">SO] </w:t>
      </w:r>
      <w:r w:rsidRPr="00781BD2">
        <w:rPr>
          <w:rFonts w:ascii="Symbol" w:hAnsi="Symbol"/>
        </w:rPr>
        <w:t></w:t>
      </w:r>
      <w:r w:rsidRPr="00781BD2">
        <w:t xml:space="preserve"> 3.11, 3.75 (8 H, 2m, 2xCH</w:t>
      </w:r>
      <w:r w:rsidRPr="00781BD2">
        <w:rPr>
          <w:vertAlign w:val="subscript"/>
        </w:rPr>
        <w:t>2</w:t>
      </w:r>
      <w:r w:rsidRPr="00781BD2">
        <w:t>CH</w:t>
      </w:r>
      <w:r w:rsidRPr="00781BD2">
        <w:rPr>
          <w:vertAlign w:val="subscript"/>
        </w:rPr>
        <w:t>2</w:t>
      </w:r>
      <w:r w:rsidRPr="00781BD2">
        <w:t>), 6.82 (2 H, m, ArH), 7.31 (1 H, t, ArH), 7.91 (1 H, m, ArH) and 8.51 (1 H, s, 4´-H); 13C NMR [100 MHz, (CD</w:t>
      </w:r>
      <w:r w:rsidRPr="00781BD2">
        <w:rPr>
          <w:vertAlign w:val="subscript"/>
        </w:rPr>
        <w:t>3</w:t>
      </w:r>
      <w:r w:rsidRPr="00781BD2">
        <w:t>)</w:t>
      </w:r>
      <w:r w:rsidRPr="00781BD2">
        <w:rPr>
          <w:vertAlign w:val="subscript"/>
        </w:rPr>
        <w:t>2</w:t>
      </w:r>
      <w:r w:rsidRPr="00781BD2">
        <w:t xml:space="preserve">SO] </w:t>
      </w:r>
      <w:r w:rsidRPr="00781BD2">
        <w:rPr>
          <w:rFonts w:ascii="Symbol" w:hAnsi="Symbol"/>
        </w:rPr>
        <w:t></w:t>
      </w:r>
      <w:r w:rsidRPr="00781BD2">
        <w:t xml:space="preserve"> 43.4, 63.8, 117.5, 118.2, 119.8, 130.1, 133.4, 138.0, 145.9, 161.3, 171.5 and 172.1.</w:t>
      </w:r>
    </w:p>
    <w:p w:rsidR="00F12F0B" w:rsidRPr="00781BD2" w:rsidRDefault="00F12F0B" w:rsidP="00F12F0B">
      <w:pPr>
        <w:spacing w:line="360" w:lineRule="auto"/>
      </w:pPr>
    </w:p>
    <w:p w:rsidR="00F12F0B" w:rsidRPr="00781BD2" w:rsidRDefault="00F12F0B" w:rsidP="00F12F0B">
      <w:pPr>
        <w:spacing w:line="360" w:lineRule="auto"/>
        <w:rPr>
          <w:rFonts w:eastAsia="Cambria"/>
        </w:rPr>
      </w:pPr>
      <w:r w:rsidRPr="00781BD2">
        <w:rPr>
          <w:rFonts w:eastAsia="Cambria"/>
        </w:rPr>
        <w:t xml:space="preserve">For the synthesis and characterisation of compounds </w:t>
      </w:r>
      <w:r w:rsidRPr="00781BD2">
        <w:rPr>
          <w:rFonts w:eastAsia="Cambria"/>
          <w:b/>
        </w:rPr>
        <w:t>11-16</w:t>
      </w:r>
      <w:r w:rsidRPr="00781BD2">
        <w:rPr>
          <w:rFonts w:eastAsia="Cambria"/>
        </w:rPr>
        <w:t xml:space="preserve"> and details of the </w:t>
      </w:r>
      <w:r w:rsidRPr="00781BD2">
        <w:rPr>
          <w:rFonts w:eastAsia="Cambria"/>
          <w:i/>
        </w:rPr>
        <w:t xml:space="preserve">in vivo </w:t>
      </w:r>
      <w:r w:rsidRPr="00781BD2">
        <w:rPr>
          <w:rFonts w:eastAsia="Cambria"/>
        </w:rPr>
        <w:t>pharmacokinetic methods used, please see Supporting Information.</w:t>
      </w:r>
    </w:p>
    <w:p w:rsidR="00F12F0B" w:rsidRPr="00781BD2" w:rsidRDefault="00F12F0B" w:rsidP="00F12F0B">
      <w:pPr>
        <w:spacing w:line="360" w:lineRule="auto"/>
        <w:rPr>
          <w:rFonts w:eastAsia="Cambria"/>
        </w:rPr>
      </w:pPr>
    </w:p>
    <w:p w:rsidR="00F12F0B" w:rsidRPr="00781BD2" w:rsidRDefault="00F12F0B" w:rsidP="00F12F0B">
      <w:pPr>
        <w:spacing w:line="360" w:lineRule="auto"/>
        <w:rPr>
          <w:b/>
          <w:bCs/>
        </w:rPr>
      </w:pPr>
      <w:r w:rsidRPr="00781BD2">
        <w:rPr>
          <w:b/>
          <w:bCs/>
        </w:rPr>
        <w:t>Antiviral assay</w:t>
      </w:r>
    </w:p>
    <w:p w:rsidR="00F12F0B" w:rsidRPr="00781BD2" w:rsidRDefault="00F12F0B" w:rsidP="00F12F0B">
      <w:pPr>
        <w:spacing w:line="360" w:lineRule="auto"/>
        <w:jc w:val="both"/>
        <w:rPr>
          <w:rFonts w:ascii="Times New Roman" w:hAnsi="Times New Roman"/>
          <w:b/>
          <w:bCs/>
          <w:iCs/>
        </w:rPr>
      </w:pPr>
      <w:r w:rsidRPr="00781BD2">
        <w:rPr>
          <w:rFonts w:ascii="Times New Roman" w:hAnsi="Times New Roman"/>
          <w:b/>
          <w:bCs/>
          <w:iCs/>
        </w:rPr>
        <w:t xml:space="preserve">Cell Culture and Treatments </w:t>
      </w:r>
    </w:p>
    <w:p w:rsidR="00F12F0B" w:rsidRPr="00781BD2" w:rsidRDefault="00F12F0B" w:rsidP="00F12F0B">
      <w:pPr>
        <w:spacing w:line="360" w:lineRule="auto"/>
        <w:jc w:val="both"/>
        <w:rPr>
          <w:rFonts w:ascii="Times New Roman" w:hAnsi="Times New Roman"/>
          <w:lang w:val="en-US"/>
        </w:rPr>
      </w:pPr>
      <w:r w:rsidRPr="00781BD2">
        <w:rPr>
          <w:rFonts w:ascii="Times New Roman" w:hAnsi="Times New Roman"/>
          <w:lang w:val="en-US"/>
        </w:rPr>
        <w:t>The following cell lines were used for antiviral assays: human A549 alveolar type II-like epithelial cells (American Type Culture Collection, ATCC), Madin-Darby canine kidney (MDCK) cells (ATCC) and African green monkey (</w:t>
      </w:r>
      <w:r w:rsidRPr="00781BD2">
        <w:rPr>
          <w:rFonts w:ascii="Times New Roman" w:hAnsi="Times New Roman"/>
          <w:i/>
          <w:lang w:val="en-US"/>
        </w:rPr>
        <w:t>Cercopithecus aethyops sabeus</w:t>
      </w:r>
      <w:r w:rsidRPr="00781BD2">
        <w:rPr>
          <w:rFonts w:ascii="Times New Roman" w:hAnsi="Times New Roman"/>
          <w:lang w:val="en-US"/>
        </w:rPr>
        <w:t>) kidney (AGMK) 37RC cells</w:t>
      </w:r>
      <w:r w:rsidRPr="00781BD2">
        <w:rPr>
          <w:rFonts w:ascii="Times New Roman" w:hAnsi="Times New Roman"/>
          <w:shd w:val="clear" w:color="auto" w:fill="FFFFFF"/>
          <w:lang w:val="en-US"/>
        </w:rPr>
        <w:t xml:space="preserve"> (a kind gift from Arrigo Benedetto, </w:t>
      </w:r>
      <w:r w:rsidRPr="00781BD2">
        <w:rPr>
          <w:rFonts w:ascii="Times New Roman" w:hAnsi="Times New Roman"/>
          <w:szCs w:val="16"/>
          <w:lang w:val="en-US"/>
        </w:rPr>
        <w:t xml:space="preserve">Centre of Virology, OO.RR., </w:t>
      </w:r>
      <w:r w:rsidRPr="00781BD2">
        <w:rPr>
          <w:rFonts w:ascii="Times New Roman" w:hAnsi="Times New Roman"/>
          <w:lang w:val="en-US"/>
        </w:rPr>
        <w:t>Rome, Italy)</w:t>
      </w:r>
      <w:r w:rsidR="00B5078F" w:rsidRPr="00781BD2">
        <w:rPr>
          <w:rFonts w:ascii="Times New Roman" w:hAnsi="Times New Roman"/>
          <w:lang w:val="en-US"/>
        </w:rPr>
        <w:t xml:space="preserve"> [46]</w:t>
      </w:r>
      <w:r w:rsidRPr="00781BD2">
        <w:rPr>
          <w:rFonts w:ascii="Times New Roman" w:hAnsi="Times New Roman"/>
          <w:lang w:val="en-US"/>
        </w:rPr>
        <w:t>.</w:t>
      </w:r>
      <w:r w:rsidRPr="00781BD2">
        <w:rPr>
          <w:rFonts w:ascii="Times New Roman" w:hAnsi="Times New Roman" w:cs="AdvOT118e7927"/>
          <w:szCs w:val="14"/>
          <w:lang w:val="en-US"/>
        </w:rPr>
        <w:t xml:space="preserve"> Cells </w:t>
      </w:r>
      <w:r w:rsidRPr="00781BD2">
        <w:rPr>
          <w:rFonts w:ascii="Times New Roman" w:hAnsi="Times New Roman"/>
          <w:lang w:val="en-US"/>
        </w:rPr>
        <w:t>were grown at 37</w:t>
      </w:r>
      <w:r w:rsidRPr="00781BD2">
        <w:rPr>
          <w:rFonts w:ascii="Times New Roman" w:hAnsi="Times New Roman"/>
          <w:vertAlign w:val="superscript"/>
          <w:lang w:val="en-US"/>
        </w:rPr>
        <w:t>o</w:t>
      </w:r>
      <w:r w:rsidRPr="00781BD2">
        <w:rPr>
          <w:rFonts w:ascii="Times New Roman" w:hAnsi="Times New Roman"/>
          <w:lang w:val="en-US"/>
        </w:rPr>
        <w:t>C in a 5% CO</w:t>
      </w:r>
      <w:r w:rsidRPr="00781BD2">
        <w:rPr>
          <w:rFonts w:ascii="Times New Roman" w:hAnsi="Times New Roman"/>
          <w:vertAlign w:val="subscript"/>
          <w:lang w:val="en-US"/>
        </w:rPr>
        <w:t>2</w:t>
      </w:r>
      <w:r w:rsidRPr="00781BD2">
        <w:rPr>
          <w:rFonts w:ascii="Times New Roman" w:hAnsi="Times New Roman"/>
          <w:lang w:val="en-US"/>
        </w:rPr>
        <w:t xml:space="preserve"> atmosphere in RPMI-1640 medium (LONZA-CAMBREX, Basel, Switzerland), supplemented with 10% fetal calf serum (FCS), 2 mM glutamine and antibiotics. Tizoxanide and </w:t>
      </w:r>
      <w:r w:rsidRPr="00781BD2">
        <w:rPr>
          <w:rFonts w:cs="AGaramond-Italic"/>
          <w:iCs/>
          <w:szCs w:val="20"/>
          <w:lang w:val="en-US"/>
        </w:rPr>
        <w:t xml:space="preserve">RM-5071 </w:t>
      </w:r>
      <w:r w:rsidRPr="00781BD2">
        <w:rPr>
          <w:rFonts w:cs="AGaramond-Italic"/>
          <w:b/>
          <w:iCs/>
          <w:szCs w:val="20"/>
          <w:lang w:val="en-US"/>
        </w:rPr>
        <w:t xml:space="preserve">8 </w:t>
      </w:r>
      <w:r w:rsidRPr="00781BD2">
        <w:rPr>
          <w:rFonts w:ascii="Times New Roman" w:hAnsi="Times New Roman"/>
          <w:lang w:val="en-US"/>
        </w:rPr>
        <w:t xml:space="preserve">(Romark Laboratories, L.C.), dissolved in DMSO stock solution, were diluted in culture medium, added to infected cells after a one-hour virus adsorption period, and maintained in the medium for the duration of the experiment. Controls received equal amounts of DMSO vehicle, which did not affect cell viability or virus replication. </w:t>
      </w:r>
    </w:p>
    <w:p w:rsidR="00F12F0B" w:rsidRPr="00781BD2" w:rsidRDefault="00F12F0B" w:rsidP="00F12F0B">
      <w:pPr>
        <w:spacing w:line="360" w:lineRule="auto"/>
        <w:jc w:val="both"/>
        <w:rPr>
          <w:rFonts w:ascii="Times New Roman" w:hAnsi="Times New Roman"/>
          <w:lang w:val="en-US"/>
        </w:rPr>
      </w:pPr>
      <w:r w:rsidRPr="00781BD2">
        <w:rPr>
          <w:rFonts w:ascii="Times New Roman" w:hAnsi="Times New Roman"/>
          <w:lang w:val="en-US"/>
        </w:rPr>
        <w:t>Cell viability was determined by the 3-(4,5-dimethylthiazol-2-yl)-2,5-diphenyltetrazolium bromide (MTT) to MTT formazan conversion assay (Sigma-Aldrich), as described</w:t>
      </w:r>
      <w:r w:rsidR="00B5078F" w:rsidRPr="00781BD2">
        <w:rPr>
          <w:rFonts w:ascii="Times New Roman" w:hAnsi="Times New Roman"/>
          <w:lang w:val="en-US"/>
        </w:rPr>
        <w:t xml:space="preserve"> [47]</w:t>
      </w:r>
      <w:r w:rsidRPr="00781BD2">
        <w:rPr>
          <w:rFonts w:ascii="Times New Roman" w:hAnsi="Times New Roman"/>
          <w:lang w:val="en-US"/>
        </w:rPr>
        <w:t>. The 50% cytotoxic dose (CC</w:t>
      </w:r>
      <w:r w:rsidRPr="00781BD2">
        <w:rPr>
          <w:rFonts w:ascii="Times New Roman" w:hAnsi="Times New Roman"/>
          <w:vertAlign w:val="subscript"/>
          <w:lang w:val="en-US"/>
        </w:rPr>
        <w:t>50</w:t>
      </w:r>
      <w:r w:rsidRPr="00781BD2">
        <w:rPr>
          <w:rFonts w:ascii="Times New Roman" w:hAnsi="Times New Roman"/>
          <w:lang w:val="en-US"/>
        </w:rPr>
        <w:t xml:space="preserve">) was calculated using Prism 5.0 software (Graph-Pad Software Inc.). </w:t>
      </w:r>
    </w:p>
    <w:p w:rsidR="00F12F0B" w:rsidRPr="00781BD2" w:rsidRDefault="00F12F0B" w:rsidP="00F12F0B">
      <w:pPr>
        <w:spacing w:line="360" w:lineRule="auto"/>
        <w:jc w:val="both"/>
        <w:rPr>
          <w:rFonts w:ascii="Times New Roman" w:hAnsi="Times New Roman"/>
          <w:lang w:val="en-US"/>
        </w:rPr>
      </w:pPr>
    </w:p>
    <w:p w:rsidR="00F12F0B" w:rsidRPr="00781BD2" w:rsidRDefault="00F12F0B" w:rsidP="00F12F0B">
      <w:pPr>
        <w:spacing w:line="360" w:lineRule="auto"/>
        <w:jc w:val="both"/>
        <w:rPr>
          <w:rFonts w:ascii="Times New Roman" w:hAnsi="Times New Roman"/>
          <w:b/>
          <w:bCs/>
          <w:iCs/>
          <w:lang w:val="en-US"/>
        </w:rPr>
      </w:pPr>
      <w:r w:rsidRPr="00781BD2">
        <w:rPr>
          <w:rFonts w:ascii="Times New Roman" w:hAnsi="Times New Roman"/>
          <w:b/>
          <w:bCs/>
          <w:iCs/>
        </w:rPr>
        <w:t>Virus preparation, infection and titration</w:t>
      </w:r>
    </w:p>
    <w:p w:rsidR="00F12F0B" w:rsidRPr="00781BD2" w:rsidRDefault="00F12F0B" w:rsidP="00F12F0B">
      <w:pPr>
        <w:spacing w:line="360" w:lineRule="auto"/>
        <w:jc w:val="both"/>
        <w:rPr>
          <w:rFonts w:ascii="Times New Roman" w:hAnsi="Times New Roman"/>
          <w:lang w:val="en-US"/>
        </w:rPr>
      </w:pPr>
      <w:r w:rsidRPr="00781BD2">
        <w:rPr>
          <w:rFonts w:ascii="Times New Roman" w:hAnsi="Times New Roman"/>
          <w:lang w:val="en-US"/>
        </w:rPr>
        <w:t>Two influenza A virus (IAV) strains, A/PuertoRico/8/1934(H1N1) (PR8) a prototype strain of the H1N1 IAV subtype, and A/Wisconsin/1933 (H1N1) (WSN), and the parainfluenza Sendai virus (SeV) were utilized for this study. Viruses were grown in the allantoic cavity of 10-day-old embryonated eggs, and titers were determined by plaque-assay, as described previously</w:t>
      </w:r>
      <w:r w:rsidR="00B5078F" w:rsidRPr="00781BD2">
        <w:rPr>
          <w:rFonts w:ascii="Times New Roman" w:hAnsi="Times New Roman"/>
          <w:lang w:val="en-US"/>
        </w:rPr>
        <w:t xml:space="preserve"> [31, 48]</w:t>
      </w:r>
      <w:r w:rsidRPr="00781BD2">
        <w:rPr>
          <w:rFonts w:ascii="Times New Roman" w:hAnsi="Times New Roman"/>
          <w:lang w:val="en-US"/>
        </w:rPr>
        <w:t xml:space="preserve">. </w:t>
      </w:r>
    </w:p>
    <w:p w:rsidR="006A15B0" w:rsidRPr="00781BD2" w:rsidRDefault="00F12F0B" w:rsidP="00F12F0B">
      <w:pPr>
        <w:spacing w:line="360" w:lineRule="auto"/>
        <w:jc w:val="both"/>
        <w:rPr>
          <w:rFonts w:ascii="Times New Roman" w:hAnsi="Times New Roman" w:cs="AdvPSPH-R"/>
          <w:lang w:val="en-US"/>
        </w:rPr>
      </w:pPr>
      <w:r w:rsidRPr="00781BD2">
        <w:rPr>
          <w:rFonts w:ascii="Times New Roman" w:hAnsi="Times New Roman" w:cs="Arial"/>
          <w:lang w:val="en-US"/>
        </w:rPr>
        <w:t>C</w:t>
      </w:r>
      <w:r w:rsidRPr="00781BD2">
        <w:rPr>
          <w:rFonts w:ascii="Times New Roman" w:hAnsi="Times New Roman"/>
          <w:lang w:val="en-US"/>
        </w:rPr>
        <w:t>onfluent cell monolayers were mock-infected or infected with PR8, WSN and SeV viruses for 1h at 37°C at a multiplicity of infection (MOI) of 2.5 HAU (hemagglutinating units)/10</w:t>
      </w:r>
      <w:r w:rsidRPr="00781BD2">
        <w:rPr>
          <w:rFonts w:ascii="Times New Roman" w:hAnsi="Times New Roman"/>
          <w:vertAlign w:val="superscript"/>
          <w:lang w:val="en-US"/>
        </w:rPr>
        <w:t>5</w:t>
      </w:r>
      <w:r w:rsidRPr="00781BD2">
        <w:rPr>
          <w:rFonts w:ascii="Times New Roman" w:hAnsi="Times New Roman"/>
          <w:lang w:val="en-US"/>
        </w:rPr>
        <w:t>cells, as described</w:t>
      </w:r>
      <w:r w:rsidR="005C2BCB" w:rsidRPr="00781BD2">
        <w:rPr>
          <w:rFonts w:ascii="Times New Roman" w:hAnsi="Times New Roman"/>
          <w:lang w:val="en-US"/>
        </w:rPr>
        <w:t xml:space="preserve"> [31, 48]</w:t>
      </w:r>
      <w:r w:rsidRPr="00781BD2">
        <w:rPr>
          <w:rFonts w:ascii="Times New Roman" w:hAnsi="Times New Roman"/>
          <w:lang w:val="en-US"/>
        </w:rPr>
        <w:t>.</w:t>
      </w:r>
      <w:r w:rsidR="00C87BD0" w:rsidRPr="00781BD2">
        <w:rPr>
          <w:rFonts w:ascii="Times New Roman" w:eastAsia="Times New Roman" w:hAnsi="Times New Roman"/>
          <w:szCs w:val="32"/>
          <w:vertAlign w:val="superscript"/>
          <w:lang w:val="en-US"/>
        </w:rPr>
        <w:t xml:space="preserve"> </w:t>
      </w:r>
      <w:r w:rsidRPr="00781BD2">
        <w:rPr>
          <w:rFonts w:ascii="Times New Roman" w:hAnsi="Times New Roman"/>
          <w:lang w:val="en-US"/>
        </w:rPr>
        <w:t xml:space="preserve">After the adsorption period, the viral inoculum was removed and cells were </w:t>
      </w:r>
      <w:r w:rsidRPr="00781BD2">
        <w:rPr>
          <w:lang w:val="en-US"/>
        </w:rPr>
        <w:t xml:space="preserve">treated with different concentrations (0.01, 0.1, 1, 10, 50 and 100 </w:t>
      </w:r>
      <w:r w:rsidRPr="00781BD2">
        <w:rPr>
          <w:rFonts w:ascii="Symbol" w:hAnsi="Symbol"/>
          <w:lang w:val="en-US"/>
        </w:rPr>
        <w:t>m</w:t>
      </w:r>
      <w:r w:rsidRPr="00781BD2">
        <w:rPr>
          <w:lang w:val="en-US"/>
        </w:rPr>
        <w:t xml:space="preserve">g/ml) of </w:t>
      </w:r>
      <w:r w:rsidRPr="00781BD2">
        <w:rPr>
          <w:rFonts w:cs="AGaramond-Italic"/>
          <w:iCs/>
          <w:szCs w:val="20"/>
          <w:lang w:val="en-US"/>
        </w:rPr>
        <w:t>RM-5071</w:t>
      </w:r>
      <w:r w:rsidRPr="00781BD2">
        <w:rPr>
          <w:rFonts w:cs="AGaramond-Italic"/>
          <w:i/>
          <w:iCs/>
          <w:szCs w:val="20"/>
          <w:lang w:val="en-US"/>
        </w:rPr>
        <w:t xml:space="preserve"> </w:t>
      </w:r>
      <w:r w:rsidRPr="00781BD2">
        <w:rPr>
          <w:rFonts w:cs="AGaramond-Italic"/>
          <w:b/>
          <w:i/>
          <w:iCs/>
          <w:szCs w:val="20"/>
          <w:lang w:val="en-US"/>
        </w:rPr>
        <w:t xml:space="preserve">8, </w:t>
      </w:r>
      <w:r w:rsidRPr="00781BD2">
        <w:rPr>
          <w:lang w:val="en-US"/>
        </w:rPr>
        <w:t xml:space="preserve">tizoxanide </w:t>
      </w:r>
      <w:r w:rsidRPr="00781BD2">
        <w:rPr>
          <w:b/>
          <w:bCs/>
          <w:lang w:val="en-US"/>
        </w:rPr>
        <w:t>1b</w:t>
      </w:r>
      <w:r w:rsidRPr="00781BD2">
        <w:rPr>
          <w:lang w:val="en-US"/>
        </w:rPr>
        <w:t xml:space="preserve"> or vehicle and </w:t>
      </w:r>
      <w:r w:rsidRPr="00781BD2">
        <w:rPr>
          <w:rFonts w:ascii="Times New Roman" w:hAnsi="Times New Roman"/>
          <w:lang w:val="en-US"/>
        </w:rPr>
        <w:t>maintained at 37°C in RPMI-1640 medium containing 2% FCS for 24 h</w:t>
      </w:r>
      <w:r w:rsidRPr="00781BD2">
        <w:rPr>
          <w:i/>
          <w:lang w:val="en-US"/>
        </w:rPr>
        <w:t>;</w:t>
      </w:r>
      <w:r w:rsidRPr="00781BD2">
        <w:rPr>
          <w:lang w:val="en-US"/>
        </w:rPr>
        <w:t xml:space="preserve"> in parallel, cell viability was determined in mock-infected cells by MTT-assay, as described above. </w:t>
      </w:r>
      <w:r w:rsidRPr="00781BD2">
        <w:rPr>
          <w:rFonts w:ascii="Times New Roman" w:hAnsi="Times New Roman"/>
          <w:lang w:val="en-US"/>
        </w:rPr>
        <w:t>Virus yield was determined 24h post infection (p.i.) by HA-titration, as described</w:t>
      </w:r>
      <w:r w:rsidR="001A703D" w:rsidRPr="00781BD2">
        <w:rPr>
          <w:rFonts w:ascii="Times New Roman" w:hAnsi="Times New Roman"/>
          <w:lang w:val="en-US"/>
        </w:rPr>
        <w:t xml:space="preserve"> [48]</w:t>
      </w:r>
      <w:r w:rsidRPr="00781BD2">
        <w:rPr>
          <w:rFonts w:ascii="Times New Roman" w:hAnsi="Times New Roman"/>
          <w:lang w:val="en-US"/>
        </w:rPr>
        <w:t>. Compounds IC</w:t>
      </w:r>
      <w:r w:rsidRPr="00781BD2">
        <w:rPr>
          <w:rFonts w:ascii="Times New Roman" w:hAnsi="Times New Roman"/>
          <w:szCs w:val="13"/>
          <w:vertAlign w:val="subscript"/>
          <w:lang w:val="en-US"/>
        </w:rPr>
        <w:t>50</w:t>
      </w:r>
      <w:r w:rsidRPr="00781BD2">
        <w:rPr>
          <w:rFonts w:ascii="Times New Roman" w:hAnsi="Times New Roman"/>
          <w:lang w:val="en-US"/>
        </w:rPr>
        <w:t xml:space="preserve"> (50% inhibitory concentration) and IC</w:t>
      </w:r>
      <w:r w:rsidRPr="00781BD2">
        <w:rPr>
          <w:rFonts w:ascii="Times New Roman" w:hAnsi="Times New Roman"/>
          <w:vertAlign w:val="subscript"/>
          <w:lang w:val="en-US"/>
        </w:rPr>
        <w:t>90</w:t>
      </w:r>
      <w:r w:rsidRPr="00781BD2">
        <w:rPr>
          <w:rFonts w:ascii="Times New Roman" w:hAnsi="Times New Roman"/>
          <w:lang w:val="en-US"/>
        </w:rPr>
        <w:t xml:space="preserve"> (90% inhibitory concentration) </w:t>
      </w:r>
      <w:r w:rsidRPr="00781BD2">
        <w:rPr>
          <w:rFonts w:ascii="Times New Roman" w:hAnsi="Times New Roman" w:cs="AdvPSPH-R"/>
          <w:lang w:val="en-US"/>
        </w:rPr>
        <w:t xml:space="preserve">were calculated using Prism 5.0 software. </w:t>
      </w:r>
    </w:p>
    <w:p w:rsidR="00166CE7" w:rsidRPr="00781BD2" w:rsidRDefault="00166CE7" w:rsidP="000652B4">
      <w:pPr>
        <w:spacing w:line="360" w:lineRule="auto"/>
      </w:pPr>
    </w:p>
    <w:p w:rsidR="00C4129B" w:rsidRPr="00781BD2" w:rsidRDefault="00C4129B" w:rsidP="000652B4">
      <w:pPr>
        <w:spacing w:line="360" w:lineRule="auto"/>
        <w:rPr>
          <w:b/>
          <w:bCs/>
        </w:rPr>
      </w:pPr>
      <w:r w:rsidRPr="00781BD2">
        <w:rPr>
          <w:b/>
          <w:bCs/>
        </w:rPr>
        <w:t>Results and Discussion</w:t>
      </w:r>
    </w:p>
    <w:p w:rsidR="00166CE7" w:rsidRPr="00781BD2" w:rsidRDefault="00166CE7" w:rsidP="000652B4">
      <w:pPr>
        <w:spacing w:line="360" w:lineRule="auto"/>
        <w:rPr>
          <w:b/>
          <w:bCs/>
        </w:rPr>
      </w:pPr>
      <w:r w:rsidRPr="00781BD2">
        <w:rPr>
          <w:b/>
          <w:bCs/>
        </w:rPr>
        <w:t>Synthesis</w:t>
      </w:r>
      <w:r w:rsidR="00276292" w:rsidRPr="00781BD2">
        <w:rPr>
          <w:b/>
          <w:bCs/>
        </w:rPr>
        <w:t xml:space="preserve"> and Solubility</w:t>
      </w:r>
      <w:r w:rsidRPr="00781BD2">
        <w:rPr>
          <w:b/>
          <w:bCs/>
        </w:rPr>
        <w:t xml:space="preserve"> of Thiazolide Amine Salts</w:t>
      </w:r>
    </w:p>
    <w:p w:rsidR="00B30F84" w:rsidRPr="00781BD2" w:rsidRDefault="00CA6559" w:rsidP="00544CDE">
      <w:pPr>
        <w:spacing w:line="360" w:lineRule="auto"/>
      </w:pPr>
      <w:r w:rsidRPr="00781BD2">
        <w:tab/>
        <w:t xml:space="preserve">We now report the synthesis of a </w:t>
      </w:r>
      <w:r w:rsidR="001C4DC2" w:rsidRPr="00781BD2">
        <w:t>set</w:t>
      </w:r>
      <w:r w:rsidRPr="00781BD2">
        <w:t xml:space="preserve"> of amine salts of thiazolides </w:t>
      </w:r>
      <w:r w:rsidRPr="00781BD2">
        <w:rPr>
          <w:b/>
          <w:bCs/>
        </w:rPr>
        <w:t>1b</w:t>
      </w:r>
      <w:r w:rsidRPr="00781BD2">
        <w:t xml:space="preserve"> and RM4848 </w:t>
      </w:r>
      <w:r w:rsidR="00EC1ADB" w:rsidRPr="00781BD2">
        <w:rPr>
          <w:b/>
          <w:bCs/>
        </w:rPr>
        <w:t>3b</w:t>
      </w:r>
      <w:r w:rsidRPr="00781BD2">
        <w:t xml:space="preserve">, their characterisation and selected pharmacokinetic data. </w:t>
      </w:r>
      <w:r w:rsidR="00E4281B" w:rsidRPr="00781BD2">
        <w:t xml:space="preserve">In general </w:t>
      </w:r>
      <w:r w:rsidR="00544CDE" w:rsidRPr="00781BD2">
        <w:t>alcohols were suitable salts for the salt formation, though individual solubilities varied significantly. Thus w</w:t>
      </w:r>
      <w:r w:rsidR="00B30F84" w:rsidRPr="00781BD2">
        <w:t xml:space="preserve">hen tizoxanide </w:t>
      </w:r>
      <w:r w:rsidR="00B30F84" w:rsidRPr="00781BD2">
        <w:rPr>
          <w:b/>
          <w:bCs/>
        </w:rPr>
        <w:t>1b</w:t>
      </w:r>
      <w:r w:rsidR="00B30F84" w:rsidRPr="00781BD2">
        <w:t xml:space="preserve"> was heated in methanol with a slight excess of ethanolamine for about 0.25 h, a</w:t>
      </w:r>
      <w:r w:rsidR="00D16923" w:rsidRPr="00781BD2">
        <w:t>n almost</w:t>
      </w:r>
      <w:r w:rsidR="00B30F84" w:rsidRPr="00781BD2">
        <w:t xml:space="preserve"> clear solution was obtained. Filtration followed by concentration led to crystallisation of the desired salt </w:t>
      </w:r>
      <w:r w:rsidR="00F32D55" w:rsidRPr="00781BD2">
        <w:rPr>
          <w:b/>
          <w:bCs/>
        </w:rPr>
        <w:t>8</w:t>
      </w:r>
      <w:r w:rsidR="00B30F84" w:rsidRPr="00781BD2">
        <w:t xml:space="preserve">; after dilution with diethyl ether, cooling and filtration, </w:t>
      </w:r>
      <w:r w:rsidR="00F32D55" w:rsidRPr="00781BD2">
        <w:rPr>
          <w:b/>
          <w:bCs/>
        </w:rPr>
        <w:t>8</w:t>
      </w:r>
      <w:r w:rsidR="00BB7437" w:rsidRPr="00781BD2">
        <w:t xml:space="preserve"> was obtained in good yield and </w:t>
      </w:r>
      <w:r w:rsidR="004108DF" w:rsidRPr="00781BD2">
        <w:t xml:space="preserve">excellent </w:t>
      </w:r>
      <w:r w:rsidR="00BB7437" w:rsidRPr="00781BD2">
        <w:t>microanalytical purity.</w:t>
      </w:r>
      <w:r w:rsidR="00291F70" w:rsidRPr="00781BD2">
        <w:t xml:space="preserve"> The 1H NMR showed a characteristic upfield shi</w:t>
      </w:r>
      <w:r w:rsidR="00902ED8" w:rsidRPr="00781BD2">
        <w:t>f</w:t>
      </w:r>
      <w:r w:rsidR="00291F70" w:rsidRPr="00781BD2">
        <w:t xml:space="preserve">t of the aryl protons, consistent with the </w:t>
      </w:r>
      <w:r w:rsidR="006317B4" w:rsidRPr="00781BD2">
        <w:t xml:space="preserve">anionic nature of the </w:t>
      </w:r>
      <w:r w:rsidR="00291F70" w:rsidRPr="00781BD2">
        <w:t>thiazolide.</w:t>
      </w:r>
      <w:r w:rsidR="0060621C" w:rsidRPr="00781BD2">
        <w:t xml:space="preserve"> Similarly</w:t>
      </w:r>
      <w:r w:rsidR="00543529" w:rsidRPr="00781BD2">
        <w:t>,</w:t>
      </w:r>
      <w:r w:rsidR="0060621C" w:rsidRPr="00781BD2">
        <w:t xml:space="preserve"> RM4848 </w:t>
      </w:r>
      <w:r w:rsidR="00BC4BAE" w:rsidRPr="00781BD2">
        <w:rPr>
          <w:b/>
          <w:bCs/>
        </w:rPr>
        <w:t>3b</w:t>
      </w:r>
      <w:r w:rsidR="0060621C" w:rsidRPr="00781BD2">
        <w:t xml:space="preserve"> afforded salt </w:t>
      </w:r>
      <w:r w:rsidR="00F32D55" w:rsidRPr="00781BD2">
        <w:rPr>
          <w:b/>
          <w:bCs/>
        </w:rPr>
        <w:t>9</w:t>
      </w:r>
      <w:r w:rsidR="0060621C" w:rsidRPr="00781BD2">
        <w:t xml:space="preserve">. </w:t>
      </w:r>
      <w:r w:rsidR="007E5D8A" w:rsidRPr="00781BD2">
        <w:t>Figure 3</w:t>
      </w:r>
      <w:r w:rsidR="00543529" w:rsidRPr="00781BD2">
        <w:t xml:space="preserve"> summarises a total of nine salts made similarly, employing hydroxyamines, morpholine and </w:t>
      </w:r>
      <w:r w:rsidR="00543529" w:rsidRPr="00781BD2">
        <w:rPr>
          <w:i/>
          <w:iCs/>
        </w:rPr>
        <w:t>N</w:t>
      </w:r>
      <w:r w:rsidR="00543529" w:rsidRPr="00781BD2">
        <w:t>-</w:t>
      </w:r>
      <w:r w:rsidR="008F4403" w:rsidRPr="00781BD2">
        <w:t>methyl</w:t>
      </w:r>
      <w:r w:rsidR="00543529" w:rsidRPr="00781BD2">
        <w:t xml:space="preserve"> piperazine.</w:t>
      </w:r>
    </w:p>
    <w:p w:rsidR="002F3226" w:rsidRPr="00781BD2" w:rsidRDefault="002F3226" w:rsidP="002F3226">
      <w:pPr>
        <w:spacing w:line="360" w:lineRule="auto"/>
        <w:jc w:val="center"/>
      </w:pPr>
      <w:r w:rsidRPr="00781BD2">
        <w:rPr>
          <w:noProof/>
          <w:lang w:val="en-US"/>
        </w:rPr>
        <w:drawing>
          <wp:inline distT="0" distB="0" distL="0" distR="0">
            <wp:extent cx="5323840" cy="4032425"/>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33370" cy="4039643"/>
                    </a:xfrm>
                    <a:prstGeom prst="rect">
                      <a:avLst/>
                    </a:prstGeom>
                  </pic:spPr>
                </pic:pic>
              </a:graphicData>
            </a:graphic>
          </wp:inline>
        </w:drawing>
      </w:r>
    </w:p>
    <w:p w:rsidR="002F3226" w:rsidRPr="00781BD2" w:rsidRDefault="002F3226" w:rsidP="002F3226">
      <w:pPr>
        <w:spacing w:line="360" w:lineRule="auto"/>
        <w:rPr>
          <w:sz w:val="22"/>
        </w:rPr>
      </w:pPr>
      <w:r w:rsidRPr="00781BD2">
        <w:rPr>
          <w:b/>
          <w:bCs/>
          <w:sz w:val="22"/>
        </w:rPr>
        <w:t xml:space="preserve">Figure </w:t>
      </w:r>
      <w:r w:rsidR="00BC42F1" w:rsidRPr="00781BD2">
        <w:rPr>
          <w:b/>
          <w:bCs/>
          <w:sz w:val="22"/>
        </w:rPr>
        <w:t>3</w:t>
      </w:r>
      <w:r w:rsidRPr="00781BD2">
        <w:rPr>
          <w:sz w:val="22"/>
        </w:rPr>
        <w:t xml:space="preserve">. </w:t>
      </w:r>
      <w:r w:rsidR="00BC42F1" w:rsidRPr="00781BD2">
        <w:rPr>
          <w:sz w:val="22"/>
        </w:rPr>
        <w:t>T</w:t>
      </w:r>
      <w:r w:rsidRPr="00781BD2">
        <w:rPr>
          <w:sz w:val="22"/>
        </w:rPr>
        <w:t>hiazolide amine salts</w:t>
      </w:r>
      <w:r w:rsidR="00BC42F1" w:rsidRPr="00781BD2">
        <w:rPr>
          <w:sz w:val="22"/>
        </w:rPr>
        <w:t xml:space="preserve"> prepared</w:t>
      </w:r>
      <w:r w:rsidRPr="00781BD2">
        <w:rPr>
          <w:sz w:val="22"/>
        </w:rPr>
        <w:t>.</w:t>
      </w:r>
    </w:p>
    <w:p w:rsidR="00397023" w:rsidRPr="00781BD2" w:rsidRDefault="00DF73D6" w:rsidP="00F92E7E">
      <w:pPr>
        <w:spacing w:line="360" w:lineRule="auto"/>
        <w:ind w:firstLine="720"/>
      </w:pPr>
      <w:r w:rsidRPr="00781BD2">
        <w:t xml:space="preserve">Some significant differences were noted with specific thiazolide/amine combinations. Thus the morpholine salt </w:t>
      </w:r>
      <w:r w:rsidR="00F32D55" w:rsidRPr="00781BD2">
        <w:rPr>
          <w:b/>
          <w:bCs/>
        </w:rPr>
        <w:t>10</w:t>
      </w:r>
      <w:r w:rsidRPr="00781BD2">
        <w:t xml:space="preserve"> was obtained in the normal manner from </w:t>
      </w:r>
      <w:r w:rsidRPr="00781BD2">
        <w:rPr>
          <w:b/>
          <w:bCs/>
        </w:rPr>
        <w:t>1b</w:t>
      </w:r>
      <w:r w:rsidRPr="00781BD2">
        <w:t xml:space="preserve">, but when RM4848 </w:t>
      </w:r>
      <w:r w:rsidR="00F32D55" w:rsidRPr="00781BD2">
        <w:rPr>
          <w:b/>
          <w:bCs/>
        </w:rPr>
        <w:t>3b</w:t>
      </w:r>
      <w:r w:rsidRPr="00781BD2">
        <w:t xml:space="preserve"> was used the first solid to precipitate was unreacted </w:t>
      </w:r>
      <w:r w:rsidR="00F32D55" w:rsidRPr="00781BD2">
        <w:rPr>
          <w:b/>
          <w:bCs/>
        </w:rPr>
        <w:t>3b</w:t>
      </w:r>
      <w:r w:rsidRPr="00781BD2">
        <w:t xml:space="preserve">. Concentration of the filtrate led to the desired salt </w:t>
      </w:r>
      <w:r w:rsidR="00F32D55" w:rsidRPr="00781BD2">
        <w:rPr>
          <w:b/>
          <w:bCs/>
        </w:rPr>
        <w:t>11</w:t>
      </w:r>
      <w:r w:rsidRPr="00781BD2">
        <w:t>, inevitably in rather low yield but still microanalytically pure.</w:t>
      </w:r>
      <w:r w:rsidR="00651357" w:rsidRPr="00781BD2">
        <w:t xml:space="preserve"> </w:t>
      </w:r>
      <w:r w:rsidR="00F32D55" w:rsidRPr="00781BD2">
        <w:t xml:space="preserve">Salts </w:t>
      </w:r>
      <w:r w:rsidR="00F32D55" w:rsidRPr="00781BD2">
        <w:rPr>
          <w:b/>
          <w:bCs/>
        </w:rPr>
        <w:t xml:space="preserve">12 </w:t>
      </w:r>
      <w:r w:rsidR="00F32D55" w:rsidRPr="00781BD2">
        <w:t>to</w:t>
      </w:r>
      <w:r w:rsidR="00F32D55" w:rsidRPr="00781BD2">
        <w:rPr>
          <w:b/>
          <w:bCs/>
        </w:rPr>
        <w:t xml:space="preserve"> 15 </w:t>
      </w:r>
      <w:r w:rsidR="00F32D55" w:rsidRPr="00781BD2">
        <w:t>were similarly obtained using</w:t>
      </w:r>
      <w:r w:rsidR="00F32D55" w:rsidRPr="00781BD2">
        <w:rPr>
          <w:b/>
          <w:bCs/>
        </w:rPr>
        <w:t xml:space="preserve"> </w:t>
      </w:r>
      <w:r w:rsidR="00F32D55" w:rsidRPr="00781BD2">
        <w:t>1-aminopropanol (</w:t>
      </w:r>
      <w:r w:rsidR="00F32D55" w:rsidRPr="00781BD2">
        <w:rPr>
          <w:b/>
          <w:bCs/>
        </w:rPr>
        <w:t>12</w:t>
      </w:r>
      <w:r w:rsidR="00F32D55" w:rsidRPr="00781BD2">
        <w:t>,</w:t>
      </w:r>
      <w:r w:rsidR="00F32D55" w:rsidRPr="00781BD2">
        <w:rPr>
          <w:b/>
          <w:bCs/>
        </w:rPr>
        <w:t xml:space="preserve"> 13</w:t>
      </w:r>
      <w:r w:rsidR="00F32D55" w:rsidRPr="00781BD2">
        <w:t xml:space="preserve">) and </w:t>
      </w:r>
      <w:r w:rsidR="00B20886" w:rsidRPr="00781BD2">
        <w:t>di</w:t>
      </w:r>
      <w:r w:rsidR="00016414" w:rsidRPr="00781BD2">
        <w:t>ethanol</w:t>
      </w:r>
      <w:r w:rsidR="00F32D55" w:rsidRPr="00781BD2">
        <w:t>amine (</w:t>
      </w:r>
      <w:r w:rsidR="00F32D55" w:rsidRPr="00781BD2">
        <w:rPr>
          <w:b/>
          <w:bCs/>
        </w:rPr>
        <w:t>14</w:t>
      </w:r>
      <w:r w:rsidR="00F32D55" w:rsidRPr="00781BD2">
        <w:t xml:space="preserve">, </w:t>
      </w:r>
      <w:r w:rsidR="00F32D55" w:rsidRPr="00781BD2">
        <w:rPr>
          <w:b/>
          <w:bCs/>
        </w:rPr>
        <w:t>15</w:t>
      </w:r>
      <w:r w:rsidR="00F32D55" w:rsidRPr="00781BD2">
        <w:t>)</w:t>
      </w:r>
      <w:r w:rsidR="002437A5" w:rsidRPr="00781BD2">
        <w:t>.</w:t>
      </w:r>
      <w:r w:rsidR="00F32D55" w:rsidRPr="00781BD2">
        <w:t xml:space="preserve"> </w:t>
      </w:r>
      <w:r w:rsidR="00651357" w:rsidRPr="00781BD2">
        <w:t xml:space="preserve">Diamines proved more difficult to handle, and from piperazine we </w:t>
      </w:r>
      <w:r w:rsidR="00792383" w:rsidRPr="00781BD2">
        <w:t>could not easily</w:t>
      </w:r>
      <w:r w:rsidR="00651357" w:rsidRPr="00781BD2">
        <w:t xml:space="preserve"> obtain pure salts; piperazine is a solid and difficult to remove by recrystallisation</w:t>
      </w:r>
      <w:r w:rsidR="00E8356D" w:rsidRPr="00781BD2">
        <w:t xml:space="preserve">. </w:t>
      </w:r>
      <w:r w:rsidR="00EC66F1" w:rsidRPr="00781BD2">
        <w:t xml:space="preserve">However, from </w:t>
      </w:r>
      <w:r w:rsidR="00EC66F1" w:rsidRPr="00781BD2">
        <w:rPr>
          <w:i/>
          <w:iCs/>
        </w:rPr>
        <w:t>N</w:t>
      </w:r>
      <w:r w:rsidR="00EC66F1" w:rsidRPr="00781BD2">
        <w:t>-Me piperazine</w:t>
      </w:r>
      <w:r w:rsidR="00D90C8F" w:rsidRPr="00781BD2">
        <w:t>, a liquid,</w:t>
      </w:r>
      <w:r w:rsidR="00EC66F1" w:rsidRPr="00781BD2">
        <w:t xml:space="preserve"> </w:t>
      </w:r>
      <w:r w:rsidR="00AF5929" w:rsidRPr="00781BD2">
        <w:t xml:space="preserve">and </w:t>
      </w:r>
      <w:r w:rsidR="00AF5929" w:rsidRPr="00781BD2">
        <w:rPr>
          <w:b/>
          <w:bCs/>
        </w:rPr>
        <w:t>1b</w:t>
      </w:r>
      <w:r w:rsidR="00AF5929" w:rsidRPr="00781BD2">
        <w:t xml:space="preserve"> </w:t>
      </w:r>
      <w:r w:rsidR="00400BD9" w:rsidRPr="00781BD2">
        <w:t xml:space="preserve">we could obtain the salt </w:t>
      </w:r>
      <w:r w:rsidR="002077A3" w:rsidRPr="00781BD2">
        <w:rPr>
          <w:b/>
          <w:bCs/>
        </w:rPr>
        <w:t>16</w:t>
      </w:r>
      <w:r w:rsidR="00400BD9" w:rsidRPr="00781BD2">
        <w:t xml:space="preserve"> although in low yield</w:t>
      </w:r>
      <w:r w:rsidR="00054281" w:rsidRPr="00781BD2">
        <w:t xml:space="preserve">; the site of protonation in this case </w:t>
      </w:r>
      <w:r w:rsidR="00367F8E" w:rsidRPr="00781BD2">
        <w:t>was not</w:t>
      </w:r>
      <w:r w:rsidR="00054281" w:rsidRPr="00781BD2">
        <w:t xml:space="preserve"> determined</w:t>
      </w:r>
      <w:r w:rsidR="00400BD9" w:rsidRPr="00781BD2">
        <w:t xml:space="preserve">. </w:t>
      </w:r>
      <w:r w:rsidR="00F9192F" w:rsidRPr="00781BD2">
        <w:t xml:space="preserve">The amino-acid L-lysine did not give an isolable salt from either </w:t>
      </w:r>
      <w:r w:rsidR="00F9192F" w:rsidRPr="00781BD2">
        <w:rPr>
          <w:b/>
          <w:bCs/>
        </w:rPr>
        <w:t>1b</w:t>
      </w:r>
      <w:r w:rsidR="00F9192F" w:rsidRPr="00781BD2">
        <w:t xml:space="preserve"> or </w:t>
      </w:r>
      <w:r w:rsidR="002077A3" w:rsidRPr="00781BD2">
        <w:rPr>
          <w:b/>
          <w:bCs/>
        </w:rPr>
        <w:t>3b</w:t>
      </w:r>
      <w:r w:rsidR="00F9192F" w:rsidRPr="00781BD2">
        <w:t>.</w:t>
      </w:r>
      <w:r w:rsidR="000C5C75" w:rsidRPr="00781BD2">
        <w:t xml:space="preserve"> Naturally the scope of possible amines is very large</w:t>
      </w:r>
      <w:r w:rsidR="00836BA1" w:rsidRPr="00781BD2">
        <w:t xml:space="preserve"> and only a selection is shown</w:t>
      </w:r>
      <w:r w:rsidR="000C5C75" w:rsidRPr="00781BD2">
        <w:t>; hydroxyamines and diamines were attractive because of the prospect of better water solubility</w:t>
      </w:r>
      <w:r w:rsidR="002077A3" w:rsidRPr="00781BD2">
        <w:t xml:space="preserve">, and in particular ethanolamine is very well tolerated </w:t>
      </w:r>
      <w:r w:rsidR="002077A3" w:rsidRPr="00781BD2">
        <w:rPr>
          <w:i/>
          <w:iCs/>
        </w:rPr>
        <w:t>in vivo</w:t>
      </w:r>
      <w:r w:rsidR="00065107" w:rsidRPr="00781BD2">
        <w:t xml:space="preserve"> as noted above</w:t>
      </w:r>
      <w:r w:rsidR="000C5C75" w:rsidRPr="00781BD2">
        <w:t>.</w:t>
      </w:r>
    </w:p>
    <w:p w:rsidR="00FF6362" w:rsidRPr="00781BD2" w:rsidRDefault="00397023" w:rsidP="00F92E7E">
      <w:pPr>
        <w:spacing w:line="360" w:lineRule="auto"/>
        <w:ind w:firstLine="720"/>
      </w:pPr>
      <w:r w:rsidRPr="00781BD2">
        <w:t xml:space="preserve">The improved solubility of </w:t>
      </w:r>
      <w:r w:rsidRPr="00781BD2">
        <w:rPr>
          <w:b/>
        </w:rPr>
        <w:t>8</w:t>
      </w:r>
      <w:r w:rsidRPr="00781BD2">
        <w:t xml:space="preserve"> over </w:t>
      </w:r>
      <w:r w:rsidRPr="00781BD2">
        <w:rPr>
          <w:b/>
        </w:rPr>
        <w:t>1b</w:t>
      </w:r>
      <w:r w:rsidRPr="00781BD2">
        <w:t xml:space="preserve"> is illustrated for a variety of solvents </w:t>
      </w:r>
      <w:r w:rsidR="004A0A28" w:rsidRPr="00781BD2">
        <w:t xml:space="preserve">in Table 1, where the data were obtained </w:t>
      </w:r>
      <w:r w:rsidR="001B6D6F" w:rsidRPr="00781BD2">
        <w:t>at a concentration of 1mg/mL in</w:t>
      </w:r>
      <w:r w:rsidR="003724FF" w:rsidRPr="00781BD2">
        <w:t xml:space="preserve"> </w:t>
      </w:r>
      <w:r w:rsidR="001B6D6F" w:rsidRPr="00781BD2">
        <w:t>each case.</w:t>
      </w:r>
      <w:r w:rsidR="00355391" w:rsidRPr="00781BD2">
        <w:t xml:space="preserve"> Quantitatively, the aqueous solubility of </w:t>
      </w:r>
      <w:r w:rsidR="00355391" w:rsidRPr="00781BD2">
        <w:rPr>
          <w:b/>
        </w:rPr>
        <w:t>8</w:t>
      </w:r>
      <w:r w:rsidR="00355391" w:rsidRPr="00781BD2">
        <w:t xml:space="preserve"> is about 100mg/L; that of </w:t>
      </w:r>
      <w:r w:rsidR="00355391" w:rsidRPr="00781BD2">
        <w:rPr>
          <w:b/>
        </w:rPr>
        <w:t>1b</w:t>
      </w:r>
      <w:r w:rsidR="00355391" w:rsidRPr="00781BD2">
        <w:t xml:space="preserve"> is &lt;10mg/L</w:t>
      </w:r>
      <w:r w:rsidR="00AB7982" w:rsidRPr="00781BD2">
        <w:t>.</w:t>
      </w:r>
    </w:p>
    <w:p w:rsidR="00824DD9" w:rsidRPr="00781BD2" w:rsidRDefault="00824DD9" w:rsidP="00F92E7E">
      <w:pPr>
        <w:spacing w:line="360" w:lineRule="auto"/>
        <w:ind w:firstLine="720"/>
      </w:pPr>
    </w:p>
    <w:p w:rsidR="00200925" w:rsidRPr="00781BD2" w:rsidRDefault="00824DD9" w:rsidP="001C0ED2">
      <w:pPr>
        <w:rPr>
          <w:sz w:val="22"/>
        </w:rPr>
      </w:pPr>
      <w:r w:rsidRPr="00781BD2">
        <w:rPr>
          <w:b/>
          <w:sz w:val="22"/>
        </w:rPr>
        <w:t>Table 1</w:t>
      </w:r>
      <w:r w:rsidR="001C0ED2" w:rsidRPr="00781BD2">
        <w:rPr>
          <w:sz w:val="22"/>
        </w:rPr>
        <w:t>. The c</w:t>
      </w:r>
      <w:r w:rsidRPr="00781BD2">
        <w:rPr>
          <w:sz w:val="22"/>
        </w:rPr>
        <w:t xml:space="preserve">omparative </w:t>
      </w:r>
      <w:r w:rsidR="00164558" w:rsidRPr="00781BD2">
        <w:rPr>
          <w:sz w:val="22"/>
        </w:rPr>
        <w:t xml:space="preserve">qualitative </w:t>
      </w:r>
      <w:r w:rsidRPr="00781BD2">
        <w:rPr>
          <w:sz w:val="22"/>
        </w:rPr>
        <w:t xml:space="preserve">solubilities of salt </w:t>
      </w:r>
      <w:r w:rsidRPr="00781BD2">
        <w:rPr>
          <w:b/>
          <w:sz w:val="22"/>
        </w:rPr>
        <w:t>8</w:t>
      </w:r>
      <w:r w:rsidRPr="00781BD2">
        <w:rPr>
          <w:sz w:val="22"/>
        </w:rPr>
        <w:t xml:space="preserve"> and parent </w:t>
      </w:r>
      <w:r w:rsidRPr="00781BD2">
        <w:rPr>
          <w:b/>
          <w:sz w:val="22"/>
        </w:rPr>
        <w:t>1b</w:t>
      </w:r>
      <w:r w:rsidRPr="00781BD2">
        <w:rPr>
          <w:sz w:val="22"/>
        </w:rPr>
        <w:t xml:space="preserve"> in various solvents</w:t>
      </w:r>
      <w:r w:rsidR="00F01AB8" w:rsidRPr="00781BD2">
        <w:rPr>
          <w:sz w:val="22"/>
        </w:rPr>
        <w:t xml:space="preserve">, at 1mg/mL and </w:t>
      </w:r>
      <w:r w:rsidR="001C0ED2" w:rsidRPr="00781BD2">
        <w:rPr>
          <w:sz w:val="22"/>
        </w:rPr>
        <w:t>20°C.</w:t>
      </w:r>
    </w:p>
    <w:tbl>
      <w:tblPr>
        <w:tblW w:w="0" w:type="auto"/>
        <w:jc w:val="center"/>
        <w:tblBorders>
          <w:top w:val="single" w:sz="12" w:space="0" w:color="008000"/>
          <w:left w:val="nil"/>
          <w:bottom w:val="single" w:sz="12" w:space="0" w:color="008000"/>
          <w:right w:val="nil"/>
          <w:insideH w:val="nil"/>
          <w:insideV w:val="nil"/>
        </w:tblBorders>
        <w:tblLook w:val="00A0"/>
      </w:tblPr>
      <w:tblGrid>
        <w:gridCol w:w="2446"/>
        <w:gridCol w:w="2447"/>
        <w:gridCol w:w="2447"/>
      </w:tblGrid>
      <w:tr w:rsidR="00824DD9" w:rsidRPr="00781BD2">
        <w:trPr>
          <w:trHeight w:val="383"/>
          <w:jc w:val="center"/>
        </w:trPr>
        <w:tc>
          <w:tcPr>
            <w:tcW w:w="2446" w:type="dxa"/>
            <w:tcBorders>
              <w:bottom w:val="single" w:sz="6" w:space="0" w:color="008000"/>
            </w:tcBorders>
            <w:shd w:val="clear" w:color="auto" w:fill="auto"/>
          </w:tcPr>
          <w:p w:rsidR="00824DD9" w:rsidRPr="00781BD2" w:rsidRDefault="00824DD9" w:rsidP="00824DD9">
            <w:pPr>
              <w:spacing w:line="360" w:lineRule="auto"/>
              <w:jc w:val="center"/>
              <w:rPr>
                <w:sz w:val="22"/>
              </w:rPr>
            </w:pPr>
            <w:r w:rsidRPr="00781BD2">
              <w:rPr>
                <w:sz w:val="22"/>
              </w:rPr>
              <w:t>Solvent</w:t>
            </w:r>
          </w:p>
        </w:tc>
        <w:tc>
          <w:tcPr>
            <w:tcW w:w="2447" w:type="dxa"/>
            <w:tcBorders>
              <w:bottom w:val="single" w:sz="6" w:space="0" w:color="008000"/>
            </w:tcBorders>
            <w:shd w:val="clear" w:color="auto" w:fill="auto"/>
          </w:tcPr>
          <w:p w:rsidR="00824DD9" w:rsidRPr="00781BD2" w:rsidRDefault="00824DD9" w:rsidP="00824DD9">
            <w:pPr>
              <w:spacing w:line="360" w:lineRule="auto"/>
              <w:jc w:val="center"/>
              <w:rPr>
                <w:sz w:val="22"/>
              </w:rPr>
            </w:pPr>
            <w:r w:rsidRPr="00781BD2">
              <w:rPr>
                <w:sz w:val="22"/>
              </w:rPr>
              <w:t xml:space="preserve">Compound </w:t>
            </w:r>
            <w:r w:rsidRPr="00781BD2">
              <w:rPr>
                <w:b/>
                <w:sz w:val="22"/>
              </w:rPr>
              <w:t>8</w:t>
            </w:r>
          </w:p>
        </w:tc>
        <w:tc>
          <w:tcPr>
            <w:tcW w:w="2447" w:type="dxa"/>
            <w:tcBorders>
              <w:bottom w:val="single" w:sz="6" w:space="0" w:color="008000"/>
            </w:tcBorders>
            <w:shd w:val="clear" w:color="auto" w:fill="auto"/>
          </w:tcPr>
          <w:p w:rsidR="00824DD9" w:rsidRPr="00781BD2" w:rsidRDefault="00824DD9" w:rsidP="00824DD9">
            <w:pPr>
              <w:spacing w:line="360" w:lineRule="auto"/>
              <w:jc w:val="center"/>
              <w:rPr>
                <w:sz w:val="22"/>
              </w:rPr>
            </w:pPr>
            <w:r w:rsidRPr="00781BD2">
              <w:rPr>
                <w:sz w:val="22"/>
              </w:rPr>
              <w:t xml:space="preserve">Compound </w:t>
            </w:r>
            <w:r w:rsidRPr="00781BD2">
              <w:rPr>
                <w:b/>
                <w:sz w:val="22"/>
              </w:rPr>
              <w:t>1b</w:t>
            </w:r>
            <w:r w:rsidRPr="00781BD2">
              <w:rPr>
                <w:sz w:val="22"/>
              </w:rPr>
              <w:t xml:space="preserve"> </w:t>
            </w:r>
          </w:p>
        </w:tc>
      </w:tr>
      <w:tr w:rsidR="00824DD9" w:rsidRPr="00781BD2">
        <w:trPr>
          <w:trHeight w:val="400"/>
          <w:jc w:val="center"/>
        </w:trPr>
        <w:tc>
          <w:tcPr>
            <w:tcW w:w="2446" w:type="dxa"/>
            <w:tcBorders>
              <w:top w:val="single" w:sz="6" w:space="0" w:color="008000"/>
            </w:tcBorders>
            <w:shd w:val="clear" w:color="auto" w:fill="auto"/>
          </w:tcPr>
          <w:p w:rsidR="00824DD9" w:rsidRPr="00781BD2" w:rsidRDefault="001A2FCC" w:rsidP="00E03946">
            <w:pPr>
              <w:spacing w:line="360" w:lineRule="auto"/>
              <w:jc w:val="center"/>
              <w:rPr>
                <w:sz w:val="22"/>
              </w:rPr>
            </w:pPr>
            <w:r w:rsidRPr="00781BD2">
              <w:rPr>
                <w:sz w:val="22"/>
              </w:rPr>
              <w:t>DMF</w:t>
            </w:r>
          </w:p>
        </w:tc>
        <w:tc>
          <w:tcPr>
            <w:tcW w:w="2447" w:type="dxa"/>
            <w:tcBorders>
              <w:top w:val="single" w:sz="6" w:space="0" w:color="008000"/>
            </w:tcBorders>
            <w:shd w:val="clear" w:color="auto" w:fill="auto"/>
          </w:tcPr>
          <w:p w:rsidR="00824DD9" w:rsidRPr="00781BD2" w:rsidRDefault="00772F62" w:rsidP="00772F62">
            <w:pPr>
              <w:spacing w:line="360" w:lineRule="auto"/>
              <w:jc w:val="center"/>
              <w:rPr>
                <w:sz w:val="22"/>
                <w:vertAlign w:val="superscript"/>
              </w:rPr>
            </w:pPr>
            <w:r w:rsidRPr="00781BD2">
              <w:rPr>
                <w:sz w:val="22"/>
              </w:rPr>
              <w:sym w:font="Monotype Sorts" w:char="F033"/>
            </w:r>
            <w:r w:rsidRPr="00781BD2">
              <w:rPr>
                <w:sz w:val="22"/>
              </w:rPr>
              <w:sym w:font="Monotype Sorts" w:char="F033"/>
            </w:r>
            <w:r w:rsidRPr="00781BD2">
              <w:rPr>
                <w:sz w:val="22"/>
              </w:rPr>
              <w:sym w:font="Monotype Sorts" w:char="F033"/>
            </w:r>
            <w:r w:rsidRPr="00781BD2">
              <w:rPr>
                <w:sz w:val="22"/>
              </w:rPr>
              <w:sym w:font="Monotype Sorts" w:char="F033"/>
            </w:r>
            <w:r w:rsidR="00FF6362" w:rsidRPr="00781BD2">
              <w:rPr>
                <w:sz w:val="22"/>
                <w:vertAlign w:val="superscript"/>
              </w:rPr>
              <w:t>1</w:t>
            </w:r>
          </w:p>
        </w:tc>
        <w:tc>
          <w:tcPr>
            <w:tcW w:w="2447" w:type="dxa"/>
            <w:tcBorders>
              <w:top w:val="single" w:sz="6" w:space="0" w:color="008000"/>
            </w:tcBorders>
            <w:shd w:val="clear" w:color="auto" w:fill="auto"/>
          </w:tcPr>
          <w:p w:rsidR="00824DD9" w:rsidRPr="00781BD2" w:rsidRDefault="00772F62" w:rsidP="00772F62">
            <w:pPr>
              <w:spacing w:line="360" w:lineRule="auto"/>
              <w:jc w:val="center"/>
              <w:rPr>
                <w:sz w:val="22"/>
              </w:rPr>
            </w:pPr>
            <w:r w:rsidRPr="00781BD2">
              <w:rPr>
                <w:sz w:val="22"/>
              </w:rPr>
              <w:sym w:font="Monotype Sorts" w:char="F033"/>
            </w:r>
            <w:r w:rsidRPr="00781BD2">
              <w:rPr>
                <w:sz w:val="22"/>
              </w:rPr>
              <w:sym w:font="Monotype Sorts" w:char="F033"/>
            </w:r>
            <w:r w:rsidRPr="00781BD2">
              <w:rPr>
                <w:sz w:val="22"/>
              </w:rPr>
              <w:sym w:font="Monotype Sorts" w:char="F033"/>
            </w:r>
            <w:r w:rsidRPr="00781BD2">
              <w:rPr>
                <w:sz w:val="22"/>
              </w:rPr>
              <w:sym w:font="Monotype Sorts" w:char="F033"/>
            </w:r>
          </w:p>
        </w:tc>
      </w:tr>
      <w:tr w:rsidR="00824DD9" w:rsidRPr="00781BD2">
        <w:trPr>
          <w:trHeight w:val="400"/>
          <w:jc w:val="center"/>
        </w:trPr>
        <w:tc>
          <w:tcPr>
            <w:tcW w:w="2446" w:type="dxa"/>
            <w:shd w:val="clear" w:color="auto" w:fill="auto"/>
          </w:tcPr>
          <w:p w:rsidR="00824DD9" w:rsidRPr="00781BD2" w:rsidRDefault="001A2FCC" w:rsidP="00772F62">
            <w:pPr>
              <w:spacing w:line="360" w:lineRule="auto"/>
              <w:jc w:val="center"/>
              <w:rPr>
                <w:sz w:val="22"/>
              </w:rPr>
            </w:pPr>
            <w:r w:rsidRPr="00781BD2">
              <w:rPr>
                <w:sz w:val="22"/>
              </w:rPr>
              <w:t>DMSO</w:t>
            </w:r>
          </w:p>
        </w:tc>
        <w:tc>
          <w:tcPr>
            <w:tcW w:w="2447" w:type="dxa"/>
            <w:shd w:val="clear" w:color="auto" w:fill="auto"/>
          </w:tcPr>
          <w:p w:rsidR="00824DD9" w:rsidRPr="00781BD2" w:rsidRDefault="00772F62" w:rsidP="00772F62">
            <w:pPr>
              <w:spacing w:line="360" w:lineRule="auto"/>
              <w:jc w:val="center"/>
              <w:rPr>
                <w:sz w:val="22"/>
              </w:rPr>
            </w:pPr>
            <w:r w:rsidRPr="00781BD2">
              <w:rPr>
                <w:sz w:val="22"/>
              </w:rPr>
              <w:sym w:font="Monotype Sorts" w:char="F033"/>
            </w:r>
            <w:r w:rsidRPr="00781BD2">
              <w:rPr>
                <w:sz w:val="22"/>
              </w:rPr>
              <w:sym w:font="Monotype Sorts" w:char="F033"/>
            </w:r>
            <w:r w:rsidRPr="00781BD2">
              <w:rPr>
                <w:sz w:val="22"/>
              </w:rPr>
              <w:sym w:font="Monotype Sorts" w:char="F033"/>
            </w:r>
            <w:r w:rsidRPr="00781BD2">
              <w:rPr>
                <w:sz w:val="22"/>
              </w:rPr>
              <w:sym w:font="Monotype Sorts" w:char="F033"/>
            </w:r>
          </w:p>
        </w:tc>
        <w:tc>
          <w:tcPr>
            <w:tcW w:w="2447" w:type="dxa"/>
            <w:shd w:val="clear" w:color="auto" w:fill="auto"/>
          </w:tcPr>
          <w:p w:rsidR="00824DD9" w:rsidRPr="00781BD2" w:rsidRDefault="00772F62" w:rsidP="00772F62">
            <w:pPr>
              <w:spacing w:line="360" w:lineRule="auto"/>
              <w:jc w:val="center"/>
              <w:rPr>
                <w:sz w:val="22"/>
              </w:rPr>
            </w:pPr>
            <w:r w:rsidRPr="00781BD2">
              <w:rPr>
                <w:sz w:val="22"/>
              </w:rPr>
              <w:sym w:font="Monotype Sorts" w:char="F033"/>
            </w:r>
            <w:r w:rsidRPr="00781BD2">
              <w:rPr>
                <w:sz w:val="22"/>
              </w:rPr>
              <w:sym w:font="Monotype Sorts" w:char="F033"/>
            </w:r>
            <w:r w:rsidRPr="00781BD2">
              <w:rPr>
                <w:sz w:val="22"/>
              </w:rPr>
              <w:sym w:font="Monotype Sorts" w:char="F033"/>
            </w:r>
            <w:r w:rsidRPr="00781BD2">
              <w:rPr>
                <w:sz w:val="22"/>
              </w:rPr>
              <w:sym w:font="Monotype Sorts" w:char="F033"/>
            </w:r>
          </w:p>
        </w:tc>
      </w:tr>
      <w:tr w:rsidR="00824DD9" w:rsidRPr="00781BD2">
        <w:trPr>
          <w:trHeight w:val="400"/>
          <w:jc w:val="center"/>
        </w:trPr>
        <w:tc>
          <w:tcPr>
            <w:tcW w:w="2446" w:type="dxa"/>
            <w:shd w:val="clear" w:color="auto" w:fill="auto"/>
          </w:tcPr>
          <w:p w:rsidR="00824DD9" w:rsidRPr="00781BD2" w:rsidRDefault="001A2FCC" w:rsidP="00772F62">
            <w:pPr>
              <w:spacing w:line="360" w:lineRule="auto"/>
              <w:jc w:val="center"/>
              <w:rPr>
                <w:sz w:val="22"/>
              </w:rPr>
            </w:pPr>
            <w:r w:rsidRPr="00781BD2">
              <w:rPr>
                <w:sz w:val="22"/>
              </w:rPr>
              <w:t>MeCN</w:t>
            </w:r>
          </w:p>
        </w:tc>
        <w:tc>
          <w:tcPr>
            <w:tcW w:w="2447" w:type="dxa"/>
            <w:shd w:val="clear" w:color="auto" w:fill="auto"/>
          </w:tcPr>
          <w:p w:rsidR="00824DD9" w:rsidRPr="00781BD2" w:rsidRDefault="00772F62" w:rsidP="00772F62">
            <w:pPr>
              <w:spacing w:line="360" w:lineRule="auto"/>
              <w:jc w:val="center"/>
              <w:rPr>
                <w:sz w:val="22"/>
                <w:vertAlign w:val="superscript"/>
              </w:rPr>
            </w:pPr>
            <w:r w:rsidRPr="00781BD2">
              <w:rPr>
                <w:sz w:val="22"/>
              </w:rPr>
              <w:sym w:font="Monotype Sorts" w:char="F033"/>
            </w:r>
            <w:r w:rsidR="00FF6362" w:rsidRPr="00781BD2">
              <w:rPr>
                <w:sz w:val="22"/>
                <w:vertAlign w:val="superscript"/>
              </w:rPr>
              <w:t>4</w:t>
            </w:r>
          </w:p>
        </w:tc>
        <w:tc>
          <w:tcPr>
            <w:tcW w:w="2447" w:type="dxa"/>
            <w:shd w:val="clear" w:color="auto" w:fill="auto"/>
          </w:tcPr>
          <w:p w:rsidR="00824DD9" w:rsidRPr="00781BD2" w:rsidRDefault="00772F62" w:rsidP="00772F62">
            <w:pPr>
              <w:spacing w:line="360" w:lineRule="auto"/>
              <w:jc w:val="center"/>
              <w:rPr>
                <w:sz w:val="22"/>
              </w:rPr>
            </w:pPr>
            <w:r w:rsidRPr="00781BD2">
              <w:rPr>
                <w:sz w:val="22"/>
              </w:rPr>
              <w:t>x</w:t>
            </w:r>
          </w:p>
        </w:tc>
      </w:tr>
      <w:tr w:rsidR="00824DD9" w:rsidRPr="00781BD2">
        <w:trPr>
          <w:trHeight w:val="383"/>
          <w:jc w:val="center"/>
        </w:trPr>
        <w:tc>
          <w:tcPr>
            <w:tcW w:w="2446" w:type="dxa"/>
            <w:shd w:val="clear" w:color="auto" w:fill="auto"/>
          </w:tcPr>
          <w:p w:rsidR="00824DD9" w:rsidRPr="00781BD2" w:rsidRDefault="001A2FCC" w:rsidP="00772F62">
            <w:pPr>
              <w:spacing w:line="360" w:lineRule="auto"/>
              <w:jc w:val="center"/>
              <w:rPr>
                <w:sz w:val="22"/>
              </w:rPr>
            </w:pPr>
            <w:r w:rsidRPr="00781BD2">
              <w:rPr>
                <w:sz w:val="22"/>
              </w:rPr>
              <w:t>MeCN: H</w:t>
            </w:r>
            <w:r w:rsidRPr="00781BD2">
              <w:rPr>
                <w:sz w:val="22"/>
                <w:vertAlign w:val="subscript"/>
              </w:rPr>
              <w:t>2</w:t>
            </w:r>
            <w:r w:rsidRPr="00781BD2">
              <w:rPr>
                <w:sz w:val="22"/>
              </w:rPr>
              <w:t>O, 35:65</w:t>
            </w:r>
          </w:p>
        </w:tc>
        <w:tc>
          <w:tcPr>
            <w:tcW w:w="2447" w:type="dxa"/>
            <w:shd w:val="clear" w:color="auto" w:fill="auto"/>
          </w:tcPr>
          <w:p w:rsidR="00824DD9" w:rsidRPr="00781BD2" w:rsidRDefault="00772F62" w:rsidP="00772F62">
            <w:pPr>
              <w:spacing w:line="360" w:lineRule="auto"/>
              <w:jc w:val="center"/>
              <w:rPr>
                <w:sz w:val="22"/>
              </w:rPr>
            </w:pPr>
            <w:r w:rsidRPr="00781BD2">
              <w:rPr>
                <w:sz w:val="22"/>
              </w:rPr>
              <w:sym w:font="Monotype Sorts" w:char="F033"/>
            </w:r>
            <w:r w:rsidRPr="00781BD2">
              <w:rPr>
                <w:sz w:val="22"/>
              </w:rPr>
              <w:sym w:font="Monotype Sorts" w:char="F033"/>
            </w:r>
            <w:r w:rsidRPr="00781BD2">
              <w:rPr>
                <w:sz w:val="22"/>
              </w:rPr>
              <w:sym w:font="Monotype Sorts" w:char="F033"/>
            </w:r>
            <w:r w:rsidR="00FF6362" w:rsidRPr="00781BD2">
              <w:rPr>
                <w:sz w:val="22"/>
                <w:vertAlign w:val="superscript"/>
              </w:rPr>
              <w:t>2</w:t>
            </w:r>
          </w:p>
        </w:tc>
        <w:tc>
          <w:tcPr>
            <w:tcW w:w="2447" w:type="dxa"/>
            <w:shd w:val="clear" w:color="auto" w:fill="auto"/>
          </w:tcPr>
          <w:p w:rsidR="00824DD9" w:rsidRPr="00781BD2" w:rsidRDefault="00772F62" w:rsidP="00772F62">
            <w:pPr>
              <w:spacing w:line="360" w:lineRule="auto"/>
              <w:jc w:val="center"/>
              <w:rPr>
                <w:sz w:val="22"/>
              </w:rPr>
            </w:pPr>
            <w:r w:rsidRPr="00781BD2">
              <w:rPr>
                <w:sz w:val="22"/>
              </w:rPr>
              <w:sym w:font="Monotype Sorts" w:char="F033"/>
            </w:r>
          </w:p>
        </w:tc>
      </w:tr>
      <w:tr w:rsidR="00824DD9" w:rsidRPr="00781BD2">
        <w:trPr>
          <w:trHeight w:val="400"/>
          <w:jc w:val="center"/>
        </w:trPr>
        <w:tc>
          <w:tcPr>
            <w:tcW w:w="2446" w:type="dxa"/>
            <w:shd w:val="clear" w:color="auto" w:fill="auto"/>
          </w:tcPr>
          <w:p w:rsidR="00824DD9" w:rsidRPr="00781BD2" w:rsidRDefault="00D83EC0" w:rsidP="00772F62">
            <w:pPr>
              <w:spacing w:line="360" w:lineRule="auto"/>
              <w:jc w:val="center"/>
              <w:rPr>
                <w:sz w:val="22"/>
              </w:rPr>
            </w:pPr>
            <w:r w:rsidRPr="00781BD2">
              <w:rPr>
                <w:sz w:val="22"/>
              </w:rPr>
              <w:t>MeOH</w:t>
            </w:r>
          </w:p>
        </w:tc>
        <w:tc>
          <w:tcPr>
            <w:tcW w:w="2447" w:type="dxa"/>
            <w:shd w:val="clear" w:color="auto" w:fill="auto"/>
          </w:tcPr>
          <w:p w:rsidR="00824DD9" w:rsidRPr="00781BD2" w:rsidRDefault="00772F62" w:rsidP="00772F62">
            <w:pPr>
              <w:spacing w:line="360" w:lineRule="auto"/>
              <w:jc w:val="center"/>
              <w:rPr>
                <w:sz w:val="22"/>
                <w:vertAlign w:val="superscript"/>
              </w:rPr>
            </w:pPr>
            <w:r w:rsidRPr="00781BD2">
              <w:rPr>
                <w:sz w:val="22"/>
              </w:rPr>
              <w:sym w:font="Monotype Sorts" w:char="F033"/>
            </w:r>
            <w:r w:rsidRPr="00781BD2">
              <w:rPr>
                <w:sz w:val="22"/>
              </w:rPr>
              <w:sym w:font="Monotype Sorts" w:char="F033"/>
            </w:r>
            <w:r w:rsidR="00FF6362" w:rsidRPr="00781BD2">
              <w:rPr>
                <w:sz w:val="22"/>
                <w:vertAlign w:val="superscript"/>
              </w:rPr>
              <w:t>3</w:t>
            </w:r>
          </w:p>
        </w:tc>
        <w:tc>
          <w:tcPr>
            <w:tcW w:w="2447" w:type="dxa"/>
            <w:shd w:val="clear" w:color="auto" w:fill="auto"/>
          </w:tcPr>
          <w:p w:rsidR="00824DD9" w:rsidRPr="00781BD2" w:rsidRDefault="00B519B2" w:rsidP="00772F62">
            <w:pPr>
              <w:spacing w:line="360" w:lineRule="auto"/>
              <w:jc w:val="center"/>
              <w:rPr>
                <w:sz w:val="22"/>
              </w:rPr>
            </w:pPr>
            <w:r w:rsidRPr="00781BD2">
              <w:rPr>
                <w:sz w:val="22"/>
              </w:rPr>
              <w:sym w:font="Monotype Sorts" w:char="F033"/>
            </w:r>
          </w:p>
        </w:tc>
      </w:tr>
      <w:tr w:rsidR="00824DD9" w:rsidRPr="00781BD2">
        <w:trPr>
          <w:trHeight w:val="400"/>
          <w:jc w:val="center"/>
        </w:trPr>
        <w:tc>
          <w:tcPr>
            <w:tcW w:w="2446" w:type="dxa"/>
            <w:shd w:val="clear" w:color="auto" w:fill="auto"/>
          </w:tcPr>
          <w:p w:rsidR="00824DD9" w:rsidRPr="00781BD2" w:rsidRDefault="00D83EC0" w:rsidP="00772F62">
            <w:pPr>
              <w:spacing w:line="360" w:lineRule="auto"/>
              <w:jc w:val="center"/>
              <w:rPr>
                <w:sz w:val="22"/>
              </w:rPr>
            </w:pPr>
            <w:r w:rsidRPr="00781BD2">
              <w:rPr>
                <w:sz w:val="22"/>
              </w:rPr>
              <w:t>i-PrOH</w:t>
            </w:r>
          </w:p>
        </w:tc>
        <w:tc>
          <w:tcPr>
            <w:tcW w:w="2447" w:type="dxa"/>
            <w:shd w:val="clear" w:color="auto" w:fill="auto"/>
          </w:tcPr>
          <w:p w:rsidR="00824DD9" w:rsidRPr="00781BD2" w:rsidRDefault="00772F62" w:rsidP="00772F62">
            <w:pPr>
              <w:spacing w:line="360" w:lineRule="auto"/>
              <w:jc w:val="center"/>
              <w:rPr>
                <w:sz w:val="22"/>
              </w:rPr>
            </w:pPr>
            <w:r w:rsidRPr="00781BD2">
              <w:rPr>
                <w:sz w:val="22"/>
              </w:rPr>
              <w:sym w:font="Monotype Sorts" w:char="F033"/>
            </w:r>
            <w:r w:rsidRPr="00781BD2">
              <w:rPr>
                <w:sz w:val="22"/>
              </w:rPr>
              <w:sym w:font="Monotype Sorts" w:char="F033"/>
            </w:r>
          </w:p>
        </w:tc>
        <w:tc>
          <w:tcPr>
            <w:tcW w:w="2447" w:type="dxa"/>
            <w:shd w:val="clear" w:color="auto" w:fill="auto"/>
          </w:tcPr>
          <w:p w:rsidR="00824DD9" w:rsidRPr="00781BD2" w:rsidRDefault="00B519B2" w:rsidP="00772F62">
            <w:pPr>
              <w:spacing w:line="360" w:lineRule="auto"/>
              <w:jc w:val="center"/>
              <w:rPr>
                <w:sz w:val="22"/>
              </w:rPr>
            </w:pPr>
            <w:r w:rsidRPr="00781BD2">
              <w:rPr>
                <w:sz w:val="22"/>
              </w:rPr>
              <w:sym w:font="Monotype Sorts" w:char="F033"/>
            </w:r>
          </w:p>
        </w:tc>
      </w:tr>
      <w:tr w:rsidR="00824DD9" w:rsidRPr="00781BD2">
        <w:trPr>
          <w:trHeight w:val="400"/>
          <w:jc w:val="center"/>
        </w:trPr>
        <w:tc>
          <w:tcPr>
            <w:tcW w:w="2446" w:type="dxa"/>
            <w:shd w:val="clear" w:color="auto" w:fill="auto"/>
          </w:tcPr>
          <w:p w:rsidR="00824DD9" w:rsidRPr="00781BD2" w:rsidRDefault="00E03946" w:rsidP="00772F62">
            <w:pPr>
              <w:spacing w:line="360" w:lineRule="auto"/>
              <w:jc w:val="center"/>
              <w:rPr>
                <w:sz w:val="22"/>
              </w:rPr>
            </w:pPr>
            <w:r w:rsidRPr="00781BD2">
              <w:rPr>
                <w:sz w:val="22"/>
              </w:rPr>
              <w:t>EtOH</w:t>
            </w:r>
          </w:p>
        </w:tc>
        <w:tc>
          <w:tcPr>
            <w:tcW w:w="2447" w:type="dxa"/>
            <w:shd w:val="clear" w:color="auto" w:fill="auto"/>
          </w:tcPr>
          <w:p w:rsidR="00824DD9" w:rsidRPr="00781BD2" w:rsidRDefault="00772F62" w:rsidP="00772F62">
            <w:pPr>
              <w:spacing w:line="360" w:lineRule="auto"/>
              <w:jc w:val="center"/>
              <w:rPr>
                <w:sz w:val="22"/>
              </w:rPr>
            </w:pPr>
            <w:r w:rsidRPr="00781BD2">
              <w:rPr>
                <w:sz w:val="22"/>
              </w:rPr>
              <w:sym w:font="Monotype Sorts" w:char="F033"/>
            </w:r>
            <w:r w:rsidRPr="00781BD2">
              <w:rPr>
                <w:sz w:val="22"/>
              </w:rPr>
              <w:sym w:font="Monotype Sorts" w:char="F033"/>
            </w:r>
          </w:p>
        </w:tc>
        <w:tc>
          <w:tcPr>
            <w:tcW w:w="2447" w:type="dxa"/>
            <w:shd w:val="clear" w:color="auto" w:fill="auto"/>
          </w:tcPr>
          <w:p w:rsidR="00824DD9" w:rsidRPr="00781BD2" w:rsidRDefault="00B519B2" w:rsidP="00772F62">
            <w:pPr>
              <w:spacing w:line="360" w:lineRule="auto"/>
              <w:jc w:val="center"/>
              <w:rPr>
                <w:sz w:val="22"/>
              </w:rPr>
            </w:pPr>
            <w:r w:rsidRPr="00781BD2">
              <w:rPr>
                <w:sz w:val="22"/>
              </w:rPr>
              <w:sym w:font="Monotype Sorts" w:char="F033"/>
            </w:r>
          </w:p>
        </w:tc>
      </w:tr>
      <w:tr w:rsidR="00772F62" w:rsidRPr="00781BD2">
        <w:trPr>
          <w:trHeight w:val="383"/>
          <w:jc w:val="center"/>
        </w:trPr>
        <w:tc>
          <w:tcPr>
            <w:tcW w:w="2446" w:type="dxa"/>
            <w:shd w:val="clear" w:color="auto" w:fill="auto"/>
          </w:tcPr>
          <w:p w:rsidR="00772F62" w:rsidRPr="00781BD2" w:rsidRDefault="00772F62" w:rsidP="00772F62">
            <w:pPr>
              <w:spacing w:line="360" w:lineRule="auto"/>
              <w:jc w:val="center"/>
              <w:rPr>
                <w:sz w:val="22"/>
              </w:rPr>
            </w:pPr>
            <w:r w:rsidRPr="00781BD2">
              <w:rPr>
                <w:sz w:val="22"/>
              </w:rPr>
              <w:t>H</w:t>
            </w:r>
            <w:r w:rsidRPr="00781BD2">
              <w:rPr>
                <w:sz w:val="22"/>
                <w:vertAlign w:val="subscript"/>
              </w:rPr>
              <w:t>2</w:t>
            </w:r>
            <w:r w:rsidRPr="00781BD2">
              <w:rPr>
                <w:sz w:val="22"/>
              </w:rPr>
              <w:t>O</w:t>
            </w:r>
          </w:p>
        </w:tc>
        <w:tc>
          <w:tcPr>
            <w:tcW w:w="2447" w:type="dxa"/>
            <w:shd w:val="clear" w:color="auto" w:fill="auto"/>
          </w:tcPr>
          <w:p w:rsidR="00772F62" w:rsidRPr="00781BD2" w:rsidRDefault="00772F62" w:rsidP="00772F62">
            <w:pPr>
              <w:spacing w:line="360" w:lineRule="auto"/>
              <w:jc w:val="center"/>
              <w:rPr>
                <w:sz w:val="22"/>
              </w:rPr>
            </w:pPr>
            <w:r w:rsidRPr="00781BD2">
              <w:rPr>
                <w:sz w:val="22"/>
              </w:rPr>
              <w:sym w:font="Monotype Sorts" w:char="F033"/>
            </w:r>
          </w:p>
        </w:tc>
        <w:tc>
          <w:tcPr>
            <w:tcW w:w="2447" w:type="dxa"/>
            <w:shd w:val="clear" w:color="auto" w:fill="auto"/>
          </w:tcPr>
          <w:p w:rsidR="00772F62" w:rsidRPr="00781BD2" w:rsidRDefault="00B519B2" w:rsidP="00772F62">
            <w:pPr>
              <w:spacing w:line="360" w:lineRule="auto"/>
              <w:jc w:val="center"/>
              <w:rPr>
                <w:sz w:val="22"/>
              </w:rPr>
            </w:pPr>
            <w:r w:rsidRPr="00781BD2">
              <w:rPr>
                <w:sz w:val="22"/>
              </w:rPr>
              <w:t>x</w:t>
            </w:r>
          </w:p>
        </w:tc>
      </w:tr>
    </w:tbl>
    <w:p w:rsidR="007D72E9" w:rsidRPr="00781BD2" w:rsidRDefault="00FF6362" w:rsidP="00824DD9">
      <w:pPr>
        <w:spacing w:line="360" w:lineRule="auto"/>
        <w:rPr>
          <w:sz w:val="22"/>
        </w:rPr>
      </w:pPr>
      <w:r w:rsidRPr="00781BD2">
        <w:rPr>
          <w:sz w:val="22"/>
        </w:rPr>
        <w:t xml:space="preserve"> </w:t>
      </w:r>
      <w:r w:rsidRPr="00781BD2">
        <w:rPr>
          <w:sz w:val="22"/>
          <w:vertAlign w:val="superscript"/>
        </w:rPr>
        <w:t>1</w:t>
      </w:r>
      <w:r w:rsidRPr="00781BD2">
        <w:rPr>
          <w:sz w:val="22"/>
        </w:rPr>
        <w:t xml:space="preserve"> Readily soluble; </w:t>
      </w:r>
      <w:r w:rsidR="00164558" w:rsidRPr="00781BD2">
        <w:rPr>
          <w:sz w:val="22"/>
          <w:vertAlign w:val="superscript"/>
        </w:rPr>
        <w:t xml:space="preserve">2 </w:t>
      </w:r>
      <w:r w:rsidR="00FB2660" w:rsidRPr="00781BD2">
        <w:rPr>
          <w:sz w:val="22"/>
          <w:vertAlign w:val="superscript"/>
        </w:rPr>
        <w:t xml:space="preserve"> </w:t>
      </w:r>
      <w:r w:rsidR="005E367C" w:rsidRPr="00781BD2">
        <w:rPr>
          <w:sz w:val="22"/>
        </w:rPr>
        <w:t xml:space="preserve">Soluble; </w:t>
      </w:r>
      <w:r w:rsidR="00164558" w:rsidRPr="00781BD2">
        <w:rPr>
          <w:sz w:val="22"/>
          <w:vertAlign w:val="superscript"/>
        </w:rPr>
        <w:t>3</w:t>
      </w:r>
      <w:r w:rsidR="00164558" w:rsidRPr="00781BD2">
        <w:rPr>
          <w:sz w:val="22"/>
        </w:rPr>
        <w:t xml:space="preserve"> </w:t>
      </w:r>
      <w:r w:rsidR="005E367C" w:rsidRPr="00781BD2">
        <w:rPr>
          <w:sz w:val="22"/>
        </w:rPr>
        <w:t xml:space="preserve">Almost soluble (complete dissolution requires a few hours without stirring); </w:t>
      </w:r>
      <w:r w:rsidR="00164558" w:rsidRPr="00781BD2">
        <w:rPr>
          <w:sz w:val="22"/>
          <w:vertAlign w:val="superscript"/>
        </w:rPr>
        <w:t xml:space="preserve">4 </w:t>
      </w:r>
      <w:r w:rsidR="005E367C" w:rsidRPr="00781BD2">
        <w:rPr>
          <w:sz w:val="22"/>
        </w:rPr>
        <w:t>Poorly soluble</w:t>
      </w:r>
      <w:r w:rsidR="00164558" w:rsidRPr="00781BD2">
        <w:rPr>
          <w:sz w:val="22"/>
        </w:rPr>
        <w:t>; x = Insoluble.</w:t>
      </w:r>
    </w:p>
    <w:p w:rsidR="00E575CD" w:rsidRPr="00781BD2" w:rsidRDefault="00E575CD" w:rsidP="00824DD9">
      <w:pPr>
        <w:spacing w:line="360" w:lineRule="auto"/>
        <w:rPr>
          <w:sz w:val="22"/>
        </w:rPr>
      </w:pPr>
    </w:p>
    <w:p w:rsidR="00E575CD" w:rsidRPr="00781BD2" w:rsidRDefault="00E575CD" w:rsidP="00E575CD">
      <w:pPr>
        <w:spacing w:line="360" w:lineRule="auto"/>
        <w:rPr>
          <w:b/>
          <w:bCs/>
        </w:rPr>
      </w:pPr>
      <w:r w:rsidRPr="00781BD2">
        <w:rPr>
          <w:b/>
          <w:bCs/>
        </w:rPr>
        <w:t>Large-scale synthesis of ethanolamine salt 8</w:t>
      </w:r>
    </w:p>
    <w:p w:rsidR="00EB6510" w:rsidRPr="00781BD2" w:rsidRDefault="00EB6510" w:rsidP="00F74FD4">
      <w:pPr>
        <w:spacing w:line="360" w:lineRule="auto"/>
        <w:ind w:firstLine="720"/>
      </w:pPr>
      <w:r w:rsidRPr="00781BD2">
        <w:t xml:space="preserve">The synthesis of ethanolamine salt </w:t>
      </w:r>
      <w:r w:rsidRPr="00781BD2">
        <w:rPr>
          <w:b/>
          <w:bCs/>
        </w:rPr>
        <w:t>8</w:t>
      </w:r>
      <w:r w:rsidRPr="00781BD2">
        <w:t xml:space="preserve"> was successfully scaled up to an industrial process. It consists </w:t>
      </w:r>
      <w:r w:rsidR="0027153C" w:rsidRPr="00781BD2">
        <w:t>of</w:t>
      </w:r>
      <w:r w:rsidRPr="00781BD2">
        <w:t xml:space="preserve"> a two</w:t>
      </w:r>
      <w:r w:rsidR="0027153C" w:rsidRPr="00781BD2">
        <w:t>-</w:t>
      </w:r>
      <w:r w:rsidRPr="00781BD2">
        <w:t xml:space="preserve">step synthesis (80 % yield) starting from FDA approved drug </w:t>
      </w:r>
      <w:r w:rsidR="003D5B17" w:rsidRPr="00781BD2">
        <w:t>NTZ</w:t>
      </w:r>
      <w:r w:rsidRPr="00781BD2">
        <w:t xml:space="preserve"> </w:t>
      </w:r>
      <w:r w:rsidRPr="00781BD2">
        <w:rPr>
          <w:b/>
          <w:bCs/>
        </w:rPr>
        <w:t>1a</w:t>
      </w:r>
      <w:r w:rsidR="00A1282C" w:rsidRPr="00781BD2">
        <w:t xml:space="preserve">, following our published deacetylation procedure to convert </w:t>
      </w:r>
      <w:r w:rsidR="00A1282C" w:rsidRPr="00781BD2">
        <w:rPr>
          <w:b/>
          <w:bCs/>
        </w:rPr>
        <w:t>1a</w:t>
      </w:r>
      <w:r w:rsidR="00A1282C" w:rsidRPr="00781BD2">
        <w:t xml:space="preserve"> into </w:t>
      </w:r>
      <w:r w:rsidR="00A1282C" w:rsidRPr="00781BD2">
        <w:rPr>
          <w:b/>
          <w:bCs/>
        </w:rPr>
        <w:t>1b</w:t>
      </w:r>
      <w:r w:rsidR="008403A9" w:rsidRPr="00781BD2">
        <w:rPr>
          <w:b/>
          <w:bCs/>
        </w:rPr>
        <w:t xml:space="preserve"> </w:t>
      </w:r>
      <w:r w:rsidR="008403A9" w:rsidRPr="00781BD2">
        <w:rPr>
          <w:bCs/>
        </w:rPr>
        <w:t>[39]</w:t>
      </w:r>
      <w:r w:rsidR="00A1282C" w:rsidRPr="00781BD2">
        <w:t>.</w:t>
      </w:r>
      <w:r w:rsidRPr="00781BD2">
        <w:t xml:space="preserve"> A pre-technical batch </w:t>
      </w:r>
      <w:r w:rsidR="00A1282C" w:rsidRPr="00781BD2">
        <w:t xml:space="preserve">of </w:t>
      </w:r>
      <w:r w:rsidR="00A1282C" w:rsidRPr="00781BD2">
        <w:rPr>
          <w:b/>
          <w:bCs/>
        </w:rPr>
        <w:t xml:space="preserve">8 </w:t>
      </w:r>
      <w:r w:rsidRPr="00781BD2">
        <w:t>was prepared yielding 40 kg of pure material. Using production plant equipment</w:t>
      </w:r>
      <w:r w:rsidR="00A1282C" w:rsidRPr="00781BD2">
        <w:t>,</w:t>
      </w:r>
      <w:r w:rsidRPr="00781BD2">
        <w:t xml:space="preserve"> we demonstrated our process is reliable for large</w:t>
      </w:r>
      <w:r w:rsidR="00531F63" w:rsidRPr="00781BD2">
        <w:t>-</w:t>
      </w:r>
      <w:r w:rsidRPr="00781BD2">
        <w:t xml:space="preserve">scale manufacturing. Analytical development is ongoing following ICH guidelines </w:t>
      </w:r>
      <w:r w:rsidR="00A1282C" w:rsidRPr="00781BD2">
        <w:t>to allow</w:t>
      </w:r>
      <w:r w:rsidRPr="00781BD2">
        <w:t xml:space="preserve"> full characterization of </w:t>
      </w:r>
      <w:r w:rsidR="00A1282C" w:rsidRPr="00781BD2">
        <w:rPr>
          <w:b/>
          <w:bCs/>
        </w:rPr>
        <w:t>8</w:t>
      </w:r>
      <w:r w:rsidRPr="00781BD2">
        <w:t xml:space="preserve"> and definition of drug substance specification. </w:t>
      </w:r>
      <w:r w:rsidR="00A72EEA" w:rsidRPr="00781BD2">
        <w:t>Subsequently p</w:t>
      </w:r>
      <w:r w:rsidRPr="00781BD2">
        <w:t xml:space="preserve">roduction of GMP validation batches is planned </w:t>
      </w:r>
      <w:r w:rsidR="00A72EEA" w:rsidRPr="00781BD2">
        <w:t>with</w:t>
      </w:r>
      <w:r w:rsidRPr="00781BD2">
        <w:t xml:space="preserve">in the scope of a new drug application (NDA). </w:t>
      </w:r>
    </w:p>
    <w:p w:rsidR="00DA3B9E" w:rsidRPr="00781BD2" w:rsidRDefault="00DA3B9E" w:rsidP="005A25E7">
      <w:pPr>
        <w:spacing w:line="360" w:lineRule="auto"/>
      </w:pPr>
    </w:p>
    <w:p w:rsidR="00921D1A" w:rsidRPr="00781BD2" w:rsidRDefault="00C1294C" w:rsidP="00120340">
      <w:pPr>
        <w:spacing w:line="360" w:lineRule="auto"/>
        <w:rPr>
          <w:b/>
          <w:bCs/>
        </w:rPr>
      </w:pPr>
      <w:r w:rsidRPr="00781BD2">
        <w:rPr>
          <w:b/>
          <w:bCs/>
        </w:rPr>
        <w:t xml:space="preserve">Animal Pharmacokinetics of Thiazolide Amine Salts </w:t>
      </w:r>
      <w:r w:rsidR="00921D1A" w:rsidRPr="00781BD2">
        <w:rPr>
          <w:rFonts w:cs="AGaramond-Italic"/>
          <w:b/>
          <w:bCs/>
          <w:szCs w:val="20"/>
        </w:rPr>
        <w:t>RM-5071</w:t>
      </w:r>
      <w:r w:rsidR="00302BBA" w:rsidRPr="00781BD2">
        <w:rPr>
          <w:rFonts w:cs="AGaramond-Italic"/>
          <w:b/>
          <w:bCs/>
          <w:szCs w:val="20"/>
        </w:rPr>
        <w:t xml:space="preserve"> 8</w:t>
      </w:r>
      <w:r w:rsidR="00921D1A" w:rsidRPr="00781BD2">
        <w:rPr>
          <w:rFonts w:cs="AGaramond-Italic"/>
          <w:b/>
          <w:bCs/>
          <w:szCs w:val="20"/>
        </w:rPr>
        <w:t xml:space="preserve"> and RM-5072</w:t>
      </w:r>
      <w:r w:rsidR="00302BBA" w:rsidRPr="00781BD2">
        <w:rPr>
          <w:rFonts w:cs="AGaramond-Italic"/>
          <w:b/>
          <w:bCs/>
          <w:szCs w:val="20"/>
        </w:rPr>
        <w:t xml:space="preserve"> 10</w:t>
      </w:r>
    </w:p>
    <w:p w:rsidR="00343AE0" w:rsidRPr="00781BD2" w:rsidRDefault="002214F3" w:rsidP="004E3172">
      <w:pPr>
        <w:spacing w:line="360" w:lineRule="auto"/>
        <w:ind w:firstLine="720"/>
        <w:jc w:val="both"/>
        <w:rPr>
          <w:rFonts w:ascii="Times New Roman" w:hAnsi="Times New Roman"/>
        </w:rPr>
      </w:pPr>
      <w:r w:rsidRPr="00781BD2">
        <w:t xml:space="preserve">As we noted in 1.3, NTZ </w:t>
      </w:r>
      <w:r w:rsidRPr="00781BD2">
        <w:rPr>
          <w:b/>
          <w:bCs/>
        </w:rPr>
        <w:t>1</w:t>
      </w:r>
      <w:r w:rsidR="00921D1A" w:rsidRPr="00781BD2">
        <w:t xml:space="preserve"> is poorly absorbed following oral administration in animals and humans</w:t>
      </w:r>
      <w:r w:rsidR="00716522" w:rsidRPr="00781BD2">
        <w:t>,</w:t>
      </w:r>
      <w:r w:rsidRPr="00781BD2">
        <w:t xml:space="preserve"> behav</w:t>
      </w:r>
      <w:r w:rsidR="00716522" w:rsidRPr="00781BD2">
        <w:t>ing</w:t>
      </w:r>
      <w:r w:rsidRPr="00781BD2">
        <w:t xml:space="preserve"> as a pro-drug for tizoxanide </w:t>
      </w:r>
      <w:r w:rsidRPr="00781BD2">
        <w:rPr>
          <w:b/>
          <w:bCs/>
        </w:rPr>
        <w:t>1b</w:t>
      </w:r>
      <w:r w:rsidRPr="00781BD2">
        <w:t xml:space="preserve"> and glucuronide</w:t>
      </w:r>
      <w:r w:rsidR="00593ACD" w:rsidRPr="00781BD2">
        <w:t xml:space="preserve"> </w:t>
      </w:r>
      <w:r w:rsidR="00593ACD" w:rsidRPr="00781BD2">
        <w:rPr>
          <w:b/>
          <w:bCs/>
        </w:rPr>
        <w:t>5</w:t>
      </w:r>
      <w:r w:rsidR="00921D1A" w:rsidRPr="00781BD2">
        <w:t>. Absorption is significantly affected by food, and there is significant intra- and inter-subject variability in concentrations</w:t>
      </w:r>
      <w:r w:rsidRPr="00781BD2">
        <w:t xml:space="preserve"> of </w:t>
      </w:r>
      <w:r w:rsidRPr="00781BD2">
        <w:rPr>
          <w:b/>
          <w:bCs/>
        </w:rPr>
        <w:t>1b</w:t>
      </w:r>
      <w:r w:rsidRPr="00781BD2">
        <w:t xml:space="preserve"> and </w:t>
      </w:r>
      <w:r w:rsidR="00593ACD" w:rsidRPr="00781BD2">
        <w:rPr>
          <w:b/>
          <w:bCs/>
        </w:rPr>
        <w:t>5</w:t>
      </w:r>
      <w:r w:rsidR="00921D1A" w:rsidRPr="00781BD2">
        <w:t xml:space="preserve">.  Two new salts of </w:t>
      </w:r>
      <w:r w:rsidR="00284DB1" w:rsidRPr="00781BD2">
        <w:rPr>
          <w:b/>
          <w:bCs/>
        </w:rPr>
        <w:t>1b</w:t>
      </w:r>
      <w:r w:rsidR="00921D1A" w:rsidRPr="00781BD2">
        <w:t xml:space="preserve">, synthesized as </w:t>
      </w:r>
      <w:r w:rsidR="006E4734" w:rsidRPr="00781BD2">
        <w:t>above</w:t>
      </w:r>
      <w:r w:rsidR="00921D1A" w:rsidRPr="00781BD2">
        <w:t xml:space="preserve">, RM-5071 </w:t>
      </w:r>
      <w:r w:rsidR="006B2F3D" w:rsidRPr="00781BD2">
        <w:rPr>
          <w:b/>
          <w:bCs/>
        </w:rPr>
        <w:t xml:space="preserve">8 </w:t>
      </w:r>
      <w:r w:rsidR="00921D1A" w:rsidRPr="00781BD2">
        <w:t>and RM-5072</w:t>
      </w:r>
      <w:r w:rsidR="006B2F3D" w:rsidRPr="00781BD2">
        <w:t xml:space="preserve"> </w:t>
      </w:r>
      <w:r w:rsidR="006B2F3D" w:rsidRPr="00781BD2">
        <w:rPr>
          <w:b/>
          <w:bCs/>
        </w:rPr>
        <w:t>10</w:t>
      </w:r>
      <w:r w:rsidR="00921D1A" w:rsidRPr="00781BD2">
        <w:t xml:space="preserve">, were tested to show a potential improvement </w:t>
      </w:r>
      <w:r w:rsidR="00716522" w:rsidRPr="00781BD2">
        <w:t>in</w:t>
      </w:r>
      <w:r w:rsidR="00921D1A" w:rsidRPr="00781BD2">
        <w:t xml:space="preserve"> the bioavailability of </w:t>
      </w:r>
      <w:r w:rsidR="006B2F3D" w:rsidRPr="00781BD2">
        <w:rPr>
          <w:b/>
          <w:bCs/>
        </w:rPr>
        <w:t>1b</w:t>
      </w:r>
      <w:r w:rsidR="006B2F3D" w:rsidRPr="00781BD2">
        <w:t xml:space="preserve"> and </w:t>
      </w:r>
      <w:r w:rsidR="006B2F3D" w:rsidRPr="00781BD2">
        <w:rPr>
          <w:b/>
          <w:bCs/>
        </w:rPr>
        <w:t xml:space="preserve">5 </w:t>
      </w:r>
      <w:r w:rsidR="00921D1A" w:rsidRPr="00781BD2">
        <w:t>following oral administration</w:t>
      </w:r>
      <w:r w:rsidR="000C3D40" w:rsidRPr="00781BD2">
        <w:t>.</w:t>
      </w:r>
      <w:r w:rsidR="00921D1A" w:rsidRPr="00781BD2">
        <w:t xml:space="preserve"> </w:t>
      </w:r>
      <w:r w:rsidR="002610F7" w:rsidRPr="00781BD2">
        <w:t xml:space="preserve"> The median concentrations of </w:t>
      </w:r>
      <w:r w:rsidR="002610F7" w:rsidRPr="00781BD2">
        <w:rPr>
          <w:b/>
        </w:rPr>
        <w:t>1b</w:t>
      </w:r>
      <w:r w:rsidR="002610F7" w:rsidRPr="00781BD2">
        <w:t xml:space="preserve"> and </w:t>
      </w:r>
      <w:r w:rsidR="002610F7" w:rsidRPr="00781BD2">
        <w:rPr>
          <w:b/>
        </w:rPr>
        <w:t>5</w:t>
      </w:r>
      <w:r w:rsidR="002610F7" w:rsidRPr="00781BD2">
        <w:t xml:space="preserve"> attained over a 12h period are shown in </w:t>
      </w:r>
      <w:r w:rsidR="003E3A26" w:rsidRPr="00781BD2">
        <w:t>Figur</w:t>
      </w:r>
      <w:r w:rsidR="002610F7" w:rsidRPr="00781BD2">
        <w:t xml:space="preserve">es </w:t>
      </w:r>
      <w:r w:rsidR="00F33B5D" w:rsidRPr="00781BD2">
        <w:t>4</w:t>
      </w:r>
      <w:r w:rsidR="002610F7" w:rsidRPr="00781BD2">
        <w:t xml:space="preserve"> and </w:t>
      </w:r>
      <w:r w:rsidR="00F33B5D" w:rsidRPr="00781BD2">
        <w:t>5</w:t>
      </w:r>
      <w:r w:rsidR="002610F7" w:rsidRPr="00781BD2">
        <w:t xml:space="preserve"> respectively.</w:t>
      </w:r>
      <w:r w:rsidR="008903C3" w:rsidRPr="00781BD2">
        <w:t xml:space="preserve"> </w:t>
      </w:r>
      <w:r w:rsidR="008903C3" w:rsidRPr="00781BD2">
        <w:rPr>
          <w:rFonts w:ascii="Times New Roman" w:hAnsi="Times New Roman"/>
        </w:rPr>
        <w:t>For details of the administration protocol please see Supporting Information.</w:t>
      </w:r>
    </w:p>
    <w:p w:rsidR="00343AE0" w:rsidRPr="00781BD2" w:rsidRDefault="00343AE0" w:rsidP="00343AE0"/>
    <w:p w:rsidR="00921D1A" w:rsidRPr="00781BD2" w:rsidRDefault="00921D1A" w:rsidP="00343AE0"/>
    <w:p w:rsidR="00343AE0" w:rsidRPr="00781BD2" w:rsidRDefault="00343AE0" w:rsidP="00921D1A">
      <w:pPr>
        <w:jc w:val="both"/>
        <w:rPr>
          <w:rFonts w:ascii="Times New Roman" w:hAnsi="Times New Roman"/>
          <w:b/>
          <w:sz w:val="22"/>
        </w:rPr>
      </w:pPr>
    </w:p>
    <w:p w:rsidR="00921D1A" w:rsidRPr="00781BD2" w:rsidRDefault="00921D1A" w:rsidP="00921D1A">
      <w:pPr>
        <w:jc w:val="both"/>
        <w:rPr>
          <w:rFonts w:ascii="Times New Roman" w:hAnsi="Times New Roman"/>
          <w:sz w:val="22"/>
        </w:rPr>
      </w:pPr>
      <w:r w:rsidRPr="00781BD2">
        <w:rPr>
          <w:noProof/>
          <w:lang w:val="en-US"/>
        </w:rPr>
        <w:drawing>
          <wp:inline distT="0" distB="0" distL="0" distR="0">
            <wp:extent cx="4737735" cy="2390140"/>
            <wp:effectExtent l="0" t="0" r="12065" b="10160"/>
            <wp:docPr id="2" name="Chart 2">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mv="urn:schemas-microsoft-com:mac:vml" xmlns:ve="http://schemas.openxmlformats.org/markup-compatibility/2006" xmlns:mo="http://schemas.microsoft.com/office/mac/office/2008/main" id="{A130F177-83B7-DE4E-A96D-BC9744E4D8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33B5D" w:rsidRPr="00781BD2" w:rsidRDefault="00AE36D6" w:rsidP="00921D1A">
      <w:pPr>
        <w:jc w:val="both"/>
        <w:rPr>
          <w:rFonts w:ascii="Times New Roman" w:hAnsi="Times New Roman"/>
          <w:b/>
          <w:sz w:val="22"/>
        </w:rPr>
      </w:pPr>
      <w:r w:rsidRPr="00781BD2">
        <w:rPr>
          <w:rFonts w:ascii="Times New Roman" w:hAnsi="Times New Roman"/>
          <w:sz w:val="22"/>
        </w:rPr>
        <w:t xml:space="preserve">Designation: RM-5071 = </w:t>
      </w:r>
      <w:r w:rsidRPr="00781BD2">
        <w:rPr>
          <w:rFonts w:ascii="Times New Roman" w:hAnsi="Times New Roman"/>
          <w:b/>
          <w:sz w:val="22"/>
        </w:rPr>
        <w:t>8</w:t>
      </w:r>
      <w:r w:rsidRPr="00781BD2">
        <w:rPr>
          <w:rFonts w:ascii="Times New Roman" w:hAnsi="Times New Roman"/>
          <w:sz w:val="22"/>
        </w:rPr>
        <w:t xml:space="preserve">, RM-5072 = </w:t>
      </w:r>
      <w:r w:rsidRPr="00781BD2">
        <w:rPr>
          <w:rFonts w:ascii="Times New Roman" w:hAnsi="Times New Roman"/>
          <w:b/>
          <w:sz w:val="22"/>
        </w:rPr>
        <w:t>10</w:t>
      </w:r>
      <w:r w:rsidRPr="00781BD2">
        <w:rPr>
          <w:rFonts w:ascii="Times New Roman" w:hAnsi="Times New Roman"/>
          <w:sz w:val="22"/>
        </w:rPr>
        <w:t xml:space="preserve">, </w:t>
      </w:r>
      <w:r w:rsidR="00D542FC" w:rsidRPr="00781BD2">
        <w:rPr>
          <w:rFonts w:ascii="Times New Roman" w:hAnsi="Times New Roman"/>
          <w:sz w:val="22"/>
        </w:rPr>
        <w:t>NTZ =</w:t>
      </w:r>
      <w:r w:rsidR="00D542FC" w:rsidRPr="00781BD2">
        <w:rPr>
          <w:rFonts w:ascii="Times New Roman" w:hAnsi="Times New Roman"/>
          <w:b/>
          <w:sz w:val="22"/>
        </w:rPr>
        <w:t xml:space="preserve"> 1a</w:t>
      </w:r>
    </w:p>
    <w:p w:rsidR="00DB3AE3" w:rsidRPr="00781BD2" w:rsidRDefault="006F24DA" w:rsidP="00F33B5D">
      <w:pPr>
        <w:jc w:val="both"/>
        <w:rPr>
          <w:rFonts w:ascii="Times New Roman" w:hAnsi="Times New Roman"/>
          <w:sz w:val="22"/>
        </w:rPr>
      </w:pPr>
      <w:r w:rsidRPr="00781BD2">
        <w:rPr>
          <w:rFonts w:ascii="Times New Roman" w:hAnsi="Times New Roman"/>
          <w:b/>
          <w:sz w:val="22"/>
        </w:rPr>
        <w:t>Figure</w:t>
      </w:r>
      <w:r w:rsidR="00F33B5D" w:rsidRPr="00781BD2">
        <w:rPr>
          <w:rFonts w:ascii="Times New Roman" w:hAnsi="Times New Roman"/>
          <w:b/>
          <w:sz w:val="22"/>
        </w:rPr>
        <w:t xml:space="preserve"> </w:t>
      </w:r>
      <w:r w:rsidR="00486ED7" w:rsidRPr="00781BD2">
        <w:rPr>
          <w:rFonts w:ascii="Times New Roman" w:hAnsi="Times New Roman"/>
          <w:b/>
          <w:sz w:val="22"/>
        </w:rPr>
        <w:t>4</w:t>
      </w:r>
      <w:r w:rsidR="00F33B5D" w:rsidRPr="00781BD2">
        <w:rPr>
          <w:rFonts w:ascii="Times New Roman" w:hAnsi="Times New Roman"/>
          <w:b/>
          <w:sz w:val="22"/>
        </w:rPr>
        <w:t xml:space="preserve">.  </w:t>
      </w:r>
      <w:r w:rsidR="00F33B5D" w:rsidRPr="00781BD2">
        <w:rPr>
          <w:rFonts w:ascii="Times New Roman" w:hAnsi="Times New Roman"/>
          <w:sz w:val="22"/>
        </w:rPr>
        <w:t xml:space="preserve">Median  concentrations of </w:t>
      </w:r>
      <w:r w:rsidR="00F33B5D" w:rsidRPr="00781BD2">
        <w:rPr>
          <w:rFonts w:ascii="Times New Roman" w:hAnsi="Times New Roman"/>
          <w:b/>
          <w:sz w:val="22"/>
        </w:rPr>
        <w:t>1b</w:t>
      </w:r>
      <w:r w:rsidR="00F33B5D" w:rsidRPr="00781BD2">
        <w:rPr>
          <w:rFonts w:ascii="Times New Roman" w:hAnsi="Times New Roman"/>
          <w:sz w:val="22"/>
        </w:rPr>
        <w:t xml:space="preserve"> (µg/mL) in plasma over 12 hours.</w:t>
      </w:r>
    </w:p>
    <w:p w:rsidR="00F33B5D" w:rsidRPr="00781BD2" w:rsidRDefault="00F33B5D" w:rsidP="00F33B5D">
      <w:pPr>
        <w:jc w:val="both"/>
        <w:rPr>
          <w:rFonts w:ascii="Times New Roman" w:hAnsi="Times New Roman"/>
          <w:sz w:val="22"/>
        </w:rPr>
      </w:pPr>
    </w:p>
    <w:p w:rsidR="00921D1A" w:rsidRPr="00781BD2" w:rsidRDefault="00921D1A" w:rsidP="00921D1A">
      <w:pPr>
        <w:jc w:val="both"/>
        <w:rPr>
          <w:rFonts w:ascii="Times New Roman" w:hAnsi="Times New Roman"/>
          <w:b/>
          <w:sz w:val="22"/>
        </w:rPr>
      </w:pPr>
    </w:p>
    <w:p w:rsidR="00565D2A" w:rsidRPr="00781BD2" w:rsidRDefault="00921D1A" w:rsidP="00921D1A">
      <w:pPr>
        <w:jc w:val="both"/>
        <w:rPr>
          <w:rFonts w:ascii="Times New Roman" w:hAnsi="Times New Roman"/>
          <w:sz w:val="22"/>
        </w:rPr>
      </w:pPr>
      <w:r w:rsidRPr="00781BD2">
        <w:rPr>
          <w:noProof/>
          <w:lang w:val="en-US"/>
        </w:rPr>
        <w:drawing>
          <wp:inline distT="0" distB="0" distL="0" distR="0">
            <wp:extent cx="4701540" cy="3146425"/>
            <wp:effectExtent l="0" t="0" r="10160" b="15875"/>
            <wp:docPr id="11" name="Chart 1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mv="urn:schemas-microsoft-com:mac:vml" xmlns:ve="http://schemas.openxmlformats.org/markup-compatibility/2006" xmlns:mo="http://schemas.microsoft.com/office/mac/office/2008/main" id="{4CB5548E-7021-5246-B6A5-7129E42ED4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21D1A" w:rsidRPr="00781BD2" w:rsidRDefault="00565D2A" w:rsidP="00921D1A">
      <w:pPr>
        <w:jc w:val="both"/>
        <w:rPr>
          <w:rFonts w:ascii="Times New Roman" w:hAnsi="Times New Roman"/>
          <w:sz w:val="22"/>
        </w:rPr>
      </w:pPr>
      <w:r w:rsidRPr="00781BD2">
        <w:rPr>
          <w:rFonts w:ascii="Times New Roman" w:hAnsi="Times New Roman"/>
          <w:sz w:val="22"/>
        </w:rPr>
        <w:t xml:space="preserve">Designation: RM-5071 = </w:t>
      </w:r>
      <w:r w:rsidRPr="00781BD2">
        <w:rPr>
          <w:rFonts w:ascii="Times New Roman" w:hAnsi="Times New Roman"/>
          <w:b/>
          <w:sz w:val="22"/>
        </w:rPr>
        <w:t>8</w:t>
      </w:r>
      <w:r w:rsidRPr="00781BD2">
        <w:rPr>
          <w:rFonts w:ascii="Times New Roman" w:hAnsi="Times New Roman"/>
          <w:sz w:val="22"/>
        </w:rPr>
        <w:t xml:space="preserve">, RM-5072 = </w:t>
      </w:r>
      <w:r w:rsidRPr="00781BD2">
        <w:rPr>
          <w:rFonts w:ascii="Times New Roman" w:hAnsi="Times New Roman"/>
          <w:b/>
          <w:sz w:val="22"/>
        </w:rPr>
        <w:t>10</w:t>
      </w:r>
      <w:r w:rsidRPr="00781BD2">
        <w:rPr>
          <w:rFonts w:ascii="Times New Roman" w:hAnsi="Times New Roman"/>
          <w:sz w:val="22"/>
        </w:rPr>
        <w:t>, NTZ =</w:t>
      </w:r>
      <w:r w:rsidRPr="00781BD2">
        <w:rPr>
          <w:rFonts w:ascii="Times New Roman" w:hAnsi="Times New Roman"/>
          <w:b/>
          <w:sz w:val="22"/>
        </w:rPr>
        <w:t xml:space="preserve"> 1a</w:t>
      </w:r>
    </w:p>
    <w:p w:rsidR="00DB3AE3" w:rsidRPr="00781BD2" w:rsidRDefault="006F24DA" w:rsidP="00DB3AE3">
      <w:pPr>
        <w:jc w:val="both"/>
        <w:rPr>
          <w:rFonts w:ascii="Times New Roman" w:hAnsi="Times New Roman"/>
          <w:b/>
          <w:sz w:val="22"/>
        </w:rPr>
      </w:pPr>
      <w:r w:rsidRPr="00781BD2">
        <w:rPr>
          <w:rFonts w:ascii="Times New Roman" w:hAnsi="Times New Roman"/>
          <w:b/>
          <w:sz w:val="22"/>
        </w:rPr>
        <w:t>Figure</w:t>
      </w:r>
      <w:r w:rsidR="00DB3AE3" w:rsidRPr="00781BD2">
        <w:rPr>
          <w:rFonts w:ascii="Times New Roman" w:hAnsi="Times New Roman"/>
          <w:b/>
          <w:sz w:val="22"/>
        </w:rPr>
        <w:t xml:space="preserve"> </w:t>
      </w:r>
      <w:r w:rsidR="00486ED7" w:rsidRPr="00781BD2">
        <w:rPr>
          <w:rFonts w:ascii="Times New Roman" w:hAnsi="Times New Roman"/>
          <w:b/>
          <w:sz w:val="22"/>
        </w:rPr>
        <w:t>5</w:t>
      </w:r>
      <w:r w:rsidR="00DB3AE3" w:rsidRPr="00781BD2">
        <w:rPr>
          <w:rFonts w:ascii="Times New Roman" w:hAnsi="Times New Roman"/>
          <w:b/>
          <w:sz w:val="22"/>
        </w:rPr>
        <w:t xml:space="preserve">.  </w:t>
      </w:r>
      <w:r w:rsidR="00DB3AE3" w:rsidRPr="00781BD2">
        <w:rPr>
          <w:rFonts w:ascii="Times New Roman" w:hAnsi="Times New Roman"/>
          <w:sz w:val="22"/>
        </w:rPr>
        <w:t xml:space="preserve">Median concentrations of </w:t>
      </w:r>
      <w:r w:rsidR="00DB3AE3" w:rsidRPr="00781BD2">
        <w:rPr>
          <w:rFonts w:ascii="Times New Roman" w:hAnsi="Times New Roman"/>
          <w:b/>
          <w:sz w:val="22"/>
        </w:rPr>
        <w:t>5</w:t>
      </w:r>
      <w:r w:rsidR="00DB3AE3" w:rsidRPr="00781BD2">
        <w:rPr>
          <w:rFonts w:ascii="Times New Roman" w:hAnsi="Times New Roman"/>
          <w:sz w:val="22"/>
        </w:rPr>
        <w:t xml:space="preserve"> (µg/mL) in plasma over 12 hours.</w:t>
      </w:r>
    </w:p>
    <w:p w:rsidR="00921D1A" w:rsidRPr="00781BD2" w:rsidRDefault="00921D1A" w:rsidP="00921D1A">
      <w:pPr>
        <w:rPr>
          <w:rFonts w:ascii="Times New Roman" w:hAnsi="Times New Roman"/>
          <w:sz w:val="22"/>
        </w:rPr>
      </w:pPr>
    </w:p>
    <w:p w:rsidR="00A76941" w:rsidRPr="00781BD2" w:rsidRDefault="00921D1A" w:rsidP="000860C9">
      <w:pPr>
        <w:spacing w:line="360" w:lineRule="auto"/>
        <w:ind w:firstLine="720"/>
        <w:jc w:val="both"/>
        <w:rPr>
          <w:rFonts w:ascii="Times New Roman" w:hAnsi="Times New Roman"/>
        </w:rPr>
      </w:pPr>
      <w:r w:rsidRPr="00781BD2">
        <w:rPr>
          <w:rFonts w:ascii="Times New Roman" w:hAnsi="Times New Roman"/>
        </w:rPr>
        <w:t xml:space="preserve">Because some animals </w:t>
      </w:r>
      <w:r w:rsidR="003D50CD" w:rsidRPr="00781BD2">
        <w:rPr>
          <w:rFonts w:ascii="Times New Roman" w:hAnsi="Times New Roman"/>
        </w:rPr>
        <w:t>convert</w:t>
      </w:r>
      <w:r w:rsidRPr="00781BD2">
        <w:rPr>
          <w:rFonts w:ascii="Times New Roman" w:hAnsi="Times New Roman"/>
        </w:rPr>
        <w:t xml:space="preserve"> </w:t>
      </w:r>
      <w:r w:rsidR="00542BD4" w:rsidRPr="00781BD2">
        <w:rPr>
          <w:rFonts w:ascii="Times New Roman" w:hAnsi="Times New Roman"/>
          <w:b/>
          <w:bCs/>
        </w:rPr>
        <w:t>1b</w:t>
      </w:r>
      <w:r w:rsidRPr="00781BD2">
        <w:rPr>
          <w:rFonts w:ascii="Times New Roman" w:hAnsi="Times New Roman"/>
        </w:rPr>
        <w:t xml:space="preserve"> </w:t>
      </w:r>
      <w:r w:rsidR="003D50CD" w:rsidRPr="00781BD2">
        <w:rPr>
          <w:rFonts w:ascii="Times New Roman" w:hAnsi="Times New Roman"/>
        </w:rPr>
        <w:t xml:space="preserve">into </w:t>
      </w:r>
      <w:r w:rsidR="003D50CD" w:rsidRPr="00781BD2">
        <w:rPr>
          <w:rFonts w:ascii="Times New Roman" w:hAnsi="Times New Roman"/>
          <w:b/>
        </w:rPr>
        <w:t>5</w:t>
      </w:r>
      <w:r w:rsidR="003D50CD" w:rsidRPr="00781BD2">
        <w:rPr>
          <w:rFonts w:ascii="Times New Roman" w:hAnsi="Times New Roman"/>
        </w:rPr>
        <w:t xml:space="preserve"> </w:t>
      </w:r>
      <w:r w:rsidRPr="00781BD2">
        <w:rPr>
          <w:rFonts w:ascii="Times New Roman" w:hAnsi="Times New Roman"/>
        </w:rPr>
        <w:t xml:space="preserve">faster than others, we evaluated the extent, rate and variability of absorption of these three compounds using the sum of </w:t>
      </w:r>
      <w:r w:rsidR="003D50CD" w:rsidRPr="00781BD2">
        <w:rPr>
          <w:rFonts w:ascii="Times New Roman" w:hAnsi="Times New Roman"/>
        </w:rPr>
        <w:t xml:space="preserve">free phenol </w:t>
      </w:r>
      <w:r w:rsidR="00542BD4" w:rsidRPr="00781BD2">
        <w:rPr>
          <w:rFonts w:ascii="Times New Roman" w:hAnsi="Times New Roman"/>
          <w:b/>
          <w:bCs/>
        </w:rPr>
        <w:t>1b</w:t>
      </w:r>
      <w:r w:rsidRPr="00781BD2">
        <w:rPr>
          <w:rFonts w:ascii="Times New Roman" w:hAnsi="Times New Roman"/>
        </w:rPr>
        <w:t xml:space="preserve"> and glucuron</w:t>
      </w:r>
      <w:r w:rsidR="003D50CD" w:rsidRPr="00781BD2">
        <w:rPr>
          <w:rFonts w:ascii="Times New Roman" w:hAnsi="Times New Roman"/>
        </w:rPr>
        <w:t>ide</w:t>
      </w:r>
      <w:r w:rsidRPr="00781BD2">
        <w:rPr>
          <w:rFonts w:ascii="Times New Roman" w:hAnsi="Times New Roman"/>
        </w:rPr>
        <w:t xml:space="preserve"> </w:t>
      </w:r>
      <w:r w:rsidR="00542BD4" w:rsidRPr="00781BD2">
        <w:rPr>
          <w:rFonts w:ascii="Times New Roman" w:hAnsi="Times New Roman"/>
          <w:b/>
          <w:bCs/>
        </w:rPr>
        <w:t>5</w:t>
      </w:r>
      <w:r w:rsidRPr="00781BD2">
        <w:rPr>
          <w:rFonts w:ascii="Times New Roman" w:hAnsi="Times New Roman"/>
        </w:rPr>
        <w:t xml:space="preserve"> co</w:t>
      </w:r>
      <w:r w:rsidR="00F92D6C" w:rsidRPr="00781BD2">
        <w:rPr>
          <w:rFonts w:ascii="Times New Roman" w:hAnsi="Times New Roman"/>
        </w:rPr>
        <w:t>ncentrations at each time</w:t>
      </w:r>
      <w:r w:rsidR="009769E7" w:rsidRPr="00781BD2">
        <w:rPr>
          <w:rFonts w:ascii="Times New Roman" w:hAnsi="Times New Roman"/>
        </w:rPr>
        <w:t xml:space="preserve"> </w:t>
      </w:r>
      <w:r w:rsidR="00F92D6C" w:rsidRPr="00781BD2">
        <w:rPr>
          <w:rFonts w:ascii="Times New Roman" w:hAnsi="Times New Roman"/>
        </w:rPr>
        <w:t>point.</w:t>
      </w:r>
      <w:r w:rsidRPr="00781BD2">
        <w:rPr>
          <w:rFonts w:ascii="Times New Roman" w:hAnsi="Times New Roman"/>
        </w:rPr>
        <w:t xml:space="preserve"> To arrive at the concentrations of glucurono-conjugated T, we multiplied TG concentrations by 61% (molecular weight of T = 270 divided by molecular weight of TG = 441). The sums of median </w:t>
      </w:r>
      <w:r w:rsidR="00F9169C" w:rsidRPr="00781BD2">
        <w:rPr>
          <w:rFonts w:ascii="Times New Roman" w:hAnsi="Times New Roman"/>
          <w:b/>
          <w:bCs/>
        </w:rPr>
        <w:t>1b</w:t>
      </w:r>
      <w:r w:rsidRPr="00781BD2">
        <w:rPr>
          <w:rFonts w:ascii="Times New Roman" w:hAnsi="Times New Roman"/>
        </w:rPr>
        <w:t xml:space="preserve"> plus </w:t>
      </w:r>
      <w:r w:rsidR="00F9169C" w:rsidRPr="00781BD2">
        <w:rPr>
          <w:rFonts w:ascii="Times New Roman" w:hAnsi="Times New Roman"/>
          <w:b/>
          <w:bCs/>
        </w:rPr>
        <w:t>5</w:t>
      </w:r>
      <w:r w:rsidRPr="00781BD2">
        <w:rPr>
          <w:rFonts w:ascii="Times New Roman" w:hAnsi="Times New Roman"/>
        </w:rPr>
        <w:t xml:space="preserve"> concentrations in plasma over the 12 hours post-dose are presented in Figure </w:t>
      </w:r>
      <w:r w:rsidR="00467FDF" w:rsidRPr="00781BD2">
        <w:rPr>
          <w:rFonts w:ascii="Times New Roman" w:hAnsi="Times New Roman"/>
        </w:rPr>
        <w:t>6</w:t>
      </w:r>
      <w:r w:rsidRPr="00781BD2">
        <w:rPr>
          <w:rFonts w:ascii="Times New Roman" w:hAnsi="Times New Roman"/>
        </w:rPr>
        <w:t>.</w:t>
      </w:r>
      <w:r w:rsidR="00AD031B" w:rsidRPr="00781BD2">
        <w:rPr>
          <w:rFonts w:ascii="Times New Roman" w:hAnsi="Times New Roman"/>
        </w:rPr>
        <w:t xml:space="preserve"> </w:t>
      </w:r>
    </w:p>
    <w:p w:rsidR="00921D1A" w:rsidRPr="00781BD2" w:rsidRDefault="00921D1A" w:rsidP="00921D1A">
      <w:pPr>
        <w:rPr>
          <w:rFonts w:ascii="Times New Roman" w:hAnsi="Times New Roman"/>
          <w:sz w:val="22"/>
        </w:rPr>
      </w:pPr>
    </w:p>
    <w:p w:rsidR="00921D1A" w:rsidRPr="00781BD2" w:rsidRDefault="00921D1A" w:rsidP="00921D1A">
      <w:pPr>
        <w:autoSpaceDE w:val="0"/>
        <w:autoSpaceDN w:val="0"/>
        <w:adjustRightInd w:val="0"/>
        <w:jc w:val="both"/>
        <w:rPr>
          <w:rFonts w:ascii="Times New Roman" w:hAnsi="Times New Roman"/>
          <w:sz w:val="22"/>
          <w:szCs w:val="22"/>
          <w:highlight w:val="yellow"/>
        </w:rPr>
      </w:pPr>
      <w:r w:rsidRPr="00781BD2">
        <w:rPr>
          <w:noProof/>
          <w:lang w:val="en-US"/>
        </w:rPr>
        <w:drawing>
          <wp:inline distT="0" distB="0" distL="0" distR="0">
            <wp:extent cx="4838700" cy="2908935"/>
            <wp:effectExtent l="0" t="0" r="12700" b="12065"/>
            <wp:docPr id="12" name="Chart 12">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mv="urn:schemas-microsoft-com:mac:vml" xmlns:ve="http://schemas.openxmlformats.org/markup-compatibility/2006" xmlns:mo="http://schemas.microsoft.com/office/mac/office/2008/main" id="{336F3A83-26D0-B148-8507-3F33C76CE8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21D1A" w:rsidRPr="00781BD2" w:rsidRDefault="00921D1A" w:rsidP="00921D1A">
      <w:pPr>
        <w:autoSpaceDE w:val="0"/>
        <w:autoSpaceDN w:val="0"/>
        <w:adjustRightInd w:val="0"/>
        <w:jc w:val="both"/>
        <w:rPr>
          <w:rFonts w:ascii="Times New Roman" w:hAnsi="Times New Roman"/>
          <w:sz w:val="22"/>
          <w:szCs w:val="22"/>
          <w:highlight w:val="yellow"/>
        </w:rPr>
      </w:pPr>
    </w:p>
    <w:p w:rsidR="00467FDF" w:rsidRPr="00781BD2" w:rsidRDefault="00461436" w:rsidP="00467FDF">
      <w:pPr>
        <w:jc w:val="both"/>
        <w:rPr>
          <w:rFonts w:ascii="Times New Roman" w:hAnsi="Times New Roman"/>
          <w:b/>
          <w:sz w:val="22"/>
        </w:rPr>
      </w:pPr>
      <w:r w:rsidRPr="00781BD2">
        <w:rPr>
          <w:rFonts w:ascii="Times New Roman" w:hAnsi="Times New Roman"/>
          <w:b/>
          <w:sz w:val="22"/>
        </w:rPr>
        <w:t>Figure</w:t>
      </w:r>
      <w:r w:rsidR="00467FDF" w:rsidRPr="00781BD2">
        <w:rPr>
          <w:rFonts w:ascii="Times New Roman" w:hAnsi="Times New Roman"/>
          <w:b/>
          <w:sz w:val="22"/>
        </w:rPr>
        <w:t xml:space="preserve"> 6.  </w:t>
      </w:r>
      <w:r w:rsidR="00467FDF" w:rsidRPr="00781BD2">
        <w:rPr>
          <w:rFonts w:ascii="Times New Roman" w:hAnsi="Times New Roman"/>
          <w:sz w:val="22"/>
        </w:rPr>
        <w:t xml:space="preserve">Sum of median </w:t>
      </w:r>
      <w:r w:rsidR="00467FDF" w:rsidRPr="00781BD2">
        <w:rPr>
          <w:rFonts w:ascii="Times New Roman" w:hAnsi="Times New Roman"/>
          <w:b/>
          <w:sz w:val="22"/>
        </w:rPr>
        <w:t>1b</w:t>
      </w:r>
      <w:r w:rsidR="00467FDF" w:rsidRPr="00781BD2">
        <w:rPr>
          <w:rFonts w:ascii="Times New Roman" w:hAnsi="Times New Roman"/>
          <w:sz w:val="22"/>
        </w:rPr>
        <w:t xml:space="preserve"> and </w:t>
      </w:r>
      <w:r w:rsidR="00467FDF" w:rsidRPr="00781BD2">
        <w:rPr>
          <w:rFonts w:ascii="Times New Roman" w:hAnsi="Times New Roman"/>
          <w:b/>
          <w:sz w:val="22"/>
        </w:rPr>
        <w:t>5</w:t>
      </w:r>
      <w:r w:rsidR="00467FDF" w:rsidRPr="00781BD2">
        <w:rPr>
          <w:rFonts w:ascii="Times New Roman" w:hAnsi="Times New Roman"/>
          <w:sz w:val="22"/>
        </w:rPr>
        <w:t xml:space="preserve"> concentrations (µg/mL) in plasma over 12 hrs.</w:t>
      </w:r>
    </w:p>
    <w:p w:rsidR="00921D1A" w:rsidRPr="00781BD2" w:rsidRDefault="00921D1A" w:rsidP="00921D1A">
      <w:pPr>
        <w:rPr>
          <w:rFonts w:ascii="Times New Roman" w:hAnsi="Times New Roman"/>
          <w:sz w:val="22"/>
        </w:rPr>
      </w:pPr>
    </w:p>
    <w:p w:rsidR="00910FD4" w:rsidRPr="00781BD2" w:rsidRDefault="00921D1A" w:rsidP="009A00D4">
      <w:pPr>
        <w:spacing w:line="360" w:lineRule="auto"/>
        <w:jc w:val="both"/>
        <w:rPr>
          <w:rFonts w:ascii="Times New Roman" w:hAnsi="Times New Roman"/>
        </w:rPr>
      </w:pPr>
      <w:r w:rsidRPr="00781BD2">
        <w:rPr>
          <w:rFonts w:ascii="Times New Roman" w:hAnsi="Times New Roman"/>
        </w:rPr>
        <w:t>The mean AUC</w:t>
      </w:r>
      <w:r w:rsidRPr="00781BD2">
        <w:rPr>
          <w:rFonts w:ascii="Times New Roman" w:hAnsi="Times New Roman"/>
          <w:vertAlign w:val="subscript"/>
        </w:rPr>
        <w:t>0-12h</w:t>
      </w:r>
      <w:r w:rsidRPr="00781BD2">
        <w:rPr>
          <w:rFonts w:ascii="Times New Roman" w:hAnsi="Times New Roman"/>
        </w:rPr>
        <w:t xml:space="preserve"> for </w:t>
      </w:r>
      <w:r w:rsidR="0035146E" w:rsidRPr="00781BD2">
        <w:rPr>
          <w:rFonts w:ascii="Times New Roman" w:hAnsi="Times New Roman"/>
          <w:b/>
          <w:bCs/>
        </w:rPr>
        <w:t>8</w:t>
      </w:r>
      <w:r w:rsidRPr="00781BD2">
        <w:rPr>
          <w:rFonts w:ascii="Times New Roman" w:hAnsi="Times New Roman"/>
        </w:rPr>
        <w:t xml:space="preserve"> was almost double that of </w:t>
      </w:r>
      <w:r w:rsidR="0035146E" w:rsidRPr="00781BD2">
        <w:rPr>
          <w:rFonts w:ascii="Times New Roman" w:hAnsi="Times New Roman"/>
          <w:b/>
          <w:bCs/>
        </w:rPr>
        <w:t>10</w:t>
      </w:r>
      <w:r w:rsidRPr="00781BD2">
        <w:rPr>
          <w:rFonts w:ascii="Times New Roman" w:hAnsi="Times New Roman"/>
        </w:rPr>
        <w:t xml:space="preserve">, but it was roughly the same as that for </w:t>
      </w:r>
      <w:r w:rsidR="0035146E" w:rsidRPr="00781BD2">
        <w:rPr>
          <w:rFonts w:ascii="Times New Roman" w:hAnsi="Times New Roman"/>
          <w:b/>
          <w:bCs/>
        </w:rPr>
        <w:t>1a</w:t>
      </w:r>
      <w:r w:rsidRPr="00781BD2">
        <w:rPr>
          <w:rFonts w:ascii="Times New Roman" w:hAnsi="Times New Roman"/>
        </w:rPr>
        <w:t>.  The comparison of AUC</w:t>
      </w:r>
      <w:r w:rsidRPr="00781BD2">
        <w:rPr>
          <w:rFonts w:ascii="Times New Roman" w:hAnsi="Times New Roman"/>
          <w:vertAlign w:val="subscript"/>
        </w:rPr>
        <w:t>0-12h</w:t>
      </w:r>
      <w:r w:rsidRPr="00781BD2">
        <w:rPr>
          <w:rFonts w:ascii="Times New Roman" w:hAnsi="Times New Roman"/>
        </w:rPr>
        <w:t xml:space="preserve"> with </w:t>
      </w:r>
      <w:r w:rsidR="0035146E" w:rsidRPr="00781BD2">
        <w:rPr>
          <w:rFonts w:ascii="Times New Roman" w:hAnsi="Times New Roman"/>
          <w:b/>
          <w:bCs/>
        </w:rPr>
        <w:t>1a</w:t>
      </w:r>
      <w:r w:rsidRPr="00781BD2">
        <w:rPr>
          <w:rFonts w:ascii="Times New Roman" w:hAnsi="Times New Roman"/>
        </w:rPr>
        <w:t xml:space="preserve"> is affected by the collection of only one plasma sample (the </w:t>
      </w:r>
      <w:r w:rsidR="00D24A6A" w:rsidRPr="00781BD2">
        <w:rPr>
          <w:rFonts w:ascii="Times New Roman" w:hAnsi="Times New Roman"/>
        </w:rPr>
        <w:t>6</w:t>
      </w:r>
      <w:r w:rsidR="00214390" w:rsidRPr="00781BD2">
        <w:rPr>
          <w:rFonts w:ascii="Times New Roman" w:hAnsi="Times New Roman"/>
        </w:rPr>
        <w:t xml:space="preserve"> </w:t>
      </w:r>
      <w:r w:rsidR="00D24A6A" w:rsidRPr="00781BD2">
        <w:rPr>
          <w:rFonts w:ascii="Times New Roman" w:hAnsi="Times New Roman"/>
        </w:rPr>
        <w:t>h</w:t>
      </w:r>
      <w:r w:rsidRPr="00781BD2">
        <w:rPr>
          <w:rFonts w:ascii="Times New Roman" w:hAnsi="Times New Roman"/>
        </w:rPr>
        <w:t xml:space="preserve"> sample) between 2 and 12 hours and the fact that </w:t>
      </w:r>
      <w:r w:rsidR="0035146E" w:rsidRPr="00781BD2">
        <w:rPr>
          <w:rFonts w:ascii="Times New Roman" w:hAnsi="Times New Roman"/>
          <w:b/>
          <w:bCs/>
        </w:rPr>
        <w:t>1a</w:t>
      </w:r>
      <w:r w:rsidRPr="00781BD2">
        <w:rPr>
          <w:rFonts w:ascii="Times New Roman" w:hAnsi="Times New Roman"/>
        </w:rPr>
        <w:t xml:space="preserve"> is absorbed more slowly than the other compounds.  The actual AUC</w:t>
      </w:r>
      <w:r w:rsidRPr="00781BD2">
        <w:rPr>
          <w:rFonts w:ascii="Times New Roman" w:hAnsi="Times New Roman"/>
          <w:vertAlign w:val="subscript"/>
        </w:rPr>
        <w:t>0-12h</w:t>
      </w:r>
      <w:r w:rsidRPr="00781BD2">
        <w:rPr>
          <w:rFonts w:ascii="Times New Roman" w:hAnsi="Times New Roman"/>
        </w:rPr>
        <w:t xml:space="preserve"> value for </w:t>
      </w:r>
      <w:r w:rsidR="0035146E" w:rsidRPr="00781BD2">
        <w:rPr>
          <w:rFonts w:ascii="Times New Roman" w:hAnsi="Times New Roman"/>
          <w:b/>
          <w:bCs/>
        </w:rPr>
        <w:t>1a</w:t>
      </w:r>
      <w:r w:rsidRPr="00781BD2">
        <w:rPr>
          <w:rFonts w:ascii="Times New Roman" w:hAnsi="Times New Roman"/>
        </w:rPr>
        <w:t xml:space="preserve"> would likely have been much lower had additional samples been collected</w:t>
      </w:r>
      <w:r w:rsidR="0035146E" w:rsidRPr="00781BD2">
        <w:rPr>
          <w:rFonts w:ascii="Times New Roman" w:hAnsi="Times New Roman"/>
        </w:rPr>
        <w:t>,</w:t>
      </w:r>
      <w:r w:rsidRPr="00781BD2">
        <w:rPr>
          <w:rFonts w:ascii="Times New Roman" w:hAnsi="Times New Roman"/>
        </w:rPr>
        <w:t xml:space="preserve"> particularly between the 6 and 12</w:t>
      </w:r>
      <w:r w:rsidR="00214390" w:rsidRPr="00781BD2">
        <w:rPr>
          <w:rFonts w:ascii="Times New Roman" w:hAnsi="Times New Roman"/>
        </w:rPr>
        <w:t xml:space="preserve"> </w:t>
      </w:r>
      <w:r w:rsidR="00212B72" w:rsidRPr="00781BD2">
        <w:rPr>
          <w:rFonts w:ascii="Times New Roman" w:hAnsi="Times New Roman"/>
        </w:rPr>
        <w:t>h</w:t>
      </w:r>
      <w:r w:rsidRPr="00781BD2">
        <w:rPr>
          <w:rFonts w:ascii="Times New Roman" w:hAnsi="Times New Roman"/>
        </w:rPr>
        <w:t xml:space="preserve"> post-dose timepoints.</w:t>
      </w:r>
      <w:r w:rsidR="009A00D4" w:rsidRPr="00781BD2">
        <w:rPr>
          <w:rFonts w:ascii="Times New Roman" w:hAnsi="Times New Roman"/>
        </w:rPr>
        <w:t xml:space="preserve"> </w:t>
      </w:r>
      <w:r w:rsidRPr="00781BD2">
        <w:rPr>
          <w:rFonts w:ascii="Times New Roman" w:hAnsi="Times New Roman"/>
        </w:rPr>
        <w:t>Notably, the RSD associated with the mean AUC</w:t>
      </w:r>
      <w:r w:rsidRPr="00781BD2">
        <w:rPr>
          <w:rFonts w:ascii="Times New Roman" w:hAnsi="Times New Roman"/>
          <w:vertAlign w:val="subscript"/>
        </w:rPr>
        <w:t>0-12h</w:t>
      </w:r>
      <w:r w:rsidRPr="00781BD2">
        <w:rPr>
          <w:rFonts w:ascii="Times New Roman" w:hAnsi="Times New Roman"/>
        </w:rPr>
        <w:t xml:space="preserve"> for </w:t>
      </w:r>
      <w:r w:rsidR="0035146E" w:rsidRPr="00781BD2">
        <w:rPr>
          <w:rFonts w:ascii="Times New Roman" w:hAnsi="Times New Roman"/>
          <w:b/>
          <w:bCs/>
        </w:rPr>
        <w:t>8</w:t>
      </w:r>
      <w:r w:rsidRPr="00781BD2">
        <w:rPr>
          <w:rFonts w:ascii="Times New Roman" w:hAnsi="Times New Roman"/>
        </w:rPr>
        <w:t xml:space="preserve"> was only 16% compared to 36% for both </w:t>
      </w:r>
      <w:r w:rsidR="0035146E" w:rsidRPr="00781BD2">
        <w:rPr>
          <w:rFonts w:ascii="Times New Roman" w:hAnsi="Times New Roman"/>
          <w:b/>
          <w:bCs/>
        </w:rPr>
        <w:t>10</w:t>
      </w:r>
      <w:r w:rsidRPr="00781BD2">
        <w:rPr>
          <w:rFonts w:ascii="Times New Roman" w:hAnsi="Times New Roman"/>
        </w:rPr>
        <w:t xml:space="preserve"> and </w:t>
      </w:r>
      <w:r w:rsidR="0035146E" w:rsidRPr="00781BD2">
        <w:rPr>
          <w:rFonts w:ascii="Times New Roman" w:hAnsi="Times New Roman"/>
          <w:b/>
          <w:bCs/>
        </w:rPr>
        <w:t>1a</w:t>
      </w:r>
      <w:r w:rsidRPr="00781BD2">
        <w:rPr>
          <w:rFonts w:ascii="Times New Roman" w:hAnsi="Times New Roman"/>
        </w:rPr>
        <w:t xml:space="preserve">.  This indicates that the inter-subject variability of absorption associated with NTZ </w:t>
      </w:r>
      <w:r w:rsidR="0035146E" w:rsidRPr="00781BD2">
        <w:rPr>
          <w:rFonts w:ascii="Times New Roman" w:hAnsi="Times New Roman"/>
          <w:b/>
          <w:bCs/>
        </w:rPr>
        <w:t>1a</w:t>
      </w:r>
      <w:r w:rsidR="0007252B" w:rsidRPr="00781BD2">
        <w:rPr>
          <w:rFonts w:ascii="Times New Roman" w:hAnsi="Times New Roman"/>
          <w:b/>
          <w:bCs/>
        </w:rPr>
        <w:t xml:space="preserve"> </w:t>
      </w:r>
      <w:r w:rsidRPr="00781BD2">
        <w:rPr>
          <w:rFonts w:ascii="Times New Roman" w:hAnsi="Times New Roman"/>
        </w:rPr>
        <w:t xml:space="preserve">is significantly improved by </w:t>
      </w:r>
      <w:r w:rsidR="0007252B" w:rsidRPr="00781BD2">
        <w:rPr>
          <w:rFonts w:ascii="Times New Roman" w:hAnsi="Times New Roman"/>
          <w:b/>
          <w:bCs/>
        </w:rPr>
        <w:t>8</w:t>
      </w:r>
      <w:r w:rsidRPr="00781BD2">
        <w:rPr>
          <w:rFonts w:ascii="Times New Roman" w:hAnsi="Times New Roman"/>
        </w:rPr>
        <w:t>.</w:t>
      </w:r>
    </w:p>
    <w:p w:rsidR="00910FD4" w:rsidRPr="00781BD2" w:rsidRDefault="00910FD4" w:rsidP="00910FD4">
      <w:pPr>
        <w:jc w:val="both"/>
        <w:rPr>
          <w:rFonts w:ascii="Times New Roman" w:hAnsi="Times New Roman"/>
          <w:b/>
          <w:bCs/>
          <w:lang w:val="en-US"/>
        </w:rPr>
      </w:pPr>
    </w:p>
    <w:p w:rsidR="00910FD4" w:rsidRPr="00781BD2" w:rsidRDefault="00910FD4" w:rsidP="00910FD4">
      <w:pPr>
        <w:spacing w:line="360" w:lineRule="auto"/>
        <w:rPr>
          <w:rFonts w:ascii="Times New Roman" w:hAnsi="Times New Roman" w:cs="AGaramond-Italic"/>
          <w:b/>
          <w:bCs/>
          <w:szCs w:val="20"/>
          <w:lang w:val="en-US"/>
        </w:rPr>
      </w:pPr>
      <w:r w:rsidRPr="00781BD2">
        <w:rPr>
          <w:rFonts w:ascii="Times New Roman" w:hAnsi="Times New Roman"/>
          <w:b/>
          <w:bCs/>
          <w:lang w:val="en-US"/>
        </w:rPr>
        <w:t xml:space="preserve">Antiviral activity of Thiazolide Amine Salt </w:t>
      </w:r>
      <w:r w:rsidRPr="00781BD2">
        <w:rPr>
          <w:rFonts w:ascii="Times New Roman" w:hAnsi="Times New Roman" w:cs="AGaramond-Italic"/>
          <w:b/>
          <w:bCs/>
          <w:szCs w:val="20"/>
          <w:lang w:val="en-US"/>
        </w:rPr>
        <w:t xml:space="preserve">RM-5071 </w:t>
      </w:r>
      <w:r w:rsidR="00CC5253" w:rsidRPr="00781BD2">
        <w:rPr>
          <w:rFonts w:ascii="Times New Roman" w:hAnsi="Times New Roman" w:cs="AGaramond-Italic"/>
          <w:b/>
          <w:bCs/>
          <w:szCs w:val="20"/>
          <w:lang w:val="en-US"/>
        </w:rPr>
        <w:t>8</w:t>
      </w:r>
    </w:p>
    <w:p w:rsidR="00910FD4" w:rsidRPr="00781BD2" w:rsidRDefault="00910FD4" w:rsidP="00910FD4">
      <w:pPr>
        <w:spacing w:line="360" w:lineRule="auto"/>
        <w:jc w:val="both"/>
        <w:rPr>
          <w:rFonts w:ascii="Times New Roman" w:hAnsi="Times New Roman"/>
          <w:lang w:val="en-US"/>
        </w:rPr>
      </w:pPr>
      <w:r w:rsidRPr="00781BD2">
        <w:rPr>
          <w:rFonts w:ascii="Times New Roman" w:hAnsi="Times New Roman" w:cs="AGaramond-Italic"/>
          <w:iCs/>
          <w:szCs w:val="20"/>
          <w:lang w:val="en-US"/>
        </w:rPr>
        <w:t xml:space="preserve">In order to determine whether the thiazolide amine salt RM-5071 retains the antiviral activity of </w:t>
      </w:r>
      <w:r w:rsidRPr="00781BD2">
        <w:rPr>
          <w:rFonts w:ascii="Times New Roman" w:hAnsi="Times New Roman"/>
          <w:lang w:val="en-US"/>
        </w:rPr>
        <w:t xml:space="preserve">tizoxanide </w:t>
      </w:r>
      <w:r w:rsidRPr="00781BD2">
        <w:rPr>
          <w:rFonts w:ascii="Times New Roman" w:hAnsi="Times New Roman"/>
          <w:b/>
          <w:bCs/>
          <w:lang w:val="en-US"/>
        </w:rPr>
        <w:t>1b</w:t>
      </w:r>
      <w:r w:rsidRPr="00781BD2">
        <w:rPr>
          <w:rFonts w:ascii="Times New Roman" w:hAnsi="Times New Roman"/>
          <w:lang w:val="en-US"/>
        </w:rPr>
        <w:t xml:space="preserve">, we utilized three different models of </w:t>
      </w:r>
      <w:r w:rsidRPr="00781BD2">
        <w:rPr>
          <w:rFonts w:ascii="Times New Roman" w:hAnsi="Times New Roman"/>
          <w:i/>
          <w:lang w:val="en-US"/>
        </w:rPr>
        <w:t>in vitro</w:t>
      </w:r>
      <w:r w:rsidRPr="00781BD2">
        <w:rPr>
          <w:rFonts w:ascii="Times New Roman" w:hAnsi="Times New Roman"/>
          <w:lang w:val="en-US"/>
        </w:rPr>
        <w:t xml:space="preserve"> RNA virus infection: human A549 alveolar type II-like epithelial cells infected with the Influenza A virus (IAV) A/WSN/1933(H1N1) (WSN) strain; Madin-Darby canine kidney (MDCK) cells infected with the IAV A/Puerto Rico/8/1934(H1N1) (PR8) strain; and African green monkey kidney (AGMK) 37RC cells infected with the paramyxovirus Sendai (SeV</w:t>
      </w:r>
      <w:r w:rsidR="00BA1E6E" w:rsidRPr="00781BD2">
        <w:rPr>
          <w:rFonts w:ascii="Times New Roman" w:hAnsi="Times New Roman"/>
          <w:lang w:val="en-US"/>
        </w:rPr>
        <w:t xml:space="preserve">). Confluent cell monolayers </w:t>
      </w:r>
      <w:r w:rsidRPr="00781BD2">
        <w:rPr>
          <w:rFonts w:ascii="Times New Roman" w:hAnsi="Times New Roman"/>
          <w:lang w:val="en-US"/>
        </w:rPr>
        <w:t xml:space="preserve">were infected with the different viruses under single-step growth conditions, and treated with different concentrations (0.01, 0.1, 1, 10, 50 and 100 </w:t>
      </w:r>
      <w:r w:rsidRPr="00781BD2">
        <w:rPr>
          <w:rFonts w:ascii="Symbol" w:hAnsi="Symbol"/>
          <w:lang w:val="en-US"/>
        </w:rPr>
        <w:t>m</w:t>
      </w:r>
      <w:r w:rsidRPr="00781BD2">
        <w:rPr>
          <w:rFonts w:ascii="Times New Roman" w:hAnsi="Times New Roman"/>
          <w:lang w:val="en-US"/>
        </w:rPr>
        <w:t xml:space="preserve">g/ml) of </w:t>
      </w:r>
      <w:r w:rsidRPr="00781BD2">
        <w:rPr>
          <w:rFonts w:ascii="Times New Roman" w:hAnsi="Times New Roman" w:cs="AGaramond-Italic"/>
          <w:iCs/>
          <w:szCs w:val="20"/>
          <w:lang w:val="en-US"/>
        </w:rPr>
        <w:t>RM-5071</w:t>
      </w:r>
      <w:r w:rsidRPr="00781BD2">
        <w:rPr>
          <w:rFonts w:ascii="Times New Roman" w:hAnsi="Times New Roman" w:cs="AGaramond-Italic"/>
          <w:i/>
          <w:iCs/>
          <w:szCs w:val="20"/>
          <w:lang w:val="en-US"/>
        </w:rPr>
        <w:t xml:space="preserve"> </w:t>
      </w:r>
      <w:r w:rsidRPr="00781BD2">
        <w:rPr>
          <w:rFonts w:ascii="Times New Roman" w:hAnsi="Times New Roman" w:cs="AGaramond-Italic"/>
          <w:b/>
          <w:iCs/>
          <w:szCs w:val="20"/>
          <w:lang w:val="en-US"/>
        </w:rPr>
        <w:t>8</w:t>
      </w:r>
      <w:r w:rsidRPr="00781BD2">
        <w:rPr>
          <w:rFonts w:ascii="Times New Roman" w:hAnsi="Times New Roman" w:cs="AGaramond-Italic"/>
          <w:b/>
          <w:i/>
          <w:iCs/>
          <w:szCs w:val="20"/>
          <w:lang w:val="en-US"/>
        </w:rPr>
        <w:t xml:space="preserve">, </w:t>
      </w:r>
      <w:r w:rsidRPr="00781BD2">
        <w:rPr>
          <w:rFonts w:ascii="Times New Roman" w:hAnsi="Times New Roman"/>
          <w:lang w:val="en-US"/>
        </w:rPr>
        <w:t xml:space="preserve">tizoxanide </w:t>
      </w:r>
      <w:r w:rsidRPr="00781BD2">
        <w:rPr>
          <w:rFonts w:ascii="Times New Roman" w:hAnsi="Times New Roman"/>
          <w:b/>
          <w:bCs/>
          <w:lang w:val="en-US"/>
        </w:rPr>
        <w:t>1b</w:t>
      </w:r>
      <w:r w:rsidRPr="00781BD2">
        <w:rPr>
          <w:rFonts w:ascii="Times New Roman" w:hAnsi="Times New Roman"/>
          <w:lang w:val="en-US"/>
        </w:rPr>
        <w:t xml:space="preserve"> or vehicle immediately after virus adsorption, and virus yield was determined at 24 hours post infection (p.i.), as described in </w:t>
      </w:r>
      <w:r w:rsidRPr="00781BD2">
        <w:rPr>
          <w:rFonts w:ascii="Times New Roman" w:hAnsi="Times New Roman"/>
          <w:bCs/>
          <w:i/>
          <w:lang w:val="en-US"/>
        </w:rPr>
        <w:t>Experimental</w:t>
      </w:r>
      <w:r w:rsidRPr="00781BD2">
        <w:rPr>
          <w:rFonts w:ascii="Times New Roman" w:hAnsi="Times New Roman"/>
          <w:i/>
          <w:lang w:val="en-US"/>
        </w:rPr>
        <w:t>;</w:t>
      </w:r>
      <w:r w:rsidRPr="00781BD2">
        <w:rPr>
          <w:rFonts w:ascii="Times New Roman" w:hAnsi="Times New Roman"/>
          <w:lang w:val="en-US"/>
        </w:rPr>
        <w:t xml:space="preserve"> in parallel, cell </w:t>
      </w:r>
      <w:r w:rsidR="003809AF" w:rsidRPr="00781BD2">
        <w:rPr>
          <w:rFonts w:ascii="Times New Roman" w:hAnsi="Times New Roman"/>
          <w:lang w:val="en-US"/>
        </w:rPr>
        <w:t xml:space="preserve">viability was determined by MTT </w:t>
      </w:r>
      <w:r w:rsidRPr="00781BD2">
        <w:rPr>
          <w:rFonts w:ascii="Times New Roman" w:hAnsi="Times New Roman"/>
          <w:lang w:val="en-US"/>
        </w:rPr>
        <w:t xml:space="preserve">assay in mock-infected cells. Both </w:t>
      </w:r>
      <w:r w:rsidRPr="00781BD2">
        <w:rPr>
          <w:rFonts w:ascii="Times New Roman" w:hAnsi="Times New Roman" w:cs="AGaramond-Italic"/>
          <w:iCs/>
          <w:szCs w:val="20"/>
          <w:lang w:val="en-US"/>
        </w:rPr>
        <w:t>RM</w:t>
      </w:r>
      <w:r w:rsidRPr="00781BD2">
        <w:rPr>
          <w:rFonts w:ascii="Times New Roman" w:hAnsi="Times New Roman" w:cs="AGaramond-Italic"/>
          <w:i/>
          <w:iCs/>
          <w:szCs w:val="20"/>
          <w:lang w:val="en-US"/>
        </w:rPr>
        <w:t>-</w:t>
      </w:r>
      <w:r w:rsidR="003809AF" w:rsidRPr="00781BD2">
        <w:rPr>
          <w:rFonts w:ascii="Times New Roman" w:hAnsi="Times New Roman" w:cs="AGaramond-Italic"/>
          <w:iCs/>
          <w:szCs w:val="20"/>
          <w:lang w:val="en-US"/>
        </w:rPr>
        <w:t xml:space="preserve">5071 </w:t>
      </w:r>
      <w:r w:rsidRPr="00781BD2">
        <w:rPr>
          <w:rFonts w:ascii="Times New Roman" w:hAnsi="Times New Roman" w:cs="AGaramond-Italic"/>
          <w:iCs/>
          <w:szCs w:val="20"/>
          <w:lang w:val="en-US"/>
        </w:rPr>
        <w:t>and</w:t>
      </w:r>
      <w:r w:rsidRPr="00781BD2">
        <w:rPr>
          <w:rFonts w:ascii="Times New Roman" w:hAnsi="Times New Roman" w:cs="AGaramond-Italic"/>
          <w:b/>
          <w:i/>
          <w:iCs/>
          <w:szCs w:val="20"/>
          <w:lang w:val="en-US"/>
        </w:rPr>
        <w:t xml:space="preserve"> </w:t>
      </w:r>
      <w:r w:rsidRPr="00781BD2">
        <w:rPr>
          <w:rFonts w:ascii="Times New Roman" w:hAnsi="Times New Roman"/>
          <w:lang w:val="en-US"/>
        </w:rPr>
        <w:t xml:space="preserve">tizoxanide </w:t>
      </w:r>
      <w:r w:rsidRPr="00781BD2">
        <w:rPr>
          <w:rFonts w:ascii="Times New Roman" w:hAnsi="Times New Roman"/>
          <w:b/>
          <w:bCs/>
          <w:lang w:val="en-US"/>
        </w:rPr>
        <w:t>1b</w:t>
      </w:r>
      <w:r w:rsidRPr="00781BD2">
        <w:rPr>
          <w:rFonts w:ascii="Times New Roman" w:hAnsi="Times New Roman"/>
          <w:lang w:val="en-US"/>
        </w:rPr>
        <w:t xml:space="preserve"> did not affect viability at the effective concentrations in all cell types. </w:t>
      </w:r>
      <w:r w:rsidRPr="00781BD2">
        <w:rPr>
          <w:rFonts w:ascii="Times New Roman" w:hAnsi="Times New Roman" w:cs="AGaramond-Italic"/>
          <w:iCs/>
          <w:szCs w:val="20"/>
          <w:lang w:val="en-US"/>
        </w:rPr>
        <w:t xml:space="preserve">RM-5071 </w:t>
      </w:r>
      <w:r w:rsidRPr="00781BD2">
        <w:rPr>
          <w:rFonts w:ascii="Times New Roman" w:hAnsi="Times New Roman" w:cs="AGaramond-Italic"/>
          <w:b/>
          <w:iCs/>
          <w:szCs w:val="20"/>
          <w:lang w:val="en-US"/>
        </w:rPr>
        <w:t>8</w:t>
      </w:r>
      <w:r w:rsidRPr="00781BD2">
        <w:rPr>
          <w:rFonts w:ascii="Times New Roman" w:hAnsi="Times New Roman" w:cs="AGaramond-Italic"/>
          <w:b/>
          <w:i/>
          <w:iCs/>
          <w:szCs w:val="20"/>
          <w:lang w:val="en-US"/>
        </w:rPr>
        <w:t xml:space="preserve"> </w:t>
      </w:r>
      <w:r w:rsidRPr="00781BD2">
        <w:rPr>
          <w:rFonts w:ascii="Times New Roman" w:hAnsi="Times New Roman" w:cs="AGaramond-Italic"/>
          <w:iCs/>
          <w:szCs w:val="20"/>
          <w:lang w:val="en-US"/>
        </w:rPr>
        <w:t xml:space="preserve">was found to have improved solubility in culture medium as compared to the parent compound tizoxanide </w:t>
      </w:r>
      <w:r w:rsidRPr="00781BD2">
        <w:rPr>
          <w:rFonts w:ascii="Times New Roman" w:hAnsi="Times New Roman" w:cs="AGaramond-Italic"/>
          <w:b/>
          <w:iCs/>
          <w:szCs w:val="20"/>
          <w:lang w:val="en-US"/>
        </w:rPr>
        <w:t>1b</w:t>
      </w:r>
      <w:r w:rsidRPr="00781BD2">
        <w:rPr>
          <w:rFonts w:ascii="Times New Roman" w:hAnsi="Times New Roman" w:cs="AGaramond-Italic"/>
          <w:b/>
          <w:i/>
          <w:iCs/>
          <w:szCs w:val="20"/>
          <w:lang w:val="en-US"/>
        </w:rPr>
        <w:t xml:space="preserve">, </w:t>
      </w:r>
      <w:r w:rsidR="0016659D" w:rsidRPr="00781BD2">
        <w:rPr>
          <w:rFonts w:ascii="Times New Roman" w:hAnsi="Times New Roman" w:cs="AGaramond-Italic"/>
          <w:iCs/>
          <w:szCs w:val="20"/>
          <w:lang w:val="en-US"/>
        </w:rPr>
        <w:t xml:space="preserve">which could </w:t>
      </w:r>
      <w:r w:rsidRPr="00781BD2">
        <w:rPr>
          <w:rFonts w:ascii="Times New Roman" w:hAnsi="Times New Roman" w:cs="AGaramond-Italic"/>
          <w:iCs/>
          <w:szCs w:val="20"/>
          <w:lang w:val="en-US"/>
        </w:rPr>
        <w:t xml:space="preserve">not be tested at concentrations higher than 50 </w:t>
      </w:r>
      <w:r w:rsidRPr="00781BD2">
        <w:rPr>
          <w:rFonts w:ascii="Symbol" w:hAnsi="Symbol" w:cs="AGaramond-Italic"/>
          <w:iCs/>
          <w:szCs w:val="20"/>
          <w:lang w:val="en-US"/>
        </w:rPr>
        <w:t>m</w:t>
      </w:r>
      <w:r w:rsidRPr="00781BD2">
        <w:rPr>
          <w:rFonts w:ascii="Times New Roman" w:hAnsi="Times New Roman" w:cs="AGaramond-Italic"/>
          <w:iCs/>
          <w:szCs w:val="20"/>
          <w:lang w:val="en-US"/>
        </w:rPr>
        <w:t>g/ml.</w:t>
      </w:r>
      <w:r w:rsidRPr="00781BD2">
        <w:rPr>
          <w:rFonts w:ascii="Times New Roman" w:hAnsi="Times New Roman" w:cs="AGaramond-Italic"/>
          <w:b/>
          <w:i/>
          <w:iCs/>
          <w:szCs w:val="20"/>
          <w:lang w:val="en-US"/>
        </w:rPr>
        <w:t xml:space="preserve"> </w:t>
      </w:r>
      <w:r w:rsidRPr="00781BD2">
        <w:rPr>
          <w:rFonts w:ascii="Times New Roman" w:hAnsi="Times New Roman" w:cs="AGaramond-Italic"/>
          <w:iCs/>
          <w:szCs w:val="20"/>
          <w:lang w:val="en-US"/>
        </w:rPr>
        <w:t xml:space="preserve">The results, shown in Table </w:t>
      </w:r>
      <w:r w:rsidR="009220C4" w:rsidRPr="00781BD2">
        <w:rPr>
          <w:rFonts w:ascii="Times New Roman" w:hAnsi="Times New Roman" w:cs="AGaramond-Italic"/>
          <w:b/>
          <w:iCs/>
          <w:szCs w:val="20"/>
          <w:lang w:val="en-US"/>
        </w:rPr>
        <w:t>2</w:t>
      </w:r>
      <w:r w:rsidRPr="00781BD2">
        <w:rPr>
          <w:rFonts w:ascii="Times New Roman" w:hAnsi="Times New Roman" w:cs="AGaramond-Italic"/>
          <w:iCs/>
          <w:szCs w:val="20"/>
          <w:lang w:val="en-US"/>
        </w:rPr>
        <w:t xml:space="preserve">, demonstrate that RM-5071 </w:t>
      </w:r>
      <w:r w:rsidRPr="00781BD2">
        <w:rPr>
          <w:rFonts w:ascii="Times New Roman" w:hAnsi="Times New Roman" w:cs="AGaramond-Italic"/>
          <w:b/>
          <w:iCs/>
          <w:szCs w:val="20"/>
          <w:lang w:val="en-US"/>
        </w:rPr>
        <w:t xml:space="preserve">8 </w:t>
      </w:r>
      <w:r w:rsidRPr="00781BD2">
        <w:rPr>
          <w:rFonts w:ascii="Times New Roman" w:hAnsi="Times New Roman" w:cs="AGaramond-Italic"/>
          <w:iCs/>
          <w:szCs w:val="20"/>
          <w:lang w:val="en-US"/>
        </w:rPr>
        <w:t xml:space="preserve">is more effective than </w:t>
      </w:r>
      <w:r w:rsidRPr="00781BD2">
        <w:rPr>
          <w:rFonts w:ascii="Times New Roman" w:hAnsi="Times New Roman"/>
          <w:lang w:val="en-US"/>
        </w:rPr>
        <w:t xml:space="preserve">tizoxanide </w:t>
      </w:r>
      <w:r w:rsidRPr="00781BD2">
        <w:rPr>
          <w:rFonts w:ascii="Times New Roman" w:hAnsi="Times New Roman"/>
          <w:b/>
          <w:bCs/>
          <w:lang w:val="en-US"/>
        </w:rPr>
        <w:t>1b</w:t>
      </w:r>
      <w:r w:rsidRPr="00781BD2">
        <w:rPr>
          <w:rFonts w:ascii="Times New Roman" w:hAnsi="Times New Roman"/>
          <w:lang w:val="en-US"/>
        </w:rPr>
        <w:t xml:space="preserve">, presenting higher Selectivity Indexes (SI) in all models tested. </w:t>
      </w:r>
    </w:p>
    <w:p w:rsidR="006D4A17" w:rsidRPr="00781BD2" w:rsidRDefault="006D4A17" w:rsidP="00910FD4">
      <w:pPr>
        <w:spacing w:line="360" w:lineRule="auto"/>
        <w:jc w:val="both"/>
        <w:rPr>
          <w:rFonts w:ascii="Times New Roman" w:hAnsi="Times New Roman"/>
          <w:lang w:val="en-US"/>
        </w:rPr>
      </w:pPr>
    </w:p>
    <w:p w:rsidR="006D4A17" w:rsidRPr="00781BD2" w:rsidRDefault="006D4A17" w:rsidP="00910FD4">
      <w:pPr>
        <w:spacing w:line="360" w:lineRule="auto"/>
        <w:jc w:val="both"/>
        <w:rPr>
          <w:rFonts w:ascii="Times New Roman" w:hAnsi="Times New Roman"/>
          <w:lang w:val="en-US"/>
        </w:rPr>
      </w:pPr>
    </w:p>
    <w:p w:rsidR="006D4A17" w:rsidRPr="00781BD2" w:rsidRDefault="006D4A17" w:rsidP="00910FD4">
      <w:pPr>
        <w:spacing w:line="360" w:lineRule="auto"/>
        <w:jc w:val="both"/>
        <w:rPr>
          <w:rFonts w:ascii="Times New Roman" w:hAnsi="Times New Roman"/>
          <w:lang w:val="en-US"/>
        </w:rPr>
      </w:pPr>
    </w:p>
    <w:p w:rsidR="006D4A17" w:rsidRPr="00781BD2" w:rsidRDefault="006D4A17" w:rsidP="00910FD4">
      <w:pPr>
        <w:spacing w:line="360" w:lineRule="auto"/>
        <w:jc w:val="both"/>
        <w:rPr>
          <w:rFonts w:ascii="Times New Roman" w:hAnsi="Times New Roman"/>
          <w:lang w:val="en-US"/>
        </w:rPr>
      </w:pPr>
    </w:p>
    <w:p w:rsidR="006D4A17" w:rsidRPr="00781BD2" w:rsidRDefault="006D4A17" w:rsidP="00910FD4">
      <w:pPr>
        <w:spacing w:line="360" w:lineRule="auto"/>
        <w:jc w:val="both"/>
        <w:rPr>
          <w:rFonts w:ascii="Times New Roman" w:hAnsi="Times New Roman"/>
          <w:lang w:val="en-US"/>
        </w:rPr>
      </w:pPr>
    </w:p>
    <w:p w:rsidR="006D4A17" w:rsidRPr="00781BD2" w:rsidRDefault="006D4A17" w:rsidP="00910FD4">
      <w:pPr>
        <w:spacing w:line="360" w:lineRule="auto"/>
        <w:jc w:val="both"/>
        <w:rPr>
          <w:rFonts w:ascii="Times New Roman" w:hAnsi="Times New Roman"/>
          <w:lang w:val="en-US"/>
        </w:rPr>
      </w:pPr>
    </w:p>
    <w:p w:rsidR="006D4A17" w:rsidRPr="00781BD2" w:rsidRDefault="006D4A17" w:rsidP="00910FD4">
      <w:pPr>
        <w:spacing w:line="360" w:lineRule="auto"/>
        <w:jc w:val="both"/>
        <w:rPr>
          <w:rFonts w:ascii="Times New Roman" w:hAnsi="Times New Roman"/>
          <w:lang w:val="en-US"/>
        </w:rPr>
      </w:pPr>
    </w:p>
    <w:p w:rsidR="00910FD4" w:rsidRPr="00781BD2" w:rsidRDefault="00910FD4" w:rsidP="00910FD4">
      <w:pPr>
        <w:spacing w:line="360" w:lineRule="auto"/>
        <w:jc w:val="both"/>
        <w:rPr>
          <w:rFonts w:ascii="Times New Roman" w:hAnsi="Times New Roman"/>
          <w:lang w:val="en-US"/>
        </w:rPr>
      </w:pPr>
    </w:p>
    <w:p w:rsidR="00910FD4" w:rsidRPr="00781BD2" w:rsidRDefault="00910FD4" w:rsidP="00910FD4">
      <w:pPr>
        <w:jc w:val="both"/>
        <w:rPr>
          <w:rFonts w:ascii="Times New Roman" w:hAnsi="Times New Roman"/>
          <w:sz w:val="22"/>
          <w:lang w:val="en-US"/>
        </w:rPr>
      </w:pPr>
      <w:r w:rsidRPr="00781BD2">
        <w:rPr>
          <w:rFonts w:ascii="Times New Roman" w:hAnsi="Times New Roman"/>
          <w:b/>
          <w:sz w:val="22"/>
          <w:lang w:val="en-US"/>
        </w:rPr>
        <w:t xml:space="preserve">Table </w:t>
      </w:r>
      <w:r w:rsidR="009220C4" w:rsidRPr="00781BD2">
        <w:rPr>
          <w:rFonts w:ascii="Times New Roman" w:hAnsi="Times New Roman"/>
          <w:b/>
          <w:sz w:val="22"/>
          <w:lang w:val="en-US"/>
        </w:rPr>
        <w:t>2</w:t>
      </w:r>
      <w:r w:rsidRPr="00781BD2">
        <w:rPr>
          <w:rFonts w:ascii="Times New Roman" w:hAnsi="Times New Roman"/>
          <w:sz w:val="22"/>
          <w:lang w:val="en-US"/>
        </w:rPr>
        <w:t xml:space="preserve">. The comparative antiviral activity of salt </w:t>
      </w:r>
      <w:r w:rsidRPr="00781BD2">
        <w:rPr>
          <w:rFonts w:ascii="Times New Roman" w:hAnsi="Times New Roman"/>
          <w:b/>
          <w:sz w:val="22"/>
          <w:lang w:val="en-US"/>
        </w:rPr>
        <w:t>8</w:t>
      </w:r>
      <w:r w:rsidRPr="00781BD2">
        <w:rPr>
          <w:rFonts w:ascii="Times New Roman" w:hAnsi="Times New Roman"/>
          <w:sz w:val="22"/>
          <w:lang w:val="en-US"/>
        </w:rPr>
        <w:t xml:space="preserve"> and parent </w:t>
      </w:r>
      <w:r w:rsidRPr="00781BD2">
        <w:rPr>
          <w:rFonts w:ascii="Times New Roman" w:hAnsi="Times New Roman"/>
          <w:b/>
          <w:sz w:val="22"/>
          <w:lang w:val="en-US"/>
        </w:rPr>
        <w:t>1b</w:t>
      </w:r>
      <w:r w:rsidRPr="00781BD2">
        <w:rPr>
          <w:rFonts w:ascii="Times New Roman" w:hAnsi="Times New Roman"/>
          <w:sz w:val="22"/>
          <w:lang w:val="en-US"/>
        </w:rPr>
        <w:t xml:space="preserve"> in models of influenza and parainfluenza virus infection </w:t>
      </w:r>
      <w:r w:rsidRPr="00781BD2">
        <w:rPr>
          <w:rFonts w:ascii="Times New Roman" w:hAnsi="Times New Roman"/>
          <w:i/>
          <w:sz w:val="22"/>
          <w:lang w:val="en-US"/>
        </w:rPr>
        <w:t>in vitro</w:t>
      </w:r>
      <w:r w:rsidR="00243B6A" w:rsidRPr="00781BD2">
        <w:rPr>
          <w:rFonts w:ascii="Times New Roman" w:hAnsi="Times New Roman"/>
          <w:sz w:val="22"/>
          <w:lang w:val="en-US"/>
        </w:rPr>
        <w:t>.</w:t>
      </w:r>
    </w:p>
    <w:p w:rsidR="006D4A17" w:rsidRPr="00781BD2" w:rsidRDefault="006D4A17" w:rsidP="006D4A17">
      <w:pPr>
        <w:spacing w:line="360" w:lineRule="auto"/>
        <w:rPr>
          <w:sz w:val="22"/>
          <w:szCs w:val="22"/>
        </w:rPr>
      </w:pPr>
    </w:p>
    <w:tbl>
      <w:tblPr>
        <w:tblW w:w="0" w:type="auto"/>
        <w:tblBorders>
          <w:top w:val="single" w:sz="12" w:space="0" w:color="008000"/>
          <w:left w:val="nil"/>
          <w:bottom w:val="single" w:sz="12" w:space="0" w:color="008000"/>
          <w:right w:val="nil"/>
          <w:insideH w:val="nil"/>
          <w:insideV w:val="nil"/>
        </w:tblBorders>
        <w:tblLook w:val="00A0"/>
      </w:tblPr>
      <w:tblGrid>
        <w:gridCol w:w="1319"/>
        <w:gridCol w:w="1908"/>
        <w:gridCol w:w="142"/>
        <w:gridCol w:w="588"/>
        <w:gridCol w:w="1319"/>
        <w:gridCol w:w="928"/>
        <w:gridCol w:w="141"/>
        <w:gridCol w:w="251"/>
        <w:gridCol w:w="175"/>
        <w:gridCol w:w="1145"/>
        <w:gridCol w:w="981"/>
        <w:gridCol w:w="103"/>
        <w:gridCol w:w="236"/>
      </w:tblGrid>
      <w:tr w:rsidR="006D4A17" w:rsidRPr="00781BD2">
        <w:trPr>
          <w:trHeight w:hRule="exact" w:val="680"/>
        </w:trPr>
        <w:tc>
          <w:tcPr>
            <w:tcW w:w="1319" w:type="dxa"/>
            <w:tcBorders>
              <w:bottom w:val="single" w:sz="6" w:space="0" w:color="008000"/>
            </w:tcBorders>
            <w:shd w:val="clear" w:color="auto" w:fill="auto"/>
          </w:tcPr>
          <w:p w:rsidR="006D4A17" w:rsidRPr="00781BD2" w:rsidRDefault="006D4A17" w:rsidP="00CF3A0F">
            <w:pPr>
              <w:rPr>
                <w:sz w:val="22"/>
                <w:szCs w:val="22"/>
              </w:rPr>
            </w:pPr>
          </w:p>
        </w:tc>
        <w:tc>
          <w:tcPr>
            <w:tcW w:w="2050" w:type="dxa"/>
            <w:gridSpan w:val="2"/>
            <w:tcBorders>
              <w:bottom w:val="single" w:sz="6" w:space="0" w:color="008000"/>
            </w:tcBorders>
            <w:shd w:val="clear" w:color="auto" w:fill="auto"/>
          </w:tcPr>
          <w:p w:rsidR="006D4A17" w:rsidRPr="00781BD2" w:rsidRDefault="006D4A17" w:rsidP="00CF3A0F">
            <w:pPr>
              <w:jc w:val="center"/>
              <w:rPr>
                <w:b/>
                <w:sz w:val="22"/>
                <w:szCs w:val="22"/>
                <w:lang w:val="it-IT"/>
              </w:rPr>
            </w:pPr>
            <w:r w:rsidRPr="00781BD2">
              <w:rPr>
                <w:b/>
                <w:sz w:val="22"/>
                <w:szCs w:val="22"/>
                <w:lang w:val="it-IT"/>
              </w:rPr>
              <w:t>Influenza A (PR8)</w:t>
            </w:r>
          </w:p>
          <w:p w:rsidR="006D4A17" w:rsidRPr="00781BD2" w:rsidRDefault="006D4A17" w:rsidP="00CF3A0F">
            <w:pPr>
              <w:jc w:val="center"/>
              <w:rPr>
                <w:b/>
                <w:sz w:val="22"/>
                <w:szCs w:val="22"/>
                <w:lang w:val="it-IT"/>
              </w:rPr>
            </w:pPr>
            <w:r w:rsidRPr="00781BD2">
              <w:rPr>
                <w:b/>
                <w:sz w:val="22"/>
                <w:szCs w:val="22"/>
                <w:lang w:val="it-IT"/>
              </w:rPr>
              <w:t>MDCK cells</w:t>
            </w:r>
          </w:p>
        </w:tc>
        <w:tc>
          <w:tcPr>
            <w:tcW w:w="588" w:type="dxa"/>
            <w:tcBorders>
              <w:bottom w:val="single" w:sz="6" w:space="0" w:color="008000"/>
            </w:tcBorders>
            <w:shd w:val="clear" w:color="auto" w:fill="auto"/>
          </w:tcPr>
          <w:p w:rsidR="006D4A17" w:rsidRPr="00781BD2" w:rsidRDefault="006D4A17" w:rsidP="00CF3A0F">
            <w:pPr>
              <w:rPr>
                <w:sz w:val="22"/>
                <w:szCs w:val="22"/>
                <w:lang w:val="it-IT"/>
              </w:rPr>
            </w:pPr>
          </w:p>
        </w:tc>
        <w:tc>
          <w:tcPr>
            <w:tcW w:w="2388" w:type="dxa"/>
            <w:gridSpan w:val="3"/>
            <w:tcBorders>
              <w:bottom w:val="single" w:sz="6" w:space="0" w:color="008000"/>
            </w:tcBorders>
            <w:shd w:val="clear" w:color="auto" w:fill="auto"/>
          </w:tcPr>
          <w:p w:rsidR="006D4A17" w:rsidRPr="00781BD2" w:rsidRDefault="006D4A17" w:rsidP="00CF3A0F">
            <w:pPr>
              <w:jc w:val="center"/>
              <w:rPr>
                <w:b/>
                <w:sz w:val="22"/>
                <w:szCs w:val="22"/>
              </w:rPr>
            </w:pPr>
            <w:r w:rsidRPr="00781BD2">
              <w:rPr>
                <w:b/>
                <w:sz w:val="22"/>
                <w:szCs w:val="22"/>
              </w:rPr>
              <w:t>Influenza A (WSN)</w:t>
            </w:r>
          </w:p>
          <w:p w:rsidR="006D4A17" w:rsidRPr="00781BD2" w:rsidRDefault="006D4A17" w:rsidP="00CF3A0F">
            <w:pPr>
              <w:rPr>
                <w:sz w:val="22"/>
                <w:szCs w:val="22"/>
              </w:rPr>
            </w:pPr>
            <w:r w:rsidRPr="00781BD2">
              <w:rPr>
                <w:b/>
                <w:sz w:val="22"/>
                <w:szCs w:val="22"/>
              </w:rPr>
              <w:t xml:space="preserve">          A549 cells</w:t>
            </w:r>
          </w:p>
        </w:tc>
        <w:tc>
          <w:tcPr>
            <w:tcW w:w="426" w:type="dxa"/>
            <w:gridSpan w:val="2"/>
            <w:tcBorders>
              <w:bottom w:val="single" w:sz="6" w:space="0" w:color="008000"/>
            </w:tcBorders>
            <w:shd w:val="clear" w:color="auto" w:fill="auto"/>
          </w:tcPr>
          <w:p w:rsidR="006D4A17" w:rsidRPr="00781BD2" w:rsidRDefault="006D4A17" w:rsidP="00CF3A0F">
            <w:pPr>
              <w:rPr>
                <w:sz w:val="22"/>
                <w:szCs w:val="22"/>
              </w:rPr>
            </w:pPr>
          </w:p>
        </w:tc>
        <w:tc>
          <w:tcPr>
            <w:tcW w:w="2126" w:type="dxa"/>
            <w:gridSpan w:val="2"/>
            <w:tcBorders>
              <w:bottom w:val="single" w:sz="6" w:space="0" w:color="008000"/>
            </w:tcBorders>
            <w:shd w:val="clear" w:color="auto" w:fill="auto"/>
          </w:tcPr>
          <w:p w:rsidR="006D4A17" w:rsidRPr="00781BD2" w:rsidRDefault="006D4A17" w:rsidP="00CF3A0F">
            <w:pPr>
              <w:jc w:val="center"/>
              <w:rPr>
                <w:b/>
                <w:sz w:val="22"/>
                <w:szCs w:val="22"/>
              </w:rPr>
            </w:pPr>
            <w:r w:rsidRPr="00781BD2">
              <w:rPr>
                <w:b/>
                <w:sz w:val="22"/>
                <w:szCs w:val="22"/>
              </w:rPr>
              <w:t>Sendai virus (SeV)</w:t>
            </w:r>
          </w:p>
          <w:p w:rsidR="006D4A17" w:rsidRPr="00781BD2" w:rsidRDefault="006D4A17" w:rsidP="00CF3A0F">
            <w:pPr>
              <w:rPr>
                <w:sz w:val="22"/>
                <w:szCs w:val="22"/>
              </w:rPr>
            </w:pPr>
            <w:r w:rsidRPr="00781BD2">
              <w:rPr>
                <w:b/>
                <w:sz w:val="22"/>
                <w:szCs w:val="22"/>
              </w:rPr>
              <w:t xml:space="preserve">        AGMK cells</w:t>
            </w:r>
          </w:p>
        </w:tc>
        <w:tc>
          <w:tcPr>
            <w:tcW w:w="339" w:type="dxa"/>
            <w:gridSpan w:val="2"/>
            <w:tcBorders>
              <w:bottom w:val="single" w:sz="6" w:space="0" w:color="008000"/>
            </w:tcBorders>
            <w:shd w:val="clear" w:color="auto" w:fill="auto"/>
          </w:tcPr>
          <w:p w:rsidR="006D4A17" w:rsidRPr="00781BD2" w:rsidRDefault="006D4A17" w:rsidP="00CF3A0F">
            <w:pPr>
              <w:rPr>
                <w:sz w:val="22"/>
                <w:szCs w:val="22"/>
              </w:rPr>
            </w:pPr>
          </w:p>
        </w:tc>
      </w:tr>
      <w:tr w:rsidR="006D4A17" w:rsidRPr="00781BD2">
        <w:tc>
          <w:tcPr>
            <w:tcW w:w="1319" w:type="dxa"/>
            <w:tcBorders>
              <w:top w:val="single" w:sz="6" w:space="0" w:color="008000"/>
            </w:tcBorders>
            <w:shd w:val="clear" w:color="auto" w:fill="auto"/>
          </w:tcPr>
          <w:p w:rsidR="006D4A17" w:rsidRPr="00781BD2" w:rsidRDefault="006D4A17" w:rsidP="00D41872">
            <w:pPr>
              <w:spacing w:line="360" w:lineRule="auto"/>
              <w:rPr>
                <w:b/>
                <w:sz w:val="22"/>
                <w:szCs w:val="22"/>
              </w:rPr>
            </w:pPr>
          </w:p>
        </w:tc>
        <w:tc>
          <w:tcPr>
            <w:tcW w:w="1908" w:type="dxa"/>
            <w:tcBorders>
              <w:top w:val="single" w:sz="6" w:space="0" w:color="008000"/>
            </w:tcBorders>
            <w:shd w:val="clear" w:color="auto" w:fill="auto"/>
          </w:tcPr>
          <w:p w:rsidR="006D4A17" w:rsidRPr="00781BD2" w:rsidRDefault="006D4A17" w:rsidP="00D41872">
            <w:pPr>
              <w:spacing w:line="360" w:lineRule="auto"/>
              <w:rPr>
                <w:b/>
                <w:sz w:val="22"/>
                <w:szCs w:val="22"/>
              </w:rPr>
            </w:pPr>
            <w:r w:rsidRPr="00781BD2">
              <w:rPr>
                <w:b/>
                <w:sz w:val="22"/>
                <w:szCs w:val="22"/>
              </w:rPr>
              <w:t xml:space="preserve">    TIZ     RM5071</w:t>
            </w:r>
          </w:p>
        </w:tc>
        <w:tc>
          <w:tcPr>
            <w:tcW w:w="730" w:type="dxa"/>
            <w:gridSpan w:val="2"/>
            <w:tcBorders>
              <w:top w:val="single" w:sz="6" w:space="0" w:color="008000"/>
            </w:tcBorders>
            <w:shd w:val="clear" w:color="auto" w:fill="auto"/>
          </w:tcPr>
          <w:p w:rsidR="006D4A17" w:rsidRPr="00781BD2" w:rsidRDefault="006D4A17" w:rsidP="00D41872">
            <w:pPr>
              <w:spacing w:line="360" w:lineRule="auto"/>
              <w:rPr>
                <w:b/>
                <w:sz w:val="22"/>
                <w:szCs w:val="22"/>
              </w:rPr>
            </w:pPr>
          </w:p>
        </w:tc>
        <w:tc>
          <w:tcPr>
            <w:tcW w:w="2247" w:type="dxa"/>
            <w:gridSpan w:val="2"/>
            <w:tcBorders>
              <w:top w:val="single" w:sz="6" w:space="0" w:color="008000"/>
            </w:tcBorders>
            <w:shd w:val="clear" w:color="auto" w:fill="auto"/>
          </w:tcPr>
          <w:p w:rsidR="006D4A17" w:rsidRPr="00781BD2" w:rsidRDefault="006D4A17" w:rsidP="00D41872">
            <w:pPr>
              <w:spacing w:line="360" w:lineRule="auto"/>
              <w:rPr>
                <w:b/>
                <w:sz w:val="22"/>
                <w:szCs w:val="22"/>
              </w:rPr>
            </w:pPr>
            <w:r w:rsidRPr="00781BD2">
              <w:rPr>
                <w:b/>
                <w:sz w:val="22"/>
                <w:szCs w:val="22"/>
              </w:rPr>
              <w:t xml:space="preserve">      TIZ         RM5071</w:t>
            </w:r>
          </w:p>
        </w:tc>
        <w:tc>
          <w:tcPr>
            <w:tcW w:w="392" w:type="dxa"/>
            <w:gridSpan w:val="2"/>
            <w:tcBorders>
              <w:top w:val="single" w:sz="6" w:space="0" w:color="008000"/>
            </w:tcBorders>
            <w:shd w:val="clear" w:color="auto" w:fill="auto"/>
          </w:tcPr>
          <w:p w:rsidR="006D4A17" w:rsidRPr="00781BD2" w:rsidRDefault="006D4A17" w:rsidP="00D41872">
            <w:pPr>
              <w:spacing w:line="360" w:lineRule="auto"/>
              <w:rPr>
                <w:b/>
                <w:sz w:val="22"/>
                <w:szCs w:val="22"/>
              </w:rPr>
            </w:pPr>
          </w:p>
        </w:tc>
        <w:tc>
          <w:tcPr>
            <w:tcW w:w="2404" w:type="dxa"/>
            <w:gridSpan w:val="4"/>
            <w:tcBorders>
              <w:top w:val="single" w:sz="6" w:space="0" w:color="008000"/>
            </w:tcBorders>
            <w:shd w:val="clear" w:color="auto" w:fill="auto"/>
          </w:tcPr>
          <w:p w:rsidR="006D4A17" w:rsidRPr="00781BD2" w:rsidRDefault="006D4A17" w:rsidP="00D41872">
            <w:pPr>
              <w:spacing w:line="360" w:lineRule="auto"/>
              <w:rPr>
                <w:b/>
                <w:sz w:val="22"/>
                <w:szCs w:val="22"/>
              </w:rPr>
            </w:pPr>
            <w:r w:rsidRPr="00781BD2">
              <w:rPr>
                <w:b/>
                <w:sz w:val="22"/>
                <w:szCs w:val="22"/>
              </w:rPr>
              <w:t xml:space="preserve">      TIZ            RM5071</w:t>
            </w:r>
          </w:p>
        </w:tc>
        <w:tc>
          <w:tcPr>
            <w:tcW w:w="236" w:type="dxa"/>
            <w:tcBorders>
              <w:top w:val="single" w:sz="6" w:space="0" w:color="008000"/>
            </w:tcBorders>
            <w:shd w:val="clear" w:color="auto" w:fill="auto"/>
          </w:tcPr>
          <w:p w:rsidR="006D4A17" w:rsidRPr="00781BD2" w:rsidRDefault="006D4A17" w:rsidP="00D41872">
            <w:pPr>
              <w:spacing w:line="360" w:lineRule="auto"/>
              <w:rPr>
                <w:b/>
                <w:sz w:val="22"/>
                <w:szCs w:val="22"/>
              </w:rPr>
            </w:pPr>
          </w:p>
        </w:tc>
      </w:tr>
      <w:tr w:rsidR="006D4A17" w:rsidRPr="00781BD2">
        <w:tc>
          <w:tcPr>
            <w:tcW w:w="1319" w:type="dxa"/>
            <w:tcBorders>
              <w:top w:val="single" w:sz="6" w:space="0" w:color="008000"/>
            </w:tcBorders>
            <w:shd w:val="clear" w:color="auto" w:fill="auto"/>
          </w:tcPr>
          <w:p w:rsidR="006D4A17" w:rsidRPr="00781BD2" w:rsidRDefault="006D4A17" w:rsidP="00D41872">
            <w:pPr>
              <w:spacing w:line="360" w:lineRule="auto"/>
              <w:rPr>
                <w:b/>
                <w:sz w:val="22"/>
                <w:szCs w:val="22"/>
              </w:rPr>
            </w:pPr>
            <w:r w:rsidRPr="00781BD2">
              <w:rPr>
                <w:b/>
                <w:sz w:val="22"/>
                <w:szCs w:val="22"/>
              </w:rPr>
              <w:t xml:space="preserve">       IC</w:t>
            </w:r>
            <w:r w:rsidRPr="00781BD2">
              <w:rPr>
                <w:b/>
                <w:sz w:val="22"/>
                <w:szCs w:val="22"/>
                <w:vertAlign w:val="subscript"/>
              </w:rPr>
              <w:t>50</w:t>
            </w:r>
          </w:p>
        </w:tc>
        <w:tc>
          <w:tcPr>
            <w:tcW w:w="1908" w:type="dxa"/>
            <w:tcBorders>
              <w:top w:val="single" w:sz="6" w:space="0" w:color="008000"/>
            </w:tcBorders>
            <w:shd w:val="clear" w:color="auto" w:fill="auto"/>
          </w:tcPr>
          <w:p w:rsidR="006D4A17" w:rsidRPr="00781BD2" w:rsidRDefault="006D4A17" w:rsidP="00D41872">
            <w:pPr>
              <w:spacing w:line="360" w:lineRule="auto"/>
              <w:rPr>
                <w:b/>
                <w:sz w:val="22"/>
                <w:szCs w:val="22"/>
              </w:rPr>
            </w:pPr>
            <w:r w:rsidRPr="00781BD2">
              <w:rPr>
                <w:b/>
                <w:sz w:val="22"/>
                <w:szCs w:val="22"/>
              </w:rPr>
              <w:t xml:space="preserve">     0.3             0.3</w:t>
            </w:r>
          </w:p>
        </w:tc>
        <w:tc>
          <w:tcPr>
            <w:tcW w:w="730" w:type="dxa"/>
            <w:gridSpan w:val="2"/>
            <w:tcBorders>
              <w:top w:val="single" w:sz="6" w:space="0" w:color="008000"/>
            </w:tcBorders>
            <w:shd w:val="clear" w:color="auto" w:fill="auto"/>
          </w:tcPr>
          <w:p w:rsidR="006D4A17" w:rsidRPr="00781BD2" w:rsidRDefault="006D4A17" w:rsidP="00D41872">
            <w:pPr>
              <w:spacing w:line="360" w:lineRule="auto"/>
              <w:rPr>
                <w:b/>
                <w:sz w:val="22"/>
                <w:szCs w:val="22"/>
              </w:rPr>
            </w:pPr>
          </w:p>
        </w:tc>
        <w:tc>
          <w:tcPr>
            <w:tcW w:w="1319" w:type="dxa"/>
            <w:tcBorders>
              <w:top w:val="single" w:sz="6" w:space="0" w:color="008000"/>
            </w:tcBorders>
            <w:shd w:val="clear" w:color="auto" w:fill="auto"/>
          </w:tcPr>
          <w:p w:rsidR="006D4A17" w:rsidRPr="00781BD2" w:rsidRDefault="006D4A17" w:rsidP="008D311E">
            <w:pPr>
              <w:spacing w:line="360" w:lineRule="auto"/>
              <w:rPr>
                <w:b/>
                <w:sz w:val="22"/>
                <w:szCs w:val="22"/>
              </w:rPr>
            </w:pPr>
            <w:r w:rsidRPr="00781BD2">
              <w:rPr>
                <w:b/>
                <w:sz w:val="22"/>
                <w:szCs w:val="22"/>
              </w:rPr>
              <w:t xml:space="preserve">         0.9   </w:t>
            </w:r>
          </w:p>
        </w:tc>
        <w:tc>
          <w:tcPr>
            <w:tcW w:w="1320" w:type="dxa"/>
            <w:gridSpan w:val="3"/>
            <w:tcBorders>
              <w:top w:val="single" w:sz="6" w:space="0" w:color="008000"/>
            </w:tcBorders>
            <w:shd w:val="clear" w:color="auto" w:fill="auto"/>
          </w:tcPr>
          <w:p w:rsidR="006D4A17" w:rsidRPr="00781BD2" w:rsidRDefault="006D4A17" w:rsidP="00D41872">
            <w:pPr>
              <w:spacing w:line="360" w:lineRule="auto"/>
              <w:rPr>
                <w:b/>
                <w:sz w:val="22"/>
                <w:szCs w:val="22"/>
              </w:rPr>
            </w:pPr>
            <w:r w:rsidRPr="00781BD2">
              <w:rPr>
                <w:b/>
                <w:sz w:val="22"/>
                <w:szCs w:val="22"/>
              </w:rPr>
              <w:t>1.0</w:t>
            </w:r>
          </w:p>
        </w:tc>
        <w:tc>
          <w:tcPr>
            <w:tcW w:w="1320" w:type="dxa"/>
            <w:gridSpan w:val="2"/>
            <w:tcBorders>
              <w:top w:val="single" w:sz="6" w:space="0" w:color="008000"/>
            </w:tcBorders>
            <w:shd w:val="clear" w:color="auto" w:fill="auto"/>
          </w:tcPr>
          <w:p w:rsidR="006D4A17" w:rsidRPr="00781BD2" w:rsidRDefault="006D4A17" w:rsidP="00D41872">
            <w:pPr>
              <w:spacing w:line="360" w:lineRule="auto"/>
              <w:rPr>
                <w:b/>
                <w:sz w:val="22"/>
                <w:szCs w:val="22"/>
              </w:rPr>
            </w:pPr>
            <w:r w:rsidRPr="00781BD2">
              <w:rPr>
                <w:b/>
                <w:sz w:val="22"/>
                <w:szCs w:val="22"/>
              </w:rPr>
              <w:t xml:space="preserve">        0.4              </w:t>
            </w:r>
          </w:p>
        </w:tc>
        <w:tc>
          <w:tcPr>
            <w:tcW w:w="1320" w:type="dxa"/>
            <w:gridSpan w:val="3"/>
            <w:tcBorders>
              <w:top w:val="single" w:sz="6" w:space="0" w:color="008000"/>
            </w:tcBorders>
            <w:shd w:val="clear" w:color="auto" w:fill="auto"/>
          </w:tcPr>
          <w:p w:rsidR="006D4A17" w:rsidRPr="00781BD2" w:rsidRDefault="006D4A17" w:rsidP="00D41872">
            <w:pPr>
              <w:spacing w:line="360" w:lineRule="auto"/>
              <w:rPr>
                <w:b/>
                <w:sz w:val="22"/>
                <w:szCs w:val="22"/>
              </w:rPr>
            </w:pPr>
            <w:r w:rsidRPr="00781BD2">
              <w:rPr>
                <w:b/>
                <w:sz w:val="22"/>
                <w:szCs w:val="22"/>
              </w:rPr>
              <w:t xml:space="preserve">      0.4</w:t>
            </w:r>
          </w:p>
        </w:tc>
      </w:tr>
      <w:tr w:rsidR="006D4A17" w:rsidRPr="00781BD2">
        <w:tc>
          <w:tcPr>
            <w:tcW w:w="1319" w:type="dxa"/>
            <w:shd w:val="clear" w:color="auto" w:fill="auto"/>
          </w:tcPr>
          <w:p w:rsidR="006D4A17" w:rsidRPr="00781BD2" w:rsidRDefault="006D4A17" w:rsidP="00D41872">
            <w:pPr>
              <w:spacing w:line="360" w:lineRule="auto"/>
              <w:rPr>
                <w:sz w:val="22"/>
                <w:szCs w:val="22"/>
              </w:rPr>
            </w:pPr>
            <w:r w:rsidRPr="00781BD2">
              <w:rPr>
                <w:b/>
                <w:sz w:val="22"/>
                <w:szCs w:val="22"/>
              </w:rPr>
              <w:t xml:space="preserve">       IC</w:t>
            </w:r>
            <w:r w:rsidRPr="00781BD2">
              <w:rPr>
                <w:b/>
                <w:sz w:val="22"/>
                <w:szCs w:val="22"/>
                <w:vertAlign w:val="subscript"/>
              </w:rPr>
              <w:t>90</w:t>
            </w:r>
          </w:p>
        </w:tc>
        <w:tc>
          <w:tcPr>
            <w:tcW w:w="1908" w:type="dxa"/>
            <w:shd w:val="clear" w:color="auto" w:fill="auto"/>
          </w:tcPr>
          <w:p w:rsidR="006D4A17" w:rsidRPr="00781BD2" w:rsidRDefault="006D4A17" w:rsidP="00D41872">
            <w:pPr>
              <w:spacing w:line="360" w:lineRule="auto"/>
              <w:rPr>
                <w:b/>
                <w:sz w:val="22"/>
                <w:szCs w:val="22"/>
              </w:rPr>
            </w:pPr>
            <w:r w:rsidRPr="00781BD2">
              <w:rPr>
                <w:b/>
                <w:sz w:val="22"/>
                <w:szCs w:val="22"/>
              </w:rPr>
              <w:t xml:space="preserve">     9.0             8.0</w:t>
            </w:r>
          </w:p>
        </w:tc>
        <w:tc>
          <w:tcPr>
            <w:tcW w:w="730" w:type="dxa"/>
            <w:gridSpan w:val="2"/>
            <w:shd w:val="clear" w:color="auto" w:fill="auto"/>
          </w:tcPr>
          <w:p w:rsidR="006D4A17" w:rsidRPr="00781BD2" w:rsidRDefault="006D4A17" w:rsidP="00D41872">
            <w:pPr>
              <w:spacing w:line="360" w:lineRule="auto"/>
              <w:rPr>
                <w:b/>
                <w:sz w:val="22"/>
                <w:szCs w:val="22"/>
              </w:rPr>
            </w:pPr>
          </w:p>
        </w:tc>
        <w:tc>
          <w:tcPr>
            <w:tcW w:w="1319" w:type="dxa"/>
            <w:shd w:val="clear" w:color="auto" w:fill="auto"/>
          </w:tcPr>
          <w:p w:rsidR="006D4A17" w:rsidRPr="00781BD2" w:rsidRDefault="006D4A17" w:rsidP="00D41872">
            <w:pPr>
              <w:spacing w:line="360" w:lineRule="auto"/>
              <w:rPr>
                <w:b/>
                <w:sz w:val="22"/>
                <w:szCs w:val="22"/>
              </w:rPr>
            </w:pPr>
            <w:r w:rsidRPr="00781BD2">
              <w:rPr>
                <w:b/>
                <w:sz w:val="22"/>
                <w:szCs w:val="22"/>
              </w:rPr>
              <w:t xml:space="preserve">         7.9            </w:t>
            </w:r>
          </w:p>
        </w:tc>
        <w:tc>
          <w:tcPr>
            <w:tcW w:w="1320" w:type="dxa"/>
            <w:gridSpan w:val="3"/>
            <w:shd w:val="clear" w:color="auto" w:fill="auto"/>
          </w:tcPr>
          <w:p w:rsidR="006D4A17" w:rsidRPr="00781BD2" w:rsidRDefault="006D4A17" w:rsidP="00D41872">
            <w:pPr>
              <w:spacing w:line="360" w:lineRule="auto"/>
              <w:rPr>
                <w:b/>
                <w:sz w:val="22"/>
                <w:szCs w:val="22"/>
              </w:rPr>
            </w:pPr>
            <w:r w:rsidRPr="00781BD2">
              <w:rPr>
                <w:b/>
                <w:sz w:val="22"/>
                <w:szCs w:val="22"/>
              </w:rPr>
              <w:t>8.6</w:t>
            </w:r>
          </w:p>
        </w:tc>
        <w:tc>
          <w:tcPr>
            <w:tcW w:w="1320" w:type="dxa"/>
            <w:gridSpan w:val="2"/>
            <w:shd w:val="clear" w:color="auto" w:fill="auto"/>
          </w:tcPr>
          <w:p w:rsidR="006D4A17" w:rsidRPr="00781BD2" w:rsidRDefault="006D4A17" w:rsidP="00D41872">
            <w:pPr>
              <w:spacing w:line="360" w:lineRule="auto"/>
              <w:rPr>
                <w:b/>
                <w:sz w:val="22"/>
                <w:szCs w:val="22"/>
              </w:rPr>
            </w:pPr>
            <w:r w:rsidRPr="00781BD2">
              <w:rPr>
                <w:b/>
                <w:sz w:val="22"/>
                <w:szCs w:val="22"/>
              </w:rPr>
              <w:t xml:space="preserve">        2.0</w:t>
            </w:r>
          </w:p>
        </w:tc>
        <w:tc>
          <w:tcPr>
            <w:tcW w:w="1320" w:type="dxa"/>
            <w:gridSpan w:val="3"/>
            <w:shd w:val="clear" w:color="auto" w:fill="auto"/>
          </w:tcPr>
          <w:p w:rsidR="006D4A17" w:rsidRPr="00781BD2" w:rsidRDefault="006D4A17" w:rsidP="00D41872">
            <w:pPr>
              <w:spacing w:line="360" w:lineRule="auto"/>
              <w:rPr>
                <w:b/>
                <w:sz w:val="22"/>
                <w:szCs w:val="22"/>
              </w:rPr>
            </w:pPr>
            <w:r w:rsidRPr="00781BD2">
              <w:rPr>
                <w:b/>
                <w:sz w:val="22"/>
                <w:szCs w:val="22"/>
              </w:rPr>
              <w:t xml:space="preserve">      4.0</w:t>
            </w:r>
          </w:p>
        </w:tc>
      </w:tr>
      <w:tr w:rsidR="006D4A17" w:rsidRPr="00781BD2">
        <w:tc>
          <w:tcPr>
            <w:tcW w:w="1319" w:type="dxa"/>
            <w:shd w:val="clear" w:color="auto" w:fill="auto"/>
          </w:tcPr>
          <w:p w:rsidR="006D4A17" w:rsidRPr="00781BD2" w:rsidRDefault="006D4A17" w:rsidP="00D41872">
            <w:pPr>
              <w:spacing w:line="360" w:lineRule="auto"/>
              <w:rPr>
                <w:sz w:val="22"/>
                <w:szCs w:val="22"/>
              </w:rPr>
            </w:pPr>
            <w:r w:rsidRPr="00781BD2">
              <w:rPr>
                <w:b/>
                <w:sz w:val="22"/>
                <w:szCs w:val="22"/>
              </w:rPr>
              <w:t xml:space="preserve">      CC</w:t>
            </w:r>
            <w:r w:rsidRPr="00781BD2">
              <w:rPr>
                <w:b/>
                <w:sz w:val="22"/>
                <w:szCs w:val="22"/>
                <w:vertAlign w:val="subscript"/>
              </w:rPr>
              <w:t>50</w:t>
            </w:r>
          </w:p>
        </w:tc>
        <w:tc>
          <w:tcPr>
            <w:tcW w:w="1908" w:type="dxa"/>
            <w:shd w:val="clear" w:color="auto" w:fill="auto"/>
          </w:tcPr>
          <w:p w:rsidR="006D4A17" w:rsidRPr="00781BD2" w:rsidRDefault="006D4A17" w:rsidP="005622D2">
            <w:pPr>
              <w:spacing w:line="360" w:lineRule="auto"/>
              <w:rPr>
                <w:b/>
                <w:sz w:val="22"/>
                <w:szCs w:val="22"/>
              </w:rPr>
            </w:pPr>
            <w:r w:rsidRPr="00781BD2">
              <w:rPr>
                <w:b/>
                <w:sz w:val="22"/>
                <w:szCs w:val="22"/>
              </w:rPr>
              <w:t xml:space="preserve">  &gt;50             &gt;100   </w:t>
            </w:r>
          </w:p>
        </w:tc>
        <w:tc>
          <w:tcPr>
            <w:tcW w:w="730" w:type="dxa"/>
            <w:gridSpan w:val="2"/>
            <w:shd w:val="clear" w:color="auto" w:fill="auto"/>
          </w:tcPr>
          <w:p w:rsidR="006D4A17" w:rsidRPr="00781BD2" w:rsidRDefault="006D4A17" w:rsidP="00D41872">
            <w:pPr>
              <w:spacing w:line="360" w:lineRule="auto"/>
              <w:rPr>
                <w:b/>
                <w:sz w:val="22"/>
                <w:szCs w:val="22"/>
              </w:rPr>
            </w:pPr>
          </w:p>
        </w:tc>
        <w:tc>
          <w:tcPr>
            <w:tcW w:w="1319" w:type="dxa"/>
            <w:shd w:val="clear" w:color="auto" w:fill="auto"/>
          </w:tcPr>
          <w:p w:rsidR="006D4A17" w:rsidRPr="00781BD2" w:rsidRDefault="006D4A17" w:rsidP="00D41872">
            <w:pPr>
              <w:spacing w:line="360" w:lineRule="auto"/>
              <w:rPr>
                <w:b/>
                <w:sz w:val="22"/>
                <w:szCs w:val="22"/>
              </w:rPr>
            </w:pPr>
            <w:r w:rsidRPr="00781BD2">
              <w:rPr>
                <w:b/>
                <w:sz w:val="22"/>
                <w:szCs w:val="22"/>
              </w:rPr>
              <w:t xml:space="preserve">        &gt;50</w:t>
            </w:r>
          </w:p>
        </w:tc>
        <w:tc>
          <w:tcPr>
            <w:tcW w:w="1320" w:type="dxa"/>
            <w:gridSpan w:val="3"/>
            <w:shd w:val="clear" w:color="auto" w:fill="auto"/>
          </w:tcPr>
          <w:p w:rsidR="006D4A17" w:rsidRPr="00781BD2" w:rsidRDefault="006D4A17" w:rsidP="00D41872">
            <w:pPr>
              <w:spacing w:line="360" w:lineRule="auto"/>
              <w:rPr>
                <w:b/>
                <w:sz w:val="22"/>
                <w:szCs w:val="22"/>
              </w:rPr>
            </w:pPr>
            <w:r w:rsidRPr="00781BD2">
              <w:rPr>
                <w:b/>
                <w:sz w:val="22"/>
                <w:szCs w:val="22"/>
              </w:rPr>
              <w:t>&gt;100</w:t>
            </w:r>
          </w:p>
        </w:tc>
        <w:tc>
          <w:tcPr>
            <w:tcW w:w="1320" w:type="dxa"/>
            <w:gridSpan w:val="2"/>
            <w:shd w:val="clear" w:color="auto" w:fill="auto"/>
          </w:tcPr>
          <w:p w:rsidR="006D4A17" w:rsidRPr="00781BD2" w:rsidRDefault="006D4A17" w:rsidP="00D41872">
            <w:pPr>
              <w:spacing w:line="360" w:lineRule="auto"/>
              <w:rPr>
                <w:b/>
                <w:sz w:val="22"/>
                <w:szCs w:val="22"/>
              </w:rPr>
            </w:pPr>
            <w:r w:rsidRPr="00781BD2">
              <w:rPr>
                <w:b/>
                <w:sz w:val="22"/>
                <w:szCs w:val="22"/>
              </w:rPr>
              <w:t xml:space="preserve">        &gt;50</w:t>
            </w:r>
          </w:p>
        </w:tc>
        <w:tc>
          <w:tcPr>
            <w:tcW w:w="1320" w:type="dxa"/>
            <w:gridSpan w:val="3"/>
            <w:shd w:val="clear" w:color="auto" w:fill="auto"/>
          </w:tcPr>
          <w:p w:rsidR="006D4A17" w:rsidRPr="00781BD2" w:rsidRDefault="006D4A17" w:rsidP="00D41872">
            <w:pPr>
              <w:spacing w:line="360" w:lineRule="auto"/>
              <w:rPr>
                <w:b/>
                <w:sz w:val="22"/>
                <w:szCs w:val="22"/>
              </w:rPr>
            </w:pPr>
            <w:r w:rsidRPr="00781BD2">
              <w:rPr>
                <w:b/>
                <w:sz w:val="22"/>
                <w:szCs w:val="22"/>
              </w:rPr>
              <w:t xml:space="preserve">    &gt;100</w:t>
            </w:r>
          </w:p>
        </w:tc>
      </w:tr>
      <w:tr w:rsidR="006D4A17" w:rsidRPr="00781BD2">
        <w:tc>
          <w:tcPr>
            <w:tcW w:w="1319" w:type="dxa"/>
            <w:shd w:val="clear" w:color="auto" w:fill="auto"/>
          </w:tcPr>
          <w:p w:rsidR="006D4A17" w:rsidRPr="00781BD2" w:rsidRDefault="006D4A17" w:rsidP="00D41872">
            <w:pPr>
              <w:spacing w:line="360" w:lineRule="auto"/>
              <w:rPr>
                <w:sz w:val="22"/>
                <w:szCs w:val="22"/>
              </w:rPr>
            </w:pPr>
            <w:r w:rsidRPr="00781BD2">
              <w:rPr>
                <w:b/>
                <w:sz w:val="22"/>
                <w:szCs w:val="22"/>
              </w:rPr>
              <w:t xml:space="preserve">       SI</w:t>
            </w:r>
          </w:p>
        </w:tc>
        <w:tc>
          <w:tcPr>
            <w:tcW w:w="2050" w:type="dxa"/>
            <w:gridSpan w:val="2"/>
            <w:shd w:val="clear" w:color="auto" w:fill="auto"/>
          </w:tcPr>
          <w:p w:rsidR="006D4A17" w:rsidRPr="00781BD2" w:rsidRDefault="006D4A17" w:rsidP="005622D2">
            <w:pPr>
              <w:spacing w:line="360" w:lineRule="auto"/>
              <w:rPr>
                <w:b/>
                <w:sz w:val="22"/>
                <w:szCs w:val="22"/>
              </w:rPr>
            </w:pPr>
            <w:r w:rsidRPr="00781BD2">
              <w:rPr>
                <w:b/>
                <w:sz w:val="22"/>
                <w:szCs w:val="22"/>
              </w:rPr>
              <w:t>&gt;166.6          &gt;333.3</w:t>
            </w:r>
          </w:p>
        </w:tc>
        <w:tc>
          <w:tcPr>
            <w:tcW w:w="588" w:type="dxa"/>
            <w:shd w:val="clear" w:color="auto" w:fill="auto"/>
          </w:tcPr>
          <w:p w:rsidR="006D4A17" w:rsidRPr="00781BD2" w:rsidRDefault="006D4A17" w:rsidP="00D41872">
            <w:pPr>
              <w:spacing w:line="360" w:lineRule="auto"/>
              <w:rPr>
                <w:sz w:val="22"/>
                <w:szCs w:val="22"/>
              </w:rPr>
            </w:pPr>
          </w:p>
        </w:tc>
        <w:tc>
          <w:tcPr>
            <w:tcW w:w="1319" w:type="dxa"/>
            <w:shd w:val="clear" w:color="auto" w:fill="auto"/>
          </w:tcPr>
          <w:p w:rsidR="006D4A17" w:rsidRPr="00781BD2" w:rsidRDefault="006D4A17" w:rsidP="00D41872">
            <w:pPr>
              <w:spacing w:line="360" w:lineRule="auto"/>
              <w:rPr>
                <w:b/>
                <w:sz w:val="22"/>
                <w:szCs w:val="22"/>
              </w:rPr>
            </w:pPr>
            <w:r w:rsidRPr="00781BD2">
              <w:rPr>
                <w:b/>
                <w:sz w:val="22"/>
                <w:szCs w:val="22"/>
              </w:rPr>
              <w:t xml:space="preserve">        &gt;55.5</w:t>
            </w:r>
          </w:p>
        </w:tc>
        <w:tc>
          <w:tcPr>
            <w:tcW w:w="1320" w:type="dxa"/>
            <w:gridSpan w:val="3"/>
            <w:shd w:val="clear" w:color="auto" w:fill="auto"/>
          </w:tcPr>
          <w:p w:rsidR="006D4A17" w:rsidRPr="00781BD2" w:rsidRDefault="006D4A17" w:rsidP="00D41872">
            <w:pPr>
              <w:spacing w:line="360" w:lineRule="auto"/>
              <w:rPr>
                <w:b/>
                <w:sz w:val="22"/>
                <w:szCs w:val="22"/>
              </w:rPr>
            </w:pPr>
            <w:r w:rsidRPr="00781BD2">
              <w:rPr>
                <w:b/>
                <w:sz w:val="22"/>
                <w:szCs w:val="22"/>
              </w:rPr>
              <w:t>&gt;100</w:t>
            </w:r>
          </w:p>
        </w:tc>
        <w:tc>
          <w:tcPr>
            <w:tcW w:w="1320" w:type="dxa"/>
            <w:gridSpan w:val="2"/>
            <w:shd w:val="clear" w:color="auto" w:fill="auto"/>
          </w:tcPr>
          <w:p w:rsidR="006D4A17" w:rsidRPr="00781BD2" w:rsidRDefault="006D4A17" w:rsidP="00D41872">
            <w:pPr>
              <w:spacing w:line="360" w:lineRule="auto"/>
              <w:rPr>
                <w:b/>
                <w:sz w:val="22"/>
                <w:szCs w:val="22"/>
              </w:rPr>
            </w:pPr>
            <w:r w:rsidRPr="00781BD2">
              <w:rPr>
                <w:b/>
                <w:sz w:val="22"/>
                <w:szCs w:val="22"/>
              </w:rPr>
              <w:t xml:space="preserve">       &gt;125</w:t>
            </w:r>
          </w:p>
        </w:tc>
        <w:tc>
          <w:tcPr>
            <w:tcW w:w="1320" w:type="dxa"/>
            <w:gridSpan w:val="3"/>
            <w:shd w:val="clear" w:color="auto" w:fill="auto"/>
          </w:tcPr>
          <w:p w:rsidR="006D4A17" w:rsidRPr="00781BD2" w:rsidRDefault="006D4A17" w:rsidP="00D41872">
            <w:pPr>
              <w:spacing w:line="360" w:lineRule="auto"/>
              <w:rPr>
                <w:b/>
                <w:sz w:val="22"/>
                <w:szCs w:val="22"/>
              </w:rPr>
            </w:pPr>
            <w:r w:rsidRPr="00781BD2">
              <w:rPr>
                <w:b/>
                <w:sz w:val="22"/>
                <w:szCs w:val="22"/>
              </w:rPr>
              <w:t xml:space="preserve">    &gt;250</w:t>
            </w:r>
          </w:p>
        </w:tc>
      </w:tr>
    </w:tbl>
    <w:p w:rsidR="00910FD4" w:rsidRPr="00781BD2" w:rsidRDefault="00910FD4" w:rsidP="00910FD4">
      <w:pPr>
        <w:rPr>
          <w:lang w:val="en-US"/>
        </w:rPr>
      </w:pPr>
    </w:p>
    <w:p w:rsidR="00910FD4" w:rsidRPr="00781BD2" w:rsidRDefault="00910FD4" w:rsidP="00910FD4">
      <w:pPr>
        <w:jc w:val="both"/>
        <w:rPr>
          <w:rFonts w:ascii="Times New Roman" w:hAnsi="Times New Roman"/>
          <w:lang w:val="en-US"/>
        </w:rPr>
      </w:pPr>
    </w:p>
    <w:p w:rsidR="00910FD4" w:rsidRPr="00781BD2" w:rsidRDefault="00910FD4" w:rsidP="00910FD4">
      <w:pPr>
        <w:jc w:val="both"/>
        <w:rPr>
          <w:rFonts w:ascii="Times New Roman" w:hAnsi="Times New Roman"/>
          <w:sz w:val="22"/>
          <w:lang w:val="en-US"/>
        </w:rPr>
      </w:pPr>
      <w:r w:rsidRPr="00781BD2">
        <w:rPr>
          <w:rFonts w:ascii="Times New Roman" w:hAnsi="Times New Roman"/>
          <w:sz w:val="22"/>
          <w:lang w:val="en-US"/>
        </w:rPr>
        <w:t>IC</w:t>
      </w:r>
      <w:r w:rsidRPr="00781BD2">
        <w:rPr>
          <w:rFonts w:ascii="Times New Roman" w:hAnsi="Times New Roman"/>
          <w:sz w:val="22"/>
          <w:vertAlign w:val="subscript"/>
          <w:lang w:val="en-US"/>
        </w:rPr>
        <w:t>50</w:t>
      </w:r>
      <w:r w:rsidRPr="00781BD2">
        <w:rPr>
          <w:rFonts w:ascii="Times New Roman" w:hAnsi="Times New Roman"/>
          <w:sz w:val="22"/>
          <w:lang w:val="en-US"/>
        </w:rPr>
        <w:t xml:space="preserve"> and IC</w:t>
      </w:r>
      <w:r w:rsidRPr="00781BD2">
        <w:rPr>
          <w:rFonts w:ascii="Times New Roman" w:hAnsi="Times New Roman"/>
          <w:sz w:val="22"/>
          <w:vertAlign w:val="subscript"/>
          <w:lang w:val="en-US"/>
        </w:rPr>
        <w:t>90</w:t>
      </w:r>
      <w:r w:rsidRPr="00781BD2">
        <w:rPr>
          <w:rFonts w:ascii="Times New Roman" w:hAnsi="Times New Roman"/>
          <w:sz w:val="22"/>
          <w:lang w:val="en-US"/>
        </w:rPr>
        <w:t xml:space="preserve"> values, in μg/ml, were determined in MDCK, A549 and AGMK cells following infection with H1N1 A/PR/8/34 (PR8) and A/WSN/33 (WSN) influenza A viruses, and Sendai (SeV) paramyxovirus</w:t>
      </w:r>
      <w:r w:rsidR="009220C4" w:rsidRPr="00781BD2">
        <w:rPr>
          <w:rFonts w:ascii="Times New Roman" w:hAnsi="Times New Roman"/>
          <w:sz w:val="22"/>
          <w:lang w:val="en-US"/>
        </w:rPr>
        <w:t xml:space="preserve"> respectively, as described in </w:t>
      </w:r>
      <w:r w:rsidR="009220C4" w:rsidRPr="00781BD2">
        <w:rPr>
          <w:rFonts w:ascii="Times New Roman" w:hAnsi="Times New Roman"/>
          <w:bCs/>
          <w:i/>
          <w:sz w:val="22"/>
          <w:lang w:val="en-US"/>
        </w:rPr>
        <w:t>Experimental</w:t>
      </w:r>
      <w:r w:rsidRPr="00781BD2">
        <w:rPr>
          <w:rFonts w:ascii="Times New Roman" w:hAnsi="Times New Roman"/>
          <w:sz w:val="22"/>
          <w:lang w:val="en-US"/>
        </w:rPr>
        <w:t>. All antiviral assays were determined at least in duplicate and a standard deviation of ±20% applies. Cell viability was deter</w:t>
      </w:r>
      <w:r w:rsidR="009220C4" w:rsidRPr="00781BD2">
        <w:rPr>
          <w:rFonts w:ascii="Times New Roman" w:hAnsi="Times New Roman"/>
          <w:sz w:val="22"/>
          <w:lang w:val="en-US"/>
        </w:rPr>
        <w:t xml:space="preserve">mined using the MTT assay (see </w:t>
      </w:r>
      <w:r w:rsidR="009220C4" w:rsidRPr="00781BD2">
        <w:rPr>
          <w:rFonts w:ascii="Times New Roman" w:hAnsi="Times New Roman"/>
          <w:i/>
          <w:sz w:val="22"/>
          <w:lang w:val="en-US"/>
        </w:rPr>
        <w:t>Experimental</w:t>
      </w:r>
      <w:r w:rsidRPr="00781BD2">
        <w:rPr>
          <w:rFonts w:ascii="Times New Roman" w:hAnsi="Times New Roman"/>
          <w:sz w:val="22"/>
          <w:lang w:val="en-US"/>
        </w:rPr>
        <w:t>) and used to calculate the CC</w:t>
      </w:r>
      <w:r w:rsidRPr="00781BD2">
        <w:rPr>
          <w:rFonts w:ascii="Times New Roman" w:hAnsi="Times New Roman"/>
          <w:sz w:val="22"/>
          <w:vertAlign w:val="subscript"/>
          <w:lang w:val="en-US"/>
        </w:rPr>
        <w:t>50</w:t>
      </w:r>
      <w:r w:rsidRPr="00781BD2">
        <w:rPr>
          <w:rFonts w:ascii="Times New Roman" w:hAnsi="Times New Roman"/>
          <w:sz w:val="22"/>
          <w:lang w:val="en-US"/>
        </w:rPr>
        <w:t xml:space="preserve"> values, which are also given in μg/ml.</w:t>
      </w:r>
    </w:p>
    <w:p w:rsidR="00931630" w:rsidRPr="00781BD2" w:rsidRDefault="00910FD4" w:rsidP="00910FD4">
      <w:pPr>
        <w:jc w:val="both"/>
        <w:rPr>
          <w:rFonts w:ascii="Times New Roman" w:hAnsi="Times New Roman"/>
          <w:sz w:val="22"/>
          <w:lang w:val="en-US"/>
        </w:rPr>
      </w:pPr>
      <w:r w:rsidRPr="00781BD2">
        <w:rPr>
          <w:rFonts w:ascii="Times New Roman" w:hAnsi="Times New Roman"/>
          <w:sz w:val="22"/>
          <w:lang w:val="en-US"/>
        </w:rPr>
        <w:t>AGMK: African green monkey kidney; CC</w:t>
      </w:r>
      <w:r w:rsidRPr="00781BD2">
        <w:rPr>
          <w:rFonts w:ascii="Times New Roman" w:hAnsi="Times New Roman"/>
          <w:sz w:val="22"/>
          <w:vertAlign w:val="subscript"/>
          <w:lang w:val="en-US"/>
        </w:rPr>
        <w:t>50</w:t>
      </w:r>
      <w:r w:rsidRPr="00781BD2">
        <w:rPr>
          <w:rFonts w:ascii="Times New Roman" w:hAnsi="Times New Roman"/>
          <w:sz w:val="22"/>
          <w:lang w:val="en-US"/>
        </w:rPr>
        <w:t>: 50% cytotoxic concentration; IC</w:t>
      </w:r>
      <w:r w:rsidRPr="00781BD2">
        <w:rPr>
          <w:rFonts w:ascii="Times New Roman" w:hAnsi="Times New Roman"/>
          <w:sz w:val="22"/>
          <w:vertAlign w:val="subscript"/>
          <w:lang w:val="en-US"/>
        </w:rPr>
        <w:t>50</w:t>
      </w:r>
      <w:r w:rsidRPr="00781BD2">
        <w:rPr>
          <w:rFonts w:ascii="Times New Roman" w:hAnsi="Times New Roman"/>
          <w:sz w:val="22"/>
          <w:lang w:val="en-US"/>
        </w:rPr>
        <w:t>: 50% inhibitory concentration; IC</w:t>
      </w:r>
      <w:r w:rsidRPr="00781BD2">
        <w:rPr>
          <w:rFonts w:ascii="Times New Roman" w:hAnsi="Times New Roman"/>
          <w:sz w:val="22"/>
          <w:vertAlign w:val="subscript"/>
          <w:lang w:val="en-US"/>
        </w:rPr>
        <w:t>90</w:t>
      </w:r>
      <w:r w:rsidRPr="00781BD2">
        <w:rPr>
          <w:rFonts w:ascii="Times New Roman" w:hAnsi="Times New Roman"/>
          <w:sz w:val="22"/>
          <w:lang w:val="en-US"/>
        </w:rPr>
        <w:t>: 90% inhibi</w:t>
      </w:r>
      <w:r w:rsidR="00137991" w:rsidRPr="00781BD2">
        <w:rPr>
          <w:rFonts w:ascii="Times New Roman" w:hAnsi="Times New Roman"/>
          <w:sz w:val="22"/>
          <w:lang w:val="en-US"/>
        </w:rPr>
        <w:t>tory concentration; MDCK: Madin-</w:t>
      </w:r>
      <w:r w:rsidRPr="00781BD2">
        <w:rPr>
          <w:rFonts w:ascii="Times New Roman" w:hAnsi="Times New Roman"/>
          <w:sz w:val="22"/>
          <w:lang w:val="en-US"/>
        </w:rPr>
        <w:t>Darby c</w:t>
      </w:r>
      <w:r w:rsidR="00137991" w:rsidRPr="00781BD2">
        <w:rPr>
          <w:rFonts w:ascii="Times New Roman" w:hAnsi="Times New Roman"/>
          <w:sz w:val="22"/>
          <w:lang w:val="en-US"/>
        </w:rPr>
        <w:t>anine kidney; SeV: Sendai virus;</w:t>
      </w:r>
      <w:r w:rsidRPr="00781BD2">
        <w:rPr>
          <w:rFonts w:ascii="Times New Roman" w:hAnsi="Times New Roman"/>
          <w:sz w:val="22"/>
          <w:lang w:val="en-US"/>
        </w:rPr>
        <w:t xml:space="preserve"> SI: selectivity index = ratio CC</w:t>
      </w:r>
      <w:r w:rsidRPr="00781BD2">
        <w:rPr>
          <w:rFonts w:ascii="Times New Roman" w:hAnsi="Times New Roman"/>
          <w:sz w:val="22"/>
          <w:vertAlign w:val="subscript"/>
          <w:lang w:val="en-US"/>
        </w:rPr>
        <w:t>50</w:t>
      </w:r>
      <w:r w:rsidRPr="00781BD2">
        <w:rPr>
          <w:rFonts w:ascii="Times New Roman" w:hAnsi="Times New Roman"/>
          <w:sz w:val="22"/>
          <w:lang w:val="en-US"/>
        </w:rPr>
        <w:t>:IC</w:t>
      </w:r>
      <w:r w:rsidRPr="00781BD2">
        <w:rPr>
          <w:rFonts w:ascii="Times New Roman" w:hAnsi="Times New Roman"/>
          <w:sz w:val="22"/>
          <w:vertAlign w:val="subscript"/>
          <w:lang w:val="en-US"/>
        </w:rPr>
        <w:t>50</w:t>
      </w:r>
      <w:r w:rsidRPr="00781BD2">
        <w:rPr>
          <w:rFonts w:ascii="Times New Roman" w:hAnsi="Times New Roman"/>
          <w:sz w:val="22"/>
          <w:lang w:val="en-US"/>
        </w:rPr>
        <w:t>.</w:t>
      </w:r>
    </w:p>
    <w:p w:rsidR="00385434" w:rsidRPr="00781BD2" w:rsidRDefault="00385434" w:rsidP="00910FD4">
      <w:pPr>
        <w:jc w:val="both"/>
        <w:rPr>
          <w:rFonts w:ascii="Times New Roman" w:hAnsi="Times New Roman"/>
          <w:sz w:val="22"/>
          <w:lang w:val="en-US"/>
        </w:rPr>
      </w:pPr>
    </w:p>
    <w:p w:rsidR="00385434" w:rsidRPr="00781BD2" w:rsidRDefault="002763D4" w:rsidP="00385434">
      <w:pPr>
        <w:spacing w:line="360" w:lineRule="auto"/>
        <w:jc w:val="both"/>
        <w:rPr>
          <w:rFonts w:ascii="Times New Roman" w:hAnsi="Times New Roman"/>
          <w:b/>
          <w:bCs/>
          <w:iCs/>
        </w:rPr>
      </w:pPr>
      <w:r w:rsidRPr="00781BD2">
        <w:rPr>
          <w:rFonts w:ascii="Times New Roman" w:hAnsi="Times New Roman"/>
          <w:b/>
          <w:bCs/>
          <w:iCs/>
        </w:rPr>
        <w:t>X-Ray S</w:t>
      </w:r>
      <w:r w:rsidR="006C789A" w:rsidRPr="00781BD2">
        <w:rPr>
          <w:rFonts w:ascii="Times New Roman" w:hAnsi="Times New Roman"/>
          <w:b/>
          <w:bCs/>
          <w:iCs/>
        </w:rPr>
        <w:t xml:space="preserve">tructure of </w:t>
      </w:r>
      <w:r w:rsidRPr="00781BD2">
        <w:rPr>
          <w:rFonts w:ascii="Times New Roman" w:hAnsi="Times New Roman"/>
          <w:b/>
          <w:bCs/>
          <w:iCs/>
        </w:rPr>
        <w:t>amine salt 8</w:t>
      </w:r>
    </w:p>
    <w:p w:rsidR="00262CE3" w:rsidRPr="00781BD2" w:rsidRDefault="00385434" w:rsidP="00D678ED">
      <w:pPr>
        <w:spacing w:line="360" w:lineRule="auto"/>
        <w:jc w:val="center"/>
        <w:rPr>
          <w:rFonts w:ascii="Times New Roman" w:hAnsi="Times New Roman"/>
        </w:rPr>
      </w:pPr>
      <w:r w:rsidRPr="00781BD2">
        <w:rPr>
          <w:rFonts w:ascii="Times New Roman" w:hAnsi="Times New Roman"/>
          <w:noProof/>
          <w:lang w:val="en-US"/>
        </w:rPr>
        <w:drawing>
          <wp:inline distT="0" distB="0" distL="0" distR="0">
            <wp:extent cx="2174240" cy="1960440"/>
            <wp:effectExtent l="0" t="0" r="0" b="0"/>
            <wp:docPr id="4" name="Picture 1" descr="A picture containing fence, outdoor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A picture containing fence, outdoor object&#10;&#10;Description automatically generated"/>
                    <pic:cNvPicPr>
                      <a:picLocks noChangeAspect="1" noChangeArrowheads="1"/>
                    </pic:cNvPicPr>
                  </pic:nvPicPr>
                  <pic:blipFill>
                    <a:blip r:embed="rId14"/>
                    <a:srcRect/>
                    <a:stretch>
                      <a:fillRect/>
                    </a:stretch>
                  </pic:blipFill>
                  <pic:spPr bwMode="auto">
                    <a:xfrm>
                      <a:off x="0" y="0"/>
                      <a:ext cx="2181924" cy="1967369"/>
                    </a:xfrm>
                    <a:prstGeom prst="rect">
                      <a:avLst/>
                    </a:prstGeom>
                    <a:noFill/>
                    <a:ln w="9525">
                      <a:noFill/>
                      <a:miter lim="800000"/>
                      <a:headEnd/>
                      <a:tailEnd/>
                    </a:ln>
                  </pic:spPr>
                </pic:pic>
              </a:graphicData>
            </a:graphic>
          </wp:inline>
        </w:drawing>
      </w:r>
    </w:p>
    <w:p w:rsidR="00A4380D" w:rsidRPr="00781BD2" w:rsidRDefault="00262CE3" w:rsidP="00633D4A">
      <w:pPr>
        <w:spacing w:line="360" w:lineRule="auto"/>
        <w:rPr>
          <w:rFonts w:ascii="Times New Roman" w:hAnsi="Times New Roman"/>
          <w:sz w:val="22"/>
        </w:rPr>
      </w:pPr>
      <w:r w:rsidRPr="00781BD2">
        <w:rPr>
          <w:rFonts w:ascii="Times New Roman" w:hAnsi="Times New Roman"/>
          <w:b/>
          <w:sz w:val="22"/>
        </w:rPr>
        <w:t>Figure</w:t>
      </w:r>
      <w:r w:rsidR="00F10FAC" w:rsidRPr="00781BD2">
        <w:rPr>
          <w:rFonts w:ascii="Times New Roman" w:hAnsi="Times New Roman"/>
          <w:b/>
          <w:sz w:val="22"/>
        </w:rPr>
        <w:t xml:space="preserve"> </w:t>
      </w:r>
      <w:r w:rsidR="00D44C64" w:rsidRPr="00781BD2">
        <w:rPr>
          <w:rFonts w:ascii="Times New Roman" w:hAnsi="Times New Roman"/>
          <w:b/>
          <w:sz w:val="22"/>
        </w:rPr>
        <w:t>7</w:t>
      </w:r>
      <w:r w:rsidRPr="00781BD2">
        <w:rPr>
          <w:rFonts w:ascii="Times New Roman" w:hAnsi="Times New Roman"/>
          <w:b/>
          <w:sz w:val="22"/>
        </w:rPr>
        <w:t>.</w:t>
      </w:r>
      <w:r w:rsidRPr="00781BD2">
        <w:rPr>
          <w:rFonts w:ascii="Times New Roman" w:hAnsi="Times New Roman"/>
          <w:sz w:val="22"/>
        </w:rPr>
        <w:t xml:space="preserve"> </w:t>
      </w:r>
      <w:r w:rsidR="00A4380D" w:rsidRPr="00781BD2">
        <w:rPr>
          <w:rFonts w:ascii="Times New Roman" w:hAnsi="Times New Roman"/>
          <w:sz w:val="22"/>
        </w:rPr>
        <w:t xml:space="preserve">The </w:t>
      </w:r>
      <w:r w:rsidRPr="00781BD2">
        <w:rPr>
          <w:rFonts w:ascii="Times New Roman" w:hAnsi="Times New Roman"/>
          <w:sz w:val="22"/>
        </w:rPr>
        <w:t>X-ray single</w:t>
      </w:r>
      <w:r w:rsidR="00F10FAC" w:rsidRPr="00781BD2">
        <w:rPr>
          <w:rFonts w:ascii="Times New Roman" w:hAnsi="Times New Roman"/>
          <w:sz w:val="22"/>
        </w:rPr>
        <w:t>-</w:t>
      </w:r>
      <w:r w:rsidRPr="00781BD2">
        <w:rPr>
          <w:rFonts w:ascii="Times New Roman" w:hAnsi="Times New Roman"/>
          <w:sz w:val="22"/>
        </w:rPr>
        <w:t xml:space="preserve">crystal structure of amine salt </w:t>
      </w:r>
      <w:r w:rsidR="00A4380D" w:rsidRPr="00781BD2">
        <w:rPr>
          <w:rFonts w:ascii="Times New Roman" w:hAnsi="Times New Roman"/>
          <w:b/>
          <w:sz w:val="22"/>
        </w:rPr>
        <w:t>8</w:t>
      </w:r>
      <w:r w:rsidR="00A4380D" w:rsidRPr="00781BD2">
        <w:rPr>
          <w:rFonts w:ascii="Times New Roman" w:hAnsi="Times New Roman"/>
          <w:sz w:val="22"/>
        </w:rPr>
        <w:t>.</w:t>
      </w:r>
    </w:p>
    <w:p w:rsidR="00921D1A" w:rsidRPr="00781BD2" w:rsidRDefault="00A4380D" w:rsidP="00EB6178">
      <w:pPr>
        <w:spacing w:line="360" w:lineRule="auto"/>
        <w:ind w:firstLine="720"/>
        <w:rPr>
          <w:rFonts w:ascii="Times New Roman" w:hAnsi="Times New Roman"/>
        </w:rPr>
      </w:pPr>
      <w:r w:rsidRPr="00781BD2">
        <w:rPr>
          <w:rFonts w:ascii="Times New Roman" w:hAnsi="Times New Roman"/>
        </w:rPr>
        <w:t xml:space="preserve">Ethanolamine salt RM5071 </w:t>
      </w:r>
      <w:r w:rsidRPr="00781BD2">
        <w:rPr>
          <w:rFonts w:ascii="Times New Roman" w:hAnsi="Times New Roman"/>
          <w:b/>
        </w:rPr>
        <w:t>8</w:t>
      </w:r>
      <w:r w:rsidRPr="00781BD2">
        <w:rPr>
          <w:rFonts w:ascii="Times New Roman" w:hAnsi="Times New Roman"/>
        </w:rPr>
        <w:t xml:space="preserve"> cr</w:t>
      </w:r>
      <w:r w:rsidR="006A67F4" w:rsidRPr="00781BD2">
        <w:rPr>
          <w:rFonts w:ascii="Times New Roman" w:hAnsi="Times New Roman"/>
        </w:rPr>
        <w:t>ystallised in a form suitable for</w:t>
      </w:r>
      <w:r w:rsidRPr="00781BD2">
        <w:rPr>
          <w:rFonts w:ascii="Times New Roman" w:hAnsi="Times New Roman"/>
        </w:rPr>
        <w:t xml:space="preserve"> single-crystal X-ray structur</w:t>
      </w:r>
      <w:r w:rsidR="00F10FAC" w:rsidRPr="00781BD2">
        <w:rPr>
          <w:rFonts w:ascii="Times New Roman" w:hAnsi="Times New Roman"/>
        </w:rPr>
        <w:t>e determination, with the result</w:t>
      </w:r>
      <w:r w:rsidRPr="00781BD2">
        <w:rPr>
          <w:rFonts w:ascii="Times New Roman" w:hAnsi="Times New Roman"/>
        </w:rPr>
        <w:t xml:space="preserve"> shown in Figure </w:t>
      </w:r>
      <w:r w:rsidR="004A109D" w:rsidRPr="00781BD2">
        <w:rPr>
          <w:rFonts w:ascii="Times New Roman" w:hAnsi="Times New Roman"/>
        </w:rPr>
        <w:t>7</w:t>
      </w:r>
      <w:r w:rsidRPr="00781BD2">
        <w:rPr>
          <w:rFonts w:ascii="Times New Roman" w:hAnsi="Times New Roman"/>
        </w:rPr>
        <w:t>.</w:t>
      </w:r>
      <w:r w:rsidR="00193FAF" w:rsidRPr="00781BD2">
        <w:rPr>
          <w:rFonts w:ascii="Times New Roman" w:hAnsi="Times New Roman"/>
        </w:rPr>
        <w:t xml:space="preserve"> The ammonium group is held in </w:t>
      </w:r>
      <w:r w:rsidR="006A67F4" w:rsidRPr="00781BD2">
        <w:rPr>
          <w:rFonts w:ascii="Times New Roman" w:hAnsi="Times New Roman"/>
        </w:rPr>
        <w:t>a strong ionic bond with the amide carbonyl oxygen, while the phenol donates an H bond to the amide nitrogen.</w:t>
      </w:r>
      <w:r w:rsidR="00193FAF" w:rsidRPr="00781BD2">
        <w:rPr>
          <w:rFonts w:ascii="Times New Roman" w:hAnsi="Times New Roman"/>
        </w:rPr>
        <w:t xml:space="preserve"> </w:t>
      </w:r>
      <w:r w:rsidR="00F20F69" w:rsidRPr="00781BD2">
        <w:rPr>
          <w:rFonts w:ascii="Times New Roman" w:hAnsi="Times New Roman"/>
        </w:rPr>
        <w:t>T</w:t>
      </w:r>
      <w:r w:rsidR="00193FAF" w:rsidRPr="00781BD2">
        <w:rPr>
          <w:rFonts w:ascii="Times New Roman" w:hAnsi="Times New Roman"/>
        </w:rPr>
        <w:t xml:space="preserve">he C-O bond </w:t>
      </w:r>
      <w:r w:rsidR="00F20F69" w:rsidRPr="00781BD2">
        <w:rPr>
          <w:rFonts w:ascii="Times New Roman" w:hAnsi="Times New Roman"/>
        </w:rPr>
        <w:t xml:space="preserve">length </w:t>
      </w:r>
      <w:r w:rsidR="00193FAF" w:rsidRPr="00781BD2">
        <w:rPr>
          <w:rFonts w:ascii="Times New Roman" w:hAnsi="Times New Roman"/>
        </w:rPr>
        <w:t xml:space="preserve">is </w:t>
      </w:r>
      <w:r w:rsidR="00F20F69" w:rsidRPr="00781BD2">
        <w:rPr>
          <w:rFonts w:ascii="Times New Roman" w:hAnsi="Times New Roman"/>
        </w:rPr>
        <w:t>1.263(5)</w:t>
      </w:r>
      <w:r w:rsidR="00193FAF" w:rsidRPr="00781BD2">
        <w:rPr>
          <w:rFonts w:ascii="Times New Roman" w:hAnsi="Times New Roman"/>
        </w:rPr>
        <w:t xml:space="preserve"> Å </w:t>
      </w:r>
      <w:r w:rsidR="00F20F69" w:rsidRPr="00781BD2">
        <w:rPr>
          <w:rFonts w:ascii="Times New Roman" w:hAnsi="Times New Roman"/>
        </w:rPr>
        <w:t>and</w:t>
      </w:r>
      <w:r w:rsidR="00193FAF" w:rsidRPr="00781BD2">
        <w:rPr>
          <w:rFonts w:ascii="Times New Roman" w:hAnsi="Times New Roman"/>
        </w:rPr>
        <w:t xml:space="preserve"> the C-N amide bond is </w:t>
      </w:r>
      <w:r w:rsidR="00F20F69" w:rsidRPr="00781BD2">
        <w:rPr>
          <w:rFonts w:ascii="Times New Roman" w:hAnsi="Times New Roman"/>
        </w:rPr>
        <w:t>1.34(5)</w:t>
      </w:r>
      <w:r w:rsidR="00193FAF" w:rsidRPr="00781BD2">
        <w:rPr>
          <w:rFonts w:ascii="Times New Roman" w:hAnsi="Times New Roman"/>
        </w:rPr>
        <w:t xml:space="preserve"> Å</w:t>
      </w:r>
      <w:r w:rsidR="00B119D4" w:rsidRPr="00781BD2">
        <w:rPr>
          <w:rFonts w:ascii="Times New Roman" w:hAnsi="Times New Roman"/>
        </w:rPr>
        <w:t xml:space="preserve">, the latter value being </w:t>
      </w:r>
      <w:r w:rsidR="007776E6" w:rsidRPr="00781BD2">
        <w:rPr>
          <w:rFonts w:ascii="Times New Roman" w:hAnsi="Times New Roman"/>
        </w:rPr>
        <w:t xml:space="preserve">fairly </w:t>
      </w:r>
      <w:r w:rsidR="00B119D4" w:rsidRPr="00781BD2">
        <w:rPr>
          <w:rFonts w:ascii="Times New Roman" w:hAnsi="Times New Roman"/>
        </w:rPr>
        <w:t>typical of a secondary amide C-N</w:t>
      </w:r>
      <w:r w:rsidR="00193FAF" w:rsidRPr="00781BD2">
        <w:rPr>
          <w:rFonts w:ascii="Times New Roman" w:hAnsi="Times New Roman"/>
        </w:rPr>
        <w:t>.</w:t>
      </w:r>
      <w:r w:rsidR="00F44161" w:rsidRPr="00781BD2">
        <w:rPr>
          <w:rFonts w:ascii="Times New Roman" w:hAnsi="Times New Roman"/>
        </w:rPr>
        <w:t xml:space="preserve"> A published X-ray single crystal structure of tizoxanide</w:t>
      </w:r>
      <w:r w:rsidR="00F71F88" w:rsidRPr="00781BD2">
        <w:rPr>
          <w:rFonts w:ascii="Times New Roman" w:hAnsi="Times New Roman"/>
        </w:rPr>
        <w:t xml:space="preserve"> [49]</w:t>
      </w:r>
      <w:r w:rsidR="00F44161" w:rsidRPr="00781BD2">
        <w:rPr>
          <w:rFonts w:ascii="Times New Roman" w:hAnsi="Times New Roman"/>
        </w:rPr>
        <w:t xml:space="preserve"> </w:t>
      </w:r>
      <w:r w:rsidR="00BA1953" w:rsidRPr="00781BD2">
        <w:rPr>
          <w:rFonts w:ascii="Times New Roman" w:hAnsi="Times New Roman"/>
        </w:rPr>
        <w:t xml:space="preserve">shows the same </w:t>
      </w:r>
      <w:r w:rsidR="00BA1953" w:rsidRPr="00781BD2">
        <w:rPr>
          <w:rFonts w:ascii="Times New Roman" w:hAnsi="Times New Roman"/>
          <w:i/>
        </w:rPr>
        <w:t>syn</w:t>
      </w:r>
      <w:r w:rsidR="00BA1953" w:rsidRPr="00781BD2">
        <w:rPr>
          <w:rFonts w:ascii="Times New Roman" w:hAnsi="Times New Roman"/>
        </w:rPr>
        <w:t>-ori</w:t>
      </w:r>
      <w:r w:rsidR="006F61C0" w:rsidRPr="00781BD2">
        <w:rPr>
          <w:rFonts w:ascii="Times New Roman" w:hAnsi="Times New Roman"/>
        </w:rPr>
        <w:t>entation of the OH group and</w:t>
      </w:r>
      <w:r w:rsidR="00BA1953" w:rsidRPr="00781BD2">
        <w:rPr>
          <w:rFonts w:ascii="Times New Roman" w:hAnsi="Times New Roman"/>
        </w:rPr>
        <w:t xml:space="preserve"> amide nitrogen, but there the phenolic oxygen accepts an H bond donated by the amide NH</w:t>
      </w:r>
      <w:r w:rsidR="00274C81" w:rsidRPr="00781BD2">
        <w:rPr>
          <w:rFonts w:ascii="Times New Roman" w:hAnsi="Times New Roman"/>
        </w:rPr>
        <w:t xml:space="preserve">; in this case the C-O bond length is </w:t>
      </w:r>
      <w:r w:rsidR="008B7625" w:rsidRPr="00781BD2">
        <w:rPr>
          <w:rFonts w:ascii="Times New Roman" w:hAnsi="Times New Roman"/>
        </w:rPr>
        <w:t xml:space="preserve">shorter at </w:t>
      </w:r>
      <w:r w:rsidR="00274C81" w:rsidRPr="00781BD2">
        <w:rPr>
          <w:rFonts w:ascii="Times New Roman" w:hAnsi="Times New Roman"/>
        </w:rPr>
        <w:t>1.222Å</w:t>
      </w:r>
      <w:r w:rsidR="007776E6" w:rsidRPr="00781BD2">
        <w:rPr>
          <w:rFonts w:ascii="Times New Roman" w:hAnsi="Times New Roman"/>
        </w:rPr>
        <w:t xml:space="preserve"> and the C-N bond is longer, 1.38</w:t>
      </w:r>
      <w:r w:rsidR="001F2744" w:rsidRPr="00781BD2">
        <w:rPr>
          <w:rFonts w:ascii="Times New Roman" w:hAnsi="Times New Roman"/>
        </w:rPr>
        <w:t>3</w:t>
      </w:r>
      <w:r w:rsidR="007776E6" w:rsidRPr="00781BD2">
        <w:rPr>
          <w:rFonts w:ascii="Times New Roman" w:hAnsi="Times New Roman"/>
        </w:rPr>
        <w:t>Å</w:t>
      </w:r>
      <w:r w:rsidR="00BA1953" w:rsidRPr="00781BD2">
        <w:rPr>
          <w:rFonts w:ascii="Times New Roman" w:hAnsi="Times New Roman"/>
        </w:rPr>
        <w:t>.</w:t>
      </w:r>
      <w:r w:rsidR="00BD6683" w:rsidRPr="00781BD2">
        <w:rPr>
          <w:rFonts w:ascii="Times New Roman" w:hAnsi="Times New Roman"/>
        </w:rPr>
        <w:t xml:space="preserve"> Full structural details </w:t>
      </w:r>
      <w:r w:rsidR="00261A5B" w:rsidRPr="00781BD2">
        <w:rPr>
          <w:rFonts w:ascii="Times New Roman" w:hAnsi="Times New Roman"/>
        </w:rPr>
        <w:t xml:space="preserve">of </w:t>
      </w:r>
      <w:r w:rsidR="00261A5B" w:rsidRPr="00781BD2">
        <w:rPr>
          <w:rFonts w:ascii="Times New Roman" w:hAnsi="Times New Roman"/>
          <w:b/>
          <w:bCs/>
        </w:rPr>
        <w:t>8</w:t>
      </w:r>
      <w:r w:rsidR="00261A5B" w:rsidRPr="00781BD2">
        <w:rPr>
          <w:rFonts w:ascii="Times New Roman" w:hAnsi="Times New Roman"/>
        </w:rPr>
        <w:t xml:space="preserve"> </w:t>
      </w:r>
      <w:r w:rsidR="00BD6683" w:rsidRPr="00781BD2">
        <w:rPr>
          <w:rFonts w:ascii="Times New Roman" w:hAnsi="Times New Roman"/>
        </w:rPr>
        <w:t>are given in the cif file (Supp</w:t>
      </w:r>
      <w:r w:rsidR="004761F3" w:rsidRPr="00781BD2">
        <w:rPr>
          <w:rFonts w:ascii="Times New Roman" w:hAnsi="Times New Roman"/>
        </w:rPr>
        <w:t>orting</w:t>
      </w:r>
      <w:r w:rsidR="00BD6683" w:rsidRPr="00781BD2">
        <w:rPr>
          <w:rFonts w:ascii="Times New Roman" w:hAnsi="Times New Roman"/>
        </w:rPr>
        <w:t xml:space="preserve"> Information, q. v.).</w:t>
      </w:r>
    </w:p>
    <w:p w:rsidR="00EB6178" w:rsidRPr="00781BD2" w:rsidRDefault="00EB6178" w:rsidP="00EB6178">
      <w:pPr>
        <w:spacing w:line="360" w:lineRule="auto"/>
        <w:rPr>
          <w:rFonts w:ascii="Times New Roman" w:hAnsi="Times New Roman"/>
        </w:rPr>
      </w:pPr>
    </w:p>
    <w:p w:rsidR="00921D1A" w:rsidRPr="00781BD2" w:rsidRDefault="00921D1A" w:rsidP="00921D1A">
      <w:pPr>
        <w:rPr>
          <w:rFonts w:ascii="Times New Roman" w:hAnsi="Times New Roman"/>
          <w:sz w:val="22"/>
          <w:szCs w:val="22"/>
        </w:rPr>
      </w:pPr>
    </w:p>
    <w:p w:rsidR="00921D1A" w:rsidRPr="00781BD2" w:rsidRDefault="00921D1A" w:rsidP="00921D1A">
      <w:pPr>
        <w:rPr>
          <w:b/>
          <w:iCs/>
          <w:szCs w:val="22"/>
        </w:rPr>
      </w:pPr>
      <w:r w:rsidRPr="00781BD2">
        <w:rPr>
          <w:b/>
          <w:iCs/>
          <w:szCs w:val="22"/>
        </w:rPr>
        <w:t>Conclusion</w:t>
      </w:r>
    </w:p>
    <w:p w:rsidR="00921D1A" w:rsidRPr="00781BD2" w:rsidRDefault="00921D1A" w:rsidP="00921D1A">
      <w:pPr>
        <w:jc w:val="both"/>
        <w:rPr>
          <w:rFonts w:ascii="Times New Roman" w:hAnsi="Times New Roman"/>
          <w:b/>
          <w:sz w:val="22"/>
        </w:rPr>
      </w:pPr>
    </w:p>
    <w:p w:rsidR="00FA32C6" w:rsidRPr="00781BD2" w:rsidRDefault="008D6310" w:rsidP="005363D0">
      <w:pPr>
        <w:spacing w:line="360" w:lineRule="auto"/>
        <w:jc w:val="both"/>
      </w:pPr>
      <w:r w:rsidRPr="00781BD2">
        <w:rPr>
          <w:rFonts w:ascii="Times New Roman" w:hAnsi="Times New Roman"/>
        </w:rPr>
        <w:t xml:space="preserve">By dissolution of thiazolides </w:t>
      </w:r>
      <w:r w:rsidR="001A2B81" w:rsidRPr="00781BD2">
        <w:rPr>
          <w:rFonts w:ascii="Times New Roman" w:hAnsi="Times New Roman"/>
          <w:b/>
        </w:rPr>
        <w:t xml:space="preserve">1b </w:t>
      </w:r>
      <w:r w:rsidR="001A2B81" w:rsidRPr="00781BD2">
        <w:rPr>
          <w:rFonts w:ascii="Times New Roman" w:hAnsi="Times New Roman"/>
        </w:rPr>
        <w:t xml:space="preserve">and </w:t>
      </w:r>
      <w:r w:rsidR="001A2B81" w:rsidRPr="00781BD2">
        <w:rPr>
          <w:rFonts w:ascii="Times New Roman" w:hAnsi="Times New Roman"/>
          <w:b/>
        </w:rPr>
        <w:t>3b</w:t>
      </w:r>
      <w:r w:rsidR="001A2B81" w:rsidRPr="00781BD2">
        <w:rPr>
          <w:rFonts w:ascii="Times New Roman" w:hAnsi="Times New Roman"/>
        </w:rPr>
        <w:t xml:space="preserve"> with a range of amines in methanolic solution, stable amine salts of high purity and good crystalline form are obtained. We have studied the </w:t>
      </w:r>
      <w:r w:rsidR="001A2B81" w:rsidRPr="00781BD2">
        <w:rPr>
          <w:rFonts w:ascii="Times New Roman" w:hAnsi="Times New Roman"/>
          <w:i/>
        </w:rPr>
        <w:t xml:space="preserve">in vivo </w:t>
      </w:r>
      <w:r w:rsidR="001A2B81" w:rsidRPr="00781BD2">
        <w:rPr>
          <w:rFonts w:ascii="Times New Roman" w:hAnsi="Times New Roman"/>
        </w:rPr>
        <w:t>pharmacokinetic behaviour of</w:t>
      </w:r>
      <w:r w:rsidR="009C1A4C" w:rsidRPr="00781BD2">
        <w:rPr>
          <w:rFonts w:ascii="Times New Roman" w:hAnsi="Times New Roman"/>
        </w:rPr>
        <w:t xml:space="preserve"> the ethanolamine and morpholine salts </w:t>
      </w:r>
      <w:r w:rsidR="00921D1A" w:rsidRPr="00781BD2">
        <w:rPr>
          <w:rFonts w:ascii="Times New Roman" w:hAnsi="Times New Roman"/>
        </w:rPr>
        <w:t xml:space="preserve">RM-5071 </w:t>
      </w:r>
      <w:r w:rsidR="0007252B" w:rsidRPr="00781BD2">
        <w:rPr>
          <w:rFonts w:ascii="Times New Roman" w:hAnsi="Times New Roman"/>
          <w:b/>
          <w:bCs/>
        </w:rPr>
        <w:t xml:space="preserve">8 </w:t>
      </w:r>
      <w:r w:rsidR="00921D1A" w:rsidRPr="00781BD2">
        <w:rPr>
          <w:rFonts w:ascii="Times New Roman" w:hAnsi="Times New Roman"/>
        </w:rPr>
        <w:t>and RM-5072</w:t>
      </w:r>
      <w:r w:rsidR="0007252B" w:rsidRPr="00781BD2">
        <w:rPr>
          <w:rFonts w:ascii="Times New Roman" w:hAnsi="Times New Roman"/>
        </w:rPr>
        <w:t xml:space="preserve"> </w:t>
      </w:r>
      <w:r w:rsidR="0007252B" w:rsidRPr="00781BD2">
        <w:rPr>
          <w:rFonts w:ascii="Times New Roman" w:hAnsi="Times New Roman"/>
          <w:b/>
          <w:bCs/>
        </w:rPr>
        <w:t>10</w:t>
      </w:r>
      <w:r w:rsidR="009C1A4C" w:rsidRPr="00781BD2">
        <w:rPr>
          <w:rFonts w:ascii="Times New Roman" w:hAnsi="Times New Roman"/>
          <w:bCs/>
        </w:rPr>
        <w:t xml:space="preserve">, derived from tizoxanide </w:t>
      </w:r>
      <w:r w:rsidR="009C1A4C" w:rsidRPr="00781BD2">
        <w:rPr>
          <w:rFonts w:ascii="Times New Roman" w:hAnsi="Times New Roman"/>
          <w:b/>
          <w:bCs/>
        </w:rPr>
        <w:t>1b</w:t>
      </w:r>
      <w:r w:rsidR="009C1A4C" w:rsidRPr="00781BD2">
        <w:rPr>
          <w:rFonts w:ascii="Times New Roman" w:hAnsi="Times New Roman"/>
          <w:bCs/>
        </w:rPr>
        <w:t xml:space="preserve">, in particular. </w:t>
      </w:r>
      <w:r w:rsidR="00921D1A" w:rsidRPr="00781BD2">
        <w:rPr>
          <w:rFonts w:ascii="Times New Roman" w:hAnsi="Times New Roman"/>
        </w:rPr>
        <w:t xml:space="preserve"> </w:t>
      </w:r>
      <w:r w:rsidR="009C1A4C" w:rsidRPr="00781BD2">
        <w:rPr>
          <w:rFonts w:ascii="Times New Roman" w:hAnsi="Times New Roman"/>
        </w:rPr>
        <w:t>B</w:t>
      </w:r>
      <w:r w:rsidR="00921D1A" w:rsidRPr="00781BD2">
        <w:rPr>
          <w:rFonts w:ascii="Times New Roman" w:hAnsi="Times New Roman"/>
        </w:rPr>
        <w:t xml:space="preserve">oth </w:t>
      </w:r>
      <w:r w:rsidR="009C1A4C" w:rsidRPr="00781BD2">
        <w:rPr>
          <w:rFonts w:ascii="Times New Roman" w:hAnsi="Times New Roman"/>
          <w:b/>
        </w:rPr>
        <w:t>8</w:t>
      </w:r>
      <w:r w:rsidR="009C1A4C" w:rsidRPr="00781BD2">
        <w:rPr>
          <w:rFonts w:ascii="Times New Roman" w:hAnsi="Times New Roman"/>
        </w:rPr>
        <w:t xml:space="preserve"> and </w:t>
      </w:r>
      <w:r w:rsidR="009C1A4C" w:rsidRPr="00781BD2">
        <w:rPr>
          <w:rFonts w:ascii="Times New Roman" w:hAnsi="Times New Roman"/>
          <w:b/>
        </w:rPr>
        <w:t>10</w:t>
      </w:r>
      <w:r w:rsidR="009C1A4C" w:rsidRPr="00781BD2">
        <w:rPr>
          <w:rFonts w:ascii="Times New Roman" w:hAnsi="Times New Roman"/>
        </w:rPr>
        <w:t xml:space="preserve"> </w:t>
      </w:r>
      <w:r w:rsidR="00921D1A" w:rsidRPr="00781BD2">
        <w:rPr>
          <w:rFonts w:ascii="Times New Roman" w:hAnsi="Times New Roman"/>
        </w:rPr>
        <w:t>dramatically improve the speed of availability of</w:t>
      </w:r>
      <w:r w:rsidR="0007252B" w:rsidRPr="00781BD2">
        <w:rPr>
          <w:rFonts w:ascii="Times New Roman" w:hAnsi="Times New Roman"/>
        </w:rPr>
        <w:t xml:space="preserve"> tizoxanide</w:t>
      </w:r>
      <w:r w:rsidR="00921D1A" w:rsidRPr="00781BD2">
        <w:rPr>
          <w:rFonts w:ascii="Times New Roman" w:hAnsi="Times New Roman"/>
        </w:rPr>
        <w:t xml:space="preserve"> </w:t>
      </w:r>
      <w:r w:rsidR="0007252B" w:rsidRPr="00781BD2">
        <w:rPr>
          <w:rFonts w:ascii="Times New Roman" w:hAnsi="Times New Roman"/>
          <w:b/>
          <w:bCs/>
        </w:rPr>
        <w:t>1b</w:t>
      </w:r>
      <w:r w:rsidR="00921D1A" w:rsidRPr="00781BD2">
        <w:rPr>
          <w:rFonts w:ascii="Times New Roman" w:hAnsi="Times New Roman"/>
        </w:rPr>
        <w:t xml:space="preserve"> in plasma compared to NTZ</w:t>
      </w:r>
      <w:r w:rsidR="0007252B" w:rsidRPr="00781BD2">
        <w:rPr>
          <w:rFonts w:ascii="Times New Roman" w:hAnsi="Times New Roman"/>
        </w:rPr>
        <w:t xml:space="preserve"> </w:t>
      </w:r>
      <w:r w:rsidR="0007252B" w:rsidRPr="00781BD2">
        <w:rPr>
          <w:rFonts w:ascii="Times New Roman" w:hAnsi="Times New Roman"/>
          <w:b/>
          <w:bCs/>
        </w:rPr>
        <w:t>1a</w:t>
      </w:r>
      <w:r w:rsidR="0007252B" w:rsidRPr="00781BD2">
        <w:rPr>
          <w:rFonts w:ascii="Times New Roman" w:hAnsi="Times New Roman"/>
        </w:rPr>
        <w:t>.</w:t>
      </w:r>
      <w:r w:rsidR="00921D1A" w:rsidRPr="00781BD2">
        <w:rPr>
          <w:rFonts w:ascii="Times New Roman" w:hAnsi="Times New Roman"/>
        </w:rPr>
        <w:t xml:space="preserve">  These compounds are rapidly absorbed achieving C</w:t>
      </w:r>
      <w:r w:rsidR="00921D1A" w:rsidRPr="00781BD2">
        <w:rPr>
          <w:rFonts w:ascii="Times New Roman" w:hAnsi="Times New Roman"/>
          <w:vertAlign w:val="subscript"/>
        </w:rPr>
        <w:t>max</w:t>
      </w:r>
      <w:r w:rsidR="00921D1A" w:rsidRPr="00781BD2">
        <w:rPr>
          <w:rFonts w:ascii="Times New Roman" w:hAnsi="Times New Roman"/>
        </w:rPr>
        <w:t xml:space="preserve"> within 5 minutes after an oral dose. RM-5071 </w:t>
      </w:r>
      <w:r w:rsidR="0007252B" w:rsidRPr="00781BD2">
        <w:rPr>
          <w:rFonts w:ascii="Times New Roman" w:hAnsi="Times New Roman"/>
          <w:b/>
          <w:bCs/>
        </w:rPr>
        <w:t xml:space="preserve">8 </w:t>
      </w:r>
      <w:r w:rsidR="00921D1A" w:rsidRPr="00781BD2">
        <w:rPr>
          <w:rFonts w:ascii="Times New Roman" w:hAnsi="Times New Roman"/>
        </w:rPr>
        <w:t xml:space="preserve">is associated with higher plasma concentrations of free and glucurono-conjugated </w:t>
      </w:r>
      <w:r w:rsidR="0007252B" w:rsidRPr="00781BD2">
        <w:rPr>
          <w:rFonts w:ascii="Times New Roman" w:hAnsi="Times New Roman"/>
          <w:b/>
          <w:bCs/>
        </w:rPr>
        <w:t>1b</w:t>
      </w:r>
      <w:r w:rsidR="00921D1A" w:rsidRPr="00781BD2">
        <w:rPr>
          <w:rFonts w:ascii="Times New Roman" w:hAnsi="Times New Roman"/>
        </w:rPr>
        <w:t xml:space="preserve"> and less variability of absorption than either RM-5072 </w:t>
      </w:r>
      <w:r w:rsidR="0007252B" w:rsidRPr="00781BD2">
        <w:rPr>
          <w:rFonts w:ascii="Times New Roman" w:hAnsi="Times New Roman"/>
          <w:b/>
          <w:bCs/>
        </w:rPr>
        <w:t xml:space="preserve">10 </w:t>
      </w:r>
      <w:r w:rsidR="00921D1A" w:rsidRPr="00781BD2">
        <w:rPr>
          <w:rFonts w:ascii="Times New Roman" w:hAnsi="Times New Roman"/>
        </w:rPr>
        <w:t>or NTZ</w:t>
      </w:r>
      <w:r w:rsidR="0007252B" w:rsidRPr="00781BD2">
        <w:rPr>
          <w:rFonts w:ascii="Times New Roman" w:hAnsi="Times New Roman"/>
        </w:rPr>
        <w:t xml:space="preserve"> </w:t>
      </w:r>
      <w:r w:rsidR="0007252B" w:rsidRPr="00781BD2">
        <w:rPr>
          <w:rFonts w:ascii="Times New Roman" w:hAnsi="Times New Roman"/>
          <w:b/>
          <w:bCs/>
        </w:rPr>
        <w:t>1a</w:t>
      </w:r>
      <w:r w:rsidR="00921D1A" w:rsidRPr="00781BD2">
        <w:rPr>
          <w:rFonts w:ascii="Times New Roman" w:hAnsi="Times New Roman"/>
        </w:rPr>
        <w:t>.</w:t>
      </w:r>
      <w:r w:rsidR="005363D0" w:rsidRPr="00781BD2">
        <w:rPr>
          <w:rFonts w:ascii="Times New Roman" w:hAnsi="Times New Roman"/>
        </w:rPr>
        <w:t xml:space="preserve"> </w:t>
      </w:r>
      <w:r w:rsidR="00921D1A" w:rsidRPr="00781BD2">
        <w:rPr>
          <w:rFonts w:ascii="Times New Roman" w:hAnsi="Times New Roman"/>
        </w:rPr>
        <w:t xml:space="preserve">This study indicates that the rate, extent and variability of absorption is improved for RM-5071 </w:t>
      </w:r>
      <w:r w:rsidR="002C5AAE" w:rsidRPr="00781BD2">
        <w:rPr>
          <w:rFonts w:ascii="Times New Roman" w:hAnsi="Times New Roman"/>
          <w:b/>
          <w:bCs/>
        </w:rPr>
        <w:t xml:space="preserve">8 </w:t>
      </w:r>
      <w:r w:rsidR="00921D1A" w:rsidRPr="00781BD2">
        <w:rPr>
          <w:rFonts w:ascii="Times New Roman" w:hAnsi="Times New Roman"/>
        </w:rPr>
        <w:t xml:space="preserve">compared to RM-5072 </w:t>
      </w:r>
      <w:r w:rsidR="002C5AAE" w:rsidRPr="00781BD2">
        <w:rPr>
          <w:rFonts w:ascii="Times New Roman" w:hAnsi="Times New Roman"/>
          <w:b/>
          <w:bCs/>
        </w:rPr>
        <w:t xml:space="preserve">10 </w:t>
      </w:r>
      <w:r w:rsidR="00921D1A" w:rsidRPr="00781BD2">
        <w:rPr>
          <w:rFonts w:ascii="Times New Roman" w:hAnsi="Times New Roman"/>
        </w:rPr>
        <w:t>or NTZ</w:t>
      </w:r>
      <w:r w:rsidR="002C5AAE" w:rsidRPr="00781BD2">
        <w:rPr>
          <w:rFonts w:ascii="Times New Roman" w:hAnsi="Times New Roman"/>
        </w:rPr>
        <w:t xml:space="preserve"> </w:t>
      </w:r>
      <w:r w:rsidR="002C5AAE" w:rsidRPr="00781BD2">
        <w:rPr>
          <w:rFonts w:ascii="Times New Roman" w:hAnsi="Times New Roman"/>
          <w:b/>
          <w:bCs/>
        </w:rPr>
        <w:t>1a</w:t>
      </w:r>
      <w:r w:rsidR="009220C4" w:rsidRPr="00781BD2">
        <w:rPr>
          <w:rFonts w:ascii="Times New Roman" w:hAnsi="Times New Roman"/>
        </w:rPr>
        <w:t xml:space="preserve">.  In addition </w:t>
      </w:r>
      <w:r w:rsidR="009220C4" w:rsidRPr="00781BD2">
        <w:rPr>
          <w:rFonts w:ascii="Times New Roman" w:hAnsi="Times New Roman" w:cs="AGaramond-Italic"/>
          <w:iCs/>
          <w:szCs w:val="20"/>
          <w:lang w:val="en-US"/>
        </w:rPr>
        <w:t>RM-5071</w:t>
      </w:r>
      <w:r w:rsidR="009220C4" w:rsidRPr="00781BD2">
        <w:rPr>
          <w:rFonts w:ascii="Times New Roman" w:hAnsi="Times New Roman" w:cs="AGaramond-Italic"/>
          <w:b/>
          <w:iCs/>
          <w:szCs w:val="20"/>
          <w:lang w:val="en-US"/>
        </w:rPr>
        <w:t xml:space="preserve"> </w:t>
      </w:r>
      <w:r w:rsidR="00C531CC" w:rsidRPr="00781BD2">
        <w:rPr>
          <w:rFonts w:ascii="Times New Roman" w:hAnsi="Times New Roman" w:cs="AGaramond-Italic"/>
          <w:b/>
          <w:iCs/>
          <w:szCs w:val="20"/>
          <w:lang w:val="en-US"/>
        </w:rPr>
        <w:t>8</w:t>
      </w:r>
      <w:r w:rsidR="00C531CC" w:rsidRPr="00781BD2">
        <w:rPr>
          <w:rFonts w:ascii="Times New Roman" w:hAnsi="Times New Roman" w:cs="AGaramond-Italic"/>
          <w:iCs/>
          <w:szCs w:val="20"/>
          <w:lang w:val="en-US"/>
        </w:rPr>
        <w:t xml:space="preserve"> </w:t>
      </w:r>
      <w:r w:rsidR="00257666" w:rsidRPr="00781BD2">
        <w:rPr>
          <w:rFonts w:ascii="Times New Roman" w:hAnsi="Times New Roman" w:cs="AGaramond-Italic"/>
          <w:iCs/>
          <w:szCs w:val="20"/>
          <w:lang w:val="en-US"/>
        </w:rPr>
        <w:t xml:space="preserve">was found to </w:t>
      </w:r>
      <w:r w:rsidR="00D50C35" w:rsidRPr="00781BD2">
        <w:rPr>
          <w:rFonts w:ascii="Times New Roman" w:hAnsi="Times New Roman" w:cs="AGaramond-Italic"/>
          <w:iCs/>
          <w:szCs w:val="20"/>
          <w:lang w:val="en-US"/>
        </w:rPr>
        <w:t xml:space="preserve">be </w:t>
      </w:r>
      <w:r w:rsidR="009220C4" w:rsidRPr="00781BD2">
        <w:rPr>
          <w:rFonts w:ascii="Times New Roman" w:hAnsi="Times New Roman" w:cs="AGaramond-Italic"/>
          <w:iCs/>
          <w:szCs w:val="20"/>
          <w:lang w:val="en-US"/>
        </w:rPr>
        <w:t xml:space="preserve">more effective than </w:t>
      </w:r>
      <w:r w:rsidR="009220C4" w:rsidRPr="00781BD2">
        <w:rPr>
          <w:rFonts w:ascii="Times New Roman" w:hAnsi="Times New Roman"/>
          <w:lang w:val="en-US"/>
        </w:rPr>
        <w:t xml:space="preserve">tizoxanide, presenting higher Selectivity Indexes in different models of </w:t>
      </w:r>
      <w:r w:rsidR="009220C4" w:rsidRPr="00781BD2">
        <w:rPr>
          <w:rFonts w:ascii="Times New Roman" w:hAnsi="Times New Roman"/>
          <w:i/>
          <w:lang w:val="en-US"/>
        </w:rPr>
        <w:t>in vitro</w:t>
      </w:r>
      <w:r w:rsidR="009220C4" w:rsidRPr="00781BD2">
        <w:rPr>
          <w:rFonts w:ascii="Times New Roman" w:hAnsi="Times New Roman"/>
          <w:lang w:val="en-US"/>
        </w:rPr>
        <w:t xml:space="preserve"> RNA virus infection, including</w:t>
      </w:r>
      <w:r w:rsidR="009220C4" w:rsidRPr="00781BD2">
        <w:t xml:space="preserve"> influenza A virus (PR8 and WSN strains) and the parainfluenza Sendai virus.</w:t>
      </w:r>
      <w:r w:rsidR="007908CE" w:rsidRPr="00781BD2">
        <w:t xml:space="preserve"> The improved bioavailability offered by RM5071 compared to NTZ is promising for the wider use of thiazolides against non-gastrointestinal parasites</w:t>
      </w:r>
      <w:r w:rsidR="00581855" w:rsidRPr="00781BD2">
        <w:t xml:space="preserve"> and for antiviral indications</w:t>
      </w:r>
      <w:r w:rsidR="007908CE" w:rsidRPr="00781BD2">
        <w:t>.</w:t>
      </w:r>
    </w:p>
    <w:p w:rsidR="00D43D3D" w:rsidRPr="00781BD2" w:rsidRDefault="00D43D3D" w:rsidP="005363D0">
      <w:pPr>
        <w:spacing w:line="360" w:lineRule="auto"/>
        <w:jc w:val="both"/>
      </w:pPr>
    </w:p>
    <w:p w:rsidR="00D43D3D" w:rsidRPr="00781BD2" w:rsidRDefault="00D43D3D" w:rsidP="005363D0">
      <w:pPr>
        <w:spacing w:line="360" w:lineRule="auto"/>
        <w:jc w:val="both"/>
        <w:rPr>
          <w:b/>
        </w:rPr>
      </w:pPr>
      <w:r w:rsidRPr="00781BD2">
        <w:rPr>
          <w:b/>
        </w:rPr>
        <w:t>Future perspective</w:t>
      </w:r>
    </w:p>
    <w:p w:rsidR="009C5003" w:rsidRPr="00781BD2" w:rsidRDefault="00D43D3D" w:rsidP="005363D0">
      <w:pPr>
        <w:spacing w:line="360" w:lineRule="auto"/>
        <w:jc w:val="both"/>
      </w:pPr>
      <w:r w:rsidRPr="00781BD2">
        <w:t>The coronavirus pandemic has highlighted the need for small molecule drugs as antiviral agents.</w:t>
      </w:r>
      <w:r w:rsidR="00FA32C6" w:rsidRPr="00781BD2">
        <w:t xml:space="preserve"> These will complement immunisation programmes </w:t>
      </w:r>
      <w:r w:rsidR="00EE0475" w:rsidRPr="00781BD2">
        <w:t>and may be considered for both prophylactic and therapeutic roles. Nevertheless, poor solubility and absorption have restricted the use of many earlier generation antivirals.</w:t>
      </w:r>
      <w:r w:rsidR="00CB5697" w:rsidRPr="00781BD2">
        <w:t xml:space="preserve"> In the case of nitazoxanide</w:t>
      </w:r>
      <w:r w:rsidR="00724617" w:rsidRPr="00781BD2">
        <w:t xml:space="preserve"> (NTZ)</w:t>
      </w:r>
      <w:r w:rsidR="00CB5697" w:rsidRPr="00781BD2">
        <w:t>, where the absolute bioavailability is &lt;5%, we have demonstrated that t</w:t>
      </w:r>
      <w:r w:rsidR="00724617" w:rsidRPr="00781BD2">
        <w:t xml:space="preserve">he ethanolamine salt, exploiting </w:t>
      </w:r>
      <w:r w:rsidR="00BE1D10" w:rsidRPr="00781BD2">
        <w:t>NTZ’</w:t>
      </w:r>
      <w:r w:rsidR="00724617" w:rsidRPr="00781BD2">
        <w:t xml:space="preserve">s relatively high acidity, affords a much more soluble formulation. The good cellular tolerance of this salt, combined with maintenance </w:t>
      </w:r>
      <w:r w:rsidR="00285503" w:rsidRPr="00781BD2">
        <w:t>of good antiviral activity and the broad SAR of the thiazolides, which we demonstrated previously, should make it a valuable antiviral agent which can be employed for many indications.</w:t>
      </w:r>
      <w:r w:rsidR="00BE1D10" w:rsidRPr="00781BD2">
        <w:t xml:space="preserve"> We believe this derivative will maintain and enhance the value of thiazolides as antivirals.</w:t>
      </w:r>
    </w:p>
    <w:p w:rsidR="009C5003" w:rsidRPr="00781BD2" w:rsidRDefault="009C5003" w:rsidP="005363D0">
      <w:pPr>
        <w:spacing w:line="360" w:lineRule="auto"/>
        <w:jc w:val="both"/>
      </w:pPr>
    </w:p>
    <w:p w:rsidR="009B5A47" w:rsidRPr="00781BD2" w:rsidRDefault="009C5003" w:rsidP="005363D0">
      <w:pPr>
        <w:spacing w:line="360" w:lineRule="auto"/>
        <w:jc w:val="both"/>
        <w:rPr>
          <w:b/>
        </w:rPr>
      </w:pPr>
      <w:r w:rsidRPr="00781BD2">
        <w:rPr>
          <w:b/>
        </w:rPr>
        <w:t>Summary points</w:t>
      </w:r>
    </w:p>
    <w:p w:rsidR="00B42C6A" w:rsidRPr="00781BD2" w:rsidRDefault="009B5A47" w:rsidP="005363D0">
      <w:pPr>
        <w:spacing w:line="360" w:lineRule="auto"/>
        <w:jc w:val="both"/>
        <w:rPr>
          <w:b/>
        </w:rPr>
      </w:pPr>
      <w:r w:rsidRPr="00781BD2">
        <w:rPr>
          <w:b/>
        </w:rPr>
        <w:t>Thiazolides as antiviral agents</w:t>
      </w:r>
    </w:p>
    <w:p w:rsidR="0042086B" w:rsidRPr="00781BD2" w:rsidRDefault="00B42C6A" w:rsidP="00074FB9">
      <w:pPr>
        <w:pStyle w:val="ListParagraph"/>
        <w:numPr>
          <w:ilvl w:val="0"/>
          <w:numId w:val="11"/>
        </w:numPr>
        <w:spacing w:line="360" w:lineRule="auto"/>
        <w:jc w:val="both"/>
      </w:pPr>
      <w:r w:rsidRPr="00781BD2">
        <w:t>The thiazolides, typified by nitazoxanide, are broad-spectrum antiviral agents.</w:t>
      </w:r>
    </w:p>
    <w:p w:rsidR="00B42C6A" w:rsidRPr="00781BD2" w:rsidRDefault="0042086B" w:rsidP="00074FB9">
      <w:pPr>
        <w:pStyle w:val="ListParagraph"/>
        <w:numPr>
          <w:ilvl w:val="0"/>
          <w:numId w:val="11"/>
        </w:numPr>
        <w:spacing w:line="360" w:lineRule="auto"/>
        <w:jc w:val="both"/>
      </w:pPr>
      <w:r w:rsidRPr="00781BD2">
        <w:t>Tizoxanide is the act</w:t>
      </w:r>
      <w:r w:rsidR="00693D21" w:rsidRPr="00781BD2">
        <w:t>ive circulating metabolite of ni</w:t>
      </w:r>
      <w:r w:rsidRPr="00781BD2">
        <w:t>tazoxanide in vivo.</w:t>
      </w:r>
    </w:p>
    <w:p w:rsidR="0042086B" w:rsidRPr="00781BD2" w:rsidRDefault="00B42C6A" w:rsidP="00074FB9">
      <w:pPr>
        <w:pStyle w:val="ListParagraph"/>
        <w:numPr>
          <w:ilvl w:val="0"/>
          <w:numId w:val="11"/>
        </w:numPr>
        <w:spacing w:line="360" w:lineRule="auto"/>
        <w:jc w:val="both"/>
      </w:pPr>
      <w:r w:rsidRPr="00781BD2">
        <w:t xml:space="preserve">The SAR </w:t>
      </w:r>
      <w:r w:rsidR="0042086B" w:rsidRPr="00781BD2">
        <w:t xml:space="preserve">of thiazolides </w:t>
      </w:r>
      <w:r w:rsidRPr="00781BD2">
        <w:t>includes activity against respiratory diseases such as COVID-19.</w:t>
      </w:r>
    </w:p>
    <w:p w:rsidR="0042086B" w:rsidRPr="00781BD2" w:rsidRDefault="00074FB9" w:rsidP="005363D0">
      <w:pPr>
        <w:spacing w:line="360" w:lineRule="auto"/>
        <w:jc w:val="both"/>
        <w:rPr>
          <w:b/>
        </w:rPr>
      </w:pPr>
      <w:r w:rsidRPr="00781BD2">
        <w:rPr>
          <w:b/>
        </w:rPr>
        <w:t>Amine s</w:t>
      </w:r>
      <w:r w:rsidR="0042086B" w:rsidRPr="00781BD2">
        <w:rPr>
          <w:b/>
        </w:rPr>
        <w:t>alt derivatives</w:t>
      </w:r>
    </w:p>
    <w:p w:rsidR="00E04623" w:rsidRPr="00781BD2" w:rsidRDefault="0042086B" w:rsidP="00301944">
      <w:pPr>
        <w:pStyle w:val="ListParagraph"/>
        <w:numPr>
          <w:ilvl w:val="0"/>
          <w:numId w:val="8"/>
        </w:numPr>
        <w:spacing w:line="360" w:lineRule="auto"/>
        <w:jc w:val="both"/>
      </w:pPr>
      <w:r w:rsidRPr="00781BD2">
        <w:t>A number of amine salt derivatives of tizoxanide and its 5-chloro analogue have been prepared.</w:t>
      </w:r>
    </w:p>
    <w:p w:rsidR="009C4E8A" w:rsidRPr="00781BD2" w:rsidRDefault="00C205B6" w:rsidP="00301944">
      <w:pPr>
        <w:pStyle w:val="ListParagraph"/>
        <w:numPr>
          <w:ilvl w:val="0"/>
          <w:numId w:val="8"/>
        </w:numPr>
        <w:spacing w:line="360" w:lineRule="auto"/>
        <w:jc w:val="both"/>
      </w:pPr>
      <w:r w:rsidRPr="00781BD2">
        <w:t>The</w:t>
      </w:r>
      <w:r w:rsidR="00E04623" w:rsidRPr="00781BD2">
        <w:t xml:space="preserve"> salts </w:t>
      </w:r>
      <w:r w:rsidR="000C4135" w:rsidRPr="00781BD2">
        <w:t xml:space="preserve">had </w:t>
      </w:r>
      <w:r w:rsidRPr="00781BD2">
        <w:t>greatly improved</w:t>
      </w:r>
      <w:r w:rsidR="000C4135" w:rsidRPr="00781BD2">
        <w:t xml:space="preserve"> aqueous solubility</w:t>
      </w:r>
      <w:r w:rsidRPr="00781BD2">
        <w:t xml:space="preserve"> compared to the parent drugs and good crystalline form.</w:t>
      </w:r>
    </w:p>
    <w:p w:rsidR="009C4E8A" w:rsidRPr="00781BD2" w:rsidRDefault="009C4E8A" w:rsidP="005363D0">
      <w:pPr>
        <w:spacing w:line="360" w:lineRule="auto"/>
        <w:jc w:val="both"/>
        <w:rPr>
          <w:b/>
        </w:rPr>
      </w:pPr>
      <w:r w:rsidRPr="00781BD2">
        <w:rPr>
          <w:b/>
        </w:rPr>
        <w:t>Biological data</w:t>
      </w:r>
    </w:p>
    <w:p w:rsidR="00B64946" w:rsidRPr="00781BD2" w:rsidRDefault="009C4E8A" w:rsidP="00301944">
      <w:pPr>
        <w:pStyle w:val="ListParagraph"/>
        <w:numPr>
          <w:ilvl w:val="0"/>
          <w:numId w:val="9"/>
        </w:numPr>
        <w:spacing w:line="360" w:lineRule="auto"/>
        <w:jc w:val="both"/>
      </w:pPr>
      <w:r w:rsidRPr="00781BD2">
        <w:t xml:space="preserve">The ethanolamine salt </w:t>
      </w:r>
      <w:r w:rsidR="00291A17" w:rsidRPr="00781BD2">
        <w:t xml:space="preserve">RM5071 </w:t>
      </w:r>
      <w:r w:rsidRPr="00781BD2">
        <w:t>of tizoxanide</w:t>
      </w:r>
      <w:r w:rsidR="00B64946" w:rsidRPr="00781BD2">
        <w:t xml:space="preserve"> retained the activity of the parent and was slightly better tolerated in </w:t>
      </w:r>
      <w:r w:rsidR="006E0751" w:rsidRPr="00781BD2">
        <w:t>the</w:t>
      </w:r>
      <w:r w:rsidR="00B64946" w:rsidRPr="00781BD2">
        <w:t xml:space="preserve"> MDCK cell line.</w:t>
      </w:r>
    </w:p>
    <w:p w:rsidR="00291A17" w:rsidRPr="00781BD2" w:rsidRDefault="00291A17" w:rsidP="00301944">
      <w:pPr>
        <w:pStyle w:val="ListParagraph"/>
        <w:numPr>
          <w:ilvl w:val="0"/>
          <w:numId w:val="9"/>
        </w:numPr>
        <w:spacing w:line="360" w:lineRule="auto"/>
        <w:jc w:val="both"/>
      </w:pPr>
      <w:r w:rsidRPr="00781BD2">
        <w:t>RM5071 was rapidly absorbed, achieved higher plasma levels and showed</w:t>
      </w:r>
      <w:r w:rsidR="00B64946" w:rsidRPr="00781BD2">
        <w:t xml:space="preserve"> less variability of absorption than the parent.</w:t>
      </w:r>
    </w:p>
    <w:p w:rsidR="00291A17" w:rsidRPr="00781BD2" w:rsidRDefault="00291A17" w:rsidP="005363D0">
      <w:pPr>
        <w:spacing w:line="360" w:lineRule="auto"/>
        <w:jc w:val="both"/>
        <w:rPr>
          <w:b/>
        </w:rPr>
      </w:pPr>
      <w:r w:rsidRPr="00781BD2">
        <w:rPr>
          <w:b/>
        </w:rPr>
        <w:t>Structural properties</w:t>
      </w:r>
    </w:p>
    <w:p w:rsidR="00B032FC" w:rsidRPr="00781BD2" w:rsidRDefault="00291A17" w:rsidP="00074FB9">
      <w:pPr>
        <w:pStyle w:val="ListParagraph"/>
        <w:numPr>
          <w:ilvl w:val="0"/>
          <w:numId w:val="10"/>
        </w:numPr>
        <w:spacing w:line="360" w:lineRule="auto"/>
        <w:jc w:val="both"/>
      </w:pPr>
      <w:r w:rsidRPr="00781BD2">
        <w:t xml:space="preserve">RM5071 </w:t>
      </w:r>
      <w:r w:rsidR="00B032FC" w:rsidRPr="00781BD2">
        <w:t>gave crystals suitable for X-ray structure determination.</w:t>
      </w:r>
    </w:p>
    <w:p w:rsidR="00291A17" w:rsidRPr="00781BD2" w:rsidRDefault="00B032FC" w:rsidP="00074FB9">
      <w:pPr>
        <w:pStyle w:val="ListParagraph"/>
        <w:numPr>
          <w:ilvl w:val="0"/>
          <w:numId w:val="10"/>
        </w:numPr>
        <w:spacing w:line="360" w:lineRule="auto"/>
        <w:jc w:val="both"/>
      </w:pPr>
      <w:r w:rsidRPr="00781BD2">
        <w:t>The structure shows the compound is a true salt with the thiazolide portion as an anion.</w:t>
      </w:r>
    </w:p>
    <w:p w:rsidR="00102344" w:rsidRPr="00781BD2" w:rsidRDefault="00102344" w:rsidP="000652B4">
      <w:pPr>
        <w:spacing w:line="360" w:lineRule="auto"/>
        <w:rPr>
          <w:rFonts w:eastAsia="Cambria"/>
        </w:rPr>
      </w:pPr>
    </w:p>
    <w:p w:rsidR="009F2ADA" w:rsidRPr="00781BD2" w:rsidRDefault="009F2ADA" w:rsidP="009F2ADA">
      <w:pPr>
        <w:spacing w:line="360" w:lineRule="auto"/>
        <w:rPr>
          <w:b/>
          <w:bCs/>
          <w:lang w:eastAsia="en-GB"/>
        </w:rPr>
      </w:pPr>
      <w:r w:rsidRPr="00781BD2">
        <w:rPr>
          <w:b/>
          <w:bCs/>
          <w:lang w:eastAsia="en-GB"/>
        </w:rPr>
        <w:t xml:space="preserve">Acknowledgements </w:t>
      </w:r>
    </w:p>
    <w:p w:rsidR="00013A19" w:rsidRPr="00781BD2" w:rsidRDefault="00ED3794" w:rsidP="009F2ADA">
      <w:pPr>
        <w:spacing w:line="360" w:lineRule="auto"/>
        <w:rPr>
          <w:lang w:eastAsia="en-GB"/>
        </w:rPr>
      </w:pPr>
      <w:r w:rsidRPr="00781BD2">
        <w:rPr>
          <w:lang w:eastAsia="en-GB"/>
        </w:rPr>
        <w:t>Separately recorded.</w:t>
      </w:r>
    </w:p>
    <w:p w:rsidR="002C7521" w:rsidRPr="00781BD2" w:rsidRDefault="00EC25A8" w:rsidP="009F2ADA">
      <w:pPr>
        <w:spacing w:line="360" w:lineRule="auto"/>
        <w:rPr>
          <w:b/>
          <w:lang w:eastAsia="en-GB"/>
        </w:rPr>
      </w:pPr>
      <w:r w:rsidRPr="00781BD2">
        <w:rPr>
          <w:b/>
          <w:lang w:eastAsia="en-GB"/>
        </w:rPr>
        <w:t xml:space="preserve">Appendix A. </w:t>
      </w:r>
      <w:r w:rsidR="00013A19" w:rsidRPr="00781BD2">
        <w:rPr>
          <w:b/>
          <w:lang w:eastAsia="en-GB"/>
        </w:rPr>
        <w:t>Supp</w:t>
      </w:r>
      <w:r w:rsidRPr="00781BD2">
        <w:rPr>
          <w:b/>
          <w:lang w:eastAsia="en-GB"/>
        </w:rPr>
        <w:t>lementary data</w:t>
      </w:r>
      <w:r w:rsidR="00013A19" w:rsidRPr="00781BD2">
        <w:rPr>
          <w:b/>
          <w:lang w:eastAsia="en-GB"/>
        </w:rPr>
        <w:t xml:space="preserve"> </w:t>
      </w:r>
    </w:p>
    <w:p w:rsidR="009A4968" w:rsidRPr="00781BD2" w:rsidRDefault="002C7521" w:rsidP="00C25048">
      <w:pPr>
        <w:spacing w:line="360" w:lineRule="auto"/>
        <w:rPr>
          <w:rFonts w:ascii="Times New Roman" w:eastAsia="Times New Roman" w:hAnsi="Times New Roman"/>
          <w:lang w:eastAsia="en-GB"/>
        </w:rPr>
      </w:pPr>
      <w:r w:rsidRPr="00781BD2">
        <w:rPr>
          <w:lang w:eastAsia="en-GB"/>
        </w:rPr>
        <w:t xml:space="preserve">Synthesis and characterization of compounds </w:t>
      </w:r>
      <w:r w:rsidRPr="00781BD2">
        <w:rPr>
          <w:b/>
          <w:lang w:eastAsia="en-GB"/>
        </w:rPr>
        <w:t>11-16</w:t>
      </w:r>
      <w:r w:rsidRPr="00781BD2">
        <w:rPr>
          <w:lang w:eastAsia="en-GB"/>
        </w:rPr>
        <w:t xml:space="preserve">; </w:t>
      </w:r>
      <w:r w:rsidR="008F383B" w:rsidRPr="00781BD2">
        <w:rPr>
          <w:lang w:eastAsia="en-GB"/>
        </w:rPr>
        <w:t xml:space="preserve">details </w:t>
      </w:r>
      <w:r w:rsidR="005A13A2" w:rsidRPr="00781BD2">
        <w:rPr>
          <w:lang w:eastAsia="en-GB"/>
        </w:rPr>
        <w:t>of pharmacokinetic methods used; supplementary X-ray crystallographic data.</w:t>
      </w:r>
      <w:r w:rsidR="00EC25A8" w:rsidRPr="00781BD2">
        <w:rPr>
          <w:lang w:eastAsia="en-GB"/>
        </w:rPr>
        <w:t xml:space="preserve"> </w:t>
      </w:r>
      <w:r w:rsidR="009A4968" w:rsidRPr="00781BD2">
        <w:rPr>
          <w:lang w:eastAsia="en-GB"/>
        </w:rPr>
        <w:t xml:space="preserve">The X-ray </w:t>
      </w:r>
      <w:r w:rsidR="00C25048" w:rsidRPr="00781BD2">
        <w:rPr>
          <w:lang w:eastAsia="en-GB"/>
        </w:rPr>
        <w:t xml:space="preserve">crystal </w:t>
      </w:r>
      <w:r w:rsidR="009A4968" w:rsidRPr="00781BD2">
        <w:rPr>
          <w:lang w:eastAsia="en-GB"/>
        </w:rPr>
        <w:t xml:space="preserve">structure </w:t>
      </w:r>
      <w:r w:rsidR="00C25048" w:rsidRPr="00781BD2">
        <w:rPr>
          <w:lang w:eastAsia="en-GB"/>
        </w:rPr>
        <w:t>has been deposited as</w:t>
      </w:r>
      <w:r w:rsidR="00EC25A8" w:rsidRPr="00781BD2">
        <w:rPr>
          <w:lang w:eastAsia="en-GB"/>
        </w:rPr>
        <w:t xml:space="preserve"> </w:t>
      </w:r>
      <w:r w:rsidR="009A4968" w:rsidRPr="00781BD2">
        <w:rPr>
          <w:rFonts w:ascii="Times New Roman" w:eastAsia="Times New Roman" w:hAnsi="Times New Roman"/>
          <w:lang w:eastAsia="en-GB"/>
        </w:rPr>
        <w:t>CCDC-2056214</w:t>
      </w:r>
      <w:r w:rsidR="00C25048" w:rsidRPr="00781BD2">
        <w:rPr>
          <w:rFonts w:ascii="Times New Roman" w:eastAsia="Times New Roman" w:hAnsi="Times New Roman"/>
          <w:lang w:eastAsia="en-GB"/>
        </w:rPr>
        <w:t>.</w:t>
      </w:r>
    </w:p>
    <w:p w:rsidR="00AC5575" w:rsidRPr="00781BD2" w:rsidRDefault="00AC5575" w:rsidP="00E636D9">
      <w:pPr>
        <w:spacing w:line="360" w:lineRule="auto"/>
        <w:rPr>
          <w:lang w:eastAsia="en-GB"/>
        </w:rPr>
      </w:pPr>
    </w:p>
    <w:p w:rsidR="00102344" w:rsidRPr="00781BD2" w:rsidRDefault="00102344" w:rsidP="00E636D9">
      <w:pPr>
        <w:spacing w:line="360" w:lineRule="auto"/>
        <w:rPr>
          <w:b/>
          <w:bCs/>
        </w:rPr>
      </w:pPr>
      <w:r w:rsidRPr="00781BD2">
        <w:rPr>
          <w:b/>
          <w:bCs/>
        </w:rPr>
        <w:t>References</w:t>
      </w:r>
    </w:p>
    <w:p w:rsidR="00D7304E" w:rsidRPr="00781BD2" w:rsidRDefault="00DD48BB" w:rsidP="00AF4013">
      <w:pPr>
        <w:spacing w:line="360" w:lineRule="auto"/>
        <w:rPr>
          <w:sz w:val="22"/>
          <w:szCs w:val="22"/>
          <w:lang w:eastAsia="en-GB"/>
        </w:rPr>
      </w:pPr>
      <w:r w:rsidRPr="00781BD2">
        <w:rPr>
          <w:sz w:val="22"/>
          <w:szCs w:val="22"/>
          <w:lang w:eastAsia="en-GB"/>
        </w:rPr>
        <w:t xml:space="preserve">1. </w:t>
      </w:r>
      <w:r w:rsidR="00D7304E" w:rsidRPr="00781BD2">
        <w:rPr>
          <w:sz w:val="22"/>
          <w:szCs w:val="22"/>
          <w:lang w:eastAsia="en-GB"/>
        </w:rPr>
        <w:t>Rossignol</w:t>
      </w:r>
      <w:r w:rsidRPr="00781BD2">
        <w:rPr>
          <w:sz w:val="22"/>
          <w:szCs w:val="22"/>
          <w:lang w:eastAsia="en-GB"/>
        </w:rPr>
        <w:t xml:space="preserve"> JF</w:t>
      </w:r>
      <w:r w:rsidR="008158AC" w:rsidRPr="00781BD2">
        <w:rPr>
          <w:sz w:val="22"/>
          <w:szCs w:val="22"/>
          <w:lang w:eastAsia="en-GB"/>
        </w:rPr>
        <w:t>,</w:t>
      </w:r>
      <w:r w:rsidR="00D7304E" w:rsidRPr="00781BD2">
        <w:rPr>
          <w:sz w:val="22"/>
          <w:szCs w:val="22"/>
          <w:lang w:eastAsia="en-GB"/>
        </w:rPr>
        <w:t xml:space="preserve"> Cavier</w:t>
      </w:r>
      <w:r w:rsidRPr="00781BD2">
        <w:rPr>
          <w:sz w:val="22"/>
          <w:szCs w:val="22"/>
          <w:lang w:eastAsia="en-GB"/>
        </w:rPr>
        <w:t xml:space="preserve"> R</w:t>
      </w:r>
      <w:r w:rsidR="008158AC" w:rsidRPr="00781BD2">
        <w:rPr>
          <w:sz w:val="22"/>
          <w:szCs w:val="22"/>
          <w:lang w:eastAsia="en-GB"/>
        </w:rPr>
        <w:t>.</w:t>
      </w:r>
      <w:r w:rsidR="00D7304E" w:rsidRPr="00781BD2">
        <w:rPr>
          <w:sz w:val="22"/>
          <w:szCs w:val="22"/>
          <w:lang w:eastAsia="en-GB"/>
        </w:rPr>
        <w:t xml:space="preserve"> </w:t>
      </w:r>
      <w:r w:rsidR="00867D9D" w:rsidRPr="00781BD2">
        <w:rPr>
          <w:rFonts w:cs="AdvOT863180fb"/>
          <w:sz w:val="22"/>
          <w:szCs w:val="13"/>
          <w:lang w:val="en-US"/>
        </w:rPr>
        <w:t>2-Benzamido-5-Nitrothiazoles</w:t>
      </w:r>
      <w:r w:rsidR="003B5353" w:rsidRPr="00781BD2">
        <w:rPr>
          <w:rFonts w:cs="AdvOT863180fb"/>
          <w:sz w:val="22"/>
          <w:szCs w:val="13"/>
          <w:lang w:val="en-US"/>
        </w:rPr>
        <w:t>.</w:t>
      </w:r>
      <w:r w:rsidR="00867D9D" w:rsidRPr="00781BD2">
        <w:rPr>
          <w:rFonts w:ascii="AdvOT863180fb" w:hAnsi="AdvOT863180fb" w:cs="AdvOT863180fb"/>
          <w:sz w:val="13"/>
          <w:szCs w:val="13"/>
          <w:lang w:val="en-US"/>
        </w:rPr>
        <w:t>,</w:t>
      </w:r>
      <w:r w:rsidR="000B0601" w:rsidRPr="00781BD2">
        <w:rPr>
          <w:rFonts w:ascii="AdvOT863180fb" w:hAnsi="AdvOT863180fb" w:cs="AdvOT863180fb"/>
          <w:sz w:val="13"/>
          <w:szCs w:val="13"/>
          <w:lang w:val="en-US"/>
        </w:rPr>
        <w:t xml:space="preserve"> </w:t>
      </w:r>
      <w:r w:rsidR="00D7304E" w:rsidRPr="00781BD2">
        <w:rPr>
          <w:i/>
          <w:iCs/>
          <w:sz w:val="22"/>
          <w:szCs w:val="22"/>
          <w:lang w:eastAsia="en-GB"/>
        </w:rPr>
        <w:t>Chem. Abstr.</w:t>
      </w:r>
      <w:r w:rsidR="00D7304E" w:rsidRPr="00781BD2">
        <w:rPr>
          <w:sz w:val="22"/>
          <w:szCs w:val="22"/>
          <w:lang w:eastAsia="en-GB"/>
        </w:rPr>
        <w:t xml:space="preserve"> </w:t>
      </w:r>
      <w:r w:rsidR="00867D9D" w:rsidRPr="00781BD2">
        <w:rPr>
          <w:sz w:val="22"/>
          <w:szCs w:val="22"/>
          <w:lang w:eastAsia="en-GB"/>
        </w:rPr>
        <w:t xml:space="preserve"> 83</w:t>
      </w:r>
      <w:r w:rsidR="003B5353" w:rsidRPr="00781BD2">
        <w:rPr>
          <w:sz w:val="22"/>
          <w:szCs w:val="22"/>
          <w:lang w:eastAsia="en-GB"/>
        </w:rPr>
        <w:t>,</w:t>
      </w:r>
      <w:r w:rsidR="00867D9D" w:rsidRPr="00781BD2">
        <w:rPr>
          <w:sz w:val="22"/>
          <w:szCs w:val="22"/>
          <w:lang w:eastAsia="en-GB"/>
        </w:rPr>
        <w:t xml:space="preserve"> </w:t>
      </w:r>
      <w:r w:rsidR="003B5353" w:rsidRPr="00781BD2">
        <w:rPr>
          <w:sz w:val="22"/>
          <w:szCs w:val="22"/>
          <w:lang w:eastAsia="en-GB"/>
        </w:rPr>
        <w:t xml:space="preserve">28216n </w:t>
      </w:r>
      <w:r w:rsidR="00867D9D" w:rsidRPr="00781BD2">
        <w:rPr>
          <w:sz w:val="22"/>
          <w:szCs w:val="22"/>
          <w:lang w:eastAsia="en-GB"/>
        </w:rPr>
        <w:t>(</w:t>
      </w:r>
      <w:r w:rsidR="00D7304E" w:rsidRPr="00781BD2">
        <w:rPr>
          <w:sz w:val="22"/>
          <w:szCs w:val="22"/>
          <w:lang w:eastAsia="en-GB"/>
        </w:rPr>
        <w:t>1975</w:t>
      </w:r>
      <w:r w:rsidR="00867D9D" w:rsidRPr="00781BD2">
        <w:rPr>
          <w:sz w:val="22"/>
          <w:szCs w:val="22"/>
          <w:lang w:eastAsia="en-GB"/>
        </w:rPr>
        <w:t>)</w:t>
      </w:r>
      <w:r w:rsidR="00D7304E" w:rsidRPr="00781BD2">
        <w:rPr>
          <w:sz w:val="22"/>
          <w:szCs w:val="22"/>
          <w:lang w:eastAsia="en-GB"/>
        </w:rPr>
        <w:t xml:space="preserve">. </w:t>
      </w:r>
    </w:p>
    <w:p w:rsidR="00E7291B" w:rsidRPr="00781BD2" w:rsidRDefault="00C02539" w:rsidP="00AF4013">
      <w:pPr>
        <w:spacing w:line="360" w:lineRule="auto"/>
        <w:rPr>
          <w:sz w:val="22"/>
          <w:szCs w:val="22"/>
          <w:lang w:eastAsia="en-GB"/>
        </w:rPr>
      </w:pPr>
      <w:r w:rsidRPr="00781BD2">
        <w:rPr>
          <w:sz w:val="22"/>
          <w:szCs w:val="22"/>
          <w:lang w:eastAsia="en-GB"/>
        </w:rPr>
        <w:t>2.</w:t>
      </w:r>
      <w:r w:rsidR="00E7291B" w:rsidRPr="00781BD2">
        <w:rPr>
          <w:sz w:val="22"/>
          <w:szCs w:val="22"/>
          <w:lang w:eastAsia="en-GB"/>
        </w:rPr>
        <w:t xml:space="preserve"> </w:t>
      </w:r>
      <w:r w:rsidR="005F4A62" w:rsidRPr="00781BD2">
        <w:rPr>
          <w:sz w:val="22"/>
          <w:szCs w:val="22"/>
          <w:lang w:eastAsia="en-GB"/>
        </w:rPr>
        <w:t>Frayha</w:t>
      </w:r>
      <w:r w:rsidRPr="00781BD2">
        <w:rPr>
          <w:sz w:val="22"/>
          <w:szCs w:val="22"/>
          <w:lang w:eastAsia="en-GB"/>
        </w:rPr>
        <w:t xml:space="preserve"> GJ</w:t>
      </w:r>
      <w:r w:rsidR="005F4A62" w:rsidRPr="00781BD2">
        <w:rPr>
          <w:sz w:val="22"/>
          <w:szCs w:val="22"/>
          <w:lang w:eastAsia="en-GB"/>
        </w:rPr>
        <w:t>, Smyth</w:t>
      </w:r>
      <w:r w:rsidRPr="00781BD2">
        <w:rPr>
          <w:sz w:val="22"/>
          <w:szCs w:val="22"/>
          <w:lang w:eastAsia="en-GB"/>
        </w:rPr>
        <w:t xml:space="preserve"> JD</w:t>
      </w:r>
      <w:r w:rsidR="005F4A62" w:rsidRPr="00781BD2">
        <w:rPr>
          <w:sz w:val="22"/>
          <w:szCs w:val="22"/>
          <w:lang w:eastAsia="en-GB"/>
        </w:rPr>
        <w:t>, Jobert</w:t>
      </w:r>
      <w:r w:rsidRPr="00781BD2">
        <w:rPr>
          <w:sz w:val="22"/>
          <w:szCs w:val="22"/>
          <w:lang w:eastAsia="en-GB"/>
        </w:rPr>
        <w:t xml:space="preserve"> JG,</w:t>
      </w:r>
      <w:r w:rsidR="005F4A62" w:rsidRPr="00781BD2">
        <w:rPr>
          <w:sz w:val="22"/>
          <w:szCs w:val="22"/>
          <w:lang w:eastAsia="en-GB"/>
        </w:rPr>
        <w:t xml:space="preserve">  Savel</w:t>
      </w:r>
      <w:r w:rsidRPr="00781BD2">
        <w:rPr>
          <w:sz w:val="22"/>
          <w:szCs w:val="22"/>
          <w:lang w:eastAsia="en-GB"/>
        </w:rPr>
        <w:t xml:space="preserve"> J.</w:t>
      </w:r>
      <w:r w:rsidR="005F4A62" w:rsidRPr="00781BD2">
        <w:rPr>
          <w:sz w:val="22"/>
          <w:szCs w:val="22"/>
          <w:lang w:eastAsia="en-GB"/>
        </w:rPr>
        <w:t xml:space="preserve"> </w:t>
      </w:r>
      <w:r w:rsidR="00D34755" w:rsidRPr="00781BD2">
        <w:rPr>
          <w:sz w:val="22"/>
          <w:szCs w:val="22"/>
          <w:lang w:eastAsia="en-GB"/>
        </w:rPr>
        <w:t>The mechanisms of action of antiprotozoal and anthelmintic drugs in man</w:t>
      </w:r>
      <w:r w:rsidRPr="00781BD2">
        <w:rPr>
          <w:sz w:val="22"/>
          <w:szCs w:val="22"/>
          <w:lang w:eastAsia="en-GB"/>
        </w:rPr>
        <w:t>.</w:t>
      </w:r>
      <w:r w:rsidR="00D34755" w:rsidRPr="00781BD2">
        <w:rPr>
          <w:sz w:val="22"/>
          <w:szCs w:val="22"/>
          <w:lang w:eastAsia="en-GB"/>
        </w:rPr>
        <w:t xml:space="preserve"> </w:t>
      </w:r>
      <w:r w:rsidR="005F4A62" w:rsidRPr="00781BD2">
        <w:rPr>
          <w:i/>
          <w:iCs/>
          <w:sz w:val="22"/>
          <w:szCs w:val="22"/>
          <w:lang w:eastAsia="en-GB"/>
        </w:rPr>
        <w:t>Gen. Pharmacol.</w:t>
      </w:r>
      <w:r w:rsidR="005F4A62" w:rsidRPr="00781BD2">
        <w:rPr>
          <w:sz w:val="22"/>
          <w:szCs w:val="22"/>
          <w:lang w:eastAsia="en-GB"/>
        </w:rPr>
        <w:t xml:space="preserve"> </w:t>
      </w:r>
      <w:r w:rsidR="00D34755" w:rsidRPr="00781BD2">
        <w:rPr>
          <w:sz w:val="22"/>
          <w:szCs w:val="22"/>
          <w:lang w:eastAsia="en-GB"/>
        </w:rPr>
        <w:t>28</w:t>
      </w:r>
      <w:r w:rsidR="007615A8" w:rsidRPr="00781BD2">
        <w:rPr>
          <w:sz w:val="22"/>
          <w:szCs w:val="22"/>
          <w:lang w:eastAsia="en-GB"/>
        </w:rPr>
        <w:t>(2)</w:t>
      </w:r>
      <w:r w:rsidRPr="00781BD2">
        <w:rPr>
          <w:sz w:val="22"/>
          <w:szCs w:val="22"/>
          <w:lang w:eastAsia="en-GB"/>
        </w:rPr>
        <w:t>,</w:t>
      </w:r>
      <w:r w:rsidR="00D34755" w:rsidRPr="00781BD2">
        <w:rPr>
          <w:sz w:val="22"/>
          <w:szCs w:val="22"/>
          <w:lang w:eastAsia="en-GB"/>
        </w:rPr>
        <w:t xml:space="preserve"> </w:t>
      </w:r>
      <w:r w:rsidRPr="00781BD2">
        <w:rPr>
          <w:sz w:val="22"/>
          <w:szCs w:val="22"/>
          <w:lang w:eastAsia="en-GB"/>
        </w:rPr>
        <w:t xml:space="preserve">273-299 </w:t>
      </w:r>
      <w:r w:rsidR="00D34755" w:rsidRPr="00781BD2">
        <w:rPr>
          <w:sz w:val="22"/>
          <w:szCs w:val="22"/>
          <w:lang w:eastAsia="en-GB"/>
        </w:rPr>
        <w:t>(</w:t>
      </w:r>
      <w:r w:rsidR="005F4A62" w:rsidRPr="00781BD2">
        <w:rPr>
          <w:sz w:val="22"/>
          <w:szCs w:val="22"/>
          <w:lang w:eastAsia="en-GB"/>
        </w:rPr>
        <w:t>1997</w:t>
      </w:r>
      <w:r w:rsidR="00D34755" w:rsidRPr="00781BD2">
        <w:rPr>
          <w:sz w:val="22"/>
          <w:szCs w:val="22"/>
          <w:lang w:eastAsia="en-GB"/>
        </w:rPr>
        <w:t>)</w:t>
      </w:r>
      <w:r w:rsidR="005F4A62" w:rsidRPr="00781BD2">
        <w:rPr>
          <w:sz w:val="22"/>
          <w:szCs w:val="22"/>
          <w:lang w:eastAsia="en-GB"/>
        </w:rPr>
        <w:t>.</w:t>
      </w:r>
    </w:p>
    <w:p w:rsidR="008172E3" w:rsidRPr="00781BD2" w:rsidRDefault="003D3D0A" w:rsidP="00AF4013">
      <w:pPr>
        <w:spacing w:line="360" w:lineRule="auto"/>
        <w:rPr>
          <w:sz w:val="22"/>
          <w:szCs w:val="22"/>
          <w:lang w:eastAsia="en-GB"/>
        </w:rPr>
      </w:pPr>
      <w:r w:rsidRPr="00781BD2">
        <w:rPr>
          <w:sz w:val="22"/>
          <w:szCs w:val="22"/>
          <w:lang w:eastAsia="en-GB"/>
        </w:rPr>
        <w:t xml:space="preserve">3. </w:t>
      </w:r>
      <w:r w:rsidR="00667826" w:rsidRPr="00781BD2">
        <w:rPr>
          <w:sz w:val="22"/>
          <w:szCs w:val="22"/>
          <w:lang w:eastAsia="en-GB"/>
        </w:rPr>
        <w:t xml:space="preserve">Cavier </w:t>
      </w:r>
      <w:r w:rsidRPr="00781BD2">
        <w:rPr>
          <w:sz w:val="22"/>
          <w:szCs w:val="22"/>
          <w:lang w:eastAsia="en-GB"/>
        </w:rPr>
        <w:t xml:space="preserve">R, </w:t>
      </w:r>
      <w:r w:rsidR="00667826" w:rsidRPr="00781BD2">
        <w:rPr>
          <w:sz w:val="22"/>
          <w:szCs w:val="22"/>
          <w:lang w:eastAsia="en-GB"/>
        </w:rPr>
        <w:t>Rossignol</w:t>
      </w:r>
      <w:r w:rsidRPr="00781BD2">
        <w:rPr>
          <w:sz w:val="22"/>
          <w:szCs w:val="22"/>
          <w:lang w:eastAsia="en-GB"/>
        </w:rPr>
        <w:t xml:space="preserve"> JF.</w:t>
      </w:r>
      <w:r w:rsidR="00667826" w:rsidRPr="00781BD2">
        <w:rPr>
          <w:sz w:val="22"/>
          <w:szCs w:val="22"/>
          <w:lang w:eastAsia="en-GB"/>
        </w:rPr>
        <w:t xml:space="preserve"> </w:t>
      </w:r>
      <w:r w:rsidR="00072477" w:rsidRPr="00781BD2">
        <w:rPr>
          <w:sz w:val="22"/>
          <w:szCs w:val="22"/>
          <w:lang w:eastAsia="en-GB"/>
        </w:rPr>
        <w:t>Pharmacologic study of va</w:t>
      </w:r>
      <w:r w:rsidR="000C6BDD" w:rsidRPr="00781BD2">
        <w:rPr>
          <w:sz w:val="22"/>
          <w:szCs w:val="22"/>
          <w:lang w:eastAsia="en-GB"/>
        </w:rPr>
        <w:t>rious anthelmintic combinations</w:t>
      </w:r>
      <w:r w:rsidRPr="00781BD2">
        <w:rPr>
          <w:sz w:val="22"/>
          <w:szCs w:val="22"/>
          <w:lang w:eastAsia="en-GB"/>
        </w:rPr>
        <w:t>.</w:t>
      </w:r>
      <w:r w:rsidR="000C6BDD" w:rsidRPr="00781BD2">
        <w:rPr>
          <w:sz w:val="22"/>
          <w:szCs w:val="22"/>
          <w:lang w:eastAsia="en-GB"/>
        </w:rPr>
        <w:t xml:space="preserve"> </w:t>
      </w:r>
      <w:r w:rsidR="00667826" w:rsidRPr="00781BD2">
        <w:rPr>
          <w:i/>
          <w:iCs/>
          <w:sz w:val="22"/>
          <w:szCs w:val="22"/>
          <w:lang w:eastAsia="en-GB"/>
        </w:rPr>
        <w:t>Rev. Med. Vet.</w:t>
      </w:r>
      <w:r w:rsidRPr="00781BD2">
        <w:rPr>
          <w:iCs/>
          <w:sz w:val="22"/>
          <w:szCs w:val="22"/>
          <w:lang w:eastAsia="en-GB"/>
        </w:rPr>
        <w:t xml:space="preserve"> </w:t>
      </w:r>
      <w:r w:rsidR="00072477" w:rsidRPr="00781BD2">
        <w:rPr>
          <w:iCs/>
          <w:sz w:val="22"/>
          <w:szCs w:val="22"/>
          <w:lang w:eastAsia="en-GB"/>
        </w:rPr>
        <w:t>133</w:t>
      </w:r>
      <w:r w:rsidR="00AA1DB8" w:rsidRPr="00781BD2">
        <w:rPr>
          <w:iCs/>
          <w:sz w:val="22"/>
          <w:szCs w:val="22"/>
          <w:lang w:eastAsia="en-GB"/>
        </w:rPr>
        <w:t>(12)</w:t>
      </w:r>
      <w:r w:rsidRPr="00781BD2">
        <w:rPr>
          <w:iCs/>
          <w:sz w:val="22"/>
          <w:szCs w:val="22"/>
          <w:lang w:eastAsia="en-GB"/>
        </w:rPr>
        <w:t>,</w:t>
      </w:r>
      <w:r w:rsidR="00667826" w:rsidRPr="00781BD2">
        <w:rPr>
          <w:i/>
          <w:iCs/>
          <w:sz w:val="22"/>
          <w:szCs w:val="22"/>
          <w:lang w:eastAsia="en-GB"/>
        </w:rPr>
        <w:t xml:space="preserve"> </w:t>
      </w:r>
      <w:r w:rsidRPr="00781BD2">
        <w:rPr>
          <w:sz w:val="22"/>
          <w:szCs w:val="22"/>
          <w:lang w:eastAsia="en-GB"/>
        </w:rPr>
        <w:t xml:space="preserve">779-783 </w:t>
      </w:r>
      <w:r w:rsidR="00072477" w:rsidRPr="00781BD2">
        <w:rPr>
          <w:iCs/>
          <w:sz w:val="22"/>
          <w:szCs w:val="22"/>
          <w:lang w:eastAsia="en-GB"/>
        </w:rPr>
        <w:t>(</w:t>
      </w:r>
      <w:r w:rsidR="00667826" w:rsidRPr="00781BD2">
        <w:rPr>
          <w:sz w:val="22"/>
          <w:szCs w:val="22"/>
          <w:lang w:eastAsia="en-GB"/>
        </w:rPr>
        <w:t>1982</w:t>
      </w:r>
      <w:r w:rsidR="00072477" w:rsidRPr="00781BD2">
        <w:rPr>
          <w:sz w:val="22"/>
          <w:szCs w:val="22"/>
          <w:lang w:eastAsia="en-GB"/>
        </w:rPr>
        <w:t>)</w:t>
      </w:r>
      <w:r w:rsidR="00667826" w:rsidRPr="00781BD2">
        <w:rPr>
          <w:sz w:val="22"/>
          <w:szCs w:val="22"/>
          <w:lang w:eastAsia="en-GB"/>
        </w:rPr>
        <w:t>.</w:t>
      </w:r>
    </w:p>
    <w:p w:rsidR="00FA5E95" w:rsidRPr="00781BD2" w:rsidRDefault="00B955BA" w:rsidP="00AF4013">
      <w:pPr>
        <w:spacing w:line="360" w:lineRule="auto"/>
        <w:rPr>
          <w:rFonts w:eastAsia="Cambria"/>
          <w:sz w:val="22"/>
          <w:szCs w:val="22"/>
        </w:rPr>
      </w:pPr>
      <w:r w:rsidRPr="00781BD2">
        <w:rPr>
          <w:sz w:val="22"/>
          <w:szCs w:val="22"/>
          <w:lang w:eastAsia="en-GB"/>
        </w:rPr>
        <w:t>4.</w:t>
      </w:r>
      <w:r w:rsidR="00A129AE" w:rsidRPr="00781BD2">
        <w:rPr>
          <w:sz w:val="22"/>
          <w:szCs w:val="22"/>
          <w:lang w:eastAsia="en-GB"/>
        </w:rPr>
        <w:t xml:space="preserve"> </w:t>
      </w:r>
      <w:r w:rsidR="00FA5E95" w:rsidRPr="00781BD2">
        <w:rPr>
          <w:sz w:val="22"/>
          <w:szCs w:val="22"/>
          <w:lang w:eastAsia="en-GB"/>
        </w:rPr>
        <w:t xml:space="preserve">Fox </w:t>
      </w:r>
      <w:r w:rsidR="006700DE" w:rsidRPr="00781BD2">
        <w:rPr>
          <w:sz w:val="22"/>
          <w:szCs w:val="22"/>
          <w:lang w:eastAsia="en-GB"/>
        </w:rPr>
        <w:t>LM,</w:t>
      </w:r>
      <w:r w:rsidR="00FA5E95" w:rsidRPr="00781BD2">
        <w:rPr>
          <w:sz w:val="22"/>
          <w:szCs w:val="22"/>
          <w:lang w:eastAsia="en-GB"/>
        </w:rPr>
        <w:t xml:space="preserve"> Saravolatz</w:t>
      </w:r>
      <w:r w:rsidR="006700DE" w:rsidRPr="00781BD2">
        <w:rPr>
          <w:sz w:val="22"/>
          <w:szCs w:val="22"/>
          <w:lang w:eastAsia="en-GB"/>
        </w:rPr>
        <w:t xml:space="preserve"> LD.</w:t>
      </w:r>
      <w:r w:rsidR="00FA5E95" w:rsidRPr="00781BD2">
        <w:rPr>
          <w:sz w:val="22"/>
          <w:szCs w:val="22"/>
          <w:lang w:eastAsia="en-GB"/>
        </w:rPr>
        <w:t xml:space="preserve"> </w:t>
      </w:r>
      <w:r w:rsidR="008D1685" w:rsidRPr="00781BD2">
        <w:rPr>
          <w:rFonts w:cs="AdvOT863180fb"/>
          <w:sz w:val="22"/>
          <w:szCs w:val="13"/>
          <w:lang w:val="en-US"/>
        </w:rPr>
        <w:t>Nitazoxanide: a new thiazolide antiparasitic agent</w:t>
      </w:r>
      <w:r w:rsidR="006700DE" w:rsidRPr="00781BD2">
        <w:rPr>
          <w:rFonts w:cs="AdvOT863180fb"/>
          <w:sz w:val="22"/>
          <w:szCs w:val="13"/>
          <w:lang w:val="en-US"/>
        </w:rPr>
        <w:t>.</w:t>
      </w:r>
      <w:r w:rsidR="008D1685" w:rsidRPr="00781BD2">
        <w:rPr>
          <w:rFonts w:cs="AdvOT863180fb"/>
          <w:sz w:val="22"/>
          <w:szCs w:val="13"/>
          <w:lang w:val="en-US"/>
        </w:rPr>
        <w:t xml:space="preserve"> </w:t>
      </w:r>
      <w:r w:rsidR="00FA5E95" w:rsidRPr="00781BD2">
        <w:rPr>
          <w:i/>
          <w:iCs/>
          <w:sz w:val="22"/>
          <w:szCs w:val="22"/>
          <w:lang w:eastAsia="en-GB"/>
        </w:rPr>
        <w:t>Clin. Infect. Dis.</w:t>
      </w:r>
      <w:r w:rsidR="008D1685" w:rsidRPr="00781BD2">
        <w:rPr>
          <w:sz w:val="22"/>
          <w:szCs w:val="22"/>
          <w:lang w:eastAsia="en-GB"/>
        </w:rPr>
        <w:t xml:space="preserve"> 40</w:t>
      </w:r>
      <w:r w:rsidR="00FE52DB" w:rsidRPr="00781BD2">
        <w:rPr>
          <w:sz w:val="22"/>
          <w:szCs w:val="22"/>
          <w:lang w:eastAsia="en-GB"/>
        </w:rPr>
        <w:t>(8)</w:t>
      </w:r>
      <w:r w:rsidR="006700DE" w:rsidRPr="00781BD2">
        <w:rPr>
          <w:sz w:val="22"/>
          <w:szCs w:val="22"/>
          <w:lang w:eastAsia="en-GB"/>
        </w:rPr>
        <w:t>,</w:t>
      </w:r>
      <w:r w:rsidR="008D1685" w:rsidRPr="00781BD2">
        <w:rPr>
          <w:sz w:val="22"/>
          <w:szCs w:val="22"/>
          <w:lang w:eastAsia="en-GB"/>
        </w:rPr>
        <w:t xml:space="preserve"> </w:t>
      </w:r>
      <w:r w:rsidR="006700DE" w:rsidRPr="00781BD2">
        <w:rPr>
          <w:rFonts w:eastAsia="Cambria"/>
          <w:sz w:val="22"/>
          <w:szCs w:val="22"/>
        </w:rPr>
        <w:t xml:space="preserve">1173-1180 </w:t>
      </w:r>
      <w:r w:rsidR="008D1685" w:rsidRPr="00781BD2">
        <w:rPr>
          <w:sz w:val="22"/>
          <w:szCs w:val="22"/>
          <w:lang w:eastAsia="en-GB"/>
        </w:rPr>
        <w:t>(</w:t>
      </w:r>
      <w:r w:rsidR="00FA5E95" w:rsidRPr="00781BD2">
        <w:rPr>
          <w:sz w:val="22"/>
          <w:szCs w:val="22"/>
          <w:lang w:eastAsia="en-GB"/>
        </w:rPr>
        <w:t>2005</w:t>
      </w:r>
      <w:r w:rsidR="006700DE" w:rsidRPr="00781BD2">
        <w:rPr>
          <w:sz w:val="22"/>
          <w:szCs w:val="22"/>
          <w:lang w:eastAsia="en-GB"/>
        </w:rPr>
        <w:t>)</w:t>
      </w:r>
      <w:r w:rsidR="00FA5E95" w:rsidRPr="00781BD2">
        <w:rPr>
          <w:rFonts w:eastAsia="Cambria"/>
          <w:sz w:val="22"/>
          <w:szCs w:val="22"/>
        </w:rPr>
        <w:t>.</w:t>
      </w:r>
    </w:p>
    <w:p w:rsidR="00351A26" w:rsidRPr="00781BD2" w:rsidRDefault="00020A68" w:rsidP="00803447">
      <w:pPr>
        <w:spacing w:line="360" w:lineRule="auto"/>
        <w:jc w:val="both"/>
        <w:rPr>
          <w:sz w:val="22"/>
          <w:szCs w:val="22"/>
        </w:rPr>
      </w:pPr>
      <w:r w:rsidRPr="00781BD2">
        <w:rPr>
          <w:rFonts w:eastAsia="Cambria"/>
          <w:sz w:val="22"/>
          <w:szCs w:val="22"/>
        </w:rPr>
        <w:t>5.</w:t>
      </w:r>
      <w:r w:rsidR="0082727A" w:rsidRPr="00781BD2">
        <w:rPr>
          <w:rFonts w:eastAsia="Cambria"/>
          <w:sz w:val="22"/>
          <w:szCs w:val="22"/>
        </w:rPr>
        <w:t xml:space="preserve"> </w:t>
      </w:r>
      <w:r w:rsidR="00B32B39" w:rsidRPr="00781BD2">
        <w:rPr>
          <w:sz w:val="22"/>
          <w:szCs w:val="22"/>
        </w:rPr>
        <w:t>Rossignol</w:t>
      </w:r>
      <w:r w:rsidR="00130AC8" w:rsidRPr="00781BD2">
        <w:rPr>
          <w:sz w:val="22"/>
          <w:szCs w:val="22"/>
        </w:rPr>
        <w:t xml:space="preserve"> JF</w:t>
      </w:r>
      <w:r w:rsidR="00B32B39" w:rsidRPr="00781BD2">
        <w:rPr>
          <w:sz w:val="22"/>
          <w:szCs w:val="22"/>
        </w:rPr>
        <w:t>, Maisonneuve</w:t>
      </w:r>
      <w:r w:rsidR="00130AC8" w:rsidRPr="00781BD2">
        <w:rPr>
          <w:sz w:val="22"/>
          <w:szCs w:val="22"/>
        </w:rPr>
        <w:t xml:space="preserve"> H.</w:t>
      </w:r>
      <w:r w:rsidR="00B32B39" w:rsidRPr="00781BD2">
        <w:rPr>
          <w:sz w:val="22"/>
          <w:szCs w:val="22"/>
        </w:rPr>
        <w:t xml:space="preserve"> Nitazoxanide in the treatment of Taenia saginata and Hymenolepis nana. </w:t>
      </w:r>
      <w:r w:rsidR="00B32B39" w:rsidRPr="00781BD2">
        <w:rPr>
          <w:i/>
          <w:sz w:val="22"/>
          <w:szCs w:val="22"/>
        </w:rPr>
        <w:t>Am. J. Trop. Med. Hyg.</w:t>
      </w:r>
      <w:r w:rsidR="00B32B39" w:rsidRPr="00781BD2">
        <w:rPr>
          <w:sz w:val="22"/>
          <w:szCs w:val="22"/>
        </w:rPr>
        <w:t xml:space="preserve"> 33</w:t>
      </w:r>
      <w:r w:rsidR="007363DB" w:rsidRPr="00781BD2">
        <w:rPr>
          <w:sz w:val="22"/>
          <w:szCs w:val="22"/>
        </w:rPr>
        <w:t>(3)</w:t>
      </w:r>
      <w:r w:rsidR="00130AC8" w:rsidRPr="00781BD2">
        <w:rPr>
          <w:sz w:val="22"/>
          <w:szCs w:val="22"/>
        </w:rPr>
        <w:t>,</w:t>
      </w:r>
      <w:r w:rsidR="00B32B39" w:rsidRPr="00781BD2">
        <w:rPr>
          <w:sz w:val="22"/>
          <w:szCs w:val="22"/>
        </w:rPr>
        <w:t xml:space="preserve"> </w:t>
      </w:r>
      <w:r w:rsidR="00130AC8" w:rsidRPr="00781BD2">
        <w:rPr>
          <w:sz w:val="22"/>
          <w:szCs w:val="22"/>
        </w:rPr>
        <w:t xml:space="preserve">511-512 </w:t>
      </w:r>
      <w:r w:rsidR="00B32B39" w:rsidRPr="00781BD2">
        <w:rPr>
          <w:sz w:val="22"/>
          <w:szCs w:val="22"/>
        </w:rPr>
        <w:t>(1984).</w:t>
      </w:r>
    </w:p>
    <w:p w:rsidR="00E2514C" w:rsidRPr="00781BD2" w:rsidRDefault="00DF7A4A" w:rsidP="00AF4013">
      <w:pPr>
        <w:spacing w:line="360" w:lineRule="auto"/>
        <w:jc w:val="both"/>
        <w:rPr>
          <w:sz w:val="22"/>
          <w:szCs w:val="22"/>
        </w:rPr>
      </w:pPr>
      <w:r w:rsidRPr="00781BD2">
        <w:rPr>
          <w:sz w:val="22"/>
          <w:szCs w:val="22"/>
        </w:rPr>
        <w:t>6.</w:t>
      </w:r>
      <w:r w:rsidR="001E584A" w:rsidRPr="00781BD2">
        <w:rPr>
          <w:sz w:val="22"/>
          <w:szCs w:val="22"/>
        </w:rPr>
        <w:t xml:space="preserve"> Doumbo</w:t>
      </w:r>
      <w:r w:rsidRPr="00781BD2">
        <w:rPr>
          <w:sz w:val="22"/>
          <w:szCs w:val="22"/>
        </w:rPr>
        <w:t xml:space="preserve"> O</w:t>
      </w:r>
      <w:r w:rsidR="001E584A" w:rsidRPr="00781BD2">
        <w:rPr>
          <w:sz w:val="22"/>
          <w:szCs w:val="22"/>
        </w:rPr>
        <w:t>, Rossignol</w:t>
      </w:r>
      <w:r w:rsidRPr="00781BD2">
        <w:rPr>
          <w:sz w:val="22"/>
          <w:szCs w:val="22"/>
        </w:rPr>
        <w:t xml:space="preserve"> JF</w:t>
      </w:r>
      <w:r w:rsidR="001E584A" w:rsidRPr="00781BD2">
        <w:rPr>
          <w:sz w:val="22"/>
          <w:szCs w:val="22"/>
        </w:rPr>
        <w:t>, Pichard</w:t>
      </w:r>
      <w:r w:rsidRPr="00781BD2">
        <w:rPr>
          <w:sz w:val="22"/>
          <w:szCs w:val="22"/>
        </w:rPr>
        <w:t xml:space="preserve"> E</w:t>
      </w:r>
      <w:r w:rsidR="0078747C" w:rsidRPr="00781BD2">
        <w:rPr>
          <w:sz w:val="22"/>
          <w:szCs w:val="22"/>
        </w:rPr>
        <w:t xml:space="preserve"> et al</w:t>
      </w:r>
      <w:r w:rsidR="006E6490" w:rsidRPr="00781BD2">
        <w:rPr>
          <w:sz w:val="22"/>
          <w:szCs w:val="22"/>
        </w:rPr>
        <w:t>.</w:t>
      </w:r>
      <w:r w:rsidR="001E584A" w:rsidRPr="00781BD2">
        <w:rPr>
          <w:sz w:val="22"/>
          <w:szCs w:val="22"/>
        </w:rPr>
        <w:t xml:space="preserve"> </w:t>
      </w:r>
      <w:r w:rsidR="00E2514C" w:rsidRPr="00781BD2">
        <w:rPr>
          <w:sz w:val="22"/>
          <w:szCs w:val="22"/>
        </w:rPr>
        <w:t>Nitazoxanide in the treatment of cryptosporidial diahorrea and other intestinal parasitic infections associated with acquired immunodeficien</w:t>
      </w:r>
      <w:r w:rsidR="006E6490" w:rsidRPr="00781BD2">
        <w:rPr>
          <w:sz w:val="22"/>
          <w:szCs w:val="22"/>
        </w:rPr>
        <w:t>cy syndrome in tropical Africa.</w:t>
      </w:r>
      <w:r w:rsidR="00E2514C" w:rsidRPr="00781BD2">
        <w:rPr>
          <w:sz w:val="22"/>
          <w:szCs w:val="22"/>
        </w:rPr>
        <w:t xml:space="preserve"> </w:t>
      </w:r>
      <w:r w:rsidR="00E2514C" w:rsidRPr="00781BD2">
        <w:rPr>
          <w:i/>
          <w:sz w:val="22"/>
          <w:szCs w:val="22"/>
        </w:rPr>
        <w:t xml:space="preserve">Am. J. Trop. Med. Hyg. </w:t>
      </w:r>
      <w:r w:rsidR="00E2514C" w:rsidRPr="00781BD2">
        <w:rPr>
          <w:sz w:val="22"/>
          <w:szCs w:val="22"/>
        </w:rPr>
        <w:t>56</w:t>
      </w:r>
      <w:r w:rsidR="00ED0E4A" w:rsidRPr="00781BD2">
        <w:rPr>
          <w:sz w:val="22"/>
          <w:szCs w:val="22"/>
        </w:rPr>
        <w:t>(6)</w:t>
      </w:r>
      <w:r w:rsidR="006E6490" w:rsidRPr="00781BD2">
        <w:rPr>
          <w:sz w:val="22"/>
          <w:szCs w:val="22"/>
        </w:rPr>
        <w:t>,</w:t>
      </w:r>
      <w:r w:rsidR="00E2514C" w:rsidRPr="00781BD2">
        <w:rPr>
          <w:sz w:val="22"/>
          <w:szCs w:val="22"/>
        </w:rPr>
        <w:t xml:space="preserve"> 637-639</w:t>
      </w:r>
      <w:r w:rsidR="006E6490" w:rsidRPr="00781BD2">
        <w:rPr>
          <w:sz w:val="22"/>
          <w:szCs w:val="22"/>
        </w:rPr>
        <w:t xml:space="preserve"> (1997)</w:t>
      </w:r>
      <w:r w:rsidR="00E2514C" w:rsidRPr="00781BD2">
        <w:rPr>
          <w:sz w:val="22"/>
          <w:szCs w:val="22"/>
        </w:rPr>
        <w:t xml:space="preserve">. </w:t>
      </w:r>
    </w:p>
    <w:p w:rsidR="0071713D" w:rsidRPr="00781BD2" w:rsidRDefault="006E6490" w:rsidP="00AF4013">
      <w:pPr>
        <w:spacing w:line="360" w:lineRule="auto"/>
        <w:rPr>
          <w:rFonts w:eastAsia="Times New Roman"/>
          <w:sz w:val="22"/>
          <w:szCs w:val="22"/>
          <w:lang w:eastAsia="en-GB"/>
        </w:rPr>
      </w:pPr>
      <w:r w:rsidRPr="00781BD2">
        <w:rPr>
          <w:rFonts w:eastAsia="Times New Roman"/>
          <w:sz w:val="22"/>
          <w:szCs w:val="22"/>
          <w:lang w:eastAsia="en-GB"/>
        </w:rPr>
        <w:t>7.</w:t>
      </w:r>
      <w:r w:rsidR="0071713D" w:rsidRPr="00781BD2">
        <w:rPr>
          <w:rFonts w:eastAsia="Times New Roman"/>
          <w:sz w:val="22"/>
          <w:szCs w:val="22"/>
          <w:lang w:eastAsia="en-GB"/>
        </w:rPr>
        <w:t xml:space="preserve"> Rossignol</w:t>
      </w:r>
      <w:r w:rsidRPr="00781BD2">
        <w:rPr>
          <w:rFonts w:eastAsia="Times New Roman"/>
          <w:sz w:val="22"/>
          <w:szCs w:val="22"/>
          <w:lang w:eastAsia="en-GB"/>
        </w:rPr>
        <w:t xml:space="preserve"> JF</w:t>
      </w:r>
      <w:r w:rsidR="0071713D" w:rsidRPr="00781BD2">
        <w:rPr>
          <w:rFonts w:eastAsia="Times New Roman"/>
          <w:sz w:val="22"/>
          <w:szCs w:val="22"/>
          <w:lang w:eastAsia="en-GB"/>
        </w:rPr>
        <w:t xml:space="preserve">, Ayoub </w:t>
      </w:r>
      <w:r w:rsidRPr="00781BD2">
        <w:rPr>
          <w:rFonts w:eastAsia="Times New Roman"/>
          <w:sz w:val="22"/>
          <w:szCs w:val="22"/>
          <w:lang w:eastAsia="en-GB"/>
        </w:rPr>
        <w:t>A,</w:t>
      </w:r>
      <w:r w:rsidR="0071713D" w:rsidRPr="00781BD2">
        <w:rPr>
          <w:rFonts w:eastAsia="Times New Roman"/>
          <w:sz w:val="22"/>
          <w:szCs w:val="22"/>
          <w:lang w:eastAsia="en-GB"/>
        </w:rPr>
        <w:t xml:space="preserve"> Ayers</w:t>
      </w:r>
      <w:r w:rsidR="006E0751" w:rsidRPr="00781BD2">
        <w:rPr>
          <w:rFonts w:eastAsia="Times New Roman"/>
          <w:sz w:val="22"/>
          <w:szCs w:val="22"/>
          <w:lang w:eastAsia="en-GB"/>
        </w:rPr>
        <w:t xml:space="preserve"> </w:t>
      </w:r>
      <w:r w:rsidRPr="00781BD2">
        <w:rPr>
          <w:rFonts w:eastAsia="Times New Roman"/>
          <w:sz w:val="22"/>
          <w:szCs w:val="22"/>
          <w:lang w:eastAsia="en-GB"/>
        </w:rPr>
        <w:t>MS.</w:t>
      </w:r>
      <w:r w:rsidR="0071713D" w:rsidRPr="00781BD2">
        <w:rPr>
          <w:rFonts w:eastAsia="Times New Roman"/>
          <w:sz w:val="22"/>
          <w:szCs w:val="22"/>
          <w:lang w:eastAsia="en-GB"/>
        </w:rPr>
        <w:t xml:space="preserve"> </w:t>
      </w:r>
      <w:r w:rsidR="00D10574" w:rsidRPr="00781BD2">
        <w:rPr>
          <w:rFonts w:eastAsia="Times New Roman"/>
          <w:sz w:val="22"/>
          <w:szCs w:val="22"/>
          <w:lang w:eastAsia="en-GB"/>
        </w:rPr>
        <w:t>Treatment of diarrhea caused by Cryptosporidium parvu</w:t>
      </w:r>
      <w:r w:rsidR="00C42D67" w:rsidRPr="00781BD2">
        <w:rPr>
          <w:rFonts w:eastAsia="Times New Roman"/>
          <w:sz w:val="22"/>
          <w:szCs w:val="22"/>
          <w:lang w:eastAsia="en-GB"/>
        </w:rPr>
        <w:t>m: a prospective randomised, dou</w:t>
      </w:r>
      <w:r w:rsidR="00D10574" w:rsidRPr="00781BD2">
        <w:rPr>
          <w:rFonts w:eastAsia="Times New Roman"/>
          <w:sz w:val="22"/>
          <w:szCs w:val="22"/>
          <w:lang w:eastAsia="en-GB"/>
        </w:rPr>
        <w:t>ble-</w:t>
      </w:r>
      <w:r w:rsidR="00C42D67" w:rsidRPr="00781BD2">
        <w:rPr>
          <w:rFonts w:eastAsia="Times New Roman"/>
          <w:sz w:val="22"/>
          <w:szCs w:val="22"/>
          <w:lang w:eastAsia="en-GB"/>
        </w:rPr>
        <w:t>blind, placebo-controlled study of nitazoxanide</w:t>
      </w:r>
      <w:r w:rsidR="00C561F9" w:rsidRPr="00781BD2">
        <w:rPr>
          <w:rFonts w:eastAsia="Times New Roman"/>
          <w:sz w:val="22"/>
          <w:szCs w:val="22"/>
          <w:lang w:eastAsia="en-GB"/>
        </w:rPr>
        <w:t>.</w:t>
      </w:r>
      <w:r w:rsidR="00C42D67" w:rsidRPr="00781BD2">
        <w:rPr>
          <w:rFonts w:eastAsia="Times New Roman"/>
          <w:sz w:val="22"/>
          <w:szCs w:val="22"/>
          <w:lang w:eastAsia="en-GB"/>
        </w:rPr>
        <w:t xml:space="preserve"> </w:t>
      </w:r>
      <w:r w:rsidR="0071713D" w:rsidRPr="00781BD2">
        <w:rPr>
          <w:rFonts w:eastAsia="Times New Roman"/>
          <w:i/>
          <w:iCs/>
          <w:sz w:val="22"/>
          <w:szCs w:val="22"/>
          <w:lang w:eastAsia="en-GB"/>
        </w:rPr>
        <w:t>J. Infect. Dis.</w:t>
      </w:r>
      <w:r w:rsidR="00C42D67" w:rsidRPr="00781BD2">
        <w:rPr>
          <w:rFonts w:eastAsia="Times New Roman"/>
          <w:sz w:val="22"/>
          <w:szCs w:val="22"/>
          <w:lang w:eastAsia="en-GB"/>
        </w:rPr>
        <w:t xml:space="preserve"> 184</w:t>
      </w:r>
      <w:r w:rsidR="00A65066" w:rsidRPr="00781BD2">
        <w:rPr>
          <w:rFonts w:eastAsia="Times New Roman"/>
          <w:sz w:val="22"/>
          <w:szCs w:val="22"/>
          <w:lang w:eastAsia="en-GB"/>
        </w:rPr>
        <w:t>(</w:t>
      </w:r>
      <w:r w:rsidR="00C53754" w:rsidRPr="00781BD2">
        <w:rPr>
          <w:rFonts w:eastAsia="Times New Roman"/>
          <w:sz w:val="22"/>
          <w:szCs w:val="22"/>
          <w:lang w:eastAsia="en-GB"/>
        </w:rPr>
        <w:t>3)</w:t>
      </w:r>
      <w:r w:rsidR="00C561F9" w:rsidRPr="00781BD2">
        <w:rPr>
          <w:rFonts w:eastAsia="Times New Roman"/>
          <w:sz w:val="22"/>
          <w:szCs w:val="22"/>
          <w:lang w:eastAsia="en-GB"/>
        </w:rPr>
        <w:t xml:space="preserve">, </w:t>
      </w:r>
      <w:r w:rsidR="0071713D" w:rsidRPr="00781BD2">
        <w:rPr>
          <w:rFonts w:eastAsia="Times New Roman"/>
          <w:sz w:val="22"/>
          <w:szCs w:val="22"/>
          <w:lang w:eastAsia="en-GB"/>
        </w:rPr>
        <w:t>103-106</w:t>
      </w:r>
      <w:r w:rsidR="00C561F9" w:rsidRPr="00781BD2">
        <w:rPr>
          <w:rFonts w:eastAsia="Times New Roman"/>
          <w:sz w:val="22"/>
          <w:szCs w:val="22"/>
          <w:lang w:eastAsia="en-GB"/>
        </w:rPr>
        <w:t xml:space="preserve"> (2001)</w:t>
      </w:r>
      <w:r w:rsidR="0071713D" w:rsidRPr="00781BD2">
        <w:rPr>
          <w:rFonts w:eastAsia="Times New Roman"/>
          <w:sz w:val="22"/>
          <w:szCs w:val="22"/>
          <w:lang w:eastAsia="en-GB"/>
        </w:rPr>
        <w:t xml:space="preserve">. </w:t>
      </w:r>
    </w:p>
    <w:p w:rsidR="00B32B39" w:rsidRPr="00781BD2" w:rsidRDefault="00104EF3" w:rsidP="00AF4013">
      <w:pPr>
        <w:spacing w:line="360" w:lineRule="auto"/>
        <w:rPr>
          <w:sz w:val="22"/>
          <w:szCs w:val="22"/>
        </w:rPr>
      </w:pPr>
      <w:r w:rsidRPr="00781BD2">
        <w:rPr>
          <w:sz w:val="22"/>
          <w:szCs w:val="22"/>
          <w:lang w:eastAsia="en-GB"/>
        </w:rPr>
        <w:t>8.</w:t>
      </w:r>
      <w:r w:rsidR="00B32B39" w:rsidRPr="00781BD2">
        <w:rPr>
          <w:sz w:val="22"/>
          <w:szCs w:val="22"/>
          <w:lang w:eastAsia="en-GB"/>
        </w:rPr>
        <w:t xml:space="preserve"> </w:t>
      </w:r>
      <w:r w:rsidR="00B32B39" w:rsidRPr="00781BD2">
        <w:rPr>
          <w:sz w:val="22"/>
          <w:szCs w:val="22"/>
        </w:rPr>
        <w:t>Müller</w:t>
      </w:r>
      <w:r w:rsidRPr="00781BD2">
        <w:rPr>
          <w:sz w:val="22"/>
          <w:szCs w:val="22"/>
        </w:rPr>
        <w:t xml:space="preserve"> J</w:t>
      </w:r>
      <w:r w:rsidR="00B32B39" w:rsidRPr="00781BD2">
        <w:rPr>
          <w:sz w:val="22"/>
          <w:szCs w:val="22"/>
        </w:rPr>
        <w:t>, Arunasalam</w:t>
      </w:r>
      <w:r w:rsidRPr="00781BD2">
        <w:rPr>
          <w:sz w:val="22"/>
          <w:szCs w:val="22"/>
        </w:rPr>
        <w:t xml:space="preserve"> N</w:t>
      </w:r>
      <w:r w:rsidR="00B32B39" w:rsidRPr="00781BD2">
        <w:rPr>
          <w:sz w:val="22"/>
          <w:szCs w:val="22"/>
        </w:rPr>
        <w:t>, Müller</w:t>
      </w:r>
      <w:r w:rsidRPr="00781BD2">
        <w:rPr>
          <w:sz w:val="22"/>
          <w:szCs w:val="22"/>
        </w:rPr>
        <w:t xml:space="preserve"> N</w:t>
      </w:r>
      <w:r w:rsidR="00B32B39" w:rsidRPr="00781BD2">
        <w:rPr>
          <w:sz w:val="22"/>
          <w:szCs w:val="22"/>
        </w:rPr>
        <w:t>, Hemphill</w:t>
      </w:r>
      <w:r w:rsidRPr="00781BD2">
        <w:rPr>
          <w:sz w:val="22"/>
          <w:szCs w:val="22"/>
        </w:rPr>
        <w:t xml:space="preserve"> A. </w:t>
      </w:r>
      <w:r w:rsidR="00B32B39" w:rsidRPr="00781BD2">
        <w:rPr>
          <w:sz w:val="22"/>
          <w:szCs w:val="22"/>
        </w:rPr>
        <w:t>Neospora caninum: Functional inhibition of protein disulfide isomerase by the broad-spectrum anti-parasitic drug nitazoxanide and other thiazolides</w:t>
      </w:r>
      <w:r w:rsidRPr="00781BD2">
        <w:rPr>
          <w:sz w:val="22"/>
          <w:szCs w:val="22"/>
        </w:rPr>
        <w:t>.</w:t>
      </w:r>
      <w:r w:rsidR="00B32B39" w:rsidRPr="00781BD2">
        <w:rPr>
          <w:sz w:val="22"/>
          <w:szCs w:val="22"/>
        </w:rPr>
        <w:t xml:space="preserve"> </w:t>
      </w:r>
      <w:r w:rsidR="00B32B39" w:rsidRPr="00781BD2">
        <w:rPr>
          <w:i/>
          <w:sz w:val="22"/>
          <w:szCs w:val="22"/>
        </w:rPr>
        <w:t>Exp. Parasitol.</w:t>
      </w:r>
      <w:r w:rsidR="00B32B39" w:rsidRPr="00781BD2">
        <w:rPr>
          <w:sz w:val="22"/>
          <w:szCs w:val="22"/>
        </w:rPr>
        <w:t xml:space="preserve"> </w:t>
      </w:r>
      <w:r w:rsidR="006F07C4" w:rsidRPr="00781BD2">
        <w:rPr>
          <w:sz w:val="22"/>
          <w:szCs w:val="22"/>
        </w:rPr>
        <w:t>118</w:t>
      </w:r>
      <w:r w:rsidR="006F29FC" w:rsidRPr="00781BD2">
        <w:rPr>
          <w:sz w:val="22"/>
          <w:szCs w:val="22"/>
        </w:rPr>
        <w:t>(1)</w:t>
      </w:r>
      <w:r w:rsidR="00022421" w:rsidRPr="00781BD2">
        <w:rPr>
          <w:sz w:val="22"/>
          <w:szCs w:val="22"/>
        </w:rPr>
        <w:t>,</w:t>
      </w:r>
      <w:r w:rsidR="006F07C4" w:rsidRPr="00781BD2">
        <w:rPr>
          <w:sz w:val="22"/>
          <w:szCs w:val="22"/>
        </w:rPr>
        <w:t xml:space="preserve"> </w:t>
      </w:r>
      <w:r w:rsidRPr="00781BD2">
        <w:rPr>
          <w:sz w:val="22"/>
          <w:szCs w:val="22"/>
        </w:rPr>
        <w:t xml:space="preserve">80-88 </w:t>
      </w:r>
      <w:r w:rsidR="00B32B39" w:rsidRPr="00781BD2">
        <w:rPr>
          <w:sz w:val="22"/>
          <w:szCs w:val="22"/>
        </w:rPr>
        <w:t xml:space="preserve">(2008). </w:t>
      </w:r>
    </w:p>
    <w:p w:rsidR="000E3978" w:rsidRPr="00781BD2" w:rsidRDefault="000107EF" w:rsidP="00AF4013">
      <w:pPr>
        <w:spacing w:line="360" w:lineRule="auto"/>
        <w:rPr>
          <w:rFonts w:eastAsia="Times New Roman"/>
          <w:sz w:val="22"/>
          <w:szCs w:val="22"/>
          <w:lang w:eastAsia="en-GB"/>
        </w:rPr>
      </w:pPr>
      <w:r w:rsidRPr="00781BD2">
        <w:rPr>
          <w:sz w:val="22"/>
          <w:szCs w:val="22"/>
          <w:lang w:eastAsia="en-GB"/>
        </w:rPr>
        <w:t>9.</w:t>
      </w:r>
      <w:r w:rsidR="006E56B2" w:rsidRPr="00781BD2">
        <w:rPr>
          <w:rFonts w:eastAsia="Times New Roman"/>
          <w:sz w:val="22"/>
          <w:szCs w:val="22"/>
          <w:lang w:eastAsia="en-GB"/>
        </w:rPr>
        <w:t xml:space="preserve">  Dubreuil</w:t>
      </w:r>
      <w:r w:rsidRPr="00781BD2">
        <w:rPr>
          <w:rFonts w:eastAsia="Times New Roman"/>
          <w:sz w:val="22"/>
          <w:szCs w:val="22"/>
          <w:lang w:eastAsia="en-GB"/>
        </w:rPr>
        <w:t xml:space="preserve"> L</w:t>
      </w:r>
      <w:r w:rsidR="006E56B2" w:rsidRPr="00781BD2">
        <w:rPr>
          <w:rFonts w:eastAsia="Times New Roman"/>
          <w:sz w:val="22"/>
          <w:szCs w:val="22"/>
          <w:lang w:eastAsia="en-GB"/>
        </w:rPr>
        <w:t>, Houcke</w:t>
      </w:r>
      <w:r w:rsidRPr="00781BD2">
        <w:rPr>
          <w:rFonts w:eastAsia="Times New Roman"/>
          <w:sz w:val="22"/>
          <w:szCs w:val="22"/>
          <w:lang w:eastAsia="en-GB"/>
        </w:rPr>
        <w:t xml:space="preserve"> I</w:t>
      </w:r>
      <w:r w:rsidR="006E56B2" w:rsidRPr="00781BD2">
        <w:rPr>
          <w:rFonts w:eastAsia="Times New Roman"/>
          <w:sz w:val="22"/>
          <w:szCs w:val="22"/>
          <w:lang w:eastAsia="en-GB"/>
        </w:rPr>
        <w:t xml:space="preserve">, Mouton </w:t>
      </w:r>
      <w:r w:rsidRPr="00781BD2">
        <w:rPr>
          <w:rFonts w:eastAsia="Times New Roman"/>
          <w:sz w:val="22"/>
          <w:szCs w:val="22"/>
          <w:lang w:eastAsia="en-GB"/>
        </w:rPr>
        <w:t>Y,</w:t>
      </w:r>
      <w:r w:rsidR="006E56B2" w:rsidRPr="00781BD2">
        <w:rPr>
          <w:rFonts w:eastAsia="Times New Roman"/>
          <w:sz w:val="22"/>
          <w:szCs w:val="22"/>
          <w:lang w:eastAsia="en-GB"/>
        </w:rPr>
        <w:t xml:space="preserve"> Rossignol</w:t>
      </w:r>
      <w:r w:rsidRPr="00781BD2">
        <w:rPr>
          <w:rFonts w:eastAsia="Times New Roman"/>
          <w:sz w:val="22"/>
          <w:szCs w:val="22"/>
          <w:lang w:eastAsia="en-GB"/>
        </w:rPr>
        <w:t xml:space="preserve"> JF.</w:t>
      </w:r>
      <w:r w:rsidR="006E56B2" w:rsidRPr="00781BD2">
        <w:rPr>
          <w:rFonts w:eastAsia="Times New Roman"/>
          <w:sz w:val="22"/>
          <w:szCs w:val="22"/>
          <w:lang w:eastAsia="en-GB"/>
        </w:rPr>
        <w:t xml:space="preserve"> </w:t>
      </w:r>
      <w:r w:rsidR="005778C2" w:rsidRPr="00781BD2">
        <w:rPr>
          <w:rFonts w:eastAsia="Times New Roman"/>
          <w:sz w:val="22"/>
          <w:szCs w:val="22"/>
          <w:lang w:eastAsia="en-GB"/>
        </w:rPr>
        <w:t>In vitro evaluation of activities of nitazoxanide and tizoxanide against anaerobes and aerobic organisms</w:t>
      </w:r>
      <w:r w:rsidRPr="00781BD2">
        <w:rPr>
          <w:rFonts w:eastAsia="Times New Roman"/>
          <w:sz w:val="22"/>
          <w:szCs w:val="22"/>
          <w:lang w:eastAsia="en-GB"/>
        </w:rPr>
        <w:t>.</w:t>
      </w:r>
      <w:r w:rsidR="005778C2" w:rsidRPr="00781BD2">
        <w:rPr>
          <w:rFonts w:eastAsia="Times New Roman"/>
          <w:sz w:val="22"/>
          <w:szCs w:val="22"/>
          <w:lang w:eastAsia="en-GB"/>
        </w:rPr>
        <w:t xml:space="preserve"> </w:t>
      </w:r>
      <w:r w:rsidR="006E56B2" w:rsidRPr="00781BD2">
        <w:rPr>
          <w:rFonts w:eastAsia="Times New Roman"/>
          <w:i/>
          <w:iCs/>
          <w:sz w:val="22"/>
          <w:szCs w:val="22"/>
          <w:lang w:eastAsia="en-GB"/>
        </w:rPr>
        <w:t>Antimicrob. Agents Chemother.</w:t>
      </w:r>
      <w:r w:rsidR="005778C2" w:rsidRPr="00781BD2">
        <w:rPr>
          <w:rFonts w:eastAsia="Times New Roman"/>
          <w:sz w:val="22"/>
          <w:szCs w:val="22"/>
          <w:lang w:eastAsia="en-GB"/>
        </w:rPr>
        <w:t xml:space="preserve"> 40</w:t>
      </w:r>
      <w:r w:rsidR="00D860D6" w:rsidRPr="00781BD2">
        <w:rPr>
          <w:rFonts w:eastAsia="Times New Roman"/>
          <w:sz w:val="22"/>
          <w:szCs w:val="22"/>
          <w:lang w:eastAsia="en-GB"/>
        </w:rPr>
        <w:t>(10)</w:t>
      </w:r>
      <w:r w:rsidRPr="00781BD2">
        <w:rPr>
          <w:rFonts w:eastAsia="Times New Roman"/>
          <w:sz w:val="22"/>
          <w:szCs w:val="22"/>
          <w:lang w:eastAsia="en-GB"/>
        </w:rPr>
        <w:t>,</w:t>
      </w:r>
      <w:r w:rsidR="00CE36D0" w:rsidRPr="00781BD2">
        <w:rPr>
          <w:rFonts w:eastAsia="Times New Roman"/>
          <w:sz w:val="22"/>
          <w:szCs w:val="22"/>
          <w:lang w:eastAsia="en-GB"/>
        </w:rPr>
        <w:t xml:space="preserve"> </w:t>
      </w:r>
      <w:r w:rsidRPr="00781BD2">
        <w:rPr>
          <w:rFonts w:eastAsia="Times New Roman"/>
          <w:sz w:val="22"/>
          <w:szCs w:val="22"/>
          <w:lang w:eastAsia="en-GB"/>
        </w:rPr>
        <w:t xml:space="preserve">2266-2270 </w:t>
      </w:r>
      <w:r w:rsidR="005778C2" w:rsidRPr="00781BD2">
        <w:rPr>
          <w:rFonts w:eastAsia="Times New Roman"/>
          <w:sz w:val="22"/>
          <w:szCs w:val="22"/>
          <w:lang w:eastAsia="en-GB"/>
        </w:rPr>
        <w:t>(</w:t>
      </w:r>
      <w:r w:rsidR="006E56B2" w:rsidRPr="00781BD2">
        <w:rPr>
          <w:rFonts w:eastAsia="Times New Roman"/>
          <w:sz w:val="22"/>
          <w:szCs w:val="22"/>
          <w:lang w:eastAsia="en-GB"/>
        </w:rPr>
        <w:t>1996</w:t>
      </w:r>
      <w:r w:rsidR="005778C2" w:rsidRPr="00781BD2">
        <w:rPr>
          <w:rFonts w:eastAsia="Times New Roman"/>
          <w:sz w:val="22"/>
          <w:szCs w:val="22"/>
          <w:lang w:eastAsia="en-GB"/>
        </w:rPr>
        <w:t>)</w:t>
      </w:r>
      <w:r w:rsidR="006E56B2" w:rsidRPr="00781BD2">
        <w:rPr>
          <w:rFonts w:eastAsia="Times New Roman"/>
          <w:sz w:val="22"/>
          <w:szCs w:val="22"/>
          <w:lang w:eastAsia="en-GB"/>
        </w:rPr>
        <w:t xml:space="preserve">. </w:t>
      </w:r>
    </w:p>
    <w:p w:rsidR="000E3978" w:rsidRPr="00781BD2" w:rsidRDefault="003A2707" w:rsidP="00AF4013">
      <w:pPr>
        <w:spacing w:line="360" w:lineRule="auto"/>
        <w:rPr>
          <w:rFonts w:eastAsia="Times New Roman"/>
          <w:sz w:val="22"/>
          <w:szCs w:val="22"/>
          <w:lang w:eastAsia="en-GB"/>
        </w:rPr>
      </w:pPr>
      <w:r w:rsidRPr="00781BD2">
        <w:rPr>
          <w:sz w:val="22"/>
          <w:szCs w:val="22"/>
          <w:lang w:eastAsia="en-GB"/>
        </w:rPr>
        <w:t>10.</w:t>
      </w:r>
      <w:r w:rsidR="006E56B2" w:rsidRPr="00781BD2">
        <w:rPr>
          <w:rFonts w:eastAsia="Times New Roman"/>
          <w:sz w:val="22"/>
          <w:szCs w:val="22"/>
          <w:lang w:eastAsia="en-GB"/>
        </w:rPr>
        <w:t xml:space="preserve"> </w:t>
      </w:r>
      <w:r w:rsidR="00E1019F" w:rsidRPr="00781BD2">
        <w:rPr>
          <w:sz w:val="22"/>
          <w:szCs w:val="22"/>
        </w:rPr>
        <w:t>Hoffman</w:t>
      </w:r>
      <w:r w:rsidR="00D0790B" w:rsidRPr="00781BD2">
        <w:rPr>
          <w:sz w:val="22"/>
          <w:szCs w:val="22"/>
        </w:rPr>
        <w:t xml:space="preserve"> PS</w:t>
      </w:r>
      <w:r w:rsidR="00E1019F" w:rsidRPr="00781BD2">
        <w:rPr>
          <w:sz w:val="22"/>
          <w:szCs w:val="22"/>
        </w:rPr>
        <w:t>, Sisson</w:t>
      </w:r>
      <w:r w:rsidR="00D0790B" w:rsidRPr="00781BD2">
        <w:rPr>
          <w:sz w:val="22"/>
          <w:szCs w:val="22"/>
        </w:rPr>
        <w:t xml:space="preserve"> G</w:t>
      </w:r>
      <w:r w:rsidR="00E1019F" w:rsidRPr="00781BD2">
        <w:rPr>
          <w:sz w:val="22"/>
          <w:szCs w:val="22"/>
        </w:rPr>
        <w:t>, Croxen</w:t>
      </w:r>
      <w:r w:rsidR="00D0790B" w:rsidRPr="00781BD2">
        <w:rPr>
          <w:sz w:val="22"/>
          <w:szCs w:val="22"/>
        </w:rPr>
        <w:t xml:space="preserve"> MA</w:t>
      </w:r>
      <w:r w:rsidR="0061257C" w:rsidRPr="00781BD2">
        <w:rPr>
          <w:sz w:val="22"/>
          <w:szCs w:val="22"/>
        </w:rPr>
        <w:t xml:space="preserve"> </w:t>
      </w:r>
      <w:r w:rsidR="0061257C" w:rsidRPr="00781BD2">
        <w:rPr>
          <w:i/>
          <w:sz w:val="22"/>
          <w:szCs w:val="22"/>
        </w:rPr>
        <w:t>et al</w:t>
      </w:r>
      <w:r w:rsidR="00D9671D" w:rsidRPr="00781BD2">
        <w:rPr>
          <w:i/>
          <w:sz w:val="22"/>
          <w:szCs w:val="22"/>
        </w:rPr>
        <w:t>.</w:t>
      </w:r>
      <w:r w:rsidR="00D9671D" w:rsidRPr="00781BD2">
        <w:rPr>
          <w:sz w:val="22"/>
          <w:szCs w:val="22"/>
        </w:rPr>
        <w:t xml:space="preserve"> </w:t>
      </w:r>
      <w:r w:rsidR="00E1019F" w:rsidRPr="00781BD2">
        <w:rPr>
          <w:sz w:val="22"/>
          <w:szCs w:val="22"/>
        </w:rPr>
        <w:t xml:space="preserve">Antiparasitic drug nitazoxanide inhibits the pyruvate oxidoreductases of </w:t>
      </w:r>
      <w:r w:rsidR="00E1019F" w:rsidRPr="00781BD2">
        <w:rPr>
          <w:iCs/>
          <w:sz w:val="22"/>
          <w:szCs w:val="22"/>
        </w:rPr>
        <w:t>Helicobacter pylori</w:t>
      </w:r>
      <w:r w:rsidR="00E1019F" w:rsidRPr="00781BD2">
        <w:rPr>
          <w:sz w:val="22"/>
          <w:szCs w:val="22"/>
        </w:rPr>
        <w:t xml:space="preserve">, selected anaerobic bacteria and parasites, and </w:t>
      </w:r>
      <w:r w:rsidR="00E1019F" w:rsidRPr="00781BD2">
        <w:rPr>
          <w:iCs/>
          <w:sz w:val="22"/>
          <w:szCs w:val="22"/>
        </w:rPr>
        <w:t>Campylobacter jejuni</w:t>
      </w:r>
      <w:r w:rsidR="008661FA" w:rsidRPr="00781BD2">
        <w:rPr>
          <w:sz w:val="22"/>
          <w:szCs w:val="22"/>
        </w:rPr>
        <w:t>.</w:t>
      </w:r>
      <w:r w:rsidR="00E1019F" w:rsidRPr="00781BD2">
        <w:rPr>
          <w:sz w:val="22"/>
          <w:szCs w:val="22"/>
        </w:rPr>
        <w:t xml:space="preserve"> </w:t>
      </w:r>
      <w:r w:rsidR="00E1019F" w:rsidRPr="00781BD2">
        <w:rPr>
          <w:i/>
          <w:sz w:val="22"/>
          <w:szCs w:val="22"/>
        </w:rPr>
        <w:t>Antimicrob. Agents Chemother.</w:t>
      </w:r>
      <w:r w:rsidR="00E1019F" w:rsidRPr="00781BD2">
        <w:rPr>
          <w:sz w:val="22"/>
          <w:szCs w:val="22"/>
        </w:rPr>
        <w:t xml:space="preserve"> </w:t>
      </w:r>
      <w:r w:rsidR="00675FDA" w:rsidRPr="00781BD2">
        <w:rPr>
          <w:sz w:val="22"/>
          <w:szCs w:val="22"/>
        </w:rPr>
        <w:t>51</w:t>
      </w:r>
      <w:r w:rsidR="00A2622A" w:rsidRPr="00781BD2">
        <w:rPr>
          <w:sz w:val="22"/>
          <w:szCs w:val="22"/>
        </w:rPr>
        <w:t>(3)</w:t>
      </w:r>
      <w:r w:rsidR="005D70AA" w:rsidRPr="00781BD2">
        <w:rPr>
          <w:sz w:val="22"/>
          <w:szCs w:val="22"/>
        </w:rPr>
        <w:t>,</w:t>
      </w:r>
      <w:r w:rsidR="00675FDA" w:rsidRPr="00781BD2">
        <w:rPr>
          <w:sz w:val="22"/>
          <w:szCs w:val="22"/>
        </w:rPr>
        <w:t xml:space="preserve"> </w:t>
      </w:r>
      <w:r w:rsidR="005D70AA" w:rsidRPr="00781BD2">
        <w:rPr>
          <w:sz w:val="22"/>
          <w:szCs w:val="22"/>
        </w:rPr>
        <w:t xml:space="preserve">868-876 </w:t>
      </w:r>
      <w:r w:rsidR="00E1019F" w:rsidRPr="00781BD2">
        <w:rPr>
          <w:sz w:val="22"/>
          <w:szCs w:val="22"/>
        </w:rPr>
        <w:t>(2007</w:t>
      </w:r>
      <w:r w:rsidR="005D70AA" w:rsidRPr="00781BD2">
        <w:rPr>
          <w:sz w:val="22"/>
          <w:szCs w:val="22"/>
        </w:rPr>
        <w:t>)</w:t>
      </w:r>
      <w:r w:rsidR="00E1019F" w:rsidRPr="00781BD2">
        <w:rPr>
          <w:sz w:val="22"/>
          <w:szCs w:val="22"/>
        </w:rPr>
        <w:t>.</w:t>
      </w:r>
    </w:p>
    <w:p w:rsidR="00233C2E" w:rsidRPr="00781BD2" w:rsidRDefault="00D4283E" w:rsidP="00AF4013">
      <w:pPr>
        <w:spacing w:line="360" w:lineRule="auto"/>
        <w:rPr>
          <w:sz w:val="22"/>
          <w:szCs w:val="22"/>
        </w:rPr>
      </w:pPr>
      <w:r w:rsidRPr="00781BD2">
        <w:rPr>
          <w:sz w:val="22"/>
          <w:szCs w:val="22"/>
          <w:lang w:eastAsia="en-GB"/>
        </w:rPr>
        <w:t>11.</w:t>
      </w:r>
      <w:r w:rsidR="004B3885" w:rsidRPr="00781BD2">
        <w:rPr>
          <w:sz w:val="22"/>
          <w:szCs w:val="22"/>
          <w:lang w:eastAsia="en-GB"/>
        </w:rPr>
        <w:t xml:space="preserve"> </w:t>
      </w:r>
      <w:r w:rsidR="0003663E" w:rsidRPr="00781BD2">
        <w:rPr>
          <w:sz w:val="22"/>
          <w:szCs w:val="22"/>
        </w:rPr>
        <w:t>Rossignol</w:t>
      </w:r>
      <w:r w:rsidRPr="00781BD2">
        <w:rPr>
          <w:sz w:val="22"/>
          <w:szCs w:val="22"/>
        </w:rPr>
        <w:t xml:space="preserve"> JF.</w:t>
      </w:r>
      <w:r w:rsidR="0003663E" w:rsidRPr="00781BD2">
        <w:rPr>
          <w:sz w:val="22"/>
          <w:szCs w:val="22"/>
        </w:rPr>
        <w:t xml:space="preserve"> Nitazoxanide in the treatment of acquired immune deficiency syndrome-related cryptosporidiosis: results of the United States compassi</w:t>
      </w:r>
      <w:r w:rsidRPr="00781BD2">
        <w:rPr>
          <w:sz w:val="22"/>
          <w:szCs w:val="22"/>
        </w:rPr>
        <w:t xml:space="preserve">onate programme in 365 patients. </w:t>
      </w:r>
      <w:r w:rsidR="0003663E" w:rsidRPr="00781BD2">
        <w:rPr>
          <w:i/>
          <w:sz w:val="22"/>
          <w:szCs w:val="22"/>
        </w:rPr>
        <w:t>Aliment. Pharmacol. Ther.</w:t>
      </w:r>
      <w:r w:rsidR="0003663E" w:rsidRPr="00781BD2">
        <w:rPr>
          <w:sz w:val="22"/>
          <w:szCs w:val="22"/>
        </w:rPr>
        <w:t xml:space="preserve"> 24</w:t>
      </w:r>
      <w:r w:rsidR="005E060F" w:rsidRPr="00781BD2">
        <w:rPr>
          <w:sz w:val="22"/>
          <w:szCs w:val="22"/>
        </w:rPr>
        <w:t>(5)</w:t>
      </w:r>
      <w:r w:rsidRPr="00781BD2">
        <w:rPr>
          <w:sz w:val="22"/>
          <w:szCs w:val="22"/>
        </w:rPr>
        <w:t>,</w:t>
      </w:r>
      <w:r w:rsidR="0003663E" w:rsidRPr="00781BD2">
        <w:rPr>
          <w:sz w:val="22"/>
          <w:szCs w:val="22"/>
        </w:rPr>
        <w:t xml:space="preserve"> </w:t>
      </w:r>
      <w:r w:rsidRPr="00781BD2">
        <w:rPr>
          <w:sz w:val="22"/>
          <w:szCs w:val="22"/>
        </w:rPr>
        <w:t xml:space="preserve">887-894 </w:t>
      </w:r>
      <w:r w:rsidR="0003663E" w:rsidRPr="00781BD2">
        <w:rPr>
          <w:sz w:val="22"/>
          <w:szCs w:val="22"/>
        </w:rPr>
        <w:t>(2006).</w:t>
      </w:r>
      <w:r w:rsidR="00233C2E" w:rsidRPr="00781BD2">
        <w:rPr>
          <w:sz w:val="22"/>
          <w:szCs w:val="22"/>
        </w:rPr>
        <w:t xml:space="preserve"> </w:t>
      </w:r>
    </w:p>
    <w:p w:rsidR="003E5420" w:rsidRPr="00781BD2" w:rsidRDefault="00780F0C" w:rsidP="00AF4013">
      <w:pPr>
        <w:spacing w:line="360" w:lineRule="auto"/>
        <w:jc w:val="both"/>
        <w:rPr>
          <w:rFonts w:eastAsia="Times New Roman"/>
          <w:sz w:val="22"/>
          <w:szCs w:val="22"/>
          <w:lang w:eastAsia="en-GB"/>
        </w:rPr>
      </w:pPr>
      <w:r w:rsidRPr="00781BD2">
        <w:rPr>
          <w:sz w:val="22"/>
          <w:szCs w:val="22"/>
        </w:rPr>
        <w:t>12.</w:t>
      </w:r>
      <w:r w:rsidR="007F5555" w:rsidRPr="00781BD2">
        <w:rPr>
          <w:rFonts w:eastAsia="Times New Roman"/>
          <w:sz w:val="22"/>
          <w:szCs w:val="22"/>
          <w:lang w:eastAsia="en-GB"/>
        </w:rPr>
        <w:t xml:space="preserve"> </w:t>
      </w:r>
      <w:r w:rsidR="007F5555" w:rsidRPr="00781BD2">
        <w:rPr>
          <w:sz w:val="22"/>
          <w:szCs w:val="22"/>
        </w:rPr>
        <w:t>Rossignol</w:t>
      </w:r>
      <w:r w:rsidRPr="00781BD2">
        <w:rPr>
          <w:sz w:val="22"/>
          <w:szCs w:val="22"/>
        </w:rPr>
        <w:t xml:space="preserve"> JF</w:t>
      </w:r>
      <w:r w:rsidR="007F5555" w:rsidRPr="00781BD2">
        <w:rPr>
          <w:sz w:val="22"/>
          <w:szCs w:val="22"/>
        </w:rPr>
        <w:t>, Abu-Zekry</w:t>
      </w:r>
      <w:r w:rsidR="00EB34E1" w:rsidRPr="00781BD2">
        <w:rPr>
          <w:sz w:val="22"/>
          <w:szCs w:val="22"/>
        </w:rPr>
        <w:t xml:space="preserve"> M</w:t>
      </w:r>
      <w:r w:rsidR="007F5555" w:rsidRPr="00781BD2">
        <w:rPr>
          <w:sz w:val="22"/>
          <w:szCs w:val="22"/>
        </w:rPr>
        <w:t>, Hussein</w:t>
      </w:r>
      <w:r w:rsidR="00EB34E1" w:rsidRPr="00781BD2">
        <w:rPr>
          <w:sz w:val="22"/>
          <w:szCs w:val="22"/>
        </w:rPr>
        <w:t xml:space="preserve"> A</w:t>
      </w:r>
      <w:r w:rsidR="007F5555" w:rsidRPr="00781BD2">
        <w:rPr>
          <w:sz w:val="22"/>
          <w:szCs w:val="22"/>
        </w:rPr>
        <w:t>, Santoro</w:t>
      </w:r>
      <w:r w:rsidR="00EB34E1" w:rsidRPr="00781BD2">
        <w:rPr>
          <w:sz w:val="22"/>
          <w:szCs w:val="22"/>
        </w:rPr>
        <w:t xml:space="preserve"> MG.</w:t>
      </w:r>
      <w:r w:rsidR="007F5555" w:rsidRPr="00781BD2">
        <w:rPr>
          <w:sz w:val="22"/>
          <w:szCs w:val="22"/>
        </w:rPr>
        <w:t xml:space="preserve"> Effect of nitazoxanide for treatment of severe rotavirus diarrhoea: randomized double-blind placebo-controlled trial. </w:t>
      </w:r>
      <w:r w:rsidR="007F5555" w:rsidRPr="00781BD2">
        <w:rPr>
          <w:i/>
          <w:sz w:val="22"/>
          <w:szCs w:val="22"/>
        </w:rPr>
        <w:t>Lancet</w:t>
      </w:r>
      <w:r w:rsidR="007F5555" w:rsidRPr="00781BD2">
        <w:rPr>
          <w:sz w:val="22"/>
          <w:szCs w:val="22"/>
        </w:rPr>
        <w:t xml:space="preserve"> 368</w:t>
      </w:r>
      <w:r w:rsidR="00A16E38" w:rsidRPr="00781BD2">
        <w:rPr>
          <w:sz w:val="22"/>
          <w:szCs w:val="22"/>
        </w:rPr>
        <w:t>(9530)</w:t>
      </w:r>
      <w:r w:rsidR="00EB34E1" w:rsidRPr="00781BD2">
        <w:rPr>
          <w:sz w:val="22"/>
          <w:szCs w:val="22"/>
        </w:rPr>
        <w:t xml:space="preserve">, 124-129 </w:t>
      </w:r>
      <w:r w:rsidR="007F5555" w:rsidRPr="00781BD2">
        <w:rPr>
          <w:sz w:val="22"/>
          <w:szCs w:val="22"/>
        </w:rPr>
        <w:t xml:space="preserve">(2006). </w:t>
      </w:r>
      <w:r w:rsidR="00577FB0" w:rsidRPr="00781BD2">
        <w:rPr>
          <w:rFonts w:eastAsia="Times New Roman"/>
          <w:sz w:val="22"/>
          <w:szCs w:val="22"/>
          <w:lang w:eastAsia="en-GB"/>
        </w:rPr>
        <w:t xml:space="preserve"> </w:t>
      </w:r>
    </w:p>
    <w:p w:rsidR="007F5555" w:rsidRPr="00781BD2" w:rsidRDefault="00DF047E" w:rsidP="00DF047E">
      <w:pPr>
        <w:spacing w:line="360" w:lineRule="auto"/>
        <w:jc w:val="both"/>
        <w:rPr>
          <w:sz w:val="22"/>
          <w:szCs w:val="22"/>
        </w:rPr>
      </w:pPr>
      <w:r w:rsidRPr="00781BD2">
        <w:rPr>
          <w:b/>
          <w:sz w:val="28"/>
        </w:rPr>
        <w:t xml:space="preserve">·· </w:t>
      </w:r>
      <w:r w:rsidR="003D6127" w:rsidRPr="00781BD2">
        <w:rPr>
          <w:rFonts w:cs="AGaramond-Bold"/>
          <w:b/>
          <w:bCs/>
          <w:sz w:val="22"/>
          <w:szCs w:val="16"/>
          <w:lang w:val="en-US"/>
        </w:rPr>
        <w:t>The first major</w:t>
      </w:r>
      <w:r w:rsidR="003E5420" w:rsidRPr="00781BD2">
        <w:rPr>
          <w:rFonts w:cs="AGaramond-Bold"/>
          <w:b/>
          <w:bCs/>
          <w:sz w:val="22"/>
          <w:szCs w:val="16"/>
          <w:lang w:val="en-US"/>
        </w:rPr>
        <w:t xml:space="preserve"> clinical trial showing the efficacy of nitazoxanide as an antiviral agent </w:t>
      </w:r>
      <w:r w:rsidR="003E5420" w:rsidRPr="00781BD2">
        <w:rPr>
          <w:rFonts w:cs="AGaramond-Bold"/>
          <w:b/>
          <w:bCs/>
          <w:i/>
          <w:iCs/>
          <w:sz w:val="22"/>
          <w:szCs w:val="16"/>
          <w:lang w:val="en-US"/>
        </w:rPr>
        <w:t>in vivo</w:t>
      </w:r>
      <w:r w:rsidR="003E5420" w:rsidRPr="00781BD2">
        <w:rPr>
          <w:rFonts w:cs="AGaramond-Bold"/>
          <w:b/>
          <w:bCs/>
          <w:sz w:val="22"/>
          <w:szCs w:val="16"/>
          <w:lang w:val="en-US"/>
        </w:rPr>
        <w:t>.</w:t>
      </w:r>
    </w:p>
    <w:p w:rsidR="00A069BC" w:rsidRPr="00781BD2" w:rsidRDefault="002C19E4" w:rsidP="00AF4013">
      <w:pPr>
        <w:spacing w:line="360" w:lineRule="auto"/>
        <w:rPr>
          <w:rFonts w:eastAsia="Times New Roman"/>
          <w:sz w:val="22"/>
          <w:szCs w:val="22"/>
          <w:lang w:eastAsia="en-GB"/>
        </w:rPr>
      </w:pPr>
      <w:r w:rsidRPr="00781BD2">
        <w:rPr>
          <w:rFonts w:eastAsia="Times New Roman"/>
          <w:sz w:val="22"/>
          <w:szCs w:val="22"/>
          <w:lang w:eastAsia="en-GB"/>
        </w:rPr>
        <w:t>13.</w:t>
      </w:r>
      <w:r w:rsidR="00A069BC" w:rsidRPr="00781BD2">
        <w:rPr>
          <w:rFonts w:eastAsia="Times New Roman"/>
          <w:sz w:val="22"/>
          <w:szCs w:val="22"/>
          <w:lang w:eastAsia="en-GB"/>
        </w:rPr>
        <w:t xml:space="preserve"> </w:t>
      </w:r>
      <w:r w:rsidR="00F37C7C" w:rsidRPr="00781BD2">
        <w:rPr>
          <w:rFonts w:eastAsia="Times New Roman"/>
          <w:sz w:val="22"/>
          <w:szCs w:val="22"/>
          <w:lang w:eastAsia="en-GB"/>
        </w:rPr>
        <w:t xml:space="preserve"> Rossignol</w:t>
      </w:r>
      <w:r w:rsidRPr="00781BD2">
        <w:rPr>
          <w:rFonts w:eastAsia="Times New Roman"/>
          <w:sz w:val="22"/>
          <w:szCs w:val="22"/>
          <w:lang w:eastAsia="en-GB"/>
        </w:rPr>
        <w:t xml:space="preserve"> JF,</w:t>
      </w:r>
      <w:r w:rsidR="00F37C7C" w:rsidRPr="00781BD2">
        <w:rPr>
          <w:rFonts w:eastAsia="Times New Roman"/>
          <w:sz w:val="22"/>
          <w:szCs w:val="22"/>
          <w:lang w:eastAsia="en-GB"/>
        </w:rPr>
        <w:t xml:space="preserve"> Keef</w:t>
      </w:r>
      <w:r w:rsidR="002B3F5B" w:rsidRPr="00781BD2">
        <w:rPr>
          <w:rFonts w:eastAsia="Times New Roman"/>
          <w:sz w:val="22"/>
          <w:szCs w:val="22"/>
          <w:lang w:eastAsia="en-GB"/>
        </w:rPr>
        <w:t>f</w:t>
      </w:r>
      <w:r w:rsidR="00F37C7C" w:rsidRPr="00781BD2">
        <w:rPr>
          <w:rFonts w:eastAsia="Times New Roman"/>
          <w:sz w:val="22"/>
          <w:szCs w:val="22"/>
          <w:lang w:eastAsia="en-GB"/>
        </w:rPr>
        <w:t>e</w:t>
      </w:r>
      <w:r w:rsidRPr="00781BD2">
        <w:rPr>
          <w:rFonts w:eastAsia="Times New Roman"/>
          <w:sz w:val="22"/>
          <w:szCs w:val="22"/>
          <w:lang w:eastAsia="en-GB"/>
        </w:rPr>
        <w:t xml:space="preserve"> EB.</w:t>
      </w:r>
      <w:r w:rsidR="00F37C7C" w:rsidRPr="00781BD2">
        <w:rPr>
          <w:rFonts w:eastAsia="Times New Roman"/>
          <w:sz w:val="22"/>
          <w:szCs w:val="22"/>
          <w:lang w:eastAsia="en-GB"/>
        </w:rPr>
        <w:t xml:space="preserve"> </w:t>
      </w:r>
      <w:r w:rsidR="00F93768" w:rsidRPr="00781BD2">
        <w:rPr>
          <w:rFonts w:eastAsia="Times New Roman"/>
          <w:sz w:val="22"/>
          <w:szCs w:val="22"/>
          <w:lang w:eastAsia="en-GB"/>
        </w:rPr>
        <w:t>Thiazolides: a new class of drugs for the</w:t>
      </w:r>
      <w:r w:rsidR="00FA44B8" w:rsidRPr="00781BD2">
        <w:rPr>
          <w:rFonts w:eastAsia="Times New Roman"/>
          <w:sz w:val="22"/>
          <w:szCs w:val="22"/>
          <w:lang w:eastAsia="en-GB"/>
        </w:rPr>
        <w:t xml:space="preserve"> </w:t>
      </w:r>
      <w:r w:rsidR="00F93768" w:rsidRPr="00781BD2">
        <w:rPr>
          <w:rFonts w:eastAsia="Times New Roman"/>
          <w:sz w:val="22"/>
          <w:szCs w:val="22"/>
          <w:lang w:eastAsia="en-GB"/>
        </w:rPr>
        <w:t>treatment of chronic hepatitis B and C</w:t>
      </w:r>
      <w:r w:rsidRPr="00781BD2">
        <w:rPr>
          <w:rFonts w:eastAsia="Times New Roman"/>
          <w:sz w:val="22"/>
          <w:szCs w:val="22"/>
          <w:lang w:eastAsia="en-GB"/>
        </w:rPr>
        <w:t>.</w:t>
      </w:r>
      <w:r w:rsidR="00F93768" w:rsidRPr="00781BD2">
        <w:rPr>
          <w:rFonts w:eastAsia="Times New Roman"/>
          <w:sz w:val="22"/>
          <w:szCs w:val="22"/>
          <w:lang w:eastAsia="en-GB"/>
        </w:rPr>
        <w:t xml:space="preserve"> </w:t>
      </w:r>
      <w:r w:rsidR="00F37C7C" w:rsidRPr="00781BD2">
        <w:rPr>
          <w:rFonts w:eastAsia="Times New Roman"/>
          <w:i/>
          <w:iCs/>
          <w:sz w:val="22"/>
          <w:szCs w:val="22"/>
          <w:lang w:eastAsia="en-GB"/>
        </w:rPr>
        <w:t>Future Microbiol.</w:t>
      </w:r>
      <w:r w:rsidR="00F93768" w:rsidRPr="00781BD2">
        <w:rPr>
          <w:rFonts w:eastAsia="Times New Roman"/>
          <w:sz w:val="22"/>
          <w:szCs w:val="22"/>
          <w:lang w:eastAsia="en-GB"/>
        </w:rPr>
        <w:t xml:space="preserve"> 3</w:t>
      </w:r>
      <w:r w:rsidR="00183B12" w:rsidRPr="00781BD2">
        <w:rPr>
          <w:rFonts w:eastAsia="Times New Roman"/>
          <w:sz w:val="22"/>
          <w:szCs w:val="22"/>
          <w:lang w:eastAsia="en-GB"/>
        </w:rPr>
        <w:t>(5)</w:t>
      </w:r>
      <w:r w:rsidR="002134D3" w:rsidRPr="00781BD2">
        <w:rPr>
          <w:rFonts w:eastAsia="Times New Roman"/>
          <w:sz w:val="22"/>
          <w:szCs w:val="22"/>
          <w:lang w:eastAsia="en-GB"/>
        </w:rPr>
        <w:t>,</w:t>
      </w:r>
      <w:r w:rsidR="00F37C7C" w:rsidRPr="00781BD2">
        <w:rPr>
          <w:rFonts w:eastAsia="Times New Roman"/>
          <w:sz w:val="22"/>
          <w:szCs w:val="22"/>
          <w:lang w:eastAsia="en-GB"/>
        </w:rPr>
        <w:t xml:space="preserve"> </w:t>
      </w:r>
      <w:r w:rsidR="002134D3" w:rsidRPr="00781BD2">
        <w:rPr>
          <w:rFonts w:eastAsia="Times New Roman"/>
          <w:sz w:val="22"/>
          <w:szCs w:val="22"/>
          <w:lang w:eastAsia="en-GB"/>
        </w:rPr>
        <w:t xml:space="preserve">539-545 </w:t>
      </w:r>
      <w:r w:rsidR="00F93768" w:rsidRPr="00781BD2">
        <w:rPr>
          <w:rFonts w:eastAsia="Times New Roman"/>
          <w:sz w:val="22"/>
          <w:szCs w:val="22"/>
          <w:lang w:eastAsia="en-GB"/>
        </w:rPr>
        <w:t>(</w:t>
      </w:r>
      <w:r w:rsidR="00F37C7C" w:rsidRPr="00781BD2">
        <w:rPr>
          <w:rFonts w:eastAsia="Times New Roman"/>
          <w:sz w:val="22"/>
          <w:szCs w:val="22"/>
          <w:lang w:eastAsia="en-GB"/>
        </w:rPr>
        <w:t>2008</w:t>
      </w:r>
      <w:r w:rsidR="00F93768" w:rsidRPr="00781BD2">
        <w:rPr>
          <w:rFonts w:eastAsia="Times New Roman"/>
          <w:sz w:val="22"/>
          <w:szCs w:val="22"/>
          <w:lang w:eastAsia="en-GB"/>
        </w:rPr>
        <w:t>)</w:t>
      </w:r>
      <w:r w:rsidR="00F37C7C" w:rsidRPr="00781BD2">
        <w:rPr>
          <w:rFonts w:eastAsia="Times New Roman"/>
          <w:sz w:val="22"/>
          <w:szCs w:val="22"/>
          <w:lang w:eastAsia="en-GB"/>
        </w:rPr>
        <w:t>.</w:t>
      </w:r>
    </w:p>
    <w:p w:rsidR="00505756" w:rsidRPr="00781BD2" w:rsidRDefault="009B0F1E" w:rsidP="00AF4013">
      <w:pPr>
        <w:spacing w:line="360" w:lineRule="auto"/>
        <w:rPr>
          <w:rFonts w:eastAsia="Times New Roman"/>
          <w:sz w:val="22"/>
          <w:szCs w:val="22"/>
          <w:lang w:eastAsia="en-GB"/>
        </w:rPr>
      </w:pPr>
      <w:r w:rsidRPr="00781BD2">
        <w:rPr>
          <w:rFonts w:eastAsia="Times New Roman"/>
          <w:sz w:val="22"/>
          <w:szCs w:val="22"/>
          <w:lang w:eastAsia="en-GB"/>
        </w:rPr>
        <w:t>14.</w:t>
      </w:r>
      <w:r w:rsidR="00201803" w:rsidRPr="00781BD2">
        <w:rPr>
          <w:rFonts w:eastAsia="Times New Roman"/>
          <w:sz w:val="22"/>
          <w:szCs w:val="22"/>
          <w:lang w:eastAsia="en-GB"/>
        </w:rPr>
        <w:t xml:space="preserve"> Rossignol</w:t>
      </w:r>
      <w:r w:rsidR="00A466F3" w:rsidRPr="00781BD2">
        <w:rPr>
          <w:rFonts w:eastAsia="Times New Roman"/>
          <w:sz w:val="22"/>
          <w:szCs w:val="22"/>
          <w:lang w:eastAsia="en-GB"/>
        </w:rPr>
        <w:t xml:space="preserve"> JF</w:t>
      </w:r>
      <w:r w:rsidR="00201803" w:rsidRPr="00781BD2">
        <w:rPr>
          <w:rFonts w:eastAsia="Times New Roman"/>
          <w:sz w:val="22"/>
          <w:szCs w:val="22"/>
          <w:lang w:eastAsia="en-GB"/>
        </w:rPr>
        <w:t>, Kabil</w:t>
      </w:r>
      <w:r w:rsidR="00A466F3" w:rsidRPr="00781BD2">
        <w:rPr>
          <w:rFonts w:eastAsia="Times New Roman"/>
          <w:sz w:val="22"/>
          <w:szCs w:val="22"/>
          <w:lang w:eastAsia="en-GB"/>
        </w:rPr>
        <w:t xml:space="preserve"> SM</w:t>
      </w:r>
      <w:r w:rsidR="00201803" w:rsidRPr="00781BD2">
        <w:rPr>
          <w:rFonts w:eastAsia="Times New Roman"/>
          <w:sz w:val="22"/>
          <w:szCs w:val="22"/>
          <w:lang w:eastAsia="en-GB"/>
        </w:rPr>
        <w:t>, El-</w:t>
      </w:r>
      <w:r w:rsidR="00A93EBB" w:rsidRPr="00781BD2">
        <w:rPr>
          <w:rFonts w:eastAsia="Times New Roman"/>
          <w:sz w:val="22"/>
          <w:szCs w:val="22"/>
          <w:lang w:eastAsia="en-GB"/>
        </w:rPr>
        <w:t>Gohary</w:t>
      </w:r>
      <w:r w:rsidR="00A466F3" w:rsidRPr="00781BD2">
        <w:rPr>
          <w:rFonts w:eastAsia="Times New Roman"/>
          <w:sz w:val="22"/>
          <w:szCs w:val="22"/>
          <w:lang w:eastAsia="en-GB"/>
        </w:rPr>
        <w:t xml:space="preserve"> Y</w:t>
      </w:r>
      <w:r w:rsidR="00A93EBB" w:rsidRPr="00781BD2">
        <w:rPr>
          <w:rFonts w:eastAsia="Times New Roman"/>
          <w:sz w:val="22"/>
          <w:szCs w:val="22"/>
          <w:lang w:eastAsia="en-GB"/>
        </w:rPr>
        <w:t>, Elfert</w:t>
      </w:r>
      <w:r w:rsidR="00A466F3" w:rsidRPr="00781BD2">
        <w:rPr>
          <w:rFonts w:eastAsia="Times New Roman"/>
          <w:sz w:val="22"/>
          <w:szCs w:val="22"/>
          <w:lang w:eastAsia="en-GB"/>
        </w:rPr>
        <w:t xml:space="preserve"> A</w:t>
      </w:r>
      <w:r w:rsidR="00A93EBB" w:rsidRPr="00781BD2">
        <w:rPr>
          <w:rFonts w:eastAsia="Times New Roman"/>
          <w:sz w:val="22"/>
          <w:szCs w:val="22"/>
          <w:lang w:eastAsia="en-GB"/>
        </w:rPr>
        <w:t>,</w:t>
      </w:r>
      <w:r w:rsidR="00201803" w:rsidRPr="00781BD2">
        <w:rPr>
          <w:rFonts w:eastAsia="Times New Roman"/>
          <w:sz w:val="22"/>
          <w:szCs w:val="22"/>
          <w:lang w:eastAsia="en-GB"/>
        </w:rPr>
        <w:t xml:space="preserve"> Keef</w:t>
      </w:r>
      <w:r w:rsidR="002B3F5B" w:rsidRPr="00781BD2">
        <w:rPr>
          <w:rFonts w:eastAsia="Times New Roman"/>
          <w:sz w:val="22"/>
          <w:szCs w:val="22"/>
          <w:lang w:eastAsia="en-GB"/>
        </w:rPr>
        <w:t>f</w:t>
      </w:r>
      <w:r w:rsidR="00201803" w:rsidRPr="00781BD2">
        <w:rPr>
          <w:rFonts w:eastAsia="Times New Roman"/>
          <w:sz w:val="22"/>
          <w:szCs w:val="22"/>
          <w:lang w:eastAsia="en-GB"/>
        </w:rPr>
        <w:t>e</w:t>
      </w:r>
      <w:r w:rsidR="00A466F3" w:rsidRPr="00781BD2">
        <w:rPr>
          <w:rFonts w:eastAsia="Times New Roman"/>
          <w:sz w:val="22"/>
          <w:szCs w:val="22"/>
          <w:lang w:eastAsia="en-GB"/>
        </w:rPr>
        <w:t xml:space="preserve"> E. B. </w:t>
      </w:r>
      <w:r w:rsidR="00A93EBB" w:rsidRPr="00781BD2">
        <w:rPr>
          <w:rFonts w:eastAsia="Times New Roman"/>
          <w:sz w:val="22"/>
          <w:szCs w:val="22"/>
          <w:lang w:eastAsia="en-GB"/>
        </w:rPr>
        <w:t>Clinical trial: randomised, double-blind, placebo-controlled study of nitazoxanide monotherapy for the treatment of patients with chronic hepatitis C genotype 4</w:t>
      </w:r>
      <w:r w:rsidR="00A466F3" w:rsidRPr="00781BD2">
        <w:rPr>
          <w:rFonts w:eastAsia="Times New Roman"/>
          <w:sz w:val="22"/>
          <w:szCs w:val="22"/>
          <w:lang w:eastAsia="en-GB"/>
        </w:rPr>
        <w:t>.</w:t>
      </w:r>
      <w:r w:rsidR="00A93EBB" w:rsidRPr="00781BD2">
        <w:rPr>
          <w:rFonts w:eastAsia="Times New Roman"/>
          <w:sz w:val="22"/>
          <w:szCs w:val="22"/>
          <w:lang w:eastAsia="en-GB"/>
        </w:rPr>
        <w:t xml:space="preserve"> </w:t>
      </w:r>
      <w:r w:rsidR="00414110" w:rsidRPr="00781BD2">
        <w:rPr>
          <w:rFonts w:eastAsia="Times New Roman"/>
          <w:i/>
          <w:iCs/>
          <w:sz w:val="22"/>
          <w:szCs w:val="22"/>
          <w:lang w:eastAsia="en-GB"/>
        </w:rPr>
        <w:t>Aliment. Pharmacol. Ther.</w:t>
      </w:r>
      <w:r w:rsidR="00414110" w:rsidRPr="00781BD2">
        <w:rPr>
          <w:rFonts w:eastAsia="Times New Roman"/>
          <w:i/>
          <w:sz w:val="22"/>
          <w:szCs w:val="22"/>
          <w:lang w:eastAsia="en-GB"/>
        </w:rPr>
        <w:t xml:space="preserve"> </w:t>
      </w:r>
      <w:r w:rsidR="00A93EBB" w:rsidRPr="00781BD2">
        <w:rPr>
          <w:rFonts w:eastAsia="Times New Roman"/>
          <w:sz w:val="22"/>
          <w:szCs w:val="22"/>
          <w:lang w:eastAsia="en-GB"/>
        </w:rPr>
        <w:t>28</w:t>
      </w:r>
      <w:r w:rsidR="002C1EA2" w:rsidRPr="00781BD2">
        <w:rPr>
          <w:rFonts w:eastAsia="Times New Roman"/>
          <w:sz w:val="22"/>
          <w:szCs w:val="22"/>
          <w:lang w:eastAsia="en-GB"/>
        </w:rPr>
        <w:t>(5)</w:t>
      </w:r>
      <w:r w:rsidR="00A466F3" w:rsidRPr="00781BD2">
        <w:rPr>
          <w:rFonts w:eastAsia="Times New Roman"/>
          <w:sz w:val="22"/>
          <w:szCs w:val="22"/>
          <w:lang w:eastAsia="en-GB"/>
        </w:rPr>
        <w:t>,</w:t>
      </w:r>
      <w:r w:rsidR="00A93EBB" w:rsidRPr="00781BD2">
        <w:rPr>
          <w:rFonts w:eastAsia="Times New Roman"/>
          <w:i/>
          <w:sz w:val="22"/>
          <w:szCs w:val="22"/>
          <w:lang w:eastAsia="en-GB"/>
        </w:rPr>
        <w:t xml:space="preserve"> </w:t>
      </w:r>
      <w:r w:rsidR="00A466F3" w:rsidRPr="00781BD2">
        <w:rPr>
          <w:rFonts w:eastAsia="Times New Roman"/>
          <w:sz w:val="22"/>
          <w:szCs w:val="22"/>
          <w:lang w:eastAsia="en-GB"/>
        </w:rPr>
        <w:t xml:space="preserve">574-580 </w:t>
      </w:r>
      <w:r w:rsidR="00A93EBB" w:rsidRPr="00781BD2">
        <w:rPr>
          <w:rFonts w:eastAsia="Times New Roman"/>
          <w:i/>
          <w:sz w:val="22"/>
          <w:szCs w:val="22"/>
          <w:lang w:eastAsia="en-GB"/>
        </w:rPr>
        <w:t>(</w:t>
      </w:r>
      <w:r w:rsidR="00414110" w:rsidRPr="00781BD2">
        <w:rPr>
          <w:rFonts w:eastAsia="Times New Roman"/>
          <w:sz w:val="22"/>
          <w:szCs w:val="22"/>
          <w:lang w:eastAsia="en-GB"/>
        </w:rPr>
        <w:t>2008</w:t>
      </w:r>
      <w:r w:rsidR="00A466F3" w:rsidRPr="00781BD2">
        <w:rPr>
          <w:rFonts w:eastAsia="Times New Roman"/>
          <w:sz w:val="22"/>
          <w:szCs w:val="22"/>
          <w:lang w:eastAsia="en-GB"/>
        </w:rPr>
        <w:t>)</w:t>
      </w:r>
      <w:r w:rsidR="00414110" w:rsidRPr="00781BD2">
        <w:rPr>
          <w:rFonts w:eastAsia="Times New Roman"/>
          <w:sz w:val="22"/>
          <w:szCs w:val="22"/>
          <w:lang w:eastAsia="en-GB"/>
        </w:rPr>
        <w:t>.</w:t>
      </w:r>
    </w:p>
    <w:p w:rsidR="0009611F" w:rsidRPr="00781BD2" w:rsidRDefault="000C0CC3" w:rsidP="00AF4013">
      <w:pPr>
        <w:spacing w:line="360" w:lineRule="auto"/>
        <w:rPr>
          <w:rFonts w:eastAsia="Times New Roman"/>
          <w:sz w:val="22"/>
          <w:szCs w:val="22"/>
          <w:lang w:eastAsia="en-GB"/>
        </w:rPr>
      </w:pPr>
      <w:r w:rsidRPr="00781BD2">
        <w:rPr>
          <w:rFonts w:eastAsia="Times New Roman"/>
          <w:sz w:val="22"/>
          <w:szCs w:val="22"/>
          <w:lang w:eastAsia="en-GB"/>
        </w:rPr>
        <w:t>15.</w:t>
      </w:r>
      <w:r w:rsidR="0009611F" w:rsidRPr="00781BD2">
        <w:rPr>
          <w:rFonts w:eastAsia="Times New Roman"/>
          <w:sz w:val="22"/>
          <w:szCs w:val="22"/>
          <w:lang w:eastAsia="en-GB"/>
        </w:rPr>
        <w:t xml:space="preserve"> </w:t>
      </w:r>
      <w:r w:rsidR="00E7079A" w:rsidRPr="00781BD2">
        <w:rPr>
          <w:rFonts w:eastAsia="Times New Roman"/>
          <w:sz w:val="22"/>
          <w:szCs w:val="22"/>
          <w:lang w:eastAsia="en-GB"/>
        </w:rPr>
        <w:t>Haffizulla</w:t>
      </w:r>
      <w:r w:rsidRPr="00781BD2">
        <w:rPr>
          <w:rFonts w:eastAsia="Times New Roman"/>
          <w:sz w:val="22"/>
          <w:szCs w:val="22"/>
          <w:lang w:eastAsia="en-GB"/>
        </w:rPr>
        <w:t xml:space="preserve"> J</w:t>
      </w:r>
      <w:r w:rsidR="00E7079A" w:rsidRPr="00781BD2">
        <w:rPr>
          <w:rFonts w:eastAsia="Times New Roman"/>
          <w:sz w:val="22"/>
          <w:szCs w:val="22"/>
          <w:lang w:eastAsia="en-GB"/>
        </w:rPr>
        <w:t xml:space="preserve">, </w:t>
      </w:r>
      <w:r w:rsidR="00682388" w:rsidRPr="00781BD2">
        <w:rPr>
          <w:rFonts w:eastAsia="Times New Roman"/>
          <w:sz w:val="22"/>
          <w:szCs w:val="22"/>
          <w:lang w:eastAsia="en-GB"/>
        </w:rPr>
        <w:t>Hartmann</w:t>
      </w:r>
      <w:r w:rsidRPr="00781BD2">
        <w:rPr>
          <w:rFonts w:eastAsia="Times New Roman"/>
          <w:sz w:val="22"/>
          <w:szCs w:val="22"/>
          <w:lang w:eastAsia="en-GB"/>
        </w:rPr>
        <w:t xml:space="preserve"> A</w:t>
      </w:r>
      <w:r w:rsidR="00682388" w:rsidRPr="00781BD2">
        <w:rPr>
          <w:rFonts w:eastAsia="Times New Roman"/>
          <w:sz w:val="22"/>
          <w:szCs w:val="22"/>
          <w:lang w:eastAsia="en-GB"/>
        </w:rPr>
        <w:t>, Hoppers</w:t>
      </w:r>
      <w:r w:rsidRPr="00781BD2">
        <w:rPr>
          <w:rFonts w:eastAsia="Times New Roman"/>
          <w:sz w:val="22"/>
          <w:szCs w:val="22"/>
          <w:lang w:eastAsia="en-GB"/>
        </w:rPr>
        <w:t xml:space="preserve"> M</w:t>
      </w:r>
      <w:r w:rsidR="00682388" w:rsidRPr="00781BD2">
        <w:rPr>
          <w:rFonts w:eastAsia="Times New Roman"/>
          <w:sz w:val="22"/>
          <w:szCs w:val="22"/>
          <w:lang w:eastAsia="en-GB"/>
        </w:rPr>
        <w:t xml:space="preserve"> </w:t>
      </w:r>
      <w:r w:rsidR="000142C9" w:rsidRPr="00781BD2">
        <w:rPr>
          <w:rFonts w:eastAsia="Times New Roman"/>
          <w:i/>
          <w:sz w:val="22"/>
          <w:szCs w:val="22"/>
          <w:lang w:eastAsia="en-GB"/>
        </w:rPr>
        <w:t>et al</w:t>
      </w:r>
      <w:r w:rsidR="009E04F1" w:rsidRPr="00781BD2">
        <w:rPr>
          <w:rFonts w:eastAsia="Times New Roman"/>
          <w:i/>
          <w:sz w:val="22"/>
          <w:szCs w:val="22"/>
          <w:lang w:eastAsia="en-GB"/>
        </w:rPr>
        <w:t>.</w:t>
      </w:r>
      <w:r w:rsidR="00680185" w:rsidRPr="00781BD2">
        <w:rPr>
          <w:rFonts w:eastAsia="Times New Roman"/>
          <w:sz w:val="22"/>
          <w:szCs w:val="22"/>
          <w:lang w:eastAsia="en-GB"/>
        </w:rPr>
        <w:t xml:space="preserve"> </w:t>
      </w:r>
      <w:r w:rsidR="00BE7B5D" w:rsidRPr="00781BD2">
        <w:rPr>
          <w:rFonts w:eastAsia="Times New Roman"/>
          <w:sz w:val="22"/>
          <w:szCs w:val="22"/>
          <w:lang w:eastAsia="en-GB"/>
        </w:rPr>
        <w:t>Effect of nitazoxanide in adults and adolescents with acute uncomplicated influenza: adouble-blind, r</w:t>
      </w:r>
      <w:r w:rsidR="000142C9" w:rsidRPr="00781BD2">
        <w:rPr>
          <w:rFonts w:eastAsia="Times New Roman"/>
          <w:sz w:val="22"/>
          <w:szCs w:val="22"/>
          <w:lang w:eastAsia="en-GB"/>
        </w:rPr>
        <w:t xml:space="preserve">andomised, placebo-controlled, </w:t>
      </w:r>
      <w:r w:rsidR="00BE7B5D" w:rsidRPr="00781BD2">
        <w:rPr>
          <w:rFonts w:eastAsia="Times New Roman"/>
          <w:sz w:val="22"/>
          <w:szCs w:val="22"/>
          <w:lang w:eastAsia="en-GB"/>
        </w:rPr>
        <w:t>phase 2b/3 trial</w:t>
      </w:r>
      <w:r w:rsidR="009E04F1" w:rsidRPr="00781BD2">
        <w:rPr>
          <w:rFonts w:eastAsia="Times New Roman"/>
          <w:sz w:val="22"/>
          <w:szCs w:val="22"/>
          <w:lang w:eastAsia="en-GB"/>
        </w:rPr>
        <w:t>.</w:t>
      </w:r>
      <w:r w:rsidR="00BE7B5D" w:rsidRPr="00781BD2">
        <w:rPr>
          <w:rFonts w:eastAsia="Times New Roman"/>
          <w:sz w:val="22"/>
          <w:szCs w:val="22"/>
          <w:lang w:eastAsia="en-GB"/>
        </w:rPr>
        <w:t xml:space="preserve"> </w:t>
      </w:r>
      <w:r w:rsidR="00680185" w:rsidRPr="00781BD2">
        <w:rPr>
          <w:rFonts w:eastAsia="Times New Roman"/>
          <w:i/>
          <w:iCs/>
          <w:sz w:val="22"/>
          <w:szCs w:val="22"/>
          <w:lang w:eastAsia="en-GB"/>
        </w:rPr>
        <w:t>Lancet Infect. Dis.</w:t>
      </w:r>
      <w:r w:rsidR="00680185" w:rsidRPr="00781BD2">
        <w:rPr>
          <w:rFonts w:eastAsia="Times New Roman"/>
          <w:sz w:val="22"/>
          <w:szCs w:val="22"/>
          <w:lang w:eastAsia="en-GB"/>
        </w:rPr>
        <w:t xml:space="preserve"> </w:t>
      </w:r>
      <w:r w:rsidR="00BE7B5D" w:rsidRPr="00781BD2">
        <w:rPr>
          <w:rFonts w:eastAsia="Times New Roman"/>
          <w:sz w:val="22"/>
          <w:szCs w:val="22"/>
          <w:lang w:eastAsia="en-GB"/>
        </w:rPr>
        <w:t>14</w:t>
      </w:r>
      <w:r w:rsidR="00516B79" w:rsidRPr="00781BD2">
        <w:rPr>
          <w:rFonts w:eastAsia="Times New Roman"/>
          <w:sz w:val="22"/>
          <w:szCs w:val="22"/>
          <w:lang w:eastAsia="en-GB"/>
        </w:rPr>
        <w:t>(7)</w:t>
      </w:r>
      <w:r w:rsidR="007C6D1C" w:rsidRPr="00781BD2">
        <w:rPr>
          <w:rFonts w:eastAsia="Times New Roman"/>
          <w:sz w:val="22"/>
          <w:szCs w:val="22"/>
          <w:lang w:eastAsia="en-GB"/>
        </w:rPr>
        <w:t>,</w:t>
      </w:r>
      <w:r w:rsidR="00BE7B5D" w:rsidRPr="00781BD2">
        <w:rPr>
          <w:rFonts w:eastAsia="Times New Roman"/>
          <w:sz w:val="22"/>
          <w:szCs w:val="22"/>
          <w:lang w:eastAsia="en-GB"/>
        </w:rPr>
        <w:t xml:space="preserve"> </w:t>
      </w:r>
      <w:r w:rsidR="007C6D1C" w:rsidRPr="00781BD2">
        <w:rPr>
          <w:rFonts w:eastAsia="Times New Roman"/>
          <w:sz w:val="22"/>
          <w:szCs w:val="22"/>
          <w:lang w:eastAsia="en-GB"/>
        </w:rPr>
        <w:t xml:space="preserve">609-618 </w:t>
      </w:r>
      <w:r w:rsidR="00BE7B5D" w:rsidRPr="00781BD2">
        <w:rPr>
          <w:rFonts w:eastAsia="Times New Roman"/>
          <w:sz w:val="22"/>
          <w:szCs w:val="22"/>
          <w:lang w:eastAsia="en-GB"/>
        </w:rPr>
        <w:t>(</w:t>
      </w:r>
      <w:r w:rsidR="00680185" w:rsidRPr="00781BD2">
        <w:rPr>
          <w:rFonts w:eastAsia="Times New Roman"/>
          <w:sz w:val="22"/>
          <w:szCs w:val="22"/>
          <w:lang w:eastAsia="en-GB"/>
        </w:rPr>
        <w:t>2014</w:t>
      </w:r>
      <w:r w:rsidR="00BE7B5D" w:rsidRPr="00781BD2">
        <w:rPr>
          <w:rFonts w:eastAsia="Times New Roman"/>
          <w:sz w:val="22"/>
          <w:szCs w:val="22"/>
          <w:lang w:eastAsia="en-GB"/>
        </w:rPr>
        <w:t>)</w:t>
      </w:r>
      <w:r w:rsidR="00680185" w:rsidRPr="00781BD2">
        <w:rPr>
          <w:rFonts w:eastAsia="Times New Roman"/>
          <w:sz w:val="22"/>
          <w:szCs w:val="22"/>
          <w:lang w:eastAsia="en-GB"/>
        </w:rPr>
        <w:t>.</w:t>
      </w:r>
    </w:p>
    <w:p w:rsidR="007A586E" w:rsidRPr="00781BD2" w:rsidRDefault="00BD3D27" w:rsidP="00BD3D27">
      <w:pPr>
        <w:spacing w:line="360" w:lineRule="auto"/>
        <w:rPr>
          <w:rFonts w:cs="Palatino"/>
          <w:sz w:val="22"/>
          <w:szCs w:val="22"/>
        </w:rPr>
      </w:pPr>
      <w:r w:rsidRPr="00781BD2">
        <w:rPr>
          <w:sz w:val="22"/>
          <w:szCs w:val="22"/>
        </w:rPr>
        <w:t xml:space="preserve">16. </w:t>
      </w:r>
      <w:r w:rsidRPr="00781BD2">
        <w:rPr>
          <w:rFonts w:cs="Palatino"/>
          <w:sz w:val="22"/>
          <w:szCs w:val="22"/>
        </w:rPr>
        <w:t xml:space="preserve">Rossignol JF. Nitazoxanide, a first-in-class broad-spectrum antiviral agent. </w:t>
      </w:r>
      <w:r w:rsidRPr="00781BD2">
        <w:rPr>
          <w:rFonts w:cs="Palatino"/>
          <w:i/>
          <w:iCs/>
          <w:sz w:val="22"/>
          <w:szCs w:val="22"/>
        </w:rPr>
        <w:t>Antiviral Res.</w:t>
      </w:r>
      <w:r w:rsidRPr="00781BD2">
        <w:rPr>
          <w:rFonts w:cs="Palatino"/>
          <w:sz w:val="22"/>
          <w:szCs w:val="22"/>
        </w:rPr>
        <w:t xml:space="preserve"> 110, 94-103 (2014).</w:t>
      </w:r>
    </w:p>
    <w:p w:rsidR="00BD3D27" w:rsidRPr="00781BD2" w:rsidRDefault="00DF047E" w:rsidP="00DF047E">
      <w:pPr>
        <w:spacing w:line="360" w:lineRule="auto"/>
        <w:rPr>
          <w:b/>
          <w:sz w:val="22"/>
          <w:szCs w:val="22"/>
        </w:rPr>
      </w:pPr>
      <w:r w:rsidRPr="00781BD2">
        <w:rPr>
          <w:b/>
          <w:sz w:val="28"/>
        </w:rPr>
        <w:t xml:space="preserve">· </w:t>
      </w:r>
      <w:r w:rsidR="007A586E" w:rsidRPr="00781BD2">
        <w:rPr>
          <w:rFonts w:cs="Palatino"/>
          <w:b/>
          <w:sz w:val="22"/>
          <w:szCs w:val="22"/>
        </w:rPr>
        <w:t>A well-cited review detailing nitazoxanide as a</w:t>
      </w:r>
      <w:r w:rsidR="00A54A01" w:rsidRPr="00781BD2">
        <w:rPr>
          <w:rFonts w:cs="Palatino"/>
          <w:b/>
          <w:sz w:val="22"/>
          <w:szCs w:val="22"/>
        </w:rPr>
        <w:t xml:space="preserve"> broad spectrum antiviral.</w:t>
      </w:r>
      <w:r w:rsidR="007A586E" w:rsidRPr="00781BD2">
        <w:rPr>
          <w:rFonts w:cs="Palatino"/>
          <w:b/>
          <w:sz w:val="22"/>
          <w:szCs w:val="22"/>
        </w:rPr>
        <w:t xml:space="preserve"> </w:t>
      </w:r>
    </w:p>
    <w:p w:rsidR="00706032" w:rsidRPr="00781BD2" w:rsidRDefault="00BD3D27" w:rsidP="00BD3D27">
      <w:pPr>
        <w:spacing w:line="360" w:lineRule="auto"/>
        <w:rPr>
          <w:rFonts w:cs="Palatino"/>
          <w:sz w:val="22"/>
          <w:szCs w:val="22"/>
        </w:rPr>
      </w:pPr>
      <w:r w:rsidRPr="00781BD2">
        <w:rPr>
          <w:sz w:val="22"/>
          <w:szCs w:val="22"/>
          <w:lang w:val="it-IT"/>
        </w:rPr>
        <w:t xml:space="preserve">17. </w:t>
      </w:r>
      <w:r w:rsidRPr="00781BD2">
        <w:rPr>
          <w:rFonts w:cs="Palatino"/>
          <w:sz w:val="22"/>
          <w:szCs w:val="22"/>
          <w:lang w:val="it-IT"/>
        </w:rPr>
        <w:t>Korba BE, Montero AB, Farrar K</w:t>
      </w:r>
      <w:r w:rsidR="00CB6F67" w:rsidRPr="00781BD2">
        <w:rPr>
          <w:rFonts w:cs="Palatino"/>
          <w:sz w:val="22"/>
          <w:szCs w:val="22"/>
          <w:lang w:val="it-IT"/>
        </w:rPr>
        <w:t xml:space="preserve"> </w:t>
      </w:r>
      <w:r w:rsidR="00CB6F67" w:rsidRPr="00781BD2">
        <w:rPr>
          <w:rFonts w:cs="Palatino"/>
          <w:i/>
          <w:sz w:val="22"/>
          <w:szCs w:val="22"/>
          <w:lang w:val="it-IT"/>
        </w:rPr>
        <w:t>et al</w:t>
      </w:r>
      <w:r w:rsidRPr="00781BD2">
        <w:rPr>
          <w:rFonts w:cs="Palatino"/>
          <w:i/>
          <w:sz w:val="22"/>
          <w:szCs w:val="22"/>
          <w:lang w:val="it-IT"/>
        </w:rPr>
        <w:t>.</w:t>
      </w:r>
      <w:r w:rsidRPr="00781BD2">
        <w:rPr>
          <w:rFonts w:cs="Palatino"/>
          <w:sz w:val="22"/>
          <w:szCs w:val="22"/>
          <w:lang w:val="it-IT"/>
        </w:rPr>
        <w:t xml:space="preserve"> </w:t>
      </w:r>
      <w:r w:rsidRPr="00781BD2">
        <w:rPr>
          <w:rFonts w:cs="Palatino"/>
          <w:sz w:val="22"/>
          <w:szCs w:val="22"/>
        </w:rPr>
        <w:t xml:space="preserve">Nitazoxanide, tizoxanide and other thiazolides are potent inhibitors of hepatitis B virus and hepatitis C virus replication. </w:t>
      </w:r>
      <w:r w:rsidRPr="00781BD2">
        <w:rPr>
          <w:rFonts w:cs="Palatino"/>
          <w:i/>
          <w:iCs/>
          <w:sz w:val="22"/>
          <w:szCs w:val="22"/>
        </w:rPr>
        <w:t>Antiviral Res.</w:t>
      </w:r>
      <w:r w:rsidRPr="00781BD2">
        <w:rPr>
          <w:rFonts w:cs="Palatino"/>
          <w:sz w:val="22"/>
          <w:szCs w:val="22"/>
        </w:rPr>
        <w:t xml:space="preserve"> 77</w:t>
      </w:r>
      <w:r w:rsidR="00C907C4" w:rsidRPr="00781BD2">
        <w:rPr>
          <w:rFonts w:cs="Palatino"/>
          <w:sz w:val="22"/>
          <w:szCs w:val="22"/>
        </w:rPr>
        <w:t>(1)</w:t>
      </w:r>
      <w:r w:rsidRPr="00781BD2">
        <w:rPr>
          <w:rFonts w:cs="Palatino"/>
          <w:sz w:val="22"/>
          <w:szCs w:val="22"/>
        </w:rPr>
        <w:t>, 56-63 (2008).</w:t>
      </w:r>
    </w:p>
    <w:p w:rsidR="00D809DE" w:rsidRPr="00781BD2" w:rsidRDefault="00CF5731" w:rsidP="00CF5731">
      <w:pPr>
        <w:spacing w:line="360" w:lineRule="auto"/>
        <w:jc w:val="both"/>
        <w:rPr>
          <w:rFonts w:cs="TimesNewRomanPSMT"/>
          <w:sz w:val="22"/>
          <w:szCs w:val="20"/>
        </w:rPr>
      </w:pPr>
      <w:r w:rsidRPr="00781BD2">
        <w:rPr>
          <w:sz w:val="22"/>
          <w:szCs w:val="22"/>
        </w:rPr>
        <w:t xml:space="preserve">18. </w:t>
      </w:r>
      <w:r w:rsidRPr="00781BD2">
        <w:rPr>
          <w:rFonts w:cs="TimesNewRomanPSMT"/>
          <w:sz w:val="22"/>
          <w:szCs w:val="20"/>
        </w:rPr>
        <w:t>Stachulski AV, Pidathala C, Row EC</w:t>
      </w:r>
      <w:r w:rsidR="00CB6F67" w:rsidRPr="00781BD2">
        <w:rPr>
          <w:rFonts w:cs="TimesNewRomanPSMT"/>
          <w:sz w:val="22"/>
          <w:szCs w:val="20"/>
        </w:rPr>
        <w:t xml:space="preserve"> </w:t>
      </w:r>
      <w:r w:rsidR="00CB6F67" w:rsidRPr="00781BD2">
        <w:rPr>
          <w:rFonts w:cs="TimesNewRomanPSMT"/>
          <w:i/>
          <w:sz w:val="22"/>
          <w:szCs w:val="20"/>
        </w:rPr>
        <w:t>et al</w:t>
      </w:r>
      <w:r w:rsidRPr="00781BD2">
        <w:rPr>
          <w:rFonts w:cs="TimesNewRomanPSMT"/>
          <w:i/>
          <w:sz w:val="22"/>
          <w:szCs w:val="20"/>
        </w:rPr>
        <w:t>.</w:t>
      </w:r>
      <w:r w:rsidRPr="00781BD2">
        <w:rPr>
          <w:rFonts w:cs="TimesNewRomanPSMT"/>
          <w:sz w:val="22"/>
          <w:szCs w:val="20"/>
        </w:rPr>
        <w:t xml:space="preserve"> Thiazolides as novel antiviral agents. 1. Inhibition of hepatitis B virus replication. </w:t>
      </w:r>
      <w:r w:rsidRPr="00781BD2">
        <w:rPr>
          <w:rFonts w:cs="TimesNewRomanPSMT"/>
          <w:i/>
          <w:iCs/>
          <w:sz w:val="22"/>
          <w:szCs w:val="20"/>
        </w:rPr>
        <w:t>J. Med. Chem.</w:t>
      </w:r>
      <w:r w:rsidRPr="00781BD2">
        <w:rPr>
          <w:rFonts w:cs="TimesNewRomanPSMT"/>
          <w:sz w:val="22"/>
          <w:szCs w:val="20"/>
        </w:rPr>
        <w:t xml:space="preserve"> 54</w:t>
      </w:r>
      <w:r w:rsidR="00EB7556" w:rsidRPr="00781BD2">
        <w:rPr>
          <w:rFonts w:cs="TimesNewRomanPSMT"/>
          <w:sz w:val="22"/>
          <w:szCs w:val="20"/>
        </w:rPr>
        <w:t>(12)</w:t>
      </w:r>
      <w:r w:rsidRPr="00781BD2">
        <w:rPr>
          <w:rFonts w:cs="TimesNewRomanPSMT"/>
          <w:sz w:val="22"/>
          <w:szCs w:val="20"/>
        </w:rPr>
        <w:t>, 4119-4132 (2011).</w:t>
      </w:r>
    </w:p>
    <w:p w:rsidR="00CF5731" w:rsidRPr="00781BD2" w:rsidRDefault="009360AE" w:rsidP="00CF5731">
      <w:pPr>
        <w:spacing w:line="360" w:lineRule="auto"/>
        <w:jc w:val="both"/>
        <w:rPr>
          <w:rFonts w:cs="TimesNewRomanPSMT"/>
          <w:b/>
          <w:sz w:val="22"/>
          <w:szCs w:val="20"/>
        </w:rPr>
      </w:pPr>
      <w:r w:rsidRPr="00781BD2">
        <w:rPr>
          <w:b/>
          <w:sz w:val="28"/>
        </w:rPr>
        <w:t xml:space="preserve">· </w:t>
      </w:r>
      <w:r w:rsidR="00D809DE" w:rsidRPr="00781BD2">
        <w:rPr>
          <w:rFonts w:cs="TimesNewRomanPSMT"/>
          <w:b/>
          <w:sz w:val="22"/>
          <w:szCs w:val="20"/>
        </w:rPr>
        <w:t xml:space="preserve">A first detailed medicinal chemistry paper </w:t>
      </w:r>
      <w:r w:rsidRPr="00781BD2">
        <w:rPr>
          <w:rFonts w:cs="TimesNewRomanPSMT"/>
          <w:b/>
          <w:sz w:val="22"/>
          <w:szCs w:val="20"/>
        </w:rPr>
        <w:t>on the synthesis and SAR of the thiazolides</w:t>
      </w:r>
    </w:p>
    <w:p w:rsidR="00CF5731" w:rsidRPr="00781BD2" w:rsidRDefault="00CF5731" w:rsidP="00CF5731">
      <w:pPr>
        <w:spacing w:line="360" w:lineRule="auto"/>
        <w:jc w:val="both"/>
        <w:rPr>
          <w:rFonts w:cs="TimesNewRomanPSMT"/>
          <w:sz w:val="22"/>
          <w:szCs w:val="20"/>
        </w:rPr>
      </w:pPr>
      <w:r w:rsidRPr="00781BD2">
        <w:rPr>
          <w:rFonts w:eastAsia="Times New Roman"/>
          <w:sz w:val="22"/>
          <w:szCs w:val="22"/>
          <w:lang w:val="it-IT" w:eastAsia="en-GB"/>
        </w:rPr>
        <w:t>19. Stachulski AV, Pidathala C, Row EC</w:t>
      </w:r>
      <w:r w:rsidR="000E0F74" w:rsidRPr="00781BD2">
        <w:rPr>
          <w:rFonts w:eastAsia="Times New Roman"/>
          <w:sz w:val="22"/>
          <w:szCs w:val="22"/>
          <w:lang w:val="it-IT" w:eastAsia="en-GB"/>
        </w:rPr>
        <w:t xml:space="preserve"> </w:t>
      </w:r>
      <w:r w:rsidR="000E0F74" w:rsidRPr="00781BD2">
        <w:rPr>
          <w:rFonts w:eastAsia="Times New Roman"/>
          <w:i/>
          <w:sz w:val="22"/>
          <w:szCs w:val="22"/>
          <w:lang w:val="it-IT" w:eastAsia="en-GB"/>
        </w:rPr>
        <w:t>et al</w:t>
      </w:r>
      <w:r w:rsidRPr="00781BD2">
        <w:rPr>
          <w:rFonts w:eastAsia="Times New Roman"/>
          <w:i/>
          <w:sz w:val="22"/>
          <w:szCs w:val="22"/>
          <w:lang w:val="it-IT" w:eastAsia="en-GB"/>
        </w:rPr>
        <w:t>.</w:t>
      </w:r>
      <w:r w:rsidRPr="00781BD2">
        <w:rPr>
          <w:rFonts w:eastAsia="Times New Roman"/>
          <w:sz w:val="22"/>
          <w:szCs w:val="22"/>
          <w:lang w:val="it-IT" w:eastAsia="en-GB"/>
        </w:rPr>
        <w:t xml:space="preserve"> </w:t>
      </w:r>
      <w:r w:rsidRPr="00781BD2">
        <w:rPr>
          <w:rFonts w:cs="TimesNewRomanPSMT"/>
          <w:sz w:val="22"/>
          <w:szCs w:val="20"/>
        </w:rPr>
        <w:t xml:space="preserve">Thiazolides as novel antiviral agents. 2. Inhibition of hepatitis C virus replication. </w:t>
      </w:r>
      <w:r w:rsidRPr="00781BD2">
        <w:rPr>
          <w:rFonts w:cs="TimesNewRomanPSMT"/>
          <w:i/>
          <w:iCs/>
          <w:sz w:val="22"/>
          <w:szCs w:val="20"/>
        </w:rPr>
        <w:t>J. Med. Chem.</w:t>
      </w:r>
      <w:r w:rsidRPr="00781BD2">
        <w:rPr>
          <w:rFonts w:cs="TimesNewRomanPSMT"/>
          <w:sz w:val="22"/>
          <w:szCs w:val="20"/>
        </w:rPr>
        <w:t xml:space="preserve"> 54</w:t>
      </w:r>
      <w:r w:rsidR="0056482E" w:rsidRPr="00781BD2">
        <w:rPr>
          <w:rFonts w:cs="TimesNewRomanPSMT"/>
          <w:sz w:val="22"/>
          <w:szCs w:val="20"/>
        </w:rPr>
        <w:t>(24)</w:t>
      </w:r>
      <w:r w:rsidRPr="00781BD2">
        <w:rPr>
          <w:rFonts w:cs="TimesNewRomanPSMT"/>
          <w:sz w:val="22"/>
          <w:szCs w:val="20"/>
        </w:rPr>
        <w:t>, 8670-8680 (2011</w:t>
      </w:r>
      <w:r w:rsidRPr="00781BD2">
        <w:rPr>
          <w:rFonts w:cs="TimesNewRomanPSMT"/>
          <w:b/>
          <w:sz w:val="22"/>
          <w:szCs w:val="20"/>
        </w:rPr>
        <w:t>)</w:t>
      </w:r>
      <w:r w:rsidRPr="00781BD2">
        <w:rPr>
          <w:rFonts w:cs="TimesNewRomanPSMT"/>
          <w:sz w:val="22"/>
          <w:szCs w:val="20"/>
        </w:rPr>
        <w:t>.</w:t>
      </w:r>
    </w:p>
    <w:p w:rsidR="00CF5731" w:rsidRPr="00781BD2" w:rsidRDefault="00CF5731" w:rsidP="00CF5731">
      <w:pPr>
        <w:widowControl w:val="0"/>
        <w:autoSpaceDE w:val="0"/>
        <w:autoSpaceDN w:val="0"/>
        <w:adjustRightInd w:val="0"/>
        <w:spacing w:line="360" w:lineRule="auto"/>
        <w:rPr>
          <w:rFonts w:cs="FrutigerLTStd-Roman"/>
          <w:sz w:val="22"/>
          <w:szCs w:val="36"/>
          <w:lang w:val="en-US"/>
        </w:rPr>
      </w:pPr>
      <w:r w:rsidRPr="00781BD2">
        <w:rPr>
          <w:sz w:val="22"/>
          <w:szCs w:val="22"/>
          <w:lang w:val="en-US"/>
        </w:rPr>
        <w:t>20. Stachulski AV, Santoro MG, Piacentini S</w:t>
      </w:r>
      <w:r w:rsidR="006450E6" w:rsidRPr="00781BD2">
        <w:rPr>
          <w:sz w:val="22"/>
          <w:szCs w:val="22"/>
          <w:lang w:val="en-US"/>
        </w:rPr>
        <w:t xml:space="preserve"> </w:t>
      </w:r>
      <w:r w:rsidR="006450E6" w:rsidRPr="00781BD2">
        <w:rPr>
          <w:i/>
          <w:sz w:val="22"/>
          <w:szCs w:val="22"/>
          <w:lang w:val="en-US"/>
        </w:rPr>
        <w:t>et al</w:t>
      </w:r>
      <w:r w:rsidRPr="00781BD2">
        <w:rPr>
          <w:i/>
          <w:sz w:val="22"/>
          <w:szCs w:val="22"/>
          <w:lang w:val="en-US"/>
        </w:rPr>
        <w:t>.</w:t>
      </w:r>
      <w:r w:rsidRPr="00781BD2">
        <w:rPr>
          <w:sz w:val="22"/>
          <w:szCs w:val="22"/>
          <w:lang w:val="en-US"/>
        </w:rPr>
        <w:t xml:space="preserve"> </w:t>
      </w:r>
      <w:r w:rsidRPr="00781BD2">
        <w:rPr>
          <w:rFonts w:cs="FrutigerLTStd-Roman"/>
          <w:sz w:val="22"/>
          <w:szCs w:val="36"/>
          <w:lang w:val="en-US"/>
        </w:rPr>
        <w:t>Second-generation nitazoxanide derivatives: thiazolides are effective inhibitors of the influenza A virus.</w:t>
      </w:r>
      <w:r w:rsidRPr="00781BD2">
        <w:rPr>
          <w:rFonts w:ascii="FrutigerLTStd-Roman" w:hAnsi="FrutigerLTStd-Roman" w:cs="FrutigerLTStd-Roman"/>
          <w:sz w:val="36"/>
          <w:szCs w:val="36"/>
          <w:lang w:val="en-US"/>
        </w:rPr>
        <w:t xml:space="preserve"> </w:t>
      </w:r>
      <w:r w:rsidR="00233006" w:rsidRPr="00781BD2">
        <w:rPr>
          <w:i/>
          <w:sz w:val="22"/>
          <w:szCs w:val="22"/>
        </w:rPr>
        <w:t xml:space="preserve">Future Med. </w:t>
      </w:r>
      <w:r w:rsidRPr="00781BD2">
        <w:rPr>
          <w:i/>
          <w:sz w:val="22"/>
          <w:szCs w:val="22"/>
        </w:rPr>
        <w:t>Chem.</w:t>
      </w:r>
      <w:r w:rsidRPr="00781BD2">
        <w:rPr>
          <w:sz w:val="22"/>
          <w:szCs w:val="22"/>
        </w:rPr>
        <w:t xml:space="preserve"> 10</w:t>
      </w:r>
      <w:r w:rsidR="002D1300" w:rsidRPr="00781BD2">
        <w:rPr>
          <w:sz w:val="22"/>
          <w:szCs w:val="22"/>
        </w:rPr>
        <w:t>(8)</w:t>
      </w:r>
      <w:r w:rsidRPr="00781BD2">
        <w:rPr>
          <w:sz w:val="22"/>
          <w:szCs w:val="22"/>
        </w:rPr>
        <w:t xml:space="preserve">, 851-862 (2018). </w:t>
      </w:r>
    </w:p>
    <w:p w:rsidR="0054240F" w:rsidRPr="00781BD2" w:rsidRDefault="0054240F" w:rsidP="0054240F">
      <w:pPr>
        <w:tabs>
          <w:tab w:val="left" w:pos="540"/>
          <w:tab w:val="left" w:pos="8640"/>
        </w:tabs>
        <w:spacing w:line="360" w:lineRule="auto"/>
        <w:contextualSpacing/>
        <w:jc w:val="both"/>
        <w:rPr>
          <w:rFonts w:eastAsia="Times New Roman" w:cstheme="majorHAnsi"/>
          <w:sz w:val="22"/>
          <w:szCs w:val="22"/>
        </w:rPr>
      </w:pPr>
      <w:r w:rsidRPr="00781BD2">
        <w:rPr>
          <w:rFonts w:eastAsia="Times New Roman" w:cstheme="majorHAnsi"/>
          <w:sz w:val="22"/>
          <w:szCs w:val="22"/>
        </w:rPr>
        <w:t>21. Wang M, Cao R, Zhang L</w:t>
      </w:r>
      <w:r w:rsidR="00041CA5" w:rsidRPr="00781BD2">
        <w:rPr>
          <w:rFonts w:eastAsia="Times New Roman" w:cstheme="majorHAnsi"/>
          <w:sz w:val="22"/>
          <w:szCs w:val="22"/>
        </w:rPr>
        <w:t xml:space="preserve"> </w:t>
      </w:r>
      <w:r w:rsidR="006B2624" w:rsidRPr="00781BD2">
        <w:rPr>
          <w:rFonts w:eastAsia="Times New Roman" w:cstheme="majorHAnsi"/>
          <w:i/>
          <w:sz w:val="22"/>
          <w:szCs w:val="22"/>
        </w:rPr>
        <w:t>et al</w:t>
      </w:r>
      <w:r w:rsidRPr="00781BD2">
        <w:rPr>
          <w:rFonts w:eastAsia="Times New Roman" w:cstheme="majorHAnsi"/>
          <w:sz w:val="22"/>
          <w:szCs w:val="22"/>
        </w:rPr>
        <w:t xml:space="preserve">. Remdesivir and Chloroquine effectively inhibit the recently emerged novel coronavirus (2019 nCoV) in vitro. </w:t>
      </w:r>
      <w:r w:rsidRPr="00781BD2">
        <w:rPr>
          <w:rFonts w:eastAsia="Times New Roman" w:cstheme="majorHAnsi"/>
          <w:i/>
          <w:iCs/>
          <w:sz w:val="22"/>
          <w:szCs w:val="22"/>
        </w:rPr>
        <w:t>Cell Research</w:t>
      </w:r>
      <w:r w:rsidRPr="00781BD2">
        <w:rPr>
          <w:rFonts w:eastAsia="Times New Roman" w:cstheme="majorHAnsi"/>
          <w:sz w:val="22"/>
          <w:szCs w:val="22"/>
        </w:rPr>
        <w:t xml:space="preserve"> 0:1–3; </w:t>
      </w:r>
      <w:hyperlink r:id="rId15" w:history="1">
        <w:r w:rsidRPr="00781BD2">
          <w:rPr>
            <w:rStyle w:val="Hyperlink"/>
            <w:rFonts w:eastAsia="Times New Roman" w:cstheme="majorHAnsi"/>
            <w:color w:val="auto"/>
            <w:sz w:val="22"/>
            <w:szCs w:val="22"/>
            <w:u w:val="none"/>
          </w:rPr>
          <w:t>https://doi.org/10.1038/s41422-020- 0282-0</w:t>
        </w:r>
      </w:hyperlink>
      <w:r w:rsidRPr="00781BD2">
        <w:rPr>
          <w:rFonts w:eastAsia="Times New Roman" w:cstheme="majorHAnsi"/>
          <w:sz w:val="22"/>
          <w:szCs w:val="22"/>
        </w:rPr>
        <w:t xml:space="preserve"> (2020).  </w:t>
      </w:r>
    </w:p>
    <w:p w:rsidR="0054240F" w:rsidRPr="00781BD2" w:rsidRDefault="0054240F" w:rsidP="0054240F">
      <w:pPr>
        <w:widowControl w:val="0"/>
        <w:autoSpaceDE w:val="0"/>
        <w:autoSpaceDN w:val="0"/>
        <w:adjustRightInd w:val="0"/>
        <w:spacing w:line="360" w:lineRule="auto"/>
        <w:jc w:val="both"/>
        <w:rPr>
          <w:rFonts w:cstheme="majorHAnsi"/>
          <w:sz w:val="22"/>
          <w:szCs w:val="22"/>
        </w:rPr>
      </w:pPr>
      <w:r w:rsidRPr="00781BD2">
        <w:rPr>
          <w:rFonts w:cstheme="majorHAnsi"/>
          <w:sz w:val="22"/>
          <w:szCs w:val="22"/>
        </w:rPr>
        <w:t xml:space="preserve">22. NIH website clinical trial NTC04341493. </w:t>
      </w:r>
    </w:p>
    <w:p w:rsidR="0054240F" w:rsidRPr="00781BD2" w:rsidRDefault="0054240F" w:rsidP="0054240F">
      <w:pPr>
        <w:widowControl w:val="0"/>
        <w:autoSpaceDE w:val="0"/>
        <w:autoSpaceDN w:val="0"/>
        <w:adjustRightInd w:val="0"/>
        <w:spacing w:line="360" w:lineRule="auto"/>
        <w:jc w:val="both"/>
        <w:rPr>
          <w:rFonts w:cstheme="majorHAnsi"/>
          <w:sz w:val="22"/>
          <w:szCs w:val="22"/>
        </w:rPr>
      </w:pPr>
      <w:r w:rsidRPr="00781BD2">
        <w:rPr>
          <w:rFonts w:cstheme="majorHAnsi"/>
          <w:sz w:val="22"/>
          <w:szCs w:val="22"/>
        </w:rPr>
        <w:t>23. NIH website clinical trial NCT04423861.</w:t>
      </w:r>
    </w:p>
    <w:p w:rsidR="0090130A" w:rsidRPr="00781BD2" w:rsidRDefault="0090130A" w:rsidP="0090130A">
      <w:pPr>
        <w:tabs>
          <w:tab w:val="left" w:pos="8640"/>
        </w:tabs>
        <w:spacing w:line="360" w:lineRule="auto"/>
        <w:jc w:val="both"/>
        <w:rPr>
          <w:rFonts w:cstheme="majorHAnsi"/>
          <w:sz w:val="22"/>
          <w:szCs w:val="22"/>
        </w:rPr>
      </w:pPr>
      <w:r w:rsidRPr="00781BD2">
        <w:rPr>
          <w:rFonts w:cstheme="majorHAnsi"/>
          <w:sz w:val="22"/>
          <w:szCs w:val="22"/>
        </w:rPr>
        <w:t>24. Rossignol JF, Van Baalen C. Nitazoxanide: the First Broad-Spectrum Antiviral Agent: Mechanism of Action. Poster presentation at the 2</w:t>
      </w:r>
      <w:r w:rsidRPr="00781BD2">
        <w:rPr>
          <w:rFonts w:cstheme="majorHAnsi"/>
          <w:sz w:val="22"/>
          <w:szCs w:val="22"/>
          <w:vertAlign w:val="superscript"/>
        </w:rPr>
        <w:t>nd</w:t>
      </w:r>
      <w:r w:rsidRPr="00781BD2">
        <w:rPr>
          <w:rFonts w:cstheme="majorHAnsi"/>
          <w:sz w:val="22"/>
          <w:szCs w:val="22"/>
        </w:rPr>
        <w:t xml:space="preserve"> International Meeting on Respiratory Pathogens March 7-9, 2018, Abstract ARP057 page 19.</w:t>
      </w:r>
    </w:p>
    <w:p w:rsidR="0090130A" w:rsidRPr="00781BD2" w:rsidRDefault="0090130A" w:rsidP="0090130A">
      <w:pPr>
        <w:tabs>
          <w:tab w:val="left" w:pos="8640"/>
        </w:tabs>
        <w:spacing w:line="360" w:lineRule="auto"/>
        <w:jc w:val="both"/>
        <w:rPr>
          <w:rFonts w:cstheme="majorHAnsi"/>
          <w:sz w:val="22"/>
          <w:szCs w:val="22"/>
        </w:rPr>
      </w:pPr>
      <w:r w:rsidRPr="00781BD2">
        <w:rPr>
          <w:rFonts w:cstheme="majorHAnsi"/>
          <w:sz w:val="22"/>
          <w:szCs w:val="22"/>
        </w:rPr>
        <w:t xml:space="preserve">25. Braakman I, Helenius J, Helenius A. Role of ATP and disulphide bonds during protein folding in the endoplasmic reticulum. </w:t>
      </w:r>
      <w:r w:rsidRPr="00781BD2">
        <w:rPr>
          <w:rFonts w:cstheme="majorHAnsi"/>
          <w:i/>
          <w:iCs/>
          <w:sz w:val="22"/>
          <w:szCs w:val="22"/>
        </w:rPr>
        <w:t>Nature</w:t>
      </w:r>
      <w:r w:rsidRPr="00781BD2">
        <w:rPr>
          <w:rFonts w:cstheme="majorHAnsi"/>
          <w:sz w:val="22"/>
          <w:szCs w:val="22"/>
        </w:rPr>
        <w:t xml:space="preserve"> 356</w:t>
      </w:r>
      <w:r w:rsidR="001A49C9" w:rsidRPr="00781BD2">
        <w:rPr>
          <w:rFonts w:cstheme="majorHAnsi"/>
          <w:sz w:val="22"/>
          <w:szCs w:val="22"/>
        </w:rPr>
        <w:t>(6366)</w:t>
      </w:r>
      <w:r w:rsidRPr="00781BD2">
        <w:rPr>
          <w:rFonts w:cstheme="majorHAnsi"/>
          <w:sz w:val="22"/>
          <w:szCs w:val="22"/>
        </w:rPr>
        <w:t>, 260-62 (1992).</w:t>
      </w:r>
    </w:p>
    <w:p w:rsidR="00B7299C" w:rsidRPr="00781BD2" w:rsidRDefault="0090130A" w:rsidP="0090130A">
      <w:pPr>
        <w:tabs>
          <w:tab w:val="left" w:pos="8640"/>
        </w:tabs>
        <w:spacing w:line="360" w:lineRule="auto"/>
        <w:jc w:val="both"/>
        <w:rPr>
          <w:rFonts w:cstheme="majorHAnsi"/>
          <w:sz w:val="22"/>
          <w:szCs w:val="22"/>
        </w:rPr>
      </w:pPr>
      <w:r w:rsidRPr="00781BD2">
        <w:rPr>
          <w:rFonts w:cstheme="majorHAnsi"/>
          <w:sz w:val="22"/>
          <w:szCs w:val="22"/>
        </w:rPr>
        <w:t xml:space="preserve">26. Braakman I, Hoover-Litty H, Wagner KR, Helenius A. Folding of influenza hemagglutinin in the endoplasmic reticulum. </w:t>
      </w:r>
      <w:r w:rsidRPr="00781BD2">
        <w:rPr>
          <w:rFonts w:cstheme="majorHAnsi"/>
          <w:i/>
          <w:iCs/>
          <w:sz w:val="22"/>
          <w:szCs w:val="22"/>
        </w:rPr>
        <w:t>J. Cell Biol.</w:t>
      </w:r>
      <w:r w:rsidRPr="00781BD2">
        <w:rPr>
          <w:rFonts w:cstheme="majorHAnsi"/>
          <w:sz w:val="22"/>
          <w:szCs w:val="22"/>
        </w:rPr>
        <w:t xml:space="preserve"> 114</w:t>
      </w:r>
      <w:r w:rsidR="00292724" w:rsidRPr="00781BD2">
        <w:rPr>
          <w:rFonts w:cstheme="majorHAnsi"/>
          <w:sz w:val="22"/>
          <w:szCs w:val="22"/>
        </w:rPr>
        <w:t>(3)</w:t>
      </w:r>
      <w:r w:rsidRPr="00781BD2">
        <w:rPr>
          <w:rFonts w:cstheme="majorHAnsi"/>
          <w:sz w:val="22"/>
          <w:szCs w:val="22"/>
        </w:rPr>
        <w:t>, 401-11 (1991).</w:t>
      </w:r>
    </w:p>
    <w:p w:rsidR="00B7299C" w:rsidRPr="00781BD2" w:rsidRDefault="00B7299C" w:rsidP="00B7299C">
      <w:pPr>
        <w:tabs>
          <w:tab w:val="left" w:pos="8640"/>
        </w:tabs>
        <w:spacing w:line="360" w:lineRule="auto"/>
        <w:jc w:val="both"/>
        <w:rPr>
          <w:rFonts w:cstheme="majorHAnsi"/>
          <w:sz w:val="22"/>
          <w:szCs w:val="22"/>
        </w:rPr>
      </w:pPr>
      <w:r w:rsidRPr="00781BD2">
        <w:rPr>
          <w:rFonts w:cstheme="majorHAnsi"/>
          <w:sz w:val="22"/>
          <w:szCs w:val="22"/>
        </w:rPr>
        <w:t xml:space="preserve">27. Doms RW, Keller DS, Helenius A, Balch WE. Role of adenosine triphosphate in regulating the assembly and transport of vesicular stomatitis virus G protein trimers. </w:t>
      </w:r>
      <w:r w:rsidRPr="00781BD2">
        <w:rPr>
          <w:rFonts w:cstheme="majorHAnsi"/>
          <w:i/>
          <w:iCs/>
          <w:sz w:val="22"/>
          <w:szCs w:val="22"/>
        </w:rPr>
        <w:t>J. Cell Biol.</w:t>
      </w:r>
      <w:r w:rsidRPr="00781BD2">
        <w:rPr>
          <w:rFonts w:cstheme="majorHAnsi"/>
          <w:sz w:val="22"/>
          <w:szCs w:val="22"/>
        </w:rPr>
        <w:t xml:space="preserve"> 105</w:t>
      </w:r>
      <w:r w:rsidR="005231AA" w:rsidRPr="00781BD2">
        <w:rPr>
          <w:rFonts w:cstheme="majorHAnsi"/>
          <w:sz w:val="22"/>
          <w:szCs w:val="22"/>
        </w:rPr>
        <w:t>(5)</w:t>
      </w:r>
      <w:r w:rsidRPr="00781BD2">
        <w:rPr>
          <w:rFonts w:cstheme="majorHAnsi"/>
          <w:sz w:val="22"/>
          <w:szCs w:val="22"/>
        </w:rPr>
        <w:t xml:space="preserve">, 1957-1969 (1987). </w:t>
      </w:r>
    </w:p>
    <w:p w:rsidR="00B7299C" w:rsidRPr="00781BD2" w:rsidRDefault="00B7299C" w:rsidP="00B7299C">
      <w:pPr>
        <w:tabs>
          <w:tab w:val="left" w:pos="8640"/>
        </w:tabs>
        <w:spacing w:line="360" w:lineRule="auto"/>
        <w:jc w:val="both"/>
        <w:rPr>
          <w:rFonts w:cstheme="majorHAnsi"/>
          <w:sz w:val="22"/>
          <w:szCs w:val="22"/>
        </w:rPr>
      </w:pPr>
      <w:r w:rsidRPr="00781BD2">
        <w:rPr>
          <w:rFonts w:cstheme="majorHAnsi"/>
          <w:sz w:val="22"/>
          <w:szCs w:val="22"/>
        </w:rPr>
        <w:t xml:space="preserve">28. Chang CW, Li HC, Hsu CF, Chang CY, Lo SY. Increased ATP generation in the host cells is required for efficient vaccinia virus production. </w:t>
      </w:r>
      <w:r w:rsidRPr="00781BD2">
        <w:rPr>
          <w:rFonts w:cstheme="majorHAnsi"/>
          <w:i/>
          <w:iCs/>
          <w:sz w:val="22"/>
          <w:szCs w:val="22"/>
        </w:rPr>
        <w:t>J. Biomedical Sci.</w:t>
      </w:r>
      <w:r w:rsidRPr="00781BD2">
        <w:rPr>
          <w:rFonts w:cstheme="majorHAnsi"/>
          <w:sz w:val="22"/>
          <w:szCs w:val="22"/>
        </w:rPr>
        <w:t xml:space="preserve"> 16, 80 (2009).</w:t>
      </w:r>
    </w:p>
    <w:p w:rsidR="00B7299C" w:rsidRPr="00781BD2" w:rsidRDefault="00B7299C" w:rsidP="00B7299C">
      <w:pPr>
        <w:widowControl w:val="0"/>
        <w:tabs>
          <w:tab w:val="left" w:pos="0"/>
          <w:tab w:val="left" w:pos="540"/>
          <w:tab w:val="left" w:pos="720"/>
        </w:tabs>
        <w:autoSpaceDE w:val="0"/>
        <w:autoSpaceDN w:val="0"/>
        <w:adjustRightInd w:val="0"/>
        <w:spacing w:line="360" w:lineRule="auto"/>
        <w:jc w:val="both"/>
        <w:rPr>
          <w:rFonts w:cs="Palatino"/>
          <w:sz w:val="22"/>
          <w:szCs w:val="22"/>
          <w:lang w:val="it-IT"/>
        </w:rPr>
      </w:pPr>
      <w:r w:rsidRPr="00781BD2">
        <w:rPr>
          <w:rFonts w:cs="Palatino"/>
          <w:sz w:val="22"/>
          <w:szCs w:val="22"/>
        </w:rPr>
        <w:t xml:space="preserve">29. Mirazimi A, Svensson L. ATP is required for correct folding and disulphide bond formation rotavirus VP7. </w:t>
      </w:r>
      <w:r w:rsidRPr="00781BD2">
        <w:rPr>
          <w:rFonts w:cs="Palatino"/>
          <w:i/>
          <w:sz w:val="22"/>
          <w:szCs w:val="22"/>
        </w:rPr>
        <w:t>J. Virol.</w:t>
      </w:r>
      <w:r w:rsidRPr="00781BD2">
        <w:rPr>
          <w:rFonts w:cs="Palatino"/>
          <w:iCs/>
          <w:sz w:val="22"/>
          <w:szCs w:val="22"/>
        </w:rPr>
        <w:t xml:space="preserve"> </w:t>
      </w:r>
      <w:r w:rsidRPr="00781BD2">
        <w:rPr>
          <w:rFonts w:cs="Palatino"/>
          <w:iCs/>
          <w:sz w:val="22"/>
          <w:szCs w:val="22"/>
          <w:lang w:val="it-IT"/>
        </w:rPr>
        <w:t>74</w:t>
      </w:r>
      <w:r w:rsidR="00E02C2B" w:rsidRPr="00781BD2">
        <w:rPr>
          <w:rFonts w:cs="Palatino"/>
          <w:iCs/>
          <w:sz w:val="22"/>
          <w:szCs w:val="22"/>
          <w:lang w:val="it-IT"/>
        </w:rPr>
        <w:t>(17)</w:t>
      </w:r>
      <w:r w:rsidRPr="00781BD2">
        <w:rPr>
          <w:rFonts w:cs="Palatino"/>
          <w:iCs/>
          <w:sz w:val="22"/>
          <w:szCs w:val="22"/>
          <w:lang w:val="it-IT"/>
        </w:rPr>
        <w:t xml:space="preserve">, </w:t>
      </w:r>
      <w:r w:rsidRPr="00781BD2">
        <w:rPr>
          <w:rFonts w:cs="Palatino"/>
          <w:sz w:val="22"/>
          <w:szCs w:val="22"/>
          <w:lang w:val="it-IT"/>
        </w:rPr>
        <w:t>8048-52 (2000).</w:t>
      </w:r>
    </w:p>
    <w:p w:rsidR="009C0F1C" w:rsidRPr="00781BD2" w:rsidRDefault="00B7299C" w:rsidP="00B7299C">
      <w:pPr>
        <w:widowControl w:val="0"/>
        <w:tabs>
          <w:tab w:val="left" w:pos="0"/>
          <w:tab w:val="left" w:pos="540"/>
          <w:tab w:val="left" w:pos="720"/>
          <w:tab w:val="left" w:pos="8640"/>
        </w:tabs>
        <w:autoSpaceDE w:val="0"/>
        <w:autoSpaceDN w:val="0"/>
        <w:adjustRightInd w:val="0"/>
        <w:spacing w:line="360" w:lineRule="auto"/>
        <w:jc w:val="both"/>
        <w:rPr>
          <w:rFonts w:cstheme="majorHAnsi"/>
          <w:sz w:val="22"/>
          <w:szCs w:val="22"/>
        </w:rPr>
      </w:pPr>
      <w:r w:rsidRPr="00781BD2">
        <w:rPr>
          <w:rFonts w:cstheme="majorHAnsi"/>
          <w:sz w:val="22"/>
          <w:szCs w:val="22"/>
          <w:lang w:val="it-IT"/>
        </w:rPr>
        <w:t xml:space="preserve">30. Rossignol JF, La Frazia S, Chiappa L, Ciucci A, Santoro MG. </w:t>
      </w:r>
      <w:r w:rsidRPr="00781BD2">
        <w:rPr>
          <w:rFonts w:cstheme="majorHAnsi"/>
          <w:sz w:val="22"/>
          <w:szCs w:val="22"/>
        </w:rPr>
        <w:t xml:space="preserve">Thiazolides, a </w:t>
      </w:r>
      <w:r w:rsidR="00041CA5" w:rsidRPr="00781BD2">
        <w:rPr>
          <w:rFonts w:cstheme="majorHAnsi"/>
          <w:sz w:val="22"/>
          <w:szCs w:val="22"/>
        </w:rPr>
        <w:t>n</w:t>
      </w:r>
      <w:r w:rsidRPr="00781BD2">
        <w:rPr>
          <w:rFonts w:cstheme="majorHAnsi"/>
          <w:sz w:val="22"/>
          <w:szCs w:val="22"/>
        </w:rPr>
        <w:t xml:space="preserve">ew </w:t>
      </w:r>
      <w:r w:rsidR="00041CA5" w:rsidRPr="00781BD2">
        <w:rPr>
          <w:rFonts w:cstheme="majorHAnsi"/>
          <w:sz w:val="22"/>
          <w:szCs w:val="22"/>
        </w:rPr>
        <w:t>c</w:t>
      </w:r>
      <w:r w:rsidRPr="00781BD2">
        <w:rPr>
          <w:rFonts w:cstheme="majorHAnsi"/>
          <w:sz w:val="22"/>
          <w:szCs w:val="22"/>
        </w:rPr>
        <w:t xml:space="preserve">lass of </w:t>
      </w:r>
      <w:r w:rsidR="00041CA5" w:rsidRPr="00781BD2">
        <w:rPr>
          <w:rFonts w:cstheme="majorHAnsi"/>
          <w:sz w:val="22"/>
          <w:szCs w:val="22"/>
        </w:rPr>
        <w:t>a</w:t>
      </w:r>
      <w:r w:rsidRPr="00781BD2">
        <w:rPr>
          <w:rFonts w:cstheme="majorHAnsi"/>
          <w:sz w:val="22"/>
          <w:szCs w:val="22"/>
        </w:rPr>
        <w:t xml:space="preserve">nti-influenza </w:t>
      </w:r>
      <w:r w:rsidR="00041CA5" w:rsidRPr="00781BD2">
        <w:rPr>
          <w:rFonts w:cstheme="majorHAnsi"/>
          <w:sz w:val="22"/>
          <w:szCs w:val="22"/>
        </w:rPr>
        <w:t>m</w:t>
      </w:r>
      <w:r w:rsidRPr="00781BD2">
        <w:rPr>
          <w:rFonts w:cstheme="majorHAnsi"/>
          <w:sz w:val="22"/>
          <w:szCs w:val="22"/>
        </w:rPr>
        <w:t xml:space="preserve">olecules </w:t>
      </w:r>
      <w:r w:rsidR="00041CA5" w:rsidRPr="00781BD2">
        <w:rPr>
          <w:rFonts w:cstheme="majorHAnsi"/>
          <w:sz w:val="22"/>
          <w:szCs w:val="22"/>
        </w:rPr>
        <w:t>t</w:t>
      </w:r>
      <w:r w:rsidRPr="00781BD2">
        <w:rPr>
          <w:rFonts w:cstheme="majorHAnsi"/>
          <w:sz w:val="22"/>
          <w:szCs w:val="22"/>
        </w:rPr>
        <w:t xml:space="preserve">argeting </w:t>
      </w:r>
      <w:r w:rsidR="00041CA5" w:rsidRPr="00781BD2">
        <w:rPr>
          <w:rFonts w:cstheme="majorHAnsi"/>
          <w:sz w:val="22"/>
          <w:szCs w:val="22"/>
        </w:rPr>
        <w:t>v</w:t>
      </w:r>
      <w:r w:rsidRPr="00781BD2">
        <w:rPr>
          <w:rFonts w:cstheme="majorHAnsi"/>
          <w:sz w:val="22"/>
          <w:szCs w:val="22"/>
        </w:rPr>
        <w:t xml:space="preserve">iral </w:t>
      </w:r>
      <w:r w:rsidR="00EB386A" w:rsidRPr="00781BD2">
        <w:rPr>
          <w:rFonts w:cstheme="majorHAnsi"/>
          <w:sz w:val="22"/>
          <w:szCs w:val="22"/>
        </w:rPr>
        <w:t>h</w:t>
      </w:r>
      <w:r w:rsidRPr="00781BD2">
        <w:rPr>
          <w:rFonts w:cstheme="majorHAnsi"/>
          <w:sz w:val="22"/>
          <w:szCs w:val="22"/>
        </w:rPr>
        <w:t xml:space="preserve">emagglutinin at </w:t>
      </w:r>
      <w:r w:rsidR="00EB386A" w:rsidRPr="00781BD2">
        <w:rPr>
          <w:rFonts w:cstheme="majorHAnsi"/>
          <w:sz w:val="22"/>
          <w:szCs w:val="22"/>
        </w:rPr>
        <w:t>p</w:t>
      </w:r>
      <w:r w:rsidRPr="00781BD2">
        <w:rPr>
          <w:rFonts w:cstheme="majorHAnsi"/>
          <w:sz w:val="22"/>
          <w:szCs w:val="22"/>
        </w:rPr>
        <w:t>ost-</w:t>
      </w:r>
      <w:r w:rsidR="00EB386A" w:rsidRPr="00781BD2">
        <w:rPr>
          <w:rFonts w:cstheme="majorHAnsi"/>
          <w:sz w:val="22"/>
          <w:szCs w:val="22"/>
        </w:rPr>
        <w:t>t</w:t>
      </w:r>
      <w:r w:rsidRPr="00781BD2">
        <w:rPr>
          <w:rFonts w:cstheme="majorHAnsi"/>
          <w:sz w:val="22"/>
          <w:szCs w:val="22"/>
        </w:rPr>
        <w:t xml:space="preserve">ranslational </w:t>
      </w:r>
      <w:r w:rsidR="00EB386A" w:rsidRPr="00781BD2">
        <w:rPr>
          <w:rFonts w:cstheme="majorHAnsi"/>
          <w:sz w:val="22"/>
          <w:szCs w:val="22"/>
        </w:rPr>
        <w:t>l</w:t>
      </w:r>
      <w:r w:rsidRPr="00781BD2">
        <w:rPr>
          <w:rFonts w:cstheme="majorHAnsi"/>
          <w:sz w:val="22"/>
          <w:szCs w:val="22"/>
        </w:rPr>
        <w:t xml:space="preserve">evel. </w:t>
      </w:r>
      <w:r w:rsidRPr="00781BD2">
        <w:rPr>
          <w:rFonts w:cstheme="majorHAnsi"/>
          <w:i/>
          <w:iCs/>
          <w:sz w:val="22"/>
          <w:szCs w:val="22"/>
        </w:rPr>
        <w:t>J. Biol. Chem.</w:t>
      </w:r>
      <w:r w:rsidRPr="00781BD2">
        <w:rPr>
          <w:rFonts w:cstheme="majorHAnsi"/>
          <w:sz w:val="22"/>
          <w:szCs w:val="22"/>
        </w:rPr>
        <w:t xml:space="preserve"> 284</w:t>
      </w:r>
      <w:r w:rsidR="008F0427" w:rsidRPr="00781BD2">
        <w:rPr>
          <w:rFonts w:cstheme="majorHAnsi"/>
          <w:sz w:val="22"/>
          <w:szCs w:val="22"/>
        </w:rPr>
        <w:t>(43)</w:t>
      </w:r>
      <w:r w:rsidRPr="00781BD2">
        <w:rPr>
          <w:rFonts w:cstheme="majorHAnsi"/>
          <w:sz w:val="22"/>
          <w:szCs w:val="22"/>
        </w:rPr>
        <w:t xml:space="preserve">, 29798-29808 (2009). </w:t>
      </w:r>
    </w:p>
    <w:p w:rsidR="00B7299C" w:rsidRPr="00781BD2" w:rsidRDefault="00EC3FD7" w:rsidP="00EC3FD7">
      <w:pPr>
        <w:widowControl w:val="0"/>
        <w:tabs>
          <w:tab w:val="left" w:pos="0"/>
          <w:tab w:val="left" w:pos="540"/>
          <w:tab w:val="left" w:pos="720"/>
          <w:tab w:val="left" w:pos="8640"/>
        </w:tabs>
        <w:autoSpaceDE w:val="0"/>
        <w:autoSpaceDN w:val="0"/>
        <w:adjustRightInd w:val="0"/>
        <w:spacing w:line="360" w:lineRule="auto"/>
        <w:jc w:val="both"/>
        <w:rPr>
          <w:rFonts w:cstheme="majorHAnsi"/>
          <w:b/>
          <w:sz w:val="22"/>
          <w:szCs w:val="22"/>
        </w:rPr>
      </w:pPr>
      <w:r w:rsidRPr="00781BD2">
        <w:rPr>
          <w:b/>
          <w:sz w:val="28"/>
        </w:rPr>
        <w:t xml:space="preserve">·· </w:t>
      </w:r>
      <w:r w:rsidR="009C0F1C" w:rsidRPr="00781BD2">
        <w:rPr>
          <w:rFonts w:cstheme="majorHAnsi"/>
          <w:b/>
          <w:sz w:val="22"/>
          <w:szCs w:val="22"/>
        </w:rPr>
        <w:t>A study of the mode of action of thiazolides against influenza virus</w:t>
      </w:r>
    </w:p>
    <w:p w:rsidR="0090130A" w:rsidRPr="00781BD2" w:rsidRDefault="00B7299C" w:rsidP="00B7299C">
      <w:pPr>
        <w:tabs>
          <w:tab w:val="left" w:pos="8640"/>
        </w:tabs>
        <w:spacing w:line="360" w:lineRule="auto"/>
        <w:jc w:val="both"/>
        <w:rPr>
          <w:rFonts w:cstheme="majorHAnsi"/>
          <w:sz w:val="22"/>
          <w:szCs w:val="22"/>
        </w:rPr>
      </w:pPr>
      <w:r w:rsidRPr="00781BD2">
        <w:rPr>
          <w:rFonts w:cstheme="majorHAnsi"/>
          <w:sz w:val="22"/>
          <w:szCs w:val="22"/>
          <w:lang w:val="it-IT"/>
        </w:rPr>
        <w:t>31. Piacentini S, La Frazia S, Riccio A</w:t>
      </w:r>
      <w:r w:rsidR="007F76E5" w:rsidRPr="00781BD2">
        <w:rPr>
          <w:rFonts w:cstheme="majorHAnsi"/>
          <w:sz w:val="22"/>
          <w:szCs w:val="22"/>
          <w:lang w:val="it-IT"/>
        </w:rPr>
        <w:t xml:space="preserve"> </w:t>
      </w:r>
      <w:r w:rsidR="007F76E5" w:rsidRPr="00781BD2">
        <w:rPr>
          <w:rFonts w:cstheme="majorHAnsi"/>
          <w:i/>
          <w:sz w:val="22"/>
          <w:szCs w:val="22"/>
          <w:lang w:val="it-IT"/>
        </w:rPr>
        <w:t>et al</w:t>
      </w:r>
      <w:r w:rsidRPr="00781BD2">
        <w:rPr>
          <w:rFonts w:cstheme="majorHAnsi"/>
          <w:sz w:val="22"/>
          <w:szCs w:val="22"/>
          <w:lang w:val="it-IT"/>
        </w:rPr>
        <w:t xml:space="preserve">. </w:t>
      </w:r>
      <w:r w:rsidRPr="00781BD2">
        <w:rPr>
          <w:rFonts w:cstheme="majorHAnsi"/>
          <w:sz w:val="22"/>
          <w:szCs w:val="22"/>
        </w:rPr>
        <w:t xml:space="preserve">Nitazoxanide inhibits paramyxovirus replication by targeting the Fusion protein folding: role of glycoprotein-specific thiol oxidoreductase ERp57. </w:t>
      </w:r>
      <w:r w:rsidRPr="00781BD2">
        <w:rPr>
          <w:rFonts w:cstheme="majorHAnsi"/>
          <w:i/>
          <w:iCs/>
          <w:sz w:val="22"/>
          <w:szCs w:val="22"/>
        </w:rPr>
        <w:t>Sci. Rep</w:t>
      </w:r>
      <w:r w:rsidRPr="00781BD2">
        <w:rPr>
          <w:rFonts w:cstheme="majorHAnsi"/>
          <w:sz w:val="22"/>
          <w:szCs w:val="22"/>
        </w:rPr>
        <w:t>. 8, 10425 (2018).</w:t>
      </w:r>
    </w:p>
    <w:p w:rsidR="00BC626C" w:rsidRPr="00781BD2" w:rsidRDefault="00BC626C" w:rsidP="00BC626C">
      <w:pPr>
        <w:widowControl w:val="0"/>
        <w:autoSpaceDE w:val="0"/>
        <w:autoSpaceDN w:val="0"/>
        <w:adjustRightInd w:val="0"/>
        <w:spacing w:line="360" w:lineRule="auto"/>
        <w:jc w:val="both"/>
        <w:rPr>
          <w:rFonts w:cs="Arial"/>
          <w:sz w:val="22"/>
          <w:szCs w:val="22"/>
        </w:rPr>
      </w:pPr>
      <w:r w:rsidRPr="00781BD2">
        <w:rPr>
          <w:rFonts w:cs="Arial"/>
          <w:sz w:val="22"/>
          <w:szCs w:val="22"/>
        </w:rPr>
        <w:t>32. Lee JH, Zhang Y, Zhao Z</w:t>
      </w:r>
      <w:r w:rsidR="00CC2BDF" w:rsidRPr="00781BD2">
        <w:rPr>
          <w:rFonts w:cs="Arial"/>
          <w:sz w:val="22"/>
          <w:szCs w:val="22"/>
        </w:rPr>
        <w:t xml:space="preserve"> </w:t>
      </w:r>
      <w:r w:rsidR="00CC2BDF" w:rsidRPr="00781BD2">
        <w:rPr>
          <w:rFonts w:cs="Arial"/>
          <w:i/>
          <w:sz w:val="22"/>
          <w:szCs w:val="22"/>
        </w:rPr>
        <w:t>et al</w:t>
      </w:r>
      <w:r w:rsidRPr="00781BD2">
        <w:rPr>
          <w:rFonts w:cs="Arial"/>
          <w:sz w:val="22"/>
          <w:szCs w:val="22"/>
        </w:rPr>
        <w:t xml:space="preserve">. Intracellular ATP in balance of pro-inflammatory and anti-inflammatory cytokines in adipose tissue with and without tissue expansion. </w:t>
      </w:r>
      <w:r w:rsidRPr="00781BD2">
        <w:rPr>
          <w:rFonts w:cs="Arial"/>
          <w:i/>
          <w:iCs/>
          <w:sz w:val="22"/>
          <w:szCs w:val="22"/>
        </w:rPr>
        <w:t>Int. J. Obes</w:t>
      </w:r>
      <w:r w:rsidRPr="00781BD2">
        <w:rPr>
          <w:rFonts w:cs="Arial"/>
          <w:sz w:val="22"/>
          <w:szCs w:val="22"/>
        </w:rPr>
        <w:t>. 41</w:t>
      </w:r>
      <w:r w:rsidR="002E72B9" w:rsidRPr="00781BD2">
        <w:rPr>
          <w:rFonts w:cs="Arial"/>
          <w:sz w:val="22"/>
          <w:szCs w:val="22"/>
        </w:rPr>
        <w:t>(4)</w:t>
      </w:r>
      <w:r w:rsidRPr="00781BD2">
        <w:rPr>
          <w:rFonts w:cs="Arial"/>
          <w:sz w:val="22"/>
          <w:szCs w:val="22"/>
        </w:rPr>
        <w:t>, 645-51 (2017).</w:t>
      </w:r>
    </w:p>
    <w:p w:rsidR="00BC626C" w:rsidRPr="00781BD2" w:rsidRDefault="00BC626C" w:rsidP="00BC626C">
      <w:pPr>
        <w:widowControl w:val="0"/>
        <w:autoSpaceDE w:val="0"/>
        <w:autoSpaceDN w:val="0"/>
        <w:adjustRightInd w:val="0"/>
        <w:spacing w:line="360" w:lineRule="auto"/>
        <w:jc w:val="both"/>
        <w:rPr>
          <w:rFonts w:cs="Arial"/>
          <w:sz w:val="22"/>
          <w:szCs w:val="22"/>
        </w:rPr>
      </w:pPr>
      <w:r w:rsidRPr="00781BD2">
        <w:rPr>
          <w:rFonts w:cs="Arial"/>
          <w:sz w:val="22"/>
          <w:szCs w:val="22"/>
        </w:rPr>
        <w:t xml:space="preserve">33. Sag D, Carling D, Stout RD, Suttles J. AMP-activated protein kinase promotes macrophage polarization to an anti-inflammatory functional phenotype. </w:t>
      </w:r>
      <w:r w:rsidRPr="00781BD2">
        <w:rPr>
          <w:rFonts w:cs="Arial"/>
          <w:i/>
          <w:iCs/>
          <w:sz w:val="22"/>
          <w:szCs w:val="22"/>
        </w:rPr>
        <w:t>J. Immunol.</w:t>
      </w:r>
      <w:r w:rsidRPr="00781BD2">
        <w:rPr>
          <w:rFonts w:cs="Arial"/>
          <w:sz w:val="22"/>
          <w:szCs w:val="22"/>
        </w:rPr>
        <w:t xml:space="preserve"> 181</w:t>
      </w:r>
      <w:r w:rsidR="0096664F" w:rsidRPr="00781BD2">
        <w:rPr>
          <w:rFonts w:cs="Arial"/>
          <w:sz w:val="22"/>
          <w:szCs w:val="22"/>
        </w:rPr>
        <w:t>(12)</w:t>
      </w:r>
      <w:r w:rsidRPr="00781BD2">
        <w:rPr>
          <w:rFonts w:cs="Arial"/>
          <w:sz w:val="22"/>
          <w:szCs w:val="22"/>
        </w:rPr>
        <w:t>, 8633-</w:t>
      </w:r>
      <w:r w:rsidR="0096664F" w:rsidRPr="00781BD2">
        <w:rPr>
          <w:rFonts w:cs="Arial"/>
          <w:sz w:val="22"/>
          <w:szCs w:val="22"/>
        </w:rPr>
        <w:t>86</w:t>
      </w:r>
      <w:r w:rsidRPr="00781BD2">
        <w:rPr>
          <w:rFonts w:cs="Arial"/>
          <w:sz w:val="22"/>
          <w:szCs w:val="22"/>
        </w:rPr>
        <w:t>41 (2008).</w:t>
      </w:r>
    </w:p>
    <w:p w:rsidR="0009517F" w:rsidRPr="00781BD2" w:rsidRDefault="00BC626C" w:rsidP="00BC626C">
      <w:pPr>
        <w:widowControl w:val="0"/>
        <w:autoSpaceDE w:val="0"/>
        <w:autoSpaceDN w:val="0"/>
        <w:adjustRightInd w:val="0"/>
        <w:spacing w:line="360" w:lineRule="auto"/>
        <w:jc w:val="both"/>
        <w:rPr>
          <w:rFonts w:cs="Arial"/>
          <w:sz w:val="22"/>
          <w:szCs w:val="22"/>
          <w:lang w:val="it-IT"/>
        </w:rPr>
      </w:pPr>
      <w:r w:rsidRPr="00781BD2">
        <w:rPr>
          <w:rFonts w:cs="Arial"/>
          <w:sz w:val="22"/>
          <w:szCs w:val="22"/>
        </w:rPr>
        <w:t xml:space="preserve">34. Wang W, Yang X, de Silanes IL, Carling D, Gorospe M. Increased ASMP: ATP Ratio and AMP-activated protein kinase activity during cellular senescence linked to reduction of Hur function. </w:t>
      </w:r>
      <w:r w:rsidRPr="00781BD2">
        <w:rPr>
          <w:rFonts w:cs="Arial"/>
          <w:i/>
          <w:iCs/>
          <w:sz w:val="22"/>
          <w:szCs w:val="22"/>
          <w:lang w:val="it-IT"/>
        </w:rPr>
        <w:t xml:space="preserve">J. Biol. Chem. </w:t>
      </w:r>
      <w:r w:rsidRPr="00781BD2">
        <w:rPr>
          <w:rFonts w:cs="Arial"/>
          <w:sz w:val="22"/>
          <w:szCs w:val="22"/>
          <w:lang w:val="it-IT"/>
        </w:rPr>
        <w:t>278</w:t>
      </w:r>
      <w:r w:rsidR="00737935" w:rsidRPr="00781BD2">
        <w:rPr>
          <w:rFonts w:cs="Arial"/>
          <w:sz w:val="22"/>
          <w:szCs w:val="22"/>
          <w:lang w:val="it-IT"/>
        </w:rPr>
        <w:t>(29)</w:t>
      </w:r>
      <w:r w:rsidRPr="00781BD2">
        <w:rPr>
          <w:rFonts w:cs="Arial"/>
          <w:sz w:val="22"/>
          <w:szCs w:val="22"/>
          <w:lang w:val="it-IT"/>
        </w:rPr>
        <w:t>, 27016-27023 (2003).</w:t>
      </w:r>
    </w:p>
    <w:p w:rsidR="00B24336" w:rsidRPr="00781BD2" w:rsidRDefault="006A401B" w:rsidP="00E239E7">
      <w:pPr>
        <w:spacing w:line="360" w:lineRule="auto"/>
        <w:jc w:val="both"/>
      </w:pPr>
      <w:r w:rsidRPr="00781BD2">
        <w:rPr>
          <w:sz w:val="22"/>
          <w:szCs w:val="22"/>
          <w:lang w:val="it-IT"/>
        </w:rPr>
        <w:t xml:space="preserve">35. </w:t>
      </w:r>
      <w:r w:rsidR="00170287" w:rsidRPr="00781BD2">
        <w:rPr>
          <w:rFonts w:cs="AdvGulliv-R"/>
          <w:sz w:val="22"/>
          <w:szCs w:val="13"/>
          <w:lang w:val="it-IT"/>
        </w:rPr>
        <w:t xml:space="preserve">Riccio A, Santopolo S, Rossi A, Piacentini S, Rossignol JF, Santoro MG. </w:t>
      </w:r>
      <w:r w:rsidR="00170287" w:rsidRPr="00781BD2">
        <w:rPr>
          <w:rFonts w:cs="AdvGulliv-R"/>
          <w:sz w:val="22"/>
          <w:szCs w:val="13"/>
          <w:lang w:val="en-US"/>
        </w:rPr>
        <w:t>Impairment of SARS-CoV-2 spike glycoprotein maturation and fusion activity by the broad-spectrum anti-infective drug nitazoxanide.</w:t>
      </w:r>
      <w:r w:rsidR="00B24336" w:rsidRPr="00781BD2">
        <w:rPr>
          <w:rFonts w:cs="AdvGulliv-R"/>
          <w:sz w:val="22"/>
          <w:szCs w:val="13"/>
          <w:lang w:val="en-US"/>
        </w:rPr>
        <w:t xml:space="preserve"> </w:t>
      </w:r>
      <w:r w:rsidR="00B24336" w:rsidRPr="00781BD2">
        <w:rPr>
          <w:rFonts w:cs="Menlo"/>
          <w:sz w:val="22"/>
          <w:szCs w:val="22"/>
          <w:shd w:val="clear" w:color="auto" w:fill="FFFFFF"/>
        </w:rPr>
        <w:t xml:space="preserve"> bioRxiv 2021.04.12.439201; doi:</w:t>
      </w:r>
      <w:r w:rsidR="00B24336" w:rsidRPr="00781BD2">
        <w:rPr>
          <w:rStyle w:val="apple-converted-space"/>
          <w:rFonts w:cs="Menlo"/>
          <w:sz w:val="22"/>
          <w:szCs w:val="22"/>
          <w:shd w:val="clear" w:color="auto" w:fill="FFFFFF"/>
        </w:rPr>
        <w:t> </w:t>
      </w:r>
      <w:r w:rsidR="00BD61AC" w:rsidRPr="00781BD2">
        <w:fldChar w:fldCharType="begin"/>
      </w:r>
      <w:r w:rsidR="00196344" w:rsidRPr="00781BD2">
        <w:instrText>HYPERLINK "https://doi.org/10.1101/2021.04.12.439201" \t "_blank"</w:instrText>
      </w:r>
      <w:r w:rsidR="00BD61AC" w:rsidRPr="00781BD2">
        <w:fldChar w:fldCharType="separate"/>
      </w:r>
      <w:r w:rsidR="00B24336" w:rsidRPr="00781BD2">
        <w:rPr>
          <w:rStyle w:val="Hyperlink"/>
          <w:rFonts w:cs="Menlo"/>
          <w:color w:val="auto"/>
          <w:sz w:val="22"/>
          <w:szCs w:val="22"/>
          <w:u w:val="none"/>
        </w:rPr>
        <w:t>https://doi.org/10.1101/2021.04.12.439201</w:t>
      </w:r>
      <w:r w:rsidR="00BD61AC" w:rsidRPr="00781BD2">
        <w:fldChar w:fldCharType="end"/>
      </w:r>
      <w:r w:rsidR="00B24336" w:rsidRPr="00781BD2">
        <w:rPr>
          <w:sz w:val="22"/>
          <w:szCs w:val="22"/>
        </w:rPr>
        <w:t>.</w:t>
      </w:r>
    </w:p>
    <w:p w:rsidR="006A401B" w:rsidRPr="00781BD2" w:rsidRDefault="006D1601" w:rsidP="00E239E7">
      <w:pPr>
        <w:spacing w:line="360" w:lineRule="auto"/>
        <w:rPr>
          <w:b/>
          <w:sz w:val="22"/>
          <w:szCs w:val="22"/>
        </w:rPr>
      </w:pPr>
      <w:r w:rsidRPr="00781BD2">
        <w:rPr>
          <w:b/>
          <w:sz w:val="28"/>
        </w:rPr>
        <w:t>·</w:t>
      </w:r>
      <w:r w:rsidR="009B7780" w:rsidRPr="00781BD2">
        <w:rPr>
          <w:b/>
          <w:sz w:val="28"/>
        </w:rPr>
        <w:t xml:space="preserve"> </w:t>
      </w:r>
      <w:r w:rsidR="00CC37AB" w:rsidRPr="00781BD2">
        <w:rPr>
          <w:b/>
          <w:sz w:val="22"/>
          <w:szCs w:val="22"/>
        </w:rPr>
        <w:t>A further aspect of the mechanism of NTZ’s antiviral activity, against SARS-CoV-2.</w:t>
      </w:r>
    </w:p>
    <w:p w:rsidR="006A401B" w:rsidRPr="00781BD2" w:rsidRDefault="006A401B" w:rsidP="006A401B">
      <w:pPr>
        <w:spacing w:line="360" w:lineRule="auto"/>
        <w:rPr>
          <w:sz w:val="22"/>
          <w:szCs w:val="22"/>
        </w:rPr>
      </w:pPr>
      <w:r w:rsidRPr="00781BD2">
        <w:rPr>
          <w:sz w:val="22"/>
          <w:szCs w:val="22"/>
        </w:rPr>
        <w:t xml:space="preserve">36. Ranjbar S, Haridas V, Nambu A </w:t>
      </w:r>
      <w:r w:rsidRPr="00781BD2">
        <w:rPr>
          <w:i/>
          <w:sz w:val="22"/>
          <w:szCs w:val="22"/>
        </w:rPr>
        <w:t>et al.</w:t>
      </w:r>
      <w:r w:rsidRPr="00781BD2">
        <w:rPr>
          <w:sz w:val="22"/>
          <w:szCs w:val="22"/>
        </w:rPr>
        <w:t xml:space="preserve"> Cytoplasmic RNA </w:t>
      </w:r>
      <w:r w:rsidR="00EB386A" w:rsidRPr="00781BD2">
        <w:rPr>
          <w:sz w:val="22"/>
          <w:szCs w:val="22"/>
        </w:rPr>
        <w:t>s</w:t>
      </w:r>
      <w:r w:rsidRPr="00781BD2">
        <w:rPr>
          <w:sz w:val="22"/>
          <w:szCs w:val="22"/>
        </w:rPr>
        <w:t xml:space="preserve">ensor </w:t>
      </w:r>
      <w:r w:rsidR="00EB386A" w:rsidRPr="00781BD2">
        <w:rPr>
          <w:sz w:val="22"/>
          <w:szCs w:val="22"/>
        </w:rPr>
        <w:t>p</w:t>
      </w:r>
      <w:r w:rsidRPr="00781BD2">
        <w:rPr>
          <w:sz w:val="22"/>
          <w:szCs w:val="22"/>
        </w:rPr>
        <w:t xml:space="preserve">athways and </w:t>
      </w:r>
      <w:r w:rsidR="00EB386A" w:rsidRPr="00781BD2">
        <w:rPr>
          <w:sz w:val="22"/>
          <w:szCs w:val="22"/>
        </w:rPr>
        <w:t>n</w:t>
      </w:r>
      <w:r w:rsidRPr="00781BD2">
        <w:rPr>
          <w:sz w:val="22"/>
          <w:szCs w:val="22"/>
        </w:rPr>
        <w:t xml:space="preserve">itazoxanide </w:t>
      </w:r>
      <w:r w:rsidR="00EB386A" w:rsidRPr="00781BD2">
        <w:rPr>
          <w:sz w:val="22"/>
          <w:szCs w:val="22"/>
        </w:rPr>
        <w:t>b</w:t>
      </w:r>
      <w:r w:rsidRPr="00781BD2">
        <w:rPr>
          <w:sz w:val="22"/>
          <w:szCs w:val="22"/>
        </w:rPr>
        <w:t xml:space="preserve">roadly </w:t>
      </w:r>
      <w:r w:rsidR="00EB386A" w:rsidRPr="00781BD2">
        <w:rPr>
          <w:sz w:val="22"/>
          <w:szCs w:val="22"/>
        </w:rPr>
        <w:t>i</w:t>
      </w:r>
      <w:r w:rsidRPr="00781BD2">
        <w:rPr>
          <w:sz w:val="22"/>
          <w:szCs w:val="22"/>
        </w:rPr>
        <w:t xml:space="preserve">nhibit </w:t>
      </w:r>
      <w:r w:rsidR="00EB386A" w:rsidRPr="00781BD2">
        <w:rPr>
          <w:sz w:val="22"/>
          <w:szCs w:val="22"/>
        </w:rPr>
        <w:t>i</w:t>
      </w:r>
      <w:r w:rsidRPr="00781BD2">
        <w:rPr>
          <w:sz w:val="22"/>
          <w:szCs w:val="22"/>
        </w:rPr>
        <w:t xml:space="preserve">ntracellular Mycobacterium tuberculosis </w:t>
      </w:r>
      <w:r w:rsidR="00EB386A" w:rsidRPr="00781BD2">
        <w:rPr>
          <w:sz w:val="22"/>
          <w:szCs w:val="22"/>
        </w:rPr>
        <w:t>g</w:t>
      </w:r>
      <w:r w:rsidRPr="00781BD2">
        <w:rPr>
          <w:sz w:val="22"/>
          <w:szCs w:val="22"/>
        </w:rPr>
        <w:t xml:space="preserve">rowth. </w:t>
      </w:r>
      <w:r w:rsidRPr="00781BD2">
        <w:rPr>
          <w:i/>
          <w:sz w:val="22"/>
          <w:szCs w:val="22"/>
        </w:rPr>
        <w:t xml:space="preserve">IScience </w:t>
      </w:r>
      <w:r w:rsidRPr="00781BD2">
        <w:rPr>
          <w:sz w:val="22"/>
          <w:szCs w:val="22"/>
        </w:rPr>
        <w:t xml:space="preserve"> 22, 299-313 (2019).</w:t>
      </w:r>
    </w:p>
    <w:p w:rsidR="006A401B" w:rsidRPr="00781BD2" w:rsidRDefault="00D04DC3" w:rsidP="006A401B">
      <w:pPr>
        <w:spacing w:line="360" w:lineRule="auto"/>
        <w:rPr>
          <w:sz w:val="22"/>
          <w:szCs w:val="22"/>
        </w:rPr>
      </w:pPr>
      <w:r w:rsidRPr="00781BD2">
        <w:rPr>
          <w:sz w:val="22"/>
          <w:szCs w:val="22"/>
        </w:rPr>
        <w:t>3</w:t>
      </w:r>
      <w:r w:rsidR="006A401B" w:rsidRPr="00781BD2">
        <w:rPr>
          <w:sz w:val="22"/>
          <w:szCs w:val="22"/>
        </w:rPr>
        <w:t>7. Jasenosky LD, Cadena C, Mire CE et al. The Fda-</w:t>
      </w:r>
      <w:r w:rsidR="00EB386A" w:rsidRPr="00781BD2">
        <w:rPr>
          <w:sz w:val="22"/>
          <w:szCs w:val="22"/>
        </w:rPr>
        <w:t>a</w:t>
      </w:r>
      <w:r w:rsidR="006A401B" w:rsidRPr="00781BD2">
        <w:rPr>
          <w:sz w:val="22"/>
          <w:szCs w:val="22"/>
        </w:rPr>
        <w:t xml:space="preserve">pproved </w:t>
      </w:r>
      <w:r w:rsidR="00EB386A" w:rsidRPr="00781BD2">
        <w:rPr>
          <w:sz w:val="22"/>
          <w:szCs w:val="22"/>
        </w:rPr>
        <w:t>o</w:t>
      </w:r>
      <w:r w:rsidR="006A401B" w:rsidRPr="00781BD2">
        <w:rPr>
          <w:sz w:val="22"/>
          <w:szCs w:val="22"/>
        </w:rPr>
        <w:t xml:space="preserve">ral </w:t>
      </w:r>
      <w:r w:rsidR="00EB386A" w:rsidRPr="00781BD2">
        <w:rPr>
          <w:sz w:val="22"/>
          <w:szCs w:val="22"/>
        </w:rPr>
        <w:t>d</w:t>
      </w:r>
      <w:r w:rsidR="006A401B" w:rsidRPr="00781BD2">
        <w:rPr>
          <w:sz w:val="22"/>
          <w:szCs w:val="22"/>
        </w:rPr>
        <w:t xml:space="preserve">rug </w:t>
      </w:r>
      <w:r w:rsidR="00EB386A" w:rsidRPr="00781BD2">
        <w:rPr>
          <w:sz w:val="22"/>
          <w:szCs w:val="22"/>
        </w:rPr>
        <w:t>n</w:t>
      </w:r>
      <w:r w:rsidR="006A401B" w:rsidRPr="00781BD2">
        <w:rPr>
          <w:sz w:val="22"/>
          <w:szCs w:val="22"/>
        </w:rPr>
        <w:t xml:space="preserve">itazoxanide </w:t>
      </w:r>
      <w:r w:rsidR="00EB386A" w:rsidRPr="00781BD2">
        <w:rPr>
          <w:sz w:val="22"/>
          <w:szCs w:val="22"/>
        </w:rPr>
        <w:t>a</w:t>
      </w:r>
      <w:r w:rsidR="006A401B" w:rsidRPr="00781BD2">
        <w:rPr>
          <w:sz w:val="22"/>
          <w:szCs w:val="22"/>
        </w:rPr>
        <w:t xml:space="preserve">mplifies </w:t>
      </w:r>
      <w:r w:rsidR="00EB386A" w:rsidRPr="00781BD2">
        <w:rPr>
          <w:sz w:val="22"/>
          <w:szCs w:val="22"/>
        </w:rPr>
        <w:t>h</w:t>
      </w:r>
      <w:r w:rsidR="006A401B" w:rsidRPr="00781BD2">
        <w:rPr>
          <w:sz w:val="22"/>
          <w:szCs w:val="22"/>
        </w:rPr>
        <w:t xml:space="preserve">ost </w:t>
      </w:r>
      <w:r w:rsidR="00EB386A" w:rsidRPr="00781BD2">
        <w:rPr>
          <w:sz w:val="22"/>
          <w:szCs w:val="22"/>
        </w:rPr>
        <w:t>a</w:t>
      </w:r>
      <w:r w:rsidR="006A401B" w:rsidRPr="00781BD2">
        <w:rPr>
          <w:sz w:val="22"/>
          <w:szCs w:val="22"/>
        </w:rPr>
        <w:t xml:space="preserve">ntiviral responses and </w:t>
      </w:r>
      <w:r w:rsidR="00EB386A" w:rsidRPr="00781BD2">
        <w:rPr>
          <w:sz w:val="22"/>
          <w:szCs w:val="22"/>
        </w:rPr>
        <w:t>i</w:t>
      </w:r>
      <w:r w:rsidR="006A401B" w:rsidRPr="00781BD2">
        <w:rPr>
          <w:sz w:val="22"/>
          <w:szCs w:val="22"/>
        </w:rPr>
        <w:t xml:space="preserve">nhibits Ebola </w:t>
      </w:r>
      <w:r w:rsidR="00EB386A" w:rsidRPr="00781BD2">
        <w:rPr>
          <w:sz w:val="22"/>
          <w:szCs w:val="22"/>
        </w:rPr>
        <w:t>v</w:t>
      </w:r>
      <w:r w:rsidR="006A401B" w:rsidRPr="00781BD2">
        <w:rPr>
          <w:sz w:val="22"/>
          <w:szCs w:val="22"/>
        </w:rPr>
        <w:t xml:space="preserve">irus. </w:t>
      </w:r>
      <w:r w:rsidR="006A401B" w:rsidRPr="00781BD2">
        <w:rPr>
          <w:i/>
          <w:sz w:val="22"/>
          <w:szCs w:val="22"/>
        </w:rPr>
        <w:t>IScience</w:t>
      </w:r>
      <w:r w:rsidR="006A401B" w:rsidRPr="00781BD2">
        <w:rPr>
          <w:sz w:val="22"/>
          <w:szCs w:val="22"/>
        </w:rPr>
        <w:t xml:space="preserve"> 19, 1265-1276 (2019).</w:t>
      </w:r>
    </w:p>
    <w:p w:rsidR="00463D80" w:rsidRPr="00781BD2" w:rsidRDefault="00045C0C" w:rsidP="00463D8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Palatino"/>
          <w:sz w:val="22"/>
          <w:szCs w:val="22"/>
        </w:rPr>
      </w:pPr>
      <w:r w:rsidRPr="00781BD2">
        <w:rPr>
          <w:sz w:val="22"/>
          <w:szCs w:val="22"/>
        </w:rPr>
        <w:t>38</w:t>
      </w:r>
      <w:r w:rsidR="00463D80" w:rsidRPr="00781BD2">
        <w:rPr>
          <w:sz w:val="22"/>
          <w:szCs w:val="22"/>
        </w:rPr>
        <w:t xml:space="preserve">. Broekhuysen J, Stockis A, Lins RL, De Graeve J, Rossignol JF. </w:t>
      </w:r>
      <w:r w:rsidR="00463D80" w:rsidRPr="00781BD2">
        <w:rPr>
          <w:rFonts w:cs="Palatino"/>
          <w:sz w:val="22"/>
          <w:szCs w:val="22"/>
        </w:rPr>
        <w:t xml:space="preserve">Nitazoxanide: Pharmacokinetics and Metabolism in Man. </w:t>
      </w:r>
      <w:r w:rsidR="00463D80" w:rsidRPr="00781BD2">
        <w:rPr>
          <w:rFonts w:cs="Palatino"/>
          <w:i/>
          <w:sz w:val="22"/>
          <w:szCs w:val="22"/>
        </w:rPr>
        <w:t>Int. J. Clin. Pharmacol. Ther.</w:t>
      </w:r>
      <w:r w:rsidR="00463D80" w:rsidRPr="00781BD2">
        <w:rPr>
          <w:rFonts w:cs="Palatino"/>
          <w:sz w:val="22"/>
          <w:szCs w:val="22"/>
        </w:rPr>
        <w:t xml:space="preserve"> 38</w:t>
      </w:r>
      <w:r w:rsidR="00A16C7F" w:rsidRPr="00781BD2">
        <w:rPr>
          <w:rFonts w:cs="Palatino"/>
          <w:sz w:val="22"/>
          <w:szCs w:val="22"/>
        </w:rPr>
        <w:t>(8)</w:t>
      </w:r>
      <w:r w:rsidR="00463D80" w:rsidRPr="00781BD2">
        <w:rPr>
          <w:rFonts w:cs="Palatino"/>
          <w:sz w:val="22"/>
          <w:szCs w:val="22"/>
        </w:rPr>
        <w:t>, 387-394 (2000).</w:t>
      </w:r>
    </w:p>
    <w:p w:rsidR="00463D80" w:rsidRPr="00781BD2" w:rsidRDefault="00045C0C" w:rsidP="00463D80">
      <w:pPr>
        <w:spacing w:line="360" w:lineRule="auto"/>
        <w:rPr>
          <w:sz w:val="22"/>
          <w:lang w:eastAsia="en-GB"/>
        </w:rPr>
      </w:pPr>
      <w:r w:rsidRPr="00781BD2">
        <w:rPr>
          <w:sz w:val="22"/>
          <w:lang w:eastAsia="en-GB"/>
        </w:rPr>
        <w:t>39</w:t>
      </w:r>
      <w:r w:rsidR="00463D80" w:rsidRPr="00781BD2">
        <w:rPr>
          <w:sz w:val="22"/>
          <w:lang w:eastAsia="en-GB"/>
        </w:rPr>
        <w:t xml:space="preserve">. Rossignol JF, Stachulski AV. </w:t>
      </w:r>
      <w:r w:rsidR="00463D80" w:rsidRPr="00781BD2">
        <w:rPr>
          <w:rFonts w:cs="TimesNewRomanPSMT"/>
          <w:sz w:val="22"/>
          <w:szCs w:val="20"/>
        </w:rPr>
        <w:t xml:space="preserve">Syntheses and antibacterial activites of tizoxanide, an N-(Nitrothiazolyl)salicylamide, and its </w:t>
      </w:r>
      <w:r w:rsidR="00463D80" w:rsidRPr="00781BD2">
        <w:rPr>
          <w:rFonts w:cs="TimesNewRomanPSMT"/>
          <w:i/>
          <w:sz w:val="22"/>
          <w:szCs w:val="20"/>
        </w:rPr>
        <w:t>O</w:t>
      </w:r>
      <w:r w:rsidR="00463D80" w:rsidRPr="00781BD2">
        <w:rPr>
          <w:rFonts w:cs="TimesNewRomanPSMT"/>
          <w:sz w:val="22"/>
          <w:szCs w:val="20"/>
        </w:rPr>
        <w:t xml:space="preserve">-aryl glucuronide.  </w:t>
      </w:r>
      <w:r w:rsidR="00463D80" w:rsidRPr="00781BD2">
        <w:rPr>
          <w:rFonts w:cs="TimesNewRomanPSMT"/>
          <w:i/>
          <w:iCs/>
          <w:sz w:val="22"/>
          <w:szCs w:val="20"/>
        </w:rPr>
        <w:t>J. Chem. Res. (S)</w:t>
      </w:r>
      <w:r w:rsidR="00463D80" w:rsidRPr="00781BD2">
        <w:rPr>
          <w:rFonts w:cs="TimesNewRomanPSMT"/>
          <w:sz w:val="22"/>
          <w:szCs w:val="20"/>
        </w:rPr>
        <w:t xml:space="preserve"> 44-45 (1999).</w:t>
      </w:r>
    </w:p>
    <w:p w:rsidR="007E7F0D" w:rsidRPr="00781BD2" w:rsidRDefault="00045C0C" w:rsidP="00463D80">
      <w:pPr>
        <w:spacing w:line="360" w:lineRule="auto"/>
        <w:rPr>
          <w:sz w:val="22"/>
        </w:rPr>
      </w:pPr>
      <w:r w:rsidRPr="00781BD2">
        <w:rPr>
          <w:sz w:val="22"/>
        </w:rPr>
        <w:t>40</w:t>
      </w:r>
      <w:r w:rsidR="00463D80" w:rsidRPr="00781BD2">
        <w:rPr>
          <w:sz w:val="22"/>
        </w:rPr>
        <w:t>. Stachulski AV, Swift K, Cooper M</w:t>
      </w:r>
      <w:r w:rsidR="00532873" w:rsidRPr="00781BD2">
        <w:rPr>
          <w:sz w:val="22"/>
        </w:rPr>
        <w:t xml:space="preserve"> </w:t>
      </w:r>
      <w:r w:rsidR="00532873" w:rsidRPr="00781BD2">
        <w:rPr>
          <w:i/>
          <w:sz w:val="22"/>
        </w:rPr>
        <w:t>et al</w:t>
      </w:r>
      <w:r w:rsidR="00463D80" w:rsidRPr="00781BD2">
        <w:rPr>
          <w:sz w:val="22"/>
        </w:rPr>
        <w:t>. Synthesis and pre-clinical studies of new amino-acid ester thiazolide prodrugs.</w:t>
      </w:r>
      <w:r w:rsidR="00463D80" w:rsidRPr="00781BD2">
        <w:rPr>
          <w:rFonts w:ascii="AdvOT863180fb" w:hAnsi="AdvOT863180fb"/>
          <w:sz w:val="22"/>
          <w:szCs w:val="28"/>
        </w:rPr>
        <w:t xml:space="preserve"> </w:t>
      </w:r>
      <w:r w:rsidR="00463D80" w:rsidRPr="00781BD2">
        <w:rPr>
          <w:i/>
          <w:iCs/>
          <w:sz w:val="22"/>
        </w:rPr>
        <w:t>Eur. J. Med. Chem.</w:t>
      </w:r>
      <w:r w:rsidR="00463D80" w:rsidRPr="00781BD2">
        <w:rPr>
          <w:sz w:val="22"/>
        </w:rPr>
        <w:t xml:space="preserve"> 126, 154-159 (2017). </w:t>
      </w:r>
    </w:p>
    <w:p w:rsidR="00463D80" w:rsidRPr="00781BD2" w:rsidRDefault="00176862" w:rsidP="00176862">
      <w:pPr>
        <w:spacing w:line="360" w:lineRule="auto"/>
        <w:rPr>
          <w:b/>
          <w:sz w:val="22"/>
        </w:rPr>
      </w:pPr>
      <w:r w:rsidRPr="00781BD2">
        <w:rPr>
          <w:b/>
          <w:sz w:val="28"/>
        </w:rPr>
        <w:t>·</w:t>
      </w:r>
      <w:r w:rsidRPr="00781BD2">
        <w:rPr>
          <w:b/>
          <w:sz w:val="22"/>
        </w:rPr>
        <w:t xml:space="preserve"> </w:t>
      </w:r>
      <w:r w:rsidR="007E7F0D" w:rsidRPr="00781BD2">
        <w:rPr>
          <w:b/>
          <w:sz w:val="22"/>
        </w:rPr>
        <w:t>Describes a prodrug formulation of the thiazolides with greatly improved bioavailabilty.</w:t>
      </w:r>
    </w:p>
    <w:p w:rsidR="00EB5CCF" w:rsidRPr="00781BD2" w:rsidRDefault="000D73D8" w:rsidP="00EB5CCF">
      <w:pPr>
        <w:spacing w:line="360" w:lineRule="auto"/>
        <w:rPr>
          <w:sz w:val="22"/>
          <w:szCs w:val="22"/>
        </w:rPr>
      </w:pPr>
      <w:r w:rsidRPr="00781BD2">
        <w:rPr>
          <w:sz w:val="22"/>
          <w:szCs w:val="22"/>
        </w:rPr>
        <w:t>41</w:t>
      </w:r>
      <w:r w:rsidR="00EB5CCF" w:rsidRPr="00781BD2">
        <w:rPr>
          <w:sz w:val="22"/>
          <w:szCs w:val="22"/>
        </w:rPr>
        <w:t xml:space="preserve">. Shalan S, Nasr JJ, Belal F. </w:t>
      </w:r>
      <w:r w:rsidR="00EB5CCF" w:rsidRPr="00781BD2">
        <w:rPr>
          <w:rFonts w:cs="Helvetica"/>
          <w:sz w:val="22"/>
          <w:szCs w:val="31"/>
          <w:lang w:val="en-US"/>
        </w:rPr>
        <w:t xml:space="preserve">Determination of tizoxanide, the active metabolite of nitazoxanide, by micellar liquid chromatography using a monolithic column. Application to pharmacokinetic studies. </w:t>
      </w:r>
      <w:r w:rsidR="00EB5CCF" w:rsidRPr="00781BD2">
        <w:rPr>
          <w:rFonts w:cs="Helvetica"/>
          <w:i/>
          <w:iCs/>
          <w:sz w:val="22"/>
          <w:szCs w:val="31"/>
          <w:lang w:val="en-US"/>
        </w:rPr>
        <w:t>Anal. Methods</w:t>
      </w:r>
      <w:r w:rsidR="00EB5CCF" w:rsidRPr="00781BD2">
        <w:rPr>
          <w:rFonts w:cs="Helvetica"/>
          <w:sz w:val="22"/>
          <w:szCs w:val="31"/>
          <w:lang w:val="en-US"/>
        </w:rPr>
        <w:t xml:space="preserve"> 6</w:t>
      </w:r>
      <w:r w:rsidR="00C66970" w:rsidRPr="00781BD2">
        <w:rPr>
          <w:rFonts w:cs="Helvetica"/>
          <w:sz w:val="22"/>
          <w:szCs w:val="31"/>
          <w:lang w:val="en-US"/>
        </w:rPr>
        <w:t>(21)</w:t>
      </w:r>
      <w:r w:rsidR="00EB5CCF" w:rsidRPr="00781BD2">
        <w:rPr>
          <w:rFonts w:cs="Helvetica"/>
          <w:sz w:val="22"/>
          <w:szCs w:val="31"/>
          <w:lang w:val="en-US"/>
        </w:rPr>
        <w:t xml:space="preserve">, 8682-8689 (2014). </w:t>
      </w:r>
    </w:p>
    <w:p w:rsidR="00EB5CCF" w:rsidRPr="00781BD2" w:rsidRDefault="000D73D8" w:rsidP="00EB5CCF">
      <w:pPr>
        <w:spacing w:line="360" w:lineRule="auto"/>
        <w:rPr>
          <w:sz w:val="22"/>
          <w:szCs w:val="22"/>
        </w:rPr>
      </w:pPr>
      <w:r w:rsidRPr="00781BD2">
        <w:rPr>
          <w:sz w:val="22"/>
          <w:szCs w:val="22"/>
        </w:rPr>
        <w:t>42</w:t>
      </w:r>
      <w:r w:rsidR="00EB5CCF" w:rsidRPr="00781BD2">
        <w:rPr>
          <w:sz w:val="22"/>
          <w:szCs w:val="22"/>
        </w:rPr>
        <w:t xml:space="preserve">. Hecht G, Gloxhuber C. Studies on the tolerance of 5, 2´-dichloro-4´-nitrosalicylanilide ethanolamine salt (Ger.). </w:t>
      </w:r>
      <w:r w:rsidR="00EB5CCF" w:rsidRPr="00781BD2">
        <w:rPr>
          <w:i/>
          <w:sz w:val="22"/>
          <w:szCs w:val="22"/>
        </w:rPr>
        <w:t>Z. Tropenmed. Parasit.</w:t>
      </w:r>
      <w:r w:rsidR="00EB5CCF" w:rsidRPr="00781BD2">
        <w:rPr>
          <w:sz w:val="22"/>
          <w:szCs w:val="22"/>
        </w:rPr>
        <w:t xml:space="preserve"> 13, 1-8 (1962).</w:t>
      </w:r>
    </w:p>
    <w:p w:rsidR="004A40E8" w:rsidRPr="00781BD2" w:rsidRDefault="000D73D8" w:rsidP="00EB5CCF">
      <w:pPr>
        <w:spacing w:line="360" w:lineRule="auto"/>
        <w:rPr>
          <w:sz w:val="22"/>
          <w:szCs w:val="22"/>
        </w:rPr>
      </w:pPr>
      <w:r w:rsidRPr="00781BD2">
        <w:rPr>
          <w:sz w:val="22"/>
          <w:szCs w:val="22"/>
        </w:rPr>
        <w:t>43</w:t>
      </w:r>
      <w:r w:rsidR="00EB5CCF" w:rsidRPr="00781BD2">
        <w:rPr>
          <w:sz w:val="22"/>
          <w:szCs w:val="22"/>
        </w:rPr>
        <w:t xml:space="preserve">. Andrews P, Thyssen J, Lorke D. The biology and toxicology of molluscicides, bayluscide. </w:t>
      </w:r>
      <w:r w:rsidR="00EB5CCF" w:rsidRPr="00781BD2">
        <w:rPr>
          <w:i/>
          <w:sz w:val="22"/>
          <w:szCs w:val="22"/>
        </w:rPr>
        <w:t>Pharmac. Ther.</w:t>
      </w:r>
      <w:r w:rsidR="00EB5CCF" w:rsidRPr="00781BD2">
        <w:rPr>
          <w:sz w:val="22"/>
          <w:szCs w:val="22"/>
        </w:rPr>
        <w:t xml:space="preserve"> 19</w:t>
      </w:r>
      <w:r w:rsidR="00E93684" w:rsidRPr="00781BD2">
        <w:rPr>
          <w:sz w:val="22"/>
          <w:szCs w:val="22"/>
        </w:rPr>
        <w:t>(2)</w:t>
      </w:r>
      <w:r w:rsidR="00EB5CCF" w:rsidRPr="00781BD2">
        <w:rPr>
          <w:sz w:val="22"/>
          <w:szCs w:val="22"/>
        </w:rPr>
        <w:t>, 245-295 (1983).</w:t>
      </w:r>
    </w:p>
    <w:p w:rsidR="00437E49" w:rsidRPr="00781BD2" w:rsidRDefault="000D73D8" w:rsidP="00437E49">
      <w:pPr>
        <w:spacing w:line="360" w:lineRule="auto"/>
        <w:rPr>
          <w:sz w:val="22"/>
          <w:szCs w:val="22"/>
        </w:rPr>
      </w:pPr>
      <w:r w:rsidRPr="00781BD2">
        <w:rPr>
          <w:sz w:val="22"/>
          <w:szCs w:val="22"/>
        </w:rPr>
        <w:t>44</w:t>
      </w:r>
      <w:r w:rsidR="00437E49" w:rsidRPr="00781BD2">
        <w:rPr>
          <w:sz w:val="22"/>
          <w:szCs w:val="22"/>
        </w:rPr>
        <w:t xml:space="preserve">. Krieger R, Krieger W. </w:t>
      </w:r>
      <w:r w:rsidR="00437E49" w:rsidRPr="00781BD2">
        <w:rPr>
          <w:iCs/>
          <w:sz w:val="22"/>
          <w:szCs w:val="22"/>
        </w:rPr>
        <w:t>Handbook of pesticide toxicology</w:t>
      </w:r>
      <w:r w:rsidR="00437E49" w:rsidRPr="00781BD2">
        <w:rPr>
          <w:sz w:val="22"/>
          <w:szCs w:val="22"/>
        </w:rPr>
        <w:t xml:space="preserve">. </w:t>
      </w:r>
      <w:r w:rsidR="00437E49" w:rsidRPr="00781BD2">
        <w:rPr>
          <w:i/>
          <w:iCs/>
          <w:sz w:val="22"/>
          <w:szCs w:val="22"/>
        </w:rPr>
        <w:t>Academic Press</w:t>
      </w:r>
      <w:r w:rsidR="00437E49" w:rsidRPr="00781BD2">
        <w:rPr>
          <w:sz w:val="22"/>
          <w:szCs w:val="22"/>
        </w:rPr>
        <w:t xml:space="preserve"> 1225-1247 (2001).</w:t>
      </w:r>
    </w:p>
    <w:p w:rsidR="00437E49" w:rsidRPr="00781BD2" w:rsidRDefault="000D73D8" w:rsidP="00437E49">
      <w:pPr>
        <w:spacing w:line="360" w:lineRule="auto"/>
        <w:rPr>
          <w:sz w:val="22"/>
          <w:szCs w:val="22"/>
        </w:rPr>
      </w:pPr>
      <w:r w:rsidRPr="00781BD2">
        <w:rPr>
          <w:sz w:val="22"/>
          <w:szCs w:val="22"/>
        </w:rPr>
        <w:t>45</w:t>
      </w:r>
      <w:r w:rsidR="00437E49" w:rsidRPr="00781BD2">
        <w:rPr>
          <w:sz w:val="22"/>
          <w:szCs w:val="22"/>
        </w:rPr>
        <w:t xml:space="preserve">. Lu D, Ma Z, Zhang T, Zhang X, Wu B. Metabolism of the anthelmintic drug niclosamide by cytochrome p450 enzymes and UDP-glucuronosyl transferases: metabolite elucidation and main contributions from CYP1A2 and UGT1A1. </w:t>
      </w:r>
      <w:r w:rsidR="00437E49" w:rsidRPr="00781BD2">
        <w:rPr>
          <w:i/>
          <w:sz w:val="22"/>
          <w:szCs w:val="22"/>
        </w:rPr>
        <w:t>Xenobiotica</w:t>
      </w:r>
      <w:r w:rsidR="00437E49" w:rsidRPr="00781BD2">
        <w:rPr>
          <w:sz w:val="22"/>
          <w:szCs w:val="22"/>
        </w:rPr>
        <w:t xml:space="preserve"> 46</w:t>
      </w:r>
      <w:r w:rsidR="009C3C7C" w:rsidRPr="00781BD2">
        <w:rPr>
          <w:sz w:val="22"/>
          <w:szCs w:val="22"/>
        </w:rPr>
        <w:t>(1)</w:t>
      </w:r>
      <w:r w:rsidR="00437E49" w:rsidRPr="00781BD2">
        <w:rPr>
          <w:sz w:val="22"/>
          <w:szCs w:val="22"/>
        </w:rPr>
        <w:t>, 1–13 (2016).</w:t>
      </w:r>
    </w:p>
    <w:p w:rsidR="003F25CF" w:rsidRPr="00781BD2" w:rsidRDefault="00C1457B" w:rsidP="003F25CF">
      <w:pPr>
        <w:spacing w:line="360" w:lineRule="auto"/>
        <w:jc w:val="both"/>
        <w:rPr>
          <w:rFonts w:ascii="Times New Roman" w:hAnsi="Times New Roman"/>
          <w:sz w:val="22"/>
          <w:lang w:val="en-US"/>
        </w:rPr>
      </w:pPr>
      <w:r w:rsidRPr="00781BD2">
        <w:rPr>
          <w:rFonts w:ascii="Times New Roman" w:hAnsi="Times New Roman"/>
          <w:sz w:val="22"/>
          <w:lang w:val="en-US"/>
        </w:rPr>
        <w:t>4</w:t>
      </w:r>
      <w:r w:rsidR="007A1A0A" w:rsidRPr="00781BD2">
        <w:rPr>
          <w:rFonts w:ascii="Times New Roman" w:hAnsi="Times New Roman"/>
          <w:sz w:val="22"/>
          <w:lang w:val="en-US"/>
        </w:rPr>
        <w:t>6</w:t>
      </w:r>
      <w:r w:rsidR="003F25CF" w:rsidRPr="00781BD2">
        <w:rPr>
          <w:rFonts w:ascii="Times New Roman" w:hAnsi="Times New Roman"/>
          <w:sz w:val="22"/>
          <w:lang w:val="en-US"/>
        </w:rPr>
        <w:t xml:space="preserve">. Santoro MG, Amici C, Elia G, Benedetto A, Garaci E. Inhibition of virus protein glycosylation as the mechanism of the antiviral action of prostaglandin A in Sendai virus-infected cells. </w:t>
      </w:r>
      <w:r w:rsidR="003F25CF" w:rsidRPr="00781BD2">
        <w:rPr>
          <w:rFonts w:ascii="Times New Roman" w:hAnsi="Times New Roman"/>
          <w:i/>
          <w:iCs/>
          <w:sz w:val="22"/>
          <w:lang w:val="en-US"/>
        </w:rPr>
        <w:t>J. Gen. Virol.</w:t>
      </w:r>
      <w:r w:rsidR="003F25CF" w:rsidRPr="00781BD2">
        <w:rPr>
          <w:rFonts w:ascii="Times New Roman" w:hAnsi="Times New Roman"/>
          <w:sz w:val="22"/>
          <w:lang w:val="en-US"/>
        </w:rPr>
        <w:t xml:space="preserve"> 70, 789-800 (1989).</w:t>
      </w:r>
    </w:p>
    <w:p w:rsidR="003F25CF" w:rsidRPr="00781BD2" w:rsidRDefault="00C1457B" w:rsidP="003F25CF">
      <w:pPr>
        <w:widowControl w:val="0"/>
        <w:autoSpaceDE w:val="0"/>
        <w:autoSpaceDN w:val="0"/>
        <w:adjustRightInd w:val="0"/>
        <w:spacing w:line="360" w:lineRule="auto"/>
        <w:jc w:val="both"/>
        <w:rPr>
          <w:rFonts w:ascii="Times New Roman" w:hAnsi="Times New Roman"/>
          <w:sz w:val="22"/>
          <w:lang w:val="it-IT"/>
        </w:rPr>
      </w:pPr>
      <w:r w:rsidRPr="00781BD2">
        <w:rPr>
          <w:rFonts w:ascii="Times New Roman" w:hAnsi="Times New Roman"/>
          <w:sz w:val="22"/>
          <w:lang w:val="it-IT"/>
        </w:rPr>
        <w:t>4</w:t>
      </w:r>
      <w:r w:rsidR="007A1A0A" w:rsidRPr="00781BD2">
        <w:rPr>
          <w:rFonts w:ascii="Times New Roman" w:hAnsi="Times New Roman"/>
          <w:sz w:val="22"/>
          <w:lang w:val="it-IT"/>
        </w:rPr>
        <w:t>7</w:t>
      </w:r>
      <w:r w:rsidR="003F25CF" w:rsidRPr="00781BD2">
        <w:rPr>
          <w:rFonts w:ascii="Times New Roman" w:hAnsi="Times New Roman"/>
          <w:sz w:val="22"/>
          <w:lang w:val="it-IT"/>
        </w:rPr>
        <w:t xml:space="preserve">. La Frazia S, Piacentini S, Riccio A, Rossignol JF, Santoro MG. </w:t>
      </w:r>
      <w:r w:rsidR="003F25CF" w:rsidRPr="00781BD2">
        <w:rPr>
          <w:rFonts w:ascii="Times New Roman" w:hAnsi="Times New Roman"/>
          <w:sz w:val="22"/>
          <w:lang w:val="en-US"/>
        </w:rPr>
        <w:t xml:space="preserve">The second-generation thiazolide haloxanide is a potent inhibitor of avian influenza virus replication. </w:t>
      </w:r>
      <w:r w:rsidR="003F25CF" w:rsidRPr="00781BD2">
        <w:rPr>
          <w:rFonts w:ascii="Times New Roman" w:hAnsi="Times New Roman"/>
          <w:i/>
          <w:iCs/>
          <w:sz w:val="22"/>
          <w:lang w:val="it-IT"/>
        </w:rPr>
        <w:t>Antiviral Res.</w:t>
      </w:r>
      <w:r w:rsidR="003F25CF" w:rsidRPr="00781BD2">
        <w:rPr>
          <w:rFonts w:ascii="Times New Roman" w:hAnsi="Times New Roman"/>
          <w:sz w:val="22"/>
          <w:lang w:val="it-IT"/>
        </w:rPr>
        <w:t xml:space="preserve"> 157, 159-168 (2018).</w:t>
      </w:r>
    </w:p>
    <w:p w:rsidR="00B50AB6" w:rsidRPr="00781BD2" w:rsidRDefault="00BA21DC" w:rsidP="003F25CF">
      <w:pPr>
        <w:spacing w:line="360" w:lineRule="auto"/>
        <w:rPr>
          <w:b/>
          <w:sz w:val="22"/>
          <w:szCs w:val="22"/>
        </w:rPr>
      </w:pPr>
      <w:r w:rsidRPr="00781BD2">
        <w:rPr>
          <w:rFonts w:ascii="Times New Roman" w:hAnsi="Times New Roman"/>
          <w:sz w:val="22"/>
          <w:lang w:val="it-IT"/>
        </w:rPr>
        <w:t>4</w:t>
      </w:r>
      <w:r w:rsidR="007A1A0A" w:rsidRPr="00781BD2">
        <w:rPr>
          <w:rFonts w:ascii="Times New Roman" w:hAnsi="Times New Roman"/>
          <w:sz w:val="22"/>
          <w:lang w:val="it-IT"/>
        </w:rPr>
        <w:t>8</w:t>
      </w:r>
      <w:r w:rsidR="003F25CF" w:rsidRPr="00781BD2">
        <w:rPr>
          <w:rFonts w:ascii="Times New Roman" w:hAnsi="Times New Roman"/>
          <w:sz w:val="22"/>
          <w:lang w:val="it-IT"/>
        </w:rPr>
        <w:t xml:space="preserve">. Belardo G, Cenciarelli O, La Frazia S, Rossignol JF, Santoro MG. </w:t>
      </w:r>
      <w:r w:rsidR="003F25CF" w:rsidRPr="00781BD2">
        <w:rPr>
          <w:rFonts w:ascii="Times New Roman" w:hAnsi="Times New Roman"/>
          <w:sz w:val="22"/>
          <w:lang w:val="en-US"/>
        </w:rPr>
        <w:t xml:space="preserve">Synergistic effect of nitazoxanide with neuraminidase inhibitors against influenza A viruses </w:t>
      </w:r>
      <w:r w:rsidR="003F25CF" w:rsidRPr="00781BD2">
        <w:rPr>
          <w:rFonts w:ascii="Times New Roman" w:hAnsi="Times New Roman"/>
          <w:i/>
          <w:iCs/>
          <w:sz w:val="22"/>
          <w:lang w:val="en-US"/>
        </w:rPr>
        <w:t>in vitro</w:t>
      </w:r>
      <w:r w:rsidR="003F25CF" w:rsidRPr="00781BD2">
        <w:rPr>
          <w:rFonts w:ascii="Times New Roman" w:hAnsi="Times New Roman"/>
          <w:sz w:val="22"/>
          <w:lang w:val="en-US"/>
        </w:rPr>
        <w:t xml:space="preserve">. </w:t>
      </w:r>
      <w:r w:rsidR="003F25CF" w:rsidRPr="00781BD2">
        <w:rPr>
          <w:rFonts w:ascii="Times New Roman" w:hAnsi="Times New Roman"/>
          <w:i/>
          <w:iCs/>
          <w:sz w:val="22"/>
          <w:lang w:val="en-US"/>
        </w:rPr>
        <w:t>Antimicrob. Agents Chemother.</w:t>
      </w:r>
      <w:r w:rsidR="003F25CF" w:rsidRPr="00781BD2">
        <w:rPr>
          <w:rFonts w:ascii="Times New Roman" w:hAnsi="Times New Roman"/>
          <w:sz w:val="22"/>
          <w:lang w:val="en-US"/>
        </w:rPr>
        <w:t xml:space="preserve"> 59</w:t>
      </w:r>
      <w:r w:rsidR="00774F3B" w:rsidRPr="00781BD2">
        <w:rPr>
          <w:rFonts w:ascii="Times New Roman" w:hAnsi="Times New Roman"/>
          <w:sz w:val="22"/>
          <w:lang w:val="en-US"/>
        </w:rPr>
        <w:t>(2)</w:t>
      </w:r>
      <w:r w:rsidR="003F25CF" w:rsidRPr="00781BD2">
        <w:rPr>
          <w:rFonts w:ascii="Times New Roman" w:hAnsi="Times New Roman"/>
          <w:sz w:val="22"/>
          <w:lang w:val="en-US"/>
        </w:rPr>
        <w:t>, 1061-1069 (2015).</w:t>
      </w:r>
    </w:p>
    <w:p w:rsidR="00A50625" w:rsidRPr="00781BD2" w:rsidRDefault="00B362CC" w:rsidP="00B362CC">
      <w:pPr>
        <w:spacing w:line="360" w:lineRule="auto"/>
        <w:rPr>
          <w:rFonts w:cs="AdvGulliv-R"/>
          <w:sz w:val="22"/>
          <w:szCs w:val="13"/>
          <w:lang w:val="en-US"/>
        </w:rPr>
      </w:pPr>
      <w:r w:rsidRPr="00781BD2">
        <w:rPr>
          <w:sz w:val="22"/>
          <w:szCs w:val="22"/>
        </w:rPr>
        <w:t xml:space="preserve">49. Bruno FP, Caira MR, Martin EC, Monti GA, Sperandeo NR. Characterization and structural analysis of the potent antiparasitic and antiviral agent tizoxanide. </w:t>
      </w:r>
      <w:r w:rsidRPr="00781BD2">
        <w:rPr>
          <w:rFonts w:cs="AdvGulliv-R"/>
          <w:i/>
          <w:iCs/>
          <w:sz w:val="22"/>
          <w:szCs w:val="13"/>
          <w:lang w:val="en-US"/>
        </w:rPr>
        <w:t>J. Mol. Struct.</w:t>
      </w:r>
      <w:r w:rsidRPr="00781BD2">
        <w:rPr>
          <w:rFonts w:cs="AdvGulliv-R"/>
          <w:sz w:val="22"/>
          <w:szCs w:val="13"/>
          <w:lang w:val="en-US"/>
        </w:rPr>
        <w:t xml:space="preserve"> 1036, 318-325 (2013).</w:t>
      </w:r>
    </w:p>
    <w:p w:rsidR="00A50625" w:rsidRPr="00781BD2" w:rsidRDefault="00A50625" w:rsidP="00A50625">
      <w:pPr>
        <w:pStyle w:val="Heading1"/>
        <w:shd w:val="clear" w:color="auto" w:fill="FFFFFF"/>
        <w:spacing w:beforeLines="0" w:afterLines="0"/>
        <w:textAlignment w:val="baseline"/>
        <w:rPr>
          <w:rFonts w:ascii="Gill Sans MT" w:hAnsi="Gill Sans MT"/>
          <w:bCs/>
          <w:spacing w:val="-7"/>
        </w:rPr>
      </w:pPr>
    </w:p>
    <w:p w:rsidR="00B362CC" w:rsidRPr="00781BD2" w:rsidRDefault="00B362CC" w:rsidP="00B362CC">
      <w:pPr>
        <w:spacing w:line="360" w:lineRule="auto"/>
        <w:rPr>
          <w:sz w:val="22"/>
          <w:szCs w:val="22"/>
        </w:rPr>
      </w:pPr>
    </w:p>
    <w:p w:rsidR="00740065" w:rsidRPr="00781BD2" w:rsidRDefault="00740065" w:rsidP="00D41872">
      <w:pPr>
        <w:spacing w:line="360" w:lineRule="auto"/>
        <w:rPr>
          <w:sz w:val="22"/>
          <w:szCs w:val="22"/>
        </w:rPr>
      </w:pPr>
    </w:p>
    <w:p w:rsidR="00740065" w:rsidRPr="00781BD2" w:rsidRDefault="00740065" w:rsidP="00D41872">
      <w:pPr>
        <w:spacing w:line="360" w:lineRule="auto"/>
        <w:rPr>
          <w:sz w:val="22"/>
          <w:szCs w:val="22"/>
        </w:rPr>
      </w:pPr>
    </w:p>
    <w:p w:rsidR="009654F1" w:rsidRPr="00781BD2" w:rsidRDefault="009654F1" w:rsidP="00D41872">
      <w:pPr>
        <w:spacing w:line="360" w:lineRule="auto"/>
        <w:rPr>
          <w:sz w:val="22"/>
          <w:szCs w:val="22"/>
        </w:rPr>
      </w:pPr>
    </w:p>
    <w:sectPr w:rsidR="009654F1" w:rsidRPr="00781BD2" w:rsidSect="00D15F79">
      <w:footerReference w:type="even" r:id="rId16"/>
      <w:footerReference w:type="default" r:id="rId17"/>
      <w:pgSz w:w="11900" w:h="16840"/>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B2A" w:rsidRDefault="003C4B2A" w:rsidP="005D7992">
      <w:r>
        <w:separator/>
      </w:r>
    </w:p>
  </w:endnote>
  <w:endnote w:type="continuationSeparator" w:id="0">
    <w:p w:rsidR="003C4B2A" w:rsidRDefault="003C4B2A" w:rsidP="005D7992">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Palatino">
    <w:altName w:val="﷽﷽﷽﷽﷽﷽﷽﷽"/>
    <w:panose1 w:val="02000500000000000000"/>
    <w:charset w:val="4D"/>
    <w:family w:val="auto"/>
    <w:pitch w:val="variable"/>
    <w:sig w:usb0="A00002FF" w:usb1="7800205A" w:usb2="14600000" w:usb3="00000000" w:csb0="00000193" w:csb1="00000000"/>
  </w:font>
  <w:font w:name="Cambria">
    <w:panose1 w:val="02040503050406030204"/>
    <w:charset w:val="00"/>
    <w:family w:val="auto"/>
    <w:pitch w:val="variable"/>
    <w:sig w:usb0="00000003" w:usb1="00000000" w:usb2="00000000" w:usb3="00000000" w:csb0="00000001" w:csb1="00000000"/>
  </w:font>
  <w:font w:name="MS Minngs">
    <w:altName w:val="Osaka"/>
    <w:charset w:val="80"/>
    <w:family w:val="roman"/>
    <w:pitch w:val="fixed"/>
    <w:sig w:usb0="00000001" w:usb1="08070000" w:usb2="00000010" w:usb3="00000000" w:csb0="00020000" w:csb1="00000000"/>
  </w:font>
  <w:font w:name="Calibri Light">
    <w:altName w:val="Times"/>
    <w:charset w:val="00"/>
    <w:family w:val="swiss"/>
    <w:pitch w:val="variable"/>
    <w:sig w:usb0="E0002AFF" w:usb1="C000247B" w:usb2="00000009" w:usb3="00000000" w:csb0="000001FF" w:csb1="00000000"/>
  </w:font>
  <w:font w:name="FrutigerLTStd-Bold">
    <w:altName w:val="Times"/>
    <w:panose1 w:val="00000000000000000000"/>
    <w:charset w:val="4D"/>
    <w:family w:val="auto"/>
    <w:notTrueType/>
    <w:pitch w:val="default"/>
    <w:sig w:usb0="00000003" w:usb1="00000000" w:usb2="00000000" w:usb3="00000000" w:csb0="00000001" w:csb1="00000000"/>
  </w:font>
  <w:font w:name="AdvOT118e7927">
    <w:altName w:val="Times New Roman"/>
    <w:panose1 w:val="00000000000000000000"/>
    <w:charset w:val="00"/>
    <w:family w:val="swiss"/>
    <w:notTrueType/>
    <w:pitch w:val="default"/>
    <w:sig w:usb0="00000003" w:usb1="00000000" w:usb2="00000000" w:usb3="00000000" w:csb0="00000001" w:csb1="00000000"/>
  </w:font>
  <w:font w:name="AGaramond-Italic">
    <w:altName w:val="Times"/>
    <w:charset w:val="4D"/>
    <w:family w:val="roman"/>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dvPSPH-R">
    <w:altName w:val="Times New Roman"/>
    <w:panose1 w:val="00000000000000000000"/>
    <w:charset w:val="00"/>
    <w:family w:val="roman"/>
    <w:notTrueType/>
    <w:pitch w:val="default"/>
    <w:sig w:usb0="00000003" w:usb1="00000000" w:usb2="00000000" w:usb3="00000000" w:csb0="00000001" w:csb1="00000000"/>
  </w:font>
  <w:font w:name="Monotype Sorts">
    <w:panose1 w:val="01010601010101010101"/>
    <w:charset w:val="02"/>
    <w:family w:val="auto"/>
    <w:pitch w:val="variable"/>
    <w:sig w:usb0="00000000" w:usb1="10000000" w:usb2="00000000" w:usb3="00000000" w:csb0="80000000" w:csb1="00000000"/>
  </w:font>
  <w:font w:name="AdvOT863180fb">
    <w:altName w:val="Times New Roman"/>
    <w:panose1 w:val="00000000000000000000"/>
    <w:charset w:val="00"/>
    <w:family w:val="roman"/>
    <w:notTrueType/>
    <w:pitch w:val="default"/>
    <w:sig w:usb0="00000003" w:usb1="00000000" w:usb2="00000000" w:usb3="00000000" w:csb0="00000001" w:csb1="00000000"/>
  </w:font>
  <w:font w:name="AGaramond-Bold">
    <w:altName w:val="Times"/>
    <w:panose1 w:val="00000000000000000000"/>
    <w:charset w:val="4D"/>
    <w:family w:val="roman"/>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FrutigerLTStd-Roman">
    <w:altName w:val="Geneva"/>
    <w:panose1 w:val="00000000000000000000"/>
    <w:charset w:val="4D"/>
    <w:family w:val="auto"/>
    <w:notTrueType/>
    <w:pitch w:val="default"/>
    <w:sig w:usb0="00000003" w:usb1="00000000" w:usb2="00000000" w:usb3="00000000" w:csb0="00000001" w:csb1="00000000"/>
  </w:font>
  <w:font w:name="AdvGulliv-R">
    <w:altName w:val="Times"/>
    <w:panose1 w:val="00000000000000000000"/>
    <w:charset w:val="4D"/>
    <w:family w:val="auto"/>
    <w:notTrueType/>
    <w:pitch w:val="default"/>
    <w:sig w:usb0="00000003" w:usb1="00000000" w:usb2="00000000" w:usb3="00000000" w:csb0="00000001" w:csb1="00000000"/>
  </w:font>
  <w:font w:name="Menlo">
    <w:altName w:val="Menlo"/>
    <w:charset w:val="00"/>
    <w:family w:val="modern"/>
    <w:pitch w:val="fixed"/>
    <w:sig w:usb0="E60022FF" w:usb1="D200F9FB" w:usb2="02000028" w:usb3="00000000" w:csb0="000001DF" w:csb1="00000000"/>
  </w:font>
  <w:font w:name="Helvetica">
    <w:panose1 w:val="00000000000000000000"/>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647618721"/>
      <w:docPartObj>
        <w:docPartGallery w:val="Page Numbers (Bottom of Page)"/>
        <w:docPartUnique/>
      </w:docPartObj>
    </w:sdtPr>
    <w:sdtContent>
      <w:p w:rsidR="00740065" w:rsidRDefault="00BD61AC" w:rsidP="00AE36D6">
        <w:pPr>
          <w:pStyle w:val="Footer"/>
          <w:framePr w:wrap="none" w:vAnchor="text" w:hAnchor="margin" w:xAlign="right" w:y="1"/>
          <w:rPr>
            <w:rStyle w:val="PageNumber"/>
          </w:rPr>
        </w:pPr>
        <w:r>
          <w:rPr>
            <w:rStyle w:val="PageNumber"/>
          </w:rPr>
          <w:fldChar w:fldCharType="begin"/>
        </w:r>
        <w:r w:rsidR="00740065">
          <w:rPr>
            <w:rStyle w:val="PageNumber"/>
          </w:rPr>
          <w:instrText xml:space="preserve"> PAGE </w:instrText>
        </w:r>
        <w:r>
          <w:rPr>
            <w:rStyle w:val="PageNumber"/>
          </w:rPr>
          <w:fldChar w:fldCharType="end"/>
        </w:r>
      </w:p>
    </w:sdtContent>
  </w:sdt>
  <w:p w:rsidR="00740065" w:rsidRDefault="00740065" w:rsidP="005D7992">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49768864"/>
      <w:docPartObj>
        <w:docPartGallery w:val="Page Numbers (Bottom of Page)"/>
        <w:docPartUnique/>
      </w:docPartObj>
    </w:sdtPr>
    <w:sdtContent>
      <w:p w:rsidR="00740065" w:rsidRDefault="00BD61AC" w:rsidP="00AE36D6">
        <w:pPr>
          <w:pStyle w:val="Footer"/>
          <w:framePr w:wrap="none" w:vAnchor="text" w:hAnchor="margin" w:xAlign="right" w:y="1"/>
          <w:rPr>
            <w:rStyle w:val="PageNumber"/>
          </w:rPr>
        </w:pPr>
        <w:r>
          <w:rPr>
            <w:rStyle w:val="PageNumber"/>
          </w:rPr>
          <w:fldChar w:fldCharType="begin"/>
        </w:r>
        <w:r w:rsidR="00740065">
          <w:rPr>
            <w:rStyle w:val="PageNumber"/>
          </w:rPr>
          <w:instrText xml:space="preserve"> PAGE </w:instrText>
        </w:r>
        <w:r>
          <w:rPr>
            <w:rStyle w:val="PageNumber"/>
          </w:rPr>
          <w:fldChar w:fldCharType="separate"/>
        </w:r>
        <w:r w:rsidR="00AF165B">
          <w:rPr>
            <w:rStyle w:val="PageNumber"/>
            <w:noProof/>
          </w:rPr>
          <w:t>1</w:t>
        </w:r>
        <w:r>
          <w:rPr>
            <w:rStyle w:val="PageNumber"/>
          </w:rPr>
          <w:fldChar w:fldCharType="end"/>
        </w:r>
      </w:p>
    </w:sdtContent>
  </w:sdt>
  <w:p w:rsidR="00740065" w:rsidRDefault="00740065" w:rsidP="005D7992">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B2A" w:rsidRDefault="003C4B2A" w:rsidP="005D7992">
      <w:r>
        <w:separator/>
      </w:r>
    </w:p>
  </w:footnote>
  <w:footnote w:type="continuationSeparator" w:id="0">
    <w:p w:rsidR="003C4B2A" w:rsidRDefault="003C4B2A" w:rsidP="005D7992">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16CDC"/>
    <w:multiLevelType w:val="hybridMultilevel"/>
    <w:tmpl w:val="FF18F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E10D4"/>
    <w:multiLevelType w:val="hybridMultilevel"/>
    <w:tmpl w:val="90381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E5C2C"/>
    <w:multiLevelType w:val="hybridMultilevel"/>
    <w:tmpl w:val="A520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D67F8"/>
    <w:multiLevelType w:val="multilevel"/>
    <w:tmpl w:val="64663C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A592CCA"/>
    <w:multiLevelType w:val="multilevel"/>
    <w:tmpl w:val="64663C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0EB03987"/>
    <w:multiLevelType w:val="multilevel"/>
    <w:tmpl w:val="40C410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060006"/>
    <w:multiLevelType w:val="multilevel"/>
    <w:tmpl w:val="EC46E2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7D339BA"/>
    <w:multiLevelType w:val="multilevel"/>
    <w:tmpl w:val="D08E76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17F25EF3"/>
    <w:multiLevelType w:val="hybridMultilevel"/>
    <w:tmpl w:val="ADCCD5CA"/>
    <w:lvl w:ilvl="0" w:tplc="3B1896E2">
      <w:start w:val="1"/>
      <w:numFmt w:val="decimal"/>
      <w:pStyle w:val="BodyText"/>
      <w:lvlText w:val="[%1]"/>
      <w:lvlJc w:val="left"/>
      <w:pPr>
        <w:ind w:left="720" w:hanging="360"/>
      </w:pPr>
      <w:rPr>
        <w:rFonts w:ascii="Times New Roman" w:hAnsi="Times New Roman" w:cs="Times New Roman"/>
        <w:b/>
        <w:bCs w:val="0"/>
        <w:i w:val="0"/>
        <w:iCs w:val="0"/>
        <w:caps w:val="0"/>
        <w:smallCaps w:val="0"/>
        <w:strike w:val="0"/>
        <w:dstrike w:val="0"/>
        <w:noProof w:val="0"/>
        <w:vanish w:val="0"/>
        <w:color w:val="000000"/>
        <w:spacing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387E86"/>
    <w:multiLevelType w:val="hybridMultilevel"/>
    <w:tmpl w:val="7C729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D75738"/>
    <w:multiLevelType w:val="multilevel"/>
    <w:tmpl w:val="7C7292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2FE47939"/>
    <w:multiLevelType w:val="hybridMultilevel"/>
    <w:tmpl w:val="80A4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935245"/>
    <w:multiLevelType w:val="multilevel"/>
    <w:tmpl w:val="FF18F0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44B1737F"/>
    <w:multiLevelType w:val="hybridMultilevel"/>
    <w:tmpl w:val="6466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A32B86"/>
    <w:multiLevelType w:val="hybridMultilevel"/>
    <w:tmpl w:val="F69A0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4F64A4"/>
    <w:multiLevelType w:val="hybridMultilevel"/>
    <w:tmpl w:val="5450F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51101D"/>
    <w:multiLevelType w:val="hybridMultilevel"/>
    <w:tmpl w:val="D08E7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E21C1B"/>
    <w:multiLevelType w:val="multilevel"/>
    <w:tmpl w:val="B9206F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70C05CF"/>
    <w:multiLevelType w:val="multilevel"/>
    <w:tmpl w:val="EC46E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5F632E9"/>
    <w:multiLevelType w:val="multilevel"/>
    <w:tmpl w:val="9D7E7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95868B3"/>
    <w:multiLevelType w:val="multilevel"/>
    <w:tmpl w:val="B9206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B582B66"/>
    <w:multiLevelType w:val="multilevel"/>
    <w:tmpl w:val="5450F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5"/>
  </w:num>
  <w:num w:numId="4">
    <w:abstractNumId w:val="18"/>
  </w:num>
  <w:num w:numId="5">
    <w:abstractNumId w:val="6"/>
  </w:num>
  <w:num w:numId="6">
    <w:abstractNumId w:val="20"/>
  </w:num>
  <w:num w:numId="7">
    <w:abstractNumId w:val="17"/>
  </w:num>
  <w:num w:numId="8">
    <w:abstractNumId w:val="1"/>
  </w:num>
  <w:num w:numId="9">
    <w:abstractNumId w:val="2"/>
  </w:num>
  <w:num w:numId="10">
    <w:abstractNumId w:val="11"/>
  </w:num>
  <w:num w:numId="11">
    <w:abstractNumId w:val="14"/>
  </w:num>
  <w:num w:numId="12">
    <w:abstractNumId w:val="9"/>
  </w:num>
  <w:num w:numId="13">
    <w:abstractNumId w:val="13"/>
  </w:num>
  <w:num w:numId="14">
    <w:abstractNumId w:val="3"/>
  </w:num>
  <w:num w:numId="15">
    <w:abstractNumId w:val="4"/>
  </w:num>
  <w:num w:numId="16">
    <w:abstractNumId w:val="0"/>
  </w:num>
  <w:num w:numId="17">
    <w:abstractNumId w:val="16"/>
  </w:num>
  <w:num w:numId="18">
    <w:abstractNumId w:val="15"/>
  </w:num>
  <w:num w:numId="19">
    <w:abstractNumId w:val="21"/>
  </w:num>
  <w:num w:numId="20">
    <w:abstractNumId w:val="10"/>
  </w:num>
  <w:num w:numId="21">
    <w:abstractNumId w:val="12"/>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283"/>
  <w:characterSpacingControl w:val="doNotCompress"/>
  <w:footnotePr>
    <w:footnote w:id="-1"/>
    <w:footnote w:id="0"/>
  </w:footnotePr>
  <w:endnotePr>
    <w:endnote w:id="-1"/>
    <w:endnote w:id="0"/>
  </w:endnotePr>
  <w:compat/>
  <w:rsids>
    <w:rsidRoot w:val="00CD1AF2"/>
    <w:rsid w:val="0000294B"/>
    <w:rsid w:val="00007047"/>
    <w:rsid w:val="000107EF"/>
    <w:rsid w:val="00010CE4"/>
    <w:rsid w:val="00011450"/>
    <w:rsid w:val="00013A19"/>
    <w:rsid w:val="000142C9"/>
    <w:rsid w:val="00016414"/>
    <w:rsid w:val="00020A68"/>
    <w:rsid w:val="00022421"/>
    <w:rsid w:val="00022C86"/>
    <w:rsid w:val="00025282"/>
    <w:rsid w:val="00032A84"/>
    <w:rsid w:val="00033047"/>
    <w:rsid w:val="0003663E"/>
    <w:rsid w:val="000407C2"/>
    <w:rsid w:val="00041CA5"/>
    <w:rsid w:val="00044426"/>
    <w:rsid w:val="00045BD4"/>
    <w:rsid w:val="00045C0C"/>
    <w:rsid w:val="00054281"/>
    <w:rsid w:val="00055031"/>
    <w:rsid w:val="000571EC"/>
    <w:rsid w:val="0006196E"/>
    <w:rsid w:val="00064E2A"/>
    <w:rsid w:val="00065107"/>
    <w:rsid w:val="000652B4"/>
    <w:rsid w:val="00072477"/>
    <w:rsid w:val="0007252B"/>
    <w:rsid w:val="00072BAA"/>
    <w:rsid w:val="000737D9"/>
    <w:rsid w:val="00073E21"/>
    <w:rsid w:val="00074FB9"/>
    <w:rsid w:val="00077D41"/>
    <w:rsid w:val="00081D6F"/>
    <w:rsid w:val="00084149"/>
    <w:rsid w:val="000860C9"/>
    <w:rsid w:val="0008766D"/>
    <w:rsid w:val="00093684"/>
    <w:rsid w:val="0009517F"/>
    <w:rsid w:val="00095EBC"/>
    <w:rsid w:val="0009611F"/>
    <w:rsid w:val="00097DC5"/>
    <w:rsid w:val="000A2290"/>
    <w:rsid w:val="000A6080"/>
    <w:rsid w:val="000B0601"/>
    <w:rsid w:val="000B083E"/>
    <w:rsid w:val="000B28A7"/>
    <w:rsid w:val="000B5BEA"/>
    <w:rsid w:val="000C0CC3"/>
    <w:rsid w:val="000C3D40"/>
    <w:rsid w:val="000C4135"/>
    <w:rsid w:val="000C48A1"/>
    <w:rsid w:val="000C48B2"/>
    <w:rsid w:val="000C5C75"/>
    <w:rsid w:val="000C6645"/>
    <w:rsid w:val="000C6BDD"/>
    <w:rsid w:val="000D2FE4"/>
    <w:rsid w:val="000D34D4"/>
    <w:rsid w:val="000D4638"/>
    <w:rsid w:val="000D5070"/>
    <w:rsid w:val="000D6486"/>
    <w:rsid w:val="000D71BF"/>
    <w:rsid w:val="000D73D8"/>
    <w:rsid w:val="000E0A5E"/>
    <w:rsid w:val="000E0F74"/>
    <w:rsid w:val="000E3978"/>
    <w:rsid w:val="000E66BE"/>
    <w:rsid w:val="000F03FE"/>
    <w:rsid w:val="000F613E"/>
    <w:rsid w:val="00102344"/>
    <w:rsid w:val="00103AFB"/>
    <w:rsid w:val="00104EF3"/>
    <w:rsid w:val="001102DF"/>
    <w:rsid w:val="00116889"/>
    <w:rsid w:val="00120340"/>
    <w:rsid w:val="001238CA"/>
    <w:rsid w:val="00126F9B"/>
    <w:rsid w:val="00130AC8"/>
    <w:rsid w:val="001355C0"/>
    <w:rsid w:val="00135DDB"/>
    <w:rsid w:val="00136F89"/>
    <w:rsid w:val="00137991"/>
    <w:rsid w:val="0014057E"/>
    <w:rsid w:val="001411DC"/>
    <w:rsid w:val="00141357"/>
    <w:rsid w:val="0014401D"/>
    <w:rsid w:val="001478D0"/>
    <w:rsid w:val="00147A8D"/>
    <w:rsid w:val="001503F1"/>
    <w:rsid w:val="001560A4"/>
    <w:rsid w:val="00157A27"/>
    <w:rsid w:val="001627F5"/>
    <w:rsid w:val="00163AC1"/>
    <w:rsid w:val="00164558"/>
    <w:rsid w:val="00164C38"/>
    <w:rsid w:val="0016659D"/>
    <w:rsid w:val="0016695F"/>
    <w:rsid w:val="00166CE7"/>
    <w:rsid w:val="00170287"/>
    <w:rsid w:val="001715D8"/>
    <w:rsid w:val="001735E5"/>
    <w:rsid w:val="00176862"/>
    <w:rsid w:val="00177644"/>
    <w:rsid w:val="00181A9F"/>
    <w:rsid w:val="00182783"/>
    <w:rsid w:val="00183B12"/>
    <w:rsid w:val="001927C5"/>
    <w:rsid w:val="00193FAF"/>
    <w:rsid w:val="001946BC"/>
    <w:rsid w:val="0019549D"/>
    <w:rsid w:val="00195CAD"/>
    <w:rsid w:val="00196344"/>
    <w:rsid w:val="001A1798"/>
    <w:rsid w:val="001A1DDC"/>
    <w:rsid w:val="001A2B81"/>
    <w:rsid w:val="001A2FCC"/>
    <w:rsid w:val="001A43E5"/>
    <w:rsid w:val="001A49C9"/>
    <w:rsid w:val="001A703D"/>
    <w:rsid w:val="001B1591"/>
    <w:rsid w:val="001B6D6F"/>
    <w:rsid w:val="001B7C70"/>
    <w:rsid w:val="001C0ED2"/>
    <w:rsid w:val="001C45D8"/>
    <w:rsid w:val="001C4DC2"/>
    <w:rsid w:val="001C7D18"/>
    <w:rsid w:val="001D0351"/>
    <w:rsid w:val="001D2E38"/>
    <w:rsid w:val="001D316F"/>
    <w:rsid w:val="001D3691"/>
    <w:rsid w:val="001D4400"/>
    <w:rsid w:val="001D62EE"/>
    <w:rsid w:val="001E584A"/>
    <w:rsid w:val="001E767B"/>
    <w:rsid w:val="001F10BD"/>
    <w:rsid w:val="001F2744"/>
    <w:rsid w:val="001F78F7"/>
    <w:rsid w:val="001F7A20"/>
    <w:rsid w:val="00200925"/>
    <w:rsid w:val="00201803"/>
    <w:rsid w:val="00205787"/>
    <w:rsid w:val="00206868"/>
    <w:rsid w:val="002074D3"/>
    <w:rsid w:val="002077A3"/>
    <w:rsid w:val="00210A24"/>
    <w:rsid w:val="00212B72"/>
    <w:rsid w:val="002134D3"/>
    <w:rsid w:val="00213C5E"/>
    <w:rsid w:val="00214390"/>
    <w:rsid w:val="002146E8"/>
    <w:rsid w:val="002214F3"/>
    <w:rsid w:val="00222B32"/>
    <w:rsid w:val="002233DF"/>
    <w:rsid w:val="002250EF"/>
    <w:rsid w:val="0022581E"/>
    <w:rsid w:val="0022624E"/>
    <w:rsid w:val="00226D95"/>
    <w:rsid w:val="002279D7"/>
    <w:rsid w:val="00231EA1"/>
    <w:rsid w:val="002327A6"/>
    <w:rsid w:val="00233006"/>
    <w:rsid w:val="00233C2E"/>
    <w:rsid w:val="00233FEF"/>
    <w:rsid w:val="002362AE"/>
    <w:rsid w:val="002437A5"/>
    <w:rsid w:val="00243B6A"/>
    <w:rsid w:val="002455CB"/>
    <w:rsid w:val="00250711"/>
    <w:rsid w:val="0025357D"/>
    <w:rsid w:val="002541CB"/>
    <w:rsid w:val="00257666"/>
    <w:rsid w:val="00260270"/>
    <w:rsid w:val="002610F7"/>
    <w:rsid w:val="00261A5B"/>
    <w:rsid w:val="00262CE3"/>
    <w:rsid w:val="00262D9B"/>
    <w:rsid w:val="00262EFA"/>
    <w:rsid w:val="00267F46"/>
    <w:rsid w:val="0027153C"/>
    <w:rsid w:val="00274185"/>
    <w:rsid w:val="00274A88"/>
    <w:rsid w:val="00274C81"/>
    <w:rsid w:val="00275F73"/>
    <w:rsid w:val="00276292"/>
    <w:rsid w:val="002763D4"/>
    <w:rsid w:val="002767D3"/>
    <w:rsid w:val="0027721F"/>
    <w:rsid w:val="002813A8"/>
    <w:rsid w:val="00281C27"/>
    <w:rsid w:val="00284DB1"/>
    <w:rsid w:val="00285503"/>
    <w:rsid w:val="00291A17"/>
    <w:rsid w:val="00291F70"/>
    <w:rsid w:val="00292724"/>
    <w:rsid w:val="002A13B4"/>
    <w:rsid w:val="002A24D1"/>
    <w:rsid w:val="002A382E"/>
    <w:rsid w:val="002A4C59"/>
    <w:rsid w:val="002B1A89"/>
    <w:rsid w:val="002B3366"/>
    <w:rsid w:val="002B3470"/>
    <w:rsid w:val="002B3F5B"/>
    <w:rsid w:val="002B436F"/>
    <w:rsid w:val="002B6DAA"/>
    <w:rsid w:val="002C011B"/>
    <w:rsid w:val="002C084C"/>
    <w:rsid w:val="002C0ADC"/>
    <w:rsid w:val="002C19E4"/>
    <w:rsid w:val="002C1EA2"/>
    <w:rsid w:val="002C5AAE"/>
    <w:rsid w:val="002C61EB"/>
    <w:rsid w:val="002C7521"/>
    <w:rsid w:val="002D1300"/>
    <w:rsid w:val="002D2083"/>
    <w:rsid w:val="002D271B"/>
    <w:rsid w:val="002D7C28"/>
    <w:rsid w:val="002E6625"/>
    <w:rsid w:val="002E72B9"/>
    <w:rsid w:val="002E7F2A"/>
    <w:rsid w:val="002F3226"/>
    <w:rsid w:val="002F4DAA"/>
    <w:rsid w:val="00301944"/>
    <w:rsid w:val="00302BBA"/>
    <w:rsid w:val="00312489"/>
    <w:rsid w:val="00315321"/>
    <w:rsid w:val="00322B92"/>
    <w:rsid w:val="003324F6"/>
    <w:rsid w:val="00333510"/>
    <w:rsid w:val="00333C28"/>
    <w:rsid w:val="00333F8F"/>
    <w:rsid w:val="00336829"/>
    <w:rsid w:val="00337558"/>
    <w:rsid w:val="00342627"/>
    <w:rsid w:val="00342BC1"/>
    <w:rsid w:val="00343AE0"/>
    <w:rsid w:val="00347098"/>
    <w:rsid w:val="00347AA3"/>
    <w:rsid w:val="0035027E"/>
    <w:rsid w:val="00350868"/>
    <w:rsid w:val="0035146E"/>
    <w:rsid w:val="00351A26"/>
    <w:rsid w:val="00354012"/>
    <w:rsid w:val="00355391"/>
    <w:rsid w:val="00367F8E"/>
    <w:rsid w:val="00370130"/>
    <w:rsid w:val="0037047F"/>
    <w:rsid w:val="00370E0B"/>
    <w:rsid w:val="00372187"/>
    <w:rsid w:val="003724FF"/>
    <w:rsid w:val="00380716"/>
    <w:rsid w:val="003807C0"/>
    <w:rsid w:val="003809AF"/>
    <w:rsid w:val="00382FF0"/>
    <w:rsid w:val="00383117"/>
    <w:rsid w:val="00383768"/>
    <w:rsid w:val="003846DC"/>
    <w:rsid w:val="00385434"/>
    <w:rsid w:val="00391374"/>
    <w:rsid w:val="00397023"/>
    <w:rsid w:val="003974B5"/>
    <w:rsid w:val="003A2707"/>
    <w:rsid w:val="003A3F2B"/>
    <w:rsid w:val="003A4000"/>
    <w:rsid w:val="003A4364"/>
    <w:rsid w:val="003A5F13"/>
    <w:rsid w:val="003B3E31"/>
    <w:rsid w:val="003B4154"/>
    <w:rsid w:val="003B4C5D"/>
    <w:rsid w:val="003B5353"/>
    <w:rsid w:val="003C39FA"/>
    <w:rsid w:val="003C4B2A"/>
    <w:rsid w:val="003D20F7"/>
    <w:rsid w:val="003D3D0A"/>
    <w:rsid w:val="003D50CD"/>
    <w:rsid w:val="003D5B17"/>
    <w:rsid w:val="003D6127"/>
    <w:rsid w:val="003E3A26"/>
    <w:rsid w:val="003E5420"/>
    <w:rsid w:val="003E5BF1"/>
    <w:rsid w:val="003E5EDC"/>
    <w:rsid w:val="003E6590"/>
    <w:rsid w:val="003E7D3A"/>
    <w:rsid w:val="003F05B9"/>
    <w:rsid w:val="003F0B1A"/>
    <w:rsid w:val="003F25CF"/>
    <w:rsid w:val="003F2E62"/>
    <w:rsid w:val="003F7B03"/>
    <w:rsid w:val="004006C9"/>
    <w:rsid w:val="00400BD9"/>
    <w:rsid w:val="0040634B"/>
    <w:rsid w:val="004071BC"/>
    <w:rsid w:val="004073E5"/>
    <w:rsid w:val="004104E1"/>
    <w:rsid w:val="004108DF"/>
    <w:rsid w:val="00410FB2"/>
    <w:rsid w:val="0041188C"/>
    <w:rsid w:val="004120BC"/>
    <w:rsid w:val="00414110"/>
    <w:rsid w:val="00414369"/>
    <w:rsid w:val="0042086B"/>
    <w:rsid w:val="004306BA"/>
    <w:rsid w:val="00433D68"/>
    <w:rsid w:val="00436137"/>
    <w:rsid w:val="004373AF"/>
    <w:rsid w:val="00437E49"/>
    <w:rsid w:val="004404BB"/>
    <w:rsid w:val="00442FA3"/>
    <w:rsid w:val="004443EB"/>
    <w:rsid w:val="004456AB"/>
    <w:rsid w:val="0044609F"/>
    <w:rsid w:val="004463D0"/>
    <w:rsid w:val="0045041E"/>
    <w:rsid w:val="00452B0F"/>
    <w:rsid w:val="00453565"/>
    <w:rsid w:val="004579B6"/>
    <w:rsid w:val="00461436"/>
    <w:rsid w:val="00463D80"/>
    <w:rsid w:val="00464971"/>
    <w:rsid w:val="00467FDF"/>
    <w:rsid w:val="00470A83"/>
    <w:rsid w:val="00470FD1"/>
    <w:rsid w:val="004712C2"/>
    <w:rsid w:val="00471B07"/>
    <w:rsid w:val="00474EDF"/>
    <w:rsid w:val="004761F3"/>
    <w:rsid w:val="00481810"/>
    <w:rsid w:val="00482194"/>
    <w:rsid w:val="0048404F"/>
    <w:rsid w:val="00486ED7"/>
    <w:rsid w:val="004924FB"/>
    <w:rsid w:val="00493887"/>
    <w:rsid w:val="00494468"/>
    <w:rsid w:val="00496085"/>
    <w:rsid w:val="00497928"/>
    <w:rsid w:val="004A0A28"/>
    <w:rsid w:val="004A109D"/>
    <w:rsid w:val="004A124D"/>
    <w:rsid w:val="004A1DB7"/>
    <w:rsid w:val="004A298C"/>
    <w:rsid w:val="004A40E8"/>
    <w:rsid w:val="004A5F7B"/>
    <w:rsid w:val="004A746C"/>
    <w:rsid w:val="004B01EC"/>
    <w:rsid w:val="004B0774"/>
    <w:rsid w:val="004B3885"/>
    <w:rsid w:val="004B7DB1"/>
    <w:rsid w:val="004C2744"/>
    <w:rsid w:val="004C385B"/>
    <w:rsid w:val="004C3B88"/>
    <w:rsid w:val="004D23D6"/>
    <w:rsid w:val="004D29EF"/>
    <w:rsid w:val="004D631B"/>
    <w:rsid w:val="004E3172"/>
    <w:rsid w:val="004E32C0"/>
    <w:rsid w:val="004E6FDF"/>
    <w:rsid w:val="004F144F"/>
    <w:rsid w:val="004F26EB"/>
    <w:rsid w:val="004F5EEE"/>
    <w:rsid w:val="00502A51"/>
    <w:rsid w:val="00505756"/>
    <w:rsid w:val="00505D54"/>
    <w:rsid w:val="00510621"/>
    <w:rsid w:val="00510864"/>
    <w:rsid w:val="005118C4"/>
    <w:rsid w:val="00511DF9"/>
    <w:rsid w:val="00513175"/>
    <w:rsid w:val="00516B79"/>
    <w:rsid w:val="00516C37"/>
    <w:rsid w:val="00517475"/>
    <w:rsid w:val="005231AA"/>
    <w:rsid w:val="00530876"/>
    <w:rsid w:val="00531F63"/>
    <w:rsid w:val="00532873"/>
    <w:rsid w:val="005363D0"/>
    <w:rsid w:val="0053785E"/>
    <w:rsid w:val="00540BE2"/>
    <w:rsid w:val="0054240F"/>
    <w:rsid w:val="00542BD4"/>
    <w:rsid w:val="00543529"/>
    <w:rsid w:val="00544CDE"/>
    <w:rsid w:val="005556A0"/>
    <w:rsid w:val="00556AF6"/>
    <w:rsid w:val="0055724D"/>
    <w:rsid w:val="005618D6"/>
    <w:rsid w:val="005622D2"/>
    <w:rsid w:val="0056260D"/>
    <w:rsid w:val="005630E1"/>
    <w:rsid w:val="0056482E"/>
    <w:rsid w:val="00564916"/>
    <w:rsid w:val="0056559A"/>
    <w:rsid w:val="00565D2A"/>
    <w:rsid w:val="005718BD"/>
    <w:rsid w:val="00574585"/>
    <w:rsid w:val="00575CD7"/>
    <w:rsid w:val="005778C2"/>
    <w:rsid w:val="00577FB0"/>
    <w:rsid w:val="00581855"/>
    <w:rsid w:val="00585952"/>
    <w:rsid w:val="005911BA"/>
    <w:rsid w:val="00593ACD"/>
    <w:rsid w:val="00597DB3"/>
    <w:rsid w:val="005A13A2"/>
    <w:rsid w:val="005A258D"/>
    <w:rsid w:val="005A25E7"/>
    <w:rsid w:val="005A302A"/>
    <w:rsid w:val="005B155A"/>
    <w:rsid w:val="005B3176"/>
    <w:rsid w:val="005B3E56"/>
    <w:rsid w:val="005B77CC"/>
    <w:rsid w:val="005B7866"/>
    <w:rsid w:val="005C2BCB"/>
    <w:rsid w:val="005C6D87"/>
    <w:rsid w:val="005C7E44"/>
    <w:rsid w:val="005D149F"/>
    <w:rsid w:val="005D26DE"/>
    <w:rsid w:val="005D43AF"/>
    <w:rsid w:val="005D70AA"/>
    <w:rsid w:val="005D7992"/>
    <w:rsid w:val="005E060F"/>
    <w:rsid w:val="005E12B8"/>
    <w:rsid w:val="005E1746"/>
    <w:rsid w:val="005E367C"/>
    <w:rsid w:val="005E436D"/>
    <w:rsid w:val="005E48F4"/>
    <w:rsid w:val="005E522D"/>
    <w:rsid w:val="005E5B1D"/>
    <w:rsid w:val="005F0E10"/>
    <w:rsid w:val="005F4A62"/>
    <w:rsid w:val="0060502E"/>
    <w:rsid w:val="0060621C"/>
    <w:rsid w:val="00607AEF"/>
    <w:rsid w:val="0061257C"/>
    <w:rsid w:val="0061291C"/>
    <w:rsid w:val="006136BA"/>
    <w:rsid w:val="006145D4"/>
    <w:rsid w:val="00615CE2"/>
    <w:rsid w:val="00616634"/>
    <w:rsid w:val="00616A9C"/>
    <w:rsid w:val="00616B18"/>
    <w:rsid w:val="00627461"/>
    <w:rsid w:val="006317B4"/>
    <w:rsid w:val="0063324B"/>
    <w:rsid w:val="00633D4A"/>
    <w:rsid w:val="006417E3"/>
    <w:rsid w:val="006450E6"/>
    <w:rsid w:val="00645E23"/>
    <w:rsid w:val="00647F1A"/>
    <w:rsid w:val="00651226"/>
    <w:rsid w:val="00651357"/>
    <w:rsid w:val="00651BC7"/>
    <w:rsid w:val="00652EB4"/>
    <w:rsid w:val="00657002"/>
    <w:rsid w:val="00661B25"/>
    <w:rsid w:val="00662FB3"/>
    <w:rsid w:val="00667826"/>
    <w:rsid w:val="006700DE"/>
    <w:rsid w:val="00671072"/>
    <w:rsid w:val="00672C93"/>
    <w:rsid w:val="00673A86"/>
    <w:rsid w:val="0067477F"/>
    <w:rsid w:val="00675FDA"/>
    <w:rsid w:val="00680185"/>
    <w:rsid w:val="00680DB4"/>
    <w:rsid w:val="00682388"/>
    <w:rsid w:val="0068368A"/>
    <w:rsid w:val="006858C6"/>
    <w:rsid w:val="00687913"/>
    <w:rsid w:val="00687AB0"/>
    <w:rsid w:val="00691CB0"/>
    <w:rsid w:val="0069266F"/>
    <w:rsid w:val="006933F1"/>
    <w:rsid w:val="00693D21"/>
    <w:rsid w:val="006944D3"/>
    <w:rsid w:val="0069594B"/>
    <w:rsid w:val="006A15B0"/>
    <w:rsid w:val="006A401B"/>
    <w:rsid w:val="006A61DE"/>
    <w:rsid w:val="006A67F4"/>
    <w:rsid w:val="006A70D6"/>
    <w:rsid w:val="006B1078"/>
    <w:rsid w:val="006B2624"/>
    <w:rsid w:val="006B2F3D"/>
    <w:rsid w:val="006C6C9B"/>
    <w:rsid w:val="006C789A"/>
    <w:rsid w:val="006D046A"/>
    <w:rsid w:val="006D1601"/>
    <w:rsid w:val="006D2AF3"/>
    <w:rsid w:val="006D4A17"/>
    <w:rsid w:val="006E0751"/>
    <w:rsid w:val="006E1C19"/>
    <w:rsid w:val="006E1D8D"/>
    <w:rsid w:val="006E4734"/>
    <w:rsid w:val="006E56B2"/>
    <w:rsid w:val="006E6490"/>
    <w:rsid w:val="006F07C4"/>
    <w:rsid w:val="006F24DA"/>
    <w:rsid w:val="006F29FC"/>
    <w:rsid w:val="006F33B4"/>
    <w:rsid w:val="006F5873"/>
    <w:rsid w:val="006F61C0"/>
    <w:rsid w:val="006F75E3"/>
    <w:rsid w:val="0070314E"/>
    <w:rsid w:val="00705799"/>
    <w:rsid w:val="00706032"/>
    <w:rsid w:val="00706EBA"/>
    <w:rsid w:val="00707A17"/>
    <w:rsid w:val="007107F6"/>
    <w:rsid w:val="007112CA"/>
    <w:rsid w:val="0071158F"/>
    <w:rsid w:val="00716522"/>
    <w:rsid w:val="0071713D"/>
    <w:rsid w:val="007205D3"/>
    <w:rsid w:val="00720F57"/>
    <w:rsid w:val="00724617"/>
    <w:rsid w:val="00726124"/>
    <w:rsid w:val="00727EF8"/>
    <w:rsid w:val="007363DB"/>
    <w:rsid w:val="00737935"/>
    <w:rsid w:val="00740065"/>
    <w:rsid w:val="00745654"/>
    <w:rsid w:val="00751E28"/>
    <w:rsid w:val="0075751F"/>
    <w:rsid w:val="007615A8"/>
    <w:rsid w:val="0076306A"/>
    <w:rsid w:val="00763D7D"/>
    <w:rsid w:val="00772F62"/>
    <w:rsid w:val="00774F3B"/>
    <w:rsid w:val="007776E6"/>
    <w:rsid w:val="00777AB6"/>
    <w:rsid w:val="00780F0C"/>
    <w:rsid w:val="00781BD2"/>
    <w:rsid w:val="007850F0"/>
    <w:rsid w:val="007852ED"/>
    <w:rsid w:val="0078747C"/>
    <w:rsid w:val="00790608"/>
    <w:rsid w:val="007908CE"/>
    <w:rsid w:val="00792383"/>
    <w:rsid w:val="007978A8"/>
    <w:rsid w:val="007A1A0A"/>
    <w:rsid w:val="007A57C3"/>
    <w:rsid w:val="007A586E"/>
    <w:rsid w:val="007B2E13"/>
    <w:rsid w:val="007B3B86"/>
    <w:rsid w:val="007B6635"/>
    <w:rsid w:val="007C054A"/>
    <w:rsid w:val="007C40AC"/>
    <w:rsid w:val="007C6D1C"/>
    <w:rsid w:val="007D0A52"/>
    <w:rsid w:val="007D1030"/>
    <w:rsid w:val="007D3FF2"/>
    <w:rsid w:val="007D4B48"/>
    <w:rsid w:val="007D72E9"/>
    <w:rsid w:val="007D7637"/>
    <w:rsid w:val="007E1161"/>
    <w:rsid w:val="007E2129"/>
    <w:rsid w:val="007E3F8B"/>
    <w:rsid w:val="007E5845"/>
    <w:rsid w:val="007E5A6C"/>
    <w:rsid w:val="007E5D8A"/>
    <w:rsid w:val="007E7F0D"/>
    <w:rsid w:val="007F5555"/>
    <w:rsid w:val="007F76E5"/>
    <w:rsid w:val="00802565"/>
    <w:rsid w:val="00803447"/>
    <w:rsid w:val="008129F8"/>
    <w:rsid w:val="00812BC3"/>
    <w:rsid w:val="00814517"/>
    <w:rsid w:val="008158AC"/>
    <w:rsid w:val="008172E3"/>
    <w:rsid w:val="00817D88"/>
    <w:rsid w:val="008238F9"/>
    <w:rsid w:val="00824BDC"/>
    <w:rsid w:val="00824DD9"/>
    <w:rsid w:val="0082727A"/>
    <w:rsid w:val="00827F04"/>
    <w:rsid w:val="00836BA1"/>
    <w:rsid w:val="008403A9"/>
    <w:rsid w:val="008510FF"/>
    <w:rsid w:val="00852BA2"/>
    <w:rsid w:val="00852E12"/>
    <w:rsid w:val="00853CEC"/>
    <w:rsid w:val="0085680F"/>
    <w:rsid w:val="00863776"/>
    <w:rsid w:val="008661FA"/>
    <w:rsid w:val="00867D9D"/>
    <w:rsid w:val="008728E9"/>
    <w:rsid w:val="0087324F"/>
    <w:rsid w:val="00883F29"/>
    <w:rsid w:val="008847D2"/>
    <w:rsid w:val="008903C3"/>
    <w:rsid w:val="0089141D"/>
    <w:rsid w:val="00892C33"/>
    <w:rsid w:val="008A2F66"/>
    <w:rsid w:val="008A4C09"/>
    <w:rsid w:val="008A533C"/>
    <w:rsid w:val="008A6EC4"/>
    <w:rsid w:val="008B6DB9"/>
    <w:rsid w:val="008B7625"/>
    <w:rsid w:val="008C1CBB"/>
    <w:rsid w:val="008C6369"/>
    <w:rsid w:val="008C64D6"/>
    <w:rsid w:val="008D05F9"/>
    <w:rsid w:val="008D1685"/>
    <w:rsid w:val="008D2A88"/>
    <w:rsid w:val="008D311E"/>
    <w:rsid w:val="008D4001"/>
    <w:rsid w:val="008D6310"/>
    <w:rsid w:val="008E2030"/>
    <w:rsid w:val="008F0427"/>
    <w:rsid w:val="008F257D"/>
    <w:rsid w:val="008F2F48"/>
    <w:rsid w:val="008F383B"/>
    <w:rsid w:val="008F4403"/>
    <w:rsid w:val="008F5B8C"/>
    <w:rsid w:val="008F71AE"/>
    <w:rsid w:val="0090130A"/>
    <w:rsid w:val="009016F3"/>
    <w:rsid w:val="00902ED8"/>
    <w:rsid w:val="00903BA0"/>
    <w:rsid w:val="00903D9D"/>
    <w:rsid w:val="009067F7"/>
    <w:rsid w:val="00910FD4"/>
    <w:rsid w:val="0091150F"/>
    <w:rsid w:val="009137F4"/>
    <w:rsid w:val="009153C5"/>
    <w:rsid w:val="00917C9F"/>
    <w:rsid w:val="00920D41"/>
    <w:rsid w:val="00921D1A"/>
    <w:rsid w:val="009220C4"/>
    <w:rsid w:val="009251CE"/>
    <w:rsid w:val="00925C84"/>
    <w:rsid w:val="009275DA"/>
    <w:rsid w:val="009279A1"/>
    <w:rsid w:val="00927D9B"/>
    <w:rsid w:val="00931630"/>
    <w:rsid w:val="009331B7"/>
    <w:rsid w:val="00933382"/>
    <w:rsid w:val="00934759"/>
    <w:rsid w:val="00935243"/>
    <w:rsid w:val="009360AE"/>
    <w:rsid w:val="00944191"/>
    <w:rsid w:val="00944FEF"/>
    <w:rsid w:val="009518E2"/>
    <w:rsid w:val="00954775"/>
    <w:rsid w:val="00955BFB"/>
    <w:rsid w:val="00956BC0"/>
    <w:rsid w:val="00960552"/>
    <w:rsid w:val="009654F1"/>
    <w:rsid w:val="0096664F"/>
    <w:rsid w:val="00967A18"/>
    <w:rsid w:val="00975EC4"/>
    <w:rsid w:val="00976942"/>
    <w:rsid w:val="009769E7"/>
    <w:rsid w:val="00976E28"/>
    <w:rsid w:val="00980241"/>
    <w:rsid w:val="009812ED"/>
    <w:rsid w:val="00984C6D"/>
    <w:rsid w:val="00985581"/>
    <w:rsid w:val="00990BF3"/>
    <w:rsid w:val="00994597"/>
    <w:rsid w:val="009A00D4"/>
    <w:rsid w:val="009A169B"/>
    <w:rsid w:val="009A4968"/>
    <w:rsid w:val="009B0A7D"/>
    <w:rsid w:val="009B0F1E"/>
    <w:rsid w:val="009B11D9"/>
    <w:rsid w:val="009B5A47"/>
    <w:rsid w:val="009B60A8"/>
    <w:rsid w:val="009B74F0"/>
    <w:rsid w:val="009B7780"/>
    <w:rsid w:val="009B7929"/>
    <w:rsid w:val="009B7BEA"/>
    <w:rsid w:val="009C0C29"/>
    <w:rsid w:val="009C0F1C"/>
    <w:rsid w:val="009C1A4C"/>
    <w:rsid w:val="009C3C7C"/>
    <w:rsid w:val="009C443D"/>
    <w:rsid w:val="009C4E8A"/>
    <w:rsid w:val="009C5003"/>
    <w:rsid w:val="009C5077"/>
    <w:rsid w:val="009C5907"/>
    <w:rsid w:val="009C695C"/>
    <w:rsid w:val="009D7F2C"/>
    <w:rsid w:val="009E04F1"/>
    <w:rsid w:val="009E099F"/>
    <w:rsid w:val="009F0CCC"/>
    <w:rsid w:val="009F19D0"/>
    <w:rsid w:val="009F232C"/>
    <w:rsid w:val="009F2ADA"/>
    <w:rsid w:val="009F6EE3"/>
    <w:rsid w:val="00A02A55"/>
    <w:rsid w:val="00A051E3"/>
    <w:rsid w:val="00A05E53"/>
    <w:rsid w:val="00A069BC"/>
    <w:rsid w:val="00A10D7B"/>
    <w:rsid w:val="00A1282C"/>
    <w:rsid w:val="00A129AE"/>
    <w:rsid w:val="00A149E8"/>
    <w:rsid w:val="00A152E1"/>
    <w:rsid w:val="00A1637B"/>
    <w:rsid w:val="00A16C7F"/>
    <w:rsid w:val="00A16E38"/>
    <w:rsid w:val="00A20654"/>
    <w:rsid w:val="00A243F9"/>
    <w:rsid w:val="00A254B2"/>
    <w:rsid w:val="00A2622A"/>
    <w:rsid w:val="00A26D1C"/>
    <w:rsid w:val="00A3184C"/>
    <w:rsid w:val="00A32414"/>
    <w:rsid w:val="00A334F5"/>
    <w:rsid w:val="00A33AB9"/>
    <w:rsid w:val="00A406BD"/>
    <w:rsid w:val="00A4380D"/>
    <w:rsid w:val="00A4523A"/>
    <w:rsid w:val="00A466F3"/>
    <w:rsid w:val="00A50625"/>
    <w:rsid w:val="00A51E68"/>
    <w:rsid w:val="00A52069"/>
    <w:rsid w:val="00A53371"/>
    <w:rsid w:val="00A535D8"/>
    <w:rsid w:val="00A537EA"/>
    <w:rsid w:val="00A5421F"/>
    <w:rsid w:val="00A54A01"/>
    <w:rsid w:val="00A65066"/>
    <w:rsid w:val="00A65B89"/>
    <w:rsid w:val="00A67F46"/>
    <w:rsid w:val="00A7000A"/>
    <w:rsid w:val="00A72EEA"/>
    <w:rsid w:val="00A746FD"/>
    <w:rsid w:val="00A7570E"/>
    <w:rsid w:val="00A7682B"/>
    <w:rsid w:val="00A76941"/>
    <w:rsid w:val="00A80E2E"/>
    <w:rsid w:val="00A8154C"/>
    <w:rsid w:val="00A841F8"/>
    <w:rsid w:val="00A853EE"/>
    <w:rsid w:val="00A9331F"/>
    <w:rsid w:val="00A93935"/>
    <w:rsid w:val="00A93EBB"/>
    <w:rsid w:val="00AA0287"/>
    <w:rsid w:val="00AA1DB8"/>
    <w:rsid w:val="00AA283B"/>
    <w:rsid w:val="00AA5BD9"/>
    <w:rsid w:val="00AA7BEB"/>
    <w:rsid w:val="00AB01FB"/>
    <w:rsid w:val="00AB1FC5"/>
    <w:rsid w:val="00AB2274"/>
    <w:rsid w:val="00AB4F2F"/>
    <w:rsid w:val="00AB5783"/>
    <w:rsid w:val="00AB5BF7"/>
    <w:rsid w:val="00AB7982"/>
    <w:rsid w:val="00AC1A04"/>
    <w:rsid w:val="00AC5575"/>
    <w:rsid w:val="00AC76AA"/>
    <w:rsid w:val="00AD031B"/>
    <w:rsid w:val="00AD1235"/>
    <w:rsid w:val="00AD7E68"/>
    <w:rsid w:val="00AE08A0"/>
    <w:rsid w:val="00AE2357"/>
    <w:rsid w:val="00AE36D6"/>
    <w:rsid w:val="00AE67F8"/>
    <w:rsid w:val="00AE69CE"/>
    <w:rsid w:val="00AF0C22"/>
    <w:rsid w:val="00AF165B"/>
    <w:rsid w:val="00AF4013"/>
    <w:rsid w:val="00AF503E"/>
    <w:rsid w:val="00AF5420"/>
    <w:rsid w:val="00AF5929"/>
    <w:rsid w:val="00AF5CA6"/>
    <w:rsid w:val="00AF6146"/>
    <w:rsid w:val="00B032FC"/>
    <w:rsid w:val="00B037C1"/>
    <w:rsid w:val="00B04C08"/>
    <w:rsid w:val="00B060A7"/>
    <w:rsid w:val="00B10BD1"/>
    <w:rsid w:val="00B11814"/>
    <w:rsid w:val="00B119D4"/>
    <w:rsid w:val="00B20886"/>
    <w:rsid w:val="00B21802"/>
    <w:rsid w:val="00B24336"/>
    <w:rsid w:val="00B25309"/>
    <w:rsid w:val="00B30F84"/>
    <w:rsid w:val="00B32B39"/>
    <w:rsid w:val="00B330DC"/>
    <w:rsid w:val="00B34036"/>
    <w:rsid w:val="00B3460E"/>
    <w:rsid w:val="00B362CC"/>
    <w:rsid w:val="00B42C6A"/>
    <w:rsid w:val="00B43733"/>
    <w:rsid w:val="00B45FEB"/>
    <w:rsid w:val="00B5078F"/>
    <w:rsid w:val="00B50AB6"/>
    <w:rsid w:val="00B519B2"/>
    <w:rsid w:val="00B632EA"/>
    <w:rsid w:val="00B6468E"/>
    <w:rsid w:val="00B64946"/>
    <w:rsid w:val="00B66CF2"/>
    <w:rsid w:val="00B67A03"/>
    <w:rsid w:val="00B67BDB"/>
    <w:rsid w:val="00B7299C"/>
    <w:rsid w:val="00B7352D"/>
    <w:rsid w:val="00B73FC6"/>
    <w:rsid w:val="00B82F59"/>
    <w:rsid w:val="00B8592A"/>
    <w:rsid w:val="00B87D6D"/>
    <w:rsid w:val="00B93AC4"/>
    <w:rsid w:val="00B93D5F"/>
    <w:rsid w:val="00B946B9"/>
    <w:rsid w:val="00B955BA"/>
    <w:rsid w:val="00B961C7"/>
    <w:rsid w:val="00BA1953"/>
    <w:rsid w:val="00BA1E6E"/>
    <w:rsid w:val="00BA21DC"/>
    <w:rsid w:val="00BA36D1"/>
    <w:rsid w:val="00BB379E"/>
    <w:rsid w:val="00BB620C"/>
    <w:rsid w:val="00BB71BA"/>
    <w:rsid w:val="00BB7437"/>
    <w:rsid w:val="00BC3B00"/>
    <w:rsid w:val="00BC3C72"/>
    <w:rsid w:val="00BC42F1"/>
    <w:rsid w:val="00BC4BAE"/>
    <w:rsid w:val="00BC5F89"/>
    <w:rsid w:val="00BC626C"/>
    <w:rsid w:val="00BC7629"/>
    <w:rsid w:val="00BC77F4"/>
    <w:rsid w:val="00BD3D27"/>
    <w:rsid w:val="00BD50EF"/>
    <w:rsid w:val="00BD61AC"/>
    <w:rsid w:val="00BD6683"/>
    <w:rsid w:val="00BE1D10"/>
    <w:rsid w:val="00BE212A"/>
    <w:rsid w:val="00BE348E"/>
    <w:rsid w:val="00BE43FD"/>
    <w:rsid w:val="00BE4737"/>
    <w:rsid w:val="00BE4A19"/>
    <w:rsid w:val="00BE5E9D"/>
    <w:rsid w:val="00BE7B5D"/>
    <w:rsid w:val="00BF0BC2"/>
    <w:rsid w:val="00BF0E06"/>
    <w:rsid w:val="00BF579A"/>
    <w:rsid w:val="00C004D0"/>
    <w:rsid w:val="00C02539"/>
    <w:rsid w:val="00C03894"/>
    <w:rsid w:val="00C039C4"/>
    <w:rsid w:val="00C07DEF"/>
    <w:rsid w:val="00C1237A"/>
    <w:rsid w:val="00C1294C"/>
    <w:rsid w:val="00C1457B"/>
    <w:rsid w:val="00C205B6"/>
    <w:rsid w:val="00C224B5"/>
    <w:rsid w:val="00C25048"/>
    <w:rsid w:val="00C26FF9"/>
    <w:rsid w:val="00C35435"/>
    <w:rsid w:val="00C40B30"/>
    <w:rsid w:val="00C4129B"/>
    <w:rsid w:val="00C42D67"/>
    <w:rsid w:val="00C52106"/>
    <w:rsid w:val="00C531CC"/>
    <w:rsid w:val="00C53754"/>
    <w:rsid w:val="00C537C4"/>
    <w:rsid w:val="00C53F70"/>
    <w:rsid w:val="00C5531C"/>
    <w:rsid w:val="00C5590F"/>
    <w:rsid w:val="00C561F9"/>
    <w:rsid w:val="00C572F7"/>
    <w:rsid w:val="00C6123D"/>
    <w:rsid w:val="00C61E80"/>
    <w:rsid w:val="00C66970"/>
    <w:rsid w:val="00C702F8"/>
    <w:rsid w:val="00C7445C"/>
    <w:rsid w:val="00C75661"/>
    <w:rsid w:val="00C7782B"/>
    <w:rsid w:val="00C87BD0"/>
    <w:rsid w:val="00C907C4"/>
    <w:rsid w:val="00C90F67"/>
    <w:rsid w:val="00C92B29"/>
    <w:rsid w:val="00C93265"/>
    <w:rsid w:val="00C970F0"/>
    <w:rsid w:val="00CA4F9B"/>
    <w:rsid w:val="00CA64D1"/>
    <w:rsid w:val="00CA6559"/>
    <w:rsid w:val="00CA732D"/>
    <w:rsid w:val="00CB1FFB"/>
    <w:rsid w:val="00CB4570"/>
    <w:rsid w:val="00CB5697"/>
    <w:rsid w:val="00CB6F67"/>
    <w:rsid w:val="00CC1601"/>
    <w:rsid w:val="00CC180D"/>
    <w:rsid w:val="00CC22D6"/>
    <w:rsid w:val="00CC2BDF"/>
    <w:rsid w:val="00CC34F7"/>
    <w:rsid w:val="00CC37AB"/>
    <w:rsid w:val="00CC41D7"/>
    <w:rsid w:val="00CC5253"/>
    <w:rsid w:val="00CD1AF2"/>
    <w:rsid w:val="00CD1CD3"/>
    <w:rsid w:val="00CD21FF"/>
    <w:rsid w:val="00CD3AF6"/>
    <w:rsid w:val="00CD4CA0"/>
    <w:rsid w:val="00CD7394"/>
    <w:rsid w:val="00CE221F"/>
    <w:rsid w:val="00CE36D0"/>
    <w:rsid w:val="00CE4B1F"/>
    <w:rsid w:val="00CF1C7D"/>
    <w:rsid w:val="00CF1EA6"/>
    <w:rsid w:val="00CF3A0F"/>
    <w:rsid w:val="00CF490F"/>
    <w:rsid w:val="00CF5731"/>
    <w:rsid w:val="00CF6896"/>
    <w:rsid w:val="00D04736"/>
    <w:rsid w:val="00D04DC3"/>
    <w:rsid w:val="00D0790B"/>
    <w:rsid w:val="00D10574"/>
    <w:rsid w:val="00D1272F"/>
    <w:rsid w:val="00D12F22"/>
    <w:rsid w:val="00D13EAD"/>
    <w:rsid w:val="00D15F79"/>
    <w:rsid w:val="00D16923"/>
    <w:rsid w:val="00D20835"/>
    <w:rsid w:val="00D225C6"/>
    <w:rsid w:val="00D24A6A"/>
    <w:rsid w:val="00D27420"/>
    <w:rsid w:val="00D278C5"/>
    <w:rsid w:val="00D3256F"/>
    <w:rsid w:val="00D334F3"/>
    <w:rsid w:val="00D34755"/>
    <w:rsid w:val="00D41872"/>
    <w:rsid w:val="00D4283E"/>
    <w:rsid w:val="00D43A1D"/>
    <w:rsid w:val="00D43D3D"/>
    <w:rsid w:val="00D44C64"/>
    <w:rsid w:val="00D44FEF"/>
    <w:rsid w:val="00D50C35"/>
    <w:rsid w:val="00D510CA"/>
    <w:rsid w:val="00D5370B"/>
    <w:rsid w:val="00D542FC"/>
    <w:rsid w:val="00D56DAE"/>
    <w:rsid w:val="00D57671"/>
    <w:rsid w:val="00D62FB1"/>
    <w:rsid w:val="00D63EE5"/>
    <w:rsid w:val="00D640B1"/>
    <w:rsid w:val="00D678ED"/>
    <w:rsid w:val="00D71E8C"/>
    <w:rsid w:val="00D72384"/>
    <w:rsid w:val="00D7304E"/>
    <w:rsid w:val="00D804CD"/>
    <w:rsid w:val="00D809DE"/>
    <w:rsid w:val="00D831C5"/>
    <w:rsid w:val="00D83EC0"/>
    <w:rsid w:val="00D84A81"/>
    <w:rsid w:val="00D860D6"/>
    <w:rsid w:val="00D87060"/>
    <w:rsid w:val="00D90C8F"/>
    <w:rsid w:val="00D9258E"/>
    <w:rsid w:val="00D936B0"/>
    <w:rsid w:val="00D93A6E"/>
    <w:rsid w:val="00D94488"/>
    <w:rsid w:val="00D950F9"/>
    <w:rsid w:val="00D955F6"/>
    <w:rsid w:val="00D9671D"/>
    <w:rsid w:val="00DA0452"/>
    <w:rsid w:val="00DA203B"/>
    <w:rsid w:val="00DA3B9E"/>
    <w:rsid w:val="00DA4C31"/>
    <w:rsid w:val="00DA61B1"/>
    <w:rsid w:val="00DB0CA6"/>
    <w:rsid w:val="00DB28F3"/>
    <w:rsid w:val="00DB3AE3"/>
    <w:rsid w:val="00DB6380"/>
    <w:rsid w:val="00DB7B64"/>
    <w:rsid w:val="00DC3592"/>
    <w:rsid w:val="00DC3907"/>
    <w:rsid w:val="00DC6138"/>
    <w:rsid w:val="00DC7541"/>
    <w:rsid w:val="00DD0C85"/>
    <w:rsid w:val="00DD113E"/>
    <w:rsid w:val="00DD1F14"/>
    <w:rsid w:val="00DD2CBA"/>
    <w:rsid w:val="00DD48BB"/>
    <w:rsid w:val="00DD53DD"/>
    <w:rsid w:val="00DE16C5"/>
    <w:rsid w:val="00DE35CB"/>
    <w:rsid w:val="00DE3CDB"/>
    <w:rsid w:val="00DE53AE"/>
    <w:rsid w:val="00DF047E"/>
    <w:rsid w:val="00DF2B7D"/>
    <w:rsid w:val="00DF2E4A"/>
    <w:rsid w:val="00DF65E5"/>
    <w:rsid w:val="00DF734C"/>
    <w:rsid w:val="00DF73D6"/>
    <w:rsid w:val="00DF7A4A"/>
    <w:rsid w:val="00E002F7"/>
    <w:rsid w:val="00E02BAE"/>
    <w:rsid w:val="00E02C2B"/>
    <w:rsid w:val="00E03946"/>
    <w:rsid w:val="00E04623"/>
    <w:rsid w:val="00E1019F"/>
    <w:rsid w:val="00E14536"/>
    <w:rsid w:val="00E16F77"/>
    <w:rsid w:val="00E239E7"/>
    <w:rsid w:val="00E23CDF"/>
    <w:rsid w:val="00E2514C"/>
    <w:rsid w:val="00E276EC"/>
    <w:rsid w:val="00E33518"/>
    <w:rsid w:val="00E4281B"/>
    <w:rsid w:val="00E44134"/>
    <w:rsid w:val="00E55786"/>
    <w:rsid w:val="00E575CD"/>
    <w:rsid w:val="00E60295"/>
    <w:rsid w:val="00E62548"/>
    <w:rsid w:val="00E636D9"/>
    <w:rsid w:val="00E64D83"/>
    <w:rsid w:val="00E7079A"/>
    <w:rsid w:val="00E7217E"/>
    <w:rsid w:val="00E7291B"/>
    <w:rsid w:val="00E80145"/>
    <w:rsid w:val="00E81F28"/>
    <w:rsid w:val="00E8356D"/>
    <w:rsid w:val="00E87824"/>
    <w:rsid w:val="00E92875"/>
    <w:rsid w:val="00E93684"/>
    <w:rsid w:val="00E94ED8"/>
    <w:rsid w:val="00E96634"/>
    <w:rsid w:val="00EA0F48"/>
    <w:rsid w:val="00EA3AE5"/>
    <w:rsid w:val="00EA4969"/>
    <w:rsid w:val="00EB0613"/>
    <w:rsid w:val="00EB34E1"/>
    <w:rsid w:val="00EB386A"/>
    <w:rsid w:val="00EB3BDA"/>
    <w:rsid w:val="00EB5CCF"/>
    <w:rsid w:val="00EB6178"/>
    <w:rsid w:val="00EB6510"/>
    <w:rsid w:val="00EB7556"/>
    <w:rsid w:val="00EC0154"/>
    <w:rsid w:val="00EC137E"/>
    <w:rsid w:val="00EC1ADB"/>
    <w:rsid w:val="00EC25A8"/>
    <w:rsid w:val="00EC390B"/>
    <w:rsid w:val="00EC3FD7"/>
    <w:rsid w:val="00EC66F1"/>
    <w:rsid w:val="00ED0E4A"/>
    <w:rsid w:val="00ED3794"/>
    <w:rsid w:val="00ED6E91"/>
    <w:rsid w:val="00EE026B"/>
    <w:rsid w:val="00EE0475"/>
    <w:rsid w:val="00EE2CF9"/>
    <w:rsid w:val="00EE7825"/>
    <w:rsid w:val="00EF3C04"/>
    <w:rsid w:val="00EF55DE"/>
    <w:rsid w:val="00EF5896"/>
    <w:rsid w:val="00EF718A"/>
    <w:rsid w:val="00EF72AD"/>
    <w:rsid w:val="00EF7DF0"/>
    <w:rsid w:val="00F00F1A"/>
    <w:rsid w:val="00F01A6E"/>
    <w:rsid w:val="00F01AB8"/>
    <w:rsid w:val="00F06697"/>
    <w:rsid w:val="00F10FAC"/>
    <w:rsid w:val="00F12476"/>
    <w:rsid w:val="00F12F0B"/>
    <w:rsid w:val="00F15048"/>
    <w:rsid w:val="00F206CC"/>
    <w:rsid w:val="00F20F69"/>
    <w:rsid w:val="00F22AC0"/>
    <w:rsid w:val="00F22CF2"/>
    <w:rsid w:val="00F249E5"/>
    <w:rsid w:val="00F25CBB"/>
    <w:rsid w:val="00F260B7"/>
    <w:rsid w:val="00F2613B"/>
    <w:rsid w:val="00F2643F"/>
    <w:rsid w:val="00F32D55"/>
    <w:rsid w:val="00F33B5D"/>
    <w:rsid w:val="00F34788"/>
    <w:rsid w:val="00F358F9"/>
    <w:rsid w:val="00F37C7C"/>
    <w:rsid w:val="00F40E1B"/>
    <w:rsid w:val="00F417D7"/>
    <w:rsid w:val="00F41D67"/>
    <w:rsid w:val="00F44161"/>
    <w:rsid w:val="00F45590"/>
    <w:rsid w:val="00F46976"/>
    <w:rsid w:val="00F53EA7"/>
    <w:rsid w:val="00F64587"/>
    <w:rsid w:val="00F66240"/>
    <w:rsid w:val="00F66273"/>
    <w:rsid w:val="00F71F88"/>
    <w:rsid w:val="00F746FF"/>
    <w:rsid w:val="00F74B3A"/>
    <w:rsid w:val="00F74FD4"/>
    <w:rsid w:val="00F75A7A"/>
    <w:rsid w:val="00F80BC2"/>
    <w:rsid w:val="00F80D60"/>
    <w:rsid w:val="00F8422B"/>
    <w:rsid w:val="00F86C3A"/>
    <w:rsid w:val="00F86F3B"/>
    <w:rsid w:val="00F9051A"/>
    <w:rsid w:val="00F9169C"/>
    <w:rsid w:val="00F9192F"/>
    <w:rsid w:val="00F92D6C"/>
    <w:rsid w:val="00F92E7E"/>
    <w:rsid w:val="00F93768"/>
    <w:rsid w:val="00F93939"/>
    <w:rsid w:val="00F961B2"/>
    <w:rsid w:val="00FA32C6"/>
    <w:rsid w:val="00FA387D"/>
    <w:rsid w:val="00FA44B8"/>
    <w:rsid w:val="00FA5A66"/>
    <w:rsid w:val="00FA5E95"/>
    <w:rsid w:val="00FA6E6D"/>
    <w:rsid w:val="00FA753A"/>
    <w:rsid w:val="00FB2411"/>
    <w:rsid w:val="00FB2660"/>
    <w:rsid w:val="00FB4A77"/>
    <w:rsid w:val="00FB79DF"/>
    <w:rsid w:val="00FC18A3"/>
    <w:rsid w:val="00FC3872"/>
    <w:rsid w:val="00FC5267"/>
    <w:rsid w:val="00FC5F0E"/>
    <w:rsid w:val="00FD003D"/>
    <w:rsid w:val="00FD58E9"/>
    <w:rsid w:val="00FD605D"/>
    <w:rsid w:val="00FE1E87"/>
    <w:rsid w:val="00FE4938"/>
    <w:rsid w:val="00FE52DB"/>
    <w:rsid w:val="00FE5D4C"/>
    <w:rsid w:val="00FF6362"/>
  </w:rsids>
  <m:mathPr>
    <m:mathFont m:val="Palatino"/>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New Roman"/>
        <w:sz w:val="24"/>
        <w:szCs w:val="24"/>
        <w:lang w:val="en-GB" w:eastAsia="en-US" w:bidi="ar-SA"/>
      </w:rPr>
    </w:rPrDefault>
    <w:pPrDefault/>
  </w:docDefaults>
  <w:latentStyles w:defLockedState="0" w:defUIPriority="0" w:defSemiHidden="0" w:defUnhideWhenUsed="0" w:defQFormat="0" w:count="276">
    <w:lsdException w:name="heading 1" w:uiPriority="9"/>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C5590F"/>
  </w:style>
  <w:style w:type="paragraph" w:styleId="Heading1">
    <w:name w:val="heading 1"/>
    <w:basedOn w:val="Normal"/>
    <w:link w:val="Heading1Char"/>
    <w:uiPriority w:val="9"/>
    <w:rsid w:val="00A50625"/>
    <w:pPr>
      <w:spacing w:beforeLines="1" w:afterLines="1"/>
      <w:outlineLvl w:val="0"/>
    </w:pPr>
    <w:rPr>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C5590F"/>
    <w:pPr>
      <w:spacing w:before="100" w:beforeAutospacing="1" w:after="100" w:afterAutospacing="1"/>
    </w:pPr>
    <w:rPr>
      <w:rFonts w:ascii="Times New Roman" w:eastAsia="Times New Roman" w:hAnsi="Times New Roman"/>
      <w:lang w:eastAsia="en-GB"/>
    </w:rPr>
  </w:style>
  <w:style w:type="paragraph" w:styleId="Footer">
    <w:name w:val="footer"/>
    <w:basedOn w:val="Normal"/>
    <w:link w:val="FooterChar"/>
    <w:uiPriority w:val="99"/>
    <w:unhideWhenUsed/>
    <w:rsid w:val="005D7992"/>
    <w:pPr>
      <w:tabs>
        <w:tab w:val="center" w:pos="4513"/>
        <w:tab w:val="right" w:pos="9026"/>
      </w:tabs>
    </w:pPr>
  </w:style>
  <w:style w:type="character" w:customStyle="1" w:styleId="FooterChar">
    <w:name w:val="Footer Char"/>
    <w:basedOn w:val="DefaultParagraphFont"/>
    <w:link w:val="Footer"/>
    <w:uiPriority w:val="99"/>
    <w:rsid w:val="005D7992"/>
  </w:style>
  <w:style w:type="character" w:styleId="PageNumber">
    <w:name w:val="page number"/>
    <w:basedOn w:val="DefaultParagraphFont"/>
    <w:uiPriority w:val="99"/>
    <w:semiHidden/>
    <w:unhideWhenUsed/>
    <w:rsid w:val="005D7992"/>
  </w:style>
  <w:style w:type="paragraph" w:styleId="BodyText">
    <w:name w:val="Body Text"/>
    <w:basedOn w:val="Normal"/>
    <w:link w:val="BodyTextChar"/>
    <w:rsid w:val="002E7F2A"/>
    <w:pPr>
      <w:numPr>
        <w:numId w:val="1"/>
      </w:numPr>
      <w:spacing w:after="240" w:line="360" w:lineRule="auto"/>
      <w:ind w:left="0" w:firstLine="0"/>
    </w:pPr>
    <w:rPr>
      <w:rFonts w:ascii="Times New Roman" w:eastAsia="Times New Roman" w:hAnsi="Times New Roman"/>
      <w:lang w:val="en-US"/>
    </w:rPr>
  </w:style>
  <w:style w:type="character" w:customStyle="1" w:styleId="BodyTextChar">
    <w:name w:val="Body Text Char"/>
    <w:basedOn w:val="DefaultParagraphFont"/>
    <w:link w:val="BodyText"/>
    <w:rsid w:val="002E7F2A"/>
    <w:rPr>
      <w:rFonts w:ascii="Times New Roman" w:eastAsia="Times New Roman" w:hAnsi="Times New Roman"/>
      <w:lang w:val="en-US"/>
    </w:rPr>
  </w:style>
  <w:style w:type="paragraph" w:styleId="Subtitle">
    <w:name w:val="Subtitle"/>
    <w:basedOn w:val="Normal"/>
    <w:link w:val="SubtitleChar"/>
    <w:qFormat/>
    <w:rsid w:val="002E7F2A"/>
    <w:pPr>
      <w:keepNext/>
      <w:spacing w:before="240" w:after="240" w:line="360" w:lineRule="auto"/>
      <w:jc w:val="center"/>
      <w:outlineLvl w:val="1"/>
    </w:pPr>
    <w:rPr>
      <w:rFonts w:ascii="Times New Roman" w:eastAsia="Times New Roman" w:hAnsi="Times New Roman"/>
      <w:lang w:val="en-US"/>
    </w:rPr>
  </w:style>
  <w:style w:type="character" w:customStyle="1" w:styleId="SubtitleChar">
    <w:name w:val="Subtitle Char"/>
    <w:basedOn w:val="DefaultParagraphFont"/>
    <w:link w:val="Subtitle"/>
    <w:rsid w:val="002E7F2A"/>
    <w:rPr>
      <w:rFonts w:ascii="Times New Roman" w:eastAsia="Times New Roman" w:hAnsi="Times New Roman"/>
      <w:lang w:val="en-US"/>
    </w:rPr>
  </w:style>
  <w:style w:type="paragraph" w:styleId="ListParagraph">
    <w:name w:val="List Paragraph"/>
    <w:basedOn w:val="Normal"/>
    <w:uiPriority w:val="34"/>
    <w:qFormat/>
    <w:rsid w:val="00E7291B"/>
    <w:pPr>
      <w:ind w:left="720"/>
      <w:contextualSpacing/>
    </w:pPr>
  </w:style>
  <w:style w:type="paragraph" w:styleId="BalloonText">
    <w:name w:val="Balloon Text"/>
    <w:basedOn w:val="Normal"/>
    <w:link w:val="BalloonTextChar"/>
    <w:uiPriority w:val="99"/>
    <w:semiHidden/>
    <w:unhideWhenUsed/>
    <w:rsid w:val="00682388"/>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82388"/>
    <w:rPr>
      <w:rFonts w:ascii="Times New Roman" w:hAnsi="Times New Roman"/>
      <w:sz w:val="18"/>
      <w:szCs w:val="18"/>
    </w:rPr>
  </w:style>
  <w:style w:type="paragraph" w:customStyle="1" w:styleId="CM7">
    <w:name w:val="CM7"/>
    <w:basedOn w:val="Normal"/>
    <w:next w:val="Normal"/>
    <w:uiPriority w:val="99"/>
    <w:rsid w:val="0056260D"/>
    <w:pPr>
      <w:widowControl w:val="0"/>
      <w:autoSpaceDE w:val="0"/>
      <w:autoSpaceDN w:val="0"/>
      <w:adjustRightInd w:val="0"/>
    </w:pPr>
    <w:rPr>
      <w:rFonts w:ascii="Palatino" w:eastAsia="Times New Roman" w:hAnsi="Palatino"/>
      <w:lang w:val="en-US"/>
    </w:rPr>
  </w:style>
  <w:style w:type="character" w:customStyle="1" w:styleId="apple-converted-space">
    <w:name w:val="apple-converted-space"/>
    <w:rsid w:val="0056260D"/>
  </w:style>
  <w:style w:type="table" w:styleId="TableGrid">
    <w:name w:val="Table Grid"/>
    <w:basedOn w:val="TableNormal"/>
    <w:uiPriority w:val="39"/>
    <w:rsid w:val="0056260D"/>
    <w:rPr>
      <w:rFonts w:ascii="Cambria" w:eastAsia="MS Minngs" w:hAnsi="Cambria"/>
      <w:sz w:val="20"/>
      <w:szCs w:val="20"/>
      <w:lang w:val="it-IT"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96085"/>
    <w:rPr>
      <w:sz w:val="16"/>
      <w:szCs w:val="16"/>
    </w:rPr>
  </w:style>
  <w:style w:type="paragraph" w:styleId="CommentText">
    <w:name w:val="annotation text"/>
    <w:basedOn w:val="Normal"/>
    <w:link w:val="CommentTextChar"/>
    <w:uiPriority w:val="99"/>
    <w:semiHidden/>
    <w:unhideWhenUsed/>
    <w:rsid w:val="00496085"/>
    <w:rPr>
      <w:sz w:val="20"/>
      <w:szCs w:val="20"/>
    </w:rPr>
  </w:style>
  <w:style w:type="character" w:customStyle="1" w:styleId="CommentTextChar">
    <w:name w:val="Comment Text Char"/>
    <w:basedOn w:val="DefaultParagraphFont"/>
    <w:link w:val="CommentText"/>
    <w:uiPriority w:val="99"/>
    <w:semiHidden/>
    <w:rsid w:val="00496085"/>
    <w:rPr>
      <w:sz w:val="20"/>
      <w:szCs w:val="20"/>
    </w:rPr>
  </w:style>
  <w:style w:type="paragraph" w:styleId="CommentSubject">
    <w:name w:val="annotation subject"/>
    <w:basedOn w:val="CommentText"/>
    <w:next w:val="CommentText"/>
    <w:link w:val="CommentSubjectChar"/>
    <w:uiPriority w:val="99"/>
    <w:semiHidden/>
    <w:unhideWhenUsed/>
    <w:rsid w:val="0045041E"/>
    <w:rPr>
      <w:b/>
      <w:bCs/>
    </w:rPr>
  </w:style>
  <w:style w:type="character" w:customStyle="1" w:styleId="CommentSubjectChar">
    <w:name w:val="Comment Subject Char"/>
    <w:basedOn w:val="CommentTextChar"/>
    <w:link w:val="CommentSubject"/>
    <w:uiPriority w:val="99"/>
    <w:semiHidden/>
    <w:rsid w:val="0045041E"/>
    <w:rPr>
      <w:b/>
      <w:bCs/>
      <w:sz w:val="20"/>
      <w:szCs w:val="20"/>
    </w:rPr>
  </w:style>
  <w:style w:type="character" w:styleId="Hyperlink">
    <w:name w:val="Hyperlink"/>
    <w:basedOn w:val="DefaultParagraphFont"/>
    <w:unhideWhenUsed/>
    <w:rsid w:val="0054240F"/>
    <w:rPr>
      <w:color w:val="0563C1" w:themeColor="hyperlink"/>
      <w:u w:val="single"/>
    </w:rPr>
  </w:style>
  <w:style w:type="character" w:customStyle="1" w:styleId="Heading1Char">
    <w:name w:val="Heading 1 Char"/>
    <w:basedOn w:val="DefaultParagraphFont"/>
    <w:link w:val="Heading1"/>
    <w:uiPriority w:val="9"/>
    <w:rsid w:val="00A50625"/>
    <w:rPr>
      <w:b/>
      <w:kern w:val="36"/>
      <w:sz w:val="48"/>
      <w:szCs w:val="20"/>
    </w:rPr>
  </w:style>
</w:styles>
</file>

<file path=word/webSettings.xml><?xml version="1.0" encoding="utf-8"?>
<w:webSettings xmlns:r="http://schemas.openxmlformats.org/officeDocument/2006/relationships" xmlns:w="http://schemas.openxmlformats.org/wordprocessingml/2006/main">
  <w:divs>
    <w:div w:id="138347837">
      <w:bodyDiv w:val="1"/>
      <w:marLeft w:val="0"/>
      <w:marRight w:val="0"/>
      <w:marTop w:val="0"/>
      <w:marBottom w:val="0"/>
      <w:divBdr>
        <w:top w:val="none" w:sz="0" w:space="0" w:color="auto"/>
        <w:left w:val="none" w:sz="0" w:space="0" w:color="auto"/>
        <w:bottom w:val="none" w:sz="0" w:space="0" w:color="auto"/>
        <w:right w:val="none" w:sz="0" w:space="0" w:color="auto"/>
      </w:divBdr>
      <w:divsChild>
        <w:div w:id="1889799246">
          <w:marLeft w:val="0"/>
          <w:marRight w:val="0"/>
          <w:marTop w:val="0"/>
          <w:marBottom w:val="0"/>
          <w:divBdr>
            <w:top w:val="none" w:sz="0" w:space="0" w:color="auto"/>
            <w:left w:val="none" w:sz="0" w:space="0" w:color="auto"/>
            <w:bottom w:val="none" w:sz="0" w:space="0" w:color="auto"/>
            <w:right w:val="none" w:sz="0" w:space="0" w:color="auto"/>
          </w:divBdr>
          <w:divsChild>
            <w:div w:id="111898508">
              <w:marLeft w:val="0"/>
              <w:marRight w:val="0"/>
              <w:marTop w:val="0"/>
              <w:marBottom w:val="0"/>
              <w:divBdr>
                <w:top w:val="none" w:sz="0" w:space="0" w:color="auto"/>
                <w:left w:val="none" w:sz="0" w:space="0" w:color="auto"/>
                <w:bottom w:val="none" w:sz="0" w:space="0" w:color="auto"/>
                <w:right w:val="none" w:sz="0" w:space="0" w:color="auto"/>
              </w:divBdr>
              <w:divsChild>
                <w:div w:id="81607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08486">
      <w:bodyDiv w:val="1"/>
      <w:marLeft w:val="0"/>
      <w:marRight w:val="0"/>
      <w:marTop w:val="0"/>
      <w:marBottom w:val="0"/>
      <w:divBdr>
        <w:top w:val="none" w:sz="0" w:space="0" w:color="auto"/>
        <w:left w:val="none" w:sz="0" w:space="0" w:color="auto"/>
        <w:bottom w:val="none" w:sz="0" w:space="0" w:color="auto"/>
        <w:right w:val="none" w:sz="0" w:space="0" w:color="auto"/>
      </w:divBdr>
    </w:div>
    <w:div w:id="326204666">
      <w:bodyDiv w:val="1"/>
      <w:marLeft w:val="0"/>
      <w:marRight w:val="0"/>
      <w:marTop w:val="0"/>
      <w:marBottom w:val="0"/>
      <w:divBdr>
        <w:top w:val="none" w:sz="0" w:space="0" w:color="auto"/>
        <w:left w:val="none" w:sz="0" w:space="0" w:color="auto"/>
        <w:bottom w:val="none" w:sz="0" w:space="0" w:color="auto"/>
        <w:right w:val="none" w:sz="0" w:space="0" w:color="auto"/>
      </w:divBdr>
      <w:divsChild>
        <w:div w:id="5056719">
          <w:marLeft w:val="0"/>
          <w:marRight w:val="0"/>
          <w:marTop w:val="0"/>
          <w:marBottom w:val="0"/>
          <w:divBdr>
            <w:top w:val="none" w:sz="0" w:space="0" w:color="auto"/>
            <w:left w:val="none" w:sz="0" w:space="0" w:color="auto"/>
            <w:bottom w:val="none" w:sz="0" w:space="0" w:color="auto"/>
            <w:right w:val="none" w:sz="0" w:space="0" w:color="auto"/>
          </w:divBdr>
          <w:divsChild>
            <w:div w:id="975334958">
              <w:marLeft w:val="0"/>
              <w:marRight w:val="0"/>
              <w:marTop w:val="0"/>
              <w:marBottom w:val="0"/>
              <w:divBdr>
                <w:top w:val="none" w:sz="0" w:space="0" w:color="auto"/>
                <w:left w:val="none" w:sz="0" w:space="0" w:color="auto"/>
                <w:bottom w:val="none" w:sz="0" w:space="0" w:color="auto"/>
                <w:right w:val="none" w:sz="0" w:space="0" w:color="auto"/>
              </w:divBdr>
              <w:divsChild>
                <w:div w:id="187815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512900">
      <w:bodyDiv w:val="1"/>
      <w:marLeft w:val="0"/>
      <w:marRight w:val="0"/>
      <w:marTop w:val="0"/>
      <w:marBottom w:val="0"/>
      <w:divBdr>
        <w:top w:val="none" w:sz="0" w:space="0" w:color="auto"/>
        <w:left w:val="none" w:sz="0" w:space="0" w:color="auto"/>
        <w:bottom w:val="none" w:sz="0" w:space="0" w:color="auto"/>
        <w:right w:val="none" w:sz="0" w:space="0" w:color="auto"/>
      </w:divBdr>
      <w:divsChild>
        <w:div w:id="378748556">
          <w:marLeft w:val="0"/>
          <w:marRight w:val="0"/>
          <w:marTop w:val="0"/>
          <w:marBottom w:val="0"/>
          <w:divBdr>
            <w:top w:val="none" w:sz="0" w:space="0" w:color="auto"/>
            <w:left w:val="none" w:sz="0" w:space="0" w:color="auto"/>
            <w:bottom w:val="none" w:sz="0" w:space="0" w:color="auto"/>
            <w:right w:val="none" w:sz="0" w:space="0" w:color="auto"/>
          </w:divBdr>
          <w:divsChild>
            <w:div w:id="2065641833">
              <w:marLeft w:val="0"/>
              <w:marRight w:val="0"/>
              <w:marTop w:val="0"/>
              <w:marBottom w:val="0"/>
              <w:divBdr>
                <w:top w:val="none" w:sz="0" w:space="0" w:color="auto"/>
                <w:left w:val="none" w:sz="0" w:space="0" w:color="auto"/>
                <w:bottom w:val="none" w:sz="0" w:space="0" w:color="auto"/>
                <w:right w:val="none" w:sz="0" w:space="0" w:color="auto"/>
              </w:divBdr>
              <w:divsChild>
                <w:div w:id="24314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8160">
      <w:bodyDiv w:val="1"/>
      <w:marLeft w:val="0"/>
      <w:marRight w:val="0"/>
      <w:marTop w:val="0"/>
      <w:marBottom w:val="0"/>
      <w:divBdr>
        <w:top w:val="none" w:sz="0" w:space="0" w:color="auto"/>
        <w:left w:val="none" w:sz="0" w:space="0" w:color="auto"/>
        <w:bottom w:val="none" w:sz="0" w:space="0" w:color="auto"/>
        <w:right w:val="none" w:sz="0" w:space="0" w:color="auto"/>
      </w:divBdr>
      <w:divsChild>
        <w:div w:id="1938514181">
          <w:marLeft w:val="0"/>
          <w:marRight w:val="0"/>
          <w:marTop w:val="0"/>
          <w:marBottom w:val="0"/>
          <w:divBdr>
            <w:top w:val="none" w:sz="0" w:space="0" w:color="auto"/>
            <w:left w:val="none" w:sz="0" w:space="0" w:color="auto"/>
            <w:bottom w:val="none" w:sz="0" w:space="0" w:color="auto"/>
            <w:right w:val="none" w:sz="0" w:space="0" w:color="auto"/>
          </w:divBdr>
          <w:divsChild>
            <w:div w:id="2000960239">
              <w:marLeft w:val="0"/>
              <w:marRight w:val="0"/>
              <w:marTop w:val="0"/>
              <w:marBottom w:val="0"/>
              <w:divBdr>
                <w:top w:val="none" w:sz="0" w:space="0" w:color="auto"/>
                <w:left w:val="none" w:sz="0" w:space="0" w:color="auto"/>
                <w:bottom w:val="none" w:sz="0" w:space="0" w:color="auto"/>
                <w:right w:val="none" w:sz="0" w:space="0" w:color="auto"/>
              </w:divBdr>
              <w:divsChild>
                <w:div w:id="1303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90115">
      <w:bodyDiv w:val="1"/>
      <w:marLeft w:val="0"/>
      <w:marRight w:val="0"/>
      <w:marTop w:val="0"/>
      <w:marBottom w:val="0"/>
      <w:divBdr>
        <w:top w:val="none" w:sz="0" w:space="0" w:color="auto"/>
        <w:left w:val="none" w:sz="0" w:space="0" w:color="auto"/>
        <w:bottom w:val="none" w:sz="0" w:space="0" w:color="auto"/>
        <w:right w:val="none" w:sz="0" w:space="0" w:color="auto"/>
      </w:divBdr>
      <w:divsChild>
        <w:div w:id="1915624847">
          <w:marLeft w:val="0"/>
          <w:marRight w:val="0"/>
          <w:marTop w:val="0"/>
          <w:marBottom w:val="0"/>
          <w:divBdr>
            <w:top w:val="none" w:sz="0" w:space="0" w:color="auto"/>
            <w:left w:val="none" w:sz="0" w:space="0" w:color="auto"/>
            <w:bottom w:val="none" w:sz="0" w:space="0" w:color="auto"/>
            <w:right w:val="none" w:sz="0" w:space="0" w:color="auto"/>
          </w:divBdr>
          <w:divsChild>
            <w:div w:id="1419793981">
              <w:marLeft w:val="0"/>
              <w:marRight w:val="0"/>
              <w:marTop w:val="0"/>
              <w:marBottom w:val="0"/>
              <w:divBdr>
                <w:top w:val="none" w:sz="0" w:space="0" w:color="auto"/>
                <w:left w:val="none" w:sz="0" w:space="0" w:color="auto"/>
                <w:bottom w:val="none" w:sz="0" w:space="0" w:color="auto"/>
                <w:right w:val="none" w:sz="0" w:space="0" w:color="auto"/>
              </w:divBdr>
              <w:divsChild>
                <w:div w:id="32717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61401">
      <w:bodyDiv w:val="1"/>
      <w:marLeft w:val="0"/>
      <w:marRight w:val="0"/>
      <w:marTop w:val="0"/>
      <w:marBottom w:val="0"/>
      <w:divBdr>
        <w:top w:val="none" w:sz="0" w:space="0" w:color="auto"/>
        <w:left w:val="none" w:sz="0" w:space="0" w:color="auto"/>
        <w:bottom w:val="none" w:sz="0" w:space="0" w:color="auto"/>
        <w:right w:val="none" w:sz="0" w:space="0" w:color="auto"/>
      </w:divBdr>
      <w:divsChild>
        <w:div w:id="1156799001">
          <w:marLeft w:val="0"/>
          <w:marRight w:val="0"/>
          <w:marTop w:val="0"/>
          <w:marBottom w:val="0"/>
          <w:divBdr>
            <w:top w:val="none" w:sz="0" w:space="0" w:color="auto"/>
            <w:left w:val="none" w:sz="0" w:space="0" w:color="auto"/>
            <w:bottom w:val="none" w:sz="0" w:space="0" w:color="auto"/>
            <w:right w:val="none" w:sz="0" w:space="0" w:color="auto"/>
          </w:divBdr>
          <w:divsChild>
            <w:div w:id="1605378299">
              <w:marLeft w:val="0"/>
              <w:marRight w:val="0"/>
              <w:marTop w:val="0"/>
              <w:marBottom w:val="0"/>
              <w:divBdr>
                <w:top w:val="none" w:sz="0" w:space="0" w:color="auto"/>
                <w:left w:val="none" w:sz="0" w:space="0" w:color="auto"/>
                <w:bottom w:val="none" w:sz="0" w:space="0" w:color="auto"/>
                <w:right w:val="none" w:sz="0" w:space="0" w:color="auto"/>
              </w:divBdr>
              <w:divsChild>
                <w:div w:id="1548419925">
                  <w:marLeft w:val="0"/>
                  <w:marRight w:val="0"/>
                  <w:marTop w:val="0"/>
                  <w:marBottom w:val="0"/>
                  <w:divBdr>
                    <w:top w:val="none" w:sz="0" w:space="0" w:color="auto"/>
                    <w:left w:val="none" w:sz="0" w:space="0" w:color="auto"/>
                    <w:bottom w:val="none" w:sz="0" w:space="0" w:color="auto"/>
                    <w:right w:val="none" w:sz="0" w:space="0" w:color="auto"/>
                  </w:divBdr>
                  <w:divsChild>
                    <w:div w:id="9354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769024">
      <w:bodyDiv w:val="1"/>
      <w:marLeft w:val="0"/>
      <w:marRight w:val="0"/>
      <w:marTop w:val="0"/>
      <w:marBottom w:val="0"/>
      <w:divBdr>
        <w:top w:val="none" w:sz="0" w:space="0" w:color="auto"/>
        <w:left w:val="none" w:sz="0" w:space="0" w:color="auto"/>
        <w:bottom w:val="none" w:sz="0" w:space="0" w:color="auto"/>
        <w:right w:val="none" w:sz="0" w:space="0" w:color="auto"/>
      </w:divBdr>
    </w:div>
    <w:div w:id="531378036">
      <w:bodyDiv w:val="1"/>
      <w:marLeft w:val="0"/>
      <w:marRight w:val="0"/>
      <w:marTop w:val="0"/>
      <w:marBottom w:val="0"/>
      <w:divBdr>
        <w:top w:val="none" w:sz="0" w:space="0" w:color="auto"/>
        <w:left w:val="none" w:sz="0" w:space="0" w:color="auto"/>
        <w:bottom w:val="none" w:sz="0" w:space="0" w:color="auto"/>
        <w:right w:val="none" w:sz="0" w:space="0" w:color="auto"/>
      </w:divBdr>
      <w:divsChild>
        <w:div w:id="1479565453">
          <w:marLeft w:val="0"/>
          <w:marRight w:val="0"/>
          <w:marTop w:val="0"/>
          <w:marBottom w:val="0"/>
          <w:divBdr>
            <w:top w:val="none" w:sz="0" w:space="0" w:color="auto"/>
            <w:left w:val="none" w:sz="0" w:space="0" w:color="auto"/>
            <w:bottom w:val="none" w:sz="0" w:space="0" w:color="auto"/>
            <w:right w:val="none" w:sz="0" w:space="0" w:color="auto"/>
          </w:divBdr>
          <w:divsChild>
            <w:div w:id="1577671765">
              <w:marLeft w:val="0"/>
              <w:marRight w:val="0"/>
              <w:marTop w:val="0"/>
              <w:marBottom w:val="0"/>
              <w:divBdr>
                <w:top w:val="none" w:sz="0" w:space="0" w:color="auto"/>
                <w:left w:val="none" w:sz="0" w:space="0" w:color="auto"/>
                <w:bottom w:val="none" w:sz="0" w:space="0" w:color="auto"/>
                <w:right w:val="none" w:sz="0" w:space="0" w:color="auto"/>
              </w:divBdr>
              <w:divsChild>
                <w:div w:id="24118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97296">
      <w:bodyDiv w:val="1"/>
      <w:marLeft w:val="0"/>
      <w:marRight w:val="0"/>
      <w:marTop w:val="0"/>
      <w:marBottom w:val="0"/>
      <w:divBdr>
        <w:top w:val="none" w:sz="0" w:space="0" w:color="auto"/>
        <w:left w:val="none" w:sz="0" w:space="0" w:color="auto"/>
        <w:bottom w:val="none" w:sz="0" w:space="0" w:color="auto"/>
        <w:right w:val="none" w:sz="0" w:space="0" w:color="auto"/>
      </w:divBdr>
      <w:divsChild>
        <w:div w:id="868834441">
          <w:marLeft w:val="0"/>
          <w:marRight w:val="0"/>
          <w:marTop w:val="0"/>
          <w:marBottom w:val="0"/>
          <w:divBdr>
            <w:top w:val="none" w:sz="0" w:space="0" w:color="auto"/>
            <w:left w:val="none" w:sz="0" w:space="0" w:color="auto"/>
            <w:bottom w:val="none" w:sz="0" w:space="0" w:color="auto"/>
            <w:right w:val="none" w:sz="0" w:space="0" w:color="auto"/>
          </w:divBdr>
          <w:divsChild>
            <w:div w:id="90518570">
              <w:marLeft w:val="0"/>
              <w:marRight w:val="0"/>
              <w:marTop w:val="0"/>
              <w:marBottom w:val="0"/>
              <w:divBdr>
                <w:top w:val="none" w:sz="0" w:space="0" w:color="auto"/>
                <w:left w:val="none" w:sz="0" w:space="0" w:color="auto"/>
                <w:bottom w:val="none" w:sz="0" w:space="0" w:color="auto"/>
                <w:right w:val="none" w:sz="0" w:space="0" w:color="auto"/>
              </w:divBdr>
              <w:divsChild>
                <w:div w:id="10686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955402">
      <w:bodyDiv w:val="1"/>
      <w:marLeft w:val="0"/>
      <w:marRight w:val="0"/>
      <w:marTop w:val="0"/>
      <w:marBottom w:val="0"/>
      <w:divBdr>
        <w:top w:val="none" w:sz="0" w:space="0" w:color="auto"/>
        <w:left w:val="none" w:sz="0" w:space="0" w:color="auto"/>
        <w:bottom w:val="none" w:sz="0" w:space="0" w:color="auto"/>
        <w:right w:val="none" w:sz="0" w:space="0" w:color="auto"/>
      </w:divBdr>
      <w:divsChild>
        <w:div w:id="754592702">
          <w:marLeft w:val="0"/>
          <w:marRight w:val="0"/>
          <w:marTop w:val="0"/>
          <w:marBottom w:val="0"/>
          <w:divBdr>
            <w:top w:val="none" w:sz="0" w:space="0" w:color="auto"/>
            <w:left w:val="none" w:sz="0" w:space="0" w:color="auto"/>
            <w:bottom w:val="none" w:sz="0" w:space="0" w:color="auto"/>
            <w:right w:val="none" w:sz="0" w:space="0" w:color="auto"/>
          </w:divBdr>
          <w:divsChild>
            <w:div w:id="587084177">
              <w:marLeft w:val="0"/>
              <w:marRight w:val="0"/>
              <w:marTop w:val="0"/>
              <w:marBottom w:val="0"/>
              <w:divBdr>
                <w:top w:val="none" w:sz="0" w:space="0" w:color="auto"/>
                <w:left w:val="none" w:sz="0" w:space="0" w:color="auto"/>
                <w:bottom w:val="none" w:sz="0" w:space="0" w:color="auto"/>
                <w:right w:val="none" w:sz="0" w:space="0" w:color="auto"/>
              </w:divBdr>
              <w:divsChild>
                <w:div w:id="1108966403">
                  <w:marLeft w:val="0"/>
                  <w:marRight w:val="0"/>
                  <w:marTop w:val="0"/>
                  <w:marBottom w:val="0"/>
                  <w:divBdr>
                    <w:top w:val="none" w:sz="0" w:space="0" w:color="auto"/>
                    <w:left w:val="none" w:sz="0" w:space="0" w:color="auto"/>
                    <w:bottom w:val="none" w:sz="0" w:space="0" w:color="auto"/>
                    <w:right w:val="none" w:sz="0" w:space="0" w:color="auto"/>
                  </w:divBdr>
                  <w:divsChild>
                    <w:div w:id="108915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537831">
      <w:bodyDiv w:val="1"/>
      <w:marLeft w:val="0"/>
      <w:marRight w:val="0"/>
      <w:marTop w:val="0"/>
      <w:marBottom w:val="0"/>
      <w:divBdr>
        <w:top w:val="none" w:sz="0" w:space="0" w:color="auto"/>
        <w:left w:val="none" w:sz="0" w:space="0" w:color="auto"/>
        <w:bottom w:val="none" w:sz="0" w:space="0" w:color="auto"/>
        <w:right w:val="none" w:sz="0" w:space="0" w:color="auto"/>
      </w:divBdr>
      <w:divsChild>
        <w:div w:id="909390563">
          <w:marLeft w:val="0"/>
          <w:marRight w:val="0"/>
          <w:marTop w:val="0"/>
          <w:marBottom w:val="0"/>
          <w:divBdr>
            <w:top w:val="none" w:sz="0" w:space="0" w:color="auto"/>
            <w:left w:val="none" w:sz="0" w:space="0" w:color="auto"/>
            <w:bottom w:val="none" w:sz="0" w:space="0" w:color="auto"/>
            <w:right w:val="none" w:sz="0" w:space="0" w:color="auto"/>
          </w:divBdr>
          <w:divsChild>
            <w:div w:id="815494390">
              <w:marLeft w:val="0"/>
              <w:marRight w:val="0"/>
              <w:marTop w:val="0"/>
              <w:marBottom w:val="0"/>
              <w:divBdr>
                <w:top w:val="none" w:sz="0" w:space="0" w:color="auto"/>
                <w:left w:val="none" w:sz="0" w:space="0" w:color="auto"/>
                <w:bottom w:val="none" w:sz="0" w:space="0" w:color="auto"/>
                <w:right w:val="none" w:sz="0" w:space="0" w:color="auto"/>
              </w:divBdr>
              <w:divsChild>
                <w:div w:id="6157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377574">
      <w:bodyDiv w:val="1"/>
      <w:marLeft w:val="0"/>
      <w:marRight w:val="0"/>
      <w:marTop w:val="0"/>
      <w:marBottom w:val="0"/>
      <w:divBdr>
        <w:top w:val="none" w:sz="0" w:space="0" w:color="auto"/>
        <w:left w:val="none" w:sz="0" w:space="0" w:color="auto"/>
        <w:bottom w:val="none" w:sz="0" w:space="0" w:color="auto"/>
        <w:right w:val="none" w:sz="0" w:space="0" w:color="auto"/>
      </w:divBdr>
    </w:div>
    <w:div w:id="1273627303">
      <w:bodyDiv w:val="1"/>
      <w:marLeft w:val="0"/>
      <w:marRight w:val="0"/>
      <w:marTop w:val="0"/>
      <w:marBottom w:val="0"/>
      <w:divBdr>
        <w:top w:val="none" w:sz="0" w:space="0" w:color="auto"/>
        <w:left w:val="none" w:sz="0" w:space="0" w:color="auto"/>
        <w:bottom w:val="none" w:sz="0" w:space="0" w:color="auto"/>
        <w:right w:val="none" w:sz="0" w:space="0" w:color="auto"/>
      </w:divBdr>
      <w:divsChild>
        <w:div w:id="374742300">
          <w:marLeft w:val="0"/>
          <w:marRight w:val="0"/>
          <w:marTop w:val="0"/>
          <w:marBottom w:val="0"/>
          <w:divBdr>
            <w:top w:val="none" w:sz="0" w:space="0" w:color="auto"/>
            <w:left w:val="none" w:sz="0" w:space="0" w:color="auto"/>
            <w:bottom w:val="none" w:sz="0" w:space="0" w:color="auto"/>
            <w:right w:val="none" w:sz="0" w:space="0" w:color="auto"/>
          </w:divBdr>
          <w:divsChild>
            <w:div w:id="1947887390">
              <w:marLeft w:val="0"/>
              <w:marRight w:val="0"/>
              <w:marTop w:val="0"/>
              <w:marBottom w:val="0"/>
              <w:divBdr>
                <w:top w:val="none" w:sz="0" w:space="0" w:color="auto"/>
                <w:left w:val="none" w:sz="0" w:space="0" w:color="auto"/>
                <w:bottom w:val="none" w:sz="0" w:space="0" w:color="auto"/>
                <w:right w:val="none" w:sz="0" w:space="0" w:color="auto"/>
              </w:divBdr>
              <w:divsChild>
                <w:div w:id="9489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95657">
      <w:bodyDiv w:val="1"/>
      <w:marLeft w:val="0"/>
      <w:marRight w:val="0"/>
      <w:marTop w:val="0"/>
      <w:marBottom w:val="0"/>
      <w:divBdr>
        <w:top w:val="none" w:sz="0" w:space="0" w:color="auto"/>
        <w:left w:val="none" w:sz="0" w:space="0" w:color="auto"/>
        <w:bottom w:val="none" w:sz="0" w:space="0" w:color="auto"/>
        <w:right w:val="none" w:sz="0" w:space="0" w:color="auto"/>
      </w:divBdr>
      <w:divsChild>
        <w:div w:id="542404418">
          <w:marLeft w:val="0"/>
          <w:marRight w:val="0"/>
          <w:marTop w:val="0"/>
          <w:marBottom w:val="0"/>
          <w:divBdr>
            <w:top w:val="none" w:sz="0" w:space="0" w:color="auto"/>
            <w:left w:val="none" w:sz="0" w:space="0" w:color="auto"/>
            <w:bottom w:val="none" w:sz="0" w:space="0" w:color="auto"/>
            <w:right w:val="none" w:sz="0" w:space="0" w:color="auto"/>
          </w:divBdr>
          <w:divsChild>
            <w:div w:id="1534659482">
              <w:marLeft w:val="0"/>
              <w:marRight w:val="0"/>
              <w:marTop w:val="0"/>
              <w:marBottom w:val="0"/>
              <w:divBdr>
                <w:top w:val="none" w:sz="0" w:space="0" w:color="auto"/>
                <w:left w:val="none" w:sz="0" w:space="0" w:color="auto"/>
                <w:bottom w:val="none" w:sz="0" w:space="0" w:color="auto"/>
                <w:right w:val="none" w:sz="0" w:space="0" w:color="auto"/>
              </w:divBdr>
              <w:divsChild>
                <w:div w:id="23948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840620">
      <w:bodyDiv w:val="1"/>
      <w:marLeft w:val="0"/>
      <w:marRight w:val="0"/>
      <w:marTop w:val="0"/>
      <w:marBottom w:val="0"/>
      <w:divBdr>
        <w:top w:val="none" w:sz="0" w:space="0" w:color="auto"/>
        <w:left w:val="none" w:sz="0" w:space="0" w:color="auto"/>
        <w:bottom w:val="none" w:sz="0" w:space="0" w:color="auto"/>
        <w:right w:val="none" w:sz="0" w:space="0" w:color="auto"/>
      </w:divBdr>
      <w:divsChild>
        <w:div w:id="265188048">
          <w:marLeft w:val="0"/>
          <w:marRight w:val="0"/>
          <w:marTop w:val="0"/>
          <w:marBottom w:val="0"/>
          <w:divBdr>
            <w:top w:val="none" w:sz="0" w:space="0" w:color="auto"/>
            <w:left w:val="none" w:sz="0" w:space="0" w:color="auto"/>
            <w:bottom w:val="none" w:sz="0" w:space="0" w:color="auto"/>
            <w:right w:val="none" w:sz="0" w:space="0" w:color="auto"/>
          </w:divBdr>
          <w:divsChild>
            <w:div w:id="854655023">
              <w:marLeft w:val="0"/>
              <w:marRight w:val="0"/>
              <w:marTop w:val="0"/>
              <w:marBottom w:val="0"/>
              <w:divBdr>
                <w:top w:val="none" w:sz="0" w:space="0" w:color="auto"/>
                <w:left w:val="none" w:sz="0" w:space="0" w:color="auto"/>
                <w:bottom w:val="none" w:sz="0" w:space="0" w:color="auto"/>
                <w:right w:val="none" w:sz="0" w:space="0" w:color="auto"/>
              </w:divBdr>
              <w:divsChild>
                <w:div w:id="8076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708824">
      <w:bodyDiv w:val="1"/>
      <w:marLeft w:val="0"/>
      <w:marRight w:val="0"/>
      <w:marTop w:val="0"/>
      <w:marBottom w:val="0"/>
      <w:divBdr>
        <w:top w:val="none" w:sz="0" w:space="0" w:color="auto"/>
        <w:left w:val="none" w:sz="0" w:space="0" w:color="auto"/>
        <w:bottom w:val="none" w:sz="0" w:space="0" w:color="auto"/>
        <w:right w:val="none" w:sz="0" w:space="0" w:color="auto"/>
      </w:divBdr>
      <w:divsChild>
        <w:div w:id="1425151286">
          <w:marLeft w:val="0"/>
          <w:marRight w:val="0"/>
          <w:marTop w:val="0"/>
          <w:marBottom w:val="0"/>
          <w:divBdr>
            <w:top w:val="none" w:sz="0" w:space="0" w:color="auto"/>
            <w:left w:val="none" w:sz="0" w:space="0" w:color="auto"/>
            <w:bottom w:val="none" w:sz="0" w:space="0" w:color="auto"/>
            <w:right w:val="none" w:sz="0" w:space="0" w:color="auto"/>
          </w:divBdr>
          <w:divsChild>
            <w:div w:id="1693654117">
              <w:marLeft w:val="0"/>
              <w:marRight w:val="0"/>
              <w:marTop w:val="0"/>
              <w:marBottom w:val="0"/>
              <w:divBdr>
                <w:top w:val="none" w:sz="0" w:space="0" w:color="auto"/>
                <w:left w:val="none" w:sz="0" w:space="0" w:color="auto"/>
                <w:bottom w:val="none" w:sz="0" w:space="0" w:color="auto"/>
                <w:right w:val="none" w:sz="0" w:space="0" w:color="auto"/>
              </w:divBdr>
              <w:divsChild>
                <w:div w:id="96528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94499">
      <w:bodyDiv w:val="1"/>
      <w:marLeft w:val="0"/>
      <w:marRight w:val="0"/>
      <w:marTop w:val="0"/>
      <w:marBottom w:val="0"/>
      <w:divBdr>
        <w:top w:val="none" w:sz="0" w:space="0" w:color="auto"/>
        <w:left w:val="none" w:sz="0" w:space="0" w:color="auto"/>
        <w:bottom w:val="none" w:sz="0" w:space="0" w:color="auto"/>
        <w:right w:val="none" w:sz="0" w:space="0" w:color="auto"/>
      </w:divBdr>
      <w:divsChild>
        <w:div w:id="1321344034">
          <w:marLeft w:val="0"/>
          <w:marRight w:val="0"/>
          <w:marTop w:val="0"/>
          <w:marBottom w:val="0"/>
          <w:divBdr>
            <w:top w:val="none" w:sz="0" w:space="0" w:color="auto"/>
            <w:left w:val="none" w:sz="0" w:space="0" w:color="auto"/>
            <w:bottom w:val="none" w:sz="0" w:space="0" w:color="auto"/>
            <w:right w:val="none" w:sz="0" w:space="0" w:color="auto"/>
          </w:divBdr>
          <w:divsChild>
            <w:div w:id="2007125590">
              <w:marLeft w:val="0"/>
              <w:marRight w:val="0"/>
              <w:marTop w:val="0"/>
              <w:marBottom w:val="0"/>
              <w:divBdr>
                <w:top w:val="none" w:sz="0" w:space="0" w:color="auto"/>
                <w:left w:val="none" w:sz="0" w:space="0" w:color="auto"/>
                <w:bottom w:val="none" w:sz="0" w:space="0" w:color="auto"/>
                <w:right w:val="none" w:sz="0" w:space="0" w:color="auto"/>
              </w:divBdr>
              <w:divsChild>
                <w:div w:id="69724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137822">
      <w:bodyDiv w:val="1"/>
      <w:marLeft w:val="0"/>
      <w:marRight w:val="0"/>
      <w:marTop w:val="0"/>
      <w:marBottom w:val="0"/>
      <w:divBdr>
        <w:top w:val="none" w:sz="0" w:space="0" w:color="auto"/>
        <w:left w:val="none" w:sz="0" w:space="0" w:color="auto"/>
        <w:bottom w:val="none" w:sz="0" w:space="0" w:color="auto"/>
        <w:right w:val="none" w:sz="0" w:space="0" w:color="auto"/>
      </w:divBdr>
      <w:divsChild>
        <w:div w:id="1012148816">
          <w:marLeft w:val="0"/>
          <w:marRight w:val="0"/>
          <w:marTop w:val="0"/>
          <w:marBottom w:val="0"/>
          <w:divBdr>
            <w:top w:val="none" w:sz="0" w:space="0" w:color="auto"/>
            <w:left w:val="none" w:sz="0" w:space="0" w:color="auto"/>
            <w:bottom w:val="none" w:sz="0" w:space="0" w:color="auto"/>
            <w:right w:val="none" w:sz="0" w:space="0" w:color="auto"/>
          </w:divBdr>
          <w:divsChild>
            <w:div w:id="1945720686">
              <w:marLeft w:val="0"/>
              <w:marRight w:val="0"/>
              <w:marTop w:val="0"/>
              <w:marBottom w:val="0"/>
              <w:divBdr>
                <w:top w:val="none" w:sz="0" w:space="0" w:color="auto"/>
                <w:left w:val="none" w:sz="0" w:space="0" w:color="auto"/>
                <w:bottom w:val="none" w:sz="0" w:space="0" w:color="auto"/>
                <w:right w:val="none" w:sz="0" w:space="0" w:color="auto"/>
              </w:divBdr>
              <w:divsChild>
                <w:div w:id="188220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006891">
      <w:bodyDiv w:val="1"/>
      <w:marLeft w:val="0"/>
      <w:marRight w:val="0"/>
      <w:marTop w:val="0"/>
      <w:marBottom w:val="0"/>
      <w:divBdr>
        <w:top w:val="none" w:sz="0" w:space="0" w:color="auto"/>
        <w:left w:val="none" w:sz="0" w:space="0" w:color="auto"/>
        <w:bottom w:val="none" w:sz="0" w:space="0" w:color="auto"/>
        <w:right w:val="none" w:sz="0" w:space="0" w:color="auto"/>
      </w:divBdr>
    </w:div>
    <w:div w:id="1819879095">
      <w:bodyDiv w:val="1"/>
      <w:marLeft w:val="0"/>
      <w:marRight w:val="0"/>
      <w:marTop w:val="0"/>
      <w:marBottom w:val="0"/>
      <w:divBdr>
        <w:top w:val="none" w:sz="0" w:space="0" w:color="auto"/>
        <w:left w:val="none" w:sz="0" w:space="0" w:color="auto"/>
        <w:bottom w:val="none" w:sz="0" w:space="0" w:color="auto"/>
        <w:right w:val="none" w:sz="0" w:space="0" w:color="auto"/>
      </w:divBdr>
      <w:divsChild>
        <w:div w:id="203517459">
          <w:marLeft w:val="0"/>
          <w:marRight w:val="0"/>
          <w:marTop w:val="0"/>
          <w:marBottom w:val="0"/>
          <w:divBdr>
            <w:top w:val="none" w:sz="0" w:space="0" w:color="auto"/>
            <w:left w:val="none" w:sz="0" w:space="0" w:color="auto"/>
            <w:bottom w:val="none" w:sz="0" w:space="0" w:color="auto"/>
            <w:right w:val="none" w:sz="0" w:space="0" w:color="auto"/>
          </w:divBdr>
          <w:divsChild>
            <w:div w:id="503596501">
              <w:marLeft w:val="0"/>
              <w:marRight w:val="0"/>
              <w:marTop w:val="0"/>
              <w:marBottom w:val="0"/>
              <w:divBdr>
                <w:top w:val="none" w:sz="0" w:space="0" w:color="auto"/>
                <w:left w:val="none" w:sz="0" w:space="0" w:color="auto"/>
                <w:bottom w:val="none" w:sz="0" w:space="0" w:color="auto"/>
                <w:right w:val="none" w:sz="0" w:space="0" w:color="auto"/>
              </w:divBdr>
              <w:divsChild>
                <w:div w:id="14281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538279">
      <w:bodyDiv w:val="1"/>
      <w:marLeft w:val="0"/>
      <w:marRight w:val="0"/>
      <w:marTop w:val="0"/>
      <w:marBottom w:val="0"/>
      <w:divBdr>
        <w:top w:val="none" w:sz="0" w:space="0" w:color="auto"/>
        <w:left w:val="none" w:sz="0" w:space="0" w:color="auto"/>
        <w:bottom w:val="none" w:sz="0" w:space="0" w:color="auto"/>
        <w:right w:val="none" w:sz="0" w:space="0" w:color="auto"/>
      </w:divBdr>
      <w:divsChild>
        <w:div w:id="579490177">
          <w:marLeft w:val="0"/>
          <w:marRight w:val="0"/>
          <w:marTop w:val="0"/>
          <w:marBottom w:val="0"/>
          <w:divBdr>
            <w:top w:val="none" w:sz="0" w:space="0" w:color="auto"/>
            <w:left w:val="none" w:sz="0" w:space="0" w:color="auto"/>
            <w:bottom w:val="none" w:sz="0" w:space="0" w:color="auto"/>
            <w:right w:val="none" w:sz="0" w:space="0" w:color="auto"/>
          </w:divBdr>
          <w:divsChild>
            <w:div w:id="1454054900">
              <w:marLeft w:val="0"/>
              <w:marRight w:val="0"/>
              <w:marTop w:val="0"/>
              <w:marBottom w:val="0"/>
              <w:divBdr>
                <w:top w:val="none" w:sz="0" w:space="0" w:color="auto"/>
                <w:left w:val="none" w:sz="0" w:space="0" w:color="auto"/>
                <w:bottom w:val="none" w:sz="0" w:space="0" w:color="auto"/>
                <w:right w:val="none" w:sz="0" w:space="0" w:color="auto"/>
              </w:divBdr>
              <w:divsChild>
                <w:div w:id="175408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367945">
      <w:bodyDiv w:val="1"/>
      <w:marLeft w:val="0"/>
      <w:marRight w:val="0"/>
      <w:marTop w:val="0"/>
      <w:marBottom w:val="0"/>
      <w:divBdr>
        <w:top w:val="none" w:sz="0" w:space="0" w:color="auto"/>
        <w:left w:val="none" w:sz="0" w:space="0" w:color="auto"/>
        <w:bottom w:val="none" w:sz="0" w:space="0" w:color="auto"/>
        <w:right w:val="none" w:sz="0" w:space="0" w:color="auto"/>
      </w:divBdr>
    </w:div>
    <w:div w:id="205292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1.xml"/><Relationship Id="rId12" Type="http://schemas.openxmlformats.org/officeDocument/2006/relationships/chart" Target="charts/chart2.xml"/><Relationship Id="rId13" Type="http://schemas.openxmlformats.org/officeDocument/2006/relationships/chart" Target="charts/chart3.xml"/><Relationship Id="rId14" Type="http://schemas.openxmlformats.org/officeDocument/2006/relationships/image" Target="media/image5.png"/><Relationship Id="rId15" Type="http://schemas.openxmlformats.org/officeDocument/2006/relationships/hyperlink" Target="https://doi.org/10.1038/s41422-020-%200282-0"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image" Target="media/image3.emf"/><Relationship Id="rId10" Type="http://schemas.openxmlformats.org/officeDocument/2006/relationships/image" Target="media/image4.emf"/></Relationships>
</file>

<file path=word/charts/_rels/chart1.xml.rels><?xml version="1.0" encoding="UTF-8" standalone="yes"?>
<Relationships xmlns="http://schemas.openxmlformats.org/package/2006/relationships"><Relationship Id="rId1" Type="http://schemas.openxmlformats.org/officeDocument/2006/relationships/oleObject" Target="file:///\\Users\marcayersmacbook\Desktop\RM5071\RM5071%20BA%20Study%20Report\5071%20PK%20copy.xlsx" TargetMode="External"/><Relationship Id="rId2" Type="http://schemas.microsoft.com/office/2011/relationships/chartStyle" Target="style1.xml"/><Relationship Id="rId3" Type="http://schemas.microsoft.com/office/2011/relationships/chartColorStyle" Target="colors1.xml"/></Relationships>
</file>

<file path=word/charts/_rels/chart2.xml.rels><?xml version="1.0" encoding="UTF-8" standalone="yes"?>
<Relationships xmlns="http://schemas.openxmlformats.org/package/2006/relationships"><Relationship Id="rId1" Type="http://schemas.openxmlformats.org/officeDocument/2006/relationships/oleObject" Target="file:///\\Users\marcayersmacbook\Desktop\RM5071\RM5071%20BA%20Study%20Report\5071%20PK%20copy.xlsx" TargetMode="External"/><Relationship Id="rId2" Type="http://schemas.microsoft.com/office/2011/relationships/chartStyle" Target="style2.xml"/><Relationship Id="rId3" Type="http://schemas.microsoft.com/office/2011/relationships/chartColorStyle" Target="colors2.xml"/></Relationships>
</file>

<file path=word/charts/_rels/chart3.xml.rels><?xml version="1.0" encoding="UTF-8" standalone="yes"?>
<Relationships xmlns="http://schemas.openxmlformats.org/package/2006/relationships"><Relationship Id="rId1" Type="http://schemas.openxmlformats.org/officeDocument/2006/relationships/oleObject" Target="file:///\\Users\marcayersmacbook\Desktop\RM5071\RM5071%20BA%20Study%20Report\5071%20PK%20copy.xlsx" TargetMode="External"/><Relationship Id="rId2" Type="http://schemas.microsoft.com/office/2011/relationships/chartStyle" Target="style3.xml"/><Relationship Id="rId3" Type="http://schemas.microsoft.com/office/2011/relationships/chartColorStyle" Target="colors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scatterChart>
        <c:scatterStyle val="lineMarker"/>
        <c:ser>
          <c:idx val="0"/>
          <c:order val="0"/>
          <c:tx>
            <c:strRef>
              <c:f>Sheet1!$P$5</c:f>
              <c:strCache>
                <c:ptCount val="1"/>
                <c:pt idx="0">
                  <c:v>RM-5071</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Sheet1!$Q$4:$Y$4</c:f>
              <c:numCache>
                <c:formatCode>@</c:formatCode>
                <c:ptCount val="9"/>
                <c:pt idx="0" formatCode="General">
                  <c:v>0.0</c:v>
                </c:pt>
                <c:pt idx="1">
                  <c:v>0.083</c:v>
                </c:pt>
                <c:pt idx="2">
                  <c:v>0.167</c:v>
                </c:pt>
                <c:pt idx="3">
                  <c:v>0.25</c:v>
                </c:pt>
                <c:pt idx="4">
                  <c:v>0.5</c:v>
                </c:pt>
                <c:pt idx="5">
                  <c:v>1.0</c:v>
                </c:pt>
                <c:pt idx="6">
                  <c:v>2.0</c:v>
                </c:pt>
                <c:pt idx="7">
                  <c:v>6.0</c:v>
                </c:pt>
                <c:pt idx="8">
                  <c:v>12.0</c:v>
                </c:pt>
              </c:numCache>
            </c:numRef>
          </c:xVal>
          <c:yVal>
            <c:numRef>
              <c:f>Sheet1!$Q$5:$Y$5</c:f>
              <c:numCache>
                <c:formatCode>General</c:formatCode>
                <c:ptCount val="9"/>
                <c:pt idx="0">
                  <c:v>0.0</c:v>
                </c:pt>
                <c:pt idx="1">
                  <c:v>4.675000000000001</c:v>
                </c:pt>
                <c:pt idx="2">
                  <c:v>2.593</c:v>
                </c:pt>
                <c:pt idx="3">
                  <c:v>1.5205</c:v>
                </c:pt>
                <c:pt idx="4">
                  <c:v>0.5375</c:v>
                </c:pt>
                <c:pt idx="5">
                  <c:v>0.48935</c:v>
                </c:pt>
                <c:pt idx="6">
                  <c:v>0.6578</c:v>
                </c:pt>
                <c:pt idx="7">
                  <c:v>0.0</c:v>
                </c:pt>
                <c:pt idx="8">
                  <c:v>0.0</c:v>
                </c:pt>
              </c:numCache>
            </c:numRef>
          </c:yVal>
          <c:extLst xmlns:c16r2="http://schemas.microsoft.com/office/drawing/2015/06/chart">
            <c:ext xmlns:c16="http://schemas.microsoft.com/office/drawing/2014/chart" uri="{C3380CC4-5D6E-409C-BE32-E72D297353CC}">
              <c16:uniqueId val="{00000000-D633-EF40-82B3-4FC4B1BAD088}"/>
            </c:ext>
          </c:extLst>
        </c:ser>
        <c:ser>
          <c:idx val="1"/>
          <c:order val="1"/>
          <c:tx>
            <c:strRef>
              <c:f>Sheet1!$P$6</c:f>
              <c:strCache>
                <c:ptCount val="1"/>
                <c:pt idx="0">
                  <c:v>RM-5072</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Sheet1!$Q$4:$Y$4</c:f>
              <c:numCache>
                <c:formatCode>@</c:formatCode>
                <c:ptCount val="9"/>
                <c:pt idx="0" formatCode="General">
                  <c:v>0.0</c:v>
                </c:pt>
                <c:pt idx="1">
                  <c:v>0.083</c:v>
                </c:pt>
                <c:pt idx="2">
                  <c:v>0.167</c:v>
                </c:pt>
                <c:pt idx="3">
                  <c:v>0.25</c:v>
                </c:pt>
                <c:pt idx="4">
                  <c:v>0.5</c:v>
                </c:pt>
                <c:pt idx="5">
                  <c:v>1.0</c:v>
                </c:pt>
                <c:pt idx="6">
                  <c:v>2.0</c:v>
                </c:pt>
                <c:pt idx="7">
                  <c:v>6.0</c:v>
                </c:pt>
                <c:pt idx="8">
                  <c:v>12.0</c:v>
                </c:pt>
              </c:numCache>
            </c:numRef>
          </c:xVal>
          <c:yVal>
            <c:numRef>
              <c:f>Sheet1!$Q$6:$Y$6</c:f>
              <c:numCache>
                <c:formatCode>General</c:formatCode>
                <c:ptCount val="9"/>
                <c:pt idx="0">
                  <c:v>0.0</c:v>
                </c:pt>
                <c:pt idx="1">
                  <c:v>3.0865</c:v>
                </c:pt>
                <c:pt idx="2">
                  <c:v>1.984</c:v>
                </c:pt>
                <c:pt idx="3">
                  <c:v>0.9571</c:v>
                </c:pt>
                <c:pt idx="4">
                  <c:v>0.2298</c:v>
                </c:pt>
                <c:pt idx="5">
                  <c:v>0.13975</c:v>
                </c:pt>
                <c:pt idx="6">
                  <c:v>0.1418</c:v>
                </c:pt>
                <c:pt idx="7">
                  <c:v>0.0</c:v>
                </c:pt>
                <c:pt idx="8">
                  <c:v>0.0</c:v>
                </c:pt>
              </c:numCache>
            </c:numRef>
          </c:yVal>
          <c:extLst xmlns:c16r2="http://schemas.microsoft.com/office/drawing/2015/06/chart">
            <c:ext xmlns:c16="http://schemas.microsoft.com/office/drawing/2014/chart" uri="{C3380CC4-5D6E-409C-BE32-E72D297353CC}">
              <c16:uniqueId val="{00000001-D633-EF40-82B3-4FC4B1BAD088}"/>
            </c:ext>
          </c:extLst>
        </c:ser>
        <c:ser>
          <c:idx val="2"/>
          <c:order val="2"/>
          <c:tx>
            <c:strRef>
              <c:f>Sheet1!$P$7</c:f>
              <c:strCache>
                <c:ptCount val="1"/>
                <c:pt idx="0">
                  <c:v>NTZ</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Sheet1!$Q$4:$Y$4</c:f>
              <c:numCache>
                <c:formatCode>@</c:formatCode>
                <c:ptCount val="9"/>
                <c:pt idx="0" formatCode="General">
                  <c:v>0.0</c:v>
                </c:pt>
                <c:pt idx="1">
                  <c:v>0.083</c:v>
                </c:pt>
                <c:pt idx="2">
                  <c:v>0.167</c:v>
                </c:pt>
                <c:pt idx="3">
                  <c:v>0.25</c:v>
                </c:pt>
                <c:pt idx="4">
                  <c:v>0.5</c:v>
                </c:pt>
                <c:pt idx="5">
                  <c:v>1.0</c:v>
                </c:pt>
                <c:pt idx="6">
                  <c:v>2.0</c:v>
                </c:pt>
                <c:pt idx="7">
                  <c:v>6.0</c:v>
                </c:pt>
                <c:pt idx="8">
                  <c:v>12.0</c:v>
                </c:pt>
              </c:numCache>
            </c:numRef>
          </c:xVal>
          <c:yVal>
            <c:numRef>
              <c:f>Sheet1!$Q$7:$Y$7</c:f>
              <c:numCache>
                <c:formatCode>General</c:formatCode>
                <c:ptCount val="9"/>
                <c:pt idx="0">
                  <c:v>0.0</c:v>
                </c:pt>
                <c:pt idx="1">
                  <c:v>0.22955</c:v>
                </c:pt>
                <c:pt idx="2">
                  <c:v>0.58495</c:v>
                </c:pt>
                <c:pt idx="3">
                  <c:v>0.74635</c:v>
                </c:pt>
                <c:pt idx="4">
                  <c:v>1.196</c:v>
                </c:pt>
                <c:pt idx="5">
                  <c:v>1.22285</c:v>
                </c:pt>
                <c:pt idx="6">
                  <c:v>1.7205</c:v>
                </c:pt>
                <c:pt idx="7">
                  <c:v>0.21835</c:v>
                </c:pt>
                <c:pt idx="8">
                  <c:v>0.0</c:v>
                </c:pt>
              </c:numCache>
            </c:numRef>
          </c:yVal>
          <c:extLst xmlns:c16r2="http://schemas.microsoft.com/office/drawing/2015/06/chart">
            <c:ext xmlns:c16="http://schemas.microsoft.com/office/drawing/2014/chart" uri="{C3380CC4-5D6E-409C-BE32-E72D297353CC}">
              <c16:uniqueId val="{00000002-D633-EF40-82B3-4FC4B1BAD088}"/>
            </c:ext>
          </c:extLst>
        </c:ser>
        <c:axId val="588432136"/>
        <c:axId val="588677464"/>
      </c:scatterChart>
      <c:valAx>
        <c:axId val="588432136"/>
        <c:scaling>
          <c:orientation val="minMax"/>
        </c:scaling>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lang="en-GB" sz="1200" b="0" i="0" u="none" strike="noStrike" kern="1200" baseline="0">
                    <a:solidFill>
                      <a:schemeClr val="tx1">
                        <a:lumMod val="65000"/>
                        <a:lumOff val="35000"/>
                      </a:schemeClr>
                    </a:solidFill>
                    <a:latin typeface="+mn-lt"/>
                    <a:ea typeface="+mn-ea"/>
                    <a:cs typeface="+mn-cs"/>
                  </a:defRPr>
                </a:pPr>
                <a:r>
                  <a:rPr lang="en-US" sz="1200"/>
                  <a:t>Hours post-dose</a:t>
                </a:r>
              </a:p>
            </c:rich>
          </c:tx>
          <c:spPr>
            <a:noFill/>
            <a:ln>
              <a:noFill/>
            </a:ln>
            <a:effectLst/>
          </c:spPr>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en-US"/>
          </a:p>
        </c:txPr>
        <c:crossAx val="588677464"/>
        <c:crosses val="autoZero"/>
        <c:crossBetween val="midCat"/>
      </c:valAx>
      <c:valAx>
        <c:axId val="588677464"/>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GB" sz="1200" b="0" i="0" u="none" strike="noStrike" kern="1200" baseline="0">
                    <a:solidFill>
                      <a:schemeClr val="tx1">
                        <a:lumMod val="65000"/>
                        <a:lumOff val="35000"/>
                      </a:schemeClr>
                    </a:solidFill>
                    <a:latin typeface="+mn-lt"/>
                    <a:ea typeface="+mn-ea"/>
                    <a:cs typeface="+mn-cs"/>
                  </a:defRPr>
                </a:pPr>
                <a:r>
                  <a:rPr lang="en-US" sz="1200"/>
                  <a:t>µg/mL</a:t>
                </a:r>
              </a:p>
            </c:rich>
          </c:tx>
          <c:spPr>
            <a:noFill/>
            <a:ln>
              <a:noFill/>
            </a:ln>
            <a:effectLst/>
          </c:spPr>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en-US"/>
          </a:p>
        </c:txPr>
        <c:crossAx val="588432136"/>
        <c:crosses val="autoZero"/>
        <c:crossBetween val="midCat"/>
      </c:valAx>
      <c:spPr>
        <a:noFill/>
        <a:ln>
          <a:noFill/>
        </a:ln>
        <a:effectLst/>
      </c:spPr>
    </c:plotArea>
    <c:legend>
      <c:legendPos val="b"/>
      <c:spPr>
        <a:noFill/>
        <a:ln>
          <a:noFill/>
        </a:ln>
        <a:effectLst/>
      </c:spPr>
      <c:txPr>
        <a:bodyPr rot="0" spcFirstLastPara="1" vertOverflow="ellipsis" vert="horz" wrap="square" anchor="ctr" anchorCtr="1"/>
        <a:lstStyle/>
        <a:p>
          <a:pPr>
            <a:defRPr lang="en-GB"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style val="2"/>
  <c:chart>
    <c:autoTitleDeleted val="1"/>
    <c:plotArea>
      <c:layout/>
      <c:scatterChart>
        <c:scatterStyle val="lineMarker"/>
        <c:ser>
          <c:idx val="0"/>
          <c:order val="0"/>
          <c:tx>
            <c:strRef>
              <c:f>Sheet1!$P$56</c:f>
              <c:strCache>
                <c:ptCount val="1"/>
                <c:pt idx="0">
                  <c:v>RM-5071</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Sheet1!$Q$55:$Y$55</c:f>
              <c:numCache>
                <c:formatCode>@</c:formatCode>
                <c:ptCount val="9"/>
                <c:pt idx="0" formatCode="General">
                  <c:v>0.0</c:v>
                </c:pt>
                <c:pt idx="1">
                  <c:v>0.083</c:v>
                </c:pt>
                <c:pt idx="2">
                  <c:v>0.167</c:v>
                </c:pt>
                <c:pt idx="3">
                  <c:v>0.25</c:v>
                </c:pt>
                <c:pt idx="4">
                  <c:v>0.5</c:v>
                </c:pt>
                <c:pt idx="5">
                  <c:v>1.0</c:v>
                </c:pt>
                <c:pt idx="6">
                  <c:v>2.0</c:v>
                </c:pt>
                <c:pt idx="7">
                  <c:v>6.0</c:v>
                </c:pt>
                <c:pt idx="8">
                  <c:v>12.0</c:v>
                </c:pt>
              </c:numCache>
            </c:numRef>
          </c:xVal>
          <c:yVal>
            <c:numRef>
              <c:f>Sheet1!$Q$56:$Y$56</c:f>
              <c:numCache>
                <c:formatCode>General</c:formatCode>
                <c:ptCount val="9"/>
                <c:pt idx="0">
                  <c:v>0.0</c:v>
                </c:pt>
                <c:pt idx="1">
                  <c:v>7.345000000000001</c:v>
                </c:pt>
                <c:pt idx="2">
                  <c:v>13.86</c:v>
                </c:pt>
                <c:pt idx="3">
                  <c:v>13.175</c:v>
                </c:pt>
                <c:pt idx="4">
                  <c:v>11.065</c:v>
                </c:pt>
                <c:pt idx="5">
                  <c:v>7.390499999999998</c:v>
                </c:pt>
                <c:pt idx="6">
                  <c:v>6.224499999999995</c:v>
                </c:pt>
                <c:pt idx="7">
                  <c:v>0.1339</c:v>
                </c:pt>
                <c:pt idx="8">
                  <c:v>0.0</c:v>
                </c:pt>
              </c:numCache>
            </c:numRef>
          </c:yVal>
          <c:extLst xmlns:c16r2="http://schemas.microsoft.com/office/drawing/2015/06/chart">
            <c:ext xmlns:c16="http://schemas.microsoft.com/office/drawing/2014/chart" uri="{C3380CC4-5D6E-409C-BE32-E72D297353CC}">
              <c16:uniqueId val="{00000000-ECA4-2144-A247-496D55AC5B38}"/>
            </c:ext>
          </c:extLst>
        </c:ser>
        <c:ser>
          <c:idx val="1"/>
          <c:order val="1"/>
          <c:tx>
            <c:strRef>
              <c:f>Sheet1!$P$57</c:f>
              <c:strCache>
                <c:ptCount val="1"/>
                <c:pt idx="0">
                  <c:v>RM-5072</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Sheet1!$Q$55:$Y$55</c:f>
              <c:numCache>
                <c:formatCode>@</c:formatCode>
                <c:ptCount val="9"/>
                <c:pt idx="0" formatCode="General">
                  <c:v>0.0</c:v>
                </c:pt>
                <c:pt idx="1">
                  <c:v>0.083</c:v>
                </c:pt>
                <c:pt idx="2">
                  <c:v>0.167</c:v>
                </c:pt>
                <c:pt idx="3">
                  <c:v>0.25</c:v>
                </c:pt>
                <c:pt idx="4">
                  <c:v>0.5</c:v>
                </c:pt>
                <c:pt idx="5">
                  <c:v>1.0</c:v>
                </c:pt>
                <c:pt idx="6">
                  <c:v>2.0</c:v>
                </c:pt>
                <c:pt idx="7">
                  <c:v>6.0</c:v>
                </c:pt>
                <c:pt idx="8">
                  <c:v>12.0</c:v>
                </c:pt>
              </c:numCache>
            </c:numRef>
          </c:xVal>
          <c:yVal>
            <c:numRef>
              <c:f>Sheet1!$Q$57:$Y$57</c:f>
              <c:numCache>
                <c:formatCode>General</c:formatCode>
                <c:ptCount val="9"/>
                <c:pt idx="0">
                  <c:v>0.0</c:v>
                </c:pt>
                <c:pt idx="1">
                  <c:v>7.520499999999998</c:v>
                </c:pt>
                <c:pt idx="2">
                  <c:v>9.577000000000001</c:v>
                </c:pt>
                <c:pt idx="3">
                  <c:v>8.191000000000001</c:v>
                </c:pt>
                <c:pt idx="4">
                  <c:v>4.48</c:v>
                </c:pt>
                <c:pt idx="5">
                  <c:v>2.436499999999997</c:v>
                </c:pt>
                <c:pt idx="6">
                  <c:v>1.751</c:v>
                </c:pt>
                <c:pt idx="7">
                  <c:v>0.1614</c:v>
                </c:pt>
                <c:pt idx="8">
                  <c:v>0.0</c:v>
                </c:pt>
              </c:numCache>
            </c:numRef>
          </c:yVal>
          <c:extLst xmlns:c16r2="http://schemas.microsoft.com/office/drawing/2015/06/chart">
            <c:ext xmlns:c16="http://schemas.microsoft.com/office/drawing/2014/chart" uri="{C3380CC4-5D6E-409C-BE32-E72D297353CC}">
              <c16:uniqueId val="{00000001-ECA4-2144-A247-496D55AC5B38}"/>
            </c:ext>
          </c:extLst>
        </c:ser>
        <c:ser>
          <c:idx val="2"/>
          <c:order val="2"/>
          <c:tx>
            <c:strRef>
              <c:f>Sheet1!$P$58</c:f>
              <c:strCache>
                <c:ptCount val="1"/>
                <c:pt idx="0">
                  <c:v>NTZ</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Sheet1!$Q$55:$Y$55</c:f>
              <c:numCache>
                <c:formatCode>@</c:formatCode>
                <c:ptCount val="9"/>
                <c:pt idx="0" formatCode="General">
                  <c:v>0.0</c:v>
                </c:pt>
                <c:pt idx="1">
                  <c:v>0.083</c:v>
                </c:pt>
                <c:pt idx="2">
                  <c:v>0.167</c:v>
                </c:pt>
                <c:pt idx="3">
                  <c:v>0.25</c:v>
                </c:pt>
                <c:pt idx="4">
                  <c:v>0.5</c:v>
                </c:pt>
                <c:pt idx="5">
                  <c:v>1.0</c:v>
                </c:pt>
                <c:pt idx="6">
                  <c:v>2.0</c:v>
                </c:pt>
                <c:pt idx="7">
                  <c:v>6.0</c:v>
                </c:pt>
                <c:pt idx="8">
                  <c:v>12.0</c:v>
                </c:pt>
              </c:numCache>
            </c:numRef>
          </c:xVal>
          <c:yVal>
            <c:numRef>
              <c:f>Sheet1!$Q$58:$Y$58</c:f>
              <c:numCache>
                <c:formatCode>General</c:formatCode>
                <c:ptCount val="9"/>
                <c:pt idx="0">
                  <c:v>0.0</c:v>
                </c:pt>
                <c:pt idx="1">
                  <c:v>1.6805</c:v>
                </c:pt>
                <c:pt idx="2">
                  <c:v>3.026</c:v>
                </c:pt>
                <c:pt idx="3">
                  <c:v>3.841</c:v>
                </c:pt>
                <c:pt idx="4">
                  <c:v>5.588</c:v>
                </c:pt>
                <c:pt idx="5">
                  <c:v>9.121</c:v>
                </c:pt>
                <c:pt idx="6">
                  <c:v>10.222</c:v>
                </c:pt>
                <c:pt idx="7">
                  <c:v>3.507</c:v>
                </c:pt>
                <c:pt idx="8">
                  <c:v>0.0</c:v>
                </c:pt>
              </c:numCache>
            </c:numRef>
          </c:yVal>
          <c:extLst xmlns:c16r2="http://schemas.microsoft.com/office/drawing/2015/06/chart">
            <c:ext xmlns:c16="http://schemas.microsoft.com/office/drawing/2014/chart" uri="{C3380CC4-5D6E-409C-BE32-E72D297353CC}">
              <c16:uniqueId val="{00000002-ECA4-2144-A247-496D55AC5B38}"/>
            </c:ext>
          </c:extLst>
        </c:ser>
        <c:axId val="588546952"/>
        <c:axId val="588555368"/>
      </c:scatterChart>
      <c:valAx>
        <c:axId val="588546952"/>
        <c:scaling>
          <c:orientation val="minMax"/>
        </c:scaling>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lang="en-GB" sz="1200" b="0" i="0" u="none" strike="noStrike" kern="1200" baseline="0">
                    <a:solidFill>
                      <a:schemeClr val="tx1">
                        <a:lumMod val="65000"/>
                        <a:lumOff val="35000"/>
                      </a:schemeClr>
                    </a:solidFill>
                    <a:latin typeface="+mn-lt"/>
                    <a:ea typeface="+mn-ea"/>
                    <a:cs typeface="+mn-cs"/>
                  </a:defRPr>
                </a:pPr>
                <a:r>
                  <a:rPr lang="en-US" sz="1200"/>
                  <a:t>Hours post-dose</a:t>
                </a:r>
              </a:p>
            </c:rich>
          </c:tx>
          <c:spPr>
            <a:noFill/>
            <a:ln>
              <a:noFill/>
            </a:ln>
            <a:effectLst/>
          </c:spPr>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en-US"/>
          </a:p>
        </c:txPr>
        <c:crossAx val="588555368"/>
        <c:crosses val="autoZero"/>
        <c:crossBetween val="midCat"/>
      </c:valAx>
      <c:valAx>
        <c:axId val="588555368"/>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GB" sz="1200" b="0" i="0" u="none" strike="noStrike" kern="1200" baseline="0">
                    <a:solidFill>
                      <a:schemeClr val="tx1">
                        <a:lumMod val="65000"/>
                        <a:lumOff val="35000"/>
                      </a:schemeClr>
                    </a:solidFill>
                    <a:latin typeface="+mn-lt"/>
                    <a:ea typeface="+mn-ea"/>
                    <a:cs typeface="+mn-cs"/>
                  </a:defRPr>
                </a:pPr>
                <a:r>
                  <a:rPr lang="en-US" sz="1200"/>
                  <a:t>µg/mL</a:t>
                </a:r>
              </a:p>
            </c:rich>
          </c:tx>
          <c:spPr>
            <a:noFill/>
            <a:ln>
              <a:noFill/>
            </a:ln>
            <a:effectLst/>
          </c:spPr>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en-US"/>
          </a:p>
        </c:txPr>
        <c:crossAx val="588546952"/>
        <c:crosses val="autoZero"/>
        <c:crossBetween val="midCat"/>
      </c:valAx>
      <c:spPr>
        <a:noFill/>
        <a:ln>
          <a:noFill/>
        </a:ln>
        <a:effectLst/>
      </c:spPr>
    </c:plotArea>
    <c:legend>
      <c:legendPos val="b"/>
      <c:spPr>
        <a:noFill/>
        <a:ln>
          <a:noFill/>
        </a:ln>
        <a:effectLst/>
      </c:spPr>
      <c:txPr>
        <a:bodyPr rot="0" spcFirstLastPara="1" vertOverflow="ellipsis" vert="horz" wrap="square" anchor="ctr" anchorCtr="1"/>
        <a:lstStyle/>
        <a:p>
          <a:pPr>
            <a:defRPr lang="en-GB"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scatterChart>
        <c:scatterStyle val="lineMarker"/>
        <c:ser>
          <c:idx val="0"/>
          <c:order val="0"/>
          <c:tx>
            <c:strRef>
              <c:f>'PK Calculations'!$P$111</c:f>
              <c:strCache>
                <c:ptCount val="1"/>
                <c:pt idx="0">
                  <c:v>RM-5071</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'PK Calculations'!$Q$110:$Y$110</c:f>
              <c:numCache>
                <c:formatCode>@</c:formatCode>
                <c:ptCount val="9"/>
                <c:pt idx="0" formatCode="General">
                  <c:v>0.0</c:v>
                </c:pt>
                <c:pt idx="1">
                  <c:v>0.083</c:v>
                </c:pt>
                <c:pt idx="2">
                  <c:v>0.167</c:v>
                </c:pt>
                <c:pt idx="3">
                  <c:v>0.25</c:v>
                </c:pt>
                <c:pt idx="4">
                  <c:v>0.5</c:v>
                </c:pt>
                <c:pt idx="5">
                  <c:v>1.0</c:v>
                </c:pt>
                <c:pt idx="6">
                  <c:v>2.0</c:v>
                </c:pt>
                <c:pt idx="7">
                  <c:v>6.0</c:v>
                </c:pt>
                <c:pt idx="8">
                  <c:v>12.0</c:v>
                </c:pt>
              </c:numCache>
            </c:numRef>
          </c:xVal>
          <c:yVal>
            <c:numRef>
              <c:f>'PK Calculations'!$Q$111:$Y$111</c:f>
              <c:numCache>
                <c:formatCode>0.0</c:formatCode>
                <c:ptCount val="9"/>
                <c:pt idx="0" formatCode="General">
                  <c:v>0.0</c:v>
                </c:pt>
                <c:pt idx="1">
                  <c:v>10.26704</c:v>
                </c:pt>
                <c:pt idx="2">
                  <c:v>10.3243</c:v>
                </c:pt>
                <c:pt idx="3">
                  <c:v>9.57525</c:v>
                </c:pt>
                <c:pt idx="4">
                  <c:v>7.36675</c:v>
                </c:pt>
                <c:pt idx="5">
                  <c:v>5.095705000000001</c:v>
                </c:pt>
                <c:pt idx="6">
                  <c:v>4.472445</c:v>
                </c:pt>
                <c:pt idx="7">
                  <c:v>0.081679</c:v>
                </c:pt>
                <c:pt idx="8">
                  <c:v>0.0</c:v>
                </c:pt>
              </c:numCache>
            </c:numRef>
          </c:yVal>
          <c:extLst xmlns:c16r2="http://schemas.microsoft.com/office/drawing/2015/06/chart">
            <c:ext xmlns:c16="http://schemas.microsoft.com/office/drawing/2014/chart" uri="{C3380CC4-5D6E-409C-BE32-E72D297353CC}">
              <c16:uniqueId val="{00000000-5159-324F-8CF1-1C77307C7101}"/>
            </c:ext>
          </c:extLst>
        </c:ser>
        <c:ser>
          <c:idx val="1"/>
          <c:order val="1"/>
          <c:tx>
            <c:strRef>
              <c:f>'PK Calculations'!$P$112</c:f>
              <c:strCache>
                <c:ptCount val="1"/>
                <c:pt idx="0">
                  <c:v>RM-5072</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'PK Calculations'!$Q$110:$Y$110</c:f>
              <c:numCache>
                <c:formatCode>@</c:formatCode>
                <c:ptCount val="9"/>
                <c:pt idx="0" formatCode="General">
                  <c:v>0.0</c:v>
                </c:pt>
                <c:pt idx="1">
                  <c:v>0.083</c:v>
                </c:pt>
                <c:pt idx="2">
                  <c:v>0.167</c:v>
                </c:pt>
                <c:pt idx="3">
                  <c:v>0.25</c:v>
                </c:pt>
                <c:pt idx="4">
                  <c:v>0.5</c:v>
                </c:pt>
                <c:pt idx="5">
                  <c:v>1.0</c:v>
                </c:pt>
                <c:pt idx="6">
                  <c:v>2.0</c:v>
                </c:pt>
                <c:pt idx="7">
                  <c:v>6.0</c:v>
                </c:pt>
                <c:pt idx="8">
                  <c:v>12.0</c:v>
                </c:pt>
              </c:numCache>
            </c:numRef>
          </c:xVal>
          <c:yVal>
            <c:numRef>
              <c:f>'PK Calculations'!$Q$112:$Y$112</c:f>
              <c:numCache>
                <c:formatCode>0.0</c:formatCode>
                <c:ptCount val="9"/>
                <c:pt idx="0" formatCode="General">
                  <c:v>0.0</c:v>
                </c:pt>
                <c:pt idx="1">
                  <c:v>8.635505</c:v>
                </c:pt>
                <c:pt idx="2">
                  <c:v>7.700719999999999</c:v>
                </c:pt>
                <c:pt idx="3">
                  <c:v>5.736470000000001</c:v>
                </c:pt>
                <c:pt idx="4">
                  <c:v>2.9156</c:v>
                </c:pt>
                <c:pt idx="5">
                  <c:v>1.626015</c:v>
                </c:pt>
                <c:pt idx="6">
                  <c:v>1.181265</c:v>
                </c:pt>
                <c:pt idx="7">
                  <c:v>0.098454</c:v>
                </c:pt>
                <c:pt idx="8">
                  <c:v>0.0</c:v>
                </c:pt>
              </c:numCache>
            </c:numRef>
          </c:yVal>
          <c:extLst xmlns:c16r2="http://schemas.microsoft.com/office/drawing/2015/06/chart">
            <c:ext xmlns:c16="http://schemas.microsoft.com/office/drawing/2014/chart" uri="{C3380CC4-5D6E-409C-BE32-E72D297353CC}">
              <c16:uniqueId val="{00000001-5159-324F-8CF1-1C77307C7101}"/>
            </c:ext>
          </c:extLst>
        </c:ser>
        <c:ser>
          <c:idx val="2"/>
          <c:order val="2"/>
          <c:tx>
            <c:strRef>
              <c:f>'PK Calculations'!$P$113</c:f>
              <c:strCache>
                <c:ptCount val="1"/>
                <c:pt idx="0">
                  <c:v>NTZ</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'PK Calculations'!$Q$110:$Y$110</c:f>
              <c:numCache>
                <c:formatCode>@</c:formatCode>
                <c:ptCount val="9"/>
                <c:pt idx="0" formatCode="General">
                  <c:v>0.0</c:v>
                </c:pt>
                <c:pt idx="1">
                  <c:v>0.083</c:v>
                </c:pt>
                <c:pt idx="2">
                  <c:v>0.167</c:v>
                </c:pt>
                <c:pt idx="3">
                  <c:v>0.25</c:v>
                </c:pt>
                <c:pt idx="4">
                  <c:v>0.5</c:v>
                </c:pt>
                <c:pt idx="5">
                  <c:v>1.0</c:v>
                </c:pt>
                <c:pt idx="6">
                  <c:v>2.0</c:v>
                </c:pt>
                <c:pt idx="7">
                  <c:v>6.0</c:v>
                </c:pt>
                <c:pt idx="8">
                  <c:v>12.0</c:v>
                </c:pt>
              </c:numCache>
            </c:numRef>
          </c:xVal>
          <c:yVal>
            <c:numRef>
              <c:f>'PK Calculations'!$Q$113:$Y$113</c:f>
              <c:numCache>
                <c:formatCode>0.0</c:formatCode>
                <c:ptCount val="9"/>
                <c:pt idx="0" formatCode="General">
                  <c:v>0.0</c:v>
                </c:pt>
                <c:pt idx="1">
                  <c:v>1.29046</c:v>
                </c:pt>
                <c:pt idx="2">
                  <c:v>2.566809999999998</c:v>
                </c:pt>
                <c:pt idx="3">
                  <c:v>3.02687</c:v>
                </c:pt>
                <c:pt idx="4">
                  <c:v>4.709814999999986</c:v>
                </c:pt>
                <c:pt idx="5">
                  <c:v>6.77966</c:v>
                </c:pt>
                <c:pt idx="6">
                  <c:v>7.619919999999976</c:v>
                </c:pt>
                <c:pt idx="7">
                  <c:v>2.332819999999972</c:v>
                </c:pt>
                <c:pt idx="8">
                  <c:v>0.0</c:v>
                </c:pt>
              </c:numCache>
            </c:numRef>
          </c:yVal>
          <c:extLst xmlns:c16r2="http://schemas.microsoft.com/office/drawing/2015/06/chart">
            <c:ext xmlns:c16="http://schemas.microsoft.com/office/drawing/2014/chart" uri="{C3380CC4-5D6E-409C-BE32-E72D297353CC}">
              <c16:uniqueId val="{00000002-5159-324F-8CF1-1C77307C7101}"/>
            </c:ext>
          </c:extLst>
        </c:ser>
        <c:axId val="588663592"/>
        <c:axId val="588672008"/>
      </c:scatterChart>
      <c:valAx>
        <c:axId val="588663592"/>
        <c:scaling>
          <c:orientation val="minMax"/>
        </c:scaling>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lang="en-GB" sz="1200" b="0" i="0" u="none" strike="noStrike" kern="1200" baseline="0">
                    <a:solidFill>
                      <a:schemeClr val="tx1">
                        <a:lumMod val="65000"/>
                        <a:lumOff val="35000"/>
                      </a:schemeClr>
                    </a:solidFill>
                    <a:latin typeface="+mn-lt"/>
                    <a:ea typeface="+mn-ea"/>
                    <a:cs typeface="+mn-cs"/>
                  </a:defRPr>
                </a:pPr>
                <a:r>
                  <a:rPr lang="en-US" sz="1200"/>
                  <a:t>Hours post-dose</a:t>
                </a:r>
              </a:p>
            </c:rich>
          </c:tx>
          <c:spPr>
            <a:noFill/>
            <a:ln>
              <a:noFill/>
            </a:ln>
            <a:effectLst/>
          </c:spPr>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en-US"/>
          </a:p>
        </c:txPr>
        <c:crossAx val="588672008"/>
        <c:crosses val="autoZero"/>
        <c:crossBetween val="midCat"/>
      </c:valAx>
      <c:valAx>
        <c:axId val="588672008"/>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GB" sz="1200" b="0" i="0" u="none" strike="noStrike" kern="1200" baseline="0">
                    <a:solidFill>
                      <a:schemeClr val="tx1">
                        <a:lumMod val="65000"/>
                        <a:lumOff val="35000"/>
                      </a:schemeClr>
                    </a:solidFill>
                    <a:latin typeface="+mn-lt"/>
                    <a:ea typeface="+mn-ea"/>
                    <a:cs typeface="+mn-cs"/>
                  </a:defRPr>
                </a:pPr>
                <a:r>
                  <a:rPr lang="en-US" sz="1200"/>
                  <a:t>µg/mL</a:t>
                </a:r>
              </a:p>
            </c:rich>
          </c:tx>
          <c:spPr>
            <a:noFill/>
            <a:ln>
              <a:noFill/>
            </a:ln>
            <a:effectLst/>
          </c:spPr>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en-US"/>
          </a:p>
        </c:txPr>
        <c:crossAx val="588663592"/>
        <c:crosses val="autoZero"/>
        <c:crossBetween val="midCat"/>
      </c:valAx>
      <c:spPr>
        <a:noFill/>
        <a:ln>
          <a:noFill/>
        </a:ln>
        <a:effectLst/>
      </c:spPr>
    </c:plotArea>
    <c:legend>
      <c:legendPos val="b"/>
      <c:spPr>
        <a:noFill/>
        <a:ln>
          <a:noFill/>
        </a:ln>
        <a:effectLst/>
      </c:spPr>
      <c:txPr>
        <a:bodyPr rot="0" spcFirstLastPara="1" vertOverflow="ellipsis" vert="horz" wrap="square" anchor="ctr" anchorCtr="1"/>
        <a:lstStyle/>
        <a:p>
          <a:pPr>
            <a:defRPr lang="en-GB"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5296</Words>
  <Characters>30189</Characters>
  <Application>Microsoft Macintosh Word</Application>
  <DocSecurity>0</DocSecurity>
  <Lines>251</Lines>
  <Paragraphs>60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Stachulski, Andrew</dc:creator>
  <cp:keywords/>
  <dc:description/>
  <cp:lastModifiedBy>Andrew Stachulski</cp:lastModifiedBy>
  <cp:revision>4</cp:revision>
  <cp:lastPrinted>2020-07-13T06:53:00Z</cp:lastPrinted>
  <dcterms:created xsi:type="dcterms:W3CDTF">2021-07-16T15:09:00Z</dcterms:created>
  <dcterms:modified xsi:type="dcterms:W3CDTF">2021-09-08T11:23:00Z</dcterms:modified>
</cp:coreProperties>
</file>