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5A4B" w14:textId="6407EE47" w:rsidR="00364225" w:rsidRPr="0064276E" w:rsidRDefault="00364225" w:rsidP="0064276E">
      <w:pPr>
        <w:rPr>
          <w:b/>
          <w:sz w:val="24"/>
          <w:szCs w:val="24"/>
        </w:rPr>
      </w:pPr>
      <w:bookmarkStart w:id="0" w:name="_GoBack"/>
      <w:bookmarkEnd w:id="0"/>
      <w:r w:rsidRPr="0064276E">
        <w:rPr>
          <w:b/>
          <w:sz w:val="24"/>
          <w:szCs w:val="24"/>
        </w:rPr>
        <w:t>Book review</w:t>
      </w:r>
      <w:r w:rsidR="00B32AB5" w:rsidRPr="0064276E">
        <w:rPr>
          <w:b/>
          <w:sz w:val="24"/>
          <w:szCs w:val="24"/>
        </w:rPr>
        <w:t xml:space="preserve">: Journal of Conflict &amp; Security Law </w:t>
      </w:r>
      <w:r w:rsidRPr="0064276E">
        <w:rPr>
          <w:b/>
          <w:sz w:val="24"/>
          <w:szCs w:val="24"/>
        </w:rPr>
        <w:t xml:space="preserve"> </w:t>
      </w:r>
    </w:p>
    <w:p w14:paraId="7F88D54B" w14:textId="77777777" w:rsidR="00364225" w:rsidRPr="0064276E" w:rsidRDefault="00364225" w:rsidP="0064276E">
      <w:pPr>
        <w:rPr>
          <w:b/>
          <w:sz w:val="24"/>
          <w:szCs w:val="24"/>
        </w:rPr>
      </w:pPr>
    </w:p>
    <w:p w14:paraId="3F6BAD96" w14:textId="77777777" w:rsidR="00364225" w:rsidRPr="0064276E" w:rsidRDefault="00364225" w:rsidP="0064276E">
      <w:pPr>
        <w:rPr>
          <w:rFonts w:cs="Helvetica"/>
          <w:b/>
          <w:sz w:val="24"/>
          <w:szCs w:val="24"/>
          <w:shd w:val="clear" w:color="auto" w:fill="FFFFFF"/>
        </w:rPr>
      </w:pPr>
      <w:r w:rsidRPr="0064276E">
        <w:rPr>
          <w:b/>
          <w:sz w:val="24"/>
          <w:szCs w:val="24"/>
        </w:rPr>
        <w:t xml:space="preserve">Jennifer Trahan, </w:t>
      </w:r>
      <w:r w:rsidRPr="0064276E">
        <w:rPr>
          <w:rFonts w:cs="Helvetica"/>
          <w:b/>
          <w:i/>
          <w:sz w:val="24"/>
          <w:szCs w:val="24"/>
        </w:rPr>
        <w:t>Existing Legal Limits to Security Council Veto Power in the Face of Atrocity Crimes.</w:t>
      </w:r>
      <w:r w:rsidRPr="0064276E">
        <w:rPr>
          <w:rFonts w:cs="Helvetica"/>
          <w:b/>
          <w:sz w:val="24"/>
          <w:szCs w:val="24"/>
        </w:rPr>
        <w:t xml:space="preserve"> Cambridge University Press, 2020, 342 pp. ISBN </w:t>
      </w:r>
      <w:r w:rsidRPr="0064276E">
        <w:rPr>
          <w:rFonts w:cs="Helvetica"/>
          <w:b/>
          <w:sz w:val="24"/>
          <w:szCs w:val="24"/>
          <w:shd w:val="clear" w:color="auto" w:fill="FFFFFF"/>
        </w:rPr>
        <w:t xml:space="preserve">9781108765251. </w:t>
      </w:r>
    </w:p>
    <w:p w14:paraId="20EF1967" w14:textId="77777777" w:rsidR="00364225" w:rsidRPr="0064276E" w:rsidRDefault="00364225" w:rsidP="0064276E">
      <w:pPr>
        <w:rPr>
          <w:rFonts w:cs="Helvetica"/>
          <w:b/>
          <w:sz w:val="24"/>
          <w:szCs w:val="24"/>
          <w:shd w:val="clear" w:color="auto" w:fill="FFFFFF"/>
        </w:rPr>
      </w:pPr>
    </w:p>
    <w:p w14:paraId="0FAE49F4" w14:textId="2109F28E" w:rsidR="00364225" w:rsidRPr="0064276E" w:rsidRDefault="00364225" w:rsidP="0064276E">
      <w:pPr>
        <w:rPr>
          <w:rFonts w:cs="Helvetica"/>
          <w:b/>
          <w:sz w:val="24"/>
          <w:szCs w:val="24"/>
        </w:rPr>
      </w:pPr>
      <w:r w:rsidRPr="0064276E">
        <w:rPr>
          <w:rFonts w:cs="Helvetica"/>
          <w:b/>
          <w:sz w:val="24"/>
          <w:szCs w:val="24"/>
          <w:shd w:val="clear" w:color="auto" w:fill="FFFFFF"/>
        </w:rPr>
        <w:t>Ben</w:t>
      </w:r>
      <w:r w:rsidR="00050C9A" w:rsidRPr="0064276E">
        <w:rPr>
          <w:rFonts w:cs="Helvetica"/>
          <w:b/>
          <w:sz w:val="24"/>
          <w:szCs w:val="24"/>
          <w:shd w:val="clear" w:color="auto" w:fill="FFFFFF"/>
        </w:rPr>
        <w:t xml:space="preserve"> L.</w:t>
      </w:r>
      <w:r w:rsidRPr="0064276E">
        <w:rPr>
          <w:rFonts w:cs="Helvetica"/>
          <w:b/>
          <w:sz w:val="24"/>
          <w:szCs w:val="24"/>
          <w:shd w:val="clear" w:color="auto" w:fill="FFFFFF"/>
        </w:rPr>
        <w:t xml:space="preserve"> Murphy (</w:t>
      </w:r>
      <w:hyperlink r:id="rId7" w:history="1">
        <w:r w:rsidRPr="0064276E">
          <w:rPr>
            <w:rStyle w:val="Hyperlink"/>
            <w:rFonts w:cs="Helvetica"/>
            <w:b/>
            <w:color w:val="auto"/>
            <w:sz w:val="24"/>
            <w:szCs w:val="24"/>
            <w:shd w:val="clear" w:color="auto" w:fill="FFFFFF"/>
          </w:rPr>
          <w:t>b.l.murphy@liverpool.ac.uk</w:t>
        </w:r>
      </w:hyperlink>
      <w:r w:rsidRPr="0064276E">
        <w:rPr>
          <w:rFonts w:cs="Helvetica"/>
          <w:b/>
          <w:sz w:val="24"/>
          <w:szCs w:val="24"/>
          <w:shd w:val="clear" w:color="auto" w:fill="FFFFFF"/>
        </w:rPr>
        <w:t xml:space="preserve">) </w:t>
      </w:r>
    </w:p>
    <w:p w14:paraId="2C57DEB2" w14:textId="77777777" w:rsidR="00364225" w:rsidRPr="0064276E" w:rsidRDefault="00364225" w:rsidP="0064276E">
      <w:pPr>
        <w:rPr>
          <w:sz w:val="24"/>
          <w:szCs w:val="24"/>
        </w:rPr>
      </w:pPr>
    </w:p>
    <w:p w14:paraId="08963F32" w14:textId="06EA2547" w:rsidR="00A06889" w:rsidRPr="0064276E" w:rsidRDefault="0037368F" w:rsidP="0064276E">
      <w:pPr>
        <w:rPr>
          <w:sz w:val="24"/>
          <w:szCs w:val="24"/>
        </w:rPr>
      </w:pPr>
      <w:r w:rsidRPr="0064276E">
        <w:rPr>
          <w:sz w:val="24"/>
          <w:szCs w:val="24"/>
        </w:rPr>
        <w:t>D</w:t>
      </w:r>
      <w:r w:rsidR="00364225" w:rsidRPr="0064276E">
        <w:rPr>
          <w:sz w:val="24"/>
          <w:szCs w:val="24"/>
        </w:rPr>
        <w:t>uring the negotiations</w:t>
      </w:r>
      <w:r w:rsidR="00587602" w:rsidRPr="0064276E">
        <w:rPr>
          <w:sz w:val="24"/>
          <w:szCs w:val="24"/>
        </w:rPr>
        <w:t xml:space="preserve"> of</w:t>
      </w:r>
      <w:r w:rsidR="00364225" w:rsidRPr="0064276E">
        <w:rPr>
          <w:sz w:val="24"/>
          <w:szCs w:val="24"/>
        </w:rPr>
        <w:t xml:space="preserve"> the</w:t>
      </w:r>
      <w:r w:rsidR="00264932" w:rsidRPr="0064276E">
        <w:rPr>
          <w:sz w:val="24"/>
          <w:szCs w:val="24"/>
        </w:rPr>
        <w:t xml:space="preserve"> </w:t>
      </w:r>
      <w:r w:rsidRPr="0064276E">
        <w:rPr>
          <w:sz w:val="24"/>
          <w:szCs w:val="24"/>
        </w:rPr>
        <w:t>UN</w:t>
      </w:r>
      <w:r w:rsidR="00264932" w:rsidRPr="0064276E">
        <w:rPr>
          <w:sz w:val="24"/>
          <w:szCs w:val="24"/>
        </w:rPr>
        <w:t xml:space="preserve"> Charter</w:t>
      </w:r>
      <w:r w:rsidR="00587602" w:rsidRPr="0064276E">
        <w:rPr>
          <w:sz w:val="24"/>
          <w:szCs w:val="24"/>
        </w:rPr>
        <w:t>,</w:t>
      </w:r>
      <w:r w:rsidR="00264932" w:rsidRPr="0064276E">
        <w:rPr>
          <w:sz w:val="24"/>
          <w:szCs w:val="24"/>
        </w:rPr>
        <w:t xml:space="preserve"> </w:t>
      </w:r>
      <w:r w:rsidR="00364225" w:rsidRPr="0064276E">
        <w:rPr>
          <w:sz w:val="24"/>
          <w:szCs w:val="24"/>
        </w:rPr>
        <w:t xml:space="preserve">the </w:t>
      </w:r>
      <w:r w:rsidR="00264932" w:rsidRPr="0064276E">
        <w:rPr>
          <w:sz w:val="24"/>
          <w:szCs w:val="24"/>
        </w:rPr>
        <w:t xml:space="preserve">soon-to-be anointed </w:t>
      </w:r>
      <w:r w:rsidR="00364225" w:rsidRPr="0064276E">
        <w:rPr>
          <w:sz w:val="24"/>
          <w:szCs w:val="24"/>
        </w:rPr>
        <w:t xml:space="preserve">permanent members of the UN Security Council – China, France, the (then) Soviet Union, the United </w:t>
      </w:r>
      <w:r w:rsidR="00050C9A" w:rsidRPr="0064276E">
        <w:rPr>
          <w:sz w:val="24"/>
          <w:szCs w:val="24"/>
        </w:rPr>
        <w:t>Kingdom,</w:t>
      </w:r>
      <w:r w:rsidR="00364225" w:rsidRPr="0064276E">
        <w:rPr>
          <w:sz w:val="24"/>
          <w:szCs w:val="24"/>
        </w:rPr>
        <w:t xml:space="preserve"> and the United States – </w:t>
      </w:r>
      <w:r w:rsidRPr="0064276E">
        <w:rPr>
          <w:sz w:val="24"/>
          <w:szCs w:val="24"/>
        </w:rPr>
        <w:t xml:space="preserve">didn’t agree on an awful lot. </w:t>
      </w:r>
      <w:r w:rsidR="00B32AB5" w:rsidRPr="0064276E">
        <w:rPr>
          <w:sz w:val="24"/>
          <w:szCs w:val="24"/>
        </w:rPr>
        <w:t xml:space="preserve">Yet, on </w:t>
      </w:r>
      <w:r w:rsidR="00205067" w:rsidRPr="0064276E">
        <w:rPr>
          <w:sz w:val="24"/>
          <w:szCs w:val="24"/>
        </w:rPr>
        <w:t>one matter</w:t>
      </w:r>
      <w:r w:rsidR="00B32AB5" w:rsidRPr="0064276E">
        <w:rPr>
          <w:sz w:val="24"/>
          <w:szCs w:val="24"/>
        </w:rPr>
        <w:t xml:space="preserve"> </w:t>
      </w:r>
      <w:r w:rsidR="00205067" w:rsidRPr="0064276E">
        <w:rPr>
          <w:sz w:val="24"/>
          <w:szCs w:val="24"/>
        </w:rPr>
        <w:t xml:space="preserve">they </w:t>
      </w:r>
      <w:r w:rsidR="00587602" w:rsidRPr="0064276E">
        <w:rPr>
          <w:sz w:val="24"/>
          <w:szCs w:val="24"/>
        </w:rPr>
        <w:t>spoke as one.</w:t>
      </w:r>
      <w:r w:rsidRPr="0064276E">
        <w:rPr>
          <w:sz w:val="24"/>
          <w:szCs w:val="24"/>
        </w:rPr>
        <w:t xml:space="preserve"> </w:t>
      </w:r>
      <w:r w:rsidR="00587602" w:rsidRPr="0064276E">
        <w:rPr>
          <w:sz w:val="24"/>
          <w:szCs w:val="24"/>
        </w:rPr>
        <w:t xml:space="preserve">From </w:t>
      </w:r>
      <w:r w:rsidRPr="0064276E">
        <w:rPr>
          <w:sz w:val="24"/>
          <w:szCs w:val="24"/>
        </w:rPr>
        <w:t>the outset, permanent members were unequivocal that while</w:t>
      </w:r>
      <w:r w:rsidR="00264932" w:rsidRPr="0064276E">
        <w:rPr>
          <w:sz w:val="24"/>
          <w:szCs w:val="24"/>
        </w:rPr>
        <w:t xml:space="preserve"> </w:t>
      </w:r>
      <w:r w:rsidR="007F3E2F" w:rsidRPr="0064276E">
        <w:rPr>
          <w:sz w:val="24"/>
          <w:szCs w:val="24"/>
        </w:rPr>
        <w:t>primary responsibility for the maintenance of international peace and security</w:t>
      </w:r>
      <w:r w:rsidR="007D62EC" w:rsidRPr="0064276E">
        <w:rPr>
          <w:sz w:val="24"/>
          <w:szCs w:val="24"/>
        </w:rPr>
        <w:t xml:space="preserve"> was to fall on</w:t>
      </w:r>
      <w:r w:rsidR="007F3E2F" w:rsidRPr="0064276E">
        <w:rPr>
          <w:sz w:val="24"/>
          <w:szCs w:val="24"/>
        </w:rPr>
        <w:t xml:space="preserve"> the Security Council</w:t>
      </w:r>
      <w:r w:rsidR="00B32AB5" w:rsidRPr="0064276E">
        <w:rPr>
          <w:sz w:val="24"/>
          <w:szCs w:val="24"/>
        </w:rPr>
        <w:t xml:space="preserve"> as a whole</w:t>
      </w:r>
      <w:r w:rsidR="00C41DA7" w:rsidRPr="0064276E">
        <w:rPr>
          <w:sz w:val="24"/>
          <w:szCs w:val="24"/>
        </w:rPr>
        <w:t>,</w:t>
      </w:r>
      <w:r w:rsidR="007F3E2F" w:rsidRPr="0064276E">
        <w:rPr>
          <w:sz w:val="24"/>
          <w:szCs w:val="24"/>
        </w:rPr>
        <w:t xml:space="preserve"> each permanent member would enjoy a unilateral veto over </w:t>
      </w:r>
      <w:r w:rsidR="006E23CC" w:rsidRPr="0064276E">
        <w:rPr>
          <w:sz w:val="24"/>
          <w:szCs w:val="24"/>
        </w:rPr>
        <w:t>substantive decisions</w:t>
      </w:r>
      <w:r w:rsidR="000C7ED7" w:rsidRPr="0064276E">
        <w:rPr>
          <w:sz w:val="24"/>
          <w:szCs w:val="24"/>
        </w:rPr>
        <w:t xml:space="preserve"> made by that organ</w:t>
      </w:r>
      <w:r w:rsidR="007F3E2F" w:rsidRPr="0064276E">
        <w:rPr>
          <w:sz w:val="24"/>
          <w:szCs w:val="24"/>
        </w:rPr>
        <w:t>.</w:t>
      </w:r>
      <w:r w:rsidR="001D56C5" w:rsidRPr="0064276E">
        <w:rPr>
          <w:rStyle w:val="FootnoteReference"/>
          <w:sz w:val="24"/>
          <w:szCs w:val="24"/>
        </w:rPr>
        <w:footnoteReference w:id="1"/>
      </w:r>
      <w:r w:rsidR="002A1143" w:rsidRPr="0064276E">
        <w:rPr>
          <w:sz w:val="24"/>
          <w:szCs w:val="24"/>
        </w:rPr>
        <w:t xml:space="preserve"> The solidarity </w:t>
      </w:r>
      <w:r w:rsidR="000D4D57" w:rsidRPr="0064276E">
        <w:rPr>
          <w:sz w:val="24"/>
          <w:szCs w:val="24"/>
        </w:rPr>
        <w:t>between p</w:t>
      </w:r>
      <w:r w:rsidR="002A1143" w:rsidRPr="0064276E">
        <w:rPr>
          <w:sz w:val="24"/>
          <w:szCs w:val="24"/>
        </w:rPr>
        <w:t>ermanent members</w:t>
      </w:r>
      <w:r w:rsidR="000D4D57" w:rsidRPr="0064276E">
        <w:rPr>
          <w:sz w:val="24"/>
          <w:szCs w:val="24"/>
        </w:rPr>
        <w:t xml:space="preserve"> was</w:t>
      </w:r>
      <w:r w:rsidR="002A1143" w:rsidRPr="0064276E">
        <w:rPr>
          <w:sz w:val="24"/>
          <w:szCs w:val="24"/>
        </w:rPr>
        <w:t xml:space="preserve"> so strong that </w:t>
      </w:r>
      <w:r w:rsidR="00587602" w:rsidRPr="0064276E">
        <w:rPr>
          <w:sz w:val="24"/>
          <w:szCs w:val="24"/>
        </w:rPr>
        <w:t xml:space="preserve">the issue </w:t>
      </w:r>
      <w:r w:rsidR="002A1143" w:rsidRPr="0064276E">
        <w:rPr>
          <w:sz w:val="24"/>
          <w:szCs w:val="24"/>
        </w:rPr>
        <w:t>became existential</w:t>
      </w:r>
      <w:r w:rsidR="00205067" w:rsidRPr="0064276E">
        <w:rPr>
          <w:sz w:val="24"/>
          <w:szCs w:val="24"/>
        </w:rPr>
        <w:t>. I</w:t>
      </w:r>
      <w:r w:rsidR="002A1143" w:rsidRPr="0064276E">
        <w:rPr>
          <w:sz w:val="24"/>
          <w:szCs w:val="24"/>
        </w:rPr>
        <w:t xml:space="preserve">t was apparent that </w:t>
      </w:r>
      <w:r w:rsidR="00FE3AC5" w:rsidRPr="0064276E">
        <w:rPr>
          <w:sz w:val="24"/>
          <w:szCs w:val="24"/>
        </w:rPr>
        <w:t>without the veto provision</w:t>
      </w:r>
      <w:r w:rsidR="002A1143" w:rsidRPr="0064276E">
        <w:rPr>
          <w:sz w:val="24"/>
          <w:szCs w:val="24"/>
        </w:rPr>
        <w:t xml:space="preserve"> there would </w:t>
      </w:r>
      <w:r w:rsidR="00205067" w:rsidRPr="0064276E">
        <w:rPr>
          <w:sz w:val="24"/>
          <w:szCs w:val="24"/>
        </w:rPr>
        <w:t xml:space="preserve">simply </w:t>
      </w:r>
      <w:r w:rsidR="002A1143" w:rsidRPr="0064276E">
        <w:rPr>
          <w:sz w:val="24"/>
          <w:szCs w:val="24"/>
        </w:rPr>
        <w:t xml:space="preserve">be no </w:t>
      </w:r>
      <w:r w:rsidR="00C41DA7" w:rsidRPr="0064276E">
        <w:rPr>
          <w:sz w:val="24"/>
          <w:szCs w:val="24"/>
        </w:rPr>
        <w:t>UN collective security regime.</w:t>
      </w:r>
      <w:r w:rsidR="002A1143" w:rsidRPr="0064276E">
        <w:rPr>
          <w:sz w:val="24"/>
          <w:szCs w:val="24"/>
        </w:rPr>
        <w:t xml:space="preserve"> </w:t>
      </w:r>
    </w:p>
    <w:p w14:paraId="1DC297AA" w14:textId="77777777" w:rsidR="00A06889" w:rsidRPr="0064276E" w:rsidRDefault="00A06889" w:rsidP="0064276E">
      <w:pPr>
        <w:rPr>
          <w:sz w:val="24"/>
          <w:szCs w:val="24"/>
        </w:rPr>
      </w:pPr>
    </w:p>
    <w:p w14:paraId="1BA2F3B9" w14:textId="02F032C9" w:rsidR="00205067" w:rsidRPr="0064276E" w:rsidRDefault="001B514F" w:rsidP="0064276E">
      <w:pPr>
        <w:rPr>
          <w:sz w:val="24"/>
          <w:szCs w:val="24"/>
        </w:rPr>
      </w:pPr>
      <w:r w:rsidRPr="0064276E">
        <w:rPr>
          <w:sz w:val="24"/>
          <w:szCs w:val="24"/>
        </w:rPr>
        <w:t xml:space="preserve">On the one hand, the veto </w:t>
      </w:r>
      <w:r w:rsidR="00A06889" w:rsidRPr="0064276E">
        <w:rPr>
          <w:sz w:val="24"/>
          <w:szCs w:val="24"/>
        </w:rPr>
        <w:t>represented the</w:t>
      </w:r>
      <w:r w:rsidRPr="0064276E">
        <w:rPr>
          <w:sz w:val="24"/>
          <w:szCs w:val="24"/>
        </w:rPr>
        <w:t xml:space="preserve"> </w:t>
      </w:r>
      <w:r w:rsidR="00A06889" w:rsidRPr="0064276E">
        <w:rPr>
          <w:sz w:val="24"/>
          <w:szCs w:val="24"/>
        </w:rPr>
        <w:t xml:space="preserve">only possible </w:t>
      </w:r>
      <w:r w:rsidRPr="0064276E">
        <w:rPr>
          <w:sz w:val="24"/>
          <w:szCs w:val="24"/>
        </w:rPr>
        <w:t xml:space="preserve">pragmatic response to this existential reality. </w:t>
      </w:r>
      <w:r w:rsidR="00C41DA7" w:rsidRPr="0064276E">
        <w:rPr>
          <w:sz w:val="24"/>
          <w:szCs w:val="24"/>
        </w:rPr>
        <w:t>O</w:t>
      </w:r>
      <w:r w:rsidRPr="0064276E">
        <w:rPr>
          <w:sz w:val="24"/>
          <w:szCs w:val="24"/>
        </w:rPr>
        <w:t>n the other</w:t>
      </w:r>
      <w:r w:rsidR="00A06889" w:rsidRPr="0064276E">
        <w:rPr>
          <w:sz w:val="24"/>
          <w:szCs w:val="24"/>
        </w:rPr>
        <w:t xml:space="preserve"> hand</w:t>
      </w:r>
      <w:r w:rsidRPr="0064276E">
        <w:rPr>
          <w:sz w:val="24"/>
          <w:szCs w:val="24"/>
        </w:rPr>
        <w:t xml:space="preserve">, </w:t>
      </w:r>
      <w:r w:rsidR="00C41DA7" w:rsidRPr="0064276E">
        <w:rPr>
          <w:sz w:val="24"/>
          <w:szCs w:val="24"/>
        </w:rPr>
        <w:t xml:space="preserve">however, it </w:t>
      </w:r>
      <w:r w:rsidR="00587602" w:rsidRPr="0064276E">
        <w:rPr>
          <w:sz w:val="24"/>
          <w:szCs w:val="24"/>
        </w:rPr>
        <w:t>deeply embedded</w:t>
      </w:r>
      <w:r w:rsidRPr="0064276E">
        <w:rPr>
          <w:sz w:val="24"/>
          <w:szCs w:val="24"/>
        </w:rPr>
        <w:t xml:space="preserve"> </w:t>
      </w:r>
      <w:r w:rsidR="00C41DA7" w:rsidRPr="0064276E">
        <w:rPr>
          <w:sz w:val="24"/>
          <w:szCs w:val="24"/>
        </w:rPr>
        <w:t xml:space="preserve">two key characteristics </w:t>
      </w:r>
      <w:r w:rsidRPr="0064276E">
        <w:rPr>
          <w:sz w:val="24"/>
          <w:szCs w:val="24"/>
        </w:rPr>
        <w:t>into the Charter’s foundational institutional design</w:t>
      </w:r>
      <w:r w:rsidR="00050C9A" w:rsidRPr="0064276E">
        <w:rPr>
          <w:sz w:val="24"/>
          <w:szCs w:val="24"/>
        </w:rPr>
        <w:t xml:space="preserve">: </w:t>
      </w:r>
      <w:r w:rsidR="0064276E" w:rsidRPr="0064276E">
        <w:rPr>
          <w:sz w:val="24"/>
          <w:szCs w:val="24"/>
        </w:rPr>
        <w:t>The</w:t>
      </w:r>
      <w:r w:rsidRPr="0064276E">
        <w:rPr>
          <w:sz w:val="24"/>
          <w:szCs w:val="24"/>
        </w:rPr>
        <w:t xml:space="preserve"> Security Council</w:t>
      </w:r>
      <w:r w:rsidR="00E24FF9">
        <w:rPr>
          <w:sz w:val="24"/>
          <w:szCs w:val="24"/>
        </w:rPr>
        <w:t>’s composition</w:t>
      </w:r>
      <w:r w:rsidRPr="0064276E">
        <w:rPr>
          <w:sz w:val="24"/>
          <w:szCs w:val="24"/>
        </w:rPr>
        <w:t xml:space="preserve"> institutionalise</w:t>
      </w:r>
      <w:r w:rsidR="00E24FF9">
        <w:rPr>
          <w:sz w:val="24"/>
          <w:szCs w:val="24"/>
        </w:rPr>
        <w:t>d</w:t>
      </w:r>
      <w:r w:rsidRPr="0064276E">
        <w:rPr>
          <w:sz w:val="24"/>
          <w:szCs w:val="24"/>
        </w:rPr>
        <w:t xml:space="preserve"> special privileges to a select group of powerful states</w:t>
      </w:r>
      <w:r w:rsidR="003F1383" w:rsidRPr="0064276E">
        <w:rPr>
          <w:sz w:val="24"/>
          <w:szCs w:val="24"/>
        </w:rPr>
        <w:t xml:space="preserve">, and </w:t>
      </w:r>
      <w:r w:rsidRPr="0064276E">
        <w:rPr>
          <w:sz w:val="24"/>
          <w:szCs w:val="24"/>
        </w:rPr>
        <w:t>those same states saw to it that no changes w</w:t>
      </w:r>
      <w:r w:rsidR="00C41DA7" w:rsidRPr="0064276E">
        <w:rPr>
          <w:sz w:val="24"/>
          <w:szCs w:val="24"/>
        </w:rPr>
        <w:t>ould be</w:t>
      </w:r>
      <w:r w:rsidRPr="0064276E">
        <w:rPr>
          <w:sz w:val="24"/>
          <w:szCs w:val="24"/>
        </w:rPr>
        <w:t xml:space="preserve"> possible to this basic design.</w:t>
      </w:r>
      <w:bookmarkStart w:id="1" w:name="_Ref525859205"/>
      <w:r w:rsidRPr="0064276E">
        <w:rPr>
          <w:rStyle w:val="FootnoteReference"/>
          <w:sz w:val="24"/>
          <w:szCs w:val="24"/>
        </w:rPr>
        <w:footnoteReference w:id="2"/>
      </w:r>
      <w:bookmarkEnd w:id="1"/>
      <w:r w:rsidR="007950ED" w:rsidRPr="0064276E">
        <w:rPr>
          <w:sz w:val="24"/>
          <w:szCs w:val="24"/>
        </w:rPr>
        <w:t xml:space="preserve"> </w:t>
      </w:r>
    </w:p>
    <w:p w14:paraId="48CB3480" w14:textId="77777777" w:rsidR="00205067" w:rsidRPr="0064276E" w:rsidRDefault="00205067" w:rsidP="0064276E">
      <w:pPr>
        <w:rPr>
          <w:sz w:val="24"/>
          <w:szCs w:val="24"/>
        </w:rPr>
      </w:pPr>
    </w:p>
    <w:p w14:paraId="4A981048" w14:textId="46922FA5" w:rsidR="0055535F" w:rsidRPr="0064276E" w:rsidRDefault="001B514F" w:rsidP="0064276E">
      <w:pPr>
        <w:rPr>
          <w:rFonts w:cs="Tahoma"/>
          <w:sz w:val="24"/>
          <w:szCs w:val="24"/>
        </w:rPr>
      </w:pPr>
      <w:r w:rsidRPr="0064276E">
        <w:rPr>
          <w:sz w:val="24"/>
          <w:szCs w:val="24"/>
        </w:rPr>
        <w:t>T</w:t>
      </w:r>
      <w:r w:rsidR="00923021" w:rsidRPr="0064276E">
        <w:rPr>
          <w:sz w:val="24"/>
          <w:szCs w:val="24"/>
        </w:rPr>
        <w:t xml:space="preserve">hese </w:t>
      </w:r>
      <w:r w:rsidR="00587602" w:rsidRPr="0064276E">
        <w:rPr>
          <w:sz w:val="24"/>
          <w:szCs w:val="24"/>
        </w:rPr>
        <w:t>characteri</w:t>
      </w:r>
      <w:r w:rsidR="00C41DA7" w:rsidRPr="0064276E">
        <w:rPr>
          <w:sz w:val="24"/>
          <w:szCs w:val="24"/>
        </w:rPr>
        <w:t>stics</w:t>
      </w:r>
      <w:r w:rsidR="00923021" w:rsidRPr="0064276E">
        <w:rPr>
          <w:sz w:val="24"/>
          <w:szCs w:val="24"/>
        </w:rPr>
        <w:t xml:space="preserve"> presaged many of the controversies </w:t>
      </w:r>
      <w:r w:rsidRPr="0064276E">
        <w:rPr>
          <w:sz w:val="24"/>
          <w:szCs w:val="24"/>
        </w:rPr>
        <w:t xml:space="preserve">of the past seventy-five years. </w:t>
      </w:r>
      <w:r w:rsidR="001605D8" w:rsidRPr="0064276E">
        <w:rPr>
          <w:sz w:val="24"/>
          <w:szCs w:val="24"/>
        </w:rPr>
        <w:t>Optimists</w:t>
      </w:r>
      <w:r w:rsidR="002B1C0B" w:rsidRPr="0064276E">
        <w:rPr>
          <w:sz w:val="24"/>
          <w:szCs w:val="24"/>
        </w:rPr>
        <w:t xml:space="preserve"> in 1945 might have hoped that </w:t>
      </w:r>
      <w:r w:rsidR="0004024F" w:rsidRPr="0064276E">
        <w:rPr>
          <w:sz w:val="24"/>
          <w:szCs w:val="24"/>
        </w:rPr>
        <w:t>veto-wielding states</w:t>
      </w:r>
      <w:r w:rsidR="008E0FC8" w:rsidRPr="0064276E">
        <w:rPr>
          <w:sz w:val="24"/>
          <w:szCs w:val="24"/>
        </w:rPr>
        <w:t xml:space="preserve"> </w:t>
      </w:r>
      <w:r w:rsidR="001605D8" w:rsidRPr="0064276E">
        <w:rPr>
          <w:sz w:val="24"/>
          <w:szCs w:val="24"/>
        </w:rPr>
        <w:t>would</w:t>
      </w:r>
      <w:r w:rsidR="0004024F" w:rsidRPr="0064276E">
        <w:rPr>
          <w:sz w:val="24"/>
          <w:szCs w:val="24"/>
        </w:rPr>
        <w:t xml:space="preserve"> </w:t>
      </w:r>
      <w:r w:rsidR="0029543D" w:rsidRPr="0064276E">
        <w:rPr>
          <w:sz w:val="24"/>
          <w:szCs w:val="24"/>
        </w:rPr>
        <w:t>demonstrate</w:t>
      </w:r>
      <w:r w:rsidR="008E0FC8" w:rsidRPr="0064276E">
        <w:rPr>
          <w:sz w:val="24"/>
          <w:szCs w:val="24"/>
        </w:rPr>
        <w:t xml:space="preserve"> a comparable d</w:t>
      </w:r>
      <w:r w:rsidR="0029543D" w:rsidRPr="0064276E">
        <w:rPr>
          <w:sz w:val="24"/>
          <w:szCs w:val="24"/>
        </w:rPr>
        <w:t xml:space="preserve">egree of </w:t>
      </w:r>
      <w:r w:rsidR="0004024F" w:rsidRPr="0064276E">
        <w:rPr>
          <w:sz w:val="24"/>
          <w:szCs w:val="24"/>
        </w:rPr>
        <w:t>solidarity</w:t>
      </w:r>
      <w:r w:rsidR="0029543D" w:rsidRPr="0064276E">
        <w:rPr>
          <w:sz w:val="24"/>
          <w:szCs w:val="24"/>
        </w:rPr>
        <w:t xml:space="preserve"> </w:t>
      </w:r>
      <w:r w:rsidR="006E23CC" w:rsidRPr="0064276E">
        <w:rPr>
          <w:sz w:val="24"/>
          <w:szCs w:val="24"/>
        </w:rPr>
        <w:t xml:space="preserve">in the face of </w:t>
      </w:r>
      <w:r w:rsidR="0029543D" w:rsidRPr="0064276E">
        <w:rPr>
          <w:sz w:val="24"/>
          <w:szCs w:val="24"/>
        </w:rPr>
        <w:t xml:space="preserve">threats to international peace </w:t>
      </w:r>
      <w:r w:rsidR="007D62EC" w:rsidRPr="0064276E">
        <w:rPr>
          <w:sz w:val="24"/>
          <w:szCs w:val="24"/>
        </w:rPr>
        <w:t>as</w:t>
      </w:r>
      <w:r w:rsidR="00715DC7" w:rsidRPr="0064276E">
        <w:rPr>
          <w:sz w:val="24"/>
          <w:szCs w:val="24"/>
        </w:rPr>
        <w:t xml:space="preserve"> they had shown</w:t>
      </w:r>
      <w:r w:rsidR="007D62EC" w:rsidRPr="0064276E">
        <w:rPr>
          <w:sz w:val="24"/>
          <w:szCs w:val="24"/>
        </w:rPr>
        <w:t xml:space="preserve"> </w:t>
      </w:r>
      <w:r w:rsidR="006E23CC" w:rsidRPr="0064276E">
        <w:rPr>
          <w:sz w:val="24"/>
          <w:szCs w:val="24"/>
        </w:rPr>
        <w:t xml:space="preserve">in </w:t>
      </w:r>
      <w:r w:rsidR="00FE3AC5" w:rsidRPr="0064276E">
        <w:rPr>
          <w:sz w:val="24"/>
          <w:szCs w:val="24"/>
        </w:rPr>
        <w:t xml:space="preserve">defence of </w:t>
      </w:r>
      <w:r w:rsidR="0004024F" w:rsidRPr="0064276E">
        <w:rPr>
          <w:sz w:val="24"/>
          <w:szCs w:val="24"/>
        </w:rPr>
        <w:t>the</w:t>
      </w:r>
      <w:r w:rsidR="0029543D" w:rsidRPr="0064276E">
        <w:rPr>
          <w:sz w:val="24"/>
          <w:szCs w:val="24"/>
        </w:rPr>
        <w:t xml:space="preserve"> veto</w:t>
      </w:r>
      <w:r w:rsidR="001605D8" w:rsidRPr="0064276E">
        <w:rPr>
          <w:sz w:val="24"/>
          <w:szCs w:val="24"/>
        </w:rPr>
        <w:t xml:space="preserve">. </w:t>
      </w:r>
      <w:r w:rsidR="003F1383" w:rsidRPr="0064276E">
        <w:rPr>
          <w:sz w:val="24"/>
          <w:szCs w:val="24"/>
        </w:rPr>
        <w:t>However, i</w:t>
      </w:r>
      <w:r w:rsidR="002B1C0B" w:rsidRPr="0064276E">
        <w:rPr>
          <w:sz w:val="24"/>
          <w:szCs w:val="24"/>
        </w:rPr>
        <w:t xml:space="preserve">t goes without saying that this has not transpired. </w:t>
      </w:r>
      <w:r w:rsidR="00756EC6" w:rsidRPr="0064276E">
        <w:rPr>
          <w:sz w:val="24"/>
          <w:szCs w:val="24"/>
        </w:rPr>
        <w:t xml:space="preserve">Like squabbling siblings, permanent members very rarely agree. </w:t>
      </w:r>
      <w:r w:rsidR="00061DED" w:rsidRPr="0064276E">
        <w:rPr>
          <w:sz w:val="24"/>
          <w:szCs w:val="24"/>
        </w:rPr>
        <w:t xml:space="preserve">Notwithstanding </w:t>
      </w:r>
      <w:r w:rsidR="00B32AB5" w:rsidRPr="0064276E">
        <w:rPr>
          <w:sz w:val="24"/>
          <w:szCs w:val="24"/>
        </w:rPr>
        <w:t>a</w:t>
      </w:r>
      <w:r w:rsidR="00834106" w:rsidRPr="0064276E">
        <w:rPr>
          <w:sz w:val="24"/>
          <w:szCs w:val="24"/>
        </w:rPr>
        <w:t xml:space="preserve"> brief period of</w:t>
      </w:r>
      <w:r w:rsidR="00C41DA7" w:rsidRPr="0064276E">
        <w:rPr>
          <w:sz w:val="24"/>
          <w:szCs w:val="24"/>
        </w:rPr>
        <w:t xml:space="preserve"> post-Cold War unanimity</w:t>
      </w:r>
      <w:r w:rsidR="00A935C4" w:rsidRPr="0064276E">
        <w:rPr>
          <w:sz w:val="24"/>
          <w:szCs w:val="24"/>
        </w:rPr>
        <w:t xml:space="preserve"> </w:t>
      </w:r>
      <w:r w:rsidR="00A935C4" w:rsidRPr="0064276E">
        <w:rPr>
          <w:rFonts w:ascii="Times New Roman" w:hAnsi="Times New Roman" w:cs="Times New Roman"/>
          <w:sz w:val="24"/>
          <w:szCs w:val="24"/>
        </w:rPr>
        <w:t>‒</w:t>
      </w:r>
      <w:r w:rsidR="0004024F" w:rsidRPr="0064276E">
        <w:rPr>
          <w:sz w:val="24"/>
          <w:szCs w:val="24"/>
        </w:rPr>
        <w:t xml:space="preserve"> </w:t>
      </w:r>
      <w:r w:rsidR="00684A90" w:rsidRPr="0064276E">
        <w:rPr>
          <w:sz w:val="24"/>
          <w:szCs w:val="24"/>
        </w:rPr>
        <w:t xml:space="preserve">very much </w:t>
      </w:r>
      <w:r w:rsidR="0004024F" w:rsidRPr="0064276E">
        <w:rPr>
          <w:sz w:val="24"/>
          <w:szCs w:val="24"/>
        </w:rPr>
        <w:t xml:space="preserve">the </w:t>
      </w:r>
      <w:r w:rsidR="00A935C4" w:rsidRPr="0064276E">
        <w:rPr>
          <w:sz w:val="24"/>
          <w:szCs w:val="24"/>
        </w:rPr>
        <w:t xml:space="preserve">exception not the rule </w:t>
      </w:r>
      <w:r w:rsidR="00A935C4" w:rsidRPr="0064276E">
        <w:rPr>
          <w:rFonts w:ascii="Times New Roman" w:hAnsi="Times New Roman" w:cs="Times New Roman"/>
          <w:sz w:val="24"/>
          <w:szCs w:val="24"/>
        </w:rPr>
        <w:t>‒</w:t>
      </w:r>
      <w:r w:rsidR="00A935C4" w:rsidRPr="0064276E">
        <w:rPr>
          <w:sz w:val="24"/>
          <w:szCs w:val="24"/>
        </w:rPr>
        <w:t xml:space="preserve"> </w:t>
      </w:r>
      <w:r w:rsidR="00061DED" w:rsidRPr="0064276E">
        <w:rPr>
          <w:sz w:val="24"/>
          <w:szCs w:val="24"/>
        </w:rPr>
        <w:t>t</w:t>
      </w:r>
      <w:r w:rsidR="00A935C4" w:rsidRPr="0064276E">
        <w:rPr>
          <w:sz w:val="24"/>
          <w:szCs w:val="24"/>
        </w:rPr>
        <w:t xml:space="preserve">he threat and use of the </w:t>
      </w:r>
      <w:r w:rsidR="00061DED" w:rsidRPr="0064276E">
        <w:rPr>
          <w:sz w:val="24"/>
          <w:szCs w:val="24"/>
        </w:rPr>
        <w:t>permanent</w:t>
      </w:r>
      <w:r w:rsidR="00B720F3" w:rsidRPr="0064276E">
        <w:rPr>
          <w:sz w:val="24"/>
          <w:szCs w:val="24"/>
        </w:rPr>
        <w:t xml:space="preserve"> </w:t>
      </w:r>
      <w:r w:rsidR="00061DED" w:rsidRPr="0064276E">
        <w:rPr>
          <w:sz w:val="24"/>
          <w:szCs w:val="24"/>
        </w:rPr>
        <w:t xml:space="preserve">member </w:t>
      </w:r>
      <w:r w:rsidR="00A935C4" w:rsidRPr="0064276E">
        <w:rPr>
          <w:sz w:val="24"/>
          <w:szCs w:val="24"/>
        </w:rPr>
        <w:t xml:space="preserve">veto </w:t>
      </w:r>
      <w:r w:rsidR="001337F3" w:rsidRPr="0064276E">
        <w:rPr>
          <w:sz w:val="24"/>
          <w:szCs w:val="24"/>
        </w:rPr>
        <w:t>are</w:t>
      </w:r>
      <w:r w:rsidR="00A935C4" w:rsidRPr="0064276E">
        <w:rPr>
          <w:sz w:val="24"/>
          <w:szCs w:val="24"/>
        </w:rPr>
        <w:t xml:space="preserve"> as widespread </w:t>
      </w:r>
      <w:r w:rsidR="00061DED" w:rsidRPr="0064276E">
        <w:rPr>
          <w:sz w:val="24"/>
          <w:szCs w:val="24"/>
        </w:rPr>
        <w:t xml:space="preserve">today </w:t>
      </w:r>
      <w:r w:rsidR="00A06889" w:rsidRPr="0064276E">
        <w:rPr>
          <w:sz w:val="24"/>
          <w:szCs w:val="24"/>
        </w:rPr>
        <w:t>as</w:t>
      </w:r>
      <w:r w:rsidR="00061DED" w:rsidRPr="0064276E">
        <w:rPr>
          <w:sz w:val="24"/>
          <w:szCs w:val="24"/>
        </w:rPr>
        <w:t xml:space="preserve"> </w:t>
      </w:r>
      <w:r w:rsidR="00A935C4" w:rsidRPr="0064276E">
        <w:rPr>
          <w:sz w:val="24"/>
          <w:szCs w:val="24"/>
        </w:rPr>
        <w:t xml:space="preserve">at any other time in the Organisation’s </w:t>
      </w:r>
      <w:r w:rsidR="006E23CC" w:rsidRPr="0064276E">
        <w:rPr>
          <w:sz w:val="24"/>
          <w:szCs w:val="24"/>
        </w:rPr>
        <w:t>history</w:t>
      </w:r>
      <w:r w:rsidR="000C63EB" w:rsidRPr="0064276E">
        <w:rPr>
          <w:sz w:val="24"/>
          <w:szCs w:val="24"/>
        </w:rPr>
        <w:t>.</w:t>
      </w:r>
      <w:r w:rsidR="00B32AB5" w:rsidRPr="0064276E">
        <w:rPr>
          <w:rStyle w:val="FootnoteReference"/>
          <w:sz w:val="24"/>
          <w:szCs w:val="24"/>
        </w:rPr>
        <w:footnoteReference w:id="3"/>
      </w:r>
      <w:r w:rsidR="0055535F" w:rsidRPr="0064276E">
        <w:rPr>
          <w:rFonts w:cs="Tahoma"/>
          <w:sz w:val="24"/>
          <w:szCs w:val="24"/>
        </w:rPr>
        <w:t xml:space="preserve"> </w:t>
      </w:r>
    </w:p>
    <w:p w14:paraId="3A18D058" w14:textId="77777777" w:rsidR="0055535F" w:rsidRPr="0064276E" w:rsidRDefault="0055535F" w:rsidP="0064276E">
      <w:pPr>
        <w:rPr>
          <w:spacing w:val="3"/>
          <w:sz w:val="24"/>
          <w:szCs w:val="24"/>
          <w:shd w:val="clear" w:color="auto" w:fill="FFFFFF"/>
        </w:rPr>
      </w:pPr>
    </w:p>
    <w:p w14:paraId="0E3BCE88" w14:textId="53D8F90C" w:rsidR="00F249E7" w:rsidRPr="0064276E" w:rsidRDefault="0055535F" w:rsidP="0064276E">
      <w:pPr>
        <w:rPr>
          <w:sz w:val="24"/>
          <w:szCs w:val="24"/>
          <w:shd w:val="clear" w:color="auto" w:fill="FFFFFF"/>
        </w:rPr>
      </w:pPr>
      <w:r w:rsidRPr="0064276E">
        <w:rPr>
          <w:spacing w:val="3"/>
          <w:sz w:val="24"/>
          <w:szCs w:val="24"/>
          <w:shd w:val="clear" w:color="auto" w:fill="FFFFFF"/>
        </w:rPr>
        <w:t xml:space="preserve">Jennifer Trahan’s ambitious monograph, </w:t>
      </w:r>
      <w:r w:rsidRPr="0064276E">
        <w:rPr>
          <w:i/>
          <w:sz w:val="24"/>
          <w:szCs w:val="24"/>
          <w:shd w:val="clear" w:color="auto" w:fill="FFFFFF"/>
        </w:rPr>
        <w:t>Existing Limits to the Security Council Veto Power in the Face of Atrocity Crimes</w:t>
      </w:r>
      <w:r w:rsidRPr="0064276E">
        <w:rPr>
          <w:spacing w:val="3"/>
          <w:sz w:val="24"/>
          <w:szCs w:val="24"/>
          <w:shd w:val="clear" w:color="auto" w:fill="FFFFFF"/>
        </w:rPr>
        <w:t>, reminds us, with a specific fo</w:t>
      </w:r>
      <w:r w:rsidRPr="0064276E">
        <w:rPr>
          <w:sz w:val="24"/>
          <w:szCs w:val="24"/>
          <w:shd w:val="clear" w:color="auto" w:fill="FFFFFF"/>
        </w:rPr>
        <w:t>cus on the Council’s recent failures in Syria and Myanmar,</w:t>
      </w:r>
      <w:r w:rsidRPr="0064276E">
        <w:rPr>
          <w:spacing w:val="3"/>
          <w:sz w:val="24"/>
          <w:szCs w:val="24"/>
          <w:shd w:val="clear" w:color="auto" w:fill="FFFFFF"/>
        </w:rPr>
        <w:t xml:space="preserve"> that the veto-problem takes on its darkest dimension </w:t>
      </w:r>
      <w:r w:rsidRPr="0064276E">
        <w:rPr>
          <w:sz w:val="24"/>
          <w:szCs w:val="24"/>
          <w:shd w:val="clear" w:color="auto" w:fill="FFFFFF"/>
        </w:rPr>
        <w:t xml:space="preserve">when the resulting Security Council inaction ignores </w:t>
      </w:r>
      <w:r w:rsidRPr="0064276E">
        <w:rPr>
          <w:rFonts w:ascii="Times New Roman" w:hAnsi="Times New Roman" w:cs="Times New Roman"/>
          <w:sz w:val="24"/>
          <w:szCs w:val="24"/>
          <w:shd w:val="clear" w:color="auto" w:fill="FFFFFF"/>
        </w:rPr>
        <w:t>‒</w:t>
      </w:r>
      <w:r w:rsidRPr="0064276E">
        <w:rPr>
          <w:sz w:val="24"/>
          <w:szCs w:val="24"/>
          <w:shd w:val="clear" w:color="auto" w:fill="FFFFFF"/>
        </w:rPr>
        <w:t xml:space="preserve"> or, worse, contributes towards </w:t>
      </w:r>
      <w:r w:rsidRPr="0064276E">
        <w:rPr>
          <w:rFonts w:ascii="Times New Roman" w:hAnsi="Times New Roman" w:cs="Times New Roman"/>
          <w:sz w:val="24"/>
          <w:szCs w:val="24"/>
          <w:shd w:val="clear" w:color="auto" w:fill="FFFFFF"/>
        </w:rPr>
        <w:t>‒</w:t>
      </w:r>
      <w:r w:rsidRPr="0064276E">
        <w:rPr>
          <w:sz w:val="24"/>
          <w:szCs w:val="24"/>
          <w:shd w:val="clear" w:color="auto" w:fill="FFFFFF"/>
        </w:rPr>
        <w:t xml:space="preserve"> the most egregious international crimes and widespread human suffering.</w:t>
      </w:r>
      <w:r w:rsidR="00F249E7" w:rsidRPr="0064276E">
        <w:rPr>
          <w:rFonts w:cs="Tahoma"/>
          <w:sz w:val="24"/>
          <w:szCs w:val="24"/>
        </w:rPr>
        <w:t xml:space="preserve"> </w:t>
      </w:r>
      <w:r w:rsidR="002B1C0B" w:rsidRPr="0064276E">
        <w:rPr>
          <w:sz w:val="24"/>
          <w:szCs w:val="24"/>
        </w:rPr>
        <w:t>The problem, th</w:t>
      </w:r>
      <w:r w:rsidRPr="0064276E">
        <w:rPr>
          <w:sz w:val="24"/>
          <w:szCs w:val="24"/>
        </w:rPr>
        <w:t>ough</w:t>
      </w:r>
      <w:r w:rsidR="002B1C0B" w:rsidRPr="0064276E">
        <w:rPr>
          <w:sz w:val="24"/>
          <w:szCs w:val="24"/>
        </w:rPr>
        <w:t xml:space="preserve">, is not so much in identifying the </w:t>
      </w:r>
      <w:r w:rsidR="00784170" w:rsidRPr="0064276E">
        <w:rPr>
          <w:sz w:val="24"/>
          <w:szCs w:val="24"/>
        </w:rPr>
        <w:t xml:space="preserve">perennial </w:t>
      </w:r>
      <w:r w:rsidR="002B1C0B" w:rsidRPr="0064276E">
        <w:rPr>
          <w:sz w:val="24"/>
          <w:szCs w:val="24"/>
          <w:shd w:val="clear" w:color="auto" w:fill="FFFFFF"/>
        </w:rPr>
        <w:t xml:space="preserve">veto-shaped Gordian Knot, but in working out what to do about it. </w:t>
      </w:r>
      <w:r w:rsidR="00784170" w:rsidRPr="0064276E">
        <w:rPr>
          <w:sz w:val="24"/>
          <w:szCs w:val="24"/>
          <w:shd w:val="clear" w:color="auto" w:fill="FFFFFF"/>
        </w:rPr>
        <w:t>T</w:t>
      </w:r>
      <w:r w:rsidRPr="0064276E">
        <w:rPr>
          <w:sz w:val="24"/>
          <w:szCs w:val="24"/>
          <w:shd w:val="clear" w:color="auto" w:fill="FFFFFF"/>
        </w:rPr>
        <w:t xml:space="preserve">here </w:t>
      </w:r>
      <w:r w:rsidR="00E15884" w:rsidRPr="0064276E">
        <w:rPr>
          <w:sz w:val="24"/>
          <w:szCs w:val="24"/>
          <w:shd w:val="clear" w:color="auto" w:fill="FFFFFF"/>
        </w:rPr>
        <w:t>is</w:t>
      </w:r>
      <w:r w:rsidRPr="0064276E">
        <w:rPr>
          <w:sz w:val="24"/>
          <w:szCs w:val="24"/>
          <w:shd w:val="clear" w:color="auto" w:fill="FFFFFF"/>
        </w:rPr>
        <w:t xml:space="preserve"> no shortage of proposals</w:t>
      </w:r>
      <w:r w:rsidR="00784170" w:rsidRPr="0064276E">
        <w:rPr>
          <w:sz w:val="24"/>
          <w:szCs w:val="24"/>
          <w:shd w:val="clear" w:color="auto" w:fill="FFFFFF"/>
        </w:rPr>
        <w:t xml:space="preserve"> to reform Security Council to curtail veto abuse, which ensure that </w:t>
      </w:r>
      <w:r w:rsidR="005919DE" w:rsidRPr="0064276E">
        <w:rPr>
          <w:i/>
          <w:sz w:val="24"/>
          <w:szCs w:val="24"/>
          <w:shd w:val="clear" w:color="auto" w:fill="FFFFFF"/>
        </w:rPr>
        <w:t xml:space="preserve">Existing Limits </w:t>
      </w:r>
      <w:r w:rsidR="00D65F10" w:rsidRPr="0064276E">
        <w:rPr>
          <w:sz w:val="24"/>
          <w:szCs w:val="24"/>
          <w:shd w:val="clear" w:color="auto" w:fill="FFFFFF"/>
        </w:rPr>
        <w:t>enters an already</w:t>
      </w:r>
      <w:r w:rsidR="00170C40" w:rsidRPr="0064276E">
        <w:rPr>
          <w:sz w:val="24"/>
          <w:szCs w:val="24"/>
        </w:rPr>
        <w:t xml:space="preserve"> rich, almost saturated, </w:t>
      </w:r>
      <w:r w:rsidR="005919DE" w:rsidRPr="0064276E">
        <w:rPr>
          <w:sz w:val="24"/>
          <w:szCs w:val="24"/>
        </w:rPr>
        <w:t xml:space="preserve">body of </w:t>
      </w:r>
      <w:r w:rsidR="00170C40" w:rsidRPr="0064276E">
        <w:rPr>
          <w:sz w:val="24"/>
          <w:szCs w:val="24"/>
        </w:rPr>
        <w:t>literature</w:t>
      </w:r>
      <w:r w:rsidR="00E15884" w:rsidRPr="0064276E">
        <w:rPr>
          <w:sz w:val="24"/>
          <w:szCs w:val="24"/>
        </w:rPr>
        <w:t>.</w:t>
      </w:r>
      <w:r w:rsidR="00E15884" w:rsidRPr="0064276E">
        <w:rPr>
          <w:rStyle w:val="FootnoteReference"/>
          <w:sz w:val="24"/>
          <w:szCs w:val="24"/>
          <w:shd w:val="clear" w:color="auto" w:fill="FFFFFF"/>
        </w:rPr>
        <w:footnoteReference w:id="4"/>
      </w:r>
      <w:r w:rsidR="00E15884" w:rsidRPr="0064276E">
        <w:rPr>
          <w:sz w:val="24"/>
          <w:szCs w:val="24"/>
          <w:shd w:val="clear" w:color="auto" w:fill="FFFFFF"/>
        </w:rPr>
        <w:t xml:space="preserve"> </w:t>
      </w:r>
    </w:p>
    <w:p w14:paraId="64107EF6" w14:textId="77777777" w:rsidR="00F249E7" w:rsidRPr="0064276E" w:rsidRDefault="00F249E7" w:rsidP="0064276E">
      <w:pPr>
        <w:rPr>
          <w:sz w:val="24"/>
          <w:szCs w:val="24"/>
          <w:shd w:val="clear" w:color="auto" w:fill="FFFFFF"/>
        </w:rPr>
      </w:pPr>
    </w:p>
    <w:p w14:paraId="3E4C23DC" w14:textId="4A4ECEB1" w:rsidR="00193AAB" w:rsidRPr="0064276E" w:rsidRDefault="00587602" w:rsidP="0064276E">
      <w:pPr>
        <w:rPr>
          <w:rFonts w:cs="Tahoma"/>
          <w:sz w:val="24"/>
          <w:szCs w:val="24"/>
        </w:rPr>
      </w:pPr>
      <w:r w:rsidRPr="0064276E">
        <w:rPr>
          <w:sz w:val="24"/>
          <w:szCs w:val="24"/>
          <w:shd w:val="clear" w:color="auto" w:fill="FFFFFF"/>
        </w:rPr>
        <w:lastRenderedPageBreak/>
        <w:t>Trahan</w:t>
      </w:r>
      <w:r w:rsidR="00784170" w:rsidRPr="0064276E">
        <w:rPr>
          <w:sz w:val="24"/>
          <w:szCs w:val="24"/>
          <w:shd w:val="clear" w:color="auto" w:fill="FFFFFF"/>
        </w:rPr>
        <w:t xml:space="preserve"> should be credited for forging a fresh perspective in this congested space, which she achieves</w:t>
      </w:r>
      <w:r w:rsidRPr="0064276E">
        <w:rPr>
          <w:sz w:val="24"/>
          <w:szCs w:val="24"/>
          <w:shd w:val="clear" w:color="auto" w:fill="FFFFFF"/>
        </w:rPr>
        <w:t xml:space="preserve"> </w:t>
      </w:r>
      <w:r w:rsidR="00784170" w:rsidRPr="0064276E">
        <w:rPr>
          <w:sz w:val="24"/>
          <w:szCs w:val="24"/>
          <w:shd w:val="clear" w:color="auto" w:fill="FFFFFF"/>
        </w:rPr>
        <w:t xml:space="preserve">by </w:t>
      </w:r>
      <w:r w:rsidR="00D031DA" w:rsidRPr="0064276E">
        <w:rPr>
          <w:sz w:val="24"/>
          <w:szCs w:val="24"/>
          <w:shd w:val="clear" w:color="auto" w:fill="FFFFFF"/>
        </w:rPr>
        <w:t>position</w:t>
      </w:r>
      <w:r w:rsidR="00784170" w:rsidRPr="0064276E">
        <w:rPr>
          <w:sz w:val="24"/>
          <w:szCs w:val="24"/>
          <w:shd w:val="clear" w:color="auto" w:fill="FFFFFF"/>
        </w:rPr>
        <w:t>ing</w:t>
      </w:r>
      <w:r w:rsidR="00D031DA" w:rsidRPr="0064276E">
        <w:rPr>
          <w:sz w:val="24"/>
          <w:szCs w:val="24"/>
          <w:shd w:val="clear" w:color="auto" w:fill="FFFFFF"/>
        </w:rPr>
        <w:t xml:space="preserve"> </w:t>
      </w:r>
      <w:r w:rsidR="00D30267" w:rsidRPr="0064276E">
        <w:rPr>
          <w:i/>
          <w:sz w:val="24"/>
          <w:szCs w:val="24"/>
          <w:shd w:val="clear" w:color="auto" w:fill="FFFFFF"/>
        </w:rPr>
        <w:t xml:space="preserve">Existing </w:t>
      </w:r>
      <w:r w:rsidR="00D031DA" w:rsidRPr="0064276E">
        <w:rPr>
          <w:i/>
          <w:sz w:val="24"/>
          <w:szCs w:val="24"/>
          <w:shd w:val="clear" w:color="auto" w:fill="FFFFFF"/>
        </w:rPr>
        <w:t xml:space="preserve">Limits </w:t>
      </w:r>
      <w:r w:rsidR="00D30267" w:rsidRPr="0064276E">
        <w:rPr>
          <w:sz w:val="24"/>
          <w:szCs w:val="24"/>
        </w:rPr>
        <w:t>as a ‘complementary’</w:t>
      </w:r>
      <w:r w:rsidR="004F477C" w:rsidRPr="0064276E">
        <w:rPr>
          <w:sz w:val="24"/>
          <w:szCs w:val="24"/>
        </w:rPr>
        <w:t xml:space="preserve"> endeavour (p </w:t>
      </w:r>
      <w:r w:rsidR="00A41F83" w:rsidRPr="0064276E">
        <w:rPr>
          <w:sz w:val="24"/>
          <w:szCs w:val="24"/>
        </w:rPr>
        <w:t>1</w:t>
      </w:r>
      <w:r w:rsidR="004F477C" w:rsidRPr="0064276E">
        <w:rPr>
          <w:sz w:val="24"/>
          <w:szCs w:val="24"/>
        </w:rPr>
        <w:t>)</w:t>
      </w:r>
      <w:r w:rsidR="00784170" w:rsidRPr="0064276E">
        <w:rPr>
          <w:sz w:val="24"/>
          <w:szCs w:val="24"/>
        </w:rPr>
        <w:t xml:space="preserve"> to</w:t>
      </w:r>
      <w:r w:rsidR="00125435" w:rsidRPr="0064276E">
        <w:rPr>
          <w:sz w:val="24"/>
          <w:szCs w:val="24"/>
        </w:rPr>
        <w:t xml:space="preserve"> reform proposals. In truth, Trahan </w:t>
      </w:r>
      <w:r w:rsidR="004F477C" w:rsidRPr="0064276E">
        <w:rPr>
          <w:sz w:val="24"/>
          <w:szCs w:val="24"/>
        </w:rPr>
        <w:t xml:space="preserve">displays a </w:t>
      </w:r>
      <w:r w:rsidR="00D30267" w:rsidRPr="0064276E">
        <w:rPr>
          <w:sz w:val="24"/>
          <w:szCs w:val="24"/>
          <w:shd w:val="clear" w:color="auto" w:fill="FFFFFF"/>
        </w:rPr>
        <w:t>deeper</w:t>
      </w:r>
      <w:r w:rsidR="00D30267" w:rsidRPr="0064276E">
        <w:rPr>
          <w:sz w:val="24"/>
          <w:szCs w:val="24"/>
        </w:rPr>
        <w:t xml:space="preserve"> scepticism towards these approaches than </w:t>
      </w:r>
      <w:r w:rsidR="004F477C" w:rsidRPr="0064276E">
        <w:rPr>
          <w:sz w:val="24"/>
          <w:szCs w:val="24"/>
        </w:rPr>
        <w:t>this</w:t>
      </w:r>
      <w:r w:rsidR="00D30267" w:rsidRPr="0064276E">
        <w:rPr>
          <w:sz w:val="24"/>
          <w:szCs w:val="24"/>
        </w:rPr>
        <w:t xml:space="preserve"> description might imply</w:t>
      </w:r>
      <w:r w:rsidR="00125435" w:rsidRPr="0064276E">
        <w:rPr>
          <w:sz w:val="24"/>
          <w:szCs w:val="24"/>
        </w:rPr>
        <w:t>, but this</w:t>
      </w:r>
      <w:r w:rsidR="00D30267" w:rsidRPr="0064276E">
        <w:rPr>
          <w:sz w:val="24"/>
          <w:szCs w:val="24"/>
        </w:rPr>
        <w:t xml:space="preserve"> scepticism is justifiable</w:t>
      </w:r>
      <w:r w:rsidR="00DF54FA" w:rsidRPr="0064276E">
        <w:rPr>
          <w:sz w:val="24"/>
          <w:szCs w:val="24"/>
        </w:rPr>
        <w:t>.</w:t>
      </w:r>
      <w:r w:rsidR="00D30267" w:rsidRPr="0064276E">
        <w:rPr>
          <w:sz w:val="24"/>
          <w:szCs w:val="24"/>
        </w:rPr>
        <w:t xml:space="preserve"> </w:t>
      </w:r>
      <w:r w:rsidR="00D30267" w:rsidRPr="0064276E">
        <w:rPr>
          <w:spacing w:val="3"/>
          <w:sz w:val="24"/>
          <w:szCs w:val="24"/>
          <w:shd w:val="clear" w:color="auto" w:fill="FFFFFF"/>
        </w:rPr>
        <w:t>Just like squabbling siblings might close in on outside threat</w:t>
      </w:r>
      <w:r w:rsidR="00F249E7" w:rsidRPr="0064276E">
        <w:rPr>
          <w:spacing w:val="3"/>
          <w:sz w:val="24"/>
          <w:szCs w:val="24"/>
          <w:shd w:val="clear" w:color="auto" w:fill="FFFFFF"/>
        </w:rPr>
        <w:t>s</w:t>
      </w:r>
      <w:r w:rsidR="00D30267" w:rsidRPr="0064276E">
        <w:rPr>
          <w:spacing w:val="3"/>
          <w:sz w:val="24"/>
          <w:szCs w:val="24"/>
          <w:shd w:val="clear" w:color="auto" w:fill="FFFFFF"/>
        </w:rPr>
        <w:t xml:space="preserve"> to the family, the permanent members have been quick to put aside any fleeting rivalries of the day to bat away threats to the continued existence of their beloved veto.</w:t>
      </w:r>
      <w:r w:rsidR="00D30267" w:rsidRPr="0064276E">
        <w:rPr>
          <w:sz w:val="24"/>
          <w:szCs w:val="24"/>
        </w:rPr>
        <w:t xml:space="preserve"> </w:t>
      </w:r>
      <w:r w:rsidR="00125435" w:rsidRPr="0064276E">
        <w:rPr>
          <w:sz w:val="24"/>
          <w:szCs w:val="24"/>
        </w:rPr>
        <w:t xml:space="preserve">Carving a different path, </w:t>
      </w:r>
      <w:r w:rsidR="00D031DA" w:rsidRPr="0064276E">
        <w:rPr>
          <w:sz w:val="24"/>
          <w:szCs w:val="24"/>
        </w:rPr>
        <w:t xml:space="preserve">the book’s </w:t>
      </w:r>
      <w:r w:rsidR="00970F1B" w:rsidRPr="0064276E">
        <w:rPr>
          <w:sz w:val="24"/>
          <w:szCs w:val="24"/>
          <w:shd w:val="clear" w:color="auto" w:fill="FFFFFF"/>
        </w:rPr>
        <w:t>objective is</w:t>
      </w:r>
      <w:r w:rsidR="00DF54FA" w:rsidRPr="0064276E">
        <w:rPr>
          <w:sz w:val="24"/>
          <w:szCs w:val="24"/>
          <w:shd w:val="clear" w:color="auto" w:fill="FFFFFF"/>
        </w:rPr>
        <w:t xml:space="preserve"> not to as</w:t>
      </w:r>
      <w:r w:rsidR="00970F1B" w:rsidRPr="0064276E">
        <w:rPr>
          <w:sz w:val="24"/>
          <w:szCs w:val="24"/>
          <w:shd w:val="clear" w:color="auto" w:fill="FFFFFF"/>
        </w:rPr>
        <w:t>sess</w:t>
      </w:r>
      <w:r w:rsidR="00DF54FA" w:rsidRPr="0064276E">
        <w:rPr>
          <w:sz w:val="24"/>
          <w:szCs w:val="24"/>
          <w:shd w:val="clear" w:color="auto" w:fill="FFFFFF"/>
        </w:rPr>
        <w:t xml:space="preserve"> the feasibility of reform, but</w:t>
      </w:r>
      <w:r w:rsidR="00970F1B" w:rsidRPr="0064276E">
        <w:rPr>
          <w:sz w:val="24"/>
          <w:szCs w:val="24"/>
          <w:shd w:val="clear" w:color="auto" w:fill="FFFFFF"/>
        </w:rPr>
        <w:t xml:space="preserve"> </w:t>
      </w:r>
      <w:r w:rsidR="00D30267" w:rsidRPr="0064276E">
        <w:rPr>
          <w:iCs/>
          <w:sz w:val="24"/>
          <w:szCs w:val="24"/>
          <w:shd w:val="clear" w:color="auto" w:fill="FFFFFF"/>
        </w:rPr>
        <w:t>the prima facie</w:t>
      </w:r>
      <w:r w:rsidR="00970F1B" w:rsidRPr="0064276E">
        <w:rPr>
          <w:i/>
          <w:iCs/>
          <w:sz w:val="24"/>
          <w:szCs w:val="24"/>
          <w:shd w:val="clear" w:color="auto" w:fill="FFFFFF"/>
        </w:rPr>
        <w:t xml:space="preserve"> legality</w:t>
      </w:r>
      <w:r w:rsidR="00970F1B" w:rsidRPr="0064276E">
        <w:rPr>
          <w:sz w:val="24"/>
          <w:szCs w:val="24"/>
          <w:shd w:val="clear" w:color="auto" w:fill="FFFFFF"/>
        </w:rPr>
        <w:t xml:space="preserve"> of veto use in the fac</w:t>
      </w:r>
      <w:r w:rsidR="00A41F83" w:rsidRPr="0064276E">
        <w:rPr>
          <w:sz w:val="24"/>
          <w:szCs w:val="24"/>
          <w:shd w:val="clear" w:color="auto" w:fill="FFFFFF"/>
        </w:rPr>
        <w:t>e</w:t>
      </w:r>
      <w:r w:rsidR="00970F1B" w:rsidRPr="0064276E">
        <w:rPr>
          <w:sz w:val="24"/>
          <w:szCs w:val="24"/>
          <w:shd w:val="clear" w:color="auto" w:fill="FFFFFF"/>
        </w:rPr>
        <w:t xml:space="preserve"> of ongoing genocide, crimes against humanity, and/or war crimes</w:t>
      </w:r>
      <w:r w:rsidR="00970F1B" w:rsidRPr="0064276E">
        <w:rPr>
          <w:sz w:val="24"/>
          <w:szCs w:val="24"/>
        </w:rPr>
        <w:t xml:space="preserve"> (p 2).</w:t>
      </w:r>
      <w:r w:rsidR="00970F1B" w:rsidRPr="0064276E">
        <w:rPr>
          <w:rStyle w:val="FootnoteReference"/>
          <w:sz w:val="24"/>
          <w:szCs w:val="24"/>
        </w:rPr>
        <w:footnoteReference w:id="5"/>
      </w:r>
      <w:r w:rsidR="00970F1B" w:rsidRPr="0064276E">
        <w:rPr>
          <w:sz w:val="24"/>
          <w:szCs w:val="24"/>
        </w:rPr>
        <w:t xml:space="preserve"> In a nutshell, </w:t>
      </w:r>
      <w:r w:rsidR="00125435" w:rsidRPr="0064276E">
        <w:rPr>
          <w:sz w:val="24"/>
          <w:szCs w:val="24"/>
        </w:rPr>
        <w:t>Trahan’s</w:t>
      </w:r>
      <w:r w:rsidR="00970F1B" w:rsidRPr="0064276E">
        <w:rPr>
          <w:sz w:val="24"/>
          <w:szCs w:val="24"/>
        </w:rPr>
        <w:t xml:space="preserve"> argument is encapsulated in the final sentence of the </w:t>
      </w:r>
      <w:r w:rsidR="00B32AB5" w:rsidRPr="0064276E">
        <w:rPr>
          <w:sz w:val="24"/>
          <w:szCs w:val="24"/>
        </w:rPr>
        <w:t>I</w:t>
      </w:r>
      <w:r w:rsidR="00970F1B" w:rsidRPr="0064276E">
        <w:rPr>
          <w:sz w:val="24"/>
          <w:szCs w:val="24"/>
        </w:rPr>
        <w:t>ntroduct</w:t>
      </w:r>
      <w:r w:rsidR="00B32AB5" w:rsidRPr="0064276E">
        <w:rPr>
          <w:sz w:val="24"/>
          <w:szCs w:val="24"/>
        </w:rPr>
        <w:t>ion</w:t>
      </w:r>
      <w:r w:rsidR="00970F1B" w:rsidRPr="0064276E">
        <w:rPr>
          <w:sz w:val="24"/>
          <w:szCs w:val="24"/>
        </w:rPr>
        <w:t>: ‘[f]or too long has the veto power been treated as if it is above all sources of international law, when it is not’ (p 8).</w:t>
      </w:r>
      <w:r w:rsidR="00D031DA" w:rsidRPr="0064276E">
        <w:rPr>
          <w:sz w:val="24"/>
          <w:szCs w:val="24"/>
        </w:rPr>
        <w:t xml:space="preserve"> </w:t>
      </w:r>
    </w:p>
    <w:p w14:paraId="03BB7ACB" w14:textId="77777777" w:rsidR="00193AAB" w:rsidRPr="0064276E" w:rsidRDefault="00193AAB" w:rsidP="0064276E">
      <w:pPr>
        <w:rPr>
          <w:sz w:val="24"/>
          <w:szCs w:val="24"/>
        </w:rPr>
      </w:pPr>
    </w:p>
    <w:p w14:paraId="292B9831" w14:textId="768E05D2" w:rsidR="00E33434" w:rsidRPr="0064276E" w:rsidRDefault="004F1BDB" w:rsidP="0064276E">
      <w:pPr>
        <w:rPr>
          <w:sz w:val="24"/>
          <w:szCs w:val="24"/>
        </w:rPr>
      </w:pPr>
      <w:r w:rsidRPr="0064276E">
        <w:rPr>
          <w:sz w:val="24"/>
          <w:szCs w:val="24"/>
        </w:rPr>
        <w:t>T</w:t>
      </w:r>
      <w:r w:rsidR="001B76E2" w:rsidRPr="0064276E">
        <w:rPr>
          <w:sz w:val="24"/>
          <w:szCs w:val="24"/>
        </w:rPr>
        <w:t>his</w:t>
      </w:r>
      <w:r w:rsidRPr="0064276E">
        <w:rPr>
          <w:sz w:val="24"/>
          <w:szCs w:val="24"/>
        </w:rPr>
        <w:t xml:space="preserve"> </w:t>
      </w:r>
      <w:r w:rsidR="00225FB2" w:rsidRPr="0064276E">
        <w:rPr>
          <w:sz w:val="24"/>
          <w:szCs w:val="24"/>
        </w:rPr>
        <w:t>legalistic</w:t>
      </w:r>
      <w:r w:rsidR="00970F1B" w:rsidRPr="0064276E">
        <w:rPr>
          <w:sz w:val="24"/>
          <w:szCs w:val="24"/>
        </w:rPr>
        <w:t>, positivist</w:t>
      </w:r>
      <w:r w:rsidR="00225FB2" w:rsidRPr="0064276E">
        <w:rPr>
          <w:sz w:val="24"/>
          <w:szCs w:val="24"/>
        </w:rPr>
        <w:t xml:space="preserve"> </w:t>
      </w:r>
      <w:r w:rsidRPr="0064276E">
        <w:rPr>
          <w:sz w:val="24"/>
          <w:szCs w:val="24"/>
        </w:rPr>
        <w:t>methodology</w:t>
      </w:r>
      <w:r w:rsidR="00225FB2" w:rsidRPr="0064276E">
        <w:rPr>
          <w:sz w:val="24"/>
          <w:szCs w:val="24"/>
        </w:rPr>
        <w:t xml:space="preserve">, </w:t>
      </w:r>
      <w:r w:rsidRPr="0064276E">
        <w:rPr>
          <w:sz w:val="24"/>
          <w:szCs w:val="24"/>
        </w:rPr>
        <w:t>and the thesis that flows from it</w:t>
      </w:r>
      <w:r w:rsidR="00225FB2" w:rsidRPr="0064276E">
        <w:rPr>
          <w:sz w:val="24"/>
          <w:szCs w:val="24"/>
        </w:rPr>
        <w:t xml:space="preserve">, </w:t>
      </w:r>
      <w:r w:rsidR="00A41F83" w:rsidRPr="0064276E">
        <w:rPr>
          <w:sz w:val="24"/>
          <w:szCs w:val="24"/>
        </w:rPr>
        <w:t>is</w:t>
      </w:r>
      <w:r w:rsidRPr="0064276E">
        <w:rPr>
          <w:sz w:val="24"/>
          <w:szCs w:val="24"/>
        </w:rPr>
        <w:t xml:space="preserve"> </w:t>
      </w:r>
      <w:r w:rsidR="00225FB2" w:rsidRPr="0064276E">
        <w:rPr>
          <w:sz w:val="24"/>
          <w:szCs w:val="24"/>
        </w:rPr>
        <w:t>simultaneously</w:t>
      </w:r>
      <w:r w:rsidRPr="0064276E">
        <w:rPr>
          <w:sz w:val="24"/>
          <w:szCs w:val="24"/>
        </w:rPr>
        <w:t xml:space="preserve"> the most </w:t>
      </w:r>
      <w:r w:rsidR="00225FB2" w:rsidRPr="0064276E">
        <w:rPr>
          <w:sz w:val="24"/>
          <w:szCs w:val="24"/>
        </w:rPr>
        <w:t>intriguing</w:t>
      </w:r>
      <w:r w:rsidRPr="0064276E">
        <w:rPr>
          <w:sz w:val="24"/>
          <w:szCs w:val="24"/>
        </w:rPr>
        <w:t xml:space="preserve"> and the most contestable aspect of the book.</w:t>
      </w:r>
      <w:r w:rsidR="00D031DA" w:rsidRPr="0064276E">
        <w:rPr>
          <w:sz w:val="24"/>
          <w:szCs w:val="24"/>
        </w:rPr>
        <w:t xml:space="preserve"> I</w:t>
      </w:r>
      <w:r w:rsidR="004F477C" w:rsidRPr="0064276E">
        <w:rPr>
          <w:sz w:val="24"/>
          <w:szCs w:val="24"/>
        </w:rPr>
        <w:t>t</w:t>
      </w:r>
      <w:r w:rsidR="00A41F83" w:rsidRPr="0064276E">
        <w:rPr>
          <w:sz w:val="24"/>
          <w:szCs w:val="24"/>
        </w:rPr>
        <w:t xml:space="preserve"> </w:t>
      </w:r>
      <w:r w:rsidR="004F477C" w:rsidRPr="0064276E">
        <w:rPr>
          <w:sz w:val="24"/>
          <w:szCs w:val="24"/>
        </w:rPr>
        <w:t>is i</w:t>
      </w:r>
      <w:r w:rsidR="00D031DA" w:rsidRPr="0064276E">
        <w:rPr>
          <w:sz w:val="24"/>
          <w:szCs w:val="24"/>
        </w:rPr>
        <w:t xml:space="preserve">ntriguing as </w:t>
      </w:r>
      <w:r w:rsidR="004F477C" w:rsidRPr="0064276E">
        <w:rPr>
          <w:sz w:val="24"/>
          <w:szCs w:val="24"/>
        </w:rPr>
        <w:t xml:space="preserve">Trahan offers here </w:t>
      </w:r>
      <w:r w:rsidR="00D031DA" w:rsidRPr="0064276E">
        <w:rPr>
          <w:sz w:val="24"/>
          <w:szCs w:val="24"/>
        </w:rPr>
        <w:t>perhaps the boldest</w:t>
      </w:r>
      <w:r w:rsidR="00E33434" w:rsidRPr="0064276E">
        <w:rPr>
          <w:sz w:val="24"/>
          <w:szCs w:val="24"/>
        </w:rPr>
        <w:t xml:space="preserve">, and </w:t>
      </w:r>
      <w:r w:rsidR="00F249E7" w:rsidRPr="0064276E">
        <w:rPr>
          <w:sz w:val="24"/>
          <w:szCs w:val="24"/>
        </w:rPr>
        <w:t xml:space="preserve">certainly </w:t>
      </w:r>
      <w:r w:rsidR="00193AAB" w:rsidRPr="0064276E">
        <w:rPr>
          <w:sz w:val="24"/>
          <w:szCs w:val="24"/>
        </w:rPr>
        <w:t>one of</w:t>
      </w:r>
      <w:r w:rsidR="00E33434" w:rsidRPr="0064276E">
        <w:rPr>
          <w:sz w:val="24"/>
          <w:szCs w:val="24"/>
        </w:rPr>
        <w:t xml:space="preserve"> the most legally adroit iteration</w:t>
      </w:r>
      <w:r w:rsidR="00193AAB" w:rsidRPr="0064276E">
        <w:rPr>
          <w:sz w:val="24"/>
          <w:szCs w:val="24"/>
        </w:rPr>
        <w:t>s</w:t>
      </w:r>
      <w:r w:rsidR="00E33434" w:rsidRPr="0064276E">
        <w:rPr>
          <w:sz w:val="24"/>
          <w:szCs w:val="24"/>
        </w:rPr>
        <w:t xml:space="preserve"> of what we might call generally the ‘</w:t>
      </w:r>
      <w:r w:rsidR="00B32AB5" w:rsidRPr="0064276E">
        <w:rPr>
          <w:sz w:val="24"/>
          <w:szCs w:val="24"/>
        </w:rPr>
        <w:t xml:space="preserve">Security </w:t>
      </w:r>
      <w:r w:rsidR="00E33434" w:rsidRPr="0064276E">
        <w:rPr>
          <w:sz w:val="24"/>
          <w:szCs w:val="24"/>
        </w:rPr>
        <w:t>Council as bound by international law’ thesis.</w:t>
      </w:r>
      <w:r w:rsidR="00E33434" w:rsidRPr="0064276E">
        <w:rPr>
          <w:rStyle w:val="FootnoteReference"/>
          <w:sz w:val="24"/>
          <w:szCs w:val="24"/>
        </w:rPr>
        <w:footnoteReference w:id="6"/>
      </w:r>
      <w:r w:rsidR="00E33434" w:rsidRPr="0064276E">
        <w:rPr>
          <w:sz w:val="24"/>
          <w:szCs w:val="24"/>
        </w:rPr>
        <w:t xml:space="preserve"> </w:t>
      </w:r>
      <w:r w:rsidR="004F477C" w:rsidRPr="0064276E">
        <w:rPr>
          <w:sz w:val="24"/>
          <w:szCs w:val="24"/>
        </w:rPr>
        <w:t>It remains c</w:t>
      </w:r>
      <w:r w:rsidR="00E33434" w:rsidRPr="0064276E">
        <w:rPr>
          <w:sz w:val="24"/>
          <w:szCs w:val="24"/>
        </w:rPr>
        <w:t xml:space="preserve">ontestable, though, because many would still disagree that the veto is anything more than a political </w:t>
      </w:r>
      <w:r w:rsidR="004F477C" w:rsidRPr="0064276E">
        <w:rPr>
          <w:sz w:val="24"/>
          <w:szCs w:val="24"/>
        </w:rPr>
        <w:t>right</w:t>
      </w:r>
      <w:r w:rsidR="00E33434" w:rsidRPr="0064276E">
        <w:rPr>
          <w:sz w:val="24"/>
          <w:szCs w:val="24"/>
        </w:rPr>
        <w:t xml:space="preserve"> at the disposal of the permanent members, not easily translated to</w:t>
      </w:r>
      <w:r w:rsidR="004F477C" w:rsidRPr="0064276E">
        <w:rPr>
          <w:sz w:val="24"/>
          <w:szCs w:val="24"/>
        </w:rPr>
        <w:t xml:space="preserve"> the language of</w:t>
      </w:r>
      <w:r w:rsidR="00E33434" w:rsidRPr="0064276E">
        <w:rPr>
          <w:sz w:val="24"/>
          <w:szCs w:val="24"/>
        </w:rPr>
        <w:t xml:space="preserve"> legal </w:t>
      </w:r>
      <w:r w:rsidR="004F477C" w:rsidRPr="0064276E">
        <w:rPr>
          <w:sz w:val="24"/>
          <w:szCs w:val="24"/>
        </w:rPr>
        <w:t xml:space="preserve">obligation and </w:t>
      </w:r>
      <w:r w:rsidR="00E33434" w:rsidRPr="0064276E">
        <w:rPr>
          <w:sz w:val="24"/>
          <w:szCs w:val="24"/>
        </w:rPr>
        <w:t>limits.</w:t>
      </w:r>
      <w:r w:rsidR="00E33434" w:rsidRPr="0064276E">
        <w:rPr>
          <w:rStyle w:val="FootnoteReference"/>
          <w:sz w:val="24"/>
          <w:szCs w:val="24"/>
        </w:rPr>
        <w:footnoteReference w:id="7"/>
      </w:r>
      <w:r w:rsidR="004F477C" w:rsidRPr="0064276E">
        <w:rPr>
          <w:sz w:val="24"/>
          <w:szCs w:val="24"/>
        </w:rPr>
        <w:t xml:space="preserve"> The dilemma is that while many are coming round to the idea that affirmative Council decisions should</w:t>
      </w:r>
      <w:r w:rsidR="00A41F83" w:rsidRPr="0064276E">
        <w:rPr>
          <w:sz w:val="24"/>
          <w:szCs w:val="24"/>
        </w:rPr>
        <w:t xml:space="preserve"> be</w:t>
      </w:r>
      <w:r w:rsidR="004F477C" w:rsidRPr="0064276E">
        <w:rPr>
          <w:sz w:val="24"/>
          <w:szCs w:val="24"/>
        </w:rPr>
        <w:t xml:space="preserve"> subject</w:t>
      </w:r>
      <w:r w:rsidR="00B32AB5" w:rsidRPr="0064276E">
        <w:rPr>
          <w:sz w:val="24"/>
          <w:szCs w:val="24"/>
        </w:rPr>
        <w:t>ed</w:t>
      </w:r>
      <w:r w:rsidR="00A41F83" w:rsidRPr="0064276E">
        <w:rPr>
          <w:sz w:val="24"/>
          <w:szCs w:val="24"/>
        </w:rPr>
        <w:t xml:space="preserve"> </w:t>
      </w:r>
      <w:r w:rsidR="00B32AB5" w:rsidRPr="0064276E">
        <w:rPr>
          <w:sz w:val="24"/>
          <w:szCs w:val="24"/>
        </w:rPr>
        <w:t>to</w:t>
      </w:r>
      <w:r w:rsidR="00A41F83" w:rsidRPr="0064276E">
        <w:rPr>
          <w:sz w:val="24"/>
          <w:szCs w:val="24"/>
        </w:rPr>
        <w:t xml:space="preserve"> </w:t>
      </w:r>
      <w:r w:rsidR="004F477C" w:rsidRPr="0064276E">
        <w:rPr>
          <w:sz w:val="24"/>
          <w:szCs w:val="24"/>
        </w:rPr>
        <w:t>legal scrutiny,</w:t>
      </w:r>
      <w:r w:rsidR="004F477C" w:rsidRPr="0064276E">
        <w:rPr>
          <w:rStyle w:val="FootnoteReference"/>
          <w:sz w:val="24"/>
          <w:szCs w:val="24"/>
        </w:rPr>
        <w:footnoteReference w:id="8"/>
      </w:r>
      <w:r w:rsidR="004F477C" w:rsidRPr="0064276E">
        <w:rPr>
          <w:sz w:val="24"/>
          <w:szCs w:val="24"/>
        </w:rPr>
        <w:t xml:space="preserve"> when the veto power i</w:t>
      </w:r>
      <w:r w:rsidR="00DF54FA" w:rsidRPr="0064276E">
        <w:rPr>
          <w:sz w:val="24"/>
          <w:szCs w:val="24"/>
        </w:rPr>
        <w:t>s</w:t>
      </w:r>
      <w:r w:rsidR="004F477C" w:rsidRPr="0064276E">
        <w:rPr>
          <w:sz w:val="24"/>
          <w:szCs w:val="24"/>
        </w:rPr>
        <w:t xml:space="preserve"> invoked the Council is, of course, paralysed.</w:t>
      </w:r>
      <w:r w:rsidR="00A41F83" w:rsidRPr="0064276E">
        <w:rPr>
          <w:sz w:val="24"/>
          <w:szCs w:val="24"/>
        </w:rPr>
        <w:t xml:space="preserve"> No affirmative decision is made.</w:t>
      </w:r>
      <w:r w:rsidR="004F477C" w:rsidRPr="0064276E">
        <w:rPr>
          <w:sz w:val="24"/>
          <w:szCs w:val="24"/>
        </w:rPr>
        <w:t xml:space="preserve"> The suggestion that the Council, or permanent members acting through the Council</w:t>
      </w:r>
      <w:r w:rsidR="00A41F83" w:rsidRPr="0064276E">
        <w:rPr>
          <w:sz w:val="24"/>
          <w:szCs w:val="24"/>
        </w:rPr>
        <w:t>,</w:t>
      </w:r>
      <w:r w:rsidR="004F477C" w:rsidRPr="0064276E">
        <w:rPr>
          <w:sz w:val="24"/>
          <w:szCs w:val="24"/>
        </w:rPr>
        <w:t xml:space="preserve"> are constrained by international law </w:t>
      </w:r>
      <w:r w:rsidR="004F477C" w:rsidRPr="0064276E">
        <w:rPr>
          <w:i/>
          <w:sz w:val="24"/>
          <w:szCs w:val="24"/>
        </w:rPr>
        <w:t>when they do nothing</w:t>
      </w:r>
      <w:r w:rsidR="004F477C" w:rsidRPr="0064276E">
        <w:rPr>
          <w:sz w:val="24"/>
          <w:szCs w:val="24"/>
        </w:rPr>
        <w:t xml:space="preserve">, </w:t>
      </w:r>
      <w:r w:rsidR="00A41F83" w:rsidRPr="0064276E">
        <w:rPr>
          <w:sz w:val="24"/>
          <w:szCs w:val="24"/>
        </w:rPr>
        <w:t xml:space="preserve">is a more </w:t>
      </w:r>
      <w:r w:rsidR="00B32AB5" w:rsidRPr="0064276E">
        <w:rPr>
          <w:sz w:val="24"/>
          <w:szCs w:val="24"/>
        </w:rPr>
        <w:t xml:space="preserve">far-reaching </w:t>
      </w:r>
      <w:r w:rsidR="00A41F83" w:rsidRPr="0064276E">
        <w:rPr>
          <w:sz w:val="24"/>
          <w:szCs w:val="24"/>
        </w:rPr>
        <w:t>claim.</w:t>
      </w:r>
    </w:p>
    <w:p w14:paraId="57485762" w14:textId="77777777" w:rsidR="00E33434" w:rsidRPr="0064276E" w:rsidRDefault="00E33434" w:rsidP="0064276E">
      <w:pPr>
        <w:rPr>
          <w:sz w:val="24"/>
          <w:szCs w:val="24"/>
        </w:rPr>
      </w:pPr>
    </w:p>
    <w:p w14:paraId="5076B59A" w14:textId="5FA4C98A" w:rsidR="00734B91" w:rsidRPr="0064276E" w:rsidRDefault="00D031DA" w:rsidP="0064276E">
      <w:pPr>
        <w:rPr>
          <w:sz w:val="24"/>
          <w:szCs w:val="24"/>
        </w:rPr>
      </w:pPr>
      <w:r w:rsidRPr="0064276E">
        <w:rPr>
          <w:sz w:val="24"/>
          <w:szCs w:val="24"/>
        </w:rPr>
        <w:t>Considering th</w:t>
      </w:r>
      <w:r w:rsidR="004F477C" w:rsidRPr="0064276E">
        <w:rPr>
          <w:sz w:val="24"/>
          <w:szCs w:val="24"/>
        </w:rPr>
        <w:t>e</w:t>
      </w:r>
      <w:r w:rsidRPr="0064276E">
        <w:rPr>
          <w:sz w:val="24"/>
          <w:szCs w:val="24"/>
        </w:rPr>
        <w:t xml:space="preserve"> contestability</w:t>
      </w:r>
      <w:r w:rsidR="004F477C" w:rsidRPr="0064276E">
        <w:rPr>
          <w:sz w:val="24"/>
          <w:szCs w:val="24"/>
        </w:rPr>
        <w:t xml:space="preserve"> of the thesis</w:t>
      </w:r>
      <w:r w:rsidR="00A22F1F" w:rsidRPr="0064276E">
        <w:rPr>
          <w:sz w:val="24"/>
          <w:szCs w:val="24"/>
        </w:rPr>
        <w:t xml:space="preserve"> </w:t>
      </w:r>
      <w:r w:rsidR="00E33434" w:rsidRPr="0064276E">
        <w:rPr>
          <w:sz w:val="24"/>
          <w:szCs w:val="24"/>
        </w:rPr>
        <w:t>i</w:t>
      </w:r>
      <w:r w:rsidR="00225FB2" w:rsidRPr="0064276E">
        <w:rPr>
          <w:sz w:val="24"/>
          <w:szCs w:val="24"/>
        </w:rPr>
        <w:t>t is somewhat surprising that</w:t>
      </w:r>
      <w:r w:rsidR="00181F87" w:rsidRPr="0064276E">
        <w:rPr>
          <w:sz w:val="24"/>
          <w:szCs w:val="24"/>
        </w:rPr>
        <w:t xml:space="preserve"> t</w:t>
      </w:r>
      <w:r w:rsidR="001B76E2" w:rsidRPr="0064276E">
        <w:rPr>
          <w:sz w:val="24"/>
          <w:szCs w:val="24"/>
        </w:rPr>
        <w:t>he reader waits</w:t>
      </w:r>
      <w:r w:rsidR="00A06889" w:rsidRPr="0064276E">
        <w:rPr>
          <w:sz w:val="24"/>
          <w:szCs w:val="24"/>
        </w:rPr>
        <w:t xml:space="preserve"> for</w:t>
      </w:r>
      <w:r w:rsidR="001B76E2" w:rsidRPr="0064276E">
        <w:rPr>
          <w:sz w:val="24"/>
          <w:szCs w:val="24"/>
        </w:rPr>
        <w:t xml:space="preserve"> some 141 pages before </w:t>
      </w:r>
      <w:r w:rsidR="00225FB2" w:rsidRPr="0064276E">
        <w:rPr>
          <w:sz w:val="24"/>
          <w:szCs w:val="24"/>
        </w:rPr>
        <w:t>we get there</w:t>
      </w:r>
      <w:r w:rsidR="001B76E2" w:rsidRPr="0064276E">
        <w:rPr>
          <w:sz w:val="24"/>
          <w:szCs w:val="24"/>
        </w:rPr>
        <w:t xml:space="preserve">, in the fourth of </w:t>
      </w:r>
      <w:r w:rsidR="00181F87" w:rsidRPr="0064276E">
        <w:rPr>
          <w:sz w:val="24"/>
          <w:szCs w:val="24"/>
        </w:rPr>
        <w:t xml:space="preserve">the book’s </w:t>
      </w:r>
      <w:r w:rsidR="001B76E2" w:rsidRPr="0064276E">
        <w:rPr>
          <w:sz w:val="24"/>
          <w:szCs w:val="24"/>
        </w:rPr>
        <w:t xml:space="preserve">five Chapters. </w:t>
      </w:r>
      <w:r w:rsidR="00DF54FA" w:rsidRPr="0064276E">
        <w:rPr>
          <w:sz w:val="24"/>
          <w:szCs w:val="24"/>
        </w:rPr>
        <w:t>S</w:t>
      </w:r>
      <w:r w:rsidR="001B76E2" w:rsidRPr="0064276E">
        <w:rPr>
          <w:sz w:val="24"/>
          <w:szCs w:val="24"/>
        </w:rPr>
        <w:t>ome of t</w:t>
      </w:r>
      <w:r w:rsidR="00E33434" w:rsidRPr="0064276E">
        <w:rPr>
          <w:sz w:val="24"/>
          <w:szCs w:val="24"/>
        </w:rPr>
        <w:t>he preceding</w:t>
      </w:r>
      <w:r w:rsidR="00734B91" w:rsidRPr="0064276E">
        <w:rPr>
          <w:sz w:val="24"/>
          <w:szCs w:val="24"/>
        </w:rPr>
        <w:t xml:space="preserve"> (and succeeding)</w:t>
      </w:r>
      <w:r w:rsidR="001B76E2" w:rsidRPr="0064276E">
        <w:rPr>
          <w:sz w:val="24"/>
          <w:szCs w:val="24"/>
        </w:rPr>
        <w:t xml:space="preserve"> discussion is a little superfluous</w:t>
      </w:r>
      <w:r w:rsidR="00193AAB" w:rsidRPr="0064276E">
        <w:rPr>
          <w:sz w:val="24"/>
          <w:szCs w:val="24"/>
        </w:rPr>
        <w:t>.</w:t>
      </w:r>
      <w:r w:rsidR="00193AAB" w:rsidRPr="0064276E">
        <w:rPr>
          <w:rStyle w:val="FootnoteReference"/>
          <w:sz w:val="24"/>
          <w:szCs w:val="24"/>
        </w:rPr>
        <w:footnoteReference w:id="9"/>
      </w:r>
      <w:r w:rsidR="00193AAB" w:rsidRPr="0064276E">
        <w:rPr>
          <w:sz w:val="24"/>
          <w:szCs w:val="24"/>
        </w:rPr>
        <w:t xml:space="preserve"> Chapter one </w:t>
      </w:r>
      <w:r w:rsidR="001B76E2" w:rsidRPr="0064276E">
        <w:rPr>
          <w:sz w:val="24"/>
          <w:szCs w:val="24"/>
          <w:shd w:val="clear" w:color="auto" w:fill="FFFFFF"/>
        </w:rPr>
        <w:t>discusses the origins and uses of the veto</w:t>
      </w:r>
      <w:r w:rsidR="00A41F83" w:rsidRPr="0064276E">
        <w:rPr>
          <w:sz w:val="24"/>
          <w:szCs w:val="24"/>
          <w:shd w:val="clear" w:color="auto" w:fill="FFFFFF"/>
        </w:rPr>
        <w:t xml:space="preserve"> power</w:t>
      </w:r>
      <w:r w:rsidR="001B76E2" w:rsidRPr="0064276E">
        <w:rPr>
          <w:sz w:val="24"/>
          <w:szCs w:val="24"/>
          <w:shd w:val="clear" w:color="auto" w:fill="FFFFFF"/>
        </w:rPr>
        <w:t xml:space="preserve">, tracing its genesis in San Francisco through controversial examples of veto-induced inaction in </w:t>
      </w:r>
      <w:r w:rsidR="001B76E2" w:rsidRPr="0064276E">
        <w:rPr>
          <w:sz w:val="24"/>
          <w:szCs w:val="24"/>
        </w:rPr>
        <w:t xml:space="preserve">South Africa (during </w:t>
      </w:r>
      <w:r w:rsidR="00A41F83" w:rsidRPr="0064276E">
        <w:rPr>
          <w:sz w:val="24"/>
          <w:szCs w:val="24"/>
        </w:rPr>
        <w:t>a</w:t>
      </w:r>
      <w:r w:rsidR="001B76E2" w:rsidRPr="0064276E">
        <w:rPr>
          <w:sz w:val="24"/>
          <w:szCs w:val="24"/>
        </w:rPr>
        <w:t>partheid), Rwanda, Darfur, Israel, Sri Lanka, Yemen</w:t>
      </w:r>
      <w:r w:rsidR="00734B91" w:rsidRPr="0064276E">
        <w:rPr>
          <w:sz w:val="24"/>
          <w:szCs w:val="24"/>
        </w:rPr>
        <w:t xml:space="preserve">. While it discusses Syria and Myanmar, Chapter five is dedicated to </w:t>
      </w:r>
      <w:r w:rsidR="00B32AB5" w:rsidRPr="0064276E">
        <w:rPr>
          <w:sz w:val="24"/>
          <w:szCs w:val="24"/>
        </w:rPr>
        <w:t>these</w:t>
      </w:r>
      <w:r w:rsidR="00734B91" w:rsidRPr="0064276E">
        <w:rPr>
          <w:sz w:val="24"/>
          <w:szCs w:val="24"/>
        </w:rPr>
        <w:t xml:space="preserve"> contemporary situations and offers more detail. As a standalone Chapter, </w:t>
      </w:r>
      <w:r w:rsidR="00C70DC6" w:rsidRPr="0064276E">
        <w:rPr>
          <w:sz w:val="24"/>
          <w:szCs w:val="24"/>
        </w:rPr>
        <w:t>the latter</w:t>
      </w:r>
      <w:r w:rsidR="00734B91" w:rsidRPr="0064276E">
        <w:rPr>
          <w:sz w:val="24"/>
          <w:szCs w:val="24"/>
        </w:rPr>
        <w:t xml:space="preserve"> is </w:t>
      </w:r>
      <w:r w:rsidR="00D07BE8" w:rsidRPr="0064276E">
        <w:rPr>
          <w:sz w:val="24"/>
          <w:szCs w:val="24"/>
        </w:rPr>
        <w:t>meticulously</w:t>
      </w:r>
      <w:r w:rsidR="00734B91" w:rsidRPr="0064276E">
        <w:rPr>
          <w:sz w:val="24"/>
          <w:szCs w:val="24"/>
        </w:rPr>
        <w:t xml:space="preserve"> researched and serves as an excellent repository of</w:t>
      </w:r>
      <w:r w:rsidR="00D07BE8" w:rsidRPr="0064276E">
        <w:rPr>
          <w:sz w:val="24"/>
          <w:szCs w:val="24"/>
        </w:rPr>
        <w:t xml:space="preserve"> material on recent </w:t>
      </w:r>
      <w:r w:rsidR="00734B91" w:rsidRPr="0064276E">
        <w:rPr>
          <w:sz w:val="24"/>
          <w:szCs w:val="24"/>
        </w:rPr>
        <w:t>threat</w:t>
      </w:r>
      <w:r w:rsidR="00D07BE8" w:rsidRPr="0064276E">
        <w:rPr>
          <w:sz w:val="24"/>
          <w:szCs w:val="24"/>
        </w:rPr>
        <w:t>s</w:t>
      </w:r>
      <w:r w:rsidR="00734B91" w:rsidRPr="0064276E">
        <w:rPr>
          <w:sz w:val="24"/>
          <w:szCs w:val="24"/>
        </w:rPr>
        <w:t xml:space="preserve"> and use</w:t>
      </w:r>
      <w:r w:rsidR="00D07BE8" w:rsidRPr="0064276E">
        <w:rPr>
          <w:sz w:val="24"/>
          <w:szCs w:val="24"/>
        </w:rPr>
        <w:t>s</w:t>
      </w:r>
      <w:r w:rsidR="00734B91" w:rsidRPr="0064276E">
        <w:rPr>
          <w:sz w:val="24"/>
          <w:szCs w:val="24"/>
        </w:rPr>
        <w:t xml:space="preserve"> of the veto. However, its general approach </w:t>
      </w:r>
      <w:r w:rsidR="00D07BE8" w:rsidRPr="0064276E">
        <w:rPr>
          <w:sz w:val="24"/>
          <w:szCs w:val="24"/>
        </w:rPr>
        <w:t>is quite</w:t>
      </w:r>
      <w:r w:rsidR="00734B91" w:rsidRPr="0064276E">
        <w:rPr>
          <w:sz w:val="24"/>
          <w:szCs w:val="24"/>
        </w:rPr>
        <w:t xml:space="preserve"> descri</w:t>
      </w:r>
      <w:r w:rsidR="00D07BE8" w:rsidRPr="0064276E">
        <w:rPr>
          <w:sz w:val="24"/>
          <w:szCs w:val="24"/>
        </w:rPr>
        <w:t>ptive</w:t>
      </w:r>
      <w:r w:rsidR="00734B91" w:rsidRPr="0064276E">
        <w:rPr>
          <w:sz w:val="24"/>
          <w:szCs w:val="24"/>
        </w:rPr>
        <w:t xml:space="preserve">, and it may have made more sense to incorporate these ‘case studies’ into an earlier Chapter. </w:t>
      </w:r>
    </w:p>
    <w:p w14:paraId="26B15869" w14:textId="79783F32" w:rsidR="00734B91" w:rsidRPr="0064276E" w:rsidRDefault="00734B91" w:rsidP="0064276E">
      <w:pPr>
        <w:rPr>
          <w:sz w:val="24"/>
          <w:szCs w:val="24"/>
        </w:rPr>
      </w:pPr>
    </w:p>
    <w:p w14:paraId="2443F847" w14:textId="4492095A" w:rsidR="00B32AB5" w:rsidRPr="0064276E" w:rsidRDefault="00B32AB5" w:rsidP="0064276E">
      <w:pPr>
        <w:rPr>
          <w:sz w:val="24"/>
          <w:szCs w:val="24"/>
        </w:rPr>
      </w:pPr>
      <w:r w:rsidRPr="0064276E">
        <w:rPr>
          <w:sz w:val="24"/>
          <w:szCs w:val="24"/>
        </w:rPr>
        <w:t xml:space="preserve">Chapter two pivots to the linked ideas of ‘humanitarian intervention’ and the ‘responsibility to protect’. At first glance, the decision to dedicate a substantive </w:t>
      </w:r>
      <w:r w:rsidR="00D07BE8" w:rsidRPr="0064276E">
        <w:rPr>
          <w:sz w:val="24"/>
          <w:szCs w:val="24"/>
        </w:rPr>
        <w:t xml:space="preserve">Chapter </w:t>
      </w:r>
      <w:r w:rsidRPr="0064276E">
        <w:rPr>
          <w:sz w:val="24"/>
          <w:szCs w:val="24"/>
        </w:rPr>
        <w:t>to these concepts appears a little random. But, in the author’s words, the segue is that</w:t>
      </w:r>
      <w:r w:rsidR="00D07BE8" w:rsidRPr="0064276E">
        <w:rPr>
          <w:sz w:val="24"/>
          <w:szCs w:val="24"/>
        </w:rPr>
        <w:t xml:space="preserve"> the</w:t>
      </w:r>
      <w:r w:rsidRPr="0064276E">
        <w:rPr>
          <w:sz w:val="24"/>
          <w:szCs w:val="24"/>
        </w:rPr>
        <w:t xml:space="preserve"> ‘two doctrines [have] developed in </w:t>
      </w:r>
      <w:r w:rsidRPr="0064276E">
        <w:rPr>
          <w:sz w:val="24"/>
          <w:szCs w:val="24"/>
        </w:rPr>
        <w:lastRenderedPageBreak/>
        <w:t>response to Security Council paralysis or inaction in the face of atrocity crimes’ (p 53). This is certainly true. However, considering the centrality that Trahan ascribes to the role of the Security Council (</w:t>
      </w:r>
      <w:r w:rsidR="00C70DC6" w:rsidRPr="0064276E">
        <w:rPr>
          <w:sz w:val="24"/>
          <w:szCs w:val="24"/>
        </w:rPr>
        <w:t>i.e.,</w:t>
      </w:r>
      <w:r w:rsidRPr="0064276E">
        <w:rPr>
          <w:sz w:val="24"/>
          <w:szCs w:val="24"/>
        </w:rPr>
        <w:t xml:space="preserve"> collective security) in her subsequent arguments, it is surprising that this space </w:t>
      </w:r>
      <w:r w:rsidR="00C70DC6" w:rsidRPr="0064276E">
        <w:rPr>
          <w:sz w:val="24"/>
          <w:szCs w:val="24"/>
        </w:rPr>
        <w:t xml:space="preserve">is used to </w:t>
      </w:r>
      <w:r w:rsidRPr="0064276E">
        <w:rPr>
          <w:sz w:val="24"/>
          <w:szCs w:val="24"/>
        </w:rPr>
        <w:t xml:space="preserve">develop a tendentious defence of a narrowly construed doctrine of unilateral humanitarian intervention. </w:t>
      </w:r>
    </w:p>
    <w:p w14:paraId="5E988512" w14:textId="77777777" w:rsidR="00B32AB5" w:rsidRPr="0064276E" w:rsidRDefault="00B32AB5" w:rsidP="0064276E">
      <w:pPr>
        <w:rPr>
          <w:sz w:val="24"/>
          <w:szCs w:val="24"/>
        </w:rPr>
      </w:pPr>
    </w:p>
    <w:p w14:paraId="1C35F61B" w14:textId="2A10F93D" w:rsidR="00B32AB5" w:rsidRPr="0064276E" w:rsidRDefault="00B32AB5" w:rsidP="0064276E">
      <w:pPr>
        <w:rPr>
          <w:sz w:val="24"/>
          <w:szCs w:val="24"/>
        </w:rPr>
      </w:pPr>
      <w:r w:rsidRPr="0064276E">
        <w:rPr>
          <w:sz w:val="24"/>
          <w:szCs w:val="24"/>
        </w:rPr>
        <w:t xml:space="preserve">In addition to this inconsistency, the </w:t>
      </w:r>
      <w:r w:rsidR="00D07BE8" w:rsidRPr="0064276E">
        <w:rPr>
          <w:sz w:val="24"/>
          <w:szCs w:val="24"/>
        </w:rPr>
        <w:t>defence itself</w:t>
      </w:r>
      <w:r w:rsidRPr="0064276E">
        <w:rPr>
          <w:sz w:val="24"/>
          <w:szCs w:val="24"/>
        </w:rPr>
        <w:t xml:space="preserve"> suffers from certain doctrinal deficiencies. It </w:t>
      </w:r>
      <w:r w:rsidR="007E54F2">
        <w:rPr>
          <w:sz w:val="24"/>
          <w:szCs w:val="24"/>
        </w:rPr>
        <w:t>gives</w:t>
      </w:r>
      <w:r w:rsidR="007E54F2" w:rsidRPr="0064276E">
        <w:rPr>
          <w:sz w:val="24"/>
          <w:szCs w:val="24"/>
        </w:rPr>
        <w:t xml:space="preserve"> </w:t>
      </w:r>
      <w:r w:rsidRPr="0064276E">
        <w:rPr>
          <w:sz w:val="24"/>
          <w:szCs w:val="24"/>
        </w:rPr>
        <w:t xml:space="preserve">overly short shrift to what are now well-rehearsed counter-arguments, not least the absence of any support for such a right in existing treaty arrangements, compounded by the lack of widespread or consistent practice or </w:t>
      </w:r>
      <w:r w:rsidRPr="0064276E">
        <w:rPr>
          <w:i/>
          <w:iCs/>
          <w:sz w:val="24"/>
          <w:szCs w:val="24"/>
        </w:rPr>
        <w:t>opinio juris</w:t>
      </w:r>
      <w:r w:rsidRPr="0064276E">
        <w:rPr>
          <w:sz w:val="24"/>
          <w:szCs w:val="24"/>
        </w:rPr>
        <w:t xml:space="preserve"> to evidence a customary right. Most troublingly, having correctly identified the UK as something of a lone wolf in its consistent and forthright support for humanitarian intervention, the Chapter goes on to use the UK’s published criteria for a legitimate humanitarian intervention as a yardstick to assess the legality of the US, </w:t>
      </w:r>
      <w:r w:rsidR="00C70DC6" w:rsidRPr="0064276E">
        <w:rPr>
          <w:sz w:val="24"/>
          <w:szCs w:val="24"/>
        </w:rPr>
        <w:t>French,</w:t>
      </w:r>
      <w:r w:rsidRPr="0064276E">
        <w:rPr>
          <w:sz w:val="24"/>
          <w:szCs w:val="24"/>
        </w:rPr>
        <w:t xml:space="preserve"> and UK airstrikes against chemical weapons facilities in Syria in April 2018 (pp 92-93).</w:t>
      </w:r>
      <w:r w:rsidRPr="0064276E">
        <w:rPr>
          <w:rStyle w:val="FootnoteReference"/>
          <w:sz w:val="24"/>
          <w:szCs w:val="24"/>
        </w:rPr>
        <w:footnoteReference w:id="10"/>
      </w:r>
      <w:r w:rsidRPr="0064276E">
        <w:rPr>
          <w:sz w:val="24"/>
          <w:szCs w:val="24"/>
        </w:rPr>
        <w:t xml:space="preserve"> This is puzzling. At most, the UK’s criteria might offer one state’s (minority) opinion on the customary status of the doctrine of humanitarian intervention. Closer to the truth, even the UK understands its position as a proposal </w:t>
      </w:r>
      <w:r w:rsidRPr="0064276E">
        <w:rPr>
          <w:i/>
          <w:sz w:val="24"/>
          <w:szCs w:val="24"/>
        </w:rPr>
        <w:t>de lege ferenda.</w:t>
      </w:r>
      <w:r w:rsidRPr="0064276E">
        <w:rPr>
          <w:sz w:val="24"/>
          <w:szCs w:val="24"/>
        </w:rPr>
        <w:t xml:space="preserve"> Trahan does concede that ‘[w]hether they are the correct criteria for judging the bona fides of humanitarian intervention (for those who accept that concept) probably warrants additional legal scrutiny’, but ultimately doubles down: ‘[t</w:t>
      </w:r>
      <w:r w:rsidR="00050C9A" w:rsidRPr="0064276E">
        <w:rPr>
          <w:sz w:val="24"/>
          <w:szCs w:val="24"/>
        </w:rPr>
        <w:t>]</w:t>
      </w:r>
      <w:r w:rsidRPr="0064276E">
        <w:rPr>
          <w:sz w:val="24"/>
          <w:szCs w:val="24"/>
        </w:rPr>
        <w:t>hat said, this author sees no obvious flaws in the UK’s criteria’ (p 93). Such subjectivity notwithstanding, it is not clear, from an objective (positivist) perspective, on what basis these guidelines constitute an appropriate legal source.</w:t>
      </w:r>
    </w:p>
    <w:p w14:paraId="5D2F393B" w14:textId="77777777" w:rsidR="00B32AB5" w:rsidRPr="0064276E" w:rsidRDefault="00B32AB5" w:rsidP="0064276E">
      <w:pPr>
        <w:rPr>
          <w:sz w:val="24"/>
          <w:szCs w:val="24"/>
        </w:rPr>
      </w:pPr>
    </w:p>
    <w:p w14:paraId="6E45BCE1" w14:textId="77777777" w:rsidR="00B32AB5" w:rsidRPr="0064276E" w:rsidRDefault="00B32AB5" w:rsidP="0064276E">
      <w:pPr>
        <w:rPr>
          <w:sz w:val="24"/>
          <w:szCs w:val="24"/>
        </w:rPr>
      </w:pPr>
      <w:r w:rsidRPr="0064276E">
        <w:rPr>
          <w:sz w:val="24"/>
          <w:szCs w:val="24"/>
        </w:rPr>
        <w:t xml:space="preserve">The abovementioned doctrinal oversights are likely due to the fact that even though the specific right in question would be wielded by states unilaterally, Trahan’s argument is not really about individual states at all. The veto power remains the protagonist of the story throughout; even when it comes to humanitarian intervention, the veto ‘has been the true culprit’ (p 100). The most important task, according to the author, is ‘to tackle the problem of veto use in the face of atrocity crimes … [in order to] lessen the need to invoke or utilize humanitarian intervention’ (p 101). But, again, if the veto is the issue, this gives us reason to ask why the defence of humanitarian intervention was necessary in the first place. </w:t>
      </w:r>
    </w:p>
    <w:p w14:paraId="3F10E406" w14:textId="7E3E33D3" w:rsidR="00B32AB5" w:rsidRPr="0064276E" w:rsidRDefault="00B32AB5" w:rsidP="0064276E">
      <w:pPr>
        <w:rPr>
          <w:sz w:val="24"/>
          <w:szCs w:val="24"/>
        </w:rPr>
      </w:pPr>
    </w:p>
    <w:p w14:paraId="306E1EA7" w14:textId="4AA91B7D" w:rsidR="00B95F2D" w:rsidRPr="0064276E" w:rsidRDefault="00B95F2D" w:rsidP="0064276E">
      <w:pPr>
        <w:rPr>
          <w:sz w:val="24"/>
          <w:szCs w:val="24"/>
        </w:rPr>
      </w:pPr>
      <w:r w:rsidRPr="0064276E">
        <w:rPr>
          <w:sz w:val="24"/>
          <w:szCs w:val="24"/>
        </w:rPr>
        <w:t xml:space="preserve">Either way, this defence of a doctrine of humanitarian intervention as necessary but temporally delimited is novel. But one worries that it is a little naive. </w:t>
      </w:r>
      <w:r w:rsidR="00A70840" w:rsidRPr="0064276E">
        <w:rPr>
          <w:sz w:val="24"/>
          <w:szCs w:val="24"/>
        </w:rPr>
        <w:t xml:space="preserve">The formulation imagines the veto power as something of a panacea where all manner of geopolitical ills can be sent. Once it is tackled, all will be well. In doing so, it anthropomorphizes the veto power, almost giving it a life of its own. </w:t>
      </w:r>
      <w:r w:rsidR="00C70DC6" w:rsidRPr="0064276E">
        <w:rPr>
          <w:sz w:val="24"/>
          <w:szCs w:val="24"/>
        </w:rPr>
        <w:t>This is at odds with the fact that,</w:t>
      </w:r>
      <w:r w:rsidR="00A70840" w:rsidRPr="0064276E">
        <w:rPr>
          <w:sz w:val="24"/>
          <w:szCs w:val="24"/>
        </w:rPr>
        <w:t xml:space="preserve"> in a more material sense, the veto is a political power wielded strategically by states. It does not exist outside of these strategic decision-making processes. And, if</w:t>
      </w:r>
      <w:r w:rsidRPr="0064276E">
        <w:rPr>
          <w:sz w:val="24"/>
          <w:szCs w:val="24"/>
        </w:rPr>
        <w:t xml:space="preserve"> states are handed an additional justification in their toolbox of </w:t>
      </w:r>
      <w:r w:rsidRPr="0064276E">
        <w:rPr>
          <w:i/>
          <w:sz w:val="24"/>
          <w:szCs w:val="24"/>
        </w:rPr>
        <w:t xml:space="preserve">jus ad bellum </w:t>
      </w:r>
      <w:r w:rsidRPr="0064276E">
        <w:rPr>
          <w:sz w:val="24"/>
          <w:szCs w:val="24"/>
        </w:rPr>
        <w:t xml:space="preserve">legalise, they will surely be loath to give it back. In other words, once the humanitarian intervention door is opened, it will be difficult to close it again. Trahan notes this ‘Pandora’s Box’ problem (p 63) but does not acknowledge that the proposed solution would only serve to heighten it. </w:t>
      </w:r>
    </w:p>
    <w:p w14:paraId="08702E50" w14:textId="77777777" w:rsidR="00A70840" w:rsidRPr="0064276E" w:rsidRDefault="00A70840" w:rsidP="0064276E">
      <w:pPr>
        <w:rPr>
          <w:sz w:val="24"/>
          <w:szCs w:val="24"/>
        </w:rPr>
      </w:pPr>
    </w:p>
    <w:p w14:paraId="05A5FD79" w14:textId="29DB133D" w:rsidR="00B32AB5" w:rsidRPr="0064276E" w:rsidRDefault="00A70840" w:rsidP="0064276E">
      <w:pPr>
        <w:rPr>
          <w:sz w:val="24"/>
          <w:szCs w:val="24"/>
        </w:rPr>
      </w:pPr>
      <w:r w:rsidRPr="0064276E">
        <w:rPr>
          <w:sz w:val="24"/>
          <w:szCs w:val="24"/>
        </w:rPr>
        <w:t xml:space="preserve">Additionally, </w:t>
      </w:r>
      <w:r w:rsidR="00B32AB5" w:rsidRPr="0064276E">
        <w:rPr>
          <w:sz w:val="24"/>
          <w:szCs w:val="24"/>
        </w:rPr>
        <w:t xml:space="preserve">the language of ‘need’ or ‘temptation’ (p 53) to invoke the doctrine of humanitarian intervention feels somewhat apologetic. It implies that states only disregard international law for reasons of necessity. As such, it seems to take for granted the motives of those who assert a right </w:t>
      </w:r>
      <w:r w:rsidR="00B32AB5" w:rsidRPr="0064276E">
        <w:rPr>
          <w:sz w:val="24"/>
          <w:szCs w:val="24"/>
        </w:rPr>
        <w:lastRenderedPageBreak/>
        <w:t>to ‘bomb in the name of humanity’.</w:t>
      </w:r>
      <w:r w:rsidR="00B32AB5" w:rsidRPr="0064276E">
        <w:rPr>
          <w:rStyle w:val="FootnoteReference"/>
          <w:sz w:val="24"/>
          <w:szCs w:val="24"/>
        </w:rPr>
        <w:footnoteReference w:id="11"/>
      </w:r>
      <w:r w:rsidR="00B32AB5" w:rsidRPr="0064276E">
        <w:rPr>
          <w:sz w:val="24"/>
          <w:szCs w:val="24"/>
        </w:rPr>
        <w:t xml:space="preserve"> On the contrary, one need not subscribe in full to the Schmittian cynicism that ‘whoever invokes humanity wants to cheat’ to appreciate the need to exercise a healthy degree of scepticism whenever a state summons </w:t>
      </w:r>
      <w:r w:rsidR="00C70DC6" w:rsidRPr="0064276E">
        <w:rPr>
          <w:sz w:val="24"/>
          <w:szCs w:val="24"/>
        </w:rPr>
        <w:t>‘</w:t>
      </w:r>
      <w:r w:rsidR="00B32AB5" w:rsidRPr="0064276E">
        <w:rPr>
          <w:sz w:val="24"/>
          <w:szCs w:val="24"/>
        </w:rPr>
        <w:t>universal</w:t>
      </w:r>
      <w:r w:rsidR="00C70DC6" w:rsidRPr="0064276E">
        <w:rPr>
          <w:sz w:val="24"/>
          <w:szCs w:val="24"/>
        </w:rPr>
        <w:t>’</w:t>
      </w:r>
      <w:r w:rsidR="00B32AB5" w:rsidRPr="0064276E">
        <w:rPr>
          <w:sz w:val="24"/>
          <w:szCs w:val="24"/>
        </w:rPr>
        <w:t xml:space="preserve"> human rights to justify a military intervention.</w:t>
      </w:r>
      <w:r w:rsidR="00B32AB5" w:rsidRPr="0064276E">
        <w:rPr>
          <w:rStyle w:val="FootnoteReference"/>
          <w:sz w:val="24"/>
          <w:szCs w:val="24"/>
        </w:rPr>
        <w:footnoteReference w:id="12"/>
      </w:r>
      <w:r w:rsidR="00B32AB5" w:rsidRPr="0064276E">
        <w:rPr>
          <w:sz w:val="24"/>
          <w:szCs w:val="24"/>
        </w:rPr>
        <w:t xml:space="preserve"> </w:t>
      </w:r>
    </w:p>
    <w:p w14:paraId="4BF9CE78" w14:textId="77777777" w:rsidR="00B32AB5" w:rsidRPr="0064276E" w:rsidRDefault="00B32AB5" w:rsidP="0064276E">
      <w:pPr>
        <w:rPr>
          <w:sz w:val="24"/>
          <w:szCs w:val="24"/>
        </w:rPr>
      </w:pPr>
    </w:p>
    <w:p w14:paraId="49729E52" w14:textId="03E90BA5" w:rsidR="00B32AB5" w:rsidRPr="0064276E" w:rsidRDefault="00B32AB5" w:rsidP="0064276E">
      <w:pPr>
        <w:rPr>
          <w:sz w:val="24"/>
          <w:szCs w:val="24"/>
        </w:rPr>
      </w:pPr>
      <w:r w:rsidRPr="0064276E">
        <w:rPr>
          <w:sz w:val="24"/>
          <w:szCs w:val="24"/>
        </w:rPr>
        <w:t xml:space="preserve">In any event, it seems </w:t>
      </w:r>
      <w:r w:rsidR="002E19B3" w:rsidRPr="0064276E">
        <w:rPr>
          <w:sz w:val="24"/>
          <w:szCs w:val="24"/>
        </w:rPr>
        <w:t xml:space="preserve">somewhat </w:t>
      </w:r>
      <w:r w:rsidRPr="0064276E">
        <w:rPr>
          <w:sz w:val="24"/>
          <w:szCs w:val="24"/>
        </w:rPr>
        <w:t xml:space="preserve">paradoxical in a study that purports to consider the </w:t>
      </w:r>
      <w:r w:rsidRPr="0064276E">
        <w:rPr>
          <w:i/>
          <w:sz w:val="24"/>
          <w:szCs w:val="24"/>
        </w:rPr>
        <w:t xml:space="preserve">illegality </w:t>
      </w:r>
      <w:r w:rsidRPr="0064276E">
        <w:rPr>
          <w:sz w:val="24"/>
          <w:szCs w:val="24"/>
        </w:rPr>
        <w:t xml:space="preserve">of the exercise of the veto in certain situations – that is, its status as a matter of positive international law – to suggest that the consequence of such illegality will be that states submit to a </w:t>
      </w:r>
      <w:r w:rsidRPr="0064276E">
        <w:rPr>
          <w:i/>
          <w:sz w:val="24"/>
          <w:szCs w:val="24"/>
        </w:rPr>
        <w:t xml:space="preserve">political </w:t>
      </w:r>
      <w:r w:rsidRPr="0064276E">
        <w:rPr>
          <w:sz w:val="24"/>
          <w:szCs w:val="24"/>
        </w:rPr>
        <w:t xml:space="preserve">‘temptation’ towards unilateral intervention. The paradox, of course, is that unilateral intervention of this type remains categorically illegal from that same positivist perspective, however ‘tempting’ it might be (and however compelling the arguments remain </w:t>
      </w:r>
      <w:r w:rsidRPr="0064276E">
        <w:rPr>
          <w:i/>
          <w:sz w:val="24"/>
          <w:szCs w:val="24"/>
        </w:rPr>
        <w:t>de lege ferenda</w:t>
      </w:r>
      <w:r w:rsidRPr="0064276E">
        <w:rPr>
          <w:sz w:val="24"/>
          <w:szCs w:val="24"/>
        </w:rPr>
        <w:t xml:space="preserve">). </w:t>
      </w:r>
    </w:p>
    <w:p w14:paraId="4D3089A1" w14:textId="77777777" w:rsidR="00B32AB5" w:rsidRPr="0064276E" w:rsidRDefault="00B32AB5" w:rsidP="0064276E">
      <w:pPr>
        <w:rPr>
          <w:sz w:val="24"/>
          <w:szCs w:val="24"/>
        </w:rPr>
      </w:pPr>
    </w:p>
    <w:p w14:paraId="5A1CB729" w14:textId="67F5352C" w:rsidR="00B32AB5" w:rsidRPr="0064276E" w:rsidRDefault="00B32AB5" w:rsidP="0064276E">
      <w:pPr>
        <w:rPr>
          <w:sz w:val="24"/>
          <w:szCs w:val="24"/>
        </w:rPr>
      </w:pPr>
      <w:r w:rsidRPr="0064276E">
        <w:rPr>
          <w:sz w:val="24"/>
          <w:szCs w:val="24"/>
        </w:rPr>
        <w:t xml:space="preserve">The Chapter thus displays a methodological selectiveness vis-à-vis legal positivism which appears somewhat jarring. The author adopts the classical liberal position that there is a moral imperative to act to prevent atrocity crimes, even citing with approval the report of the Independent International Commission on Kosovo which concluded that this imperative should ‘not be lightly cast aside by adopting a legalistic view of international responses to humanitarian catastrophes’ (p 60). Yet, paradoxically, the overall thesis that there are </w:t>
      </w:r>
      <w:r w:rsidRPr="0064276E">
        <w:rPr>
          <w:i/>
          <w:iCs/>
          <w:sz w:val="24"/>
          <w:szCs w:val="24"/>
        </w:rPr>
        <w:t>Existing Limits</w:t>
      </w:r>
      <w:r w:rsidRPr="0064276E">
        <w:rPr>
          <w:sz w:val="24"/>
          <w:szCs w:val="24"/>
        </w:rPr>
        <w:t xml:space="preserve"> on</w:t>
      </w:r>
      <w:r w:rsidR="002E19B3" w:rsidRPr="0064276E">
        <w:rPr>
          <w:sz w:val="24"/>
          <w:szCs w:val="24"/>
        </w:rPr>
        <w:t xml:space="preserve"> the</w:t>
      </w:r>
      <w:r w:rsidRPr="0064276E">
        <w:rPr>
          <w:sz w:val="24"/>
          <w:szCs w:val="24"/>
        </w:rPr>
        <w:t xml:space="preserve"> Security Council</w:t>
      </w:r>
      <w:r w:rsidR="002E19B3" w:rsidRPr="0064276E">
        <w:rPr>
          <w:sz w:val="24"/>
          <w:szCs w:val="24"/>
        </w:rPr>
        <w:t xml:space="preserve"> </w:t>
      </w:r>
      <w:r w:rsidR="00C70DC6" w:rsidRPr="0064276E">
        <w:rPr>
          <w:sz w:val="24"/>
          <w:szCs w:val="24"/>
        </w:rPr>
        <w:t>veto</w:t>
      </w:r>
      <w:r w:rsidR="002E19B3" w:rsidRPr="0064276E">
        <w:rPr>
          <w:sz w:val="24"/>
          <w:szCs w:val="24"/>
        </w:rPr>
        <w:t xml:space="preserve"> in the face of atrocity crimes </w:t>
      </w:r>
      <w:r w:rsidRPr="0064276E">
        <w:rPr>
          <w:sz w:val="24"/>
          <w:szCs w:val="24"/>
        </w:rPr>
        <w:t xml:space="preserve">is, in many ways, the epitome of ‘a legalistic view of international responses to humanitarian </w:t>
      </w:r>
      <w:r w:rsidR="002E19B3" w:rsidRPr="0064276E">
        <w:rPr>
          <w:sz w:val="24"/>
          <w:szCs w:val="24"/>
        </w:rPr>
        <w:t>catastrophes’</w:t>
      </w:r>
      <w:r w:rsidRPr="0064276E">
        <w:rPr>
          <w:sz w:val="24"/>
          <w:szCs w:val="24"/>
        </w:rPr>
        <w:t xml:space="preserve">. </w:t>
      </w:r>
    </w:p>
    <w:p w14:paraId="151D68A3" w14:textId="77777777" w:rsidR="00B32AB5" w:rsidRPr="0064276E" w:rsidRDefault="00B32AB5" w:rsidP="0064276E">
      <w:pPr>
        <w:rPr>
          <w:sz w:val="24"/>
          <w:szCs w:val="24"/>
        </w:rPr>
      </w:pPr>
    </w:p>
    <w:p w14:paraId="59B61F70" w14:textId="5B20B7C0" w:rsidR="001B76E2" w:rsidRPr="0064276E" w:rsidRDefault="00DF54FA" w:rsidP="0064276E">
      <w:pPr>
        <w:rPr>
          <w:sz w:val="24"/>
          <w:szCs w:val="24"/>
        </w:rPr>
      </w:pPr>
      <w:r w:rsidRPr="0064276E">
        <w:rPr>
          <w:sz w:val="24"/>
          <w:szCs w:val="24"/>
        </w:rPr>
        <w:t>Chapter three</w:t>
      </w:r>
      <w:r w:rsidR="00A70840" w:rsidRPr="0064276E">
        <w:rPr>
          <w:sz w:val="24"/>
          <w:szCs w:val="24"/>
        </w:rPr>
        <w:t xml:space="preserve"> completes the foundational groundwork by defending the book’s </w:t>
      </w:r>
      <w:r w:rsidR="00B32AB5" w:rsidRPr="0064276E">
        <w:rPr>
          <w:sz w:val="24"/>
          <w:szCs w:val="24"/>
        </w:rPr>
        <w:t xml:space="preserve">legalistic </w:t>
      </w:r>
      <w:r w:rsidR="00A70840" w:rsidRPr="0064276E">
        <w:rPr>
          <w:sz w:val="24"/>
          <w:szCs w:val="24"/>
        </w:rPr>
        <w:t xml:space="preserve">approach </w:t>
      </w:r>
      <w:r w:rsidR="00B32AB5" w:rsidRPr="0064276E">
        <w:rPr>
          <w:sz w:val="24"/>
          <w:szCs w:val="24"/>
        </w:rPr>
        <w:t xml:space="preserve">against other approaches. Trahan is entirely correct </w:t>
      </w:r>
      <w:r w:rsidR="00A70840" w:rsidRPr="0064276E">
        <w:rPr>
          <w:sz w:val="24"/>
          <w:szCs w:val="24"/>
        </w:rPr>
        <w:t xml:space="preserve">to criticise </w:t>
      </w:r>
      <w:r w:rsidR="00B32AB5" w:rsidRPr="0064276E">
        <w:rPr>
          <w:sz w:val="24"/>
          <w:szCs w:val="24"/>
        </w:rPr>
        <w:t>existing reform proposals</w:t>
      </w:r>
      <w:r w:rsidR="00A70840" w:rsidRPr="0064276E">
        <w:rPr>
          <w:sz w:val="24"/>
          <w:szCs w:val="24"/>
        </w:rPr>
        <w:t xml:space="preserve">. </w:t>
      </w:r>
      <w:r w:rsidR="00D30267" w:rsidRPr="0064276E">
        <w:rPr>
          <w:sz w:val="24"/>
          <w:szCs w:val="24"/>
        </w:rPr>
        <w:t xml:space="preserve">However </w:t>
      </w:r>
      <w:r w:rsidRPr="0064276E">
        <w:rPr>
          <w:sz w:val="24"/>
          <w:szCs w:val="24"/>
        </w:rPr>
        <w:t>ingenious such proposals</w:t>
      </w:r>
      <w:r w:rsidR="00D30267" w:rsidRPr="0064276E">
        <w:rPr>
          <w:sz w:val="24"/>
          <w:szCs w:val="24"/>
        </w:rPr>
        <w:t xml:space="preserve"> may be within their own four </w:t>
      </w:r>
      <w:r w:rsidR="00A70840" w:rsidRPr="0064276E">
        <w:rPr>
          <w:sz w:val="24"/>
          <w:szCs w:val="24"/>
        </w:rPr>
        <w:t>walls</w:t>
      </w:r>
      <w:r w:rsidR="00D30267" w:rsidRPr="0064276E">
        <w:rPr>
          <w:sz w:val="24"/>
          <w:szCs w:val="24"/>
        </w:rPr>
        <w:t xml:space="preserve">, they routinely fail to offer an intelligible response to the problem of the ‘double veto’. </w:t>
      </w:r>
      <w:r w:rsidR="001B76E2" w:rsidRPr="0064276E">
        <w:rPr>
          <w:sz w:val="24"/>
          <w:szCs w:val="24"/>
          <w:shd w:val="clear" w:color="auto" w:fill="FFFFFF"/>
        </w:rPr>
        <w:t>A</w:t>
      </w:r>
      <w:r w:rsidR="001B76E2" w:rsidRPr="0064276E">
        <w:rPr>
          <w:sz w:val="24"/>
          <w:szCs w:val="24"/>
        </w:rPr>
        <w:t xml:space="preserve"> formal Charter amendment would be required to change the Council’s composition or voting rules, which is nigh impossible considering that it would need to carry the support of two-thirds of all UN member states, including – most significantly – the permanent members of the Council.</w:t>
      </w:r>
      <w:r w:rsidR="001B76E2" w:rsidRPr="0064276E">
        <w:rPr>
          <w:rStyle w:val="FootnoteReference"/>
          <w:sz w:val="24"/>
          <w:szCs w:val="24"/>
        </w:rPr>
        <w:footnoteReference w:id="13"/>
      </w:r>
      <w:r w:rsidR="001B76E2" w:rsidRPr="0064276E">
        <w:rPr>
          <w:sz w:val="24"/>
          <w:szCs w:val="24"/>
        </w:rPr>
        <w:t xml:space="preserve"> Spurred by this very dilemma, voluntary reform initiatives are currently </w:t>
      </w:r>
      <w:r w:rsidR="001B76E2" w:rsidRPr="0064276E">
        <w:rPr>
          <w:i/>
          <w:sz w:val="24"/>
          <w:szCs w:val="24"/>
        </w:rPr>
        <w:t>en vogue</w:t>
      </w:r>
      <w:r w:rsidR="001B76E2" w:rsidRPr="0064276E">
        <w:rPr>
          <w:sz w:val="24"/>
          <w:szCs w:val="24"/>
        </w:rPr>
        <w:t>, not least the ‘Global Responsibility Not to Veto’ initiative.</w:t>
      </w:r>
      <w:r w:rsidR="001B76E2" w:rsidRPr="0064276E">
        <w:rPr>
          <w:rStyle w:val="FootnoteReference"/>
          <w:sz w:val="24"/>
          <w:szCs w:val="24"/>
        </w:rPr>
        <w:footnoteReference w:id="14"/>
      </w:r>
      <w:r w:rsidR="001B76E2" w:rsidRPr="0064276E">
        <w:rPr>
          <w:sz w:val="24"/>
          <w:szCs w:val="24"/>
        </w:rPr>
        <w:t xml:space="preserve"> Trahan dismisses these measures precisely due to their discretional nature, suggesting that if they are to gain any genuine traction they need to be mandatory (p 50). This is, in many ways, the book’s theme: only mandatory limits will genuinely curtail veto-abuse in the face of atrocity crimes.</w:t>
      </w:r>
      <w:r w:rsidR="00734B91" w:rsidRPr="0064276E">
        <w:rPr>
          <w:sz w:val="24"/>
          <w:szCs w:val="24"/>
        </w:rPr>
        <w:t xml:space="preserve"> </w:t>
      </w:r>
    </w:p>
    <w:p w14:paraId="3F406B3C" w14:textId="77777777" w:rsidR="00B32AB5" w:rsidRPr="0064276E" w:rsidRDefault="00B32AB5" w:rsidP="0064276E">
      <w:pPr>
        <w:rPr>
          <w:sz w:val="24"/>
          <w:szCs w:val="24"/>
        </w:rPr>
      </w:pPr>
    </w:p>
    <w:p w14:paraId="608056A9" w14:textId="2945DA14" w:rsidR="00734B91" w:rsidRPr="0064276E" w:rsidRDefault="00A41F83" w:rsidP="0064276E">
      <w:pPr>
        <w:rPr>
          <w:sz w:val="24"/>
          <w:szCs w:val="24"/>
        </w:rPr>
      </w:pPr>
      <w:r w:rsidRPr="0064276E">
        <w:rPr>
          <w:sz w:val="24"/>
          <w:szCs w:val="24"/>
        </w:rPr>
        <w:t>As mentioned, the</w:t>
      </w:r>
      <w:r w:rsidR="00734B91" w:rsidRPr="0064276E">
        <w:rPr>
          <w:sz w:val="24"/>
          <w:szCs w:val="24"/>
        </w:rPr>
        <w:t xml:space="preserve"> main thesis resides in Chapter </w:t>
      </w:r>
      <w:r w:rsidR="00B32AB5" w:rsidRPr="0064276E">
        <w:rPr>
          <w:sz w:val="24"/>
          <w:szCs w:val="24"/>
        </w:rPr>
        <w:t>four</w:t>
      </w:r>
      <w:r w:rsidR="00587602" w:rsidRPr="0064276E">
        <w:rPr>
          <w:sz w:val="24"/>
          <w:szCs w:val="24"/>
        </w:rPr>
        <w:t xml:space="preserve">. </w:t>
      </w:r>
      <w:r w:rsidRPr="0064276E">
        <w:rPr>
          <w:sz w:val="24"/>
          <w:szCs w:val="24"/>
        </w:rPr>
        <w:t xml:space="preserve">It is divided into three arguments. </w:t>
      </w:r>
      <w:r w:rsidR="00587602" w:rsidRPr="0064276E">
        <w:rPr>
          <w:sz w:val="24"/>
          <w:szCs w:val="24"/>
        </w:rPr>
        <w:t>First, Tr</w:t>
      </w:r>
      <w:r w:rsidR="00A70840" w:rsidRPr="0064276E">
        <w:rPr>
          <w:sz w:val="24"/>
          <w:szCs w:val="24"/>
        </w:rPr>
        <w:t>a</w:t>
      </w:r>
      <w:r w:rsidR="00587602" w:rsidRPr="0064276E">
        <w:rPr>
          <w:sz w:val="24"/>
          <w:szCs w:val="24"/>
        </w:rPr>
        <w:t xml:space="preserve">han argues </w:t>
      </w:r>
      <w:r w:rsidRPr="0064276E">
        <w:rPr>
          <w:sz w:val="24"/>
          <w:szCs w:val="24"/>
        </w:rPr>
        <w:t>t</w:t>
      </w:r>
      <w:r w:rsidR="009917FB" w:rsidRPr="0064276E">
        <w:rPr>
          <w:sz w:val="24"/>
          <w:szCs w:val="24"/>
        </w:rPr>
        <w:t>hat t</w:t>
      </w:r>
      <w:r w:rsidRPr="0064276E">
        <w:rPr>
          <w:sz w:val="24"/>
          <w:szCs w:val="24"/>
        </w:rPr>
        <w:t>he</w:t>
      </w:r>
      <w:r w:rsidR="00587602" w:rsidRPr="0064276E">
        <w:rPr>
          <w:sz w:val="24"/>
          <w:szCs w:val="24"/>
        </w:rPr>
        <w:t xml:space="preserve"> veto power can be overridden in circumstances </w:t>
      </w:r>
      <w:r w:rsidR="00B32AB5" w:rsidRPr="0064276E">
        <w:rPr>
          <w:sz w:val="24"/>
          <w:szCs w:val="24"/>
        </w:rPr>
        <w:t>where its</w:t>
      </w:r>
      <w:r w:rsidR="00587602" w:rsidRPr="0064276E">
        <w:rPr>
          <w:sz w:val="24"/>
          <w:szCs w:val="24"/>
        </w:rPr>
        <w:t xml:space="preserve"> effect </w:t>
      </w:r>
      <w:r w:rsidR="00B32AB5" w:rsidRPr="0064276E">
        <w:rPr>
          <w:sz w:val="24"/>
          <w:szCs w:val="24"/>
        </w:rPr>
        <w:t xml:space="preserve">would </w:t>
      </w:r>
      <w:r w:rsidR="00587602" w:rsidRPr="0064276E">
        <w:rPr>
          <w:sz w:val="24"/>
          <w:szCs w:val="24"/>
        </w:rPr>
        <w:t>facilitate</w:t>
      </w:r>
      <w:r w:rsidR="00587602" w:rsidRPr="0064276E">
        <w:rPr>
          <w:i/>
          <w:sz w:val="24"/>
          <w:szCs w:val="24"/>
        </w:rPr>
        <w:t xml:space="preserve"> jus cogens</w:t>
      </w:r>
      <w:r w:rsidR="00587602" w:rsidRPr="0064276E">
        <w:rPr>
          <w:sz w:val="24"/>
          <w:szCs w:val="24"/>
        </w:rPr>
        <w:t xml:space="preserve"> violations</w:t>
      </w:r>
      <w:r w:rsidR="00734B91" w:rsidRPr="0064276E">
        <w:rPr>
          <w:sz w:val="24"/>
          <w:szCs w:val="24"/>
        </w:rPr>
        <w:t xml:space="preserve">. </w:t>
      </w:r>
      <w:r w:rsidR="00B32AB5" w:rsidRPr="0064276E">
        <w:rPr>
          <w:sz w:val="24"/>
          <w:szCs w:val="24"/>
        </w:rPr>
        <w:t xml:space="preserve">Not many would disagree that </w:t>
      </w:r>
      <w:r w:rsidR="00513D1D" w:rsidRPr="0064276E">
        <w:rPr>
          <w:sz w:val="24"/>
          <w:szCs w:val="24"/>
        </w:rPr>
        <w:t>the</w:t>
      </w:r>
      <w:r w:rsidR="00587602" w:rsidRPr="0064276E">
        <w:rPr>
          <w:sz w:val="24"/>
          <w:szCs w:val="24"/>
        </w:rPr>
        <w:t xml:space="preserve"> prohibitions of genocide</w:t>
      </w:r>
      <w:r w:rsidR="00B32AB5" w:rsidRPr="0064276E">
        <w:rPr>
          <w:sz w:val="24"/>
          <w:szCs w:val="24"/>
        </w:rPr>
        <w:t xml:space="preserve"> and</w:t>
      </w:r>
      <w:r w:rsidR="00587602" w:rsidRPr="0064276E">
        <w:rPr>
          <w:sz w:val="24"/>
          <w:szCs w:val="24"/>
        </w:rPr>
        <w:t xml:space="preserve"> crimes against humanity </w:t>
      </w:r>
      <w:r w:rsidR="00B32AB5" w:rsidRPr="0064276E">
        <w:rPr>
          <w:sz w:val="24"/>
          <w:szCs w:val="24"/>
        </w:rPr>
        <w:t>are</w:t>
      </w:r>
      <w:r w:rsidR="00734B91" w:rsidRPr="0064276E">
        <w:rPr>
          <w:sz w:val="24"/>
          <w:szCs w:val="24"/>
        </w:rPr>
        <w:t xml:space="preserve"> peremptory </w:t>
      </w:r>
      <w:r w:rsidR="00B32AB5" w:rsidRPr="0064276E">
        <w:rPr>
          <w:sz w:val="24"/>
          <w:szCs w:val="24"/>
        </w:rPr>
        <w:t>norms of international law</w:t>
      </w:r>
      <w:r w:rsidR="00734B91" w:rsidRPr="0064276E">
        <w:rPr>
          <w:sz w:val="24"/>
          <w:szCs w:val="24"/>
        </w:rPr>
        <w:t>. Trahan’s argument that</w:t>
      </w:r>
      <w:r w:rsidR="00A70840" w:rsidRPr="0064276E">
        <w:rPr>
          <w:sz w:val="24"/>
          <w:szCs w:val="24"/>
        </w:rPr>
        <w:t xml:space="preserve"> in certain circumstances</w:t>
      </w:r>
      <w:r w:rsidR="00B32AB5" w:rsidRPr="0064276E">
        <w:rPr>
          <w:sz w:val="24"/>
          <w:szCs w:val="24"/>
        </w:rPr>
        <w:t xml:space="preserve"> </w:t>
      </w:r>
      <w:r w:rsidR="00587602" w:rsidRPr="0064276E">
        <w:rPr>
          <w:sz w:val="24"/>
          <w:szCs w:val="24"/>
        </w:rPr>
        <w:t>war crimes</w:t>
      </w:r>
      <w:r w:rsidR="00734B91" w:rsidRPr="0064276E">
        <w:rPr>
          <w:sz w:val="24"/>
          <w:szCs w:val="24"/>
        </w:rPr>
        <w:t xml:space="preserve"> </w:t>
      </w:r>
      <w:r w:rsidR="00A70840" w:rsidRPr="0064276E">
        <w:rPr>
          <w:sz w:val="24"/>
          <w:szCs w:val="24"/>
        </w:rPr>
        <w:t xml:space="preserve">can </w:t>
      </w:r>
      <w:r w:rsidR="00734B91" w:rsidRPr="0064276E">
        <w:rPr>
          <w:sz w:val="24"/>
          <w:szCs w:val="24"/>
        </w:rPr>
        <w:t>also meet this description is also plausible</w:t>
      </w:r>
      <w:r w:rsidR="00587602" w:rsidRPr="0064276E">
        <w:rPr>
          <w:sz w:val="24"/>
          <w:szCs w:val="24"/>
        </w:rPr>
        <w:t xml:space="preserve">. </w:t>
      </w:r>
      <w:r w:rsidR="00734B91" w:rsidRPr="0064276E">
        <w:rPr>
          <w:sz w:val="24"/>
          <w:szCs w:val="24"/>
        </w:rPr>
        <w:t xml:space="preserve">But for these prohibitions to override the veto, </w:t>
      </w:r>
      <w:r w:rsidR="00A70840" w:rsidRPr="0064276E">
        <w:rPr>
          <w:sz w:val="24"/>
          <w:szCs w:val="24"/>
        </w:rPr>
        <w:t xml:space="preserve">the author </w:t>
      </w:r>
      <w:r w:rsidR="00734B91" w:rsidRPr="0064276E">
        <w:rPr>
          <w:sz w:val="24"/>
          <w:szCs w:val="24"/>
        </w:rPr>
        <w:t xml:space="preserve">acknowledges that one must </w:t>
      </w:r>
      <w:r w:rsidR="00513D1D" w:rsidRPr="0064276E">
        <w:rPr>
          <w:sz w:val="24"/>
          <w:szCs w:val="24"/>
        </w:rPr>
        <w:t xml:space="preserve">adopt a </w:t>
      </w:r>
      <w:r w:rsidR="00734B91" w:rsidRPr="0064276E">
        <w:rPr>
          <w:sz w:val="24"/>
          <w:szCs w:val="24"/>
        </w:rPr>
        <w:t xml:space="preserve">particularly </w:t>
      </w:r>
      <w:r w:rsidR="009917FB" w:rsidRPr="0064276E">
        <w:rPr>
          <w:sz w:val="24"/>
          <w:szCs w:val="24"/>
        </w:rPr>
        <w:t xml:space="preserve">hierarchical </w:t>
      </w:r>
      <w:r w:rsidR="002E19B3" w:rsidRPr="0064276E">
        <w:rPr>
          <w:sz w:val="24"/>
          <w:szCs w:val="24"/>
        </w:rPr>
        <w:t>conception of</w:t>
      </w:r>
      <w:r w:rsidR="009917FB" w:rsidRPr="0064276E">
        <w:rPr>
          <w:sz w:val="24"/>
          <w:szCs w:val="24"/>
        </w:rPr>
        <w:t xml:space="preserve"> the international legal system (</w:t>
      </w:r>
      <w:r w:rsidR="00513D1D" w:rsidRPr="0064276E">
        <w:rPr>
          <w:sz w:val="24"/>
          <w:szCs w:val="24"/>
        </w:rPr>
        <w:t xml:space="preserve">p </w:t>
      </w:r>
      <w:r w:rsidR="009917FB" w:rsidRPr="0064276E">
        <w:rPr>
          <w:sz w:val="24"/>
          <w:szCs w:val="24"/>
        </w:rPr>
        <w:t xml:space="preserve">148). </w:t>
      </w:r>
      <w:r w:rsidR="00734B91" w:rsidRPr="0064276E">
        <w:rPr>
          <w:sz w:val="24"/>
          <w:szCs w:val="24"/>
        </w:rPr>
        <w:t xml:space="preserve">While in some ways this runs contrary to </w:t>
      </w:r>
      <w:r w:rsidR="002E19B3" w:rsidRPr="0064276E">
        <w:rPr>
          <w:sz w:val="24"/>
          <w:szCs w:val="24"/>
        </w:rPr>
        <w:t xml:space="preserve">the </w:t>
      </w:r>
      <w:r w:rsidR="00734B91" w:rsidRPr="0064276E">
        <w:rPr>
          <w:sz w:val="24"/>
          <w:szCs w:val="24"/>
        </w:rPr>
        <w:t>traditional</w:t>
      </w:r>
      <w:r w:rsidR="002E19B3" w:rsidRPr="0064276E">
        <w:rPr>
          <w:sz w:val="24"/>
          <w:szCs w:val="24"/>
        </w:rPr>
        <w:t xml:space="preserve"> </w:t>
      </w:r>
      <w:r w:rsidR="00734B91" w:rsidRPr="0064276E">
        <w:rPr>
          <w:sz w:val="24"/>
          <w:szCs w:val="24"/>
        </w:rPr>
        <w:t>conception of a decentralised, horizon</w:t>
      </w:r>
      <w:r w:rsidR="00B32AB5" w:rsidRPr="0064276E">
        <w:rPr>
          <w:sz w:val="24"/>
          <w:szCs w:val="24"/>
        </w:rPr>
        <w:t>t</w:t>
      </w:r>
      <w:r w:rsidR="00734B91" w:rsidRPr="0064276E">
        <w:rPr>
          <w:sz w:val="24"/>
          <w:szCs w:val="24"/>
        </w:rPr>
        <w:t>al international legal order, it is gaining in prevalence. We might even say that,</w:t>
      </w:r>
      <w:r w:rsidR="00513D1D" w:rsidRPr="0064276E">
        <w:rPr>
          <w:sz w:val="24"/>
          <w:szCs w:val="24"/>
        </w:rPr>
        <w:t xml:space="preserve"> in many ways</w:t>
      </w:r>
      <w:r w:rsidR="00734B91" w:rsidRPr="0064276E">
        <w:rPr>
          <w:sz w:val="24"/>
          <w:szCs w:val="24"/>
        </w:rPr>
        <w:t>,</w:t>
      </w:r>
      <w:r w:rsidR="00513D1D" w:rsidRPr="0064276E">
        <w:rPr>
          <w:sz w:val="24"/>
          <w:szCs w:val="24"/>
        </w:rPr>
        <w:t xml:space="preserve"> the ‘</w:t>
      </w:r>
      <w:r w:rsidR="009917FB" w:rsidRPr="0064276E">
        <w:rPr>
          <w:sz w:val="24"/>
          <w:szCs w:val="24"/>
        </w:rPr>
        <w:t xml:space="preserve">hierarchical paradigm has colonised the </w:t>
      </w:r>
      <w:r w:rsidR="009917FB" w:rsidRPr="0064276E">
        <w:rPr>
          <w:sz w:val="24"/>
          <w:szCs w:val="24"/>
        </w:rPr>
        <w:lastRenderedPageBreak/>
        <w:t>field of professional rhetoric, transforming our conception of what constitutes an acceptable argument in legal discourse’.</w:t>
      </w:r>
      <w:r w:rsidR="009917FB" w:rsidRPr="0064276E">
        <w:rPr>
          <w:rStyle w:val="FootnoteReference"/>
          <w:sz w:val="24"/>
          <w:szCs w:val="24"/>
        </w:rPr>
        <w:footnoteReference w:id="15"/>
      </w:r>
      <w:r w:rsidR="00734B91" w:rsidRPr="0064276E">
        <w:rPr>
          <w:sz w:val="24"/>
          <w:szCs w:val="24"/>
        </w:rPr>
        <w:t xml:space="preserve"> </w:t>
      </w:r>
    </w:p>
    <w:p w14:paraId="0B78E1FE" w14:textId="77777777" w:rsidR="00B32AB5" w:rsidRPr="0064276E" w:rsidRDefault="00B32AB5" w:rsidP="0064276E">
      <w:pPr>
        <w:rPr>
          <w:sz w:val="24"/>
          <w:szCs w:val="24"/>
        </w:rPr>
      </w:pPr>
    </w:p>
    <w:p w14:paraId="6320DD32" w14:textId="3749F026" w:rsidR="00513D1D" w:rsidRPr="0064276E" w:rsidRDefault="00734B91" w:rsidP="0064276E">
      <w:pPr>
        <w:rPr>
          <w:sz w:val="24"/>
          <w:szCs w:val="24"/>
        </w:rPr>
      </w:pPr>
      <w:r w:rsidRPr="0064276E">
        <w:rPr>
          <w:sz w:val="24"/>
          <w:szCs w:val="24"/>
        </w:rPr>
        <w:t xml:space="preserve">As an example of this dominant rhetoric, </w:t>
      </w:r>
      <w:r w:rsidR="009917FB" w:rsidRPr="0064276E">
        <w:rPr>
          <w:sz w:val="24"/>
          <w:szCs w:val="24"/>
        </w:rPr>
        <w:t>Trahan approvingly cites Sir Gerald Fitzmaurice, then the ILC’s Special Rapporteur on the Law of Treaties</w:t>
      </w:r>
      <w:r w:rsidR="00B32AB5" w:rsidRPr="0064276E">
        <w:rPr>
          <w:sz w:val="24"/>
          <w:szCs w:val="24"/>
        </w:rPr>
        <w:t>. R</w:t>
      </w:r>
      <w:r w:rsidR="009917FB" w:rsidRPr="0064276E">
        <w:rPr>
          <w:sz w:val="24"/>
          <w:szCs w:val="24"/>
        </w:rPr>
        <w:t xml:space="preserve">eflecting on the existence of norms of </w:t>
      </w:r>
      <w:r w:rsidR="009917FB" w:rsidRPr="0064276E">
        <w:rPr>
          <w:i/>
          <w:sz w:val="24"/>
          <w:szCs w:val="24"/>
        </w:rPr>
        <w:t>jus cogens</w:t>
      </w:r>
      <w:r w:rsidR="00B32AB5" w:rsidRPr="0064276E">
        <w:rPr>
          <w:sz w:val="24"/>
          <w:szCs w:val="24"/>
        </w:rPr>
        <w:t>, he observe</w:t>
      </w:r>
      <w:r w:rsidR="00737330" w:rsidRPr="0064276E">
        <w:rPr>
          <w:sz w:val="24"/>
          <w:szCs w:val="24"/>
        </w:rPr>
        <w:t>d</w:t>
      </w:r>
      <w:r w:rsidR="009917FB" w:rsidRPr="0064276E">
        <w:rPr>
          <w:sz w:val="24"/>
          <w:szCs w:val="24"/>
        </w:rPr>
        <w:t xml:space="preserve"> that ‘[t]here are certain forms of illegal action that can never be justified’</w:t>
      </w:r>
      <w:r w:rsidR="00513D1D" w:rsidRPr="0064276E">
        <w:rPr>
          <w:sz w:val="24"/>
          <w:szCs w:val="24"/>
        </w:rPr>
        <w:t xml:space="preserve"> (p 152)</w:t>
      </w:r>
      <w:r w:rsidR="009917FB" w:rsidRPr="0064276E">
        <w:rPr>
          <w:sz w:val="24"/>
          <w:szCs w:val="24"/>
        </w:rPr>
        <w:t>.</w:t>
      </w:r>
      <w:r w:rsidRPr="0064276E">
        <w:rPr>
          <w:sz w:val="24"/>
          <w:szCs w:val="24"/>
        </w:rPr>
        <w:t xml:space="preserve"> </w:t>
      </w:r>
      <w:r w:rsidR="00737330" w:rsidRPr="0064276E">
        <w:rPr>
          <w:sz w:val="24"/>
          <w:szCs w:val="24"/>
        </w:rPr>
        <w:t xml:space="preserve">From this general proposition, Trahan makes an important move, claiming that </w:t>
      </w:r>
      <w:r w:rsidRPr="0064276E">
        <w:rPr>
          <w:sz w:val="24"/>
          <w:szCs w:val="24"/>
        </w:rPr>
        <w:t xml:space="preserve">states may never ‘derogate from the protections provided to </w:t>
      </w:r>
      <w:r w:rsidRPr="0064276E">
        <w:rPr>
          <w:i/>
          <w:sz w:val="24"/>
          <w:szCs w:val="24"/>
        </w:rPr>
        <w:t>jus cogens</w:t>
      </w:r>
      <w:r w:rsidRPr="0064276E">
        <w:rPr>
          <w:sz w:val="24"/>
          <w:szCs w:val="24"/>
        </w:rPr>
        <w:t xml:space="preserve"> norms by permitting or facilitating (even if indirectly), through conduct on the Council (including veto use), the continued perpetration of genocide, crimes against humanity, and/or war crimes’ (p 179)</w:t>
      </w:r>
      <w:r w:rsidR="00B32AB5" w:rsidRPr="0064276E">
        <w:rPr>
          <w:sz w:val="24"/>
          <w:szCs w:val="24"/>
        </w:rPr>
        <w:t>.</w:t>
      </w:r>
      <w:r w:rsidRPr="0064276E">
        <w:rPr>
          <w:sz w:val="24"/>
          <w:szCs w:val="24"/>
        </w:rPr>
        <w:t xml:space="preserve"> </w:t>
      </w:r>
      <w:r w:rsidR="00737330" w:rsidRPr="0064276E">
        <w:rPr>
          <w:sz w:val="24"/>
          <w:szCs w:val="24"/>
        </w:rPr>
        <w:t>Borrowing F</w:t>
      </w:r>
      <w:r w:rsidRPr="0064276E">
        <w:rPr>
          <w:sz w:val="24"/>
          <w:szCs w:val="24"/>
        </w:rPr>
        <w:t xml:space="preserve">itzmaurice’s </w:t>
      </w:r>
      <w:r w:rsidR="00737330" w:rsidRPr="0064276E">
        <w:rPr>
          <w:sz w:val="24"/>
          <w:szCs w:val="24"/>
        </w:rPr>
        <w:t xml:space="preserve">words, this implies that </w:t>
      </w:r>
      <w:r w:rsidR="009917FB" w:rsidRPr="0064276E">
        <w:rPr>
          <w:sz w:val="24"/>
          <w:szCs w:val="24"/>
        </w:rPr>
        <w:t xml:space="preserve">a failure to stop </w:t>
      </w:r>
      <w:r w:rsidR="00B32AB5" w:rsidRPr="0064276E">
        <w:rPr>
          <w:sz w:val="24"/>
          <w:szCs w:val="24"/>
        </w:rPr>
        <w:t>an</w:t>
      </w:r>
      <w:r w:rsidR="009917FB" w:rsidRPr="0064276E">
        <w:rPr>
          <w:sz w:val="24"/>
          <w:szCs w:val="24"/>
        </w:rPr>
        <w:t xml:space="preserve"> illegal action (i.e. the perpetration of an act of genocide) is</w:t>
      </w:r>
      <w:r w:rsidR="00737330" w:rsidRPr="0064276E">
        <w:rPr>
          <w:sz w:val="24"/>
          <w:szCs w:val="24"/>
        </w:rPr>
        <w:t xml:space="preserve"> itself</w:t>
      </w:r>
      <w:r w:rsidR="009917FB" w:rsidRPr="0064276E">
        <w:rPr>
          <w:sz w:val="24"/>
          <w:szCs w:val="24"/>
        </w:rPr>
        <w:t xml:space="preserve"> ‘a form of illegal action that can never be justified’. </w:t>
      </w:r>
      <w:r w:rsidR="00737330" w:rsidRPr="0064276E">
        <w:rPr>
          <w:sz w:val="24"/>
          <w:szCs w:val="24"/>
        </w:rPr>
        <w:t xml:space="preserve">However, it is not immediately clear that the original proposition leads so seamlessly to this second claim. </w:t>
      </w:r>
      <w:r w:rsidR="00513D1D" w:rsidRPr="0064276E">
        <w:rPr>
          <w:sz w:val="24"/>
          <w:szCs w:val="24"/>
        </w:rPr>
        <w:t xml:space="preserve">In other words, the fact that the prohibition against genocide is </w:t>
      </w:r>
      <w:r w:rsidR="00513D1D" w:rsidRPr="0064276E">
        <w:rPr>
          <w:i/>
          <w:sz w:val="24"/>
          <w:szCs w:val="24"/>
        </w:rPr>
        <w:t>jus cogens</w:t>
      </w:r>
      <w:r w:rsidR="00513D1D" w:rsidRPr="0064276E">
        <w:rPr>
          <w:sz w:val="24"/>
          <w:szCs w:val="24"/>
        </w:rPr>
        <w:t xml:space="preserve"> does not mean</w:t>
      </w:r>
      <w:r w:rsidR="00014357" w:rsidRPr="0064276E">
        <w:rPr>
          <w:sz w:val="24"/>
          <w:szCs w:val="24"/>
        </w:rPr>
        <w:t xml:space="preserve"> that</w:t>
      </w:r>
      <w:r w:rsidR="00513D1D" w:rsidRPr="0064276E">
        <w:rPr>
          <w:sz w:val="24"/>
          <w:szCs w:val="24"/>
        </w:rPr>
        <w:t xml:space="preserve"> the specific obligation to take reasonable measures to prevent </w:t>
      </w:r>
      <w:r w:rsidR="00737330" w:rsidRPr="0064276E">
        <w:rPr>
          <w:sz w:val="24"/>
          <w:szCs w:val="24"/>
        </w:rPr>
        <w:t>genocide</w:t>
      </w:r>
      <w:r w:rsidR="00513D1D" w:rsidRPr="0064276E">
        <w:rPr>
          <w:sz w:val="24"/>
          <w:szCs w:val="24"/>
        </w:rPr>
        <w:t xml:space="preserve"> is</w:t>
      </w:r>
      <w:r w:rsidR="00014357" w:rsidRPr="0064276E">
        <w:rPr>
          <w:sz w:val="24"/>
          <w:szCs w:val="24"/>
        </w:rPr>
        <w:t xml:space="preserve"> also</w:t>
      </w:r>
      <w:r w:rsidR="00513D1D" w:rsidRPr="0064276E">
        <w:rPr>
          <w:sz w:val="24"/>
          <w:szCs w:val="24"/>
        </w:rPr>
        <w:t xml:space="preserve"> </w:t>
      </w:r>
      <w:r w:rsidR="00513D1D" w:rsidRPr="0064276E">
        <w:rPr>
          <w:i/>
          <w:sz w:val="24"/>
          <w:szCs w:val="24"/>
        </w:rPr>
        <w:t>jus cogens</w:t>
      </w:r>
      <w:r w:rsidR="00513D1D" w:rsidRPr="0064276E">
        <w:rPr>
          <w:sz w:val="24"/>
          <w:szCs w:val="24"/>
        </w:rPr>
        <w:t>.</w:t>
      </w:r>
      <w:r w:rsidRPr="0064276E">
        <w:rPr>
          <w:rStyle w:val="FootnoteReference"/>
          <w:sz w:val="24"/>
          <w:szCs w:val="24"/>
        </w:rPr>
        <w:footnoteReference w:id="16"/>
      </w:r>
      <w:r w:rsidRPr="0064276E">
        <w:rPr>
          <w:sz w:val="24"/>
          <w:szCs w:val="24"/>
        </w:rPr>
        <w:t xml:space="preserve"> </w:t>
      </w:r>
    </w:p>
    <w:p w14:paraId="514CB40D" w14:textId="71A9485E" w:rsidR="00710906" w:rsidRPr="0064276E" w:rsidRDefault="00710906" w:rsidP="0064276E">
      <w:pPr>
        <w:rPr>
          <w:sz w:val="24"/>
          <w:szCs w:val="24"/>
        </w:rPr>
      </w:pPr>
    </w:p>
    <w:p w14:paraId="3F79C95B" w14:textId="77777777" w:rsidR="00014357" w:rsidRPr="0064276E" w:rsidRDefault="00EC2B67" w:rsidP="0064276E">
      <w:pPr>
        <w:rPr>
          <w:sz w:val="24"/>
          <w:szCs w:val="24"/>
        </w:rPr>
      </w:pPr>
      <w:r w:rsidRPr="0064276E">
        <w:rPr>
          <w:sz w:val="24"/>
          <w:szCs w:val="24"/>
        </w:rPr>
        <w:t xml:space="preserve">The second substantive argument is that abusive vetoes </w:t>
      </w:r>
      <w:r w:rsidR="00B32AB5" w:rsidRPr="0064276E">
        <w:rPr>
          <w:sz w:val="24"/>
          <w:szCs w:val="24"/>
        </w:rPr>
        <w:t xml:space="preserve">can </w:t>
      </w:r>
      <w:r w:rsidRPr="0064276E">
        <w:rPr>
          <w:sz w:val="24"/>
          <w:szCs w:val="24"/>
        </w:rPr>
        <w:t xml:space="preserve">violate </w:t>
      </w:r>
      <w:r w:rsidR="00587602" w:rsidRPr="0064276E">
        <w:rPr>
          <w:sz w:val="24"/>
          <w:szCs w:val="24"/>
        </w:rPr>
        <w:t>Article 24(2) of the Charter</w:t>
      </w:r>
      <w:r w:rsidRPr="0064276E">
        <w:rPr>
          <w:sz w:val="24"/>
          <w:szCs w:val="24"/>
        </w:rPr>
        <w:t>, which</w:t>
      </w:r>
      <w:r w:rsidR="00587602" w:rsidRPr="0064276E">
        <w:rPr>
          <w:sz w:val="24"/>
          <w:szCs w:val="24"/>
        </w:rPr>
        <w:t xml:space="preserve"> provides that the Security Council must </w:t>
      </w:r>
      <w:r w:rsidR="00B32AB5" w:rsidRPr="0064276E">
        <w:rPr>
          <w:sz w:val="24"/>
          <w:szCs w:val="24"/>
        </w:rPr>
        <w:t>comply</w:t>
      </w:r>
      <w:r w:rsidR="00587602" w:rsidRPr="0064276E">
        <w:rPr>
          <w:sz w:val="24"/>
          <w:szCs w:val="24"/>
        </w:rPr>
        <w:t xml:space="preserve"> with the ‘purposes’ and ‘principles’ of the UN</w:t>
      </w:r>
      <w:r w:rsidR="00A41F83" w:rsidRPr="0064276E">
        <w:rPr>
          <w:sz w:val="24"/>
          <w:szCs w:val="24"/>
        </w:rPr>
        <w:t xml:space="preserve">. Trahan </w:t>
      </w:r>
      <w:r w:rsidR="00737330" w:rsidRPr="0064276E">
        <w:rPr>
          <w:sz w:val="24"/>
          <w:szCs w:val="24"/>
        </w:rPr>
        <w:t>skilfully</w:t>
      </w:r>
      <w:r w:rsidR="00A41F83" w:rsidRPr="0064276E">
        <w:rPr>
          <w:sz w:val="24"/>
          <w:szCs w:val="24"/>
        </w:rPr>
        <w:t xml:space="preserve"> shows how, in certain circumstances, abusive vetoes might be construed a</w:t>
      </w:r>
      <w:r w:rsidR="00B32AB5" w:rsidRPr="0064276E">
        <w:rPr>
          <w:sz w:val="24"/>
          <w:szCs w:val="24"/>
        </w:rPr>
        <w:t>s</w:t>
      </w:r>
      <w:r w:rsidR="00A41F83" w:rsidRPr="0064276E">
        <w:rPr>
          <w:sz w:val="24"/>
          <w:szCs w:val="24"/>
        </w:rPr>
        <w:t xml:space="preserve"> </w:t>
      </w:r>
      <w:r w:rsidR="00B32AB5" w:rsidRPr="0064276E">
        <w:rPr>
          <w:sz w:val="24"/>
          <w:szCs w:val="24"/>
        </w:rPr>
        <w:t xml:space="preserve">being </w:t>
      </w:r>
      <w:r w:rsidR="00A41F83" w:rsidRPr="0064276E">
        <w:rPr>
          <w:sz w:val="24"/>
          <w:szCs w:val="24"/>
        </w:rPr>
        <w:t xml:space="preserve">inconsistent with respect for </w:t>
      </w:r>
      <w:r w:rsidR="00587602" w:rsidRPr="0064276E">
        <w:rPr>
          <w:sz w:val="24"/>
          <w:szCs w:val="24"/>
        </w:rPr>
        <w:t>‘principles of justice and international law’, ‘promoting and encouraging respect for human rights’, and</w:t>
      </w:r>
      <w:r w:rsidRPr="0064276E">
        <w:rPr>
          <w:sz w:val="24"/>
          <w:szCs w:val="24"/>
        </w:rPr>
        <w:t>/or</w:t>
      </w:r>
      <w:r w:rsidR="00587602" w:rsidRPr="0064276E">
        <w:rPr>
          <w:sz w:val="24"/>
          <w:szCs w:val="24"/>
        </w:rPr>
        <w:t xml:space="preserve"> ‘good faith’.</w:t>
      </w:r>
      <w:r w:rsidR="00587602" w:rsidRPr="0064276E">
        <w:rPr>
          <w:rStyle w:val="FootnoteReference"/>
          <w:sz w:val="24"/>
          <w:szCs w:val="24"/>
        </w:rPr>
        <w:footnoteReference w:id="17"/>
      </w:r>
      <w:r w:rsidR="00710906" w:rsidRPr="0064276E">
        <w:rPr>
          <w:sz w:val="24"/>
          <w:szCs w:val="24"/>
        </w:rPr>
        <w:t xml:space="preserve"> </w:t>
      </w:r>
      <w:r w:rsidRPr="0064276E">
        <w:rPr>
          <w:sz w:val="24"/>
          <w:szCs w:val="24"/>
        </w:rPr>
        <w:t xml:space="preserve">Central to this argument is the claim that </w:t>
      </w:r>
      <w:r w:rsidR="00710906" w:rsidRPr="0064276E">
        <w:rPr>
          <w:sz w:val="24"/>
          <w:szCs w:val="24"/>
        </w:rPr>
        <w:t>while the Charter grants the veto power, ‘[w]hat was never granted in San Francisco was the power to use the veto in a way that contravened basic tenets of international law or the UN’s “[p]urposes and [p]rinciples”’ (</w:t>
      </w:r>
      <w:r w:rsidR="00B32AB5" w:rsidRPr="0064276E">
        <w:rPr>
          <w:sz w:val="24"/>
          <w:szCs w:val="24"/>
        </w:rPr>
        <w:t>p</w:t>
      </w:r>
      <w:r w:rsidR="00710906" w:rsidRPr="0064276E">
        <w:rPr>
          <w:sz w:val="24"/>
          <w:szCs w:val="24"/>
        </w:rPr>
        <w:t xml:space="preserve"> 33). </w:t>
      </w:r>
    </w:p>
    <w:p w14:paraId="1A9316B6" w14:textId="77777777" w:rsidR="00014357" w:rsidRPr="0064276E" w:rsidRDefault="00014357" w:rsidP="0064276E">
      <w:pPr>
        <w:rPr>
          <w:sz w:val="24"/>
          <w:szCs w:val="24"/>
        </w:rPr>
      </w:pPr>
    </w:p>
    <w:p w14:paraId="7E3CAA84" w14:textId="3E2E8AE4" w:rsidR="006551C5" w:rsidRPr="0064276E" w:rsidRDefault="002E19B3" w:rsidP="0064276E">
      <w:pPr>
        <w:rPr>
          <w:sz w:val="24"/>
          <w:szCs w:val="24"/>
        </w:rPr>
      </w:pPr>
      <w:r w:rsidRPr="0064276E">
        <w:rPr>
          <w:sz w:val="24"/>
          <w:szCs w:val="24"/>
        </w:rPr>
        <w:t>However, t</w:t>
      </w:r>
      <w:r w:rsidR="006551C5" w:rsidRPr="0064276E">
        <w:rPr>
          <w:sz w:val="24"/>
          <w:szCs w:val="24"/>
        </w:rPr>
        <w:t xml:space="preserve">here is room to push back on the suggestion that </w:t>
      </w:r>
      <w:r w:rsidR="00710906" w:rsidRPr="0064276E">
        <w:rPr>
          <w:sz w:val="24"/>
          <w:szCs w:val="24"/>
        </w:rPr>
        <w:t>such a power would have to be explicitly granted to members of the Security Council. Alternatively, one might say that the limiting capacity of the purposes and principles of the Charter, which are, to another author, in any event</w:t>
      </w:r>
      <w:r w:rsidR="00B32AB5" w:rsidRPr="0064276E">
        <w:rPr>
          <w:sz w:val="24"/>
          <w:szCs w:val="24"/>
        </w:rPr>
        <w:t>,</w:t>
      </w:r>
      <w:r w:rsidR="00710906" w:rsidRPr="0064276E">
        <w:rPr>
          <w:sz w:val="24"/>
          <w:szCs w:val="24"/>
        </w:rPr>
        <w:t xml:space="preserve"> ‘so sweeping and abstract that [it] is hardly conceivable that the Council take any decision which cannot be said to further them’,</w:t>
      </w:r>
      <w:r w:rsidR="00710906" w:rsidRPr="0064276E">
        <w:rPr>
          <w:rStyle w:val="FootnoteReference"/>
          <w:sz w:val="24"/>
          <w:szCs w:val="24"/>
        </w:rPr>
        <w:footnoteReference w:id="18"/>
      </w:r>
      <w:r w:rsidR="00710906" w:rsidRPr="0064276E">
        <w:rPr>
          <w:sz w:val="24"/>
          <w:szCs w:val="24"/>
        </w:rPr>
        <w:t xml:space="preserve"> relates to substantive decisions only. According to this rationale, once a decision is blocked by the use or threat of the veto, whatever the rationale of the vetoing party, it is simply not a </w:t>
      </w:r>
      <w:r w:rsidR="00710906" w:rsidRPr="0064276E">
        <w:rPr>
          <w:i/>
          <w:sz w:val="24"/>
          <w:szCs w:val="24"/>
        </w:rPr>
        <w:t>decision</w:t>
      </w:r>
      <w:r w:rsidR="00710906" w:rsidRPr="0064276E">
        <w:rPr>
          <w:sz w:val="24"/>
          <w:szCs w:val="24"/>
        </w:rPr>
        <w:t xml:space="preserve"> that is governed by Articles 1 and 2. </w:t>
      </w:r>
      <w:r w:rsidR="00734B91" w:rsidRPr="0064276E">
        <w:rPr>
          <w:sz w:val="24"/>
          <w:szCs w:val="24"/>
        </w:rPr>
        <w:t>In the end, Trahan answers her own question</w:t>
      </w:r>
      <w:r w:rsidR="00B32AB5" w:rsidRPr="0064276E">
        <w:rPr>
          <w:sz w:val="24"/>
          <w:szCs w:val="24"/>
        </w:rPr>
        <w:t xml:space="preserve"> by </w:t>
      </w:r>
      <w:r w:rsidR="00734B91" w:rsidRPr="0064276E">
        <w:rPr>
          <w:sz w:val="24"/>
          <w:szCs w:val="24"/>
        </w:rPr>
        <w:t>acknowledging that ‘perhaps the “protection” of economic or strategic allies in particular situations simply outweighs any such concerns’ for the purposes and principles of the UN (</w:t>
      </w:r>
      <w:r w:rsidR="00B32AB5" w:rsidRPr="0064276E">
        <w:rPr>
          <w:sz w:val="24"/>
          <w:szCs w:val="24"/>
        </w:rPr>
        <w:t>p</w:t>
      </w:r>
      <w:r w:rsidR="00734B91" w:rsidRPr="0064276E">
        <w:rPr>
          <w:sz w:val="24"/>
          <w:szCs w:val="24"/>
        </w:rPr>
        <w:t xml:space="preserve"> 47).</w:t>
      </w:r>
    </w:p>
    <w:p w14:paraId="116A2B4C" w14:textId="77777777" w:rsidR="006551C5" w:rsidRPr="0064276E" w:rsidRDefault="006551C5" w:rsidP="0064276E">
      <w:pPr>
        <w:rPr>
          <w:sz w:val="24"/>
          <w:szCs w:val="24"/>
        </w:rPr>
      </w:pPr>
    </w:p>
    <w:p w14:paraId="26952798" w14:textId="46359DC9" w:rsidR="009917FB" w:rsidRPr="0064276E" w:rsidRDefault="00710906" w:rsidP="0064276E">
      <w:pPr>
        <w:rPr>
          <w:sz w:val="24"/>
          <w:szCs w:val="24"/>
        </w:rPr>
      </w:pPr>
      <w:r w:rsidRPr="0064276E">
        <w:rPr>
          <w:sz w:val="24"/>
          <w:szCs w:val="24"/>
        </w:rPr>
        <w:t xml:space="preserve">The same misconnection is found in a different guise in Trahan’s suggestion that there ‘has been no acquiescence to a practice of veto use in the face of </w:t>
      </w:r>
      <w:r w:rsidR="00737330" w:rsidRPr="0064276E">
        <w:rPr>
          <w:sz w:val="24"/>
          <w:szCs w:val="24"/>
        </w:rPr>
        <w:t>[atrocity]</w:t>
      </w:r>
      <w:r w:rsidRPr="0064276E">
        <w:rPr>
          <w:sz w:val="24"/>
          <w:szCs w:val="24"/>
        </w:rPr>
        <w:t xml:space="preserve"> crimes’ (p 50). However, Article 27(3) does not provide a new power in the absence of which</w:t>
      </w:r>
      <w:r w:rsidR="00B32AB5" w:rsidRPr="0064276E">
        <w:rPr>
          <w:sz w:val="24"/>
          <w:szCs w:val="24"/>
        </w:rPr>
        <w:t xml:space="preserve"> the conduct of the</w:t>
      </w:r>
      <w:r w:rsidRPr="0064276E">
        <w:rPr>
          <w:sz w:val="24"/>
          <w:szCs w:val="24"/>
        </w:rPr>
        <w:t xml:space="preserve"> permanent members would be illegal. If anything, the sea change in the ratification of the Charter is th</w:t>
      </w:r>
      <w:r w:rsidR="00734B91" w:rsidRPr="0064276E">
        <w:rPr>
          <w:sz w:val="24"/>
          <w:szCs w:val="24"/>
        </w:rPr>
        <w:t>at states now have the legal right</w:t>
      </w:r>
      <w:r w:rsidRPr="0064276E">
        <w:rPr>
          <w:sz w:val="24"/>
          <w:szCs w:val="24"/>
        </w:rPr>
        <w:t xml:space="preserve"> to </w:t>
      </w:r>
      <w:r w:rsidRPr="0064276E">
        <w:rPr>
          <w:i/>
          <w:sz w:val="24"/>
          <w:szCs w:val="24"/>
        </w:rPr>
        <w:t>act collectively</w:t>
      </w:r>
      <w:r w:rsidRPr="0064276E">
        <w:rPr>
          <w:sz w:val="24"/>
          <w:szCs w:val="24"/>
        </w:rPr>
        <w:t xml:space="preserve"> if they chose, through </w:t>
      </w:r>
      <w:r w:rsidR="00734B91" w:rsidRPr="0064276E">
        <w:rPr>
          <w:sz w:val="24"/>
          <w:szCs w:val="24"/>
        </w:rPr>
        <w:t>Se</w:t>
      </w:r>
      <w:r w:rsidRPr="0064276E">
        <w:rPr>
          <w:sz w:val="24"/>
          <w:szCs w:val="24"/>
        </w:rPr>
        <w:t xml:space="preserve">curity Council </w:t>
      </w:r>
      <w:r w:rsidR="00734B91" w:rsidRPr="0064276E">
        <w:rPr>
          <w:sz w:val="24"/>
          <w:szCs w:val="24"/>
        </w:rPr>
        <w:t>imposed</w:t>
      </w:r>
      <w:r w:rsidRPr="0064276E">
        <w:rPr>
          <w:sz w:val="24"/>
          <w:szCs w:val="24"/>
        </w:rPr>
        <w:t xml:space="preserve"> enforcement action</w:t>
      </w:r>
      <w:r w:rsidR="00734B91" w:rsidRPr="0064276E">
        <w:rPr>
          <w:sz w:val="24"/>
          <w:szCs w:val="24"/>
        </w:rPr>
        <w:t xml:space="preserve">, the like of which would </w:t>
      </w:r>
      <w:r w:rsidRPr="0064276E">
        <w:rPr>
          <w:sz w:val="24"/>
          <w:szCs w:val="24"/>
        </w:rPr>
        <w:t>previously only have been justified under</w:t>
      </w:r>
      <w:r w:rsidR="00B32AB5" w:rsidRPr="0064276E">
        <w:rPr>
          <w:sz w:val="24"/>
          <w:szCs w:val="24"/>
        </w:rPr>
        <w:t xml:space="preserve"> a right to</w:t>
      </w:r>
      <w:r w:rsidRPr="0064276E">
        <w:rPr>
          <w:sz w:val="24"/>
          <w:szCs w:val="24"/>
        </w:rPr>
        <w:t xml:space="preserve"> </w:t>
      </w:r>
      <w:r w:rsidRPr="0064276E">
        <w:rPr>
          <w:sz w:val="24"/>
          <w:szCs w:val="24"/>
        </w:rPr>
        <w:lastRenderedPageBreak/>
        <w:t xml:space="preserve">self-defence. It is not clear why would there need to be practice </w:t>
      </w:r>
      <w:r w:rsidR="00014357" w:rsidRPr="0064276E">
        <w:rPr>
          <w:sz w:val="24"/>
          <w:szCs w:val="24"/>
        </w:rPr>
        <w:t>supporting</w:t>
      </w:r>
      <w:r w:rsidRPr="0064276E">
        <w:rPr>
          <w:sz w:val="24"/>
          <w:szCs w:val="24"/>
        </w:rPr>
        <w:t xml:space="preserve"> or even acquiesc</w:t>
      </w:r>
      <w:r w:rsidR="00014357" w:rsidRPr="0064276E">
        <w:rPr>
          <w:sz w:val="24"/>
          <w:szCs w:val="24"/>
        </w:rPr>
        <w:t>ing</w:t>
      </w:r>
      <w:r w:rsidRPr="0064276E">
        <w:rPr>
          <w:sz w:val="24"/>
          <w:szCs w:val="24"/>
        </w:rPr>
        <w:t xml:space="preserve"> to </w:t>
      </w:r>
      <w:r w:rsidR="00B32AB5" w:rsidRPr="0064276E">
        <w:rPr>
          <w:sz w:val="24"/>
          <w:szCs w:val="24"/>
        </w:rPr>
        <w:t>the</w:t>
      </w:r>
      <w:r w:rsidRPr="0064276E">
        <w:rPr>
          <w:sz w:val="24"/>
          <w:szCs w:val="24"/>
        </w:rPr>
        <w:t xml:space="preserve"> right of those same states </w:t>
      </w:r>
      <w:r w:rsidRPr="0064276E">
        <w:rPr>
          <w:i/>
          <w:sz w:val="24"/>
          <w:szCs w:val="24"/>
        </w:rPr>
        <w:t xml:space="preserve">not to act collectively </w:t>
      </w:r>
      <w:r w:rsidRPr="0064276E">
        <w:rPr>
          <w:sz w:val="24"/>
          <w:szCs w:val="24"/>
        </w:rPr>
        <w:t>if they chose</w:t>
      </w:r>
      <w:r w:rsidRPr="0064276E">
        <w:rPr>
          <w:i/>
          <w:sz w:val="24"/>
          <w:szCs w:val="24"/>
        </w:rPr>
        <w:t xml:space="preserve"> </w:t>
      </w:r>
      <w:r w:rsidRPr="0064276E">
        <w:rPr>
          <w:sz w:val="24"/>
          <w:szCs w:val="24"/>
        </w:rPr>
        <w:t>in other circumstances.</w:t>
      </w:r>
      <w:r w:rsidR="009917FB" w:rsidRPr="0064276E">
        <w:rPr>
          <w:sz w:val="24"/>
          <w:szCs w:val="24"/>
        </w:rPr>
        <w:t xml:space="preserve"> </w:t>
      </w:r>
    </w:p>
    <w:p w14:paraId="66C8DBD5" w14:textId="6648E8E8" w:rsidR="00710906" w:rsidRPr="0064276E" w:rsidRDefault="00710906" w:rsidP="0064276E">
      <w:pPr>
        <w:rPr>
          <w:sz w:val="24"/>
          <w:szCs w:val="24"/>
        </w:rPr>
      </w:pPr>
    </w:p>
    <w:p w14:paraId="0F6F4680" w14:textId="07EA2696" w:rsidR="006551C5" w:rsidRPr="0064276E" w:rsidRDefault="006551C5" w:rsidP="0064276E">
      <w:pPr>
        <w:rPr>
          <w:sz w:val="24"/>
          <w:szCs w:val="24"/>
        </w:rPr>
      </w:pPr>
      <w:r w:rsidRPr="0064276E">
        <w:rPr>
          <w:sz w:val="24"/>
          <w:szCs w:val="24"/>
        </w:rPr>
        <w:t>T</w:t>
      </w:r>
      <w:r w:rsidR="00A41F83" w:rsidRPr="0064276E">
        <w:rPr>
          <w:sz w:val="24"/>
          <w:szCs w:val="24"/>
        </w:rPr>
        <w:t>he</w:t>
      </w:r>
      <w:r w:rsidRPr="0064276E">
        <w:rPr>
          <w:sz w:val="24"/>
          <w:szCs w:val="24"/>
        </w:rPr>
        <w:t xml:space="preserve"> final argument is that </w:t>
      </w:r>
      <w:r w:rsidR="00587602" w:rsidRPr="0064276E">
        <w:rPr>
          <w:sz w:val="24"/>
          <w:szCs w:val="24"/>
        </w:rPr>
        <w:t>individual treaty obligations of permanent members, for example</w:t>
      </w:r>
      <w:r w:rsidR="00B32AB5" w:rsidRPr="0064276E">
        <w:rPr>
          <w:sz w:val="24"/>
          <w:szCs w:val="24"/>
        </w:rPr>
        <w:t>,</w:t>
      </w:r>
      <w:r w:rsidR="00587602" w:rsidRPr="0064276E">
        <w:rPr>
          <w:sz w:val="24"/>
          <w:szCs w:val="24"/>
        </w:rPr>
        <w:t xml:space="preserve"> the obligation </w:t>
      </w:r>
      <w:r w:rsidR="009917FB" w:rsidRPr="0064276E">
        <w:rPr>
          <w:sz w:val="24"/>
          <w:szCs w:val="24"/>
        </w:rPr>
        <w:t>to</w:t>
      </w:r>
      <w:r w:rsidR="002E19B3" w:rsidRPr="0064276E">
        <w:rPr>
          <w:sz w:val="24"/>
          <w:szCs w:val="24"/>
        </w:rPr>
        <w:t xml:space="preserve"> prevent and punish</w:t>
      </w:r>
      <w:r w:rsidR="009917FB" w:rsidRPr="0064276E">
        <w:rPr>
          <w:sz w:val="24"/>
          <w:szCs w:val="24"/>
        </w:rPr>
        <w:t xml:space="preserve"> genocide,</w:t>
      </w:r>
      <w:r w:rsidR="009917FB" w:rsidRPr="0064276E">
        <w:rPr>
          <w:rStyle w:val="FootnoteReference"/>
          <w:sz w:val="24"/>
          <w:szCs w:val="24"/>
        </w:rPr>
        <w:footnoteReference w:id="19"/>
      </w:r>
      <w:r w:rsidR="009917FB" w:rsidRPr="0064276E">
        <w:rPr>
          <w:sz w:val="24"/>
          <w:szCs w:val="24"/>
        </w:rPr>
        <w:t xml:space="preserve"> </w:t>
      </w:r>
      <w:r w:rsidR="00587602" w:rsidRPr="0064276E">
        <w:rPr>
          <w:sz w:val="24"/>
          <w:szCs w:val="24"/>
        </w:rPr>
        <w:t>does not cease when states are acting through the Council.</w:t>
      </w:r>
      <w:r w:rsidRPr="0064276E">
        <w:rPr>
          <w:sz w:val="24"/>
          <w:szCs w:val="24"/>
        </w:rPr>
        <w:t xml:space="preserve"> These arguments are very well made. It is here that the ‘complementary’ nature of Trahan’s approach comes to the fore. As discussion continues at pace as to the </w:t>
      </w:r>
      <w:r w:rsidRPr="0064276E">
        <w:rPr>
          <w:i/>
          <w:sz w:val="24"/>
          <w:szCs w:val="24"/>
        </w:rPr>
        <w:t xml:space="preserve">Existing Limits </w:t>
      </w:r>
      <w:r w:rsidRPr="0064276E">
        <w:rPr>
          <w:sz w:val="24"/>
          <w:szCs w:val="24"/>
        </w:rPr>
        <w:t xml:space="preserve">in international law on the Security Council as an international institution, we would do </w:t>
      </w:r>
      <w:r w:rsidR="00D23AEA">
        <w:rPr>
          <w:sz w:val="24"/>
          <w:szCs w:val="24"/>
        </w:rPr>
        <w:t>well</w:t>
      </w:r>
      <w:r w:rsidR="00D23AEA" w:rsidRPr="0064276E">
        <w:rPr>
          <w:sz w:val="24"/>
          <w:szCs w:val="24"/>
        </w:rPr>
        <w:t xml:space="preserve"> </w:t>
      </w:r>
      <w:r w:rsidRPr="0064276E">
        <w:rPr>
          <w:sz w:val="24"/>
          <w:szCs w:val="24"/>
        </w:rPr>
        <w:t>to recall that the responsibility to comply with existing treaty obligations remains incumbent on states, even when acting through the Council.</w:t>
      </w:r>
      <w:r w:rsidR="00014357" w:rsidRPr="0064276E">
        <w:rPr>
          <w:rStyle w:val="FootnoteReference"/>
          <w:sz w:val="24"/>
          <w:szCs w:val="24"/>
        </w:rPr>
        <w:footnoteReference w:id="20"/>
      </w:r>
    </w:p>
    <w:p w14:paraId="312790C2" w14:textId="77777777" w:rsidR="006551C5" w:rsidRPr="0064276E" w:rsidRDefault="006551C5" w:rsidP="0064276E">
      <w:pPr>
        <w:rPr>
          <w:sz w:val="24"/>
          <w:szCs w:val="24"/>
        </w:rPr>
      </w:pPr>
    </w:p>
    <w:p w14:paraId="47404468" w14:textId="094097F8" w:rsidR="00A41F83" w:rsidRPr="0064276E" w:rsidRDefault="006551C5" w:rsidP="0064276E">
      <w:pPr>
        <w:rPr>
          <w:sz w:val="24"/>
          <w:szCs w:val="24"/>
        </w:rPr>
      </w:pPr>
      <w:r w:rsidRPr="0064276E">
        <w:rPr>
          <w:sz w:val="24"/>
          <w:szCs w:val="24"/>
        </w:rPr>
        <w:t>The final part of Chapter four move</w:t>
      </w:r>
      <w:r w:rsidR="00E22EAF" w:rsidRPr="0064276E">
        <w:rPr>
          <w:sz w:val="24"/>
          <w:szCs w:val="24"/>
        </w:rPr>
        <w:t>s</w:t>
      </w:r>
      <w:r w:rsidRPr="0064276E">
        <w:rPr>
          <w:sz w:val="24"/>
          <w:szCs w:val="24"/>
        </w:rPr>
        <w:t xml:space="preserve"> to the</w:t>
      </w:r>
      <w:r w:rsidR="006C7895" w:rsidRPr="0064276E">
        <w:rPr>
          <w:sz w:val="24"/>
          <w:szCs w:val="24"/>
        </w:rPr>
        <w:t xml:space="preserve"> possibility of judicial</w:t>
      </w:r>
      <w:r w:rsidRPr="0064276E">
        <w:rPr>
          <w:sz w:val="24"/>
          <w:szCs w:val="24"/>
        </w:rPr>
        <w:t xml:space="preserve"> enforcement of the </w:t>
      </w:r>
      <w:r w:rsidR="006C7895" w:rsidRPr="0064276E">
        <w:rPr>
          <w:sz w:val="24"/>
          <w:szCs w:val="24"/>
        </w:rPr>
        <w:t xml:space="preserve">legal </w:t>
      </w:r>
      <w:r w:rsidRPr="0064276E">
        <w:rPr>
          <w:sz w:val="24"/>
          <w:szCs w:val="24"/>
        </w:rPr>
        <w:t>limits</w:t>
      </w:r>
      <w:r w:rsidR="006C7895" w:rsidRPr="0064276E">
        <w:rPr>
          <w:sz w:val="24"/>
          <w:szCs w:val="24"/>
        </w:rPr>
        <w:t xml:space="preserve"> on veto use</w:t>
      </w:r>
      <w:r w:rsidRPr="0064276E">
        <w:rPr>
          <w:sz w:val="24"/>
          <w:szCs w:val="24"/>
        </w:rPr>
        <w:t>, if we accept</w:t>
      </w:r>
      <w:r w:rsidR="00014357" w:rsidRPr="0064276E">
        <w:rPr>
          <w:sz w:val="24"/>
          <w:szCs w:val="24"/>
        </w:rPr>
        <w:t xml:space="preserve"> that</w:t>
      </w:r>
      <w:r w:rsidRPr="0064276E">
        <w:rPr>
          <w:sz w:val="24"/>
          <w:szCs w:val="24"/>
        </w:rPr>
        <w:t xml:space="preserve"> they exist</w:t>
      </w:r>
      <w:r w:rsidR="006C7895" w:rsidRPr="0064276E">
        <w:rPr>
          <w:sz w:val="24"/>
          <w:szCs w:val="24"/>
        </w:rPr>
        <w:t xml:space="preserve">. </w:t>
      </w:r>
      <w:r w:rsidR="00737330" w:rsidRPr="0064276E">
        <w:rPr>
          <w:sz w:val="24"/>
          <w:szCs w:val="24"/>
        </w:rPr>
        <w:t xml:space="preserve">Interestingly, though, this section concentrates only on </w:t>
      </w:r>
      <w:r w:rsidR="00014357" w:rsidRPr="0064276E">
        <w:rPr>
          <w:sz w:val="24"/>
          <w:szCs w:val="24"/>
        </w:rPr>
        <w:t>limits on</w:t>
      </w:r>
      <w:r w:rsidR="006C7895" w:rsidRPr="0064276E">
        <w:rPr>
          <w:sz w:val="24"/>
          <w:szCs w:val="24"/>
        </w:rPr>
        <w:t xml:space="preserve"> the</w:t>
      </w:r>
      <w:r w:rsidR="00737330" w:rsidRPr="0064276E">
        <w:rPr>
          <w:sz w:val="24"/>
          <w:szCs w:val="24"/>
        </w:rPr>
        <w:t xml:space="preserve"> Security Council, </w:t>
      </w:r>
      <w:r w:rsidR="00E22EAF" w:rsidRPr="0064276E">
        <w:rPr>
          <w:sz w:val="24"/>
          <w:szCs w:val="24"/>
        </w:rPr>
        <w:t>as opposed to limits</w:t>
      </w:r>
      <w:r w:rsidR="00737330" w:rsidRPr="0064276E">
        <w:rPr>
          <w:sz w:val="24"/>
          <w:szCs w:val="24"/>
        </w:rPr>
        <w:t xml:space="preserve"> on individual states as </w:t>
      </w:r>
      <w:r w:rsidR="00E22EAF" w:rsidRPr="0064276E">
        <w:rPr>
          <w:sz w:val="24"/>
          <w:szCs w:val="24"/>
        </w:rPr>
        <w:t xml:space="preserve">discussed </w:t>
      </w:r>
      <w:r w:rsidR="00737330" w:rsidRPr="0064276E">
        <w:rPr>
          <w:sz w:val="24"/>
          <w:szCs w:val="24"/>
        </w:rPr>
        <w:t xml:space="preserve">above. </w:t>
      </w:r>
      <w:r w:rsidR="00E22EAF" w:rsidRPr="0064276E">
        <w:rPr>
          <w:sz w:val="24"/>
          <w:szCs w:val="24"/>
        </w:rPr>
        <w:t>Somewhat problematically,</w:t>
      </w:r>
      <w:r w:rsidRPr="0064276E">
        <w:rPr>
          <w:sz w:val="24"/>
          <w:szCs w:val="24"/>
        </w:rPr>
        <w:t xml:space="preserve"> only two cases</w:t>
      </w:r>
      <w:r w:rsidR="00B32AB5" w:rsidRPr="0064276E">
        <w:rPr>
          <w:sz w:val="24"/>
          <w:szCs w:val="24"/>
        </w:rPr>
        <w:t xml:space="preserve"> </w:t>
      </w:r>
      <w:r w:rsidR="00014357" w:rsidRPr="0064276E">
        <w:rPr>
          <w:sz w:val="24"/>
          <w:szCs w:val="24"/>
        </w:rPr>
        <w:t xml:space="preserve">are invoked </w:t>
      </w:r>
      <w:r w:rsidR="00B32AB5" w:rsidRPr="0064276E">
        <w:rPr>
          <w:sz w:val="24"/>
          <w:szCs w:val="24"/>
        </w:rPr>
        <w:t xml:space="preserve">to support </w:t>
      </w:r>
      <w:r w:rsidR="00737330" w:rsidRPr="0064276E">
        <w:rPr>
          <w:sz w:val="24"/>
          <w:szCs w:val="24"/>
        </w:rPr>
        <w:t>the argument</w:t>
      </w:r>
      <w:r w:rsidR="00E22EAF" w:rsidRPr="0064276E">
        <w:rPr>
          <w:sz w:val="24"/>
          <w:szCs w:val="24"/>
        </w:rPr>
        <w:t xml:space="preserve"> that the ICJ can engage in judicial review</w:t>
      </w:r>
      <w:r w:rsidR="00014357" w:rsidRPr="0064276E">
        <w:rPr>
          <w:sz w:val="24"/>
          <w:szCs w:val="24"/>
        </w:rPr>
        <w:t xml:space="preserve"> of the Council. </w:t>
      </w:r>
      <w:r w:rsidRPr="0064276E">
        <w:rPr>
          <w:sz w:val="24"/>
          <w:szCs w:val="24"/>
        </w:rPr>
        <w:t xml:space="preserve">To be sure, the Court has never </w:t>
      </w:r>
      <w:r w:rsidR="006C7895" w:rsidRPr="0064276E">
        <w:rPr>
          <w:sz w:val="24"/>
          <w:szCs w:val="24"/>
        </w:rPr>
        <w:t>been</w:t>
      </w:r>
      <w:r w:rsidR="00E22EAF" w:rsidRPr="0064276E">
        <w:rPr>
          <w:sz w:val="24"/>
          <w:szCs w:val="24"/>
        </w:rPr>
        <w:t xml:space="preserve"> closer to exercising this power than in</w:t>
      </w:r>
      <w:r w:rsidR="00014357" w:rsidRPr="0064276E">
        <w:rPr>
          <w:sz w:val="24"/>
          <w:szCs w:val="24"/>
        </w:rPr>
        <w:t xml:space="preserve"> </w:t>
      </w:r>
      <w:r w:rsidR="00014357" w:rsidRPr="0064276E">
        <w:rPr>
          <w:i/>
          <w:sz w:val="24"/>
          <w:szCs w:val="24"/>
        </w:rPr>
        <w:t xml:space="preserve">Lockerbie </w:t>
      </w:r>
      <w:r w:rsidR="00014357" w:rsidRPr="0064276E">
        <w:rPr>
          <w:sz w:val="24"/>
          <w:szCs w:val="24"/>
        </w:rPr>
        <w:t>and</w:t>
      </w:r>
      <w:r w:rsidR="00014357" w:rsidRPr="0064276E">
        <w:rPr>
          <w:i/>
          <w:sz w:val="24"/>
          <w:szCs w:val="24"/>
        </w:rPr>
        <w:t xml:space="preserve"> Application of the Genocide Convention</w:t>
      </w:r>
      <w:r w:rsidR="00014357" w:rsidRPr="0064276E">
        <w:rPr>
          <w:sz w:val="24"/>
          <w:szCs w:val="24"/>
        </w:rPr>
        <w:t xml:space="preserve">. </w:t>
      </w:r>
      <w:r w:rsidR="006C7895" w:rsidRPr="0064276E">
        <w:rPr>
          <w:sz w:val="24"/>
          <w:szCs w:val="24"/>
        </w:rPr>
        <w:t>However, d</w:t>
      </w:r>
      <w:r w:rsidRPr="0064276E">
        <w:rPr>
          <w:sz w:val="24"/>
          <w:szCs w:val="24"/>
        </w:rPr>
        <w:t xml:space="preserve">o these cases, in isolation, provide enough evidence to conclude that ‘the ICJ clearly suggests it could evaluate the legality of Security Council resolutions in light of the UN Charter and other treaty obligations’ (p 245)? The argument might have been more persuasive, at least, if it was </w:t>
      </w:r>
      <w:r w:rsidR="00B32AB5" w:rsidRPr="0064276E">
        <w:rPr>
          <w:sz w:val="24"/>
          <w:szCs w:val="24"/>
        </w:rPr>
        <w:t>embedded within</w:t>
      </w:r>
      <w:r w:rsidRPr="0064276E">
        <w:rPr>
          <w:sz w:val="24"/>
          <w:szCs w:val="24"/>
        </w:rPr>
        <w:t xml:space="preserve"> the context of the </w:t>
      </w:r>
      <w:r w:rsidR="00B32AB5" w:rsidRPr="0064276E">
        <w:rPr>
          <w:sz w:val="24"/>
          <w:szCs w:val="24"/>
        </w:rPr>
        <w:t xml:space="preserve">same </w:t>
      </w:r>
      <w:r w:rsidRPr="0064276E">
        <w:rPr>
          <w:sz w:val="24"/>
          <w:szCs w:val="24"/>
        </w:rPr>
        <w:t xml:space="preserve">Court’s dictum in its </w:t>
      </w:r>
      <w:r w:rsidRPr="0064276E">
        <w:rPr>
          <w:i/>
          <w:sz w:val="24"/>
          <w:szCs w:val="24"/>
        </w:rPr>
        <w:t xml:space="preserve">Namibia </w:t>
      </w:r>
      <w:r w:rsidRPr="0064276E">
        <w:rPr>
          <w:sz w:val="24"/>
          <w:szCs w:val="24"/>
        </w:rPr>
        <w:t>Advisory Opinion: ‘</w:t>
      </w:r>
      <w:r w:rsidRPr="0064276E">
        <w:rPr>
          <w:i/>
          <w:sz w:val="24"/>
          <w:szCs w:val="24"/>
        </w:rPr>
        <w:t>prima facie</w:t>
      </w:r>
      <w:r w:rsidRPr="0064276E">
        <w:rPr>
          <w:sz w:val="24"/>
          <w:szCs w:val="24"/>
        </w:rPr>
        <w:t>, the Court is not a constitutional court, and does not possess powers of judicial review or appeal in respect of the decisions taken by the United Nations organs concerned’.</w:t>
      </w:r>
      <w:r w:rsidRPr="0064276E">
        <w:rPr>
          <w:rStyle w:val="FootnoteReference"/>
          <w:sz w:val="24"/>
          <w:szCs w:val="24"/>
        </w:rPr>
        <w:footnoteReference w:id="21"/>
      </w:r>
      <w:r w:rsidR="003F1383" w:rsidRPr="0064276E">
        <w:rPr>
          <w:sz w:val="24"/>
          <w:szCs w:val="24"/>
        </w:rPr>
        <w:t xml:space="preserve"> W</w:t>
      </w:r>
      <w:r w:rsidRPr="0064276E">
        <w:rPr>
          <w:sz w:val="24"/>
          <w:szCs w:val="24"/>
        </w:rPr>
        <w:t xml:space="preserve">hile this may change in the future, to date the Court has </w:t>
      </w:r>
      <w:r w:rsidR="00050C9A" w:rsidRPr="0064276E">
        <w:rPr>
          <w:sz w:val="24"/>
          <w:szCs w:val="24"/>
        </w:rPr>
        <w:t xml:space="preserve">simply </w:t>
      </w:r>
      <w:r w:rsidR="00A50D86" w:rsidRPr="0064276E">
        <w:rPr>
          <w:sz w:val="24"/>
          <w:szCs w:val="24"/>
        </w:rPr>
        <w:t>not taken on a judicial review competence</w:t>
      </w:r>
      <w:r w:rsidRPr="0064276E">
        <w:rPr>
          <w:sz w:val="24"/>
          <w:szCs w:val="24"/>
        </w:rPr>
        <w:t>.</w:t>
      </w:r>
      <w:bookmarkStart w:id="2" w:name="_Ref525896113"/>
      <w:r w:rsidRPr="0064276E">
        <w:rPr>
          <w:rStyle w:val="FootnoteReference"/>
          <w:sz w:val="24"/>
          <w:szCs w:val="24"/>
        </w:rPr>
        <w:footnoteReference w:id="22"/>
      </w:r>
      <w:bookmarkEnd w:id="2"/>
      <w:r w:rsidR="00A50D86" w:rsidRPr="0064276E">
        <w:rPr>
          <w:sz w:val="24"/>
          <w:szCs w:val="24"/>
        </w:rPr>
        <w:t xml:space="preserve"> </w:t>
      </w:r>
      <w:r w:rsidRPr="0064276E">
        <w:rPr>
          <w:sz w:val="24"/>
          <w:szCs w:val="24"/>
        </w:rPr>
        <w:t xml:space="preserve"> </w:t>
      </w:r>
    </w:p>
    <w:p w14:paraId="4A8E541A" w14:textId="77777777" w:rsidR="00A41F83" w:rsidRPr="0064276E" w:rsidRDefault="00A41F83" w:rsidP="0064276E">
      <w:pPr>
        <w:rPr>
          <w:spacing w:val="3"/>
          <w:sz w:val="24"/>
          <w:szCs w:val="24"/>
          <w:shd w:val="clear" w:color="auto" w:fill="FFFFFF"/>
        </w:rPr>
      </w:pPr>
    </w:p>
    <w:p w14:paraId="4F44FE29" w14:textId="1869A439" w:rsidR="005A6423" w:rsidRPr="0064276E" w:rsidRDefault="00B32AB5" w:rsidP="0064276E">
      <w:pPr>
        <w:rPr>
          <w:sz w:val="24"/>
          <w:szCs w:val="24"/>
        </w:rPr>
      </w:pPr>
      <w:r w:rsidRPr="0064276E">
        <w:rPr>
          <w:spacing w:val="3"/>
          <w:sz w:val="24"/>
          <w:szCs w:val="24"/>
          <w:shd w:val="clear" w:color="auto" w:fill="FFFFFF"/>
        </w:rPr>
        <w:t>The book is unique in that it does not have a Chapter dedicated to general conclusions. In its place, t</w:t>
      </w:r>
      <w:r w:rsidR="006551C5" w:rsidRPr="0064276E">
        <w:rPr>
          <w:spacing w:val="3"/>
          <w:sz w:val="24"/>
          <w:szCs w:val="24"/>
          <w:shd w:val="clear" w:color="auto" w:fill="FFFFFF"/>
        </w:rPr>
        <w:t>h</w:t>
      </w:r>
      <w:r w:rsidRPr="0064276E">
        <w:rPr>
          <w:spacing w:val="3"/>
          <w:sz w:val="24"/>
          <w:szCs w:val="24"/>
          <w:shd w:val="clear" w:color="auto" w:fill="FFFFFF"/>
        </w:rPr>
        <w:t>e abovementioned</w:t>
      </w:r>
      <w:r w:rsidR="006551C5" w:rsidRPr="0064276E">
        <w:rPr>
          <w:spacing w:val="3"/>
          <w:sz w:val="24"/>
          <w:szCs w:val="24"/>
          <w:shd w:val="clear" w:color="auto" w:fill="FFFFFF"/>
        </w:rPr>
        <w:t xml:space="preserve"> relationship between past, </w:t>
      </w:r>
      <w:r w:rsidR="00050C9A" w:rsidRPr="0064276E">
        <w:rPr>
          <w:spacing w:val="3"/>
          <w:sz w:val="24"/>
          <w:szCs w:val="24"/>
          <w:shd w:val="clear" w:color="auto" w:fill="FFFFFF"/>
        </w:rPr>
        <w:t>present,</w:t>
      </w:r>
      <w:r w:rsidR="006551C5" w:rsidRPr="0064276E">
        <w:rPr>
          <w:spacing w:val="3"/>
          <w:sz w:val="24"/>
          <w:szCs w:val="24"/>
          <w:shd w:val="clear" w:color="auto" w:fill="FFFFFF"/>
        </w:rPr>
        <w:t xml:space="preserve"> and future offers a theme for final reflections. </w:t>
      </w:r>
      <w:r w:rsidR="00E7676A" w:rsidRPr="0064276E">
        <w:rPr>
          <w:spacing w:val="3"/>
          <w:sz w:val="24"/>
          <w:szCs w:val="24"/>
          <w:shd w:val="clear" w:color="auto" w:fill="FFFFFF"/>
        </w:rPr>
        <w:t>In the promotion</w:t>
      </w:r>
      <w:r w:rsidR="00384563" w:rsidRPr="0064276E">
        <w:rPr>
          <w:spacing w:val="3"/>
          <w:sz w:val="24"/>
          <w:szCs w:val="24"/>
          <w:shd w:val="clear" w:color="auto" w:fill="FFFFFF"/>
        </w:rPr>
        <w:t>al</w:t>
      </w:r>
      <w:r w:rsidR="00E7676A" w:rsidRPr="0064276E">
        <w:rPr>
          <w:spacing w:val="3"/>
          <w:sz w:val="24"/>
          <w:szCs w:val="24"/>
          <w:shd w:val="clear" w:color="auto" w:fill="FFFFFF"/>
        </w:rPr>
        <w:t xml:space="preserve"> material for the book, </w:t>
      </w:r>
      <w:r w:rsidR="0039636F" w:rsidRPr="0064276E">
        <w:rPr>
          <w:spacing w:val="3"/>
          <w:sz w:val="24"/>
          <w:szCs w:val="24"/>
          <w:shd w:val="clear" w:color="auto" w:fill="FFFFFF"/>
        </w:rPr>
        <w:t xml:space="preserve">Mark Drumbl suggests that the </w:t>
      </w:r>
      <w:r w:rsidR="00E7676A" w:rsidRPr="0064276E">
        <w:rPr>
          <w:spacing w:val="3"/>
          <w:sz w:val="24"/>
          <w:szCs w:val="24"/>
          <w:shd w:val="clear" w:color="auto" w:fill="FFFFFF"/>
        </w:rPr>
        <w:t xml:space="preserve">argument </w:t>
      </w:r>
      <w:r w:rsidR="0039636F" w:rsidRPr="0064276E">
        <w:rPr>
          <w:spacing w:val="3"/>
          <w:sz w:val="24"/>
          <w:szCs w:val="24"/>
          <w:shd w:val="clear" w:color="auto" w:fill="FFFFFF"/>
        </w:rPr>
        <w:t>is ‘on the right side of history’</w:t>
      </w:r>
      <w:r w:rsidR="00384563" w:rsidRPr="0064276E">
        <w:rPr>
          <w:spacing w:val="3"/>
          <w:sz w:val="24"/>
          <w:szCs w:val="24"/>
          <w:shd w:val="clear" w:color="auto" w:fill="FFFFFF"/>
        </w:rPr>
        <w:t xml:space="preserve">. </w:t>
      </w:r>
      <w:r w:rsidR="006551C5" w:rsidRPr="0064276E">
        <w:rPr>
          <w:spacing w:val="3"/>
          <w:sz w:val="24"/>
          <w:szCs w:val="24"/>
          <w:shd w:val="clear" w:color="auto" w:fill="FFFFFF"/>
        </w:rPr>
        <w:t>W</w:t>
      </w:r>
      <w:r w:rsidR="00384563" w:rsidRPr="0064276E">
        <w:rPr>
          <w:spacing w:val="3"/>
          <w:sz w:val="24"/>
          <w:szCs w:val="24"/>
          <w:shd w:val="clear" w:color="auto" w:fill="FFFFFF"/>
        </w:rPr>
        <w:t>hile this is</w:t>
      </w:r>
      <w:r w:rsidR="00E7676A" w:rsidRPr="0064276E">
        <w:rPr>
          <w:spacing w:val="3"/>
          <w:sz w:val="24"/>
          <w:szCs w:val="24"/>
          <w:shd w:val="clear" w:color="auto" w:fill="FFFFFF"/>
        </w:rPr>
        <w:t xml:space="preserve"> not necessarily the point Drumbl was making, a</w:t>
      </w:r>
      <w:r w:rsidR="0039636F" w:rsidRPr="0064276E">
        <w:rPr>
          <w:spacing w:val="3"/>
          <w:sz w:val="24"/>
          <w:szCs w:val="24"/>
          <w:shd w:val="clear" w:color="auto" w:fill="FFFFFF"/>
        </w:rPr>
        <w:t xml:space="preserve"> fair assessment of the </w:t>
      </w:r>
      <w:r w:rsidR="006551C5" w:rsidRPr="0064276E">
        <w:rPr>
          <w:spacing w:val="3"/>
          <w:sz w:val="24"/>
          <w:szCs w:val="24"/>
          <w:shd w:val="clear" w:color="auto" w:fill="FFFFFF"/>
        </w:rPr>
        <w:t xml:space="preserve">book’s </w:t>
      </w:r>
      <w:r w:rsidR="0039636F" w:rsidRPr="0064276E">
        <w:rPr>
          <w:spacing w:val="3"/>
          <w:sz w:val="24"/>
          <w:szCs w:val="24"/>
          <w:shd w:val="clear" w:color="auto" w:fill="FFFFFF"/>
        </w:rPr>
        <w:t xml:space="preserve">overall thesis </w:t>
      </w:r>
      <w:r w:rsidR="00E24FF9">
        <w:rPr>
          <w:spacing w:val="3"/>
          <w:sz w:val="24"/>
          <w:szCs w:val="24"/>
          <w:shd w:val="clear" w:color="auto" w:fill="FFFFFF"/>
        </w:rPr>
        <w:t>may</w:t>
      </w:r>
      <w:r w:rsidR="006551C5" w:rsidRPr="0064276E">
        <w:rPr>
          <w:spacing w:val="3"/>
          <w:sz w:val="24"/>
          <w:szCs w:val="24"/>
          <w:shd w:val="clear" w:color="auto" w:fill="FFFFFF"/>
        </w:rPr>
        <w:t xml:space="preserve"> </w:t>
      </w:r>
      <w:r w:rsidR="0039636F" w:rsidRPr="0064276E">
        <w:rPr>
          <w:spacing w:val="3"/>
          <w:sz w:val="24"/>
          <w:szCs w:val="24"/>
          <w:shd w:val="clear" w:color="auto" w:fill="FFFFFF"/>
        </w:rPr>
        <w:t xml:space="preserve">only be possible with the benefit of </w:t>
      </w:r>
      <w:r w:rsidR="00A06889" w:rsidRPr="0064276E">
        <w:rPr>
          <w:spacing w:val="3"/>
          <w:sz w:val="24"/>
          <w:szCs w:val="24"/>
          <w:shd w:val="clear" w:color="auto" w:fill="FFFFFF"/>
        </w:rPr>
        <w:t xml:space="preserve">a </w:t>
      </w:r>
      <w:r w:rsidR="0039636F" w:rsidRPr="0064276E">
        <w:rPr>
          <w:spacing w:val="3"/>
          <w:sz w:val="24"/>
          <w:szCs w:val="24"/>
          <w:shd w:val="clear" w:color="auto" w:fill="FFFFFF"/>
        </w:rPr>
        <w:t xml:space="preserve">historical perspective. </w:t>
      </w:r>
      <w:r w:rsidRPr="0064276E">
        <w:rPr>
          <w:spacing w:val="3"/>
          <w:sz w:val="24"/>
          <w:szCs w:val="24"/>
          <w:shd w:val="clear" w:color="auto" w:fill="FFFFFF"/>
        </w:rPr>
        <w:t>This is because, i</w:t>
      </w:r>
      <w:r w:rsidR="0039636F" w:rsidRPr="0064276E">
        <w:rPr>
          <w:spacing w:val="3"/>
          <w:sz w:val="24"/>
          <w:szCs w:val="24"/>
          <w:shd w:val="clear" w:color="auto" w:fill="FFFFFF"/>
        </w:rPr>
        <w:t xml:space="preserve">n the present, the arguments are almost exclusively </w:t>
      </w:r>
      <w:r w:rsidR="0039636F" w:rsidRPr="0064276E">
        <w:rPr>
          <w:i/>
          <w:spacing w:val="3"/>
          <w:sz w:val="24"/>
          <w:szCs w:val="24"/>
          <w:shd w:val="clear" w:color="auto" w:fill="FFFFFF"/>
        </w:rPr>
        <w:t>de lege ferenda</w:t>
      </w:r>
      <w:r w:rsidR="0039636F" w:rsidRPr="0064276E">
        <w:rPr>
          <w:spacing w:val="3"/>
          <w:sz w:val="24"/>
          <w:szCs w:val="24"/>
          <w:shd w:val="clear" w:color="auto" w:fill="FFFFFF"/>
        </w:rPr>
        <w:t xml:space="preserve">. </w:t>
      </w:r>
      <w:r w:rsidRPr="0064276E">
        <w:rPr>
          <w:spacing w:val="3"/>
          <w:sz w:val="24"/>
          <w:szCs w:val="24"/>
          <w:shd w:val="clear" w:color="auto" w:fill="FFFFFF"/>
        </w:rPr>
        <w:t>This is not to be misconstrued as a criticism. T</w:t>
      </w:r>
      <w:r w:rsidR="00384563" w:rsidRPr="0064276E">
        <w:rPr>
          <w:spacing w:val="3"/>
          <w:sz w:val="24"/>
          <w:szCs w:val="24"/>
          <w:shd w:val="clear" w:color="auto" w:fill="FFFFFF"/>
        </w:rPr>
        <w:t xml:space="preserve">his type of ‘ideational positivism’ </w:t>
      </w:r>
      <w:r w:rsidR="00973F8E" w:rsidRPr="0064276E">
        <w:rPr>
          <w:spacing w:val="3"/>
          <w:sz w:val="24"/>
          <w:szCs w:val="24"/>
          <w:shd w:val="clear" w:color="auto" w:fill="FFFFFF"/>
        </w:rPr>
        <w:t xml:space="preserve">certainly </w:t>
      </w:r>
      <w:r w:rsidR="00384563" w:rsidRPr="0064276E">
        <w:rPr>
          <w:spacing w:val="3"/>
          <w:sz w:val="24"/>
          <w:szCs w:val="24"/>
          <w:shd w:val="clear" w:color="auto" w:fill="FFFFFF"/>
        </w:rPr>
        <w:t>has a place</w:t>
      </w:r>
      <w:r w:rsidR="00A06889" w:rsidRPr="0064276E">
        <w:rPr>
          <w:spacing w:val="3"/>
          <w:sz w:val="24"/>
          <w:szCs w:val="24"/>
          <w:shd w:val="clear" w:color="auto" w:fill="FFFFFF"/>
        </w:rPr>
        <w:t xml:space="preserve"> in international legal scholarship</w:t>
      </w:r>
      <w:r w:rsidR="00384563" w:rsidRPr="0064276E">
        <w:rPr>
          <w:spacing w:val="3"/>
          <w:sz w:val="24"/>
          <w:szCs w:val="24"/>
          <w:shd w:val="clear" w:color="auto" w:fill="FFFFFF"/>
        </w:rPr>
        <w:t>.</w:t>
      </w:r>
      <w:r w:rsidR="00384563" w:rsidRPr="0064276E">
        <w:rPr>
          <w:rStyle w:val="FootnoteReference"/>
          <w:spacing w:val="3"/>
          <w:sz w:val="24"/>
          <w:szCs w:val="24"/>
          <w:shd w:val="clear" w:color="auto" w:fill="FFFFFF"/>
        </w:rPr>
        <w:footnoteReference w:id="23"/>
      </w:r>
      <w:r w:rsidR="00384563" w:rsidRPr="0064276E">
        <w:rPr>
          <w:spacing w:val="3"/>
          <w:sz w:val="24"/>
          <w:szCs w:val="24"/>
          <w:shd w:val="clear" w:color="auto" w:fill="FFFFFF"/>
        </w:rPr>
        <w:t xml:space="preserve"> </w:t>
      </w:r>
      <w:r w:rsidR="006551C5" w:rsidRPr="0064276E">
        <w:rPr>
          <w:spacing w:val="3"/>
          <w:sz w:val="24"/>
          <w:szCs w:val="24"/>
          <w:shd w:val="clear" w:color="auto" w:fill="FFFFFF"/>
        </w:rPr>
        <w:t xml:space="preserve">To Anne </w:t>
      </w:r>
      <w:r w:rsidR="005A6423" w:rsidRPr="0064276E">
        <w:rPr>
          <w:sz w:val="24"/>
          <w:szCs w:val="24"/>
        </w:rPr>
        <w:t>Peters</w:t>
      </w:r>
      <w:r w:rsidR="006551C5" w:rsidRPr="0064276E">
        <w:rPr>
          <w:sz w:val="24"/>
          <w:szCs w:val="24"/>
        </w:rPr>
        <w:t>,</w:t>
      </w:r>
      <w:r w:rsidR="005A6423" w:rsidRPr="0064276E">
        <w:rPr>
          <w:sz w:val="24"/>
          <w:szCs w:val="24"/>
        </w:rPr>
        <w:t xml:space="preserve"> ‘it is exactly the job of international legal scholars to produce ideas; ideas which </w:t>
      </w:r>
      <w:r w:rsidR="005A6423" w:rsidRPr="0064276E">
        <w:rPr>
          <w:rFonts w:ascii="Times New Roman" w:hAnsi="Times New Roman" w:cs="Times New Roman"/>
          <w:sz w:val="24"/>
          <w:szCs w:val="24"/>
        </w:rPr>
        <w:t>‒</w:t>
      </w:r>
      <w:r w:rsidR="005A6423" w:rsidRPr="0064276E">
        <w:rPr>
          <w:sz w:val="24"/>
          <w:szCs w:val="24"/>
        </w:rPr>
        <w:t xml:space="preserve"> depending on the side conditions </w:t>
      </w:r>
      <w:r w:rsidR="005A6423" w:rsidRPr="0064276E">
        <w:rPr>
          <w:rFonts w:ascii="Times New Roman" w:hAnsi="Times New Roman" w:cs="Times New Roman"/>
          <w:sz w:val="24"/>
          <w:szCs w:val="24"/>
        </w:rPr>
        <w:t>‒</w:t>
      </w:r>
      <w:r w:rsidR="005A6423" w:rsidRPr="0064276E">
        <w:rPr>
          <w:sz w:val="24"/>
          <w:szCs w:val="24"/>
        </w:rPr>
        <w:t xml:space="preserve"> potentially have the power to shape attitudes and actions, hence also law-making and legal interpretation, together with political, social, cultural, and other factors’.</w:t>
      </w:r>
      <w:bookmarkStart w:id="3" w:name="_Ref69811892"/>
      <w:r w:rsidR="005A6423" w:rsidRPr="0064276E">
        <w:rPr>
          <w:rStyle w:val="FootnoteReference"/>
          <w:sz w:val="24"/>
          <w:szCs w:val="24"/>
        </w:rPr>
        <w:footnoteReference w:id="24"/>
      </w:r>
      <w:bookmarkEnd w:id="3"/>
      <w:r w:rsidR="00050C9A" w:rsidRPr="0064276E">
        <w:rPr>
          <w:sz w:val="24"/>
          <w:szCs w:val="24"/>
        </w:rPr>
        <w:t xml:space="preserve"> </w:t>
      </w:r>
      <w:r w:rsidR="006551C5" w:rsidRPr="0064276E">
        <w:rPr>
          <w:sz w:val="24"/>
          <w:szCs w:val="24"/>
        </w:rPr>
        <w:t>T</w:t>
      </w:r>
      <w:r w:rsidRPr="0064276E">
        <w:rPr>
          <w:sz w:val="24"/>
          <w:szCs w:val="24"/>
        </w:rPr>
        <w:t xml:space="preserve">rahan’s </w:t>
      </w:r>
      <w:r w:rsidR="006551C5" w:rsidRPr="0064276E">
        <w:rPr>
          <w:sz w:val="24"/>
          <w:szCs w:val="24"/>
        </w:rPr>
        <w:t xml:space="preserve">methodological perspective is reminiscent of </w:t>
      </w:r>
      <w:r w:rsidR="003F1383" w:rsidRPr="0064276E">
        <w:rPr>
          <w:sz w:val="24"/>
          <w:szCs w:val="24"/>
        </w:rPr>
        <w:t xml:space="preserve">Antonio </w:t>
      </w:r>
      <w:r w:rsidR="006551C5" w:rsidRPr="0064276E">
        <w:rPr>
          <w:sz w:val="24"/>
          <w:szCs w:val="24"/>
        </w:rPr>
        <w:t xml:space="preserve">Cassese’s </w:t>
      </w:r>
      <w:r w:rsidR="003F1383" w:rsidRPr="0064276E">
        <w:rPr>
          <w:sz w:val="24"/>
          <w:szCs w:val="24"/>
        </w:rPr>
        <w:t>general outlook</w:t>
      </w:r>
      <w:r w:rsidR="006551C5" w:rsidRPr="0064276E">
        <w:rPr>
          <w:sz w:val="24"/>
          <w:szCs w:val="24"/>
        </w:rPr>
        <w:t>.</w:t>
      </w:r>
      <w:r w:rsidR="006551C5" w:rsidRPr="0064276E">
        <w:rPr>
          <w:rStyle w:val="FootnoteReference"/>
          <w:sz w:val="24"/>
          <w:szCs w:val="24"/>
        </w:rPr>
        <w:footnoteReference w:id="25"/>
      </w:r>
      <w:r w:rsidR="006551C5" w:rsidRPr="0064276E">
        <w:rPr>
          <w:sz w:val="24"/>
          <w:szCs w:val="24"/>
        </w:rPr>
        <w:t xml:space="preserve"> </w:t>
      </w:r>
      <w:r w:rsidR="005A6423" w:rsidRPr="0064276E">
        <w:rPr>
          <w:sz w:val="24"/>
          <w:szCs w:val="24"/>
        </w:rPr>
        <w:t>However, where Cassese described his approach as aiming ‘to avoid the extremes of both blind acquiescence to present conditions and the illusion of being able to revolutionize the fundamentals’,</w:t>
      </w:r>
      <w:r w:rsidR="005A6423" w:rsidRPr="0064276E">
        <w:rPr>
          <w:rStyle w:val="FootnoteReference"/>
          <w:sz w:val="24"/>
          <w:szCs w:val="24"/>
        </w:rPr>
        <w:footnoteReference w:id="26"/>
      </w:r>
      <w:r w:rsidR="005A6423" w:rsidRPr="0064276E">
        <w:rPr>
          <w:sz w:val="24"/>
          <w:szCs w:val="24"/>
        </w:rPr>
        <w:t xml:space="preserve"> th</w:t>
      </w:r>
      <w:r w:rsidRPr="0064276E">
        <w:rPr>
          <w:sz w:val="24"/>
          <w:szCs w:val="24"/>
        </w:rPr>
        <w:t>e</w:t>
      </w:r>
      <w:r w:rsidR="005A6423" w:rsidRPr="0064276E">
        <w:rPr>
          <w:sz w:val="24"/>
          <w:szCs w:val="24"/>
        </w:rPr>
        <w:t xml:space="preserve"> study </w:t>
      </w:r>
      <w:r w:rsidRPr="0064276E">
        <w:rPr>
          <w:sz w:val="24"/>
          <w:szCs w:val="24"/>
        </w:rPr>
        <w:t xml:space="preserve">under review </w:t>
      </w:r>
      <w:r w:rsidR="005A6423" w:rsidRPr="0064276E">
        <w:rPr>
          <w:sz w:val="24"/>
          <w:szCs w:val="24"/>
        </w:rPr>
        <w:t>is much more revolutionary in its assertions about the fundamental aspects of the international legal order than it presents itself. Because scholars have no law-making authority themselves, all depends on their epistemic authority, that is the persuasiveness of their arguments.</w:t>
      </w:r>
      <w:r w:rsidR="005A6423" w:rsidRPr="0064276E">
        <w:rPr>
          <w:rStyle w:val="FootnoteReference"/>
          <w:sz w:val="24"/>
          <w:szCs w:val="24"/>
        </w:rPr>
        <w:footnoteReference w:id="27"/>
      </w:r>
      <w:r w:rsidR="005A6423" w:rsidRPr="0064276E">
        <w:rPr>
          <w:sz w:val="24"/>
          <w:szCs w:val="24"/>
        </w:rPr>
        <w:t xml:space="preserve"> </w:t>
      </w:r>
      <w:r w:rsidR="00734B91" w:rsidRPr="0064276E">
        <w:rPr>
          <w:sz w:val="24"/>
          <w:szCs w:val="24"/>
        </w:rPr>
        <w:t xml:space="preserve">Elements of Trahan’s argument, as a matter of </w:t>
      </w:r>
      <w:r w:rsidR="00734B91" w:rsidRPr="0064276E">
        <w:rPr>
          <w:i/>
          <w:sz w:val="24"/>
          <w:szCs w:val="24"/>
        </w:rPr>
        <w:t xml:space="preserve">lex lata, </w:t>
      </w:r>
      <w:r w:rsidR="00734B91" w:rsidRPr="0064276E">
        <w:rPr>
          <w:sz w:val="24"/>
          <w:szCs w:val="24"/>
        </w:rPr>
        <w:t>remain unpersuasive to the present reviewer.</w:t>
      </w:r>
    </w:p>
    <w:p w14:paraId="01554F2A" w14:textId="77777777" w:rsidR="00E33434" w:rsidRPr="0064276E" w:rsidRDefault="00E33434" w:rsidP="0064276E">
      <w:pPr>
        <w:rPr>
          <w:spacing w:val="3"/>
          <w:sz w:val="24"/>
          <w:szCs w:val="24"/>
          <w:shd w:val="clear" w:color="auto" w:fill="FFFFFF"/>
        </w:rPr>
      </w:pPr>
    </w:p>
    <w:p w14:paraId="501A3C67" w14:textId="6171EEB8" w:rsidR="0039636F" w:rsidRPr="0064276E" w:rsidRDefault="00734B91" w:rsidP="0064276E">
      <w:pPr>
        <w:rPr>
          <w:sz w:val="24"/>
          <w:szCs w:val="24"/>
        </w:rPr>
      </w:pPr>
      <w:r w:rsidRPr="0064276E">
        <w:rPr>
          <w:spacing w:val="3"/>
          <w:sz w:val="24"/>
          <w:szCs w:val="24"/>
          <w:shd w:val="clear" w:color="auto" w:fill="FFFFFF"/>
        </w:rPr>
        <w:t>However, to a certain extent, this</w:t>
      </w:r>
      <w:r w:rsidR="000572BC" w:rsidRPr="0064276E">
        <w:rPr>
          <w:spacing w:val="3"/>
          <w:sz w:val="24"/>
          <w:szCs w:val="24"/>
          <w:shd w:val="clear" w:color="auto" w:fill="FFFFFF"/>
        </w:rPr>
        <w:t xml:space="preserve"> is perhaps </w:t>
      </w:r>
      <w:r w:rsidR="00B32AB5" w:rsidRPr="0064276E">
        <w:rPr>
          <w:spacing w:val="3"/>
          <w:sz w:val="24"/>
          <w:szCs w:val="24"/>
          <w:shd w:val="clear" w:color="auto" w:fill="FFFFFF"/>
        </w:rPr>
        <w:t>incidental to Trahan’s main pursuit.</w:t>
      </w:r>
      <w:r w:rsidR="000572BC" w:rsidRPr="0064276E">
        <w:rPr>
          <w:spacing w:val="3"/>
          <w:sz w:val="24"/>
          <w:szCs w:val="24"/>
          <w:shd w:val="clear" w:color="auto" w:fill="FFFFFF"/>
        </w:rPr>
        <w:t xml:space="preserve"> One is left wondering whether the international legal academy is the primary audience</w:t>
      </w:r>
      <w:r w:rsidR="00973F8E" w:rsidRPr="0064276E">
        <w:rPr>
          <w:spacing w:val="3"/>
          <w:sz w:val="24"/>
          <w:szCs w:val="24"/>
          <w:shd w:val="clear" w:color="auto" w:fill="FFFFFF"/>
        </w:rPr>
        <w:t xml:space="preserve"> for the argument</w:t>
      </w:r>
      <w:r w:rsidR="000572BC" w:rsidRPr="0064276E">
        <w:rPr>
          <w:spacing w:val="3"/>
          <w:sz w:val="24"/>
          <w:szCs w:val="24"/>
          <w:shd w:val="clear" w:color="auto" w:fill="FFFFFF"/>
        </w:rPr>
        <w:t xml:space="preserve">. </w:t>
      </w:r>
      <w:r w:rsidR="00973F8E" w:rsidRPr="0064276E">
        <w:rPr>
          <w:spacing w:val="3"/>
          <w:sz w:val="24"/>
          <w:szCs w:val="24"/>
          <w:shd w:val="clear" w:color="auto" w:fill="FFFFFF"/>
        </w:rPr>
        <w:t>The author closes Chapter four</w:t>
      </w:r>
      <w:r w:rsidR="00050C9A" w:rsidRPr="0064276E">
        <w:rPr>
          <w:spacing w:val="3"/>
          <w:sz w:val="24"/>
          <w:szCs w:val="24"/>
          <w:shd w:val="clear" w:color="auto" w:fill="FFFFFF"/>
        </w:rPr>
        <w:t xml:space="preserve"> </w:t>
      </w:r>
      <w:r w:rsidR="00973F8E" w:rsidRPr="0064276E">
        <w:rPr>
          <w:spacing w:val="3"/>
          <w:sz w:val="24"/>
          <w:szCs w:val="24"/>
          <w:shd w:val="clear" w:color="auto" w:fill="FFFFFF"/>
        </w:rPr>
        <w:t xml:space="preserve">with a telling gaze towards </w:t>
      </w:r>
      <w:r w:rsidRPr="0064276E">
        <w:rPr>
          <w:spacing w:val="3"/>
          <w:sz w:val="24"/>
          <w:szCs w:val="24"/>
          <w:shd w:val="clear" w:color="auto" w:fill="FFFFFF"/>
        </w:rPr>
        <w:t xml:space="preserve">a different </w:t>
      </w:r>
      <w:r w:rsidR="00973F8E" w:rsidRPr="0064276E">
        <w:rPr>
          <w:spacing w:val="3"/>
          <w:sz w:val="24"/>
          <w:szCs w:val="24"/>
          <w:shd w:val="clear" w:color="auto" w:fill="FFFFFF"/>
        </w:rPr>
        <w:t>audience. Armed with the arguments as they have been laid out,</w:t>
      </w:r>
      <w:r w:rsidRPr="0064276E">
        <w:rPr>
          <w:spacing w:val="3"/>
          <w:sz w:val="24"/>
          <w:szCs w:val="24"/>
          <w:shd w:val="clear" w:color="auto" w:fill="FFFFFF"/>
        </w:rPr>
        <w:t xml:space="preserve"> Trahan suggests that</w:t>
      </w:r>
      <w:r w:rsidR="00973F8E" w:rsidRPr="0064276E">
        <w:rPr>
          <w:spacing w:val="3"/>
          <w:sz w:val="24"/>
          <w:szCs w:val="24"/>
          <w:shd w:val="clear" w:color="auto" w:fill="FFFFFF"/>
        </w:rPr>
        <w:t xml:space="preserve"> ‘</w:t>
      </w:r>
      <w:r w:rsidR="00973F8E" w:rsidRPr="0064276E">
        <w:rPr>
          <w:i/>
          <w:sz w:val="24"/>
          <w:szCs w:val="24"/>
        </w:rPr>
        <w:t>states</w:t>
      </w:r>
      <w:r w:rsidR="00973F8E" w:rsidRPr="0064276E">
        <w:rPr>
          <w:sz w:val="24"/>
          <w:szCs w:val="24"/>
        </w:rPr>
        <w:t xml:space="preserve"> should continue to press forward in making arguments calling into question, as a legal matter, unrestrained veto use’ (p 259, emphasis added).</w:t>
      </w:r>
      <w:r w:rsidR="0099075D" w:rsidRPr="0064276E">
        <w:rPr>
          <w:sz w:val="24"/>
          <w:szCs w:val="24"/>
        </w:rPr>
        <w:t xml:space="preserve"> </w:t>
      </w:r>
      <w:r w:rsidRPr="0064276E">
        <w:rPr>
          <w:sz w:val="24"/>
          <w:szCs w:val="24"/>
        </w:rPr>
        <w:t>Looking, as Trahan asks us to do, into the future, w</w:t>
      </w:r>
      <w:r w:rsidR="0099075D" w:rsidRPr="0064276E">
        <w:rPr>
          <w:sz w:val="24"/>
          <w:szCs w:val="24"/>
        </w:rPr>
        <w:t>e should think of</w:t>
      </w:r>
      <w:r w:rsidR="00B32AB5" w:rsidRPr="0064276E">
        <w:rPr>
          <w:sz w:val="24"/>
          <w:szCs w:val="24"/>
        </w:rPr>
        <w:t xml:space="preserve"> </w:t>
      </w:r>
      <w:r w:rsidR="00B32AB5" w:rsidRPr="0064276E">
        <w:rPr>
          <w:i/>
          <w:sz w:val="24"/>
          <w:szCs w:val="24"/>
        </w:rPr>
        <w:t>Existing Limits</w:t>
      </w:r>
      <w:r w:rsidR="0099075D" w:rsidRPr="0064276E">
        <w:rPr>
          <w:sz w:val="24"/>
          <w:szCs w:val="24"/>
        </w:rPr>
        <w:t xml:space="preserve"> as</w:t>
      </w:r>
      <w:r w:rsidR="00B32AB5" w:rsidRPr="0064276E">
        <w:rPr>
          <w:sz w:val="24"/>
          <w:szCs w:val="24"/>
        </w:rPr>
        <w:t xml:space="preserve"> an attempt to</w:t>
      </w:r>
      <w:r w:rsidR="0099075D" w:rsidRPr="0064276E">
        <w:rPr>
          <w:sz w:val="24"/>
          <w:szCs w:val="24"/>
        </w:rPr>
        <w:t xml:space="preserve"> </w:t>
      </w:r>
      <w:r w:rsidR="00E24FF9">
        <w:rPr>
          <w:sz w:val="24"/>
          <w:szCs w:val="24"/>
        </w:rPr>
        <w:t>shift</w:t>
      </w:r>
      <w:r w:rsidR="0099075D" w:rsidRPr="0064276E">
        <w:rPr>
          <w:sz w:val="24"/>
          <w:szCs w:val="24"/>
        </w:rPr>
        <w:t xml:space="preserve"> the </w:t>
      </w:r>
      <w:r w:rsidR="00692E70" w:rsidRPr="0064276E">
        <w:rPr>
          <w:sz w:val="24"/>
          <w:szCs w:val="24"/>
        </w:rPr>
        <w:t>‘</w:t>
      </w:r>
      <w:r w:rsidR="0099075D" w:rsidRPr="0064276E">
        <w:rPr>
          <w:sz w:val="24"/>
          <w:szCs w:val="24"/>
        </w:rPr>
        <w:t>Overton Window</w:t>
      </w:r>
      <w:r w:rsidR="00692E70" w:rsidRPr="0064276E">
        <w:rPr>
          <w:sz w:val="24"/>
          <w:szCs w:val="24"/>
        </w:rPr>
        <w:t>’</w:t>
      </w:r>
      <w:r w:rsidR="00B32AB5" w:rsidRPr="0064276E">
        <w:rPr>
          <w:sz w:val="24"/>
          <w:szCs w:val="24"/>
        </w:rPr>
        <w:t xml:space="preserve"> of international legal argument</w:t>
      </w:r>
      <w:r w:rsidR="00692E70" w:rsidRPr="0064276E">
        <w:rPr>
          <w:sz w:val="24"/>
          <w:szCs w:val="24"/>
        </w:rPr>
        <w:t xml:space="preserve">. </w:t>
      </w:r>
      <w:r w:rsidR="0099075D" w:rsidRPr="0064276E">
        <w:rPr>
          <w:color w:val="000000"/>
          <w:spacing w:val="-1"/>
          <w:sz w:val="24"/>
          <w:szCs w:val="24"/>
        </w:rPr>
        <w:t xml:space="preserve">The most effective way to do this, </w:t>
      </w:r>
      <w:r w:rsidR="00692E70" w:rsidRPr="0064276E">
        <w:rPr>
          <w:color w:val="000000"/>
          <w:spacing w:val="-1"/>
          <w:sz w:val="24"/>
          <w:szCs w:val="24"/>
        </w:rPr>
        <w:t xml:space="preserve">as </w:t>
      </w:r>
      <w:r w:rsidR="00050C9A" w:rsidRPr="0064276E">
        <w:rPr>
          <w:color w:val="000000"/>
          <w:spacing w:val="-1"/>
          <w:sz w:val="24"/>
          <w:szCs w:val="24"/>
        </w:rPr>
        <w:t>the author of theory</w:t>
      </w:r>
      <w:r w:rsidR="00692E70" w:rsidRPr="0064276E">
        <w:rPr>
          <w:color w:val="000000"/>
          <w:spacing w:val="-1"/>
          <w:sz w:val="24"/>
          <w:szCs w:val="24"/>
        </w:rPr>
        <w:t xml:space="preserve"> himself</w:t>
      </w:r>
      <w:r w:rsidR="0099075D" w:rsidRPr="0064276E">
        <w:rPr>
          <w:color w:val="000000"/>
          <w:spacing w:val="-1"/>
          <w:sz w:val="24"/>
          <w:szCs w:val="24"/>
        </w:rPr>
        <w:t xml:space="preserve"> proposed, </w:t>
      </w:r>
      <w:r w:rsidR="00050C9A" w:rsidRPr="0064276E">
        <w:rPr>
          <w:color w:val="000000"/>
          <w:spacing w:val="-1"/>
          <w:sz w:val="24"/>
          <w:szCs w:val="24"/>
        </w:rPr>
        <w:t xml:space="preserve">is </w:t>
      </w:r>
      <w:r w:rsidR="0099075D" w:rsidRPr="0064276E">
        <w:rPr>
          <w:color w:val="000000"/>
          <w:spacing w:val="-1"/>
          <w:sz w:val="24"/>
          <w:szCs w:val="24"/>
        </w:rPr>
        <w:t xml:space="preserve">not to advocate for minor, incremental changes to an already accepted idea, but to make the case for a currently </w:t>
      </w:r>
      <w:r w:rsidR="00050C9A" w:rsidRPr="0064276E">
        <w:rPr>
          <w:color w:val="000000"/>
          <w:spacing w:val="-1"/>
          <w:sz w:val="24"/>
          <w:szCs w:val="24"/>
        </w:rPr>
        <w:t>‘</w:t>
      </w:r>
      <w:r w:rsidR="0099075D" w:rsidRPr="0064276E">
        <w:rPr>
          <w:color w:val="000000"/>
          <w:spacing w:val="-1"/>
          <w:sz w:val="24"/>
          <w:szCs w:val="24"/>
        </w:rPr>
        <w:t>unthinkable</w:t>
      </w:r>
      <w:r w:rsidR="00050C9A" w:rsidRPr="0064276E">
        <w:rPr>
          <w:color w:val="000000"/>
          <w:spacing w:val="-1"/>
          <w:sz w:val="24"/>
          <w:szCs w:val="24"/>
        </w:rPr>
        <w:t>’</w:t>
      </w:r>
      <w:r w:rsidR="0099075D" w:rsidRPr="0064276E">
        <w:rPr>
          <w:color w:val="000000"/>
          <w:spacing w:val="-1"/>
          <w:sz w:val="24"/>
          <w:szCs w:val="24"/>
        </w:rPr>
        <w:t xml:space="preserve"> idea, stating it cogently and provoking an informed discussion. These efforts </w:t>
      </w:r>
      <w:r w:rsidR="00050C9A" w:rsidRPr="0064276E">
        <w:rPr>
          <w:color w:val="000000"/>
          <w:spacing w:val="-1"/>
          <w:sz w:val="24"/>
          <w:szCs w:val="24"/>
        </w:rPr>
        <w:t>can</w:t>
      </w:r>
      <w:r w:rsidR="0099075D" w:rsidRPr="0064276E">
        <w:rPr>
          <w:color w:val="000000"/>
          <w:spacing w:val="-1"/>
          <w:sz w:val="24"/>
          <w:szCs w:val="24"/>
        </w:rPr>
        <w:t xml:space="preserve"> make radical ideas </w:t>
      </w:r>
      <w:r w:rsidR="00050C9A" w:rsidRPr="0064276E">
        <w:rPr>
          <w:color w:val="000000"/>
          <w:spacing w:val="-1"/>
          <w:sz w:val="24"/>
          <w:szCs w:val="24"/>
        </w:rPr>
        <w:t>possible by</w:t>
      </w:r>
      <w:r w:rsidR="0099075D" w:rsidRPr="0064276E">
        <w:rPr>
          <w:color w:val="000000"/>
          <w:spacing w:val="-1"/>
          <w:sz w:val="24"/>
          <w:szCs w:val="24"/>
        </w:rPr>
        <w:t xml:space="preserve"> nudging them into the </w:t>
      </w:r>
      <w:r w:rsidR="00050C9A" w:rsidRPr="0064276E">
        <w:rPr>
          <w:color w:val="000000"/>
          <w:spacing w:val="-1"/>
          <w:sz w:val="24"/>
          <w:szCs w:val="24"/>
        </w:rPr>
        <w:t>‘</w:t>
      </w:r>
      <w:r w:rsidR="0099075D" w:rsidRPr="0064276E">
        <w:rPr>
          <w:color w:val="000000"/>
          <w:spacing w:val="-1"/>
          <w:sz w:val="24"/>
          <w:szCs w:val="24"/>
        </w:rPr>
        <w:t>acceptable</w:t>
      </w:r>
      <w:r w:rsidR="00050C9A" w:rsidRPr="0064276E">
        <w:rPr>
          <w:color w:val="000000"/>
          <w:spacing w:val="-1"/>
          <w:sz w:val="24"/>
          <w:szCs w:val="24"/>
        </w:rPr>
        <w:t>’</w:t>
      </w:r>
      <w:r w:rsidR="0099075D" w:rsidRPr="0064276E">
        <w:rPr>
          <w:color w:val="000000"/>
          <w:spacing w:val="-1"/>
          <w:sz w:val="24"/>
          <w:szCs w:val="24"/>
        </w:rPr>
        <w:t xml:space="preserve"> category, and eventually making them politically viable.</w:t>
      </w:r>
      <w:r w:rsidR="00692E70" w:rsidRPr="0064276E">
        <w:rPr>
          <w:rStyle w:val="FootnoteReference"/>
          <w:color w:val="000000"/>
          <w:spacing w:val="-1"/>
          <w:sz w:val="24"/>
          <w:szCs w:val="24"/>
        </w:rPr>
        <w:footnoteReference w:id="28"/>
      </w:r>
      <w:r w:rsidRPr="0064276E">
        <w:rPr>
          <w:color w:val="000000"/>
          <w:spacing w:val="-1"/>
          <w:sz w:val="24"/>
          <w:szCs w:val="24"/>
        </w:rPr>
        <w:t xml:space="preserve"> While the current political environment suggests that the legal limits suggested in this book are not yet</w:t>
      </w:r>
      <w:r w:rsidR="00B32AB5" w:rsidRPr="0064276E">
        <w:rPr>
          <w:color w:val="000000"/>
          <w:spacing w:val="-1"/>
          <w:sz w:val="24"/>
          <w:szCs w:val="24"/>
        </w:rPr>
        <w:t xml:space="preserve"> in</w:t>
      </w:r>
      <w:r w:rsidRPr="0064276E">
        <w:rPr>
          <w:color w:val="000000"/>
          <w:spacing w:val="-1"/>
          <w:sz w:val="24"/>
          <w:szCs w:val="24"/>
        </w:rPr>
        <w:t xml:space="preserve"> ‘exist</w:t>
      </w:r>
      <w:r w:rsidR="00B32AB5" w:rsidRPr="0064276E">
        <w:rPr>
          <w:color w:val="000000"/>
          <w:spacing w:val="-1"/>
          <w:sz w:val="24"/>
          <w:szCs w:val="24"/>
        </w:rPr>
        <w:t>ence</w:t>
      </w:r>
      <w:r w:rsidRPr="0064276E">
        <w:rPr>
          <w:color w:val="000000"/>
          <w:spacing w:val="-1"/>
          <w:sz w:val="24"/>
          <w:szCs w:val="24"/>
        </w:rPr>
        <w:t xml:space="preserve">’, as the title suggests, if (or when) this political environment changes, states will be armed </w:t>
      </w:r>
      <w:r w:rsidR="00B32AB5" w:rsidRPr="0064276E">
        <w:rPr>
          <w:color w:val="000000"/>
          <w:spacing w:val="-1"/>
          <w:sz w:val="24"/>
          <w:szCs w:val="24"/>
        </w:rPr>
        <w:t xml:space="preserve">with </w:t>
      </w:r>
      <w:r w:rsidRPr="0064276E">
        <w:rPr>
          <w:color w:val="000000"/>
          <w:spacing w:val="-1"/>
          <w:sz w:val="24"/>
          <w:szCs w:val="24"/>
        </w:rPr>
        <w:t xml:space="preserve">an erudite, expertly argued treatise on how they could be put into practice. </w:t>
      </w:r>
    </w:p>
    <w:p w14:paraId="198C13E9" w14:textId="77777777" w:rsidR="007D62EC" w:rsidRPr="0064276E" w:rsidRDefault="007D62EC" w:rsidP="0064276E">
      <w:pPr>
        <w:rPr>
          <w:sz w:val="24"/>
          <w:szCs w:val="24"/>
          <w:shd w:val="clear" w:color="auto" w:fill="FFFFFF"/>
        </w:rPr>
      </w:pPr>
    </w:p>
    <w:p w14:paraId="2DE498FA" w14:textId="77777777" w:rsidR="00264932" w:rsidRPr="0064276E" w:rsidRDefault="00264932" w:rsidP="0064276E">
      <w:pPr>
        <w:rPr>
          <w:sz w:val="24"/>
          <w:szCs w:val="24"/>
        </w:rPr>
      </w:pPr>
    </w:p>
    <w:p w14:paraId="35CD85AA" w14:textId="77777777" w:rsidR="00A55018" w:rsidRPr="0064276E" w:rsidRDefault="00A55018" w:rsidP="0064276E">
      <w:pPr>
        <w:rPr>
          <w:sz w:val="24"/>
          <w:szCs w:val="24"/>
        </w:rPr>
      </w:pPr>
    </w:p>
    <w:sectPr w:rsidR="00A55018" w:rsidRPr="0064276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704" w16cex:dateUtc="2021-04-28T19:00:00Z"/>
  <w16cex:commentExtensible w16cex:durableId="2433F94C" w16cex:dateUtc="2021-04-28T19:10:00Z"/>
  <w16cex:commentExtensible w16cex:durableId="2433FA66" w16cex:dateUtc="2021-04-28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933F" w14:textId="77777777" w:rsidR="00BA301E" w:rsidRDefault="00BA301E" w:rsidP="00264932">
      <w:r>
        <w:separator/>
      </w:r>
    </w:p>
  </w:endnote>
  <w:endnote w:type="continuationSeparator" w:id="0">
    <w:p w14:paraId="40A5947D" w14:textId="77777777" w:rsidR="00BA301E" w:rsidRDefault="00BA301E" w:rsidP="0026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FD0B" w14:textId="77777777" w:rsidR="00BA301E" w:rsidRDefault="00BA301E" w:rsidP="00264932">
      <w:r>
        <w:separator/>
      </w:r>
    </w:p>
  </w:footnote>
  <w:footnote w:type="continuationSeparator" w:id="0">
    <w:p w14:paraId="188D1721" w14:textId="77777777" w:rsidR="00BA301E" w:rsidRDefault="00BA301E" w:rsidP="00264932">
      <w:r>
        <w:continuationSeparator/>
      </w:r>
    </w:p>
  </w:footnote>
  <w:footnote w:id="1">
    <w:p w14:paraId="153119AE" w14:textId="7808462B" w:rsidR="00734B91" w:rsidRPr="003F1383" w:rsidRDefault="00734B91" w:rsidP="0082406B">
      <w:r w:rsidRPr="003F1383">
        <w:rPr>
          <w:rStyle w:val="FootnoteReference"/>
        </w:rPr>
        <w:footnoteRef/>
      </w:r>
      <w:r w:rsidRPr="003F1383">
        <w:t xml:space="preserve"> UN Charter (1945), arts 24(1) and 27(3). </w:t>
      </w:r>
    </w:p>
  </w:footnote>
  <w:footnote w:id="2">
    <w:p w14:paraId="048601C7" w14:textId="1DDB803D" w:rsidR="00734B91" w:rsidRPr="003F1383" w:rsidRDefault="00734B91" w:rsidP="001B514F">
      <w:r w:rsidRPr="003F1383">
        <w:rPr>
          <w:rStyle w:val="FootnoteReference"/>
        </w:rPr>
        <w:footnoteRef/>
      </w:r>
      <w:r w:rsidRPr="003F1383">
        <w:t xml:space="preserve"> On these ‘dual qualities’, see, I. Hurd, </w:t>
      </w:r>
      <w:r w:rsidRPr="003F1383">
        <w:rPr>
          <w:i/>
        </w:rPr>
        <w:t>After Anarchy: Legitimacy and Power in the United Nations Security Council</w:t>
      </w:r>
      <w:r w:rsidRPr="003F1383">
        <w:t xml:space="preserve"> (Princeton University Press 2007) 109.</w:t>
      </w:r>
    </w:p>
  </w:footnote>
  <w:footnote w:id="3">
    <w:p w14:paraId="75AC83F9" w14:textId="174DC189" w:rsidR="00B32AB5" w:rsidRPr="003F1383" w:rsidRDefault="00B32AB5" w:rsidP="00B32AB5">
      <w:r w:rsidRPr="003F1383">
        <w:rPr>
          <w:rStyle w:val="FootnoteReference"/>
        </w:rPr>
        <w:footnoteRef/>
      </w:r>
      <w:r w:rsidRPr="003F1383">
        <w:t xml:space="preserve"> </w:t>
      </w:r>
      <w:r w:rsidR="001605D8" w:rsidRPr="003F1383">
        <w:t>M</w:t>
      </w:r>
      <w:r w:rsidRPr="003F1383">
        <w:t>ore often than not, the roots of contemporary ruptures mirror old rivalries</w:t>
      </w:r>
      <w:r w:rsidRPr="003F1383">
        <w:rPr>
          <w:rFonts w:cs="Tahoma"/>
        </w:rPr>
        <w:t xml:space="preserve">. Indeed, </w:t>
      </w:r>
      <w:r w:rsidR="00E24FF9">
        <w:rPr>
          <w:rFonts w:cs="Tahoma"/>
        </w:rPr>
        <w:t>‘</w:t>
      </w:r>
      <w:r w:rsidR="001605D8" w:rsidRPr="003F1383">
        <w:rPr>
          <w:rFonts w:cs="Tahoma"/>
        </w:rPr>
        <w:t>t</w:t>
      </w:r>
      <w:r w:rsidRPr="003F1383">
        <w:rPr>
          <w:rFonts w:cs="Tahoma"/>
        </w:rPr>
        <w:t>he mistake in thinking that we are in a ‘new Cold War’ is in thinking of it as new’: A. Tooze, ‘Whose Century?’ (2020) 42(15) London Review of Books &lt;</w:t>
      </w:r>
      <w:hyperlink r:id="rId1" w:history="1">
        <w:r w:rsidRPr="003F1383">
          <w:rPr>
            <w:rStyle w:val="Hyperlink"/>
            <w:rFonts w:cs="Tahoma"/>
          </w:rPr>
          <w:t>https://www.lrb.co.uk/the-paper/v42/n15/adam-tooze/whose-century</w:t>
        </w:r>
      </w:hyperlink>
      <w:r w:rsidRPr="003F1383">
        <w:rPr>
          <w:rFonts w:cs="Tahoma"/>
        </w:rPr>
        <w:t xml:space="preserve">&gt; </w:t>
      </w:r>
    </w:p>
  </w:footnote>
  <w:footnote w:id="4">
    <w:p w14:paraId="5C9744D2" w14:textId="77777777" w:rsidR="00E15884" w:rsidRPr="003F1383" w:rsidRDefault="00E15884" w:rsidP="00E15884">
      <w:pPr>
        <w:rPr>
          <w:rFonts w:cs="Arial"/>
        </w:rPr>
      </w:pPr>
      <w:r w:rsidRPr="003F1383">
        <w:rPr>
          <w:rStyle w:val="FootnoteReference"/>
        </w:rPr>
        <w:footnoteRef/>
      </w:r>
      <w:r w:rsidRPr="003F1383">
        <w:t xml:space="preserve"> See, especially, J. Wouters and T. Ruys, </w:t>
      </w:r>
      <w:r w:rsidRPr="003F1383">
        <w:rPr>
          <w:i/>
        </w:rPr>
        <w:t xml:space="preserve">Security Council Reform: A New Veto for a New Century? </w:t>
      </w:r>
      <w:r w:rsidRPr="003F1383">
        <w:t xml:space="preserve">(Royal Institute for International Relations 2005); B. Fassbender, </w:t>
      </w:r>
      <w:r w:rsidRPr="003F1383">
        <w:rPr>
          <w:i/>
        </w:rPr>
        <w:t xml:space="preserve">UN Security Council Reform and the Right of Veto: A Constitutional Perspective </w:t>
      </w:r>
      <w:r w:rsidRPr="003F1383">
        <w:t>(Kluwer Law International 1998). More generally, R</w:t>
      </w:r>
      <w:r w:rsidRPr="003F1383">
        <w:rPr>
          <w:rStyle w:val="nlmarticle-title"/>
          <w:rFonts w:cs="Arial"/>
        </w:rPr>
        <w:t xml:space="preserve">outledge have developed something of a niche for publishing monograph length studies on the topic of Security Council reform: </w:t>
      </w:r>
      <w:r w:rsidRPr="003F1383">
        <w:t xml:space="preserve">P. Nadin, </w:t>
      </w:r>
      <w:r w:rsidRPr="003F1383">
        <w:rPr>
          <w:i/>
        </w:rPr>
        <w:t xml:space="preserve">Reforming the Security Council </w:t>
      </w:r>
      <w:r w:rsidRPr="003F1383">
        <w:t xml:space="preserve">(Routledge 2016); S. Hassler, </w:t>
      </w:r>
      <w:r w:rsidRPr="003F1383">
        <w:rPr>
          <w:rFonts w:eastAsia="Times New Roman" w:cs="Arial"/>
          <w:bCs/>
          <w:i/>
          <w:kern w:val="36"/>
          <w:lang w:eastAsia="en-GB"/>
        </w:rPr>
        <w:t>Reforming the UN Security Council Membership: The Illusion of Representativeness</w:t>
      </w:r>
      <w:r w:rsidRPr="003F1383">
        <w:rPr>
          <w:rFonts w:eastAsia="Times New Roman" w:cs="Arial"/>
          <w:bCs/>
          <w:kern w:val="36"/>
          <w:lang w:eastAsia="en-GB"/>
        </w:rPr>
        <w:t xml:space="preserve"> (Routledge 2013);</w:t>
      </w:r>
      <w:r w:rsidRPr="003F1383">
        <w:t xml:space="preserve"> D. </w:t>
      </w:r>
      <w:r w:rsidRPr="003F1383">
        <w:rPr>
          <w:rStyle w:val="addmd1"/>
        </w:rPr>
        <w:t xml:space="preserve">Bourantonis, </w:t>
      </w:r>
      <w:r w:rsidRPr="003F1383">
        <w:rPr>
          <w:i/>
        </w:rPr>
        <w:t>The History and Politics of UN Security Council Reform</w:t>
      </w:r>
      <w:r w:rsidRPr="003F1383">
        <w:t xml:space="preserve"> (Routledge 2004). </w:t>
      </w:r>
    </w:p>
  </w:footnote>
  <w:footnote w:id="5">
    <w:p w14:paraId="472756FF" w14:textId="621080A3" w:rsidR="00734B91" w:rsidRPr="003F1383" w:rsidRDefault="00734B91" w:rsidP="00970F1B">
      <w:pPr>
        <w:pStyle w:val="FootnoteText"/>
      </w:pPr>
      <w:r w:rsidRPr="003F1383">
        <w:rPr>
          <w:rStyle w:val="FootnoteReference"/>
        </w:rPr>
        <w:footnoteRef/>
      </w:r>
      <w:r w:rsidRPr="003F1383">
        <w:t xml:space="preserve"> More in the mould, then, of J. Heieck, </w:t>
      </w:r>
      <w:r w:rsidRPr="003F1383">
        <w:rPr>
          <w:i/>
        </w:rPr>
        <w:t xml:space="preserve">A Duty to Prevent Genocide: Due Process Obligations Among the P5 </w:t>
      </w:r>
      <w:r w:rsidRPr="003F1383">
        <w:t>(Edward Elgar 2018). Considering the</w:t>
      </w:r>
      <w:r w:rsidR="00F249E7">
        <w:t xml:space="preserve">se </w:t>
      </w:r>
      <w:r w:rsidRPr="003F1383">
        <w:t>cross-cutting themes it is interesting that the book is not cited.</w:t>
      </w:r>
    </w:p>
  </w:footnote>
  <w:footnote w:id="6">
    <w:p w14:paraId="39BBF210" w14:textId="6AB69F9E" w:rsidR="00734B91" w:rsidRPr="003F1383" w:rsidRDefault="00734B91">
      <w:pPr>
        <w:pStyle w:val="FootnoteText"/>
      </w:pPr>
      <w:r w:rsidRPr="003F1383">
        <w:rPr>
          <w:rStyle w:val="FootnoteReference"/>
        </w:rPr>
        <w:footnoteRef/>
      </w:r>
      <w:r w:rsidRPr="003F1383">
        <w:t xml:space="preserve"> It is worth noting the speed with which this </w:t>
      </w:r>
      <w:r w:rsidR="00E24FF9" w:rsidRPr="003F1383">
        <w:t>thesis</w:t>
      </w:r>
      <w:r w:rsidRPr="003F1383">
        <w:t xml:space="preserve"> has developed. Only two decades ago, Oosthuizen was able to conclude that the Council’s ‘powers were nowhere curtailed by an implicit or explicit reference to international law’: G.H. Oosthuizen ‘Playing the Devil’s Advocate: The United Nations Security Council is Unbound by Law’ (1999) 12 Leiden Journal of International Law</w:t>
      </w:r>
      <w:r w:rsidRPr="003F1383">
        <w:rPr>
          <w:i/>
        </w:rPr>
        <w:t xml:space="preserve"> </w:t>
      </w:r>
      <w:r w:rsidRPr="003F1383">
        <w:t>549, 563.</w:t>
      </w:r>
    </w:p>
  </w:footnote>
  <w:footnote w:id="7">
    <w:p w14:paraId="1765C639" w14:textId="4E6594F9" w:rsidR="00734B91" w:rsidRPr="003F1383" w:rsidRDefault="00734B91" w:rsidP="00E33434">
      <w:r w:rsidRPr="003F1383">
        <w:rPr>
          <w:rStyle w:val="FootnoteReference"/>
        </w:rPr>
        <w:footnoteRef/>
      </w:r>
      <w:r w:rsidRPr="003F1383">
        <w:t xml:space="preserve"> Even as </w:t>
      </w:r>
      <w:r w:rsidR="00E24FF9">
        <w:t xml:space="preserve">the scholarly consensus has shifted </w:t>
      </w:r>
      <w:r w:rsidRPr="003F1383">
        <w:t xml:space="preserve">somewhat in recent years, Dinstein felt it appropriate to leave the assertion from previous editions that ‘it is completely within the discretion of the Security Council to decide what constitutes a ‘threat to the peace’, untouched in the most recent edition of his textbook: Y. Dinstein, </w:t>
      </w:r>
      <w:r w:rsidRPr="003F1383">
        <w:rPr>
          <w:i/>
        </w:rPr>
        <w:t xml:space="preserve">War, Aggression and Self Defence </w:t>
      </w:r>
      <w:r w:rsidRPr="003F1383">
        <w:t>(6</w:t>
      </w:r>
      <w:r w:rsidRPr="003F1383">
        <w:rPr>
          <w:vertAlign w:val="superscript"/>
        </w:rPr>
        <w:t>th</w:t>
      </w:r>
      <w:r w:rsidRPr="003F1383">
        <w:t xml:space="preserve"> edn, Cambridge University Press 2017) 335.</w:t>
      </w:r>
    </w:p>
  </w:footnote>
  <w:footnote w:id="8">
    <w:p w14:paraId="761FAE44" w14:textId="2776B5A3" w:rsidR="00734B91" w:rsidRPr="003F1383" w:rsidRDefault="00734B91">
      <w:pPr>
        <w:pStyle w:val="FootnoteText"/>
      </w:pPr>
      <w:r w:rsidRPr="003F1383">
        <w:rPr>
          <w:rStyle w:val="FootnoteReference"/>
        </w:rPr>
        <w:footnoteRef/>
      </w:r>
      <w:r w:rsidRPr="003F1383">
        <w:t xml:space="preserve"> See, </w:t>
      </w:r>
      <w:r w:rsidR="00193AAB" w:rsidRPr="003F1383">
        <w:t xml:space="preserve">on one type of ‘decision’, </w:t>
      </w:r>
      <w:r w:rsidRPr="003F1383">
        <w:t xml:space="preserve"> A. Tzanakopoulos, </w:t>
      </w:r>
      <w:r w:rsidRPr="003F1383">
        <w:rPr>
          <w:i/>
        </w:rPr>
        <w:t xml:space="preserve">Disobeying the Security Council: Countermeasures against Wrongful Sanctions </w:t>
      </w:r>
      <w:r w:rsidRPr="003F1383">
        <w:t>(Oxford University Press 2011).</w:t>
      </w:r>
    </w:p>
  </w:footnote>
  <w:footnote w:id="9">
    <w:p w14:paraId="00CDF618" w14:textId="77777777" w:rsidR="00193AAB" w:rsidRPr="003F1383" w:rsidRDefault="00193AAB" w:rsidP="00193AAB">
      <w:pPr>
        <w:pStyle w:val="FootnoteText"/>
      </w:pPr>
      <w:r w:rsidRPr="003F1383">
        <w:rPr>
          <w:rStyle w:val="FootnoteReference"/>
        </w:rPr>
        <w:footnoteRef/>
      </w:r>
      <w:r w:rsidRPr="003F1383">
        <w:t xml:space="preserve"> For example, it is not quite clear why five pages are dedicated in Chapter one to existing proposals to reform the Council to curb the veto (pp 47-52), when we are repeatedly told that these proposals will be the focus of Chapter three.</w:t>
      </w:r>
    </w:p>
  </w:footnote>
  <w:footnote w:id="10">
    <w:p w14:paraId="1AAB7949" w14:textId="4946734F" w:rsidR="00B32AB5" w:rsidRPr="003F1383" w:rsidRDefault="00B32AB5" w:rsidP="00B32AB5">
      <w:pPr>
        <w:pStyle w:val="FootnoteText"/>
      </w:pPr>
      <w:r w:rsidRPr="003F1383">
        <w:rPr>
          <w:rStyle w:val="FootnoteReference"/>
        </w:rPr>
        <w:footnoteRef/>
      </w:r>
      <w:r w:rsidRPr="003F1383">
        <w:t xml:space="preserve"> UK Prime Minister’s Office, ‘Policy Paper: Chemical Weapon Use by Syrian Regime: UK Government Legal Position’ (29 August 2013) &lt;</w:t>
      </w:r>
      <w:hyperlink r:id="rId2" w:history="1">
        <w:r w:rsidRPr="003F1383">
          <w:rPr>
            <w:rStyle w:val="Hyperlink"/>
          </w:rPr>
          <w:t>https://www.gov.uk/government/publications/chemical-weapon-use-by-syrian-regime-uk-government-legal-position/chemical-weapon-use-by-syrian-regime-uk-government-legal-position-html-version</w:t>
        </w:r>
      </w:hyperlink>
      <w:r w:rsidRPr="003F1383">
        <w:t xml:space="preserve">&gt;  </w:t>
      </w:r>
    </w:p>
  </w:footnote>
  <w:footnote w:id="11">
    <w:p w14:paraId="3F58B3BF" w14:textId="77777777" w:rsidR="00B32AB5" w:rsidRPr="003F1383" w:rsidRDefault="00B32AB5" w:rsidP="00B32AB5">
      <w:pPr>
        <w:pStyle w:val="FootnoteText"/>
      </w:pPr>
      <w:r w:rsidRPr="003F1383">
        <w:rPr>
          <w:rStyle w:val="FootnoteReference"/>
        </w:rPr>
        <w:footnoteRef/>
      </w:r>
      <w:r w:rsidRPr="003F1383">
        <w:t xml:space="preserve"> N.D. White, ‘The Legality of Bombing in the Name of Humanity’ (2000) 5(1) Journal of Conflict and Security Law 27.</w:t>
      </w:r>
    </w:p>
  </w:footnote>
  <w:footnote w:id="12">
    <w:p w14:paraId="48F47224" w14:textId="47C0A997" w:rsidR="00B32AB5" w:rsidRPr="003F1383" w:rsidRDefault="00B32AB5" w:rsidP="00B32AB5">
      <w:pPr>
        <w:pStyle w:val="FootnoteText"/>
      </w:pPr>
      <w:r w:rsidRPr="003F1383">
        <w:rPr>
          <w:rStyle w:val="FootnoteReference"/>
        </w:rPr>
        <w:footnoteRef/>
      </w:r>
      <w:r w:rsidRPr="003F1383">
        <w:t xml:space="preserve"> </w:t>
      </w:r>
      <w:r w:rsidR="00A70840" w:rsidRPr="003F1383">
        <w:t>It</w:t>
      </w:r>
      <w:r w:rsidRPr="003F1383">
        <w:t xml:space="preserve"> is illustrative to note Schmitt’s reflections in the passage immediately preceding his (in)famous reformation of Proudhon’s expression</w:t>
      </w:r>
      <w:r w:rsidR="00A70840" w:rsidRPr="003F1383">
        <w:t xml:space="preserve">. </w:t>
      </w:r>
      <w:r w:rsidRPr="003F1383">
        <w:t>‘The concept of humanity is an especially useful ideological instrument of imperialist expansion, and in its ethical-humanitarian form it is a specific vehicle of economic imperialism’</w:t>
      </w:r>
      <w:r w:rsidR="00A70840" w:rsidRPr="003F1383">
        <w:t>:</w:t>
      </w:r>
      <w:r w:rsidRPr="003F1383">
        <w:t xml:space="preserve"> C. Schmitt, </w:t>
      </w:r>
      <w:r w:rsidRPr="003F1383">
        <w:rPr>
          <w:i/>
          <w:iCs/>
        </w:rPr>
        <w:t xml:space="preserve">The Concept of the Political </w:t>
      </w:r>
      <w:r w:rsidRPr="003F1383">
        <w:t>(G. Schwab trans, University of Chicago Press 1996) 54.</w:t>
      </w:r>
    </w:p>
  </w:footnote>
  <w:footnote w:id="13">
    <w:p w14:paraId="42FF9E65" w14:textId="77777777" w:rsidR="00734B91" w:rsidRPr="003F1383" w:rsidRDefault="00734B91" w:rsidP="001B76E2">
      <w:r w:rsidRPr="003F1383">
        <w:rPr>
          <w:rStyle w:val="FootnoteReference"/>
        </w:rPr>
        <w:footnoteRef/>
      </w:r>
      <w:r w:rsidRPr="003F1383">
        <w:t xml:space="preserve"> UN Charter, art 109(2). </w:t>
      </w:r>
    </w:p>
  </w:footnote>
  <w:footnote w:id="14">
    <w:p w14:paraId="636C6886" w14:textId="77777777" w:rsidR="00734B91" w:rsidRPr="003F1383" w:rsidRDefault="00734B91" w:rsidP="001B76E2">
      <w:r w:rsidRPr="003F1383">
        <w:rPr>
          <w:rStyle w:val="FootnoteReference"/>
        </w:rPr>
        <w:footnoteRef/>
      </w:r>
      <w:r w:rsidRPr="003F1383">
        <w:t xml:space="preserve"> See, eg, J-B.J Vilmer, ‘The Responsibility Not to Veto: A Genealogy’ (2018) 24(3) Global Governance 331.</w:t>
      </w:r>
    </w:p>
  </w:footnote>
  <w:footnote w:id="15">
    <w:p w14:paraId="68555F4E" w14:textId="77777777" w:rsidR="00734B91" w:rsidRPr="003F1383" w:rsidRDefault="00734B91" w:rsidP="009917FB">
      <w:pPr>
        <w:pStyle w:val="FootnoteText"/>
        <w:rPr>
          <w:rFonts w:cs="Tahoma"/>
        </w:rPr>
      </w:pPr>
      <w:r w:rsidRPr="003F1383">
        <w:rPr>
          <w:rStyle w:val="FootnoteReference"/>
          <w:rFonts w:cs="Tahoma"/>
        </w:rPr>
        <w:footnoteRef/>
      </w:r>
      <w:r w:rsidRPr="003F1383">
        <w:rPr>
          <w:rFonts w:cs="Tahoma"/>
        </w:rPr>
        <w:t xml:space="preserve"> D. Pulkowski, ‘Structural Paradigms in International Law’ in T. Broude &amp; Y. Shany (eds),</w:t>
      </w:r>
      <w:r w:rsidRPr="003F1383">
        <w:rPr>
          <w:rFonts w:cs="Tahoma"/>
          <w:i/>
        </w:rPr>
        <w:t xml:space="preserve"> The Shifting Allocation of Authority in International Law: Considering Sovereignty, Supremacy and Subsidiarity </w:t>
      </w:r>
      <w:r w:rsidRPr="003F1383">
        <w:rPr>
          <w:rFonts w:cs="Tahoma"/>
        </w:rPr>
        <w:t xml:space="preserve">(Hart 2008) 51, 70. </w:t>
      </w:r>
    </w:p>
  </w:footnote>
  <w:footnote w:id="16">
    <w:p w14:paraId="32D654F6" w14:textId="3A601010" w:rsidR="00734B91" w:rsidRPr="003F1383" w:rsidRDefault="00734B91">
      <w:pPr>
        <w:pStyle w:val="FootnoteText"/>
      </w:pPr>
      <w:r w:rsidRPr="003F1383">
        <w:rPr>
          <w:rStyle w:val="FootnoteReference"/>
        </w:rPr>
        <w:footnoteRef/>
      </w:r>
      <w:r w:rsidRPr="003F1383">
        <w:t xml:space="preserve"> We should be wary of</w:t>
      </w:r>
      <w:r w:rsidR="00B32AB5" w:rsidRPr="003F1383">
        <w:t xml:space="preserve"> liberally</w:t>
      </w:r>
      <w:r w:rsidRPr="003F1383">
        <w:t xml:space="preserve"> ‘stretching’ the concept of </w:t>
      </w:r>
      <w:r w:rsidRPr="003F1383">
        <w:rPr>
          <w:i/>
        </w:rPr>
        <w:t xml:space="preserve">jus cogens </w:t>
      </w:r>
      <w:r w:rsidRPr="003F1383">
        <w:t xml:space="preserve">too far, considering the difficulty in identifying the existence of </w:t>
      </w:r>
      <w:r w:rsidR="00B32AB5" w:rsidRPr="003F1383">
        <w:t>peremptory</w:t>
      </w:r>
      <w:r w:rsidRPr="003F1383">
        <w:rPr>
          <w:i/>
        </w:rPr>
        <w:t xml:space="preserve"> </w:t>
      </w:r>
      <w:r w:rsidRPr="003F1383">
        <w:t>norms even within</w:t>
      </w:r>
      <w:r w:rsidR="002E19B3" w:rsidRPr="003F1383">
        <w:t xml:space="preserve"> more</w:t>
      </w:r>
      <w:r w:rsidRPr="003F1383">
        <w:t xml:space="preserve"> conservative parameters. </w:t>
      </w:r>
      <w:r w:rsidR="00B32AB5" w:rsidRPr="003F1383">
        <w:t>Th</w:t>
      </w:r>
      <w:r w:rsidR="002E19B3" w:rsidRPr="003F1383">
        <w:t>is</w:t>
      </w:r>
      <w:r w:rsidRPr="003F1383">
        <w:t xml:space="preserve"> wariness </w:t>
      </w:r>
      <w:r w:rsidR="002E19B3" w:rsidRPr="003F1383">
        <w:t>resonates with</w:t>
      </w:r>
      <w:r w:rsidRPr="003F1383">
        <w:t xml:space="preserve"> D’Amato’s famous formulation: A. D’Amato, ‘It’s a Bird, It’s a Plane, It’s Jus Cogens’ (1990) 6(1) Connecticut Journal of International Law 1. </w:t>
      </w:r>
      <w:r w:rsidR="00F23EE0">
        <w:t>Once</w:t>
      </w:r>
      <w:r w:rsidR="002E19B3" w:rsidRPr="003F1383">
        <w:t xml:space="preserve"> </w:t>
      </w:r>
      <w:r w:rsidR="00F23EE0">
        <w:t>the</w:t>
      </w:r>
      <w:r w:rsidRPr="003F1383">
        <w:t xml:space="preserve"> flying vessel </w:t>
      </w:r>
      <w:r w:rsidR="002E19B3" w:rsidRPr="003F1383">
        <w:t xml:space="preserve">is identified </w:t>
      </w:r>
      <w:r w:rsidRPr="003F1383">
        <w:t xml:space="preserve">as </w:t>
      </w:r>
      <w:r w:rsidRPr="003F1383">
        <w:rPr>
          <w:i/>
        </w:rPr>
        <w:t>jus cogens</w:t>
      </w:r>
      <w:r w:rsidRPr="003F1383">
        <w:t xml:space="preserve">, </w:t>
      </w:r>
      <w:r w:rsidR="00B32AB5" w:rsidRPr="003F1383">
        <w:t xml:space="preserve">we shouldn’t </w:t>
      </w:r>
      <w:r w:rsidRPr="003F1383">
        <w:t>pack</w:t>
      </w:r>
      <w:r w:rsidR="00B32AB5" w:rsidRPr="003F1383">
        <w:t xml:space="preserve"> it </w:t>
      </w:r>
      <w:r w:rsidRPr="003F1383">
        <w:t xml:space="preserve">so full of additional baggage that it can’t get off the ground.  </w:t>
      </w:r>
    </w:p>
  </w:footnote>
  <w:footnote w:id="17">
    <w:p w14:paraId="06073537" w14:textId="514BAE08" w:rsidR="00734B91" w:rsidRPr="003F1383" w:rsidRDefault="00734B91" w:rsidP="00587602">
      <w:pPr>
        <w:pStyle w:val="FootnoteText"/>
      </w:pPr>
      <w:r w:rsidRPr="003F1383">
        <w:rPr>
          <w:rStyle w:val="FootnoteReference"/>
        </w:rPr>
        <w:footnoteRef/>
      </w:r>
      <w:r w:rsidRPr="003F1383">
        <w:t xml:space="preserve"> UN Charter (1945), arts 1(1), 1(3)</w:t>
      </w:r>
      <w:r w:rsidR="00F23EE0">
        <w:t xml:space="preserve"> and </w:t>
      </w:r>
      <w:r w:rsidRPr="003F1383">
        <w:t>2(2).</w:t>
      </w:r>
    </w:p>
  </w:footnote>
  <w:footnote w:id="18">
    <w:p w14:paraId="479FF8B4" w14:textId="54FB36FB" w:rsidR="00734B91" w:rsidRPr="003F1383" w:rsidRDefault="00734B91" w:rsidP="00710906">
      <w:pPr>
        <w:pStyle w:val="FootnoteText"/>
        <w:rPr>
          <w:rFonts w:cs="Tahoma"/>
        </w:rPr>
      </w:pPr>
      <w:r w:rsidRPr="003F1383">
        <w:rPr>
          <w:rStyle w:val="FootnoteReference"/>
          <w:rFonts w:cs="Tahoma"/>
        </w:rPr>
        <w:footnoteRef/>
      </w:r>
      <w:r w:rsidRPr="003F1383">
        <w:rPr>
          <w:rFonts w:cs="Tahoma"/>
        </w:rPr>
        <w:t xml:space="preserve"> A. Peters, ‘Article 25’, in B. Simma et al (eds), </w:t>
      </w:r>
      <w:r w:rsidRPr="003F1383">
        <w:rPr>
          <w:rFonts w:cs="Tahoma"/>
          <w:i/>
        </w:rPr>
        <w:t>The Charter of the United Nations: A Commentary</w:t>
      </w:r>
      <w:r w:rsidRPr="003F1383">
        <w:rPr>
          <w:rFonts w:cs="Tahoma"/>
        </w:rPr>
        <w:t xml:space="preserve"> (3rd edn, vol II, Oxford University Press 2012) </w:t>
      </w:r>
      <w:r w:rsidR="00EF7CE8">
        <w:rPr>
          <w:rFonts w:cs="Tahoma"/>
        </w:rPr>
        <w:t xml:space="preserve">803, </w:t>
      </w:r>
      <w:r w:rsidRPr="003F1383">
        <w:rPr>
          <w:rFonts w:cs="Tahoma"/>
        </w:rPr>
        <w:t>812.</w:t>
      </w:r>
    </w:p>
  </w:footnote>
  <w:footnote w:id="19">
    <w:p w14:paraId="7015C42A" w14:textId="01DA05E0" w:rsidR="00734B91" w:rsidRPr="003F1383" w:rsidRDefault="00734B91" w:rsidP="009917FB">
      <w:pPr>
        <w:pStyle w:val="FootnoteText"/>
        <w:rPr>
          <w:rFonts w:cs="Tahoma"/>
        </w:rPr>
      </w:pPr>
      <w:r w:rsidRPr="003F1383">
        <w:rPr>
          <w:rStyle w:val="FootnoteReference"/>
          <w:rFonts w:cs="Tahoma"/>
        </w:rPr>
        <w:footnoteRef/>
      </w:r>
      <w:r w:rsidRPr="003F1383">
        <w:rPr>
          <w:rFonts w:cs="Tahoma"/>
        </w:rPr>
        <w:t xml:space="preserve"> </w:t>
      </w:r>
      <w:r w:rsidR="002E19B3" w:rsidRPr="003F1383">
        <w:t xml:space="preserve">Convention on the Prevention and Punishment of the Crime of Genocide </w:t>
      </w:r>
      <w:r w:rsidR="002E19B3" w:rsidRPr="003F1383">
        <w:rPr>
          <w:rFonts w:cs="Tahoma"/>
        </w:rPr>
        <w:t>(1948), art 1. The ICJ ha</w:t>
      </w:r>
      <w:r w:rsidR="00EF7CE8">
        <w:rPr>
          <w:rFonts w:cs="Tahoma"/>
        </w:rPr>
        <w:t>s</w:t>
      </w:r>
      <w:r w:rsidR="002E19B3" w:rsidRPr="003F1383">
        <w:rPr>
          <w:rFonts w:cs="Tahoma"/>
        </w:rPr>
        <w:t xml:space="preserve"> held that states should </w:t>
      </w:r>
      <w:r w:rsidR="002E19B3" w:rsidRPr="003F1383">
        <w:t xml:space="preserve">‘employ all means reasonably available to them’ to realise this obligation: </w:t>
      </w:r>
      <w:r w:rsidRPr="003F1383">
        <w:rPr>
          <w:rFonts w:cs="Tahoma"/>
          <w:i/>
        </w:rPr>
        <w:t xml:space="preserve">Case Concerning Application of the Convention on the Prevention and Punishment of the Crime of Genocide (Bosnia &amp; </w:t>
      </w:r>
      <w:r w:rsidR="003F1383" w:rsidRPr="003F1383">
        <w:rPr>
          <w:rFonts w:cs="Tahoma"/>
          <w:i/>
        </w:rPr>
        <w:t>Herzegovina</w:t>
      </w:r>
      <w:r w:rsidRPr="003F1383">
        <w:rPr>
          <w:rFonts w:cs="Tahoma"/>
          <w:i/>
        </w:rPr>
        <w:t xml:space="preserve"> v Serbia &amp; Montenegro)</w:t>
      </w:r>
      <w:r w:rsidRPr="003F1383">
        <w:rPr>
          <w:rFonts w:cs="Tahoma"/>
        </w:rPr>
        <w:t xml:space="preserve"> (Judgment) [2007] ICJ Rep 43, at para 430. </w:t>
      </w:r>
    </w:p>
  </w:footnote>
  <w:footnote w:id="20">
    <w:p w14:paraId="34FC8B2D" w14:textId="1D76767A" w:rsidR="00014357" w:rsidRPr="00014357" w:rsidRDefault="00014357">
      <w:pPr>
        <w:pStyle w:val="FootnoteText"/>
      </w:pPr>
      <w:r>
        <w:rPr>
          <w:rStyle w:val="FootnoteReference"/>
        </w:rPr>
        <w:footnoteRef/>
      </w:r>
      <w:r>
        <w:t xml:space="preserve"> See, from a more theoretical perspective, C. Brölmann, </w:t>
      </w:r>
      <w:r>
        <w:rPr>
          <w:i/>
          <w:iCs/>
        </w:rPr>
        <w:t xml:space="preserve">The Institutional Veil in Public International Law </w:t>
      </w:r>
      <w:r>
        <w:t xml:space="preserve">(Hart 2007). </w:t>
      </w:r>
    </w:p>
  </w:footnote>
  <w:footnote w:id="21">
    <w:p w14:paraId="2B9A8FBF" w14:textId="332859E9" w:rsidR="00734B91" w:rsidRPr="003F1383" w:rsidRDefault="00734B91" w:rsidP="006551C5">
      <w:r w:rsidRPr="003F1383">
        <w:rPr>
          <w:rStyle w:val="FootnoteReference"/>
        </w:rPr>
        <w:footnoteRef/>
      </w:r>
      <w:r w:rsidRPr="003F1383">
        <w:t xml:space="preserve"> </w:t>
      </w:r>
      <w:r w:rsidRPr="003F1383">
        <w:rPr>
          <w:i/>
        </w:rPr>
        <w:t xml:space="preserve">Legal Consequences for States of the Continued Presence of South Africa in Namibia </w:t>
      </w:r>
      <w:r w:rsidRPr="003F1383">
        <w:t>(Advisory Opinion) [1971] ICJ Rep</w:t>
      </w:r>
      <w:r w:rsidR="003F1383">
        <w:t xml:space="preserve"> </w:t>
      </w:r>
      <w:r w:rsidRPr="003F1383">
        <w:t>16, at para 89.</w:t>
      </w:r>
      <w:r w:rsidR="003F1383" w:rsidRPr="003F1383">
        <w:t xml:space="preserve"> See, earlier, </w:t>
      </w:r>
      <w:r w:rsidR="003F1383" w:rsidRPr="003F1383">
        <w:rPr>
          <w:i/>
        </w:rPr>
        <w:t xml:space="preserve">Case Concerning the Northern Cameroons (Cameroon v UK) </w:t>
      </w:r>
      <w:r w:rsidR="003F1383" w:rsidRPr="003F1383">
        <w:t xml:space="preserve">(Preliminary Objections) [1963] ICJ Rep 15, at 33: ‘Decisions of the political organs of the United Nations could </w:t>
      </w:r>
      <w:r w:rsidR="003F1383" w:rsidRPr="003F1383">
        <w:rPr>
          <w:iCs/>
        </w:rPr>
        <w:t xml:space="preserve">not be reversed by the judgment of the Court’. </w:t>
      </w:r>
    </w:p>
  </w:footnote>
  <w:footnote w:id="22">
    <w:p w14:paraId="28A26EE9" w14:textId="33AE716E" w:rsidR="00734B91" w:rsidRPr="003F1383" w:rsidRDefault="00734B91" w:rsidP="006551C5">
      <w:pPr>
        <w:rPr>
          <w:highlight w:val="yellow"/>
          <w:shd w:val="clear" w:color="auto" w:fill="FFFFFF"/>
        </w:rPr>
      </w:pPr>
      <w:r w:rsidRPr="003F1383">
        <w:rPr>
          <w:rStyle w:val="FootnoteReference"/>
        </w:rPr>
        <w:footnoteRef/>
      </w:r>
      <w:r w:rsidRPr="003F1383">
        <w:t xml:space="preserve"> A Belgian proposal to endow the I</w:t>
      </w:r>
      <w:r w:rsidR="00050C9A">
        <w:t>CJ</w:t>
      </w:r>
      <w:r w:rsidRPr="003F1383">
        <w:t xml:space="preserve"> with respective review powers was not adopted at San Francisco</w:t>
      </w:r>
      <w:r w:rsidR="00050C9A">
        <w:t>, and there is little evidence to suggest that permanent members would accept such a proposal today.</w:t>
      </w:r>
      <w:r w:rsidRPr="003F1383">
        <w:t xml:space="preserve"> </w:t>
      </w:r>
    </w:p>
  </w:footnote>
  <w:footnote w:id="23">
    <w:p w14:paraId="222E9EEA" w14:textId="77777777" w:rsidR="00734B91" w:rsidRPr="003F1383" w:rsidRDefault="00734B91" w:rsidP="00384563">
      <w:r w:rsidRPr="003F1383">
        <w:rPr>
          <w:rStyle w:val="FootnoteReference"/>
        </w:rPr>
        <w:footnoteRef/>
      </w:r>
      <w:r w:rsidRPr="003F1383">
        <w:t xml:space="preserve"> See, A. Peters, ‘Realizing Utopia as a Scholarly Endeavour’ (2013) 24(2) European Journal of International Law 533. </w:t>
      </w:r>
    </w:p>
  </w:footnote>
  <w:footnote w:id="24">
    <w:p w14:paraId="71932D54" w14:textId="77777777" w:rsidR="00734B91" w:rsidRPr="003F1383" w:rsidRDefault="00734B91" w:rsidP="005A6423">
      <w:pPr>
        <w:pStyle w:val="FootnoteText"/>
      </w:pPr>
      <w:r w:rsidRPr="003F1383">
        <w:rPr>
          <w:rStyle w:val="FootnoteReference"/>
        </w:rPr>
        <w:footnoteRef/>
      </w:r>
      <w:r w:rsidRPr="003F1383">
        <w:t xml:space="preserve"> A. Peters, ‘The Rise and Decline of the International Rule of Law and the Job of Scholars’ in </w:t>
      </w:r>
      <w:r w:rsidRPr="003F1383">
        <w:rPr>
          <w:iCs/>
          <w:shd w:val="clear" w:color="auto" w:fill="FFFFFF"/>
        </w:rPr>
        <w:t xml:space="preserve">H. Krieger. G. Nolte, A. Zimmermann (eds), </w:t>
      </w:r>
      <w:r w:rsidRPr="003F1383">
        <w:rPr>
          <w:i/>
          <w:iCs/>
          <w:shd w:val="clear" w:color="auto" w:fill="FFFFFF"/>
        </w:rPr>
        <w:t>The International Rule of Law: Rise or Decline? </w:t>
      </w:r>
      <w:r w:rsidRPr="003F1383">
        <w:t>(Oxford University Press 2009) 56, 57.</w:t>
      </w:r>
    </w:p>
  </w:footnote>
  <w:footnote w:id="25">
    <w:p w14:paraId="3DC93832" w14:textId="15894D79" w:rsidR="00734B91" w:rsidRPr="003F1383" w:rsidRDefault="00734B91">
      <w:pPr>
        <w:pStyle w:val="FootnoteText"/>
      </w:pPr>
      <w:r w:rsidRPr="003F1383">
        <w:rPr>
          <w:rStyle w:val="FootnoteReference"/>
        </w:rPr>
        <w:footnoteRef/>
      </w:r>
      <w:r w:rsidRPr="003F1383">
        <w:t xml:space="preserve"> It is obviously neatly encapsulated in the title of his edited collection: A. Cassese (eds), </w:t>
      </w:r>
      <w:r w:rsidRPr="003F1383">
        <w:rPr>
          <w:i/>
        </w:rPr>
        <w:t>Realizing Utopia</w:t>
      </w:r>
      <w:r w:rsidRPr="003F1383">
        <w:t xml:space="preserve"> (Oxford University Press 2012)</w:t>
      </w:r>
      <w:r w:rsidR="00EF7CE8">
        <w:t xml:space="preserve">. </w:t>
      </w:r>
    </w:p>
  </w:footnote>
  <w:footnote w:id="26">
    <w:p w14:paraId="363EE3CE" w14:textId="1EAA40A4" w:rsidR="00734B91" w:rsidRPr="003F1383" w:rsidRDefault="00734B91" w:rsidP="005A6423">
      <w:pPr>
        <w:pStyle w:val="FootnoteText"/>
      </w:pPr>
      <w:r w:rsidRPr="003F1383">
        <w:rPr>
          <w:rStyle w:val="FootnoteReference"/>
        </w:rPr>
        <w:footnoteRef/>
      </w:r>
      <w:r w:rsidRPr="003F1383">
        <w:t xml:space="preserve"> Ibid, xvii. </w:t>
      </w:r>
    </w:p>
  </w:footnote>
  <w:footnote w:id="27">
    <w:p w14:paraId="25B62C15" w14:textId="75459CBE" w:rsidR="00734B91" w:rsidRPr="003F1383" w:rsidRDefault="00734B91" w:rsidP="005A6423">
      <w:pPr>
        <w:pStyle w:val="FootnoteText"/>
      </w:pPr>
      <w:r w:rsidRPr="003F1383">
        <w:rPr>
          <w:rStyle w:val="FootnoteReference"/>
        </w:rPr>
        <w:footnoteRef/>
      </w:r>
      <w:r w:rsidRPr="003F1383">
        <w:t xml:space="preserve"> Peters (n</w:t>
      </w:r>
      <w:r w:rsidR="003F1383">
        <w:t xml:space="preserve"> </w:t>
      </w:r>
      <w:r w:rsidR="003F1383">
        <w:fldChar w:fldCharType="begin"/>
      </w:r>
      <w:r w:rsidR="003F1383">
        <w:instrText xml:space="preserve"> NOTEREF _Ref69811892 \h </w:instrText>
      </w:r>
      <w:r w:rsidR="003F1383">
        <w:fldChar w:fldCharType="separate"/>
      </w:r>
      <w:r w:rsidR="00050C9A">
        <w:t>24</w:t>
      </w:r>
      <w:r w:rsidR="003F1383">
        <w:fldChar w:fldCharType="end"/>
      </w:r>
      <w:r w:rsidRPr="003F1383">
        <w:t>) 64.</w:t>
      </w:r>
    </w:p>
  </w:footnote>
  <w:footnote w:id="28">
    <w:p w14:paraId="32F57886" w14:textId="0A9B15DE" w:rsidR="00734B91" w:rsidRPr="003F1383" w:rsidRDefault="00734B91">
      <w:pPr>
        <w:pStyle w:val="FootnoteText"/>
      </w:pPr>
      <w:r w:rsidRPr="003F1383">
        <w:rPr>
          <w:rStyle w:val="FootnoteReference"/>
        </w:rPr>
        <w:footnoteRef/>
      </w:r>
      <w:r w:rsidRPr="003F1383">
        <w:t xml:space="preserve"> See, eg, M. Astor, ‘How the Politically Unthinkable Can Become Mainstream’ (New York Times, 26 February 2019) &lt;</w:t>
      </w:r>
      <w:hyperlink r:id="rId3" w:history="1">
        <w:r w:rsidRPr="003F1383">
          <w:rPr>
            <w:rStyle w:val="Hyperlink"/>
          </w:rPr>
          <w:t>https://www.nytimes.com/2019/02/26/us/politics/overton-window-democrats.html</w:t>
        </w:r>
      </w:hyperlink>
      <w:r w:rsidRPr="003F1383">
        <w:t xml:space="preserve">&gt;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TEwNDAxNjI1tzBS0lEKTi0uzszPAykwrwUAOsGSJSwAAAA="/>
  </w:docVars>
  <w:rsids>
    <w:rsidRoot w:val="00364225"/>
    <w:rsid w:val="00006280"/>
    <w:rsid w:val="000113F9"/>
    <w:rsid w:val="00014357"/>
    <w:rsid w:val="000360CB"/>
    <w:rsid w:val="0004024F"/>
    <w:rsid w:val="00042E96"/>
    <w:rsid w:val="000477B2"/>
    <w:rsid w:val="00050C9A"/>
    <w:rsid w:val="000572BC"/>
    <w:rsid w:val="00061DED"/>
    <w:rsid w:val="00087EF4"/>
    <w:rsid w:val="000B12AB"/>
    <w:rsid w:val="000C63EB"/>
    <w:rsid w:val="000C7ED7"/>
    <w:rsid w:val="000D490E"/>
    <w:rsid w:val="000D4D57"/>
    <w:rsid w:val="000F4A3A"/>
    <w:rsid w:val="00125435"/>
    <w:rsid w:val="001337F3"/>
    <w:rsid w:val="00143A95"/>
    <w:rsid w:val="00147066"/>
    <w:rsid w:val="001605D8"/>
    <w:rsid w:val="00170C40"/>
    <w:rsid w:val="00173E9F"/>
    <w:rsid w:val="00181F87"/>
    <w:rsid w:val="00193AAB"/>
    <w:rsid w:val="001A2946"/>
    <w:rsid w:val="001A36C8"/>
    <w:rsid w:val="001B514F"/>
    <w:rsid w:val="001B5F57"/>
    <w:rsid w:val="001B76E2"/>
    <w:rsid w:val="001D56C5"/>
    <w:rsid w:val="001E2045"/>
    <w:rsid w:val="00205067"/>
    <w:rsid w:val="002224CE"/>
    <w:rsid w:val="00225FB2"/>
    <w:rsid w:val="00264932"/>
    <w:rsid w:val="0026745B"/>
    <w:rsid w:val="0029543D"/>
    <w:rsid w:val="002A1143"/>
    <w:rsid w:val="002B1C0B"/>
    <w:rsid w:val="002C4B24"/>
    <w:rsid w:val="002E19B3"/>
    <w:rsid w:val="002E4E30"/>
    <w:rsid w:val="00306AF1"/>
    <w:rsid w:val="00334293"/>
    <w:rsid w:val="00353BCF"/>
    <w:rsid w:val="00356993"/>
    <w:rsid w:val="00364225"/>
    <w:rsid w:val="0036474C"/>
    <w:rsid w:val="0037368F"/>
    <w:rsid w:val="00384563"/>
    <w:rsid w:val="0039636F"/>
    <w:rsid w:val="003A4BE9"/>
    <w:rsid w:val="003D4F9B"/>
    <w:rsid w:val="003F1383"/>
    <w:rsid w:val="004A5DDD"/>
    <w:rsid w:val="004D2A27"/>
    <w:rsid w:val="004F069A"/>
    <w:rsid w:val="004F1BDB"/>
    <w:rsid w:val="004F477C"/>
    <w:rsid w:val="00513D1D"/>
    <w:rsid w:val="00536312"/>
    <w:rsid w:val="0055535F"/>
    <w:rsid w:val="00564CBA"/>
    <w:rsid w:val="00587602"/>
    <w:rsid w:val="005919DE"/>
    <w:rsid w:val="005A2981"/>
    <w:rsid w:val="005A4CED"/>
    <w:rsid w:val="005A6423"/>
    <w:rsid w:val="005C5158"/>
    <w:rsid w:val="005E6584"/>
    <w:rsid w:val="006017CD"/>
    <w:rsid w:val="00607CD9"/>
    <w:rsid w:val="00637077"/>
    <w:rsid w:val="0064276E"/>
    <w:rsid w:val="006551C5"/>
    <w:rsid w:val="006827DF"/>
    <w:rsid w:val="00684A90"/>
    <w:rsid w:val="00692E70"/>
    <w:rsid w:val="006C7895"/>
    <w:rsid w:val="006E23CC"/>
    <w:rsid w:val="0070637B"/>
    <w:rsid w:val="00710906"/>
    <w:rsid w:val="00712C83"/>
    <w:rsid w:val="00715DC7"/>
    <w:rsid w:val="00734B91"/>
    <w:rsid w:val="00737330"/>
    <w:rsid w:val="00756EC6"/>
    <w:rsid w:val="00761950"/>
    <w:rsid w:val="00784170"/>
    <w:rsid w:val="00790430"/>
    <w:rsid w:val="00790C87"/>
    <w:rsid w:val="0079320C"/>
    <w:rsid w:val="007950ED"/>
    <w:rsid w:val="007A7A18"/>
    <w:rsid w:val="007D62EC"/>
    <w:rsid w:val="007E54F2"/>
    <w:rsid w:val="007F3E2F"/>
    <w:rsid w:val="0082406B"/>
    <w:rsid w:val="00834106"/>
    <w:rsid w:val="0084488E"/>
    <w:rsid w:val="008468A4"/>
    <w:rsid w:val="00854C1E"/>
    <w:rsid w:val="00886E58"/>
    <w:rsid w:val="00886E89"/>
    <w:rsid w:val="008C4786"/>
    <w:rsid w:val="008E0FC8"/>
    <w:rsid w:val="00923021"/>
    <w:rsid w:val="009622C6"/>
    <w:rsid w:val="00963025"/>
    <w:rsid w:val="00970F1B"/>
    <w:rsid w:val="00973F8E"/>
    <w:rsid w:val="0099075D"/>
    <w:rsid w:val="009917FB"/>
    <w:rsid w:val="009D2C35"/>
    <w:rsid w:val="009E79F3"/>
    <w:rsid w:val="00A06889"/>
    <w:rsid w:val="00A07A2D"/>
    <w:rsid w:val="00A22F1F"/>
    <w:rsid w:val="00A36AC3"/>
    <w:rsid w:val="00A41F83"/>
    <w:rsid w:val="00A50D86"/>
    <w:rsid w:val="00A543C5"/>
    <w:rsid w:val="00A54AAE"/>
    <w:rsid w:val="00A55018"/>
    <w:rsid w:val="00A70840"/>
    <w:rsid w:val="00A935C4"/>
    <w:rsid w:val="00AF0FF2"/>
    <w:rsid w:val="00B32AB5"/>
    <w:rsid w:val="00B720F3"/>
    <w:rsid w:val="00B95F2D"/>
    <w:rsid w:val="00BA301E"/>
    <w:rsid w:val="00C26CFC"/>
    <w:rsid w:val="00C30439"/>
    <w:rsid w:val="00C41DA7"/>
    <w:rsid w:val="00C50BFE"/>
    <w:rsid w:val="00C64E84"/>
    <w:rsid w:val="00C70DC6"/>
    <w:rsid w:val="00CB3246"/>
    <w:rsid w:val="00CF2777"/>
    <w:rsid w:val="00D031DA"/>
    <w:rsid w:val="00D07BE8"/>
    <w:rsid w:val="00D23AEA"/>
    <w:rsid w:val="00D30267"/>
    <w:rsid w:val="00D65F10"/>
    <w:rsid w:val="00D92792"/>
    <w:rsid w:val="00DB446E"/>
    <w:rsid w:val="00DD72D0"/>
    <w:rsid w:val="00DE6BF3"/>
    <w:rsid w:val="00DF0591"/>
    <w:rsid w:val="00DF54FA"/>
    <w:rsid w:val="00E15884"/>
    <w:rsid w:val="00E22EAF"/>
    <w:rsid w:val="00E24FF9"/>
    <w:rsid w:val="00E33434"/>
    <w:rsid w:val="00E676C9"/>
    <w:rsid w:val="00E7676A"/>
    <w:rsid w:val="00E9106D"/>
    <w:rsid w:val="00EA7459"/>
    <w:rsid w:val="00EB7339"/>
    <w:rsid w:val="00EC1896"/>
    <w:rsid w:val="00EC2B67"/>
    <w:rsid w:val="00EE4A69"/>
    <w:rsid w:val="00EE5A18"/>
    <w:rsid w:val="00EF2021"/>
    <w:rsid w:val="00EF65DD"/>
    <w:rsid w:val="00EF7CE8"/>
    <w:rsid w:val="00F0108D"/>
    <w:rsid w:val="00F23EE0"/>
    <w:rsid w:val="00F24101"/>
    <w:rsid w:val="00F249E7"/>
    <w:rsid w:val="00F26A3A"/>
    <w:rsid w:val="00F9217D"/>
    <w:rsid w:val="00F9505D"/>
    <w:rsid w:val="00FD6F30"/>
    <w:rsid w:val="00FE3AC5"/>
    <w:rsid w:val="00FF1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77439"/>
  <w15:chartTrackingRefBased/>
  <w15:docId w15:val="{9723A66D-59BB-44AA-82BE-EED8B39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225"/>
  </w:style>
  <w:style w:type="paragraph" w:styleId="Heading1">
    <w:name w:val="heading 1"/>
    <w:basedOn w:val="Normal"/>
    <w:next w:val="Normal"/>
    <w:link w:val="Heading1Char"/>
    <w:uiPriority w:val="9"/>
    <w:qFormat/>
    <w:rsid w:val="007F3E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25"/>
    <w:rPr>
      <w:color w:val="0563C1" w:themeColor="hyperlink"/>
      <w:u w:val="single"/>
    </w:rPr>
  </w:style>
  <w:style w:type="character" w:styleId="FootnoteReference">
    <w:name w:val="footnote reference"/>
    <w:basedOn w:val="DefaultParagraphFont"/>
    <w:uiPriority w:val="99"/>
    <w:unhideWhenUsed/>
    <w:rsid w:val="00264932"/>
    <w:rPr>
      <w:vertAlign w:val="superscript"/>
    </w:rPr>
  </w:style>
  <w:style w:type="paragraph" w:styleId="FootnoteText">
    <w:name w:val="footnote text"/>
    <w:basedOn w:val="Normal"/>
    <w:link w:val="FootnoteTextChar"/>
    <w:uiPriority w:val="99"/>
    <w:semiHidden/>
    <w:unhideWhenUsed/>
    <w:rsid w:val="00264932"/>
  </w:style>
  <w:style w:type="character" w:customStyle="1" w:styleId="FootnoteTextChar">
    <w:name w:val="Footnote Text Char"/>
    <w:basedOn w:val="DefaultParagraphFont"/>
    <w:link w:val="FootnoteText"/>
    <w:uiPriority w:val="99"/>
    <w:semiHidden/>
    <w:rsid w:val="00264932"/>
  </w:style>
  <w:style w:type="character" w:customStyle="1" w:styleId="Heading1Char">
    <w:name w:val="Heading 1 Char"/>
    <w:basedOn w:val="DefaultParagraphFont"/>
    <w:link w:val="Heading1"/>
    <w:uiPriority w:val="9"/>
    <w:rsid w:val="007F3E2F"/>
    <w:rPr>
      <w:rFonts w:asciiTheme="majorHAnsi" w:eastAsiaTheme="majorEastAsia" w:hAnsiTheme="majorHAnsi" w:cstheme="majorBidi"/>
      <w:color w:val="2E74B5" w:themeColor="accent1" w:themeShade="BF"/>
      <w:sz w:val="32"/>
      <w:szCs w:val="32"/>
    </w:rPr>
  </w:style>
  <w:style w:type="character" w:customStyle="1" w:styleId="addmd1">
    <w:name w:val="addmd1"/>
    <w:basedOn w:val="DefaultParagraphFont"/>
    <w:rsid w:val="00F9217D"/>
    <w:rPr>
      <w:sz w:val="20"/>
      <w:szCs w:val="20"/>
    </w:rPr>
  </w:style>
  <w:style w:type="character" w:customStyle="1" w:styleId="nlmarticle-title">
    <w:name w:val="nlm_article-title"/>
    <w:basedOn w:val="DefaultParagraphFont"/>
    <w:rsid w:val="0082406B"/>
  </w:style>
  <w:style w:type="character" w:customStyle="1" w:styleId="contribdegrees">
    <w:name w:val="contribdegrees"/>
    <w:basedOn w:val="DefaultParagraphFont"/>
    <w:rsid w:val="0082406B"/>
  </w:style>
  <w:style w:type="character" w:styleId="FollowedHyperlink">
    <w:name w:val="FollowedHyperlink"/>
    <w:basedOn w:val="DefaultParagraphFont"/>
    <w:uiPriority w:val="99"/>
    <w:semiHidden/>
    <w:unhideWhenUsed/>
    <w:rsid w:val="00EC1896"/>
    <w:rPr>
      <w:color w:val="954F72" w:themeColor="followedHyperlink"/>
      <w:u w:val="single"/>
    </w:rPr>
  </w:style>
  <w:style w:type="character" w:styleId="UnresolvedMention">
    <w:name w:val="Unresolved Mention"/>
    <w:basedOn w:val="DefaultParagraphFont"/>
    <w:uiPriority w:val="99"/>
    <w:semiHidden/>
    <w:unhideWhenUsed/>
    <w:rsid w:val="00E33434"/>
    <w:rPr>
      <w:color w:val="605E5C"/>
      <w:shd w:val="clear" w:color="auto" w:fill="E1DFDD"/>
    </w:rPr>
  </w:style>
  <w:style w:type="character" w:styleId="CommentReference">
    <w:name w:val="annotation reference"/>
    <w:basedOn w:val="DefaultParagraphFont"/>
    <w:uiPriority w:val="99"/>
    <w:semiHidden/>
    <w:unhideWhenUsed/>
    <w:rsid w:val="007E54F2"/>
    <w:rPr>
      <w:sz w:val="16"/>
      <w:szCs w:val="16"/>
    </w:rPr>
  </w:style>
  <w:style w:type="paragraph" w:styleId="CommentText">
    <w:name w:val="annotation text"/>
    <w:basedOn w:val="Normal"/>
    <w:link w:val="CommentTextChar"/>
    <w:uiPriority w:val="99"/>
    <w:semiHidden/>
    <w:unhideWhenUsed/>
    <w:rsid w:val="007E54F2"/>
  </w:style>
  <w:style w:type="character" w:customStyle="1" w:styleId="CommentTextChar">
    <w:name w:val="Comment Text Char"/>
    <w:basedOn w:val="DefaultParagraphFont"/>
    <w:link w:val="CommentText"/>
    <w:uiPriority w:val="99"/>
    <w:semiHidden/>
    <w:rsid w:val="007E54F2"/>
  </w:style>
  <w:style w:type="paragraph" w:styleId="CommentSubject">
    <w:name w:val="annotation subject"/>
    <w:basedOn w:val="CommentText"/>
    <w:next w:val="CommentText"/>
    <w:link w:val="CommentSubjectChar"/>
    <w:uiPriority w:val="99"/>
    <w:semiHidden/>
    <w:unhideWhenUsed/>
    <w:rsid w:val="007E54F2"/>
    <w:rPr>
      <w:b/>
      <w:bCs/>
    </w:rPr>
  </w:style>
  <w:style w:type="character" w:customStyle="1" w:styleId="CommentSubjectChar">
    <w:name w:val="Comment Subject Char"/>
    <w:basedOn w:val="CommentTextChar"/>
    <w:link w:val="CommentSubject"/>
    <w:uiPriority w:val="99"/>
    <w:semiHidden/>
    <w:rsid w:val="007E54F2"/>
    <w:rPr>
      <w:b/>
      <w:bCs/>
    </w:rPr>
  </w:style>
  <w:style w:type="paragraph" w:styleId="BalloonText">
    <w:name w:val="Balloon Text"/>
    <w:basedOn w:val="Normal"/>
    <w:link w:val="BalloonTextChar"/>
    <w:uiPriority w:val="99"/>
    <w:semiHidden/>
    <w:unhideWhenUsed/>
    <w:rsid w:val="00607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8971">
      <w:bodyDiv w:val="1"/>
      <w:marLeft w:val="0"/>
      <w:marRight w:val="0"/>
      <w:marTop w:val="0"/>
      <w:marBottom w:val="0"/>
      <w:divBdr>
        <w:top w:val="none" w:sz="0" w:space="0" w:color="auto"/>
        <w:left w:val="none" w:sz="0" w:space="0" w:color="auto"/>
        <w:bottom w:val="none" w:sz="0" w:space="0" w:color="auto"/>
        <w:right w:val="none" w:sz="0" w:space="0" w:color="auto"/>
      </w:divBdr>
      <w:divsChild>
        <w:div w:id="1574202019">
          <w:marLeft w:val="0"/>
          <w:marRight w:val="0"/>
          <w:marTop w:val="0"/>
          <w:marBottom w:val="0"/>
          <w:divBdr>
            <w:top w:val="none" w:sz="0" w:space="0" w:color="auto"/>
            <w:left w:val="none" w:sz="0" w:space="0" w:color="auto"/>
            <w:bottom w:val="none" w:sz="0" w:space="0" w:color="auto"/>
            <w:right w:val="none" w:sz="0" w:space="0" w:color="auto"/>
          </w:divBdr>
          <w:divsChild>
            <w:div w:id="159123309">
              <w:marLeft w:val="0"/>
              <w:marRight w:val="0"/>
              <w:marTop w:val="0"/>
              <w:marBottom w:val="0"/>
              <w:divBdr>
                <w:top w:val="none" w:sz="0" w:space="0" w:color="auto"/>
                <w:left w:val="none" w:sz="0" w:space="0" w:color="auto"/>
                <w:bottom w:val="none" w:sz="0" w:space="0" w:color="auto"/>
                <w:right w:val="none" w:sz="0" w:space="0" w:color="auto"/>
              </w:divBdr>
              <w:divsChild>
                <w:div w:id="1875385636">
                  <w:marLeft w:val="0"/>
                  <w:marRight w:val="0"/>
                  <w:marTop w:val="0"/>
                  <w:marBottom w:val="0"/>
                  <w:divBdr>
                    <w:top w:val="none" w:sz="0" w:space="0" w:color="auto"/>
                    <w:left w:val="none" w:sz="0" w:space="0" w:color="auto"/>
                    <w:bottom w:val="none" w:sz="0" w:space="0" w:color="auto"/>
                    <w:right w:val="none" w:sz="0" w:space="0" w:color="auto"/>
                  </w:divBdr>
                  <w:divsChild>
                    <w:div w:id="8136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2708">
          <w:marLeft w:val="0"/>
          <w:marRight w:val="0"/>
          <w:marTop w:val="0"/>
          <w:marBottom w:val="0"/>
          <w:divBdr>
            <w:top w:val="none" w:sz="0" w:space="0" w:color="auto"/>
            <w:left w:val="none" w:sz="0" w:space="0" w:color="auto"/>
            <w:bottom w:val="none" w:sz="0" w:space="0" w:color="auto"/>
            <w:right w:val="none" w:sz="0" w:space="0" w:color="auto"/>
          </w:divBdr>
          <w:divsChild>
            <w:div w:id="1339382723">
              <w:marLeft w:val="0"/>
              <w:marRight w:val="0"/>
              <w:marTop w:val="0"/>
              <w:marBottom w:val="0"/>
              <w:divBdr>
                <w:top w:val="none" w:sz="0" w:space="0" w:color="auto"/>
                <w:left w:val="none" w:sz="0" w:space="0" w:color="auto"/>
                <w:bottom w:val="none" w:sz="0" w:space="0" w:color="auto"/>
                <w:right w:val="none" w:sz="0" w:space="0" w:color="auto"/>
              </w:divBdr>
              <w:divsChild>
                <w:div w:id="9572936">
                  <w:marLeft w:val="0"/>
                  <w:marRight w:val="0"/>
                  <w:marTop w:val="0"/>
                  <w:marBottom w:val="0"/>
                  <w:divBdr>
                    <w:top w:val="none" w:sz="0" w:space="0" w:color="auto"/>
                    <w:left w:val="none" w:sz="0" w:space="0" w:color="auto"/>
                    <w:bottom w:val="none" w:sz="0" w:space="0" w:color="auto"/>
                    <w:right w:val="none" w:sz="0" w:space="0" w:color="auto"/>
                  </w:divBdr>
                  <w:divsChild>
                    <w:div w:id="1215000467">
                      <w:marLeft w:val="0"/>
                      <w:marRight w:val="0"/>
                      <w:marTop w:val="0"/>
                      <w:marBottom w:val="0"/>
                      <w:divBdr>
                        <w:top w:val="none" w:sz="0" w:space="0" w:color="auto"/>
                        <w:left w:val="none" w:sz="0" w:space="0" w:color="auto"/>
                        <w:bottom w:val="none" w:sz="0" w:space="0" w:color="auto"/>
                        <w:right w:val="none" w:sz="0" w:space="0" w:color="auto"/>
                      </w:divBdr>
                      <w:divsChild>
                        <w:div w:id="1850294712">
                          <w:marLeft w:val="0"/>
                          <w:marRight w:val="0"/>
                          <w:marTop w:val="0"/>
                          <w:marBottom w:val="0"/>
                          <w:divBdr>
                            <w:top w:val="none" w:sz="0" w:space="0" w:color="auto"/>
                            <w:left w:val="none" w:sz="0" w:space="0" w:color="auto"/>
                            <w:bottom w:val="none" w:sz="0" w:space="0" w:color="auto"/>
                            <w:right w:val="none" w:sz="0" w:space="0" w:color="auto"/>
                          </w:divBdr>
                          <w:divsChild>
                            <w:div w:id="550850041">
                              <w:marLeft w:val="0"/>
                              <w:marRight w:val="0"/>
                              <w:marTop w:val="0"/>
                              <w:marBottom w:val="0"/>
                              <w:divBdr>
                                <w:top w:val="none" w:sz="0" w:space="0" w:color="auto"/>
                                <w:left w:val="none" w:sz="0" w:space="0" w:color="auto"/>
                                <w:bottom w:val="none" w:sz="0" w:space="0" w:color="auto"/>
                                <w:right w:val="none" w:sz="0" w:space="0" w:color="auto"/>
                              </w:divBdr>
                              <w:divsChild>
                                <w:div w:id="151335477">
                                  <w:marLeft w:val="0"/>
                                  <w:marRight w:val="0"/>
                                  <w:marTop w:val="0"/>
                                  <w:marBottom w:val="0"/>
                                  <w:divBdr>
                                    <w:top w:val="none" w:sz="0" w:space="0" w:color="auto"/>
                                    <w:left w:val="none" w:sz="0" w:space="0" w:color="auto"/>
                                    <w:bottom w:val="none" w:sz="0" w:space="0" w:color="auto"/>
                                    <w:right w:val="none" w:sz="0" w:space="0" w:color="auto"/>
                                  </w:divBdr>
                                  <w:divsChild>
                                    <w:div w:id="348875844">
                                      <w:marLeft w:val="0"/>
                                      <w:marRight w:val="0"/>
                                      <w:marTop w:val="0"/>
                                      <w:marBottom w:val="0"/>
                                      <w:divBdr>
                                        <w:top w:val="none" w:sz="0" w:space="0" w:color="auto"/>
                                        <w:left w:val="none" w:sz="0" w:space="0" w:color="auto"/>
                                        <w:bottom w:val="none" w:sz="0" w:space="0" w:color="auto"/>
                                        <w:right w:val="none" w:sz="0" w:space="0" w:color="auto"/>
                                      </w:divBdr>
                                      <w:divsChild>
                                        <w:div w:id="275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4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murphy@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9/02/26/us/politics/overton-window-democrats.html" TargetMode="External"/><Relationship Id="rId2" Type="http://schemas.openxmlformats.org/officeDocument/2006/relationships/hyperlink" Target="https://www.gov.uk/government/publications/chemical-weapon-use-by-syrian-regime-uk-government-legal-position/chemical-weapon-use-by-syrian-regime-uk-government-legal-position-html-version" TargetMode="External"/><Relationship Id="rId1" Type="http://schemas.openxmlformats.org/officeDocument/2006/relationships/hyperlink" Target="https://www.lrb.co.uk/the-paper/v42/n15/adam-tooze/whose-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9532-9011-478B-8726-FECF8FA9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Ben [hsbmurph]</dc:creator>
  <cp:keywords/>
  <dc:description/>
  <cp:lastModifiedBy>Murphy, Ben [hsbmurph]</cp:lastModifiedBy>
  <cp:revision>2</cp:revision>
  <dcterms:created xsi:type="dcterms:W3CDTF">2021-09-22T09:10:00Z</dcterms:created>
  <dcterms:modified xsi:type="dcterms:W3CDTF">2021-09-22T09:10:00Z</dcterms:modified>
</cp:coreProperties>
</file>