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F339A8" w14:textId="2E376E9A" w:rsidR="00FD0326" w:rsidRDefault="00FD0326" w:rsidP="006D1436">
      <w:pPr>
        <w:spacing w:after="0"/>
        <w:rPr>
          <w:rFonts w:ascii="Gill Sans MT" w:hAnsi="Gill Sans MT"/>
          <w:b/>
          <w:bCs/>
        </w:rPr>
      </w:pPr>
      <w:r>
        <w:rPr>
          <w:rFonts w:ascii="Gill Sans MT" w:hAnsi="Gill Sans MT"/>
          <w:b/>
          <w:bCs/>
        </w:rPr>
        <w:t>Abstract:</w:t>
      </w:r>
    </w:p>
    <w:p w14:paraId="1F9AC85D" w14:textId="10055707" w:rsidR="00FD0326" w:rsidRDefault="00FD0326" w:rsidP="006D1436">
      <w:pPr>
        <w:spacing w:after="0"/>
        <w:rPr>
          <w:rFonts w:ascii="Gill Sans MT" w:hAnsi="Gill Sans MT"/>
          <w:b/>
          <w:bCs/>
        </w:rPr>
      </w:pPr>
    </w:p>
    <w:p w14:paraId="37E866B5" w14:textId="319BFC60" w:rsidR="00FD0326" w:rsidRPr="00FD0326" w:rsidRDefault="00FD0326" w:rsidP="006D1436">
      <w:pPr>
        <w:spacing w:after="0"/>
        <w:rPr>
          <w:rFonts w:ascii="Gill Sans MT" w:hAnsi="Gill Sans MT"/>
        </w:rPr>
      </w:pPr>
      <w:r>
        <w:rPr>
          <w:rFonts w:ascii="Gill Sans MT" w:hAnsi="Gill Sans MT"/>
        </w:rPr>
        <w:t xml:space="preserve">This article responds to Jeffrey Goldsworthy’s review essay of </w:t>
      </w:r>
      <w:r>
        <w:rPr>
          <w:rFonts w:ascii="Gill Sans MT" w:hAnsi="Gill Sans MT"/>
          <w:i/>
          <w:iCs/>
        </w:rPr>
        <w:t xml:space="preserve">Parliamentary Sovereignty in the UK Constitution.  </w:t>
      </w:r>
      <w:r>
        <w:rPr>
          <w:rFonts w:ascii="Gill Sans MT" w:hAnsi="Gill Sans MT"/>
        </w:rPr>
        <w:t xml:space="preserve">It defends the manner and form theory of parliamentary sovereignty against a number of challenges.  </w:t>
      </w:r>
      <w:r w:rsidR="00B7329A">
        <w:rPr>
          <w:rFonts w:ascii="Gill Sans MT" w:hAnsi="Gill Sans MT"/>
        </w:rPr>
        <w:t>I</w:t>
      </w:r>
      <w:r w:rsidR="000E572C">
        <w:rPr>
          <w:rFonts w:ascii="Gill Sans MT" w:hAnsi="Gill Sans MT"/>
        </w:rPr>
        <w:t xml:space="preserve">t argues that </w:t>
      </w:r>
      <w:r w:rsidR="007028A6">
        <w:rPr>
          <w:rFonts w:ascii="Gill Sans MT" w:hAnsi="Gill Sans MT"/>
        </w:rPr>
        <w:t xml:space="preserve">the UK </w:t>
      </w:r>
      <w:r w:rsidR="000E572C">
        <w:rPr>
          <w:rFonts w:ascii="Gill Sans MT" w:hAnsi="Gill Sans MT"/>
        </w:rPr>
        <w:t xml:space="preserve">Parliament is a composite institution, and </w:t>
      </w:r>
      <w:r w:rsidR="007028A6">
        <w:rPr>
          <w:rFonts w:ascii="Gill Sans MT" w:hAnsi="Gill Sans MT"/>
        </w:rPr>
        <w:t xml:space="preserve">that </w:t>
      </w:r>
      <w:r w:rsidR="000E572C">
        <w:rPr>
          <w:rFonts w:ascii="Gill Sans MT" w:hAnsi="Gill Sans MT"/>
        </w:rPr>
        <w:t xml:space="preserve">theories of sovereignty must try to reconcile Parliament’s ongoing control over substantive decision-making </w:t>
      </w:r>
      <w:r w:rsidR="007028A6">
        <w:rPr>
          <w:rFonts w:ascii="Gill Sans MT" w:hAnsi="Gill Sans MT"/>
        </w:rPr>
        <w:t>with its</w:t>
      </w:r>
      <w:r w:rsidR="000E572C">
        <w:rPr>
          <w:rFonts w:ascii="Gill Sans MT" w:hAnsi="Gill Sans MT"/>
        </w:rPr>
        <w:t xml:space="preserve"> control over the legislative process.  </w:t>
      </w:r>
      <w:r w:rsidR="00B7329A">
        <w:rPr>
          <w:rFonts w:ascii="Gill Sans MT" w:hAnsi="Gill Sans MT"/>
        </w:rPr>
        <w:t>It suggests that if we track UK constitutional practice, the manner and form theory provides a</w:t>
      </w:r>
      <w:r w:rsidR="0081258C">
        <w:rPr>
          <w:rFonts w:ascii="Gill Sans MT" w:hAnsi="Gill Sans MT"/>
        </w:rPr>
        <w:t xml:space="preserve"> compelling</w:t>
      </w:r>
      <w:r w:rsidR="00B7329A">
        <w:rPr>
          <w:rFonts w:ascii="Gill Sans MT" w:hAnsi="Gill Sans MT"/>
        </w:rPr>
        <w:t xml:space="preserve"> way to reconcile these competing aspects of sovereignty.  On this basis, the article argues, first, that statutory referendum requirements can </w:t>
      </w:r>
      <w:r w:rsidR="007028A6">
        <w:rPr>
          <w:rFonts w:ascii="Gill Sans MT" w:hAnsi="Gill Sans MT"/>
        </w:rPr>
        <w:t xml:space="preserve">lawfully </w:t>
      </w:r>
      <w:r w:rsidR="00B7329A">
        <w:rPr>
          <w:rFonts w:ascii="Gill Sans MT" w:hAnsi="Gill Sans MT"/>
        </w:rPr>
        <w:t xml:space="preserve">be incorporated into the legislative process.  Second, that the courts should play a limited role in enforcing manner and form limits, with wider discretion left to </w:t>
      </w:r>
      <w:r w:rsidR="007028A6">
        <w:rPr>
          <w:rFonts w:ascii="Gill Sans MT" w:hAnsi="Gill Sans MT"/>
        </w:rPr>
        <w:t xml:space="preserve">Parliament to decide when changes to legislative procedure are constitutionally justifiable.  And third, while entrenchment is legally possible, it is </w:t>
      </w:r>
      <w:r w:rsidR="0081258C">
        <w:rPr>
          <w:rFonts w:ascii="Gill Sans MT" w:hAnsi="Gill Sans MT"/>
        </w:rPr>
        <w:t>generally un</w:t>
      </w:r>
      <w:r w:rsidR="007028A6">
        <w:rPr>
          <w:rFonts w:ascii="Gill Sans MT" w:hAnsi="Gill Sans MT"/>
        </w:rPr>
        <w:t xml:space="preserve">desirable, depending on the context – </w:t>
      </w:r>
      <w:r w:rsidR="0081258C">
        <w:rPr>
          <w:rFonts w:ascii="Gill Sans MT" w:hAnsi="Gill Sans MT"/>
        </w:rPr>
        <w:t xml:space="preserve">as a result, the article maintains that </w:t>
      </w:r>
      <w:r w:rsidR="007028A6">
        <w:rPr>
          <w:rFonts w:ascii="Gill Sans MT" w:hAnsi="Gill Sans MT"/>
        </w:rPr>
        <w:t xml:space="preserve">while </w:t>
      </w:r>
      <w:r w:rsidR="006E565B">
        <w:rPr>
          <w:rFonts w:ascii="Gill Sans MT" w:hAnsi="Gill Sans MT"/>
        </w:rPr>
        <w:t>the manner and form theory does</w:t>
      </w:r>
      <w:r w:rsidR="007028A6">
        <w:rPr>
          <w:rFonts w:ascii="Gill Sans MT" w:hAnsi="Gill Sans MT"/>
        </w:rPr>
        <w:t xml:space="preserve"> not prohibit entrenchment as a matter of law, we can regard it as contrary to </w:t>
      </w:r>
      <w:r w:rsidR="0081258C">
        <w:rPr>
          <w:rFonts w:ascii="Gill Sans MT" w:hAnsi="Gill Sans MT"/>
        </w:rPr>
        <w:t>political</w:t>
      </w:r>
      <w:r w:rsidR="007028A6">
        <w:rPr>
          <w:rFonts w:ascii="Gill Sans MT" w:hAnsi="Gill Sans MT"/>
        </w:rPr>
        <w:t xml:space="preserve"> principle, or even constitutional convention.  </w:t>
      </w:r>
    </w:p>
    <w:p w14:paraId="24371C19" w14:textId="713DA453" w:rsidR="00FD0326" w:rsidRDefault="00FD0326" w:rsidP="006D1436">
      <w:pPr>
        <w:spacing w:after="0"/>
        <w:rPr>
          <w:rFonts w:ascii="Gill Sans MT" w:hAnsi="Gill Sans MT"/>
          <w:b/>
          <w:bCs/>
        </w:rPr>
      </w:pPr>
    </w:p>
    <w:p w14:paraId="64D5FBA9" w14:textId="14E0C956" w:rsidR="00FD0326" w:rsidRPr="000E572C" w:rsidRDefault="00FD0326" w:rsidP="006D1436">
      <w:pPr>
        <w:spacing w:after="0"/>
        <w:rPr>
          <w:rFonts w:ascii="Gill Sans MT" w:hAnsi="Gill Sans MT"/>
        </w:rPr>
      </w:pPr>
      <w:r>
        <w:rPr>
          <w:rFonts w:ascii="Gill Sans MT" w:hAnsi="Gill Sans MT"/>
          <w:b/>
          <w:bCs/>
        </w:rPr>
        <w:t>Key words:</w:t>
      </w:r>
      <w:r w:rsidR="000E572C">
        <w:rPr>
          <w:rFonts w:ascii="Gill Sans MT" w:hAnsi="Gill Sans MT"/>
          <w:b/>
          <w:bCs/>
        </w:rPr>
        <w:t xml:space="preserve"> </w:t>
      </w:r>
      <w:r w:rsidR="000E572C">
        <w:rPr>
          <w:rFonts w:ascii="Gill Sans MT" w:hAnsi="Gill Sans MT"/>
        </w:rPr>
        <w:t>parliamentary sovereignty; manner and form theory; referendums; entrenchment; political constitution</w:t>
      </w:r>
    </w:p>
    <w:p w14:paraId="7E27FB0E" w14:textId="77777777" w:rsidR="00FD0326" w:rsidRDefault="00FD0326" w:rsidP="006D1436">
      <w:pPr>
        <w:spacing w:after="0"/>
        <w:rPr>
          <w:rFonts w:ascii="Gill Sans MT" w:hAnsi="Gill Sans MT"/>
          <w:b/>
          <w:bCs/>
        </w:rPr>
      </w:pPr>
    </w:p>
    <w:p w14:paraId="5C9F4A1C" w14:textId="4BF7D80B" w:rsidR="005F50EB" w:rsidRDefault="00A46A8B" w:rsidP="006D1436">
      <w:pPr>
        <w:spacing w:after="0"/>
        <w:rPr>
          <w:rFonts w:ascii="Gill Sans MT" w:hAnsi="Gill Sans MT"/>
          <w:b/>
          <w:bCs/>
        </w:rPr>
      </w:pPr>
      <w:r>
        <w:rPr>
          <w:rFonts w:ascii="Gill Sans MT" w:hAnsi="Gill Sans MT"/>
          <w:b/>
          <w:bCs/>
        </w:rPr>
        <w:t xml:space="preserve">‘The Manner and Form Theory of Parliamentary Sovereignty: A </w:t>
      </w:r>
      <w:r w:rsidR="006D1436" w:rsidRPr="006D1436">
        <w:rPr>
          <w:rFonts w:ascii="Gill Sans MT" w:hAnsi="Gill Sans MT"/>
          <w:b/>
          <w:bCs/>
        </w:rPr>
        <w:t xml:space="preserve">Response to </w:t>
      </w:r>
      <w:r w:rsidR="006C6BEB">
        <w:rPr>
          <w:rFonts w:ascii="Gill Sans MT" w:hAnsi="Gill Sans MT"/>
          <w:b/>
          <w:bCs/>
        </w:rPr>
        <w:t xml:space="preserve">Jeffrey </w:t>
      </w:r>
      <w:r w:rsidR="006D1436" w:rsidRPr="006D1436">
        <w:rPr>
          <w:rFonts w:ascii="Gill Sans MT" w:hAnsi="Gill Sans MT"/>
          <w:b/>
          <w:bCs/>
        </w:rPr>
        <w:t>Goldsworthy</w:t>
      </w:r>
      <w:r>
        <w:rPr>
          <w:rFonts w:ascii="Gill Sans MT" w:hAnsi="Gill Sans MT"/>
          <w:b/>
          <w:bCs/>
        </w:rPr>
        <w:t>’</w:t>
      </w:r>
    </w:p>
    <w:p w14:paraId="7F2CEBB8" w14:textId="795BE934" w:rsidR="006D1436" w:rsidRDefault="006D1436" w:rsidP="006D1436">
      <w:pPr>
        <w:spacing w:after="0"/>
        <w:rPr>
          <w:rFonts w:ascii="Gill Sans MT" w:hAnsi="Gill Sans MT"/>
          <w:b/>
          <w:bCs/>
        </w:rPr>
      </w:pPr>
    </w:p>
    <w:p w14:paraId="3F88211F" w14:textId="7968921C" w:rsidR="006D1436" w:rsidRDefault="00A46A8B" w:rsidP="00A46A8B">
      <w:pPr>
        <w:spacing w:after="0"/>
        <w:jc w:val="both"/>
        <w:rPr>
          <w:rFonts w:ascii="Gill Sans MT" w:hAnsi="Gill Sans MT"/>
        </w:rPr>
      </w:pPr>
      <w:r w:rsidRPr="00A46A8B">
        <w:rPr>
          <w:rFonts w:ascii="Gill Sans MT" w:hAnsi="Gill Sans MT"/>
        </w:rPr>
        <w:t xml:space="preserve">In his review essay of my book, </w:t>
      </w:r>
      <w:r w:rsidRPr="00A46A8B">
        <w:rPr>
          <w:rFonts w:ascii="Gill Sans MT" w:hAnsi="Gill Sans MT"/>
          <w:i/>
          <w:iCs/>
        </w:rPr>
        <w:t>Parliamentary Sovereignty in the UK Constitution: Process, Politics and Democra</w:t>
      </w:r>
      <w:r>
        <w:rPr>
          <w:rFonts w:ascii="Gill Sans MT" w:hAnsi="Gill Sans MT"/>
          <w:i/>
          <w:iCs/>
        </w:rPr>
        <w:t xml:space="preserve">cy </w:t>
      </w:r>
      <w:r>
        <w:rPr>
          <w:rFonts w:ascii="Gill Sans MT" w:hAnsi="Gill Sans MT"/>
        </w:rPr>
        <w:t>(Hart, 2015), Jeffrey Goldsworthy sets out a number of powerful challenges to my defence of a ‘manner and form’ theory of parliamentary sovereignty.  In this response, I want to focus on three connected issues raised by Goldsworthy.  First, the compatibility of statutory referendum requirements with parliamentary sovereignty.  Second, the role of the courts in enforcing manner and form limitations on legislative power.  And third, perhaps the most difficult question which Goldsworthy raises: is a self-entrenched referendum legally binding in accordance with the manner and form theory of parliamentary sovereignty I defend?</w:t>
      </w:r>
    </w:p>
    <w:p w14:paraId="11C62F8C" w14:textId="77777777" w:rsidR="00C1252C" w:rsidRDefault="00C1252C" w:rsidP="00C1252C">
      <w:pPr>
        <w:spacing w:after="0"/>
        <w:jc w:val="both"/>
        <w:rPr>
          <w:rFonts w:ascii="Gill Sans MT" w:hAnsi="Gill Sans MT"/>
        </w:rPr>
      </w:pPr>
    </w:p>
    <w:p w14:paraId="0EB3AE55" w14:textId="06622694" w:rsidR="009B2031" w:rsidRDefault="00815B0E" w:rsidP="00C1252C">
      <w:pPr>
        <w:spacing w:after="0"/>
        <w:jc w:val="both"/>
        <w:rPr>
          <w:rFonts w:ascii="Gill Sans MT" w:hAnsi="Gill Sans MT"/>
        </w:rPr>
      </w:pPr>
      <w:r>
        <w:rPr>
          <w:rFonts w:ascii="Gill Sans MT" w:hAnsi="Gill Sans MT"/>
        </w:rPr>
        <w:t xml:space="preserve">These issues are important for two reasons.  First, they most clearly exhibit the fault lines between the manner and form theory which I defend, and the ‘procedure and form’ theory defended by Goldsworthy.  There are some significant points of difference between our positions on the compatibility of referendum constraints with parliamentary sovereignty, and these disagreements are arguably the consequence of (and </w:t>
      </w:r>
      <w:r w:rsidR="00C16937">
        <w:rPr>
          <w:rFonts w:ascii="Gill Sans MT" w:hAnsi="Gill Sans MT"/>
        </w:rPr>
        <w:t xml:space="preserve">so </w:t>
      </w:r>
      <w:r>
        <w:rPr>
          <w:rFonts w:ascii="Gill Sans MT" w:hAnsi="Gill Sans MT"/>
        </w:rPr>
        <w:t xml:space="preserve">reveal) an underlying divergence in </w:t>
      </w:r>
      <w:r w:rsidR="009F07A0">
        <w:rPr>
          <w:rFonts w:ascii="Gill Sans MT" w:hAnsi="Gill Sans MT"/>
        </w:rPr>
        <w:t>our</w:t>
      </w:r>
      <w:r>
        <w:rPr>
          <w:rFonts w:ascii="Gill Sans MT" w:hAnsi="Gill Sans MT"/>
        </w:rPr>
        <w:t xml:space="preserve"> approach</w:t>
      </w:r>
      <w:r w:rsidR="009F07A0">
        <w:rPr>
          <w:rFonts w:ascii="Gill Sans MT" w:hAnsi="Gill Sans MT"/>
        </w:rPr>
        <w:t>es</w:t>
      </w:r>
      <w:r>
        <w:rPr>
          <w:rFonts w:ascii="Gill Sans MT" w:hAnsi="Gill Sans MT"/>
        </w:rPr>
        <w:t xml:space="preserve">.  </w:t>
      </w:r>
    </w:p>
    <w:p w14:paraId="614FB913" w14:textId="77777777" w:rsidR="00C1252C" w:rsidRDefault="00C1252C" w:rsidP="00C1252C">
      <w:pPr>
        <w:spacing w:after="0"/>
        <w:jc w:val="both"/>
        <w:rPr>
          <w:rFonts w:ascii="Gill Sans MT" w:hAnsi="Gill Sans MT"/>
        </w:rPr>
      </w:pPr>
    </w:p>
    <w:p w14:paraId="0EA1994B" w14:textId="1AC01599" w:rsidR="004423A6" w:rsidRDefault="00815B0E" w:rsidP="00C1252C">
      <w:pPr>
        <w:spacing w:after="0"/>
        <w:jc w:val="both"/>
        <w:rPr>
          <w:rFonts w:ascii="Gill Sans MT" w:hAnsi="Gill Sans MT"/>
        </w:rPr>
      </w:pPr>
      <w:r>
        <w:rPr>
          <w:rFonts w:ascii="Gill Sans MT" w:hAnsi="Gill Sans MT"/>
        </w:rPr>
        <w:t xml:space="preserve">Second, they engage directly with some of the most challenging constitutional problems which </w:t>
      </w:r>
      <w:r w:rsidR="00A63ECF">
        <w:rPr>
          <w:rFonts w:ascii="Gill Sans MT" w:hAnsi="Gill Sans MT"/>
        </w:rPr>
        <w:t xml:space="preserve">now </w:t>
      </w:r>
      <w:r>
        <w:rPr>
          <w:rFonts w:ascii="Gill Sans MT" w:hAnsi="Gill Sans MT"/>
        </w:rPr>
        <w:t xml:space="preserve">face theorists of parliamentary sovereignty in the UK.  </w:t>
      </w:r>
      <w:r w:rsidR="0070562E">
        <w:rPr>
          <w:rFonts w:ascii="Gill Sans MT" w:hAnsi="Gill Sans MT"/>
        </w:rPr>
        <w:t>A</w:t>
      </w:r>
      <w:r>
        <w:rPr>
          <w:rFonts w:ascii="Gill Sans MT" w:hAnsi="Gill Sans MT"/>
        </w:rPr>
        <w:t>t one point it might have been arguabl</w:t>
      </w:r>
      <w:r w:rsidR="0070562E">
        <w:rPr>
          <w:rFonts w:ascii="Gill Sans MT" w:hAnsi="Gill Sans MT"/>
        </w:rPr>
        <w:t>e</w:t>
      </w:r>
      <w:r>
        <w:rPr>
          <w:rFonts w:ascii="Gill Sans MT" w:hAnsi="Gill Sans MT"/>
        </w:rPr>
        <w:t xml:space="preserve"> that debates about manner and form limits </w:t>
      </w:r>
      <w:r w:rsidR="00A63ECF">
        <w:rPr>
          <w:rFonts w:ascii="Gill Sans MT" w:hAnsi="Gill Sans MT"/>
        </w:rPr>
        <w:t>here were largely</w:t>
      </w:r>
      <w:r>
        <w:rPr>
          <w:rFonts w:ascii="Gill Sans MT" w:hAnsi="Gill Sans MT"/>
        </w:rPr>
        <w:t xml:space="preserve"> academic</w:t>
      </w:r>
      <w:r w:rsidR="0070562E">
        <w:rPr>
          <w:rFonts w:ascii="Gill Sans MT" w:hAnsi="Gill Sans MT"/>
        </w:rPr>
        <w:t xml:space="preserve"> (although that is a position which is </w:t>
      </w:r>
      <w:r w:rsidR="007B2A2C">
        <w:rPr>
          <w:rFonts w:ascii="Gill Sans MT" w:hAnsi="Gill Sans MT"/>
        </w:rPr>
        <w:t>impossible</w:t>
      </w:r>
      <w:r w:rsidR="0070562E">
        <w:rPr>
          <w:rFonts w:ascii="Gill Sans MT" w:hAnsi="Gill Sans MT"/>
        </w:rPr>
        <w:t xml:space="preserve"> to sustain in relation to the wider body </w:t>
      </w:r>
      <w:r w:rsidR="007B2A2C">
        <w:rPr>
          <w:rFonts w:ascii="Gill Sans MT" w:hAnsi="Gill Sans MT"/>
        </w:rPr>
        <w:t xml:space="preserve">of </w:t>
      </w:r>
      <w:r w:rsidR="0070562E">
        <w:rPr>
          <w:rFonts w:ascii="Gill Sans MT" w:hAnsi="Gill Sans MT"/>
        </w:rPr>
        <w:t>Commonwealth constitutional law, as Goldsworthy shows).</w:t>
      </w:r>
      <w:r w:rsidR="0070562E">
        <w:rPr>
          <w:rStyle w:val="FootnoteReference"/>
          <w:rFonts w:ascii="Gill Sans MT" w:hAnsi="Gill Sans MT"/>
        </w:rPr>
        <w:footnoteReference w:id="1"/>
      </w:r>
      <w:r w:rsidR="0070562E">
        <w:rPr>
          <w:rFonts w:ascii="Gill Sans MT" w:hAnsi="Gill Sans MT"/>
        </w:rPr>
        <w:t xml:space="preserve">  </w:t>
      </w:r>
      <w:r w:rsidR="00A63ECF">
        <w:rPr>
          <w:rFonts w:ascii="Gill Sans MT" w:hAnsi="Gill Sans MT"/>
        </w:rPr>
        <w:t xml:space="preserve">However, in the modern era, cases such as </w:t>
      </w:r>
      <w:r w:rsidR="00A63ECF">
        <w:rPr>
          <w:rFonts w:ascii="Gill Sans MT" w:hAnsi="Gill Sans MT"/>
          <w:i/>
          <w:iCs/>
        </w:rPr>
        <w:t>Jackson v Attorney General</w:t>
      </w:r>
      <w:r w:rsidR="00A63ECF">
        <w:rPr>
          <w:rFonts w:ascii="Gill Sans MT" w:hAnsi="Gill Sans MT"/>
        </w:rPr>
        <w:t>,</w:t>
      </w:r>
      <w:r w:rsidR="00A63ECF">
        <w:rPr>
          <w:rStyle w:val="FootnoteReference"/>
          <w:rFonts w:ascii="Gill Sans MT" w:hAnsi="Gill Sans MT"/>
        </w:rPr>
        <w:footnoteReference w:id="2"/>
      </w:r>
      <w:r w:rsidR="00A63ECF">
        <w:rPr>
          <w:rFonts w:ascii="Gill Sans MT" w:hAnsi="Gill Sans MT"/>
          <w:i/>
          <w:iCs/>
        </w:rPr>
        <w:t xml:space="preserve"> </w:t>
      </w:r>
      <w:r w:rsidR="00A63ECF">
        <w:rPr>
          <w:rFonts w:ascii="Gill Sans MT" w:hAnsi="Gill Sans MT"/>
        </w:rPr>
        <w:t>on the status of the Parliament Act 1949, and legislation such as the European Union Act 2011,</w:t>
      </w:r>
      <w:r w:rsidR="001E71E5">
        <w:rPr>
          <w:rStyle w:val="FootnoteReference"/>
          <w:rFonts w:ascii="Gill Sans MT" w:hAnsi="Gill Sans MT"/>
        </w:rPr>
        <w:footnoteReference w:id="3"/>
      </w:r>
      <w:r w:rsidR="00A63ECF">
        <w:rPr>
          <w:rFonts w:ascii="Gill Sans MT" w:hAnsi="Gill Sans MT"/>
        </w:rPr>
        <w:t xml:space="preserve"> </w:t>
      </w:r>
      <w:r w:rsidR="001E71E5">
        <w:rPr>
          <w:rFonts w:ascii="Gill Sans MT" w:hAnsi="Gill Sans MT"/>
        </w:rPr>
        <w:t>creating</w:t>
      </w:r>
      <w:r w:rsidR="00A63ECF">
        <w:rPr>
          <w:rFonts w:ascii="Gill Sans MT" w:hAnsi="Gill Sans MT"/>
        </w:rPr>
        <w:t xml:space="preserve"> statutory referendums locks conditioning transfers of competence to the EU, clearly show that </w:t>
      </w:r>
      <w:r w:rsidR="00471A33">
        <w:rPr>
          <w:rFonts w:ascii="Gill Sans MT" w:hAnsi="Gill Sans MT"/>
        </w:rPr>
        <w:t xml:space="preserve">the UK Parliament’s power to alter the legislative process </w:t>
      </w:r>
      <w:r w:rsidR="00C16937">
        <w:rPr>
          <w:rFonts w:ascii="Gill Sans MT" w:hAnsi="Gill Sans MT"/>
        </w:rPr>
        <w:t>h</w:t>
      </w:r>
      <w:r w:rsidR="00221BFA">
        <w:rPr>
          <w:rFonts w:ascii="Gill Sans MT" w:hAnsi="Gill Sans MT"/>
        </w:rPr>
        <w:t xml:space="preserve">as become </w:t>
      </w:r>
      <w:r w:rsidR="00471A33">
        <w:rPr>
          <w:rFonts w:ascii="Gill Sans MT" w:hAnsi="Gill Sans MT"/>
        </w:rPr>
        <w:t>a live issue.</w:t>
      </w:r>
      <w:r w:rsidR="004423A6">
        <w:rPr>
          <w:rFonts w:ascii="Gill Sans MT" w:hAnsi="Gill Sans MT"/>
        </w:rPr>
        <w:t xml:space="preserve">  The examples continue </w:t>
      </w:r>
      <w:r w:rsidR="004423A6">
        <w:rPr>
          <w:rFonts w:ascii="Gill Sans MT" w:hAnsi="Gill Sans MT"/>
        </w:rPr>
        <w:lastRenderedPageBreak/>
        <w:t xml:space="preserve">to </w:t>
      </w:r>
      <w:r w:rsidR="00224FD7">
        <w:rPr>
          <w:rFonts w:ascii="Gill Sans MT" w:hAnsi="Gill Sans MT"/>
        </w:rPr>
        <w:t>accumulate</w:t>
      </w:r>
      <w:r w:rsidR="004423A6">
        <w:rPr>
          <w:rFonts w:ascii="Gill Sans MT" w:hAnsi="Gill Sans MT"/>
        </w:rPr>
        <w:t>, as demonstrated by the ‘permanence clauses’ in the Scotland Act 2016</w:t>
      </w:r>
      <w:r w:rsidR="009B2031">
        <w:rPr>
          <w:rStyle w:val="FootnoteReference"/>
          <w:rFonts w:ascii="Gill Sans MT" w:hAnsi="Gill Sans MT"/>
        </w:rPr>
        <w:footnoteReference w:id="4"/>
      </w:r>
      <w:r w:rsidR="004423A6">
        <w:rPr>
          <w:rFonts w:ascii="Gill Sans MT" w:hAnsi="Gill Sans MT"/>
        </w:rPr>
        <w:t xml:space="preserve"> and Wales Act 2017,</w:t>
      </w:r>
      <w:r w:rsidR="009B2031">
        <w:rPr>
          <w:rStyle w:val="FootnoteReference"/>
          <w:rFonts w:ascii="Gill Sans MT" w:hAnsi="Gill Sans MT"/>
        </w:rPr>
        <w:footnoteReference w:id="5"/>
      </w:r>
      <w:r w:rsidR="004423A6">
        <w:rPr>
          <w:rFonts w:ascii="Gill Sans MT" w:hAnsi="Gill Sans MT"/>
        </w:rPr>
        <w:t xml:space="preserve"> which now sit alongside the longer established referendum requirement currently captured in the Northern Ireland Act 1998.</w:t>
      </w:r>
      <w:r w:rsidR="004423A6">
        <w:rPr>
          <w:rStyle w:val="FootnoteReference"/>
          <w:rFonts w:ascii="Gill Sans MT" w:hAnsi="Gill Sans MT"/>
        </w:rPr>
        <w:footnoteReference w:id="6"/>
      </w:r>
      <w:r w:rsidR="004423A6">
        <w:rPr>
          <w:rFonts w:ascii="Gill Sans MT" w:hAnsi="Gill Sans MT"/>
        </w:rPr>
        <w:t xml:space="preserve">  </w:t>
      </w:r>
    </w:p>
    <w:p w14:paraId="7B2391F0" w14:textId="77777777" w:rsidR="00C1252C" w:rsidRDefault="00C1252C" w:rsidP="00C1252C">
      <w:pPr>
        <w:spacing w:after="0"/>
        <w:jc w:val="both"/>
        <w:rPr>
          <w:rFonts w:ascii="Gill Sans MT" w:hAnsi="Gill Sans MT"/>
        </w:rPr>
      </w:pPr>
    </w:p>
    <w:p w14:paraId="30D63834" w14:textId="341B0133" w:rsidR="002E4A31" w:rsidRDefault="00221BFA" w:rsidP="00C1252C">
      <w:pPr>
        <w:spacing w:after="0"/>
        <w:jc w:val="both"/>
        <w:rPr>
          <w:rFonts w:ascii="Gill Sans MT" w:hAnsi="Gill Sans MT"/>
        </w:rPr>
      </w:pPr>
      <w:r>
        <w:rPr>
          <w:rFonts w:ascii="Gill Sans MT" w:hAnsi="Gill Sans MT"/>
        </w:rPr>
        <w:t>The question of the power of the UK Parliament to change the law-making process</w:t>
      </w:r>
      <w:r w:rsidR="00131045">
        <w:rPr>
          <w:rFonts w:ascii="Gill Sans MT" w:hAnsi="Gill Sans MT"/>
        </w:rPr>
        <w:t xml:space="preserve"> is </w:t>
      </w:r>
      <w:r w:rsidR="004423A6">
        <w:rPr>
          <w:rFonts w:ascii="Gill Sans MT" w:hAnsi="Gill Sans MT"/>
        </w:rPr>
        <w:t xml:space="preserve">far from settled, </w:t>
      </w:r>
      <w:r w:rsidR="00131045">
        <w:rPr>
          <w:rFonts w:ascii="Gill Sans MT" w:hAnsi="Gill Sans MT"/>
        </w:rPr>
        <w:t xml:space="preserve">and it is not clear that the ‘traditional’ approach to parliamentary sovereignty, exemplified </w:t>
      </w:r>
      <w:r w:rsidR="005F2D9F">
        <w:rPr>
          <w:rFonts w:ascii="Gill Sans MT" w:hAnsi="Gill Sans MT"/>
        </w:rPr>
        <w:t>by</w:t>
      </w:r>
      <w:r w:rsidR="00131045">
        <w:rPr>
          <w:rFonts w:ascii="Gill Sans MT" w:hAnsi="Gill Sans MT"/>
        </w:rPr>
        <w:t xml:space="preserve"> the work of Dicey,</w:t>
      </w:r>
      <w:r w:rsidR="00131045">
        <w:rPr>
          <w:rStyle w:val="FootnoteReference"/>
          <w:rFonts w:ascii="Gill Sans MT" w:hAnsi="Gill Sans MT"/>
        </w:rPr>
        <w:footnoteReference w:id="7"/>
      </w:r>
      <w:r w:rsidR="00131045">
        <w:rPr>
          <w:rFonts w:ascii="Gill Sans MT" w:hAnsi="Gill Sans MT"/>
        </w:rPr>
        <w:t xml:space="preserve"> has the answers.  </w:t>
      </w:r>
      <w:r w:rsidR="00A46A8B">
        <w:rPr>
          <w:rFonts w:ascii="Gill Sans MT" w:hAnsi="Gill Sans MT"/>
        </w:rPr>
        <w:t xml:space="preserve">As Goldsworthy </w:t>
      </w:r>
      <w:r w:rsidR="002E4A31">
        <w:rPr>
          <w:rFonts w:ascii="Gill Sans MT" w:hAnsi="Gill Sans MT"/>
        </w:rPr>
        <w:t>notes</w:t>
      </w:r>
      <w:r w:rsidR="00A46A8B">
        <w:rPr>
          <w:rFonts w:ascii="Gill Sans MT" w:hAnsi="Gill Sans MT"/>
        </w:rPr>
        <w:t xml:space="preserve">, and I agree, </w:t>
      </w:r>
      <w:r w:rsidR="002E4A31">
        <w:rPr>
          <w:rFonts w:ascii="Gill Sans MT" w:hAnsi="Gill Sans MT"/>
        </w:rPr>
        <w:t>the differences between our theories of parliamentary sovereignty are not grea</w:t>
      </w:r>
      <w:r w:rsidR="006B0ED4">
        <w:rPr>
          <w:rFonts w:ascii="Gill Sans MT" w:hAnsi="Gill Sans MT"/>
        </w:rPr>
        <w:t xml:space="preserve">t, and we </w:t>
      </w:r>
      <w:r w:rsidR="002E4A31">
        <w:rPr>
          <w:rFonts w:ascii="Gill Sans MT" w:hAnsi="Gill Sans MT"/>
        </w:rPr>
        <w:t>both defend accounts of this doctrine which go beyond the model classically associated with Dicey.</w:t>
      </w:r>
      <w:r w:rsidR="00131045">
        <w:rPr>
          <w:rFonts w:ascii="Gill Sans MT" w:hAnsi="Gill Sans MT"/>
        </w:rPr>
        <w:t xml:space="preserve">  </w:t>
      </w:r>
      <w:r w:rsidR="006B0ED4">
        <w:rPr>
          <w:rFonts w:ascii="Gill Sans MT" w:hAnsi="Gill Sans MT"/>
        </w:rPr>
        <w:t xml:space="preserve">In this sense, </w:t>
      </w:r>
      <w:r w:rsidR="00131045">
        <w:rPr>
          <w:rFonts w:ascii="Gill Sans MT" w:hAnsi="Gill Sans MT"/>
        </w:rPr>
        <w:t xml:space="preserve">the terms of academic debate have </w:t>
      </w:r>
      <w:r w:rsidR="00F35D08">
        <w:rPr>
          <w:rFonts w:ascii="Gill Sans MT" w:hAnsi="Gill Sans MT"/>
        </w:rPr>
        <w:t xml:space="preserve">to a considerable extent </w:t>
      </w:r>
      <w:r w:rsidR="00131045">
        <w:rPr>
          <w:rFonts w:ascii="Gill Sans MT" w:hAnsi="Gill Sans MT"/>
        </w:rPr>
        <w:t xml:space="preserve">shifted off </w:t>
      </w:r>
      <w:r w:rsidR="00F35D08">
        <w:rPr>
          <w:rFonts w:ascii="Gill Sans MT" w:hAnsi="Gill Sans MT"/>
        </w:rPr>
        <w:t xml:space="preserve">Dicey’s terrain, where the idea that </w:t>
      </w:r>
      <w:r w:rsidR="00123767">
        <w:rPr>
          <w:rFonts w:ascii="Gill Sans MT" w:hAnsi="Gill Sans MT"/>
        </w:rPr>
        <w:t>‘</w:t>
      </w:r>
      <w:r w:rsidR="00F35D08">
        <w:rPr>
          <w:rFonts w:ascii="Gill Sans MT" w:hAnsi="Gill Sans MT"/>
        </w:rPr>
        <w:t xml:space="preserve">Parliament </w:t>
      </w:r>
      <w:r w:rsidR="00123767">
        <w:rPr>
          <w:rFonts w:ascii="Gill Sans MT" w:hAnsi="Gill Sans MT"/>
        </w:rPr>
        <w:t xml:space="preserve">cannot </w:t>
      </w:r>
      <w:r w:rsidR="00F35D08">
        <w:rPr>
          <w:rFonts w:ascii="Gill Sans MT" w:hAnsi="Gill Sans MT"/>
        </w:rPr>
        <w:t>bind its successors</w:t>
      </w:r>
      <w:r w:rsidR="00123767">
        <w:rPr>
          <w:rFonts w:ascii="Gill Sans MT" w:hAnsi="Gill Sans MT"/>
        </w:rPr>
        <w:t>’</w:t>
      </w:r>
      <w:r w:rsidR="00F35D08">
        <w:rPr>
          <w:rFonts w:ascii="Gill Sans MT" w:hAnsi="Gill Sans MT"/>
        </w:rPr>
        <w:t xml:space="preserve"> </w:t>
      </w:r>
      <w:r w:rsidR="0036090B">
        <w:rPr>
          <w:rFonts w:ascii="Gill Sans MT" w:hAnsi="Gill Sans MT"/>
        </w:rPr>
        <w:t>was</w:t>
      </w:r>
      <w:r w:rsidR="00F35D08">
        <w:rPr>
          <w:rFonts w:ascii="Gill Sans MT" w:hAnsi="Gill Sans MT"/>
        </w:rPr>
        <w:t xml:space="preserve"> accepted as a truism</w:t>
      </w:r>
      <w:r w:rsidR="00123767">
        <w:rPr>
          <w:rFonts w:ascii="Gill Sans MT" w:hAnsi="Gill Sans MT"/>
        </w:rPr>
        <w:t xml:space="preserve">, to refocus on </w:t>
      </w:r>
      <w:r w:rsidR="00F35D08">
        <w:rPr>
          <w:rFonts w:ascii="Gill Sans MT" w:hAnsi="Gill Sans MT"/>
        </w:rPr>
        <w:t xml:space="preserve">the detail of how </w:t>
      </w:r>
      <w:r w:rsidR="006B0ED4">
        <w:rPr>
          <w:rFonts w:ascii="Gill Sans MT" w:hAnsi="Gill Sans MT"/>
        </w:rPr>
        <w:t xml:space="preserve">and when </w:t>
      </w:r>
      <w:r w:rsidR="00F35D08">
        <w:rPr>
          <w:rFonts w:ascii="Gill Sans MT" w:hAnsi="Gill Sans MT"/>
        </w:rPr>
        <w:t>the doctrine of parliamentary sovereignty permits change to the legislative process.</w:t>
      </w:r>
      <w:r w:rsidR="005F567A">
        <w:rPr>
          <w:rFonts w:ascii="Gill Sans MT" w:hAnsi="Gill Sans MT"/>
        </w:rPr>
        <w:t xml:space="preserve">  </w:t>
      </w:r>
      <w:r w:rsidR="006B0ED4">
        <w:rPr>
          <w:rFonts w:ascii="Gill Sans MT" w:hAnsi="Gill Sans MT"/>
        </w:rPr>
        <w:t>Goldsworthy’s rich and highly</w:t>
      </w:r>
      <w:r w:rsidR="00CA110E">
        <w:rPr>
          <w:rFonts w:ascii="Gill Sans MT" w:hAnsi="Gill Sans MT"/>
        </w:rPr>
        <w:t xml:space="preserve"> </w:t>
      </w:r>
      <w:r w:rsidR="006B0ED4">
        <w:rPr>
          <w:rFonts w:ascii="Gill Sans MT" w:hAnsi="Gill Sans MT"/>
        </w:rPr>
        <w:t>influential work has been crucial in prompting this shift.</w:t>
      </w:r>
      <w:r w:rsidR="00123767">
        <w:rPr>
          <w:rStyle w:val="FootnoteReference"/>
          <w:rFonts w:ascii="Gill Sans MT" w:hAnsi="Gill Sans MT"/>
        </w:rPr>
        <w:footnoteReference w:id="8"/>
      </w:r>
      <w:r w:rsidR="006B0ED4">
        <w:rPr>
          <w:rFonts w:ascii="Gill Sans MT" w:hAnsi="Gill Sans MT"/>
        </w:rPr>
        <w:t xml:space="preserve">  </w:t>
      </w:r>
      <w:r w:rsidR="00CE03DC">
        <w:rPr>
          <w:rFonts w:ascii="Gill Sans MT" w:hAnsi="Gill Sans MT"/>
        </w:rPr>
        <w:t>W</w:t>
      </w:r>
      <w:r w:rsidR="00123767">
        <w:rPr>
          <w:rFonts w:ascii="Gill Sans MT" w:hAnsi="Gill Sans MT"/>
        </w:rPr>
        <w:t>e reach different answers to these</w:t>
      </w:r>
      <w:r w:rsidR="00CA110E">
        <w:rPr>
          <w:rFonts w:ascii="Gill Sans MT" w:hAnsi="Gill Sans MT"/>
        </w:rPr>
        <w:t xml:space="preserve"> </w:t>
      </w:r>
      <w:r w:rsidR="00123767">
        <w:rPr>
          <w:rFonts w:ascii="Gill Sans MT" w:hAnsi="Gill Sans MT"/>
        </w:rPr>
        <w:t>questions,</w:t>
      </w:r>
      <w:r w:rsidR="00CE03DC">
        <w:rPr>
          <w:rFonts w:ascii="Gill Sans MT" w:hAnsi="Gill Sans MT"/>
        </w:rPr>
        <w:t xml:space="preserve"> and my response aims to illuminate the basis of our disagreement</w:t>
      </w:r>
      <w:r w:rsidR="000265AD">
        <w:rPr>
          <w:rFonts w:ascii="Gill Sans MT" w:hAnsi="Gill Sans MT"/>
        </w:rPr>
        <w:t xml:space="preserve"> </w:t>
      </w:r>
      <w:r w:rsidR="006202CE">
        <w:rPr>
          <w:rFonts w:ascii="Gill Sans MT" w:hAnsi="Gill Sans MT"/>
        </w:rPr>
        <w:t>while</w:t>
      </w:r>
      <w:r w:rsidR="000265AD">
        <w:rPr>
          <w:rFonts w:ascii="Gill Sans MT" w:hAnsi="Gill Sans MT"/>
        </w:rPr>
        <w:t xml:space="preserve"> refin</w:t>
      </w:r>
      <w:r w:rsidR="006202CE">
        <w:rPr>
          <w:rFonts w:ascii="Gill Sans MT" w:hAnsi="Gill Sans MT"/>
        </w:rPr>
        <w:t>ing</w:t>
      </w:r>
      <w:r w:rsidR="000265AD">
        <w:rPr>
          <w:rFonts w:ascii="Gill Sans MT" w:hAnsi="Gill Sans MT"/>
        </w:rPr>
        <w:t xml:space="preserve"> my position</w:t>
      </w:r>
      <w:r w:rsidR="00CE03DC">
        <w:rPr>
          <w:rFonts w:ascii="Gill Sans MT" w:hAnsi="Gill Sans MT"/>
        </w:rPr>
        <w:t>.  But the fact these questions about the meaning and implications of parliamentary sovereignty have a new priority is</w:t>
      </w:r>
      <w:r w:rsidR="00CA110E">
        <w:rPr>
          <w:rFonts w:ascii="Gill Sans MT" w:hAnsi="Gill Sans MT"/>
        </w:rPr>
        <w:t xml:space="preserve"> arguably</w:t>
      </w:r>
      <w:r w:rsidR="00CE03DC">
        <w:rPr>
          <w:rFonts w:ascii="Gill Sans MT" w:hAnsi="Gill Sans MT"/>
        </w:rPr>
        <w:t xml:space="preserve"> just as important as </w:t>
      </w:r>
      <w:r w:rsidR="00CA110E">
        <w:rPr>
          <w:rFonts w:ascii="Gill Sans MT" w:hAnsi="Gill Sans MT"/>
        </w:rPr>
        <w:t>the distinctions between the competing answers we defend.</w:t>
      </w:r>
    </w:p>
    <w:p w14:paraId="0CDAD87F" w14:textId="77777777" w:rsidR="00C1252C" w:rsidRDefault="00C1252C" w:rsidP="00C1252C">
      <w:pPr>
        <w:spacing w:after="0"/>
        <w:jc w:val="both"/>
        <w:rPr>
          <w:rFonts w:ascii="Gill Sans MT" w:hAnsi="Gill Sans MT"/>
        </w:rPr>
      </w:pPr>
    </w:p>
    <w:p w14:paraId="6789A139" w14:textId="2ABE87DE" w:rsidR="005960C3" w:rsidRDefault="002C4F84" w:rsidP="00C1252C">
      <w:pPr>
        <w:spacing w:after="0"/>
        <w:jc w:val="both"/>
        <w:rPr>
          <w:rFonts w:ascii="Gill Sans MT" w:hAnsi="Gill Sans MT"/>
        </w:rPr>
      </w:pPr>
      <w:r>
        <w:rPr>
          <w:rFonts w:ascii="Gill Sans MT" w:hAnsi="Gill Sans MT"/>
        </w:rPr>
        <w:t>In what follows, I d</w:t>
      </w:r>
      <w:r w:rsidR="00041872">
        <w:rPr>
          <w:rFonts w:ascii="Gill Sans MT" w:hAnsi="Gill Sans MT"/>
        </w:rPr>
        <w:t xml:space="preserve">efine </w:t>
      </w:r>
      <w:r>
        <w:rPr>
          <w:rFonts w:ascii="Gill Sans MT" w:hAnsi="Gill Sans MT"/>
        </w:rPr>
        <w:t xml:space="preserve">parliamentary sovereignty as </w:t>
      </w:r>
      <w:r w:rsidR="00275E2E">
        <w:rPr>
          <w:rFonts w:ascii="Gill Sans MT" w:hAnsi="Gill Sans MT"/>
        </w:rPr>
        <w:t>a legal</w:t>
      </w:r>
      <w:r>
        <w:rPr>
          <w:rFonts w:ascii="Gill Sans MT" w:hAnsi="Gill Sans MT"/>
        </w:rPr>
        <w:t xml:space="preserve"> doctrine which attribute</w:t>
      </w:r>
      <w:r w:rsidR="00275E2E">
        <w:rPr>
          <w:rFonts w:ascii="Gill Sans MT" w:hAnsi="Gill Sans MT"/>
        </w:rPr>
        <w:t xml:space="preserve">s </w:t>
      </w:r>
      <w:r>
        <w:rPr>
          <w:rFonts w:ascii="Gill Sans MT" w:hAnsi="Gill Sans MT"/>
        </w:rPr>
        <w:t>legally unlimited legislative power to the UK Parliament.</w:t>
      </w:r>
      <w:r w:rsidR="00275E2E">
        <w:rPr>
          <w:rFonts w:ascii="Gill Sans MT" w:hAnsi="Gill Sans MT"/>
        </w:rPr>
        <w:t xml:space="preserve">  I take the ‘manner and form theory’ to be an understanding of sovereign legislative power.  On this understanding, the UK Parliament is permitted to use its law-making authority to create new procedural conditions (or requirements to legislat</w:t>
      </w:r>
      <w:r w:rsidR="006202CE">
        <w:rPr>
          <w:rFonts w:ascii="Gill Sans MT" w:hAnsi="Gill Sans MT"/>
        </w:rPr>
        <w:t>e</w:t>
      </w:r>
      <w:r w:rsidR="00275E2E">
        <w:rPr>
          <w:rFonts w:ascii="Gill Sans MT" w:hAnsi="Gill Sans MT"/>
        </w:rPr>
        <w:t xml:space="preserve"> in a particular ‘manner’ or following a specific ‘form’) which must be followed in future to enact valid laws. </w:t>
      </w:r>
    </w:p>
    <w:p w14:paraId="3866A01F" w14:textId="541991EA" w:rsidR="00D07422" w:rsidRDefault="00D07422" w:rsidP="00D07422">
      <w:pPr>
        <w:spacing w:after="0"/>
        <w:jc w:val="both"/>
        <w:rPr>
          <w:rFonts w:ascii="Gill Sans MT" w:hAnsi="Gill Sans MT"/>
        </w:rPr>
      </w:pPr>
    </w:p>
    <w:p w14:paraId="73FF9F43" w14:textId="74F0061E" w:rsidR="00D07422" w:rsidRDefault="00D07422" w:rsidP="00D07422">
      <w:pPr>
        <w:pStyle w:val="ListParagraph"/>
        <w:numPr>
          <w:ilvl w:val="0"/>
          <w:numId w:val="1"/>
        </w:numPr>
        <w:spacing w:after="0"/>
        <w:jc w:val="both"/>
        <w:rPr>
          <w:rFonts w:ascii="Gill Sans MT" w:hAnsi="Gill Sans MT"/>
        </w:rPr>
      </w:pPr>
      <w:r>
        <w:rPr>
          <w:rFonts w:ascii="Gill Sans MT" w:hAnsi="Gill Sans MT"/>
        </w:rPr>
        <w:t>Referendum Requirements and Parliamentary Sovereignty</w:t>
      </w:r>
    </w:p>
    <w:p w14:paraId="64AE670D" w14:textId="48FFD38C" w:rsidR="00E05D29" w:rsidRDefault="00E05D29" w:rsidP="00E05D29">
      <w:pPr>
        <w:spacing w:after="0"/>
        <w:jc w:val="both"/>
        <w:rPr>
          <w:rFonts w:ascii="Gill Sans MT" w:hAnsi="Gill Sans MT"/>
        </w:rPr>
      </w:pPr>
    </w:p>
    <w:p w14:paraId="19636C0B" w14:textId="24A43AE2" w:rsidR="00E05D29" w:rsidRDefault="00B836B2" w:rsidP="00E05D29">
      <w:pPr>
        <w:spacing w:after="0"/>
        <w:jc w:val="both"/>
        <w:rPr>
          <w:rFonts w:ascii="Gill Sans MT" w:hAnsi="Gill Sans MT"/>
        </w:rPr>
      </w:pPr>
      <w:r>
        <w:rPr>
          <w:rFonts w:ascii="Gill Sans MT" w:hAnsi="Gill Sans MT"/>
        </w:rPr>
        <w:t>G</w:t>
      </w:r>
      <w:r w:rsidR="00390EBA">
        <w:rPr>
          <w:rFonts w:ascii="Gill Sans MT" w:hAnsi="Gill Sans MT"/>
        </w:rPr>
        <w:t>oldsworthy argues that when Parliament makes its decisions subject to approval by an external body, such as the electorate at a referendum, Parliament ‘by itself’ no longer possesses ‘comprehensive’ or ‘continuing’ legislative sovereignty.</w:t>
      </w:r>
      <w:r w:rsidR="00390EBA">
        <w:rPr>
          <w:rStyle w:val="FootnoteReference"/>
          <w:rFonts w:ascii="Gill Sans MT" w:hAnsi="Gill Sans MT"/>
        </w:rPr>
        <w:footnoteReference w:id="9"/>
      </w:r>
      <w:r w:rsidR="00390EBA">
        <w:rPr>
          <w:rFonts w:ascii="Gill Sans MT" w:hAnsi="Gill Sans MT"/>
        </w:rPr>
        <w:t xml:space="preserve">  This is obviously a compelling position, although I </w:t>
      </w:r>
      <w:r w:rsidR="003107B7">
        <w:rPr>
          <w:rFonts w:ascii="Gill Sans MT" w:hAnsi="Gill Sans MT"/>
        </w:rPr>
        <w:t>will outline</w:t>
      </w:r>
      <w:r w:rsidR="00390EBA">
        <w:rPr>
          <w:rFonts w:ascii="Gill Sans MT" w:hAnsi="Gill Sans MT"/>
        </w:rPr>
        <w:t xml:space="preserve"> two difficulties with it.</w:t>
      </w:r>
      <w:r w:rsidR="00C06A00">
        <w:rPr>
          <w:rStyle w:val="FootnoteReference"/>
          <w:rFonts w:ascii="Gill Sans MT" w:hAnsi="Gill Sans MT"/>
        </w:rPr>
        <w:footnoteReference w:id="10"/>
      </w:r>
    </w:p>
    <w:p w14:paraId="0BB6A9BE" w14:textId="799A8C40" w:rsidR="00B836B2" w:rsidRDefault="00B836B2" w:rsidP="00E05D29">
      <w:pPr>
        <w:spacing w:after="0"/>
        <w:jc w:val="both"/>
        <w:rPr>
          <w:rFonts w:ascii="Gill Sans MT" w:hAnsi="Gill Sans MT"/>
        </w:rPr>
      </w:pPr>
    </w:p>
    <w:p w14:paraId="7FCE8782" w14:textId="0F463EFC" w:rsidR="00B836B2" w:rsidRDefault="00390EBA" w:rsidP="00E05D29">
      <w:pPr>
        <w:spacing w:after="0"/>
        <w:jc w:val="both"/>
        <w:rPr>
          <w:rFonts w:ascii="Gill Sans MT" w:hAnsi="Gill Sans MT"/>
        </w:rPr>
      </w:pPr>
      <w:r>
        <w:rPr>
          <w:rFonts w:ascii="Gill Sans MT" w:hAnsi="Gill Sans MT"/>
        </w:rPr>
        <w:t xml:space="preserve">First, </w:t>
      </w:r>
      <w:r w:rsidR="00B836B2">
        <w:rPr>
          <w:rFonts w:ascii="Gill Sans MT" w:hAnsi="Gill Sans MT"/>
        </w:rPr>
        <w:t>P</w:t>
      </w:r>
      <w:r>
        <w:rPr>
          <w:rFonts w:ascii="Gill Sans MT" w:hAnsi="Gill Sans MT"/>
        </w:rPr>
        <w:t>arliament ‘by itself’ is presented as</w:t>
      </w:r>
      <w:r w:rsidR="00B836B2">
        <w:rPr>
          <w:rFonts w:ascii="Gill Sans MT" w:hAnsi="Gill Sans MT"/>
        </w:rPr>
        <w:t xml:space="preserve"> a</w:t>
      </w:r>
      <w:r>
        <w:rPr>
          <w:rFonts w:ascii="Gill Sans MT" w:hAnsi="Gill Sans MT"/>
        </w:rPr>
        <w:t xml:space="preserve"> fixed </w:t>
      </w:r>
      <w:r w:rsidR="00B836B2">
        <w:rPr>
          <w:rFonts w:ascii="Gill Sans MT" w:hAnsi="Gill Sans MT"/>
        </w:rPr>
        <w:t>institution</w:t>
      </w:r>
      <w:r w:rsidR="002B00E1">
        <w:rPr>
          <w:rFonts w:ascii="Gill Sans MT" w:hAnsi="Gill Sans MT"/>
        </w:rPr>
        <w:t xml:space="preserve">.  </w:t>
      </w:r>
      <w:r w:rsidR="000F0866">
        <w:rPr>
          <w:rFonts w:ascii="Gill Sans MT" w:hAnsi="Gill Sans MT"/>
        </w:rPr>
        <w:t xml:space="preserve">However, </w:t>
      </w:r>
      <w:r w:rsidR="00B836B2">
        <w:rPr>
          <w:rFonts w:ascii="Gill Sans MT" w:hAnsi="Gill Sans MT"/>
        </w:rPr>
        <w:t>P</w:t>
      </w:r>
      <w:r>
        <w:rPr>
          <w:rFonts w:ascii="Gill Sans MT" w:hAnsi="Gill Sans MT"/>
        </w:rPr>
        <w:t>arliament</w:t>
      </w:r>
      <w:r w:rsidR="00B836B2">
        <w:rPr>
          <w:rFonts w:ascii="Gill Sans MT" w:hAnsi="Gill Sans MT"/>
        </w:rPr>
        <w:t xml:space="preserve"> is </w:t>
      </w:r>
      <w:r w:rsidR="002B00E1">
        <w:rPr>
          <w:rFonts w:ascii="Gill Sans MT" w:hAnsi="Gill Sans MT"/>
        </w:rPr>
        <w:t>arguably</w:t>
      </w:r>
      <w:r w:rsidR="00B836B2">
        <w:rPr>
          <w:rFonts w:ascii="Gill Sans MT" w:hAnsi="Gill Sans MT"/>
        </w:rPr>
        <w:t xml:space="preserve"> a composite institution, comprised (for most purposes) of Commons, Lords and Queen.  While G</w:t>
      </w:r>
      <w:r>
        <w:rPr>
          <w:rFonts w:ascii="Gill Sans MT" w:hAnsi="Gill Sans MT"/>
        </w:rPr>
        <w:t>oldsworthy</w:t>
      </w:r>
      <w:r w:rsidR="00B836B2">
        <w:rPr>
          <w:rFonts w:ascii="Gill Sans MT" w:hAnsi="Gill Sans MT"/>
        </w:rPr>
        <w:t xml:space="preserve"> and I agree that it is unhelpful to strain the settled meaning of ‘Parliament’ by arguing </w:t>
      </w:r>
      <w:r w:rsidR="002B00E1">
        <w:rPr>
          <w:rFonts w:ascii="Gill Sans MT" w:hAnsi="Gill Sans MT"/>
        </w:rPr>
        <w:t>that</w:t>
      </w:r>
      <w:r w:rsidR="00B836B2">
        <w:rPr>
          <w:rFonts w:ascii="Gill Sans MT" w:hAnsi="Gill Sans MT"/>
        </w:rPr>
        <w:t xml:space="preserve"> it can be </w:t>
      </w:r>
      <w:r w:rsidR="002B00E1">
        <w:rPr>
          <w:rFonts w:ascii="Gill Sans MT" w:hAnsi="Gill Sans MT"/>
        </w:rPr>
        <w:t>‘</w:t>
      </w:r>
      <w:r w:rsidR="00B836B2">
        <w:rPr>
          <w:rFonts w:ascii="Gill Sans MT" w:hAnsi="Gill Sans MT"/>
        </w:rPr>
        <w:t>redefined</w:t>
      </w:r>
      <w:r w:rsidR="002B00E1">
        <w:rPr>
          <w:rFonts w:ascii="Gill Sans MT" w:hAnsi="Gill Sans MT"/>
        </w:rPr>
        <w:t>’</w:t>
      </w:r>
      <w:r w:rsidR="00B836B2">
        <w:rPr>
          <w:rFonts w:ascii="Gill Sans MT" w:hAnsi="Gill Sans MT"/>
        </w:rPr>
        <w:t xml:space="preserve"> for particular decisions so as to include the electorate (or indeed any other body)</w:t>
      </w:r>
      <w:r w:rsidR="000F0866">
        <w:rPr>
          <w:rFonts w:ascii="Gill Sans MT" w:hAnsi="Gill Sans MT"/>
        </w:rPr>
        <w:t>, in my view</w:t>
      </w:r>
      <w:r w:rsidR="00B836B2">
        <w:rPr>
          <w:rFonts w:ascii="Gill Sans MT" w:hAnsi="Gill Sans MT"/>
        </w:rPr>
        <w:t xml:space="preserve"> the composite nature of P</w:t>
      </w:r>
      <w:r>
        <w:rPr>
          <w:rFonts w:ascii="Gill Sans MT" w:hAnsi="Gill Sans MT"/>
        </w:rPr>
        <w:t>arliament</w:t>
      </w:r>
      <w:r w:rsidR="00B836B2">
        <w:rPr>
          <w:rFonts w:ascii="Gill Sans MT" w:hAnsi="Gill Sans MT"/>
        </w:rPr>
        <w:t xml:space="preserve"> </w:t>
      </w:r>
      <w:r>
        <w:rPr>
          <w:rFonts w:ascii="Gill Sans MT" w:hAnsi="Gill Sans MT"/>
        </w:rPr>
        <w:t>justifies</w:t>
      </w:r>
      <w:r w:rsidR="00B836B2">
        <w:rPr>
          <w:rFonts w:ascii="Gill Sans MT" w:hAnsi="Gill Sans MT"/>
        </w:rPr>
        <w:t xml:space="preserve"> </w:t>
      </w:r>
      <w:r>
        <w:rPr>
          <w:rFonts w:ascii="Gill Sans MT" w:hAnsi="Gill Sans MT"/>
        </w:rPr>
        <w:t xml:space="preserve">a more </w:t>
      </w:r>
      <w:r w:rsidR="00B836B2">
        <w:rPr>
          <w:rFonts w:ascii="Gill Sans MT" w:hAnsi="Gill Sans MT"/>
        </w:rPr>
        <w:t>flexib</w:t>
      </w:r>
      <w:r>
        <w:rPr>
          <w:rFonts w:ascii="Gill Sans MT" w:hAnsi="Gill Sans MT"/>
        </w:rPr>
        <w:t xml:space="preserve">le approach to the </w:t>
      </w:r>
      <w:r w:rsidR="00B836B2">
        <w:rPr>
          <w:rFonts w:ascii="Gill Sans MT" w:hAnsi="Gill Sans MT"/>
        </w:rPr>
        <w:t>institutional combination</w:t>
      </w:r>
      <w:r w:rsidR="002B00E1">
        <w:rPr>
          <w:rFonts w:ascii="Gill Sans MT" w:hAnsi="Gill Sans MT"/>
        </w:rPr>
        <w:t>(s)</w:t>
      </w:r>
      <w:r w:rsidR="00B836B2">
        <w:rPr>
          <w:rFonts w:ascii="Gill Sans MT" w:hAnsi="Gill Sans MT"/>
        </w:rPr>
        <w:t xml:space="preserve"> </w:t>
      </w:r>
      <w:r w:rsidR="002B00E1">
        <w:rPr>
          <w:rFonts w:ascii="Gill Sans MT" w:hAnsi="Gill Sans MT"/>
        </w:rPr>
        <w:t>which take legislative decisions</w:t>
      </w:r>
      <w:r w:rsidR="00B836B2">
        <w:rPr>
          <w:rFonts w:ascii="Gill Sans MT" w:hAnsi="Gill Sans MT"/>
        </w:rPr>
        <w:t xml:space="preserve">. </w:t>
      </w:r>
      <w:r w:rsidR="002B00E1">
        <w:rPr>
          <w:rFonts w:ascii="Gill Sans MT" w:hAnsi="Gill Sans MT"/>
        </w:rPr>
        <w:t xml:space="preserve"> When</w:t>
      </w:r>
      <w:r w:rsidR="00B836B2">
        <w:rPr>
          <w:rFonts w:ascii="Gill Sans MT" w:hAnsi="Gill Sans MT"/>
        </w:rPr>
        <w:t xml:space="preserve"> Parliament as we currently understand it is already based on a combination of instit</w:t>
      </w:r>
      <w:r w:rsidR="002B00E1">
        <w:rPr>
          <w:rFonts w:ascii="Gill Sans MT" w:hAnsi="Gill Sans MT"/>
        </w:rPr>
        <w:t>u</w:t>
      </w:r>
      <w:r w:rsidR="00B836B2">
        <w:rPr>
          <w:rFonts w:ascii="Gill Sans MT" w:hAnsi="Gill Sans MT"/>
        </w:rPr>
        <w:t>t</w:t>
      </w:r>
      <w:r w:rsidR="002B00E1">
        <w:rPr>
          <w:rFonts w:ascii="Gill Sans MT" w:hAnsi="Gill Sans MT"/>
        </w:rPr>
        <w:t>i</w:t>
      </w:r>
      <w:r w:rsidR="00B836B2">
        <w:rPr>
          <w:rFonts w:ascii="Gill Sans MT" w:hAnsi="Gill Sans MT"/>
        </w:rPr>
        <w:t xml:space="preserve">ons, </w:t>
      </w:r>
      <w:r w:rsidR="002B00E1">
        <w:rPr>
          <w:rFonts w:ascii="Gill Sans MT" w:hAnsi="Gill Sans MT"/>
        </w:rPr>
        <w:t>the idea it might exercise its power to</w:t>
      </w:r>
      <w:r w:rsidR="00B836B2">
        <w:rPr>
          <w:rFonts w:ascii="Gill Sans MT" w:hAnsi="Gill Sans MT"/>
        </w:rPr>
        <w:t xml:space="preserve"> </w:t>
      </w:r>
      <w:r w:rsidR="002B00E1">
        <w:rPr>
          <w:rFonts w:ascii="Gill Sans MT" w:hAnsi="Gill Sans MT"/>
        </w:rPr>
        <w:t xml:space="preserve">potentially incorporate other institutions into the law-making process seems </w:t>
      </w:r>
      <w:r w:rsidR="00C4075F">
        <w:rPr>
          <w:rFonts w:ascii="Gill Sans MT" w:hAnsi="Gill Sans MT"/>
        </w:rPr>
        <w:t>consistent with the underlying constitutional flexibility offered by parliamentary sovereignty, and preferable to</w:t>
      </w:r>
      <w:r w:rsidR="002B00E1">
        <w:rPr>
          <w:rFonts w:ascii="Gill Sans MT" w:hAnsi="Gill Sans MT"/>
        </w:rPr>
        <w:t xml:space="preserve"> </w:t>
      </w:r>
      <w:r w:rsidR="00C4075F">
        <w:rPr>
          <w:rFonts w:ascii="Gill Sans MT" w:hAnsi="Gill Sans MT"/>
        </w:rPr>
        <w:t xml:space="preserve">a more </w:t>
      </w:r>
      <w:r w:rsidR="002B00E1">
        <w:rPr>
          <w:rFonts w:ascii="Gill Sans MT" w:hAnsi="Gill Sans MT"/>
        </w:rPr>
        <w:t xml:space="preserve">static conception of </w:t>
      </w:r>
      <w:r w:rsidR="00C4075F">
        <w:rPr>
          <w:rFonts w:ascii="Gill Sans MT" w:hAnsi="Gill Sans MT"/>
        </w:rPr>
        <w:t>this doctrine</w:t>
      </w:r>
      <w:r w:rsidR="002B00E1">
        <w:rPr>
          <w:rFonts w:ascii="Gill Sans MT" w:hAnsi="Gill Sans MT"/>
        </w:rPr>
        <w:t>.</w:t>
      </w:r>
    </w:p>
    <w:p w14:paraId="522D50A8" w14:textId="77777777" w:rsidR="00B836B2" w:rsidRDefault="00B836B2" w:rsidP="00E05D29">
      <w:pPr>
        <w:spacing w:after="0"/>
        <w:jc w:val="both"/>
        <w:rPr>
          <w:rFonts w:ascii="Gill Sans MT" w:hAnsi="Gill Sans MT"/>
        </w:rPr>
      </w:pPr>
    </w:p>
    <w:p w14:paraId="3903763A" w14:textId="3AB1A291" w:rsidR="00B836B2" w:rsidRDefault="00B836B2" w:rsidP="00E05D29">
      <w:pPr>
        <w:spacing w:after="0"/>
        <w:jc w:val="both"/>
        <w:rPr>
          <w:rFonts w:ascii="Gill Sans MT" w:hAnsi="Gill Sans MT"/>
        </w:rPr>
      </w:pPr>
      <w:r>
        <w:rPr>
          <w:rFonts w:ascii="Gill Sans MT" w:hAnsi="Gill Sans MT"/>
        </w:rPr>
        <w:t xml:space="preserve">This is especially </w:t>
      </w:r>
      <w:r w:rsidR="002B00E1">
        <w:rPr>
          <w:rFonts w:ascii="Gill Sans MT" w:hAnsi="Gill Sans MT"/>
        </w:rPr>
        <w:t>so</w:t>
      </w:r>
      <w:r>
        <w:rPr>
          <w:rFonts w:ascii="Gill Sans MT" w:hAnsi="Gill Sans MT"/>
        </w:rPr>
        <w:t xml:space="preserve"> </w:t>
      </w:r>
      <w:r w:rsidR="002B00E1">
        <w:rPr>
          <w:rFonts w:ascii="Gill Sans MT" w:hAnsi="Gill Sans MT"/>
        </w:rPr>
        <w:t>because</w:t>
      </w:r>
      <w:r>
        <w:rPr>
          <w:rFonts w:ascii="Gill Sans MT" w:hAnsi="Gill Sans MT"/>
        </w:rPr>
        <w:t xml:space="preserve"> we already accept that different alignments are possible for legislative purposes within </w:t>
      </w:r>
      <w:r w:rsidR="00F44038">
        <w:rPr>
          <w:rFonts w:ascii="Gill Sans MT" w:hAnsi="Gill Sans MT"/>
        </w:rPr>
        <w:t xml:space="preserve">the </w:t>
      </w:r>
      <w:r>
        <w:rPr>
          <w:rFonts w:ascii="Gill Sans MT" w:hAnsi="Gill Sans MT"/>
        </w:rPr>
        <w:t>Commons</w:t>
      </w:r>
      <w:r w:rsidR="002B00E1">
        <w:rPr>
          <w:rFonts w:ascii="Gill Sans MT" w:hAnsi="Gill Sans MT"/>
        </w:rPr>
        <w:t>,</w:t>
      </w:r>
      <w:r>
        <w:rPr>
          <w:rFonts w:ascii="Gill Sans MT" w:hAnsi="Gill Sans MT"/>
        </w:rPr>
        <w:t xml:space="preserve"> Lord</w:t>
      </w:r>
      <w:r w:rsidR="00F44038">
        <w:rPr>
          <w:rFonts w:ascii="Gill Sans MT" w:hAnsi="Gill Sans MT"/>
        </w:rPr>
        <w:t>s</w:t>
      </w:r>
      <w:r>
        <w:rPr>
          <w:rFonts w:ascii="Gill Sans MT" w:hAnsi="Gill Sans MT"/>
        </w:rPr>
        <w:t xml:space="preserve"> and Queen formula.  Under the Parliament Acts 1911 and 1949, Commons and Queen can exercise legislative power without the Lords – </w:t>
      </w:r>
      <w:r w:rsidR="002B00E1">
        <w:rPr>
          <w:rFonts w:ascii="Gill Sans MT" w:hAnsi="Gill Sans MT"/>
        </w:rPr>
        <w:t>should</w:t>
      </w:r>
      <w:r>
        <w:rPr>
          <w:rFonts w:ascii="Gill Sans MT" w:hAnsi="Gill Sans MT"/>
        </w:rPr>
        <w:t xml:space="preserve"> we say that this endangers the sovereignty of Parliament </w:t>
      </w:r>
      <w:r w:rsidR="0039459F">
        <w:rPr>
          <w:rFonts w:ascii="Gill Sans MT" w:hAnsi="Gill Sans MT"/>
        </w:rPr>
        <w:t xml:space="preserve">acting ‘by </w:t>
      </w:r>
      <w:r>
        <w:rPr>
          <w:rFonts w:ascii="Gill Sans MT" w:hAnsi="Gill Sans MT"/>
        </w:rPr>
        <w:t>itself</w:t>
      </w:r>
      <w:r w:rsidR="0039459F">
        <w:rPr>
          <w:rFonts w:ascii="Gill Sans MT" w:hAnsi="Gill Sans MT"/>
        </w:rPr>
        <w:t>’</w:t>
      </w:r>
      <w:r w:rsidR="00041872">
        <w:rPr>
          <w:rFonts w:ascii="Gill Sans MT" w:hAnsi="Gill Sans MT"/>
        </w:rPr>
        <w:t>?  The decision is made by some of the institutions that combine to establish the Queen-in-Parliament, but not all of the</w:t>
      </w:r>
      <w:r w:rsidR="002B00E1">
        <w:rPr>
          <w:rFonts w:ascii="Gill Sans MT" w:hAnsi="Gill Sans MT"/>
        </w:rPr>
        <w:t xml:space="preserve">m.  </w:t>
      </w:r>
      <w:r w:rsidR="00041872">
        <w:rPr>
          <w:rFonts w:ascii="Gill Sans MT" w:hAnsi="Gill Sans MT"/>
        </w:rPr>
        <w:t>Parliament</w:t>
      </w:r>
      <w:r w:rsidR="002B00E1">
        <w:rPr>
          <w:rFonts w:ascii="Gill Sans MT" w:hAnsi="Gill Sans MT"/>
        </w:rPr>
        <w:t xml:space="preserve"> ‘by itself’</w:t>
      </w:r>
      <w:r w:rsidR="00041872">
        <w:rPr>
          <w:rFonts w:ascii="Gill Sans MT" w:hAnsi="Gill Sans MT"/>
        </w:rPr>
        <w:t xml:space="preserve"> is no</w:t>
      </w:r>
      <w:r w:rsidR="002B00E1">
        <w:rPr>
          <w:rFonts w:ascii="Gill Sans MT" w:hAnsi="Gill Sans MT"/>
        </w:rPr>
        <w:t xml:space="preserve">t making these decisions, only a subset of the core three institutions.  </w:t>
      </w:r>
      <w:r w:rsidR="0039459F">
        <w:rPr>
          <w:rFonts w:ascii="Gill Sans MT" w:hAnsi="Gill Sans MT"/>
        </w:rPr>
        <w:t xml:space="preserve">But surely this does not mean </w:t>
      </w:r>
      <w:r w:rsidR="002B00E1">
        <w:rPr>
          <w:rFonts w:ascii="Gill Sans MT" w:hAnsi="Gill Sans MT"/>
        </w:rPr>
        <w:t>Parliament ‘by itself’</w:t>
      </w:r>
      <w:r w:rsidR="00041872">
        <w:rPr>
          <w:rFonts w:ascii="Gill Sans MT" w:hAnsi="Gill Sans MT"/>
        </w:rPr>
        <w:t xml:space="preserve"> </w:t>
      </w:r>
      <w:r w:rsidR="0039459F">
        <w:rPr>
          <w:rFonts w:ascii="Gill Sans MT" w:hAnsi="Gill Sans MT"/>
        </w:rPr>
        <w:t>has lost its sovereignty</w:t>
      </w:r>
      <w:r w:rsidR="00F44038">
        <w:rPr>
          <w:rFonts w:ascii="Gill Sans MT" w:hAnsi="Gill Sans MT"/>
        </w:rPr>
        <w:t>, which was used to establish the alternative process to begin with</w:t>
      </w:r>
      <w:r w:rsidR="0039459F">
        <w:rPr>
          <w:rFonts w:ascii="Gill Sans MT" w:hAnsi="Gill Sans MT"/>
        </w:rPr>
        <w:t xml:space="preserve">.  It might be the case that the Queen-in-Parliament could legislate to reverse a decision </w:t>
      </w:r>
      <w:r w:rsidR="00F44038">
        <w:rPr>
          <w:rFonts w:ascii="Gill Sans MT" w:hAnsi="Gill Sans MT"/>
        </w:rPr>
        <w:t xml:space="preserve">of the </w:t>
      </w:r>
      <w:r w:rsidR="0039459F">
        <w:rPr>
          <w:rFonts w:ascii="Gill Sans MT" w:hAnsi="Gill Sans MT"/>
        </w:rPr>
        <w:t>Commons and Queen, but the opposite is also true – the Parliament Acts 1911-49 could be used to reverse a decision of the Queen-in-Parliament.</w:t>
      </w:r>
    </w:p>
    <w:p w14:paraId="60BC100C" w14:textId="29C07C6B" w:rsidR="00041872" w:rsidRDefault="00041872" w:rsidP="00E05D29">
      <w:pPr>
        <w:spacing w:after="0"/>
        <w:jc w:val="both"/>
        <w:rPr>
          <w:rFonts w:ascii="Gill Sans MT" w:hAnsi="Gill Sans MT"/>
        </w:rPr>
      </w:pPr>
    </w:p>
    <w:p w14:paraId="28C1F7BB" w14:textId="0C1643A4" w:rsidR="00C90476" w:rsidRDefault="00BA6226" w:rsidP="00A45C0A">
      <w:pPr>
        <w:spacing w:after="0"/>
        <w:jc w:val="both"/>
        <w:rPr>
          <w:rFonts w:ascii="Gill Sans MT" w:hAnsi="Gill Sans MT"/>
        </w:rPr>
      </w:pPr>
      <w:r>
        <w:rPr>
          <w:rFonts w:ascii="Gill Sans MT" w:hAnsi="Gill Sans MT"/>
        </w:rPr>
        <w:t>Second, this</w:t>
      </w:r>
      <w:r w:rsidR="00041872">
        <w:rPr>
          <w:rFonts w:ascii="Gill Sans MT" w:hAnsi="Gill Sans MT"/>
        </w:rPr>
        <w:t xml:space="preserve"> reveals a distinction between different ideas which might form part of an account of parliamentary sovereignty</w:t>
      </w:r>
      <w:r w:rsidR="00A62652">
        <w:rPr>
          <w:rFonts w:ascii="Gill Sans MT" w:hAnsi="Gill Sans MT"/>
        </w:rPr>
        <w:t>: on one hand, Parliament’s sovereignty as ongoing power to make substantive decisions at any particular moment in time, compared</w:t>
      </w:r>
      <w:r w:rsidR="00F44038">
        <w:rPr>
          <w:rFonts w:ascii="Gill Sans MT" w:hAnsi="Gill Sans MT"/>
        </w:rPr>
        <w:t xml:space="preserve"> on the other hand</w:t>
      </w:r>
      <w:r w:rsidR="00A62652">
        <w:rPr>
          <w:rFonts w:ascii="Gill Sans MT" w:hAnsi="Gill Sans MT"/>
        </w:rPr>
        <w:t xml:space="preserve"> with Parliament’s sovereignty to control </w:t>
      </w:r>
      <w:r w:rsidR="00F44038">
        <w:rPr>
          <w:rFonts w:ascii="Gill Sans MT" w:hAnsi="Gill Sans MT"/>
        </w:rPr>
        <w:t>the</w:t>
      </w:r>
      <w:r w:rsidR="00A62652">
        <w:rPr>
          <w:rFonts w:ascii="Gill Sans MT" w:hAnsi="Gill Sans MT"/>
        </w:rPr>
        <w:t xml:space="preserve"> legislative process.  Sometimes this is understood as a difference between continuing and self-embracing sovereignty, and G</w:t>
      </w:r>
      <w:r w:rsidR="00363373">
        <w:rPr>
          <w:rFonts w:ascii="Gill Sans MT" w:hAnsi="Gill Sans MT"/>
        </w:rPr>
        <w:t>oldsworthy explicitly</w:t>
      </w:r>
      <w:r w:rsidR="00A62652">
        <w:rPr>
          <w:rFonts w:ascii="Gill Sans MT" w:hAnsi="Gill Sans MT"/>
        </w:rPr>
        <w:t xml:space="preserve"> relies on the idea that P</w:t>
      </w:r>
      <w:r w:rsidR="00363373">
        <w:rPr>
          <w:rFonts w:ascii="Gill Sans MT" w:hAnsi="Gill Sans MT"/>
        </w:rPr>
        <w:t>arliament</w:t>
      </w:r>
      <w:r w:rsidR="00A62652">
        <w:rPr>
          <w:rFonts w:ascii="Gill Sans MT" w:hAnsi="Gill Sans MT"/>
        </w:rPr>
        <w:t>’s sovereignty must be continuing (</w:t>
      </w:r>
      <w:r w:rsidR="00081A64">
        <w:rPr>
          <w:rFonts w:ascii="Gill Sans MT" w:hAnsi="Gill Sans MT"/>
        </w:rPr>
        <w:t>which he defines as ‘not</w:t>
      </w:r>
      <w:r w:rsidR="00A62652">
        <w:rPr>
          <w:rFonts w:ascii="Gill Sans MT" w:hAnsi="Gill Sans MT"/>
        </w:rPr>
        <w:t xml:space="preserve"> substantively diminished</w:t>
      </w:r>
      <w:r w:rsidR="00081A64">
        <w:rPr>
          <w:rFonts w:ascii="Gill Sans MT" w:hAnsi="Gill Sans MT"/>
        </w:rPr>
        <w:t>’</w:t>
      </w:r>
      <w:r w:rsidR="00A62652">
        <w:rPr>
          <w:rFonts w:ascii="Gill Sans MT" w:hAnsi="Gill Sans MT"/>
        </w:rPr>
        <w:t xml:space="preserve">) in his challenge to the manner and form theory.  I have argued that the distinction between continuing and self-embracing sovereignty is a problematic </w:t>
      </w:r>
      <w:r w:rsidR="00081A64">
        <w:rPr>
          <w:rFonts w:ascii="Gill Sans MT" w:hAnsi="Gill Sans MT"/>
        </w:rPr>
        <w:t>dichotomy</w:t>
      </w:r>
      <w:r w:rsidR="00A62652">
        <w:rPr>
          <w:rFonts w:ascii="Gill Sans MT" w:hAnsi="Gill Sans MT"/>
        </w:rPr>
        <w:t xml:space="preserve"> (or at least, an incomplete menu of possibilities) </w:t>
      </w:r>
      <w:r w:rsidR="00081A64">
        <w:rPr>
          <w:rFonts w:ascii="Gill Sans MT" w:hAnsi="Gill Sans MT"/>
        </w:rPr>
        <w:t xml:space="preserve">which </w:t>
      </w:r>
      <w:r w:rsidR="00A62652">
        <w:rPr>
          <w:rFonts w:ascii="Gill Sans MT" w:hAnsi="Gill Sans MT"/>
        </w:rPr>
        <w:t>does not necessarily capture the nuances of the manner and form theory.</w:t>
      </w:r>
      <w:r w:rsidR="00A62652">
        <w:rPr>
          <w:rStyle w:val="FootnoteReference"/>
          <w:rFonts w:ascii="Gill Sans MT" w:hAnsi="Gill Sans MT"/>
        </w:rPr>
        <w:footnoteReference w:id="11"/>
      </w:r>
      <w:r w:rsidR="00A62652">
        <w:rPr>
          <w:rFonts w:ascii="Gill Sans MT" w:hAnsi="Gill Sans MT"/>
        </w:rPr>
        <w:t xml:space="preserve">  </w:t>
      </w:r>
      <w:r w:rsidR="00081A64">
        <w:rPr>
          <w:rFonts w:ascii="Gill Sans MT" w:hAnsi="Gill Sans MT"/>
        </w:rPr>
        <w:t>For this approach</w:t>
      </w:r>
      <w:r w:rsidR="00A62652">
        <w:rPr>
          <w:rFonts w:ascii="Gill Sans MT" w:hAnsi="Gill Sans MT"/>
        </w:rPr>
        <w:t xml:space="preserve"> does not </w:t>
      </w:r>
      <w:r w:rsidR="009D4381">
        <w:rPr>
          <w:rFonts w:ascii="Gill Sans MT" w:hAnsi="Gill Sans MT"/>
        </w:rPr>
        <w:t>inherently aim</w:t>
      </w:r>
      <w:r w:rsidR="00A62652">
        <w:rPr>
          <w:rFonts w:ascii="Gill Sans MT" w:hAnsi="Gill Sans MT"/>
        </w:rPr>
        <w:t xml:space="preserve"> to </w:t>
      </w:r>
      <w:r w:rsidR="00081A64">
        <w:rPr>
          <w:rFonts w:ascii="Gill Sans MT" w:hAnsi="Gill Sans MT"/>
        </w:rPr>
        <w:t>establish a model of sovereignty which permits self-binding</w:t>
      </w:r>
      <w:r w:rsidR="00A62652">
        <w:rPr>
          <w:rFonts w:ascii="Gill Sans MT" w:hAnsi="Gill Sans MT"/>
        </w:rPr>
        <w:t>,</w:t>
      </w:r>
      <w:r w:rsidR="00A62652">
        <w:rPr>
          <w:rStyle w:val="FootnoteReference"/>
          <w:rFonts w:ascii="Gill Sans MT" w:hAnsi="Gill Sans MT"/>
        </w:rPr>
        <w:footnoteReference w:id="12"/>
      </w:r>
      <w:r w:rsidR="00A62652">
        <w:rPr>
          <w:rFonts w:ascii="Gill Sans MT" w:hAnsi="Gill Sans MT"/>
        </w:rPr>
        <w:t xml:space="preserve"> but </w:t>
      </w:r>
      <w:r w:rsidR="00081A64">
        <w:rPr>
          <w:rFonts w:ascii="Gill Sans MT" w:hAnsi="Gill Sans MT"/>
        </w:rPr>
        <w:t>instead to</w:t>
      </w:r>
      <w:r w:rsidR="00A62652">
        <w:rPr>
          <w:rFonts w:ascii="Gill Sans MT" w:hAnsi="Gill Sans MT"/>
        </w:rPr>
        <w:t xml:space="preserve"> reconcile tensions at the core of the idea of </w:t>
      </w:r>
      <w:r w:rsidR="00081A64">
        <w:rPr>
          <w:rFonts w:ascii="Gill Sans MT" w:hAnsi="Gill Sans MT"/>
        </w:rPr>
        <w:t>parliamentary</w:t>
      </w:r>
      <w:r w:rsidR="00A62652">
        <w:rPr>
          <w:rFonts w:ascii="Gill Sans MT" w:hAnsi="Gill Sans MT"/>
        </w:rPr>
        <w:t xml:space="preserve"> sovereignty.</w:t>
      </w:r>
      <w:r w:rsidR="00081A64">
        <w:rPr>
          <w:rFonts w:ascii="Gill Sans MT" w:hAnsi="Gill Sans MT"/>
        </w:rPr>
        <w:t xml:space="preserve">  Alternatively,</w:t>
      </w:r>
      <w:r w:rsidR="00A62652">
        <w:rPr>
          <w:rFonts w:ascii="Gill Sans MT" w:hAnsi="Gill Sans MT"/>
        </w:rPr>
        <w:t xml:space="preserve"> to fra</w:t>
      </w:r>
      <w:r w:rsidR="009D4381">
        <w:rPr>
          <w:rFonts w:ascii="Gill Sans MT" w:hAnsi="Gill Sans MT"/>
        </w:rPr>
        <w:t>me this</w:t>
      </w:r>
      <w:r w:rsidR="00A62652">
        <w:rPr>
          <w:rFonts w:ascii="Gill Sans MT" w:hAnsi="Gill Sans MT"/>
        </w:rPr>
        <w:t xml:space="preserve"> in the language of the</w:t>
      </w:r>
      <w:r w:rsidR="00341D87">
        <w:rPr>
          <w:rFonts w:ascii="Gill Sans MT" w:hAnsi="Gill Sans MT"/>
        </w:rPr>
        <w:t xml:space="preserve"> above</w:t>
      </w:r>
      <w:r w:rsidR="00A62652">
        <w:rPr>
          <w:rFonts w:ascii="Gill Sans MT" w:hAnsi="Gill Sans MT"/>
        </w:rPr>
        <w:t xml:space="preserve"> distinction between </w:t>
      </w:r>
      <w:r w:rsidR="00081A64">
        <w:rPr>
          <w:rFonts w:ascii="Gill Sans MT" w:hAnsi="Gill Sans MT"/>
        </w:rPr>
        <w:t>‘</w:t>
      </w:r>
      <w:r w:rsidR="00A62652">
        <w:rPr>
          <w:rFonts w:ascii="Gill Sans MT" w:hAnsi="Gill Sans MT"/>
        </w:rPr>
        <w:t>ongoing control over substantive decisions</w:t>
      </w:r>
      <w:r w:rsidR="00081A64">
        <w:rPr>
          <w:rFonts w:ascii="Gill Sans MT" w:hAnsi="Gill Sans MT"/>
        </w:rPr>
        <w:t>’</w:t>
      </w:r>
      <w:r w:rsidR="00A62652">
        <w:rPr>
          <w:rFonts w:ascii="Gill Sans MT" w:hAnsi="Gill Sans MT"/>
        </w:rPr>
        <w:t xml:space="preserve"> and </w:t>
      </w:r>
      <w:r w:rsidR="00081A64">
        <w:rPr>
          <w:rFonts w:ascii="Gill Sans MT" w:hAnsi="Gill Sans MT"/>
        </w:rPr>
        <w:t>‘</w:t>
      </w:r>
      <w:r w:rsidR="00A62652">
        <w:rPr>
          <w:rFonts w:ascii="Gill Sans MT" w:hAnsi="Gill Sans MT"/>
        </w:rPr>
        <w:t>control over the legislative process</w:t>
      </w:r>
      <w:r w:rsidR="00081A64">
        <w:rPr>
          <w:rFonts w:ascii="Gill Sans MT" w:hAnsi="Gill Sans MT"/>
        </w:rPr>
        <w:t>’</w:t>
      </w:r>
      <w:r w:rsidR="00A62652">
        <w:rPr>
          <w:rFonts w:ascii="Gill Sans MT" w:hAnsi="Gill Sans MT"/>
        </w:rPr>
        <w:t xml:space="preserve">, the manner and form theory attempts to bridge the gap between these </w:t>
      </w:r>
      <w:r w:rsidR="00A45C0A">
        <w:rPr>
          <w:rFonts w:ascii="Gill Sans MT" w:hAnsi="Gill Sans MT"/>
        </w:rPr>
        <w:t xml:space="preserve">two </w:t>
      </w:r>
      <w:r w:rsidR="00081A64">
        <w:rPr>
          <w:rFonts w:ascii="Gill Sans MT" w:hAnsi="Gill Sans MT"/>
        </w:rPr>
        <w:t>dimensions</w:t>
      </w:r>
      <w:r w:rsidR="00A45C0A">
        <w:rPr>
          <w:rFonts w:ascii="Gill Sans MT" w:hAnsi="Gill Sans MT"/>
        </w:rPr>
        <w:t xml:space="preserve"> of what it means </w:t>
      </w:r>
      <w:r w:rsidR="00081A64">
        <w:rPr>
          <w:rFonts w:ascii="Gill Sans MT" w:hAnsi="Gill Sans MT"/>
        </w:rPr>
        <w:t>for an institution to possess</w:t>
      </w:r>
      <w:r w:rsidR="00A45C0A">
        <w:rPr>
          <w:rFonts w:ascii="Gill Sans MT" w:hAnsi="Gill Sans MT"/>
        </w:rPr>
        <w:t xml:space="preserve"> legally unlimited power.</w:t>
      </w:r>
    </w:p>
    <w:p w14:paraId="666AF820" w14:textId="30BDC88E" w:rsidR="00A45C0A" w:rsidRDefault="00A45C0A" w:rsidP="00A45C0A">
      <w:pPr>
        <w:spacing w:after="0"/>
        <w:jc w:val="both"/>
        <w:rPr>
          <w:rFonts w:ascii="Gill Sans MT" w:hAnsi="Gill Sans MT"/>
        </w:rPr>
      </w:pPr>
    </w:p>
    <w:p w14:paraId="241357E1" w14:textId="0795AFFC" w:rsidR="00F93B3D" w:rsidRDefault="009F4CE7" w:rsidP="00A45C0A">
      <w:pPr>
        <w:spacing w:after="0"/>
        <w:jc w:val="both"/>
        <w:rPr>
          <w:rFonts w:ascii="Gill Sans MT" w:hAnsi="Gill Sans MT"/>
        </w:rPr>
      </w:pPr>
      <w:r>
        <w:rPr>
          <w:rFonts w:ascii="Gill Sans MT" w:hAnsi="Gill Sans MT"/>
        </w:rPr>
        <w:t xml:space="preserve">In effect, </w:t>
      </w:r>
      <w:r w:rsidR="00A45C0A">
        <w:rPr>
          <w:rFonts w:ascii="Gill Sans MT" w:hAnsi="Gill Sans MT"/>
        </w:rPr>
        <w:t>G</w:t>
      </w:r>
      <w:r>
        <w:rPr>
          <w:rFonts w:ascii="Gill Sans MT" w:hAnsi="Gill Sans MT"/>
        </w:rPr>
        <w:t xml:space="preserve">oldsworthy </w:t>
      </w:r>
      <w:r w:rsidR="00A45C0A">
        <w:rPr>
          <w:rFonts w:ascii="Gill Sans MT" w:hAnsi="Gill Sans MT"/>
        </w:rPr>
        <w:t xml:space="preserve">strikes a different balance between these two </w:t>
      </w:r>
      <w:r>
        <w:rPr>
          <w:rFonts w:ascii="Gill Sans MT" w:hAnsi="Gill Sans MT"/>
        </w:rPr>
        <w:t>dimensions</w:t>
      </w:r>
      <w:r w:rsidR="00A45C0A">
        <w:rPr>
          <w:rFonts w:ascii="Gill Sans MT" w:hAnsi="Gill Sans MT"/>
        </w:rPr>
        <w:t xml:space="preserve"> of parliamentary sovereignty – he does not tip the balance entirely in favour of ongoing control over substantive decisions, accepting that Parliament should have some control over the legislative process.  Yet </w:t>
      </w:r>
      <w:r>
        <w:rPr>
          <w:rFonts w:ascii="Gill Sans MT" w:hAnsi="Gill Sans MT"/>
        </w:rPr>
        <w:t>my argument is that</w:t>
      </w:r>
      <w:r w:rsidR="00A45C0A">
        <w:rPr>
          <w:rFonts w:ascii="Gill Sans MT" w:hAnsi="Gill Sans MT"/>
        </w:rPr>
        <w:t xml:space="preserve"> he draws the boundaries of what is possible too narrowly, in allowing only procedural or formal changes to the legislative process, and</w:t>
      </w:r>
      <w:r>
        <w:rPr>
          <w:rFonts w:ascii="Gill Sans MT" w:hAnsi="Gill Sans MT"/>
        </w:rPr>
        <w:t>, at least in principle,</w:t>
      </w:r>
      <w:r w:rsidR="00A45C0A">
        <w:rPr>
          <w:rFonts w:ascii="Gill Sans MT" w:hAnsi="Gill Sans MT"/>
        </w:rPr>
        <w:t xml:space="preserve"> excluding referendum </w:t>
      </w:r>
      <w:r>
        <w:rPr>
          <w:rFonts w:ascii="Gill Sans MT" w:hAnsi="Gill Sans MT"/>
        </w:rPr>
        <w:t>requirements</w:t>
      </w:r>
      <w:r w:rsidR="00A45C0A">
        <w:rPr>
          <w:rFonts w:ascii="Gill Sans MT" w:hAnsi="Gill Sans MT"/>
        </w:rPr>
        <w:t xml:space="preserve"> from his account.</w:t>
      </w:r>
      <w:r w:rsidR="00A45C0A">
        <w:rPr>
          <w:rStyle w:val="FootnoteReference"/>
          <w:rFonts w:ascii="Gill Sans MT" w:hAnsi="Gill Sans MT"/>
        </w:rPr>
        <w:footnoteReference w:id="13"/>
      </w:r>
      <w:r w:rsidR="00251DE6">
        <w:rPr>
          <w:rFonts w:ascii="Gill Sans MT" w:hAnsi="Gill Sans MT"/>
        </w:rPr>
        <w:t xml:space="preserve">  </w:t>
      </w:r>
      <w:r>
        <w:rPr>
          <w:rFonts w:ascii="Gill Sans MT" w:hAnsi="Gill Sans MT"/>
        </w:rPr>
        <w:t>Goldsworthy’s</w:t>
      </w:r>
      <w:r w:rsidR="00251DE6">
        <w:rPr>
          <w:rFonts w:ascii="Gill Sans MT" w:hAnsi="Gill Sans MT"/>
        </w:rPr>
        <w:t xml:space="preserve"> interpretation of </w:t>
      </w:r>
      <w:r>
        <w:rPr>
          <w:rFonts w:ascii="Gill Sans MT" w:hAnsi="Gill Sans MT"/>
        </w:rPr>
        <w:t>parliamentary sovereignty</w:t>
      </w:r>
      <w:r w:rsidR="00251DE6">
        <w:rPr>
          <w:rFonts w:ascii="Gill Sans MT" w:hAnsi="Gill Sans MT"/>
        </w:rPr>
        <w:t xml:space="preserve"> is clearly </w:t>
      </w:r>
      <w:r>
        <w:rPr>
          <w:rFonts w:ascii="Gill Sans MT" w:hAnsi="Gill Sans MT"/>
        </w:rPr>
        <w:t xml:space="preserve">a </w:t>
      </w:r>
      <w:r w:rsidR="00251DE6">
        <w:rPr>
          <w:rFonts w:ascii="Gill Sans MT" w:hAnsi="Gill Sans MT"/>
        </w:rPr>
        <w:t>coherent and in many ways attractive reconciliation of these two dimensions of sovereignty – but it is also open to the challenge it unduly constrains Parliament’s sovereignty, in insisting that purportedly unlimited legislative authority cannot be used to bring new institutions into the law-making process.</w:t>
      </w:r>
    </w:p>
    <w:p w14:paraId="0E7975F1" w14:textId="64AE62F5" w:rsidR="00A33496" w:rsidRDefault="00A33496" w:rsidP="00A45C0A">
      <w:pPr>
        <w:spacing w:after="0"/>
        <w:jc w:val="both"/>
        <w:rPr>
          <w:rFonts w:ascii="Gill Sans MT" w:hAnsi="Gill Sans MT"/>
        </w:rPr>
      </w:pPr>
    </w:p>
    <w:p w14:paraId="11174AFE" w14:textId="02EDBD61" w:rsidR="00A33496" w:rsidRDefault="00D12CCA" w:rsidP="00A45C0A">
      <w:pPr>
        <w:spacing w:after="0"/>
        <w:jc w:val="both"/>
        <w:rPr>
          <w:rFonts w:ascii="Gill Sans MT" w:hAnsi="Gill Sans MT"/>
        </w:rPr>
      </w:pPr>
      <w:r>
        <w:rPr>
          <w:rFonts w:ascii="Gill Sans MT" w:hAnsi="Gill Sans MT"/>
        </w:rPr>
        <w:t>It is d</w:t>
      </w:r>
      <w:r w:rsidR="00A33496">
        <w:rPr>
          <w:rFonts w:ascii="Gill Sans MT" w:hAnsi="Gill Sans MT"/>
        </w:rPr>
        <w:t xml:space="preserve">ifficult to establish at a purely conceptual level which of these accounts (or indeed some other, perhaps purely ‘continuing’ model of sovereignty) offers the definitively correct way to reconcile potentially competing ideas internal to the idea of unlimited authority.  While </w:t>
      </w:r>
      <w:r>
        <w:rPr>
          <w:rFonts w:ascii="Gill Sans MT" w:hAnsi="Gill Sans MT"/>
        </w:rPr>
        <w:t>it is interesting and important</w:t>
      </w:r>
      <w:r w:rsidR="00A33496">
        <w:rPr>
          <w:rFonts w:ascii="Gill Sans MT" w:hAnsi="Gill Sans MT"/>
        </w:rPr>
        <w:t xml:space="preserve"> to debate which </w:t>
      </w:r>
      <w:r>
        <w:rPr>
          <w:rFonts w:ascii="Gill Sans MT" w:hAnsi="Gill Sans MT"/>
        </w:rPr>
        <w:t xml:space="preserve">model </w:t>
      </w:r>
      <w:r w:rsidR="00A33496">
        <w:rPr>
          <w:rFonts w:ascii="Gill Sans MT" w:hAnsi="Gill Sans MT"/>
        </w:rPr>
        <w:t xml:space="preserve">strikes the best balance, to some extent </w:t>
      </w:r>
      <w:r>
        <w:rPr>
          <w:rFonts w:ascii="Gill Sans MT" w:hAnsi="Gill Sans MT"/>
        </w:rPr>
        <w:t>this</w:t>
      </w:r>
      <w:r w:rsidR="00A33496">
        <w:rPr>
          <w:rFonts w:ascii="Gill Sans MT" w:hAnsi="Gill Sans MT"/>
        </w:rPr>
        <w:t xml:space="preserve"> is unlikely to be </w:t>
      </w:r>
      <w:r w:rsidR="00623EF2">
        <w:rPr>
          <w:rFonts w:ascii="Gill Sans MT" w:hAnsi="Gill Sans MT"/>
        </w:rPr>
        <w:t xml:space="preserve">decisively </w:t>
      </w:r>
      <w:r w:rsidR="00A33496">
        <w:rPr>
          <w:rFonts w:ascii="Gill Sans MT" w:hAnsi="Gill Sans MT"/>
        </w:rPr>
        <w:t>resolved</w:t>
      </w:r>
      <w:r>
        <w:rPr>
          <w:rFonts w:ascii="Gill Sans MT" w:hAnsi="Gill Sans MT"/>
        </w:rPr>
        <w:t xml:space="preserve">, given </w:t>
      </w:r>
      <w:r w:rsidR="00AB357D">
        <w:rPr>
          <w:rFonts w:ascii="Gill Sans MT" w:hAnsi="Gill Sans MT"/>
        </w:rPr>
        <w:t>the</w:t>
      </w:r>
      <w:r>
        <w:rPr>
          <w:rFonts w:ascii="Gill Sans MT" w:hAnsi="Gill Sans MT"/>
        </w:rPr>
        <w:t xml:space="preserve"> tensions </w:t>
      </w:r>
      <w:r w:rsidR="00AB357D">
        <w:rPr>
          <w:rFonts w:ascii="Gill Sans MT" w:hAnsi="Gill Sans MT"/>
        </w:rPr>
        <w:t xml:space="preserve">are </w:t>
      </w:r>
      <w:r w:rsidR="00833EE6">
        <w:rPr>
          <w:rFonts w:ascii="Gill Sans MT" w:hAnsi="Gill Sans MT"/>
        </w:rPr>
        <w:t xml:space="preserve">inherent </w:t>
      </w:r>
      <w:r>
        <w:rPr>
          <w:rFonts w:ascii="Gill Sans MT" w:hAnsi="Gill Sans MT"/>
        </w:rPr>
        <w:t>in the idea of sovereignty</w:t>
      </w:r>
      <w:r w:rsidR="00A33496">
        <w:rPr>
          <w:rFonts w:ascii="Gill Sans MT" w:hAnsi="Gill Sans MT"/>
        </w:rPr>
        <w:t>.  Instead, as I tried to argue in my book, we have another way of settling these issues – looking at constitutional practice to determine which of them best explains or maps onto the actions of our legal and political institutions.</w:t>
      </w:r>
    </w:p>
    <w:p w14:paraId="429EAC20" w14:textId="5C3E323F" w:rsidR="00154839" w:rsidRDefault="00154839" w:rsidP="00A45C0A">
      <w:pPr>
        <w:spacing w:after="0"/>
        <w:jc w:val="both"/>
        <w:rPr>
          <w:rFonts w:ascii="Gill Sans MT" w:hAnsi="Gill Sans MT"/>
        </w:rPr>
      </w:pPr>
    </w:p>
    <w:p w14:paraId="591A86EF" w14:textId="53E6119A" w:rsidR="00154839" w:rsidRDefault="00F93B3D" w:rsidP="00A45C0A">
      <w:pPr>
        <w:spacing w:after="0"/>
        <w:jc w:val="both"/>
        <w:rPr>
          <w:rFonts w:ascii="Gill Sans MT" w:hAnsi="Gill Sans MT"/>
        </w:rPr>
      </w:pPr>
      <w:r>
        <w:rPr>
          <w:rFonts w:ascii="Gill Sans MT" w:hAnsi="Gill Sans MT"/>
        </w:rPr>
        <w:t>When we consider that the UK Parliament has, in a number of instances, legislated to incorporate referendum requirements into the legislative process, that starts to tip the balance towards the manner and form understanding of sovereignty.  For when there is</w:t>
      </w:r>
      <w:r w:rsidR="00833EE6">
        <w:rPr>
          <w:rFonts w:ascii="Gill Sans MT" w:hAnsi="Gill Sans MT"/>
        </w:rPr>
        <w:t xml:space="preserve"> legitimate</w:t>
      </w:r>
      <w:r>
        <w:rPr>
          <w:rFonts w:ascii="Gill Sans MT" w:hAnsi="Gill Sans MT"/>
        </w:rPr>
        <w:t xml:space="preserve"> uncertainty about how this doctrine is to be defined, and the implications which flow from it, we should take very seriously the view Parliament has of its own sovereignty, rather than impose </w:t>
      </w:r>
      <w:r w:rsidR="00833EE6">
        <w:rPr>
          <w:rFonts w:ascii="Gill Sans MT" w:hAnsi="Gill Sans MT"/>
        </w:rPr>
        <w:t xml:space="preserve">conceptual </w:t>
      </w:r>
      <w:r>
        <w:rPr>
          <w:rFonts w:ascii="Gill Sans MT" w:hAnsi="Gill Sans MT"/>
        </w:rPr>
        <w:t>constraints on what Parliament can do</w:t>
      </w:r>
      <w:r w:rsidR="00833EE6">
        <w:rPr>
          <w:rFonts w:ascii="Gill Sans MT" w:hAnsi="Gill Sans MT"/>
        </w:rPr>
        <w:t xml:space="preserve"> in the abstract.</w:t>
      </w:r>
    </w:p>
    <w:p w14:paraId="04C4E812" w14:textId="1107B49D" w:rsidR="00F93B3D" w:rsidRDefault="00F93B3D" w:rsidP="00A45C0A">
      <w:pPr>
        <w:spacing w:after="0"/>
        <w:jc w:val="both"/>
        <w:rPr>
          <w:rFonts w:ascii="Gill Sans MT" w:hAnsi="Gill Sans MT"/>
        </w:rPr>
      </w:pPr>
    </w:p>
    <w:p w14:paraId="6FA895BE" w14:textId="4F7134A1" w:rsidR="00F93B3D" w:rsidRDefault="00F93B3D" w:rsidP="00A45C0A">
      <w:pPr>
        <w:spacing w:after="0"/>
        <w:jc w:val="both"/>
        <w:rPr>
          <w:rFonts w:ascii="Gill Sans MT" w:hAnsi="Gill Sans MT"/>
        </w:rPr>
      </w:pPr>
      <w:r>
        <w:rPr>
          <w:rFonts w:ascii="Gill Sans MT" w:hAnsi="Gill Sans MT"/>
        </w:rPr>
        <w:t>G</w:t>
      </w:r>
      <w:r w:rsidR="00833EE6">
        <w:rPr>
          <w:rFonts w:ascii="Gill Sans MT" w:hAnsi="Gill Sans MT"/>
        </w:rPr>
        <w:t>oldsworthy’s</w:t>
      </w:r>
      <w:r>
        <w:rPr>
          <w:rFonts w:ascii="Gill Sans MT" w:hAnsi="Gill Sans MT"/>
        </w:rPr>
        <w:t xml:space="preserve"> response </w:t>
      </w:r>
      <w:r w:rsidR="00833EE6">
        <w:rPr>
          <w:rFonts w:ascii="Gill Sans MT" w:hAnsi="Gill Sans MT"/>
        </w:rPr>
        <w:t xml:space="preserve">to this </w:t>
      </w:r>
      <w:r>
        <w:rPr>
          <w:rFonts w:ascii="Gill Sans MT" w:hAnsi="Gill Sans MT"/>
        </w:rPr>
        <w:t>might be that his theory is equally compatible with UK constitutional practice to this point, because all referendum requirements so far have been unentrenched, and therefore easily removable.  G</w:t>
      </w:r>
      <w:r w:rsidR="00833EE6">
        <w:rPr>
          <w:rFonts w:ascii="Gill Sans MT" w:hAnsi="Gill Sans MT"/>
        </w:rPr>
        <w:t>oldsworthy</w:t>
      </w:r>
      <w:r>
        <w:rPr>
          <w:rFonts w:ascii="Gill Sans MT" w:hAnsi="Gill Sans MT"/>
        </w:rPr>
        <w:t xml:space="preserve"> argues this makes them primar</w:t>
      </w:r>
      <w:r w:rsidR="00833EE6">
        <w:rPr>
          <w:rFonts w:ascii="Gill Sans MT" w:hAnsi="Gill Sans MT"/>
        </w:rPr>
        <w:t>i</w:t>
      </w:r>
      <w:r>
        <w:rPr>
          <w:rFonts w:ascii="Gill Sans MT" w:hAnsi="Gill Sans MT"/>
        </w:rPr>
        <w:t>ly limits of form, because they can be removed by a simple Act of Parliament, which therefore does not diminish P</w:t>
      </w:r>
      <w:r w:rsidR="00833EE6">
        <w:rPr>
          <w:rFonts w:ascii="Gill Sans MT" w:hAnsi="Gill Sans MT"/>
        </w:rPr>
        <w:t>arliament</w:t>
      </w:r>
      <w:r>
        <w:rPr>
          <w:rFonts w:ascii="Gill Sans MT" w:hAnsi="Gill Sans MT"/>
        </w:rPr>
        <w:t>’s substantive power.</w:t>
      </w:r>
      <w:r w:rsidR="00833EE6">
        <w:rPr>
          <w:rStyle w:val="FootnoteReference"/>
          <w:rFonts w:ascii="Gill Sans MT" w:hAnsi="Gill Sans MT"/>
        </w:rPr>
        <w:footnoteReference w:id="14"/>
      </w:r>
      <w:r>
        <w:rPr>
          <w:rFonts w:ascii="Gill Sans MT" w:hAnsi="Gill Sans MT"/>
        </w:rPr>
        <w:t xml:space="preserve">  </w:t>
      </w:r>
      <w:r w:rsidR="000E4D1D">
        <w:rPr>
          <w:rFonts w:ascii="Gill Sans MT" w:hAnsi="Gill Sans MT"/>
        </w:rPr>
        <w:t>That</w:t>
      </w:r>
      <w:r>
        <w:rPr>
          <w:rFonts w:ascii="Gill Sans MT" w:hAnsi="Gill Sans MT"/>
        </w:rPr>
        <w:t xml:space="preserve"> may be true, but the issue here is also the impact that referendum requirements have on </w:t>
      </w:r>
      <w:r w:rsidR="000E4D1D">
        <w:rPr>
          <w:rFonts w:ascii="Gill Sans MT" w:hAnsi="Gill Sans MT"/>
        </w:rPr>
        <w:t>parliamentary sovereignty</w:t>
      </w:r>
      <w:r>
        <w:rPr>
          <w:rFonts w:ascii="Gill Sans MT" w:hAnsi="Gill Sans MT"/>
        </w:rPr>
        <w:t xml:space="preserve"> if they are </w:t>
      </w:r>
      <w:r w:rsidRPr="00F44531">
        <w:rPr>
          <w:rFonts w:ascii="Gill Sans MT" w:hAnsi="Gill Sans MT"/>
        </w:rPr>
        <w:t>not</w:t>
      </w:r>
      <w:r>
        <w:rPr>
          <w:rFonts w:ascii="Gill Sans MT" w:hAnsi="Gill Sans MT"/>
        </w:rPr>
        <w:t xml:space="preserve"> </w:t>
      </w:r>
      <w:r w:rsidR="00F44531">
        <w:rPr>
          <w:rFonts w:ascii="Gill Sans MT" w:hAnsi="Gill Sans MT"/>
        </w:rPr>
        <w:t>bypassed</w:t>
      </w:r>
      <w:r>
        <w:rPr>
          <w:rFonts w:ascii="Gill Sans MT" w:hAnsi="Gill Sans MT"/>
        </w:rPr>
        <w:t>, and instead P</w:t>
      </w:r>
      <w:r w:rsidR="00F44531">
        <w:rPr>
          <w:rFonts w:ascii="Gill Sans MT" w:hAnsi="Gill Sans MT"/>
        </w:rPr>
        <w:t>arliament</w:t>
      </w:r>
      <w:r>
        <w:rPr>
          <w:rFonts w:ascii="Gill Sans MT" w:hAnsi="Gill Sans MT"/>
        </w:rPr>
        <w:t xml:space="preserve"> is legally required to comply with them.  At this point, </w:t>
      </w:r>
      <w:r w:rsidR="00A31367">
        <w:rPr>
          <w:rFonts w:ascii="Gill Sans MT" w:hAnsi="Gill Sans MT"/>
        </w:rPr>
        <w:t>on G</w:t>
      </w:r>
      <w:r w:rsidR="00F44531">
        <w:rPr>
          <w:rFonts w:ascii="Gill Sans MT" w:hAnsi="Gill Sans MT"/>
        </w:rPr>
        <w:t>oldsworthy</w:t>
      </w:r>
      <w:r w:rsidR="00A31367">
        <w:rPr>
          <w:rFonts w:ascii="Gill Sans MT" w:hAnsi="Gill Sans MT"/>
        </w:rPr>
        <w:t>’s approach we have an external body</w:t>
      </w:r>
      <w:r w:rsidR="009263A4">
        <w:rPr>
          <w:rFonts w:ascii="Gill Sans MT" w:hAnsi="Gill Sans MT"/>
        </w:rPr>
        <w:t xml:space="preserve"> which Parliament is (under the current law) legally obliged to include in certain decisions about law-making.  If so</w:t>
      </w:r>
      <w:r w:rsidR="000F148B">
        <w:rPr>
          <w:rFonts w:ascii="Gill Sans MT" w:hAnsi="Gill Sans MT"/>
        </w:rPr>
        <w:t>,</w:t>
      </w:r>
      <w:r w:rsidR="009263A4">
        <w:rPr>
          <w:rFonts w:ascii="Gill Sans MT" w:hAnsi="Gill Sans MT"/>
        </w:rPr>
        <w:t xml:space="preserve"> that seems to run into the objection he poses to my theory – that Parliament itself cannot legislate alone</w:t>
      </w:r>
      <w:r w:rsidR="0028488A">
        <w:rPr>
          <w:rFonts w:ascii="Gill Sans MT" w:hAnsi="Gill Sans MT"/>
        </w:rPr>
        <w:t>, and its sovereignty becomes contingent on whether the referendum requirement is bypassed, not whether it can be</w:t>
      </w:r>
      <w:r w:rsidR="000F148B">
        <w:rPr>
          <w:rFonts w:ascii="Gill Sans MT" w:hAnsi="Gill Sans MT"/>
        </w:rPr>
        <w:t xml:space="preserve"> bypassed</w:t>
      </w:r>
      <w:r w:rsidR="009263A4">
        <w:rPr>
          <w:rFonts w:ascii="Gill Sans MT" w:hAnsi="Gill Sans MT"/>
        </w:rPr>
        <w:t xml:space="preserve">.  As noted above, my preferred solution is that we </w:t>
      </w:r>
      <w:r w:rsidR="008370D2">
        <w:rPr>
          <w:rFonts w:ascii="Gill Sans MT" w:hAnsi="Gill Sans MT"/>
        </w:rPr>
        <w:t xml:space="preserve">accept </w:t>
      </w:r>
      <w:r w:rsidR="009263A4">
        <w:rPr>
          <w:rFonts w:ascii="Gill Sans MT" w:hAnsi="Gill Sans MT"/>
        </w:rPr>
        <w:t>Parliament’s sovereignty is not extinguished</w:t>
      </w:r>
      <w:r w:rsidR="008370D2">
        <w:rPr>
          <w:rFonts w:ascii="Gill Sans MT" w:hAnsi="Gill Sans MT"/>
        </w:rPr>
        <w:t xml:space="preserve"> when it is used to alter the legislative process</w:t>
      </w:r>
      <w:r w:rsidR="000F148B">
        <w:rPr>
          <w:rFonts w:ascii="Gill Sans MT" w:hAnsi="Gill Sans MT"/>
        </w:rPr>
        <w:t xml:space="preserve"> in this way</w:t>
      </w:r>
      <w:r w:rsidR="0028488A">
        <w:rPr>
          <w:rFonts w:ascii="Gill Sans MT" w:hAnsi="Gill Sans MT"/>
        </w:rPr>
        <w:t>.  This all</w:t>
      </w:r>
      <w:r w:rsidR="008370D2">
        <w:rPr>
          <w:rFonts w:ascii="Gill Sans MT" w:hAnsi="Gill Sans MT"/>
        </w:rPr>
        <w:t>ows us to take the referendum at face value, recognising the full constitutional significance and force of referring a decision to the people directly, rather than reframing it as a technical limit which can be easily worked around.</w:t>
      </w:r>
    </w:p>
    <w:p w14:paraId="62CB7454" w14:textId="323AA85D" w:rsidR="00F93B3D" w:rsidRDefault="00F93B3D" w:rsidP="00A45C0A">
      <w:pPr>
        <w:spacing w:after="0"/>
        <w:jc w:val="both"/>
        <w:rPr>
          <w:rFonts w:ascii="Gill Sans MT" w:hAnsi="Gill Sans MT"/>
        </w:rPr>
      </w:pPr>
    </w:p>
    <w:p w14:paraId="5C773830" w14:textId="6A0ACFFC" w:rsidR="007701D9" w:rsidRDefault="003A7FE3" w:rsidP="00A45C0A">
      <w:pPr>
        <w:spacing w:after="0"/>
        <w:jc w:val="both"/>
        <w:rPr>
          <w:rFonts w:ascii="Gill Sans MT" w:hAnsi="Gill Sans MT"/>
        </w:rPr>
      </w:pPr>
      <w:r>
        <w:rPr>
          <w:rFonts w:ascii="Gill Sans MT" w:hAnsi="Gill Sans MT"/>
        </w:rPr>
        <w:t xml:space="preserve">The distinction made above between sovereignty as </w:t>
      </w:r>
      <w:r w:rsidR="008B5F07">
        <w:rPr>
          <w:rFonts w:ascii="Gill Sans MT" w:hAnsi="Gill Sans MT"/>
        </w:rPr>
        <w:t>‘</w:t>
      </w:r>
      <w:r>
        <w:rPr>
          <w:rFonts w:ascii="Gill Sans MT" w:hAnsi="Gill Sans MT"/>
        </w:rPr>
        <w:t>ongoing control over substantive decisions</w:t>
      </w:r>
      <w:r w:rsidR="008B5F07">
        <w:rPr>
          <w:rFonts w:ascii="Gill Sans MT" w:hAnsi="Gill Sans MT"/>
        </w:rPr>
        <w:t>’</w:t>
      </w:r>
      <w:r>
        <w:rPr>
          <w:rFonts w:ascii="Gill Sans MT" w:hAnsi="Gill Sans MT"/>
        </w:rPr>
        <w:t xml:space="preserve"> and sovereignty as </w:t>
      </w:r>
      <w:r w:rsidR="008B5F07">
        <w:rPr>
          <w:rFonts w:ascii="Gill Sans MT" w:hAnsi="Gill Sans MT"/>
        </w:rPr>
        <w:t>‘</w:t>
      </w:r>
      <w:r>
        <w:rPr>
          <w:rFonts w:ascii="Gill Sans MT" w:hAnsi="Gill Sans MT"/>
        </w:rPr>
        <w:t>control over legislative process</w:t>
      </w:r>
      <w:r w:rsidR="008B5F07">
        <w:rPr>
          <w:rFonts w:ascii="Gill Sans MT" w:hAnsi="Gill Sans MT"/>
        </w:rPr>
        <w:t>’</w:t>
      </w:r>
      <w:r>
        <w:rPr>
          <w:rFonts w:ascii="Gill Sans MT" w:hAnsi="Gill Sans MT"/>
        </w:rPr>
        <w:t xml:space="preserve"> also</w:t>
      </w:r>
      <w:r w:rsidR="00F93B3D">
        <w:rPr>
          <w:rFonts w:ascii="Gill Sans MT" w:hAnsi="Gill Sans MT"/>
        </w:rPr>
        <w:t xml:space="preserve"> allows me to</w:t>
      </w:r>
      <w:r>
        <w:rPr>
          <w:rFonts w:ascii="Gill Sans MT" w:hAnsi="Gill Sans MT"/>
        </w:rPr>
        <w:t xml:space="preserve"> respond to</w:t>
      </w:r>
      <w:r w:rsidR="00F93B3D">
        <w:rPr>
          <w:rFonts w:ascii="Gill Sans MT" w:hAnsi="Gill Sans MT"/>
        </w:rPr>
        <w:t xml:space="preserve"> </w:t>
      </w:r>
      <w:r>
        <w:rPr>
          <w:rFonts w:ascii="Gill Sans MT" w:hAnsi="Gill Sans MT"/>
        </w:rPr>
        <w:t xml:space="preserve">Goldsworthy’s important </w:t>
      </w:r>
      <w:r w:rsidR="002C240C">
        <w:rPr>
          <w:rFonts w:ascii="Gill Sans MT" w:hAnsi="Gill Sans MT"/>
        </w:rPr>
        <w:t>comparison with</w:t>
      </w:r>
      <w:r w:rsidR="00F93B3D">
        <w:rPr>
          <w:rFonts w:ascii="Gill Sans MT" w:hAnsi="Gill Sans MT"/>
        </w:rPr>
        <w:t xml:space="preserve"> </w:t>
      </w:r>
      <w:r>
        <w:rPr>
          <w:rFonts w:ascii="Gill Sans MT" w:hAnsi="Gill Sans MT"/>
        </w:rPr>
        <w:t xml:space="preserve">the </w:t>
      </w:r>
      <w:r w:rsidR="00F93B3D">
        <w:rPr>
          <w:rFonts w:ascii="Gill Sans MT" w:hAnsi="Gill Sans MT"/>
        </w:rPr>
        <w:t>Aus</w:t>
      </w:r>
      <w:r>
        <w:rPr>
          <w:rFonts w:ascii="Gill Sans MT" w:hAnsi="Gill Sans MT"/>
        </w:rPr>
        <w:t>tralian</w:t>
      </w:r>
      <w:r w:rsidR="00F93B3D">
        <w:rPr>
          <w:rFonts w:ascii="Gill Sans MT" w:hAnsi="Gill Sans MT"/>
        </w:rPr>
        <w:t xml:space="preserve"> Con</w:t>
      </w:r>
      <w:r>
        <w:rPr>
          <w:rFonts w:ascii="Gill Sans MT" w:hAnsi="Gill Sans MT"/>
        </w:rPr>
        <w:t xml:space="preserve">stitution.  Goldsworthy argues I am </w:t>
      </w:r>
      <w:r w:rsidR="00345355">
        <w:rPr>
          <w:rFonts w:ascii="Gill Sans MT" w:hAnsi="Gill Sans MT"/>
        </w:rPr>
        <w:t xml:space="preserve">effectively </w:t>
      </w:r>
      <w:r>
        <w:rPr>
          <w:rFonts w:ascii="Gill Sans MT" w:hAnsi="Gill Sans MT"/>
        </w:rPr>
        <w:t xml:space="preserve">committed to the position that the Australian Parliament </w:t>
      </w:r>
      <w:r w:rsidR="008B5F07">
        <w:rPr>
          <w:rFonts w:ascii="Gill Sans MT" w:hAnsi="Gill Sans MT"/>
        </w:rPr>
        <w:t>is sovereign and ‘has full substantive power’ to amend the Australian Constitution</w:t>
      </w:r>
      <w:r w:rsidR="007701D9">
        <w:rPr>
          <w:rFonts w:ascii="Gill Sans MT" w:hAnsi="Gill Sans MT"/>
        </w:rPr>
        <w:t xml:space="preserve">, even though </w:t>
      </w:r>
      <w:r w:rsidR="00671DD9">
        <w:rPr>
          <w:rFonts w:ascii="Gill Sans MT" w:hAnsi="Gill Sans MT"/>
        </w:rPr>
        <w:t>that is subject to approval at referendums</w:t>
      </w:r>
      <w:r w:rsidR="007701D9">
        <w:rPr>
          <w:rFonts w:ascii="Gill Sans MT" w:hAnsi="Gill Sans MT"/>
        </w:rPr>
        <w:t>.</w:t>
      </w:r>
      <w:r w:rsidR="007701D9">
        <w:rPr>
          <w:rStyle w:val="FootnoteReference"/>
          <w:rFonts w:ascii="Gill Sans MT" w:hAnsi="Gill Sans MT"/>
        </w:rPr>
        <w:footnoteReference w:id="15"/>
      </w:r>
      <w:r w:rsidR="007701D9">
        <w:rPr>
          <w:rFonts w:ascii="Gill Sans MT" w:hAnsi="Gill Sans MT"/>
        </w:rPr>
        <w:t xml:space="preserve">  </w:t>
      </w:r>
    </w:p>
    <w:p w14:paraId="51DA621E" w14:textId="77777777" w:rsidR="007701D9" w:rsidRDefault="007701D9" w:rsidP="00A45C0A">
      <w:pPr>
        <w:spacing w:after="0"/>
        <w:jc w:val="both"/>
        <w:rPr>
          <w:rFonts w:ascii="Gill Sans MT" w:hAnsi="Gill Sans MT"/>
        </w:rPr>
      </w:pPr>
    </w:p>
    <w:p w14:paraId="3AAB219E" w14:textId="44FCD81C" w:rsidR="00345355" w:rsidRDefault="003A7FE3" w:rsidP="00345355">
      <w:pPr>
        <w:spacing w:after="0"/>
        <w:jc w:val="both"/>
        <w:rPr>
          <w:rFonts w:ascii="Gill Sans MT" w:hAnsi="Gill Sans MT"/>
        </w:rPr>
      </w:pPr>
      <w:r>
        <w:rPr>
          <w:rFonts w:ascii="Gill Sans MT" w:hAnsi="Gill Sans MT"/>
        </w:rPr>
        <w:t xml:space="preserve">In the UK, however, any manner and form </w:t>
      </w:r>
      <w:r w:rsidR="00F93B3D">
        <w:rPr>
          <w:rFonts w:ascii="Gill Sans MT" w:hAnsi="Gill Sans MT"/>
        </w:rPr>
        <w:t xml:space="preserve">limits come from </w:t>
      </w:r>
      <w:r>
        <w:rPr>
          <w:rFonts w:ascii="Gill Sans MT" w:hAnsi="Gill Sans MT"/>
        </w:rPr>
        <w:t>an</w:t>
      </w:r>
      <w:r w:rsidR="00F93B3D">
        <w:rPr>
          <w:rFonts w:ascii="Gill Sans MT" w:hAnsi="Gill Sans MT"/>
        </w:rPr>
        <w:t xml:space="preserve"> exercise of </w:t>
      </w:r>
      <w:r>
        <w:rPr>
          <w:rFonts w:ascii="Gill Sans MT" w:hAnsi="Gill Sans MT"/>
        </w:rPr>
        <w:t xml:space="preserve">Parliament’s </w:t>
      </w:r>
      <w:r w:rsidR="00F93B3D">
        <w:rPr>
          <w:rFonts w:ascii="Gill Sans MT" w:hAnsi="Gill Sans MT"/>
        </w:rPr>
        <w:t>sovereignty</w:t>
      </w:r>
      <w:r w:rsidR="000F148B">
        <w:rPr>
          <w:rFonts w:ascii="Gill Sans MT" w:hAnsi="Gill Sans MT"/>
        </w:rPr>
        <w:t>,</w:t>
      </w:r>
      <w:r w:rsidR="00F93B3D">
        <w:rPr>
          <w:rFonts w:ascii="Gill Sans MT" w:hAnsi="Gill Sans MT"/>
        </w:rPr>
        <w:t xml:space="preserve"> not from a codified constitutional text.  </w:t>
      </w:r>
      <w:r w:rsidR="00671DD9">
        <w:rPr>
          <w:rFonts w:ascii="Gill Sans MT" w:hAnsi="Gill Sans MT"/>
        </w:rPr>
        <w:t>It is s</w:t>
      </w:r>
      <w:r w:rsidR="00F93B3D">
        <w:rPr>
          <w:rFonts w:ascii="Gill Sans MT" w:hAnsi="Gill Sans MT"/>
        </w:rPr>
        <w:t>ignificant and different that statutory conditions are self-imposed through an exercise of legislat</w:t>
      </w:r>
      <w:r w:rsidR="006A7D0E">
        <w:rPr>
          <w:rFonts w:ascii="Gill Sans MT" w:hAnsi="Gill Sans MT"/>
        </w:rPr>
        <w:t>ive</w:t>
      </w:r>
      <w:r w:rsidR="00F93B3D">
        <w:rPr>
          <w:rFonts w:ascii="Gill Sans MT" w:hAnsi="Gill Sans MT"/>
        </w:rPr>
        <w:t xml:space="preserve"> sovereignty, rather than established </w:t>
      </w:r>
      <w:r w:rsidR="002C240C">
        <w:rPr>
          <w:rFonts w:ascii="Gill Sans MT" w:hAnsi="Gill Sans MT"/>
        </w:rPr>
        <w:t xml:space="preserve">by a Constitution </w:t>
      </w:r>
      <w:r w:rsidR="00F93B3D">
        <w:rPr>
          <w:rFonts w:ascii="Gill Sans MT" w:hAnsi="Gill Sans MT"/>
        </w:rPr>
        <w:t xml:space="preserve">and </w:t>
      </w:r>
      <w:r w:rsidR="002C240C">
        <w:rPr>
          <w:rFonts w:ascii="Gill Sans MT" w:hAnsi="Gill Sans MT"/>
        </w:rPr>
        <w:t>alterable according to a specified constitutional amendment process</w:t>
      </w:r>
      <w:r w:rsidR="00F93B3D">
        <w:rPr>
          <w:rFonts w:ascii="Gill Sans MT" w:hAnsi="Gill Sans MT"/>
        </w:rPr>
        <w:t xml:space="preserve">.  </w:t>
      </w:r>
      <w:r w:rsidR="00345355">
        <w:rPr>
          <w:rFonts w:ascii="Gill Sans MT" w:hAnsi="Gill Sans MT"/>
        </w:rPr>
        <w:t>Of course in a constitution where Parliament impose</w:t>
      </w:r>
      <w:r w:rsidR="006A7D0E">
        <w:rPr>
          <w:rFonts w:ascii="Gill Sans MT" w:hAnsi="Gill Sans MT"/>
        </w:rPr>
        <w:t>d</w:t>
      </w:r>
      <w:r w:rsidR="00345355">
        <w:rPr>
          <w:rFonts w:ascii="Gill Sans MT" w:hAnsi="Gill Sans MT"/>
        </w:rPr>
        <w:t xml:space="preserve"> a range of strongly entrenched </w:t>
      </w:r>
      <w:r w:rsidR="00DE53DB">
        <w:rPr>
          <w:rFonts w:ascii="Gill Sans MT" w:hAnsi="Gill Sans MT"/>
        </w:rPr>
        <w:t>alterations</w:t>
      </w:r>
      <w:r w:rsidR="00345355">
        <w:rPr>
          <w:rFonts w:ascii="Gill Sans MT" w:hAnsi="Gill Sans MT"/>
        </w:rPr>
        <w:t xml:space="preserve"> to the legislative process, the difference in practice between a system of UK parliamentary sovereignty and the Australian constitution would become less stark</w:t>
      </w:r>
      <w:r w:rsidR="00DE53DB">
        <w:rPr>
          <w:rFonts w:ascii="Gill Sans MT" w:hAnsi="Gill Sans MT"/>
        </w:rPr>
        <w:t xml:space="preserve"> (which in itself reinforces the </w:t>
      </w:r>
      <w:r w:rsidR="007B1DD7">
        <w:rPr>
          <w:rFonts w:ascii="Gill Sans MT" w:hAnsi="Gill Sans MT"/>
        </w:rPr>
        <w:t>fluidity</w:t>
      </w:r>
      <w:r w:rsidR="00DE53DB">
        <w:rPr>
          <w:rFonts w:ascii="Gill Sans MT" w:hAnsi="Gill Sans MT"/>
        </w:rPr>
        <w:t xml:space="preserve"> of the constitutional model</w:t>
      </w:r>
      <w:r w:rsidR="007B1DD7">
        <w:rPr>
          <w:rFonts w:ascii="Gill Sans MT" w:hAnsi="Gill Sans MT"/>
        </w:rPr>
        <w:t xml:space="preserve"> of parliamentary sovereignty</w:t>
      </w:r>
      <w:r w:rsidR="00DE53DB">
        <w:rPr>
          <w:rFonts w:ascii="Gill Sans MT" w:hAnsi="Gill Sans MT"/>
        </w:rPr>
        <w:t>)</w:t>
      </w:r>
      <w:r w:rsidR="00345355">
        <w:rPr>
          <w:rFonts w:ascii="Gill Sans MT" w:hAnsi="Gill Sans MT"/>
        </w:rPr>
        <w:t xml:space="preserve">.  </w:t>
      </w:r>
      <w:r w:rsidR="00DE53DB">
        <w:rPr>
          <w:rFonts w:ascii="Gill Sans MT" w:hAnsi="Gill Sans MT"/>
        </w:rPr>
        <w:t>I return to the distinctive challenges posed by entrenchment in section 3.  But i</w:t>
      </w:r>
      <w:r w:rsidR="00E3129D">
        <w:rPr>
          <w:rFonts w:ascii="Gill Sans MT" w:hAnsi="Gill Sans MT"/>
        </w:rPr>
        <w:t xml:space="preserve">t is also important to note that extensive entrenchment of manner and form </w:t>
      </w:r>
      <w:r w:rsidR="00E3129D" w:rsidRPr="000071B7">
        <w:rPr>
          <w:rFonts w:ascii="Gill Sans MT" w:hAnsi="Gill Sans MT"/>
          <w:highlight w:val="yellow"/>
        </w:rPr>
        <w:t>shifts</w:t>
      </w:r>
      <w:r w:rsidR="00E3129D">
        <w:rPr>
          <w:rFonts w:ascii="Gill Sans MT" w:hAnsi="Gill Sans MT"/>
        </w:rPr>
        <w:t xml:space="preserve"> is not the position we currently face in the UK – it is, at most, a hypothetical possibility rather than a present reality</w:t>
      </w:r>
      <w:r w:rsidR="006A7D0E">
        <w:rPr>
          <w:rFonts w:ascii="Gill Sans MT" w:hAnsi="Gill Sans MT"/>
        </w:rPr>
        <w:t>, and there is little sign of that changing</w:t>
      </w:r>
      <w:r w:rsidR="00E3129D">
        <w:rPr>
          <w:rFonts w:ascii="Gill Sans MT" w:hAnsi="Gill Sans MT"/>
        </w:rPr>
        <w:t xml:space="preserve">.  </w:t>
      </w:r>
      <w:r w:rsidR="005329B9">
        <w:rPr>
          <w:rFonts w:ascii="Gill Sans MT" w:hAnsi="Gill Sans MT"/>
        </w:rPr>
        <w:t xml:space="preserve">The UK Parliament has and retains control over the legislative process as a consequence of its sovereignty, and the authority of any changes to the law-making process flow from its power, rather than being imposed on it by </w:t>
      </w:r>
      <w:r w:rsidR="00345355">
        <w:rPr>
          <w:rFonts w:ascii="Gill Sans MT" w:hAnsi="Gill Sans MT"/>
        </w:rPr>
        <w:t>a</w:t>
      </w:r>
      <w:r w:rsidR="006A7D0E">
        <w:rPr>
          <w:rFonts w:ascii="Gill Sans MT" w:hAnsi="Gill Sans MT"/>
        </w:rPr>
        <w:t>n autonomous and independent</w:t>
      </w:r>
      <w:r w:rsidR="00345355">
        <w:rPr>
          <w:rFonts w:ascii="Gill Sans MT" w:hAnsi="Gill Sans MT"/>
        </w:rPr>
        <w:t xml:space="preserve"> constitutional text</w:t>
      </w:r>
      <w:r w:rsidR="005329B9">
        <w:rPr>
          <w:rFonts w:ascii="Gill Sans MT" w:hAnsi="Gill Sans MT"/>
        </w:rPr>
        <w:t>.</w:t>
      </w:r>
    </w:p>
    <w:p w14:paraId="643FED71" w14:textId="77777777" w:rsidR="00A45C0A" w:rsidRDefault="00A45C0A" w:rsidP="00A45C0A">
      <w:pPr>
        <w:spacing w:after="0"/>
        <w:jc w:val="both"/>
        <w:rPr>
          <w:rFonts w:ascii="Gill Sans MT" w:hAnsi="Gill Sans MT"/>
        </w:rPr>
      </w:pPr>
    </w:p>
    <w:p w14:paraId="08B44F17" w14:textId="34499946" w:rsidR="00D07422" w:rsidRDefault="00D07422" w:rsidP="00D07422">
      <w:pPr>
        <w:pStyle w:val="ListParagraph"/>
        <w:numPr>
          <w:ilvl w:val="0"/>
          <w:numId w:val="1"/>
        </w:numPr>
        <w:spacing w:after="0"/>
        <w:jc w:val="both"/>
        <w:rPr>
          <w:rFonts w:ascii="Gill Sans MT" w:hAnsi="Gill Sans MT"/>
        </w:rPr>
      </w:pPr>
      <w:r>
        <w:rPr>
          <w:rFonts w:ascii="Gill Sans MT" w:hAnsi="Gill Sans MT"/>
        </w:rPr>
        <w:t>The Role of the Courts in Enforcing Manner and Form Limits</w:t>
      </w:r>
    </w:p>
    <w:p w14:paraId="0689F231" w14:textId="587D2E25" w:rsidR="00C90476" w:rsidRDefault="00C90476" w:rsidP="00C90476">
      <w:pPr>
        <w:spacing w:after="0"/>
        <w:jc w:val="both"/>
        <w:rPr>
          <w:rFonts w:ascii="Gill Sans MT" w:hAnsi="Gill Sans MT"/>
        </w:rPr>
      </w:pPr>
    </w:p>
    <w:p w14:paraId="55601656" w14:textId="1E5755F2" w:rsidR="00E05D29" w:rsidRDefault="00FE5D6B" w:rsidP="00C90476">
      <w:pPr>
        <w:spacing w:after="0"/>
        <w:jc w:val="both"/>
        <w:rPr>
          <w:rFonts w:ascii="Gill Sans MT" w:hAnsi="Gill Sans MT"/>
        </w:rPr>
      </w:pPr>
      <w:r>
        <w:rPr>
          <w:rFonts w:ascii="Gill Sans MT" w:hAnsi="Gill Sans MT"/>
        </w:rPr>
        <w:lastRenderedPageBreak/>
        <w:t xml:space="preserve">Goldsworthy also challenges my position on the role of the courts in the enforcement of manner and form limits, focusing in particular on the example of the imposition of super-majority decision making requirements.  Consistently with his position that a limit of procedure </w:t>
      </w:r>
      <w:r w:rsidR="000A6F86">
        <w:rPr>
          <w:rFonts w:ascii="Gill Sans MT" w:hAnsi="Gill Sans MT"/>
        </w:rPr>
        <w:t>or</w:t>
      </w:r>
      <w:r>
        <w:rPr>
          <w:rFonts w:ascii="Gill Sans MT" w:hAnsi="Gill Sans MT"/>
        </w:rPr>
        <w:t xml:space="preserve"> form </w:t>
      </w:r>
      <w:r w:rsidR="000A6F86">
        <w:rPr>
          <w:rFonts w:ascii="Gill Sans MT" w:hAnsi="Gill Sans MT"/>
        </w:rPr>
        <w:t>must not</w:t>
      </w:r>
      <w:r>
        <w:rPr>
          <w:rFonts w:ascii="Gill Sans MT" w:hAnsi="Gill Sans MT"/>
        </w:rPr>
        <w:t xml:space="preserve"> substantively diminish the continuing power of Parliament to legislate, Goldsworthy argues that the courts should apply this test to determine the point at which a super-majority requirement becomes so onerous as to be unlawful.  His conclusion is that any super-majority rule violates the test, and would be invalid.  Yet it is the openness of the test which I fi</w:t>
      </w:r>
      <w:r w:rsidR="000A6F86">
        <w:rPr>
          <w:rFonts w:ascii="Gill Sans MT" w:hAnsi="Gill Sans MT"/>
        </w:rPr>
        <w:t>nd difficult to accept</w:t>
      </w:r>
      <w:r>
        <w:rPr>
          <w:rFonts w:ascii="Gill Sans MT" w:hAnsi="Gill Sans MT"/>
        </w:rPr>
        <w:t xml:space="preserve"> – a future court faced with a two-thirds majority requirement, for example, might agree with Goldsworthy’s application of that test, but equally th</w:t>
      </w:r>
      <w:r w:rsidR="004134C8">
        <w:rPr>
          <w:rFonts w:ascii="Gill Sans MT" w:hAnsi="Gill Sans MT"/>
        </w:rPr>
        <w:t>at</w:t>
      </w:r>
      <w:r>
        <w:rPr>
          <w:rFonts w:ascii="Gill Sans MT" w:hAnsi="Gill Sans MT"/>
        </w:rPr>
        <w:t xml:space="preserve"> court might not.  </w:t>
      </w:r>
      <w:r w:rsidR="000265AD">
        <w:rPr>
          <w:rFonts w:ascii="Gill Sans MT" w:hAnsi="Gill Sans MT"/>
        </w:rPr>
        <w:t>In such circumstances</w:t>
      </w:r>
      <w:r w:rsidR="000A6F86">
        <w:rPr>
          <w:rFonts w:ascii="Gill Sans MT" w:hAnsi="Gill Sans MT"/>
        </w:rPr>
        <w:t xml:space="preserve">, </w:t>
      </w:r>
      <w:r w:rsidR="00A5421A">
        <w:rPr>
          <w:rFonts w:ascii="Gill Sans MT" w:hAnsi="Gill Sans MT"/>
        </w:rPr>
        <w:t>the court acquire</w:t>
      </w:r>
      <w:r w:rsidR="000A6F86">
        <w:rPr>
          <w:rFonts w:ascii="Gill Sans MT" w:hAnsi="Gill Sans MT"/>
        </w:rPr>
        <w:t>s</w:t>
      </w:r>
      <w:r w:rsidR="00A5421A">
        <w:rPr>
          <w:rFonts w:ascii="Gill Sans MT" w:hAnsi="Gill Sans MT"/>
        </w:rPr>
        <w:t xml:space="preserve"> a great deal of discretion to decide where to draw the line between lawful and unlawful super-majority rules.</w:t>
      </w:r>
    </w:p>
    <w:p w14:paraId="5366408D" w14:textId="14C75451" w:rsidR="00A5421A" w:rsidRDefault="00A5421A" w:rsidP="00C90476">
      <w:pPr>
        <w:spacing w:after="0"/>
        <w:jc w:val="both"/>
        <w:rPr>
          <w:rFonts w:ascii="Gill Sans MT" w:hAnsi="Gill Sans MT"/>
        </w:rPr>
      </w:pPr>
    </w:p>
    <w:p w14:paraId="3DFA5AE7" w14:textId="6D32468B" w:rsidR="00A5421A" w:rsidRDefault="00A5421A" w:rsidP="00C90476">
      <w:pPr>
        <w:spacing w:after="0"/>
        <w:jc w:val="both"/>
        <w:rPr>
          <w:rFonts w:ascii="Gill Sans MT" w:hAnsi="Gill Sans MT"/>
        </w:rPr>
      </w:pPr>
      <w:r>
        <w:rPr>
          <w:rFonts w:ascii="Gill Sans MT" w:hAnsi="Gill Sans MT"/>
        </w:rPr>
        <w:t xml:space="preserve">The alternative approach I defend, rooted in the manner and form theory, </w:t>
      </w:r>
      <w:r w:rsidR="00983FFE">
        <w:rPr>
          <w:rFonts w:ascii="Gill Sans MT" w:hAnsi="Gill Sans MT"/>
        </w:rPr>
        <w:t>does not flow from</w:t>
      </w:r>
      <w:r>
        <w:rPr>
          <w:rFonts w:ascii="Gill Sans MT" w:hAnsi="Gill Sans MT"/>
        </w:rPr>
        <w:t xml:space="preserve"> any admiration </w:t>
      </w:r>
      <w:r w:rsidR="00983FFE">
        <w:rPr>
          <w:rFonts w:ascii="Gill Sans MT" w:hAnsi="Gill Sans MT"/>
        </w:rPr>
        <w:t>of</w:t>
      </w:r>
      <w:r>
        <w:rPr>
          <w:rFonts w:ascii="Gill Sans MT" w:hAnsi="Gill Sans MT"/>
        </w:rPr>
        <w:t xml:space="preserve"> super-majority requirements – like Goldsworthy, I regard them as democratically problematic.</w:t>
      </w:r>
      <w:r w:rsidR="00983FFE">
        <w:rPr>
          <w:rFonts w:ascii="Gill Sans MT" w:hAnsi="Gill Sans MT"/>
        </w:rPr>
        <w:t xml:space="preserve">  Yet equally, if we accept a manner and form understanding of parliamentary sovereignty, it seems clear that they are changes to the legislative process which a Parliament could consider introducing</w:t>
      </w:r>
      <w:r w:rsidR="00DD7763">
        <w:rPr>
          <w:rFonts w:ascii="Gill Sans MT" w:hAnsi="Gill Sans MT"/>
        </w:rPr>
        <w:t>, for they are procedural rather than substantive limitations on future decision-making</w:t>
      </w:r>
      <w:r w:rsidR="000309A5">
        <w:rPr>
          <w:rFonts w:ascii="Gill Sans MT" w:hAnsi="Gill Sans MT"/>
        </w:rPr>
        <w:t>.</w:t>
      </w:r>
      <w:r w:rsidR="00983FFE">
        <w:rPr>
          <w:rFonts w:ascii="Gill Sans MT" w:hAnsi="Gill Sans MT"/>
        </w:rPr>
        <w:t xml:space="preserve">  While I</w:t>
      </w:r>
      <w:r w:rsidR="000309A5">
        <w:rPr>
          <w:rFonts w:ascii="Gill Sans MT" w:hAnsi="Gill Sans MT"/>
        </w:rPr>
        <w:t xml:space="preserve"> think </w:t>
      </w:r>
      <w:r w:rsidR="004134C8">
        <w:rPr>
          <w:rFonts w:ascii="Gill Sans MT" w:hAnsi="Gill Sans MT"/>
        </w:rPr>
        <w:t>this</w:t>
      </w:r>
      <w:r w:rsidR="00983FFE">
        <w:rPr>
          <w:rFonts w:ascii="Gill Sans MT" w:hAnsi="Gill Sans MT"/>
        </w:rPr>
        <w:t xml:space="preserve"> would be a matter for regret, </w:t>
      </w:r>
      <w:r w:rsidR="000309A5">
        <w:rPr>
          <w:rFonts w:ascii="Gill Sans MT" w:hAnsi="Gill Sans MT"/>
        </w:rPr>
        <w:t>if the manner and form theory provides Parliament with a more expansive power to control the legislative process, it becomes a matter for Parliament to decide whether to exercise its sovereignty in such ways.</w:t>
      </w:r>
    </w:p>
    <w:p w14:paraId="644965BF" w14:textId="6ED13623" w:rsidR="00A5421A" w:rsidRDefault="00A5421A" w:rsidP="00C90476">
      <w:pPr>
        <w:spacing w:after="0"/>
        <w:jc w:val="both"/>
        <w:rPr>
          <w:rFonts w:ascii="Gill Sans MT" w:hAnsi="Gill Sans MT"/>
        </w:rPr>
      </w:pPr>
    </w:p>
    <w:p w14:paraId="03FF0BCA" w14:textId="012E084E" w:rsidR="00E43AEB" w:rsidRDefault="00A5421A" w:rsidP="00C90476">
      <w:pPr>
        <w:spacing w:after="0"/>
        <w:jc w:val="both"/>
        <w:rPr>
          <w:rFonts w:ascii="Gill Sans MT" w:hAnsi="Gill Sans MT"/>
        </w:rPr>
      </w:pPr>
      <w:r>
        <w:rPr>
          <w:rFonts w:ascii="Gill Sans MT" w:hAnsi="Gill Sans MT"/>
        </w:rPr>
        <w:t xml:space="preserve">I </w:t>
      </w:r>
      <w:r w:rsidR="003D3DED">
        <w:rPr>
          <w:rFonts w:ascii="Gill Sans MT" w:hAnsi="Gill Sans MT"/>
        </w:rPr>
        <w:t>argued</w:t>
      </w:r>
      <w:r>
        <w:rPr>
          <w:rFonts w:ascii="Gill Sans MT" w:hAnsi="Gill Sans MT"/>
        </w:rPr>
        <w:t xml:space="preserve"> the manner and form solution to this problem</w:t>
      </w:r>
      <w:r w:rsidR="003D3DED">
        <w:rPr>
          <w:rFonts w:ascii="Gill Sans MT" w:hAnsi="Gill Sans MT"/>
        </w:rPr>
        <w:t>, based on the distinction between procedural and substantive conditions,</w:t>
      </w:r>
      <w:r w:rsidR="00983FFE">
        <w:rPr>
          <w:rFonts w:ascii="Gill Sans MT" w:hAnsi="Gill Sans MT"/>
        </w:rPr>
        <w:t xml:space="preserve"> </w:t>
      </w:r>
      <w:r w:rsidR="000265AD">
        <w:rPr>
          <w:rFonts w:ascii="Gill Sans MT" w:hAnsi="Gill Sans MT"/>
        </w:rPr>
        <w:t>w</w:t>
      </w:r>
      <w:r w:rsidR="00983FFE">
        <w:rPr>
          <w:rFonts w:ascii="Gill Sans MT" w:hAnsi="Gill Sans MT"/>
        </w:rPr>
        <w:t xml:space="preserve">as ‘essentially objective’, </w:t>
      </w:r>
      <w:r w:rsidR="003D3DED">
        <w:rPr>
          <w:rFonts w:ascii="Gill Sans MT" w:hAnsi="Gill Sans MT"/>
        </w:rPr>
        <w:t>while describing Goldsworthy’s test as requiring the courts to make ‘subjective’ judgments.  B</w:t>
      </w:r>
      <w:r w:rsidR="00983FFE">
        <w:rPr>
          <w:rFonts w:ascii="Gill Sans MT" w:hAnsi="Gill Sans MT"/>
        </w:rPr>
        <w:t>ut I accept his point that this terminology is not especially helpful</w:t>
      </w:r>
      <w:r w:rsidR="00DD7763">
        <w:rPr>
          <w:rFonts w:ascii="Gill Sans MT" w:hAnsi="Gill Sans MT"/>
        </w:rPr>
        <w:t xml:space="preserve">.  The key difference is not the </w:t>
      </w:r>
      <w:r w:rsidR="003D3DED">
        <w:rPr>
          <w:rFonts w:ascii="Gill Sans MT" w:hAnsi="Gill Sans MT"/>
        </w:rPr>
        <w:t>existence or absence</w:t>
      </w:r>
      <w:r w:rsidR="00DD7763">
        <w:rPr>
          <w:rFonts w:ascii="Gill Sans MT" w:hAnsi="Gill Sans MT"/>
        </w:rPr>
        <w:t xml:space="preserve"> of discretion </w:t>
      </w:r>
      <w:r w:rsidR="003D3DED">
        <w:rPr>
          <w:rFonts w:ascii="Gill Sans MT" w:hAnsi="Gill Sans MT"/>
        </w:rPr>
        <w:t xml:space="preserve">(as Goldsworthy </w:t>
      </w:r>
      <w:r w:rsidR="00933EF4">
        <w:rPr>
          <w:rFonts w:ascii="Gill Sans MT" w:hAnsi="Gill Sans MT"/>
        </w:rPr>
        <w:t xml:space="preserve">rightly </w:t>
      </w:r>
      <w:r w:rsidR="003D3DED">
        <w:rPr>
          <w:rFonts w:ascii="Gill Sans MT" w:hAnsi="Gill Sans MT"/>
        </w:rPr>
        <w:t>notes, my own solution had a subjective component, in so far as I argued that procedural changes which made future legislation ‘impossible’ would fall into the category of impermissible substantive constraints).  Instead, the difference is where the (inevitable) discretion lies</w:t>
      </w:r>
      <w:r w:rsidR="00E43AEB">
        <w:rPr>
          <w:rFonts w:ascii="Gill Sans MT" w:hAnsi="Gill Sans MT"/>
        </w:rPr>
        <w:t>, and its extent.  I</w:t>
      </w:r>
      <w:r w:rsidR="003D3DED">
        <w:rPr>
          <w:rFonts w:ascii="Gill Sans MT" w:hAnsi="Gill Sans MT"/>
        </w:rPr>
        <w:t xml:space="preserve">n my view Goldsworthy’s theory </w:t>
      </w:r>
      <w:r w:rsidR="00E43AEB">
        <w:rPr>
          <w:rFonts w:ascii="Gill Sans MT" w:hAnsi="Gill Sans MT"/>
        </w:rPr>
        <w:t xml:space="preserve">allocates very significant discretion to the courts, asking them to decide whether a procedure and form limit diminishes Parliament’s power in substance, whereas the manner and form approach allocates a wide discretion to Parliament to decide to introduce any changes which are procedural in nature.  The manner and form approach cannot exclude the courts entirely, but it </w:t>
      </w:r>
      <w:r w:rsidR="00752485">
        <w:rPr>
          <w:rFonts w:ascii="Gill Sans MT" w:hAnsi="Gill Sans MT"/>
        </w:rPr>
        <w:t>does indicate that</w:t>
      </w:r>
      <w:r w:rsidR="00E43AEB">
        <w:rPr>
          <w:rFonts w:ascii="Gill Sans MT" w:hAnsi="Gill Sans MT"/>
        </w:rPr>
        <w:t xml:space="preserve"> the threshold they should apply if they become involved</w:t>
      </w:r>
      <w:r w:rsidR="00752485">
        <w:rPr>
          <w:rFonts w:ascii="Gill Sans MT" w:hAnsi="Gill Sans MT"/>
        </w:rPr>
        <w:t xml:space="preserve"> – that of ‘impossibility’ to legislate – </w:t>
      </w:r>
      <w:r w:rsidR="00E43AEB">
        <w:rPr>
          <w:rFonts w:ascii="Gill Sans MT" w:hAnsi="Gill Sans MT"/>
        </w:rPr>
        <w:t>is a much higher and therefore more limited one.</w:t>
      </w:r>
    </w:p>
    <w:p w14:paraId="04B106C8" w14:textId="165DCFA5" w:rsidR="00933EF4" w:rsidRDefault="00933EF4" w:rsidP="00C90476">
      <w:pPr>
        <w:spacing w:after="0"/>
        <w:jc w:val="both"/>
        <w:rPr>
          <w:rFonts w:ascii="Gill Sans MT" w:hAnsi="Gill Sans MT"/>
        </w:rPr>
      </w:pPr>
    </w:p>
    <w:p w14:paraId="27F3AE21" w14:textId="6A5B50E2" w:rsidR="00933EF4" w:rsidRDefault="00933EF4" w:rsidP="00C90476">
      <w:pPr>
        <w:spacing w:after="0"/>
        <w:jc w:val="both"/>
        <w:rPr>
          <w:rFonts w:ascii="Gill Sans MT" w:hAnsi="Gill Sans MT"/>
        </w:rPr>
      </w:pPr>
      <w:r>
        <w:rPr>
          <w:rFonts w:ascii="Gill Sans MT" w:hAnsi="Gill Sans MT"/>
        </w:rPr>
        <w:t>This leads to a broader objection which Goldsworthy makes to my account, which seeks to minimise the role of courts.  He argues that my framing of the issues around judicial involvement is wrong: ‘the choice is not… whether the issue is best decided by judges, or by Parliament’ but ‘whether the judges should allow the will of the earlier Parliament, or of the more recent one, to prevail’.</w:t>
      </w:r>
      <w:r>
        <w:rPr>
          <w:rStyle w:val="FootnoteReference"/>
          <w:rFonts w:ascii="Gill Sans MT" w:hAnsi="Gill Sans MT"/>
        </w:rPr>
        <w:footnoteReference w:id="16"/>
      </w:r>
      <w:r w:rsidR="00076CD7">
        <w:rPr>
          <w:rFonts w:ascii="Gill Sans MT" w:hAnsi="Gill Sans MT"/>
        </w:rPr>
        <w:t xml:space="preserve">  While </w:t>
      </w:r>
      <w:r w:rsidR="000F4B8F">
        <w:rPr>
          <w:rFonts w:ascii="Gill Sans MT" w:hAnsi="Gill Sans MT"/>
        </w:rPr>
        <w:t>it is</w:t>
      </w:r>
      <w:r w:rsidR="00076CD7">
        <w:rPr>
          <w:rFonts w:ascii="Gill Sans MT" w:hAnsi="Gill Sans MT"/>
        </w:rPr>
        <w:t xml:space="preserve"> a fair critique </w:t>
      </w:r>
      <w:r w:rsidR="000F4B8F">
        <w:rPr>
          <w:rFonts w:ascii="Gill Sans MT" w:hAnsi="Gill Sans MT"/>
        </w:rPr>
        <w:t>to say I underplay the importance of the ‘Parliament v Parliament’ dimension</w:t>
      </w:r>
      <w:r w:rsidR="00076CD7">
        <w:rPr>
          <w:rFonts w:ascii="Gill Sans MT" w:hAnsi="Gill Sans MT"/>
        </w:rPr>
        <w:t xml:space="preserve"> in my book, I am not sure either framing is </w:t>
      </w:r>
      <w:r w:rsidR="000F4B8F">
        <w:rPr>
          <w:rFonts w:ascii="Gill Sans MT" w:hAnsi="Gill Sans MT"/>
        </w:rPr>
        <w:t xml:space="preserve">exclusively </w:t>
      </w:r>
      <w:r w:rsidR="00076CD7">
        <w:rPr>
          <w:rFonts w:ascii="Gill Sans MT" w:hAnsi="Gill Sans MT"/>
        </w:rPr>
        <w:t xml:space="preserve">accurate.  Instead, both of these dynamics – </w:t>
      </w:r>
      <w:r w:rsidR="000F4B8F">
        <w:rPr>
          <w:rFonts w:ascii="Gill Sans MT" w:hAnsi="Gill Sans MT"/>
        </w:rPr>
        <w:t>‘</w:t>
      </w:r>
      <w:r w:rsidR="00076CD7">
        <w:rPr>
          <w:rFonts w:ascii="Gill Sans MT" w:hAnsi="Gill Sans MT"/>
        </w:rPr>
        <w:t>judicial v legislative discretion</w:t>
      </w:r>
      <w:r w:rsidR="000F4B8F">
        <w:rPr>
          <w:rFonts w:ascii="Gill Sans MT" w:hAnsi="Gill Sans MT"/>
        </w:rPr>
        <w:t>’</w:t>
      </w:r>
      <w:r w:rsidR="00076CD7">
        <w:rPr>
          <w:rFonts w:ascii="Gill Sans MT" w:hAnsi="Gill Sans MT"/>
        </w:rPr>
        <w:t xml:space="preserve"> and </w:t>
      </w:r>
      <w:r w:rsidR="000F4B8F">
        <w:rPr>
          <w:rFonts w:ascii="Gill Sans MT" w:hAnsi="Gill Sans MT"/>
        </w:rPr>
        <w:t>‘</w:t>
      </w:r>
      <w:r w:rsidR="00076CD7">
        <w:rPr>
          <w:rFonts w:ascii="Gill Sans MT" w:hAnsi="Gill Sans MT"/>
        </w:rPr>
        <w:t xml:space="preserve">earlier v </w:t>
      </w:r>
      <w:r w:rsidR="004547FD">
        <w:rPr>
          <w:rFonts w:ascii="Gill Sans MT" w:hAnsi="Gill Sans MT"/>
        </w:rPr>
        <w:t>later</w:t>
      </w:r>
      <w:r w:rsidR="00076CD7">
        <w:rPr>
          <w:rFonts w:ascii="Gill Sans MT" w:hAnsi="Gill Sans MT"/>
        </w:rPr>
        <w:t xml:space="preserve"> legislative intention</w:t>
      </w:r>
      <w:r w:rsidR="000F4B8F">
        <w:rPr>
          <w:rFonts w:ascii="Gill Sans MT" w:hAnsi="Gill Sans MT"/>
        </w:rPr>
        <w:t>’</w:t>
      </w:r>
      <w:r w:rsidR="00076CD7">
        <w:rPr>
          <w:rFonts w:ascii="Gill Sans MT" w:hAnsi="Gill Sans MT"/>
        </w:rPr>
        <w:t xml:space="preserve"> – are in play when we are assessing the role of the courts in enforcing potential manner and form conditions. </w:t>
      </w:r>
      <w:r w:rsidR="000F4B8F">
        <w:rPr>
          <w:rFonts w:ascii="Gill Sans MT" w:hAnsi="Gill Sans MT"/>
        </w:rPr>
        <w:t xml:space="preserve"> How we reconcile these tensions in practice will be complex, but </w:t>
      </w:r>
      <w:r w:rsidR="00EE20DB">
        <w:rPr>
          <w:rFonts w:ascii="Gill Sans MT" w:hAnsi="Gill Sans MT"/>
        </w:rPr>
        <w:t>in a system based on parliamentary sovereignty, even where we are attempting to reconcile the competing intentions of two Parliaments, leaving too broad a choice to the judges is a problematic option.  Instead, it</w:t>
      </w:r>
      <w:r w:rsidR="004547FD">
        <w:rPr>
          <w:rFonts w:ascii="Gill Sans MT" w:hAnsi="Gill Sans MT"/>
        </w:rPr>
        <w:t xml:space="preserve"> is better to</w:t>
      </w:r>
      <w:r w:rsidR="00EE20DB">
        <w:rPr>
          <w:rFonts w:ascii="Gill Sans MT" w:hAnsi="Gill Sans MT"/>
        </w:rPr>
        <w:t xml:space="preserve"> suggest that there is an obligation on </w:t>
      </w:r>
      <w:r w:rsidR="004547FD">
        <w:rPr>
          <w:rFonts w:ascii="Gill Sans MT" w:hAnsi="Gill Sans MT"/>
        </w:rPr>
        <w:t xml:space="preserve">all </w:t>
      </w:r>
      <w:r w:rsidR="00EE20DB">
        <w:rPr>
          <w:rFonts w:ascii="Gill Sans MT" w:hAnsi="Gill Sans MT"/>
        </w:rPr>
        <w:t>Parliaments</w:t>
      </w:r>
      <w:r w:rsidR="004547FD">
        <w:rPr>
          <w:rFonts w:ascii="Gill Sans MT" w:hAnsi="Gill Sans MT"/>
        </w:rPr>
        <w:t xml:space="preserve">, throughout time, </w:t>
      </w:r>
      <w:r w:rsidR="00EE20DB">
        <w:rPr>
          <w:rFonts w:ascii="Gill Sans MT" w:hAnsi="Gill Sans MT"/>
        </w:rPr>
        <w:t xml:space="preserve">to exercise their power over the legislative process in ways which do not create controversies which fall to the judges to settle.  This should be dealt with primarily through political constitutional principles and legislative responsibility.  Of course, that approach may well fail, </w:t>
      </w:r>
      <w:r w:rsidR="00EE20DB">
        <w:rPr>
          <w:rFonts w:ascii="Gill Sans MT" w:hAnsi="Gill Sans MT"/>
        </w:rPr>
        <w:lastRenderedPageBreak/>
        <w:t>but in a system based on parliamentary sovereignty, the onus is on Parliament to exercise its power in ways which allow debates about the scope of sovereignty to be resolved in Parliament, rather than in the courts.</w:t>
      </w:r>
    </w:p>
    <w:p w14:paraId="26FED3A0" w14:textId="77777777" w:rsidR="00E05D29" w:rsidRPr="00C90476" w:rsidRDefault="00E05D29" w:rsidP="00C90476">
      <w:pPr>
        <w:spacing w:after="0"/>
        <w:jc w:val="both"/>
        <w:rPr>
          <w:rFonts w:ascii="Gill Sans MT" w:hAnsi="Gill Sans MT"/>
        </w:rPr>
      </w:pPr>
    </w:p>
    <w:p w14:paraId="288E179D" w14:textId="77E90FEB" w:rsidR="00D07422" w:rsidRPr="00D07422" w:rsidRDefault="00D07422" w:rsidP="00D07422">
      <w:pPr>
        <w:pStyle w:val="ListParagraph"/>
        <w:numPr>
          <w:ilvl w:val="0"/>
          <w:numId w:val="1"/>
        </w:numPr>
        <w:spacing w:after="0"/>
        <w:jc w:val="both"/>
        <w:rPr>
          <w:rFonts w:ascii="Gill Sans MT" w:hAnsi="Gill Sans MT"/>
        </w:rPr>
      </w:pPr>
      <w:r>
        <w:rPr>
          <w:rFonts w:ascii="Gill Sans MT" w:hAnsi="Gill Sans MT"/>
        </w:rPr>
        <w:t>Is a Self-Entrenched Referendum Legally Binding?</w:t>
      </w:r>
    </w:p>
    <w:p w14:paraId="626D8DC6" w14:textId="0EA9ED8C" w:rsidR="003E6A1F" w:rsidRDefault="003E6A1F" w:rsidP="00221BFA">
      <w:pPr>
        <w:spacing w:after="0"/>
        <w:jc w:val="both"/>
        <w:rPr>
          <w:rFonts w:ascii="Gill Sans MT" w:hAnsi="Gill Sans MT"/>
        </w:rPr>
      </w:pPr>
    </w:p>
    <w:p w14:paraId="7E79C210" w14:textId="31F60DDA" w:rsidR="001D1E1A" w:rsidRDefault="00CD12D4" w:rsidP="00221BFA">
      <w:pPr>
        <w:spacing w:after="0"/>
        <w:jc w:val="both"/>
        <w:rPr>
          <w:rFonts w:ascii="Gill Sans MT" w:hAnsi="Gill Sans MT"/>
        </w:rPr>
      </w:pPr>
      <w:r>
        <w:rPr>
          <w:rFonts w:ascii="Gill Sans MT" w:hAnsi="Gill Sans MT"/>
        </w:rPr>
        <w:t xml:space="preserve">So far in the UK, legal disputes concerning the intentions of past and present Parliaments regarding the valid law-making process have been avoided.  The clearer we can be about the political constitutional factors which shape the use of ‘manner and form’ powers the more likely that is to continue.  Yet a final challenge made by Goldsworthy pushes me </w:t>
      </w:r>
      <w:r w:rsidR="007F1066">
        <w:rPr>
          <w:rFonts w:ascii="Gill Sans MT" w:hAnsi="Gill Sans MT"/>
        </w:rPr>
        <w:t xml:space="preserve">also </w:t>
      </w:r>
      <w:r>
        <w:rPr>
          <w:rFonts w:ascii="Gill Sans MT" w:hAnsi="Gill Sans MT"/>
        </w:rPr>
        <w:t>to</w:t>
      </w:r>
      <w:r w:rsidR="007F1066">
        <w:rPr>
          <w:rFonts w:ascii="Gill Sans MT" w:hAnsi="Gill Sans MT"/>
        </w:rPr>
        <w:t xml:space="preserve"> </w:t>
      </w:r>
      <w:r w:rsidR="006E4C9A">
        <w:rPr>
          <w:rFonts w:ascii="Gill Sans MT" w:hAnsi="Gill Sans MT"/>
        </w:rPr>
        <w:t>be more explicit about the legal consequences if such a dispute does arise.  Goldsworthy focuses on the example of</w:t>
      </w:r>
      <w:r w:rsidR="001D1E1A">
        <w:rPr>
          <w:rFonts w:ascii="Gill Sans MT" w:hAnsi="Gill Sans MT"/>
        </w:rPr>
        <w:t xml:space="preserve"> the legality of</w:t>
      </w:r>
      <w:r w:rsidR="006E4C9A">
        <w:rPr>
          <w:rFonts w:ascii="Gill Sans MT" w:hAnsi="Gill Sans MT"/>
        </w:rPr>
        <w:t xml:space="preserve"> self-entrenched referendum requirements</w:t>
      </w:r>
      <w:r w:rsidR="001D1E1A">
        <w:rPr>
          <w:rFonts w:ascii="Gill Sans MT" w:hAnsi="Gill Sans MT"/>
        </w:rPr>
        <w:t>, which I consider here, aiming to provide a more direct response than in my book.</w:t>
      </w:r>
    </w:p>
    <w:p w14:paraId="54AF5705" w14:textId="65AA3ED8" w:rsidR="001D1E1A" w:rsidRDefault="001D1E1A" w:rsidP="00221BFA">
      <w:pPr>
        <w:spacing w:after="0"/>
        <w:jc w:val="both"/>
        <w:rPr>
          <w:rFonts w:ascii="Gill Sans MT" w:hAnsi="Gill Sans MT"/>
        </w:rPr>
      </w:pPr>
    </w:p>
    <w:p w14:paraId="3630394D" w14:textId="541A095D" w:rsidR="00751A72" w:rsidRDefault="00DA7E63" w:rsidP="00221BFA">
      <w:pPr>
        <w:spacing w:after="0"/>
        <w:jc w:val="both"/>
        <w:rPr>
          <w:rFonts w:ascii="Gill Sans MT" w:hAnsi="Gill Sans MT"/>
        </w:rPr>
      </w:pPr>
      <w:r>
        <w:rPr>
          <w:rFonts w:ascii="Gill Sans MT" w:hAnsi="Gill Sans MT"/>
        </w:rPr>
        <w:t xml:space="preserve">To some extent, this is a question I </w:t>
      </w:r>
      <w:r w:rsidR="00751A72">
        <w:rPr>
          <w:rFonts w:ascii="Gill Sans MT" w:hAnsi="Gill Sans MT"/>
        </w:rPr>
        <w:t>was</w:t>
      </w:r>
      <w:r>
        <w:rPr>
          <w:rFonts w:ascii="Gill Sans MT" w:hAnsi="Gill Sans MT"/>
        </w:rPr>
        <w:t xml:space="preserve"> keen to avoid.  This is not because it raises difficult issues (although it does).  Instead, it is because focusing on the entrenchment of referendums could have a distorting effect on the debate</w:t>
      </w:r>
      <w:r w:rsidR="00ED42E5">
        <w:rPr>
          <w:rFonts w:ascii="Gill Sans MT" w:hAnsi="Gill Sans MT"/>
        </w:rPr>
        <w:t xml:space="preserve">, for </w:t>
      </w:r>
      <w:r w:rsidR="00913B9B">
        <w:rPr>
          <w:rFonts w:ascii="Gill Sans MT" w:hAnsi="Gill Sans MT"/>
        </w:rPr>
        <w:t>three</w:t>
      </w:r>
      <w:r w:rsidR="00ED42E5">
        <w:rPr>
          <w:rFonts w:ascii="Gill Sans MT" w:hAnsi="Gill Sans MT"/>
        </w:rPr>
        <w:t xml:space="preserve"> reasons</w:t>
      </w:r>
      <w:r>
        <w:rPr>
          <w:rFonts w:ascii="Gill Sans MT" w:hAnsi="Gill Sans MT"/>
        </w:rPr>
        <w:t xml:space="preserve">.  </w:t>
      </w:r>
      <w:r w:rsidR="00ED42E5">
        <w:rPr>
          <w:rFonts w:ascii="Gill Sans MT" w:hAnsi="Gill Sans MT"/>
        </w:rPr>
        <w:t>First,</w:t>
      </w:r>
      <w:r w:rsidR="00E80E01">
        <w:rPr>
          <w:rFonts w:ascii="Gill Sans MT" w:hAnsi="Gill Sans MT"/>
        </w:rPr>
        <w:t xml:space="preserve"> entrenchment is designed to have a constraining effect on Parliament, whereas I have argued that the manner and form theory needs to be understood more broadly, recognising the possibilities it creates for reform of the legislative process beyond simply limiting what can currently be achieved by the Queen, Lords and Commons.  Second, if the debate is to be led by UK constitutional practice, the manner and form conditions we have seen have not been entrenched.  Third, by moving to the legality of entrenchment we risk missing the importance of </w:t>
      </w:r>
      <w:r w:rsidR="00913B9B">
        <w:rPr>
          <w:rFonts w:ascii="Gill Sans MT" w:hAnsi="Gill Sans MT"/>
        </w:rPr>
        <w:t>understanding and developing the contours of the</w:t>
      </w:r>
      <w:r w:rsidR="00E80E01">
        <w:rPr>
          <w:rFonts w:ascii="Gill Sans MT" w:hAnsi="Gill Sans MT"/>
        </w:rPr>
        <w:t xml:space="preserve"> political constitutional environment</w:t>
      </w:r>
      <w:r w:rsidR="005F5005">
        <w:rPr>
          <w:rFonts w:ascii="Gill Sans MT" w:hAnsi="Gill Sans MT"/>
        </w:rPr>
        <w:t xml:space="preserve">. </w:t>
      </w:r>
      <w:r w:rsidR="00E80E01">
        <w:rPr>
          <w:rFonts w:ascii="Gill Sans MT" w:hAnsi="Gill Sans MT"/>
        </w:rPr>
        <w:t xml:space="preserve"> </w:t>
      </w:r>
    </w:p>
    <w:p w14:paraId="3BA39827" w14:textId="77777777" w:rsidR="00751A72" w:rsidRDefault="00751A72" w:rsidP="00221BFA">
      <w:pPr>
        <w:spacing w:after="0"/>
        <w:jc w:val="both"/>
        <w:rPr>
          <w:rFonts w:ascii="Gill Sans MT" w:hAnsi="Gill Sans MT"/>
        </w:rPr>
      </w:pPr>
    </w:p>
    <w:p w14:paraId="4F39D11D" w14:textId="0341305E" w:rsidR="001D1E1A" w:rsidRDefault="00061008" w:rsidP="00221BFA">
      <w:pPr>
        <w:spacing w:after="0"/>
        <w:jc w:val="both"/>
        <w:rPr>
          <w:rFonts w:ascii="Gill Sans MT" w:hAnsi="Gill Sans MT"/>
        </w:rPr>
      </w:pPr>
      <w:r>
        <w:rPr>
          <w:rFonts w:ascii="Gill Sans MT" w:hAnsi="Gill Sans MT"/>
        </w:rPr>
        <w:t>Consequently</w:t>
      </w:r>
      <w:r w:rsidR="00E80E01">
        <w:rPr>
          <w:rFonts w:ascii="Gill Sans MT" w:hAnsi="Gill Sans MT"/>
        </w:rPr>
        <w:t xml:space="preserve">, a self-entrenched referendum (or any other entrenched requirement) should not be </w:t>
      </w:r>
      <w:r>
        <w:rPr>
          <w:rFonts w:ascii="Gill Sans MT" w:hAnsi="Gill Sans MT"/>
        </w:rPr>
        <w:t>viewed</w:t>
      </w:r>
      <w:r w:rsidR="00E80E01">
        <w:rPr>
          <w:rFonts w:ascii="Gill Sans MT" w:hAnsi="Gill Sans MT"/>
        </w:rPr>
        <w:t xml:space="preserve"> as the exemplar of a statutory manner and form condition.</w:t>
      </w:r>
      <w:r w:rsidR="00751A72">
        <w:rPr>
          <w:rFonts w:ascii="Gill Sans MT" w:hAnsi="Gill Sans MT"/>
        </w:rPr>
        <w:t xml:space="preserve">  </w:t>
      </w:r>
      <w:r w:rsidR="005F5005">
        <w:rPr>
          <w:rFonts w:ascii="Gill Sans MT" w:hAnsi="Gill Sans MT"/>
        </w:rPr>
        <w:t>Equally, however, the fact that the UK has not yet had to deal with the problem of entrenched referendum requirements does not mean it</w:t>
      </w:r>
      <w:r w:rsidR="00751A72">
        <w:rPr>
          <w:rFonts w:ascii="Gill Sans MT" w:hAnsi="Gill Sans MT"/>
        </w:rPr>
        <w:t xml:space="preserve"> will not have to, especially as further changes to manner and form are introduced.  The example does therefore deserve attention.</w:t>
      </w:r>
    </w:p>
    <w:p w14:paraId="23093A92" w14:textId="3418ADDC" w:rsidR="001D1E1A" w:rsidRDefault="001D1E1A" w:rsidP="00221BFA">
      <w:pPr>
        <w:spacing w:after="0"/>
        <w:jc w:val="both"/>
        <w:rPr>
          <w:rFonts w:ascii="Gill Sans MT" w:hAnsi="Gill Sans MT"/>
        </w:rPr>
      </w:pPr>
    </w:p>
    <w:p w14:paraId="60255A60" w14:textId="76E9277D" w:rsidR="00CD345A" w:rsidRDefault="00751A72" w:rsidP="00221BFA">
      <w:pPr>
        <w:spacing w:after="0"/>
        <w:jc w:val="both"/>
        <w:rPr>
          <w:rFonts w:ascii="Gill Sans MT" w:hAnsi="Gill Sans MT"/>
        </w:rPr>
      </w:pPr>
      <w:r>
        <w:rPr>
          <w:rFonts w:ascii="Gill Sans MT" w:hAnsi="Gill Sans MT"/>
        </w:rPr>
        <w:t xml:space="preserve">The manner and form theory produces the opposite conclusions to Goldsworthy, who argues that </w:t>
      </w:r>
      <w:r w:rsidR="00D27F90">
        <w:rPr>
          <w:rFonts w:ascii="Gill Sans MT" w:hAnsi="Gill Sans MT"/>
        </w:rPr>
        <w:t>self-entrenched referendums are ‘plainly inconsistent with comprehensive, continuing parliamentary sovereignty’ but are not necessarily undesirable.</w:t>
      </w:r>
      <w:r w:rsidR="00D27F90">
        <w:rPr>
          <w:rStyle w:val="FootnoteReference"/>
          <w:rFonts w:ascii="Gill Sans MT" w:hAnsi="Gill Sans MT"/>
        </w:rPr>
        <w:footnoteReference w:id="17"/>
      </w:r>
      <w:r w:rsidR="001E3400">
        <w:rPr>
          <w:rFonts w:ascii="Gill Sans MT" w:hAnsi="Gill Sans MT"/>
        </w:rPr>
        <w:t xml:space="preserve">  I argue that entrenched referendums could be lawfully enacted by a sovereign Parliament, but this is not constitutionally desirable.  Goldsworthy in effect suggests that this makes the manner and form theory less compatible with majoritarian democracy than his procedure and form model.  But in light of the discussion above, this depends on how we balance competing democratic imperatives.  My defence of the manner and form theory places great weight on the operation of democratic politics to self-censor against entrenchment, while leaving maximum latitude to the elected Parliament to decide when the creation of statutory manner and form conditions can be justified.  </w:t>
      </w:r>
    </w:p>
    <w:p w14:paraId="39864871" w14:textId="77777777" w:rsidR="00CD345A" w:rsidRDefault="00CD345A" w:rsidP="00221BFA">
      <w:pPr>
        <w:spacing w:after="0"/>
        <w:jc w:val="both"/>
        <w:rPr>
          <w:rFonts w:ascii="Gill Sans MT" w:hAnsi="Gill Sans MT"/>
        </w:rPr>
      </w:pPr>
    </w:p>
    <w:p w14:paraId="31D29AF4" w14:textId="699CE018" w:rsidR="001D1E1A" w:rsidRDefault="001E3400" w:rsidP="00221BFA">
      <w:pPr>
        <w:spacing w:after="0"/>
        <w:jc w:val="both"/>
        <w:rPr>
          <w:rFonts w:ascii="Gill Sans MT" w:hAnsi="Gill Sans MT"/>
        </w:rPr>
      </w:pPr>
      <w:r>
        <w:rPr>
          <w:rFonts w:ascii="Gill Sans MT" w:hAnsi="Gill Sans MT"/>
        </w:rPr>
        <w:t>Rather than prohibit certain categories of change to the future legislative process, I argued that we should reconceptualise the Diceyan mantra that ‘Parliament cannot bind its successors’ as a constitutional convention.  In this way, rather than a legal norm to be policed by the courts, the presumption against entrenchment becomes a tool to shape the conduct of constitutional actors</w:t>
      </w:r>
      <w:r w:rsidR="00CD345A">
        <w:rPr>
          <w:rFonts w:ascii="Gill Sans MT" w:hAnsi="Gill Sans MT"/>
        </w:rPr>
        <w:t xml:space="preserve"> at a prior stage.  Equally, this allows the political constitution to determine the degree to which any referendum requirement is ‘entrenched’ or embedded in constitutional practice.  In essence, the </w:t>
      </w:r>
      <w:r w:rsidR="00CD345A">
        <w:rPr>
          <w:rFonts w:ascii="Gill Sans MT" w:hAnsi="Gill Sans MT"/>
        </w:rPr>
        <w:lastRenderedPageBreak/>
        <w:t>choice is to leave these decisions in the democratic arena, ideally to encourage fresh thinking about the limitations of the current Queen-Lords-Commons legislative formula.</w:t>
      </w:r>
      <w:r w:rsidR="00ED21C4">
        <w:rPr>
          <w:rStyle w:val="FootnoteReference"/>
          <w:rFonts w:ascii="Gill Sans MT" w:hAnsi="Gill Sans MT"/>
        </w:rPr>
        <w:footnoteReference w:id="18"/>
      </w:r>
      <w:r w:rsidR="00CD345A">
        <w:rPr>
          <w:rFonts w:ascii="Gill Sans MT" w:hAnsi="Gill Sans MT"/>
        </w:rPr>
        <w:t xml:space="preserve">  This, in my view, is a better democratic response to the difficult issue of entrenchment.</w:t>
      </w:r>
    </w:p>
    <w:p w14:paraId="47399251" w14:textId="06AEFD9A" w:rsidR="00CD345A" w:rsidRDefault="00CD345A" w:rsidP="00221BFA">
      <w:pPr>
        <w:spacing w:after="0"/>
        <w:jc w:val="both"/>
        <w:rPr>
          <w:rFonts w:ascii="Gill Sans MT" w:hAnsi="Gill Sans MT"/>
        </w:rPr>
      </w:pPr>
    </w:p>
    <w:p w14:paraId="0243BE10" w14:textId="77C9DBAC" w:rsidR="00CD345A" w:rsidRDefault="00CD345A" w:rsidP="00221BFA">
      <w:pPr>
        <w:spacing w:after="0"/>
        <w:jc w:val="both"/>
        <w:rPr>
          <w:rFonts w:ascii="Gill Sans MT" w:hAnsi="Gill Sans MT"/>
        </w:rPr>
      </w:pPr>
      <w:r>
        <w:rPr>
          <w:rFonts w:ascii="Gill Sans MT" w:hAnsi="Gill Sans MT"/>
        </w:rPr>
        <w:t xml:space="preserve">There are two </w:t>
      </w:r>
      <w:r w:rsidR="00E71F64">
        <w:rPr>
          <w:rFonts w:ascii="Gill Sans MT" w:hAnsi="Gill Sans MT"/>
        </w:rPr>
        <w:t xml:space="preserve">potential </w:t>
      </w:r>
      <w:r>
        <w:rPr>
          <w:rFonts w:ascii="Gill Sans MT" w:hAnsi="Gill Sans MT"/>
        </w:rPr>
        <w:t>caveats.  Firs</w:t>
      </w:r>
      <w:r w:rsidR="00E71F64">
        <w:rPr>
          <w:rFonts w:ascii="Gill Sans MT" w:hAnsi="Gill Sans MT"/>
        </w:rPr>
        <w:t xml:space="preserve">t, </w:t>
      </w:r>
      <w:r>
        <w:rPr>
          <w:rFonts w:ascii="Gill Sans MT" w:hAnsi="Gill Sans MT"/>
        </w:rPr>
        <w:t>Goldsworthy’s procedure and form theory does not absolutely prohibit the creation of self-entrenched referendum requirements.  Instead, he argues that to become legally valid, a shift in the underlying rule of recognition would be required</w:t>
      </w:r>
      <w:r w:rsidR="0054604B">
        <w:rPr>
          <w:rFonts w:ascii="Gill Sans MT" w:hAnsi="Gill Sans MT"/>
        </w:rPr>
        <w:t>, rooted in a wider political consensus</w:t>
      </w:r>
      <w:r>
        <w:rPr>
          <w:rFonts w:ascii="Gill Sans MT" w:hAnsi="Gill Sans MT"/>
        </w:rPr>
        <w:t>.  As he notes, I have been</w:t>
      </w:r>
      <w:r w:rsidR="00E71F64">
        <w:rPr>
          <w:rFonts w:ascii="Gill Sans MT" w:hAnsi="Gill Sans MT"/>
        </w:rPr>
        <w:t xml:space="preserve"> </w:t>
      </w:r>
      <w:r>
        <w:rPr>
          <w:rFonts w:ascii="Gill Sans MT" w:hAnsi="Gill Sans MT"/>
        </w:rPr>
        <w:t xml:space="preserve">critical of this position, not because I reject Hart’s important idea that every legal system is underpinned by a rule of recognition, the authority of which depends on official acceptance and behaviour rather than any test of legal validity.  Instead, I have democratic concerns about the way in which the rule of recognition can be deployed as a jurisprudential </w:t>
      </w:r>
      <w:r w:rsidR="00AD2D4B">
        <w:rPr>
          <w:rFonts w:ascii="Gill Sans MT" w:hAnsi="Gill Sans MT"/>
        </w:rPr>
        <w:t>‘</w:t>
      </w:r>
      <w:r>
        <w:rPr>
          <w:rFonts w:ascii="Gill Sans MT" w:hAnsi="Gill Sans MT"/>
        </w:rPr>
        <w:t>get-out-of-jail-free card</w:t>
      </w:r>
      <w:r w:rsidR="00AD2D4B">
        <w:rPr>
          <w:rFonts w:ascii="Gill Sans MT" w:hAnsi="Gill Sans MT"/>
        </w:rPr>
        <w:t>’</w:t>
      </w:r>
      <w:r>
        <w:rPr>
          <w:rFonts w:ascii="Gill Sans MT" w:hAnsi="Gill Sans MT"/>
        </w:rPr>
        <w:t xml:space="preserve"> in constitutional debates, with the ultimate consequence that the courts </w:t>
      </w:r>
      <w:r w:rsidR="0054604B">
        <w:rPr>
          <w:rFonts w:ascii="Gill Sans MT" w:hAnsi="Gill Sans MT"/>
        </w:rPr>
        <w:t>become free</w:t>
      </w:r>
      <w:r>
        <w:rPr>
          <w:rFonts w:ascii="Gill Sans MT" w:hAnsi="Gill Sans MT"/>
        </w:rPr>
        <w:t xml:space="preserve"> to decide which fundamental norms to apply.   </w:t>
      </w:r>
    </w:p>
    <w:p w14:paraId="24C94D35" w14:textId="59A3B6D4" w:rsidR="00E71F64" w:rsidRDefault="00E71F64" w:rsidP="00221BFA">
      <w:pPr>
        <w:spacing w:after="0"/>
        <w:jc w:val="both"/>
        <w:rPr>
          <w:rFonts w:ascii="Gill Sans MT" w:hAnsi="Gill Sans MT"/>
        </w:rPr>
      </w:pPr>
    </w:p>
    <w:p w14:paraId="78A9D547" w14:textId="358BDDD7" w:rsidR="00E71F64" w:rsidRDefault="00E71F64" w:rsidP="00221BFA">
      <w:pPr>
        <w:spacing w:after="0"/>
        <w:jc w:val="both"/>
        <w:rPr>
          <w:rFonts w:ascii="Gill Sans MT" w:hAnsi="Gill Sans MT"/>
        </w:rPr>
      </w:pPr>
      <w:r>
        <w:rPr>
          <w:rFonts w:ascii="Gill Sans MT" w:hAnsi="Gill Sans MT"/>
        </w:rPr>
        <w:t>If faced with an entrenched referendum requirement, the courts should not consider themselves to be departing from past practice and recognising a new rule of recognition</w:t>
      </w:r>
      <w:r w:rsidR="00AD2D4B">
        <w:rPr>
          <w:rFonts w:ascii="Gill Sans MT" w:hAnsi="Gill Sans MT"/>
        </w:rPr>
        <w:t xml:space="preserve"> based on their own interpretation of offici</w:t>
      </w:r>
      <w:r w:rsidR="0054604B">
        <w:rPr>
          <w:rFonts w:ascii="Gill Sans MT" w:hAnsi="Gill Sans MT"/>
        </w:rPr>
        <w:t>al consensus</w:t>
      </w:r>
      <w:r>
        <w:rPr>
          <w:rFonts w:ascii="Gill Sans MT" w:hAnsi="Gill Sans MT"/>
        </w:rPr>
        <w:t>.  Instead, consistently with the idea that the UK Parliament is sovereign, they should be attempting to give effect to the understanding of parliamentary sovereignty which emerges from Parliament’s practice.  While I remain reluctant for the courts to become the forum in which the status of manner and form conditions is decided, it would be consistent with this theory of parliamentary sovereignty for the courts to uphold the legality of an entrenched referendum requirement.</w:t>
      </w:r>
    </w:p>
    <w:p w14:paraId="7039D634" w14:textId="75DB783B" w:rsidR="00E71F64" w:rsidRDefault="00E71F64" w:rsidP="00221BFA">
      <w:pPr>
        <w:spacing w:after="0"/>
        <w:jc w:val="both"/>
        <w:rPr>
          <w:rFonts w:ascii="Gill Sans MT" w:hAnsi="Gill Sans MT"/>
        </w:rPr>
      </w:pPr>
    </w:p>
    <w:p w14:paraId="7FA06CA3" w14:textId="11C78AE4" w:rsidR="00E71F64" w:rsidRDefault="00E71F64" w:rsidP="00221BFA">
      <w:pPr>
        <w:spacing w:after="0"/>
        <w:jc w:val="both"/>
        <w:rPr>
          <w:rFonts w:ascii="Gill Sans MT" w:hAnsi="Gill Sans MT"/>
        </w:rPr>
      </w:pPr>
      <w:r>
        <w:rPr>
          <w:rFonts w:ascii="Gill Sans MT" w:hAnsi="Gill Sans MT"/>
        </w:rPr>
        <w:t xml:space="preserve">The second caveat is that, in practice, the context here is also relevant.  The entrenchment of a referendum requirement </w:t>
      </w:r>
      <w:r w:rsidR="006A3925">
        <w:rPr>
          <w:rFonts w:ascii="Gill Sans MT" w:hAnsi="Gill Sans MT"/>
        </w:rPr>
        <w:t>to guarantee</w:t>
      </w:r>
      <w:r>
        <w:rPr>
          <w:rFonts w:ascii="Gill Sans MT" w:hAnsi="Gill Sans MT"/>
        </w:rPr>
        <w:t xml:space="preserve"> a widely </w:t>
      </w:r>
      <w:r w:rsidR="006A3925">
        <w:rPr>
          <w:rFonts w:ascii="Gill Sans MT" w:hAnsi="Gill Sans MT"/>
        </w:rPr>
        <w:t>respected</w:t>
      </w:r>
      <w:r>
        <w:rPr>
          <w:rFonts w:ascii="Gill Sans MT" w:hAnsi="Gill Sans MT"/>
        </w:rPr>
        <w:t xml:space="preserve"> constitutional value would be easier for the courts to uphold than if </w:t>
      </w:r>
      <w:r w:rsidR="006A3925">
        <w:rPr>
          <w:rFonts w:ascii="Gill Sans MT" w:hAnsi="Gill Sans MT"/>
        </w:rPr>
        <w:t>this</w:t>
      </w:r>
      <w:r>
        <w:rPr>
          <w:rFonts w:ascii="Gill Sans MT" w:hAnsi="Gill Sans MT"/>
        </w:rPr>
        <w:t xml:space="preserve"> device </w:t>
      </w:r>
      <w:r w:rsidR="004A2A5C">
        <w:rPr>
          <w:rFonts w:ascii="Gill Sans MT" w:hAnsi="Gill Sans MT"/>
        </w:rPr>
        <w:t>was</w:t>
      </w:r>
      <w:r>
        <w:rPr>
          <w:rFonts w:ascii="Gill Sans MT" w:hAnsi="Gill Sans MT"/>
        </w:rPr>
        <w:t xml:space="preserve"> used for spurious partisan political ends.  For example, had the devolution permanence provisions – ensuring the Scottish and Welsh Parliaments cannot be abolished without approval of the</w:t>
      </w:r>
      <w:r w:rsidR="004A2A5C">
        <w:rPr>
          <w:rFonts w:ascii="Gill Sans MT" w:hAnsi="Gill Sans MT"/>
        </w:rPr>
        <w:t>ir</w:t>
      </w:r>
      <w:r>
        <w:rPr>
          <w:rFonts w:ascii="Gill Sans MT" w:hAnsi="Gill Sans MT"/>
        </w:rPr>
        <w:t xml:space="preserve"> respective peoples at referendums – been entrenched, it </w:t>
      </w:r>
      <w:r w:rsidR="006A3925">
        <w:rPr>
          <w:rFonts w:ascii="Gill Sans MT" w:hAnsi="Gill Sans MT"/>
        </w:rPr>
        <w:t>would be much easier to justify than, for example, entrenchment of the referendum lock</w:t>
      </w:r>
      <w:r w:rsidR="004A2A5C">
        <w:rPr>
          <w:rFonts w:ascii="Gill Sans MT" w:hAnsi="Gill Sans MT"/>
        </w:rPr>
        <w:t>s</w:t>
      </w:r>
      <w:r w:rsidR="006A3925">
        <w:rPr>
          <w:rFonts w:ascii="Gill Sans MT" w:hAnsi="Gill Sans MT"/>
        </w:rPr>
        <w:t xml:space="preserve"> in the EU Act 2011, preventing expansion of the UK’s relationship with the EU.  This is not to say the courts would be creating a new rule of recognition, but simply that they would </w:t>
      </w:r>
      <w:r w:rsidR="004A2A5C">
        <w:rPr>
          <w:rFonts w:ascii="Gill Sans MT" w:hAnsi="Gill Sans MT"/>
        </w:rPr>
        <w:t>likely</w:t>
      </w:r>
      <w:r w:rsidR="006A3925">
        <w:rPr>
          <w:rFonts w:ascii="Gill Sans MT" w:hAnsi="Gill Sans MT"/>
        </w:rPr>
        <w:t xml:space="preserve"> be influenced by the political atmosphere in which legislation exists, as was explicit</w:t>
      </w:r>
      <w:r w:rsidR="004A2A5C">
        <w:rPr>
          <w:rFonts w:ascii="Gill Sans MT" w:hAnsi="Gill Sans MT"/>
        </w:rPr>
        <w:t>ly stated</w:t>
      </w:r>
      <w:r w:rsidR="006A3925">
        <w:rPr>
          <w:rFonts w:ascii="Gill Sans MT" w:hAnsi="Gill Sans MT"/>
        </w:rPr>
        <w:t xml:space="preserve"> in </w:t>
      </w:r>
      <w:r w:rsidR="006A3925">
        <w:rPr>
          <w:rFonts w:ascii="Gill Sans MT" w:hAnsi="Gill Sans MT"/>
          <w:i/>
          <w:iCs/>
        </w:rPr>
        <w:t>Jackson</w:t>
      </w:r>
      <w:r w:rsidR="006A3925">
        <w:rPr>
          <w:rFonts w:ascii="Gill Sans MT" w:hAnsi="Gill Sans MT"/>
        </w:rPr>
        <w:t>.</w:t>
      </w:r>
      <w:r w:rsidR="006A3925">
        <w:rPr>
          <w:rStyle w:val="FootnoteReference"/>
          <w:rFonts w:ascii="Gill Sans MT" w:hAnsi="Gill Sans MT"/>
        </w:rPr>
        <w:footnoteReference w:id="19"/>
      </w:r>
    </w:p>
    <w:p w14:paraId="4E8A3B9B" w14:textId="21098221" w:rsidR="00EC4D46" w:rsidRDefault="00EC4D46" w:rsidP="00221BFA">
      <w:pPr>
        <w:spacing w:after="0"/>
        <w:jc w:val="both"/>
        <w:rPr>
          <w:rFonts w:ascii="Gill Sans MT" w:hAnsi="Gill Sans MT"/>
        </w:rPr>
      </w:pPr>
    </w:p>
    <w:p w14:paraId="3DA92689" w14:textId="281C10BE" w:rsidR="002A637C" w:rsidRDefault="00AB0434" w:rsidP="00221BFA">
      <w:pPr>
        <w:spacing w:after="0"/>
        <w:jc w:val="both"/>
        <w:rPr>
          <w:rFonts w:ascii="Gill Sans MT" w:hAnsi="Gill Sans MT"/>
        </w:rPr>
      </w:pPr>
      <w:r>
        <w:rPr>
          <w:rFonts w:ascii="Gill Sans MT" w:hAnsi="Gill Sans MT"/>
        </w:rPr>
        <w:t>Ultimately, i</w:t>
      </w:r>
      <w:r w:rsidR="00804203">
        <w:rPr>
          <w:rFonts w:ascii="Gill Sans MT" w:hAnsi="Gill Sans MT"/>
        </w:rPr>
        <w:t>t is hard to be certain about what the courts would do in such a situation, as compared with what the manner and form theory of parliamentary sovereignty would suggest they should do.</w:t>
      </w:r>
      <w:r w:rsidR="009171B1">
        <w:rPr>
          <w:rFonts w:ascii="Gill Sans MT" w:hAnsi="Gill Sans MT"/>
        </w:rPr>
        <w:t xml:space="preserve">  It may be that, if ever faced with such a situation, the judges would take an alternative path</w:t>
      </w:r>
      <w:r w:rsidR="00D26CB6">
        <w:rPr>
          <w:rFonts w:ascii="Gill Sans MT" w:hAnsi="Gill Sans MT"/>
        </w:rPr>
        <w:t>, and such a shift in practice might itself require theories of parliamentary sovereignty to adapt</w:t>
      </w:r>
      <w:r w:rsidR="009171B1">
        <w:rPr>
          <w:rFonts w:ascii="Gill Sans MT" w:hAnsi="Gill Sans MT"/>
        </w:rPr>
        <w:t xml:space="preserve">.  </w:t>
      </w:r>
      <w:r w:rsidR="00D26CB6">
        <w:rPr>
          <w:rFonts w:ascii="Gill Sans MT" w:hAnsi="Gill Sans MT"/>
        </w:rPr>
        <w:t>Yet</w:t>
      </w:r>
      <w:r w:rsidR="009171B1">
        <w:rPr>
          <w:rFonts w:ascii="Gill Sans MT" w:hAnsi="Gill Sans MT"/>
        </w:rPr>
        <w:t xml:space="preserve"> in doing so, the courts would be embracing a narrower idea of parliamentary sovereignty, </w:t>
      </w:r>
      <w:r w:rsidR="002A637C">
        <w:rPr>
          <w:rFonts w:ascii="Gill Sans MT" w:hAnsi="Gill Sans MT"/>
        </w:rPr>
        <w:t xml:space="preserve">while also potentially writing the people out of the decision-making process.  Both the manner and form theory and Goldsworthy’s rule of recognition shift would provide the courts with a way out of this </w:t>
      </w:r>
      <w:r w:rsidR="008D6A04">
        <w:rPr>
          <w:rFonts w:ascii="Gill Sans MT" w:hAnsi="Gill Sans MT"/>
        </w:rPr>
        <w:t>dilemma</w:t>
      </w:r>
      <w:r w:rsidR="002A637C">
        <w:rPr>
          <w:rFonts w:ascii="Gill Sans MT" w:hAnsi="Gill Sans MT"/>
        </w:rPr>
        <w:t xml:space="preserve">.  </w:t>
      </w:r>
      <w:r w:rsidR="000B7CF8">
        <w:rPr>
          <w:rFonts w:ascii="Gill Sans MT" w:hAnsi="Gill Sans MT"/>
        </w:rPr>
        <w:t>But o</w:t>
      </w:r>
      <w:r w:rsidR="002A637C">
        <w:rPr>
          <w:rFonts w:ascii="Gill Sans MT" w:hAnsi="Gill Sans MT"/>
        </w:rPr>
        <w:t>n the manner and form theory, the choice would be attributed to Parliament, which to me seems most appropriate in a constitutional order based on parliamentary sovereignty.</w:t>
      </w:r>
    </w:p>
    <w:p w14:paraId="0F480831" w14:textId="77777777" w:rsidR="002A637C" w:rsidRDefault="002A637C" w:rsidP="00221BFA">
      <w:pPr>
        <w:spacing w:after="0"/>
        <w:jc w:val="both"/>
        <w:rPr>
          <w:rFonts w:ascii="Gill Sans MT" w:hAnsi="Gill Sans MT"/>
        </w:rPr>
      </w:pPr>
    </w:p>
    <w:p w14:paraId="0FFDB1D1" w14:textId="77777777" w:rsidR="00EC4D46" w:rsidRPr="006A3925" w:rsidRDefault="00EC4D46" w:rsidP="00221BFA">
      <w:pPr>
        <w:spacing w:after="0"/>
        <w:jc w:val="both"/>
        <w:rPr>
          <w:rFonts w:ascii="Gill Sans MT" w:hAnsi="Gill Sans MT"/>
        </w:rPr>
      </w:pPr>
    </w:p>
    <w:p w14:paraId="55D316A4" w14:textId="1E18711D" w:rsidR="001E3400" w:rsidRDefault="001E3400" w:rsidP="00221BFA">
      <w:pPr>
        <w:spacing w:after="0"/>
        <w:jc w:val="both"/>
        <w:rPr>
          <w:rFonts w:ascii="Gill Sans MT" w:hAnsi="Gill Sans MT"/>
        </w:rPr>
      </w:pPr>
    </w:p>
    <w:p w14:paraId="2AB82FB7" w14:textId="77777777" w:rsidR="001E3400" w:rsidRDefault="001E3400" w:rsidP="00221BFA">
      <w:pPr>
        <w:spacing w:after="0"/>
        <w:jc w:val="both"/>
        <w:rPr>
          <w:rFonts w:ascii="Gill Sans MT" w:hAnsi="Gill Sans MT"/>
        </w:rPr>
      </w:pPr>
    </w:p>
    <w:p w14:paraId="7CE94078" w14:textId="77777777" w:rsidR="00BF30D2" w:rsidRDefault="00BF30D2" w:rsidP="00221BFA">
      <w:pPr>
        <w:spacing w:after="0"/>
        <w:jc w:val="both"/>
        <w:rPr>
          <w:rFonts w:ascii="Gill Sans MT" w:hAnsi="Gill Sans MT"/>
        </w:rPr>
      </w:pPr>
    </w:p>
    <w:p w14:paraId="3A8D2AA3" w14:textId="77777777" w:rsidR="00EE20DB" w:rsidRPr="00A46A8B" w:rsidRDefault="00EE20DB" w:rsidP="006D1436">
      <w:pPr>
        <w:spacing w:after="0"/>
        <w:rPr>
          <w:rFonts w:ascii="Gill Sans MT" w:hAnsi="Gill Sans MT"/>
        </w:rPr>
      </w:pPr>
    </w:p>
    <w:sectPr w:rsidR="00EE20DB" w:rsidRPr="00A46A8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8A4B4F" w14:textId="77777777" w:rsidR="00265493" w:rsidRDefault="00265493" w:rsidP="002E4A31">
      <w:pPr>
        <w:spacing w:after="0" w:line="240" w:lineRule="auto"/>
      </w:pPr>
      <w:r>
        <w:separator/>
      </w:r>
    </w:p>
  </w:endnote>
  <w:endnote w:type="continuationSeparator" w:id="0">
    <w:p w14:paraId="6AB0DED0" w14:textId="77777777" w:rsidR="00265493" w:rsidRDefault="00265493" w:rsidP="002E4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ill Sans MT" w:hAnsi="Gill Sans MT"/>
      </w:rPr>
      <w:id w:val="-1378383976"/>
      <w:docPartObj>
        <w:docPartGallery w:val="Page Numbers (Bottom of Page)"/>
        <w:docPartUnique/>
      </w:docPartObj>
    </w:sdtPr>
    <w:sdtEndPr>
      <w:rPr>
        <w:noProof/>
      </w:rPr>
    </w:sdtEndPr>
    <w:sdtContent>
      <w:p w14:paraId="084A5282" w14:textId="4E42C406" w:rsidR="00E71F64" w:rsidRPr="00EF2524" w:rsidRDefault="00E71F64">
        <w:pPr>
          <w:pStyle w:val="Footer"/>
          <w:jc w:val="center"/>
          <w:rPr>
            <w:rFonts w:ascii="Gill Sans MT" w:hAnsi="Gill Sans MT"/>
          </w:rPr>
        </w:pPr>
        <w:r w:rsidRPr="00EF2524">
          <w:rPr>
            <w:rFonts w:ascii="Gill Sans MT" w:hAnsi="Gill Sans MT"/>
          </w:rPr>
          <w:fldChar w:fldCharType="begin"/>
        </w:r>
        <w:r w:rsidRPr="00EF2524">
          <w:rPr>
            <w:rFonts w:ascii="Gill Sans MT" w:hAnsi="Gill Sans MT"/>
          </w:rPr>
          <w:instrText xml:space="preserve"> PAGE   \* MERGEFORMAT </w:instrText>
        </w:r>
        <w:r w:rsidRPr="00EF2524">
          <w:rPr>
            <w:rFonts w:ascii="Gill Sans MT" w:hAnsi="Gill Sans MT"/>
          </w:rPr>
          <w:fldChar w:fldCharType="separate"/>
        </w:r>
        <w:r w:rsidRPr="00EF2524">
          <w:rPr>
            <w:rFonts w:ascii="Gill Sans MT" w:hAnsi="Gill Sans MT"/>
            <w:noProof/>
          </w:rPr>
          <w:t>2</w:t>
        </w:r>
        <w:r w:rsidRPr="00EF2524">
          <w:rPr>
            <w:rFonts w:ascii="Gill Sans MT" w:hAnsi="Gill Sans MT"/>
            <w:noProof/>
          </w:rPr>
          <w:fldChar w:fldCharType="end"/>
        </w:r>
      </w:p>
    </w:sdtContent>
  </w:sdt>
  <w:p w14:paraId="40718BC0" w14:textId="77777777" w:rsidR="00E71F64" w:rsidRDefault="00E71F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C00371" w14:textId="77777777" w:rsidR="00265493" w:rsidRDefault="00265493" w:rsidP="002E4A31">
      <w:pPr>
        <w:spacing w:after="0" w:line="240" w:lineRule="auto"/>
      </w:pPr>
      <w:r>
        <w:separator/>
      </w:r>
    </w:p>
  </w:footnote>
  <w:footnote w:type="continuationSeparator" w:id="0">
    <w:p w14:paraId="5A5620B8" w14:textId="77777777" w:rsidR="00265493" w:rsidRDefault="00265493" w:rsidP="002E4A31">
      <w:pPr>
        <w:spacing w:after="0" w:line="240" w:lineRule="auto"/>
      </w:pPr>
      <w:r>
        <w:continuationSeparator/>
      </w:r>
    </w:p>
  </w:footnote>
  <w:footnote w:id="1">
    <w:p w14:paraId="5828A3F8" w14:textId="1F4CD9CD" w:rsidR="00E71F64" w:rsidRPr="00FC738A" w:rsidRDefault="00E71F64">
      <w:pPr>
        <w:pStyle w:val="FootnoteText"/>
        <w:rPr>
          <w:rFonts w:ascii="Gill Sans MT" w:hAnsi="Gill Sans MT"/>
        </w:rPr>
      </w:pPr>
      <w:r w:rsidRPr="00FC738A">
        <w:rPr>
          <w:rStyle w:val="FootnoteReference"/>
          <w:rFonts w:ascii="Gill Sans MT" w:hAnsi="Gill Sans MT"/>
        </w:rPr>
        <w:footnoteRef/>
      </w:r>
      <w:r w:rsidRPr="00FC738A">
        <w:rPr>
          <w:rFonts w:ascii="Gill Sans MT" w:hAnsi="Gill Sans MT"/>
        </w:rPr>
        <w:t xml:space="preserve"> See Goldsworthy’s discussion of </w:t>
      </w:r>
      <w:r w:rsidRPr="00FC738A">
        <w:rPr>
          <w:rFonts w:ascii="Gill Sans MT" w:hAnsi="Gill Sans MT"/>
          <w:i/>
          <w:iCs/>
        </w:rPr>
        <w:t>Mc</w:t>
      </w:r>
      <w:r w:rsidR="00043234" w:rsidRPr="00FC738A">
        <w:rPr>
          <w:rFonts w:ascii="Gill Sans MT" w:hAnsi="Gill Sans MT"/>
          <w:i/>
          <w:iCs/>
        </w:rPr>
        <w:t>Cawl</w:t>
      </w:r>
      <w:r w:rsidRPr="00FC738A">
        <w:rPr>
          <w:rFonts w:ascii="Gill Sans MT" w:hAnsi="Gill Sans MT"/>
          <w:i/>
          <w:iCs/>
        </w:rPr>
        <w:t>ey</w:t>
      </w:r>
      <w:r w:rsidRPr="00FC738A">
        <w:rPr>
          <w:rFonts w:ascii="Gill Sans MT" w:hAnsi="Gill Sans MT"/>
        </w:rPr>
        <w:t xml:space="preserve">, </w:t>
      </w:r>
      <w:r w:rsidR="00043234" w:rsidRPr="00FC738A">
        <w:rPr>
          <w:rFonts w:ascii="Gill Sans MT" w:hAnsi="Gill Sans MT"/>
        </w:rPr>
        <w:t>p.18</w:t>
      </w:r>
      <w:r w:rsidRPr="00FC738A">
        <w:rPr>
          <w:rFonts w:ascii="Gill Sans MT" w:hAnsi="Gill Sans MT"/>
        </w:rPr>
        <w:t>, which he rightly notes was an omission from the discussion of Commonwealth case law in</w:t>
      </w:r>
      <w:r w:rsidR="00043234" w:rsidRPr="00FC738A">
        <w:rPr>
          <w:rFonts w:ascii="Gill Sans MT" w:hAnsi="Gill Sans MT"/>
        </w:rPr>
        <w:t xml:space="preserve"> my book</w:t>
      </w:r>
      <w:r w:rsidRPr="00FC738A">
        <w:rPr>
          <w:rFonts w:ascii="Gill Sans MT" w:hAnsi="Gill Sans MT"/>
        </w:rPr>
        <w:t xml:space="preserve">, </w:t>
      </w:r>
      <w:r w:rsidR="00043234" w:rsidRPr="00FC738A">
        <w:rPr>
          <w:rFonts w:ascii="Gill Sans MT" w:hAnsi="Gill Sans MT"/>
        </w:rPr>
        <w:t>p.65, 85-91.</w:t>
      </w:r>
    </w:p>
  </w:footnote>
  <w:footnote w:id="2">
    <w:p w14:paraId="3F94E41E" w14:textId="4B8CAED4" w:rsidR="00E71F64" w:rsidRPr="00FC738A" w:rsidRDefault="00E71F64">
      <w:pPr>
        <w:pStyle w:val="FootnoteText"/>
        <w:rPr>
          <w:rFonts w:ascii="Gill Sans MT" w:hAnsi="Gill Sans MT"/>
        </w:rPr>
      </w:pPr>
      <w:r w:rsidRPr="00FC738A">
        <w:rPr>
          <w:rStyle w:val="FootnoteReference"/>
          <w:rFonts w:ascii="Gill Sans MT" w:hAnsi="Gill Sans MT"/>
        </w:rPr>
        <w:footnoteRef/>
      </w:r>
      <w:r w:rsidRPr="00FC738A">
        <w:rPr>
          <w:rFonts w:ascii="Gill Sans MT" w:hAnsi="Gill Sans MT"/>
        </w:rPr>
        <w:t xml:space="preserve"> </w:t>
      </w:r>
      <w:r w:rsidR="00043234" w:rsidRPr="00FC738A">
        <w:rPr>
          <w:rFonts w:ascii="Gill Sans MT" w:hAnsi="Gill Sans MT"/>
        </w:rPr>
        <w:t>[2005] UKHL 56.</w:t>
      </w:r>
    </w:p>
  </w:footnote>
  <w:footnote w:id="3">
    <w:p w14:paraId="16B8BD71" w14:textId="43696913" w:rsidR="00E71F64" w:rsidRPr="00FC738A" w:rsidRDefault="00E71F64">
      <w:pPr>
        <w:pStyle w:val="FootnoteText"/>
        <w:rPr>
          <w:rFonts w:ascii="Gill Sans MT" w:hAnsi="Gill Sans MT"/>
        </w:rPr>
      </w:pPr>
      <w:r w:rsidRPr="00FC738A">
        <w:rPr>
          <w:rStyle w:val="FootnoteReference"/>
          <w:rFonts w:ascii="Gill Sans MT" w:hAnsi="Gill Sans MT"/>
        </w:rPr>
        <w:footnoteRef/>
      </w:r>
      <w:r w:rsidRPr="00FC738A">
        <w:rPr>
          <w:rFonts w:ascii="Gill Sans MT" w:hAnsi="Gill Sans MT"/>
        </w:rPr>
        <w:t xml:space="preserve"> Now repealed: EU Withdrawal Act 2018, s.</w:t>
      </w:r>
      <w:r w:rsidR="00043234" w:rsidRPr="00FC738A">
        <w:rPr>
          <w:rFonts w:ascii="Gill Sans MT" w:hAnsi="Gill Sans MT"/>
        </w:rPr>
        <w:t>23(8), Sch.9.</w:t>
      </w:r>
    </w:p>
  </w:footnote>
  <w:footnote w:id="4">
    <w:p w14:paraId="3D0EF36A" w14:textId="1C3EA6DF" w:rsidR="00E71F64" w:rsidRPr="00FC738A" w:rsidRDefault="00E71F64">
      <w:pPr>
        <w:pStyle w:val="FootnoteText"/>
        <w:rPr>
          <w:rFonts w:ascii="Gill Sans MT" w:hAnsi="Gill Sans MT"/>
        </w:rPr>
      </w:pPr>
      <w:r w:rsidRPr="00FC738A">
        <w:rPr>
          <w:rStyle w:val="FootnoteReference"/>
          <w:rFonts w:ascii="Gill Sans MT" w:hAnsi="Gill Sans MT"/>
        </w:rPr>
        <w:footnoteRef/>
      </w:r>
      <w:r w:rsidRPr="00FC738A">
        <w:rPr>
          <w:rFonts w:ascii="Gill Sans MT" w:hAnsi="Gill Sans MT"/>
        </w:rPr>
        <w:t xml:space="preserve"> Scotland Act 2016,</w:t>
      </w:r>
      <w:r w:rsidR="001603AD" w:rsidRPr="00FC738A">
        <w:rPr>
          <w:rFonts w:ascii="Gill Sans MT" w:hAnsi="Gill Sans MT"/>
        </w:rPr>
        <w:t xml:space="preserve"> s.1,</w:t>
      </w:r>
      <w:r w:rsidRPr="00FC738A">
        <w:rPr>
          <w:rFonts w:ascii="Gill Sans MT" w:hAnsi="Gill Sans MT"/>
        </w:rPr>
        <w:t xml:space="preserve"> </w:t>
      </w:r>
      <w:r w:rsidR="001603AD" w:rsidRPr="00FC738A">
        <w:rPr>
          <w:rFonts w:ascii="Gill Sans MT" w:hAnsi="Gill Sans MT"/>
        </w:rPr>
        <w:t xml:space="preserve">inserting s.63A into </w:t>
      </w:r>
      <w:r w:rsidRPr="00FC738A">
        <w:rPr>
          <w:rFonts w:ascii="Gill Sans MT" w:hAnsi="Gill Sans MT"/>
        </w:rPr>
        <w:t>Scotland Act 1998</w:t>
      </w:r>
      <w:r w:rsidR="001603AD" w:rsidRPr="00FC738A">
        <w:rPr>
          <w:rFonts w:ascii="Gill Sans MT" w:hAnsi="Gill Sans MT"/>
        </w:rPr>
        <w:t>.</w:t>
      </w:r>
    </w:p>
  </w:footnote>
  <w:footnote w:id="5">
    <w:p w14:paraId="72AA1FDB" w14:textId="695C7D45" w:rsidR="00E71F64" w:rsidRPr="00FC738A" w:rsidRDefault="00E71F64">
      <w:pPr>
        <w:pStyle w:val="FootnoteText"/>
        <w:rPr>
          <w:rFonts w:ascii="Gill Sans MT" w:hAnsi="Gill Sans MT"/>
        </w:rPr>
      </w:pPr>
      <w:r w:rsidRPr="00FC738A">
        <w:rPr>
          <w:rStyle w:val="FootnoteReference"/>
          <w:rFonts w:ascii="Gill Sans MT" w:hAnsi="Gill Sans MT"/>
        </w:rPr>
        <w:footnoteRef/>
      </w:r>
      <w:r w:rsidRPr="00FC738A">
        <w:rPr>
          <w:rFonts w:ascii="Gill Sans MT" w:hAnsi="Gill Sans MT"/>
        </w:rPr>
        <w:t xml:space="preserve"> </w:t>
      </w:r>
      <w:r w:rsidR="001603AD" w:rsidRPr="00FC738A">
        <w:rPr>
          <w:rFonts w:ascii="Gill Sans MT" w:hAnsi="Gill Sans MT"/>
        </w:rPr>
        <w:t>Wales Act 2017, s.1, inserting into s.A1 into Governance of Wales Act 2006.</w:t>
      </w:r>
    </w:p>
  </w:footnote>
  <w:footnote w:id="6">
    <w:p w14:paraId="66EE6EBD" w14:textId="63A0ECC1" w:rsidR="00E71F64" w:rsidRPr="00FC738A" w:rsidRDefault="00E71F64">
      <w:pPr>
        <w:pStyle w:val="FootnoteText"/>
        <w:rPr>
          <w:rFonts w:ascii="Gill Sans MT" w:hAnsi="Gill Sans MT"/>
        </w:rPr>
      </w:pPr>
      <w:r w:rsidRPr="00FC738A">
        <w:rPr>
          <w:rStyle w:val="FootnoteReference"/>
          <w:rFonts w:ascii="Gill Sans MT" w:hAnsi="Gill Sans MT"/>
        </w:rPr>
        <w:footnoteRef/>
      </w:r>
      <w:r w:rsidR="001603AD" w:rsidRPr="00FC738A">
        <w:rPr>
          <w:rFonts w:ascii="Gill Sans MT" w:hAnsi="Gill Sans MT"/>
        </w:rPr>
        <w:t xml:space="preserve">Northern Ireland Act 1998, s.1, which has origins in </w:t>
      </w:r>
      <w:r w:rsidR="00FC738A" w:rsidRPr="00FC738A">
        <w:rPr>
          <w:rFonts w:ascii="Gill Sans MT" w:hAnsi="Gill Sans MT"/>
        </w:rPr>
        <w:t xml:space="preserve">the </w:t>
      </w:r>
      <w:r w:rsidR="001603AD" w:rsidRPr="00FC738A">
        <w:rPr>
          <w:rFonts w:ascii="Gill Sans MT" w:hAnsi="Gill Sans MT"/>
        </w:rPr>
        <w:t>Northern Ireland Constitution Act 1973 and the Ireland Act 1949.</w:t>
      </w:r>
    </w:p>
  </w:footnote>
  <w:footnote w:id="7">
    <w:p w14:paraId="690C18C5" w14:textId="54484FB7" w:rsidR="00E71F64" w:rsidRPr="00FC738A" w:rsidRDefault="00E71F64" w:rsidP="00131045">
      <w:pPr>
        <w:pStyle w:val="FootnoteText"/>
        <w:rPr>
          <w:rFonts w:ascii="Gill Sans MT" w:hAnsi="Gill Sans MT"/>
        </w:rPr>
      </w:pPr>
      <w:r w:rsidRPr="00FC738A">
        <w:rPr>
          <w:rStyle w:val="FootnoteReference"/>
          <w:rFonts w:ascii="Gill Sans MT" w:hAnsi="Gill Sans MT"/>
        </w:rPr>
        <w:footnoteRef/>
      </w:r>
      <w:r w:rsidRPr="00FC738A">
        <w:rPr>
          <w:rFonts w:ascii="Gill Sans MT" w:hAnsi="Gill Sans MT"/>
        </w:rPr>
        <w:t xml:space="preserve"> </w:t>
      </w:r>
      <w:r w:rsidR="002742D0" w:rsidRPr="000958EE">
        <w:rPr>
          <w:rFonts w:ascii="Gill Sans MT" w:hAnsi="Gill Sans MT"/>
        </w:rPr>
        <w:t xml:space="preserve">AV Dicey, </w:t>
      </w:r>
      <w:r w:rsidR="002742D0" w:rsidRPr="000958EE">
        <w:rPr>
          <w:rFonts w:ascii="Gill Sans MT" w:hAnsi="Gill Sans MT"/>
          <w:i/>
        </w:rPr>
        <w:t>Introduction to the Study of the Law of the Constitution</w:t>
      </w:r>
      <w:r w:rsidR="002742D0" w:rsidRPr="000958EE">
        <w:rPr>
          <w:rFonts w:ascii="Gill Sans MT" w:hAnsi="Gill Sans MT"/>
        </w:rPr>
        <w:t xml:space="preserve"> (Macmillan, 8</w:t>
      </w:r>
      <w:r w:rsidR="002742D0" w:rsidRPr="000958EE">
        <w:rPr>
          <w:rFonts w:ascii="Gill Sans MT" w:hAnsi="Gill Sans MT"/>
          <w:vertAlign w:val="superscript"/>
        </w:rPr>
        <w:t>th</w:t>
      </w:r>
      <w:r w:rsidR="002742D0" w:rsidRPr="000958EE">
        <w:rPr>
          <w:rFonts w:ascii="Gill Sans MT" w:hAnsi="Gill Sans MT"/>
        </w:rPr>
        <w:t xml:space="preserve"> edn, 1915)</w:t>
      </w:r>
      <w:r w:rsidR="002742D0">
        <w:rPr>
          <w:rFonts w:ascii="Gill Sans MT" w:hAnsi="Gill Sans MT"/>
        </w:rPr>
        <w:t>.</w:t>
      </w:r>
    </w:p>
  </w:footnote>
  <w:footnote w:id="8">
    <w:p w14:paraId="239F216A" w14:textId="34833EC4" w:rsidR="00123767" w:rsidRPr="00F175E2" w:rsidRDefault="00123767">
      <w:pPr>
        <w:pStyle w:val="FootnoteText"/>
        <w:rPr>
          <w:rFonts w:ascii="Gill Sans MT" w:hAnsi="Gill Sans MT"/>
        </w:rPr>
      </w:pPr>
      <w:r w:rsidRPr="00FC738A">
        <w:rPr>
          <w:rStyle w:val="FootnoteReference"/>
          <w:rFonts w:ascii="Gill Sans MT" w:hAnsi="Gill Sans MT"/>
        </w:rPr>
        <w:footnoteRef/>
      </w:r>
      <w:r w:rsidRPr="00FC738A">
        <w:rPr>
          <w:rFonts w:ascii="Gill Sans MT" w:hAnsi="Gill Sans MT"/>
        </w:rPr>
        <w:t xml:space="preserve"> </w:t>
      </w:r>
      <w:r w:rsidR="0098401F">
        <w:rPr>
          <w:rFonts w:ascii="Gill Sans MT" w:hAnsi="Gill Sans MT"/>
          <w:i/>
          <w:iCs/>
        </w:rPr>
        <w:t>The</w:t>
      </w:r>
      <w:r w:rsidR="00F175E2">
        <w:rPr>
          <w:rFonts w:ascii="Gill Sans MT" w:hAnsi="Gill Sans MT"/>
          <w:i/>
          <w:iCs/>
        </w:rPr>
        <w:t xml:space="preserve"> Sovereignty</w:t>
      </w:r>
      <w:r w:rsidR="0098401F">
        <w:rPr>
          <w:rFonts w:ascii="Gill Sans MT" w:hAnsi="Gill Sans MT"/>
          <w:i/>
          <w:iCs/>
        </w:rPr>
        <w:t xml:space="preserve"> of Parliament</w:t>
      </w:r>
      <w:r w:rsidR="00F175E2">
        <w:rPr>
          <w:rFonts w:ascii="Gill Sans MT" w:hAnsi="Gill Sans MT"/>
          <w:i/>
          <w:iCs/>
        </w:rPr>
        <w:t>: History and Philosophy</w:t>
      </w:r>
      <w:r w:rsidR="00F175E2">
        <w:rPr>
          <w:rFonts w:ascii="Gill Sans MT" w:hAnsi="Gill Sans MT"/>
        </w:rPr>
        <w:t xml:space="preserve"> (OUP, 1999); </w:t>
      </w:r>
      <w:r w:rsidR="00F175E2">
        <w:rPr>
          <w:rFonts w:ascii="Gill Sans MT" w:hAnsi="Gill Sans MT"/>
          <w:i/>
          <w:iCs/>
        </w:rPr>
        <w:t xml:space="preserve">Parliamentary Sovereignty: Contemporary Debates </w:t>
      </w:r>
      <w:r w:rsidR="00F175E2">
        <w:rPr>
          <w:rFonts w:ascii="Gill Sans MT" w:hAnsi="Gill Sans MT"/>
        </w:rPr>
        <w:t>(CUP, 2010).</w:t>
      </w:r>
    </w:p>
  </w:footnote>
  <w:footnote w:id="9">
    <w:p w14:paraId="77C0703B" w14:textId="118EAC05" w:rsidR="00390EBA" w:rsidRPr="00FC738A" w:rsidRDefault="00390EBA">
      <w:pPr>
        <w:pStyle w:val="FootnoteText"/>
        <w:rPr>
          <w:rFonts w:ascii="Gill Sans MT" w:hAnsi="Gill Sans MT"/>
        </w:rPr>
      </w:pPr>
      <w:r w:rsidRPr="00FC738A">
        <w:rPr>
          <w:rStyle w:val="FootnoteReference"/>
          <w:rFonts w:ascii="Gill Sans MT" w:hAnsi="Gill Sans MT"/>
        </w:rPr>
        <w:footnoteRef/>
      </w:r>
      <w:r w:rsidRPr="00FC738A">
        <w:rPr>
          <w:rFonts w:ascii="Gill Sans MT" w:hAnsi="Gill Sans MT"/>
        </w:rPr>
        <w:t xml:space="preserve"> G</w:t>
      </w:r>
      <w:r w:rsidR="00BA0FF0">
        <w:rPr>
          <w:rFonts w:ascii="Gill Sans MT" w:hAnsi="Gill Sans MT"/>
        </w:rPr>
        <w:t>oldsworthy,</w:t>
      </w:r>
      <w:r w:rsidRPr="00FC738A">
        <w:rPr>
          <w:rFonts w:ascii="Gill Sans MT" w:hAnsi="Gill Sans MT"/>
        </w:rPr>
        <w:t xml:space="preserve"> p.6</w:t>
      </w:r>
      <w:r w:rsidR="00BA0FF0">
        <w:rPr>
          <w:rFonts w:ascii="Gill Sans MT" w:hAnsi="Gill Sans MT"/>
        </w:rPr>
        <w:t>.</w:t>
      </w:r>
    </w:p>
  </w:footnote>
  <w:footnote w:id="10">
    <w:p w14:paraId="7A4CE7F4" w14:textId="5C24F1C6" w:rsidR="00C06A00" w:rsidRPr="00FC738A" w:rsidRDefault="00C06A00">
      <w:pPr>
        <w:pStyle w:val="FootnoteText"/>
        <w:rPr>
          <w:rFonts w:ascii="Gill Sans MT" w:hAnsi="Gill Sans MT"/>
        </w:rPr>
      </w:pPr>
      <w:r w:rsidRPr="00FC738A">
        <w:rPr>
          <w:rStyle w:val="FootnoteReference"/>
          <w:rFonts w:ascii="Gill Sans MT" w:hAnsi="Gill Sans MT"/>
        </w:rPr>
        <w:footnoteRef/>
      </w:r>
      <w:r w:rsidRPr="00FC738A">
        <w:rPr>
          <w:rFonts w:ascii="Gill Sans MT" w:hAnsi="Gill Sans MT"/>
        </w:rPr>
        <w:t xml:space="preserve"> I also doubt whether the electorate is best described as an external body, given the democratic legitimacy of the House of Commons depends on it; I dis</w:t>
      </w:r>
      <w:r w:rsidR="00EA4FB0" w:rsidRPr="00FC738A">
        <w:rPr>
          <w:rFonts w:ascii="Gill Sans MT" w:hAnsi="Gill Sans MT"/>
        </w:rPr>
        <w:t>cuss this at pp.</w:t>
      </w:r>
      <w:r w:rsidR="00BA0FF0">
        <w:rPr>
          <w:rFonts w:ascii="Gill Sans MT" w:hAnsi="Gill Sans MT"/>
        </w:rPr>
        <w:t>271-273</w:t>
      </w:r>
      <w:r w:rsidR="00EA4FB0" w:rsidRPr="00FC738A">
        <w:rPr>
          <w:rFonts w:ascii="Gill Sans MT" w:hAnsi="Gill Sans MT"/>
        </w:rPr>
        <w:t>.</w:t>
      </w:r>
    </w:p>
  </w:footnote>
  <w:footnote w:id="11">
    <w:p w14:paraId="7DCF5E8D" w14:textId="71706164" w:rsidR="00E71F64" w:rsidRPr="007D1418" w:rsidRDefault="00E71F64">
      <w:pPr>
        <w:pStyle w:val="FootnoteText"/>
        <w:rPr>
          <w:rFonts w:ascii="Gill Sans MT" w:hAnsi="Gill Sans MT"/>
        </w:rPr>
      </w:pPr>
      <w:r w:rsidRPr="00FC738A">
        <w:rPr>
          <w:rStyle w:val="FootnoteReference"/>
          <w:rFonts w:ascii="Gill Sans MT" w:hAnsi="Gill Sans MT"/>
        </w:rPr>
        <w:footnoteRef/>
      </w:r>
      <w:r w:rsidRPr="00FC738A">
        <w:rPr>
          <w:rFonts w:ascii="Gill Sans MT" w:hAnsi="Gill Sans MT"/>
        </w:rPr>
        <w:t xml:space="preserve"> </w:t>
      </w:r>
      <w:r w:rsidR="007D1418">
        <w:rPr>
          <w:rFonts w:ascii="Gill Sans MT" w:hAnsi="Gill Sans MT"/>
        </w:rPr>
        <w:t xml:space="preserve">[2009] </w:t>
      </w:r>
      <w:r w:rsidR="007D1418">
        <w:rPr>
          <w:rFonts w:ascii="Gill Sans MT" w:hAnsi="Gill Sans MT"/>
          <w:i/>
          <w:iCs/>
        </w:rPr>
        <w:t xml:space="preserve">Public Law </w:t>
      </w:r>
      <w:r w:rsidR="007D1418">
        <w:rPr>
          <w:rFonts w:ascii="Gill Sans MT" w:hAnsi="Gill Sans MT"/>
        </w:rPr>
        <w:t>519-543.</w:t>
      </w:r>
    </w:p>
  </w:footnote>
  <w:footnote w:id="12">
    <w:p w14:paraId="45072890" w14:textId="2703A975" w:rsidR="00E71F64" w:rsidRPr="006F0AAD" w:rsidRDefault="00E71F64">
      <w:pPr>
        <w:pStyle w:val="FootnoteText"/>
        <w:rPr>
          <w:rFonts w:ascii="Gill Sans MT" w:hAnsi="Gill Sans MT"/>
        </w:rPr>
      </w:pPr>
      <w:r w:rsidRPr="00FC738A">
        <w:rPr>
          <w:rStyle w:val="FootnoteReference"/>
          <w:rFonts w:ascii="Gill Sans MT" w:hAnsi="Gill Sans MT"/>
        </w:rPr>
        <w:footnoteRef/>
      </w:r>
      <w:r w:rsidRPr="00FC738A">
        <w:rPr>
          <w:rFonts w:ascii="Gill Sans MT" w:hAnsi="Gill Sans MT"/>
        </w:rPr>
        <w:t xml:space="preserve"> Although that is often a </w:t>
      </w:r>
      <w:r w:rsidR="007D1418">
        <w:rPr>
          <w:rFonts w:ascii="Gill Sans MT" w:hAnsi="Gill Sans MT"/>
        </w:rPr>
        <w:t xml:space="preserve">key </w:t>
      </w:r>
      <w:r w:rsidRPr="00FC738A">
        <w:rPr>
          <w:rFonts w:ascii="Gill Sans MT" w:hAnsi="Gill Sans MT"/>
        </w:rPr>
        <w:t xml:space="preserve">consideration for some </w:t>
      </w:r>
      <w:r w:rsidR="007D1418">
        <w:rPr>
          <w:rFonts w:ascii="Gill Sans MT" w:hAnsi="Gill Sans MT"/>
        </w:rPr>
        <w:t xml:space="preserve">manner and form theorists; see eg RFV Heuston, </w:t>
      </w:r>
      <w:r w:rsidR="007D1418">
        <w:rPr>
          <w:rFonts w:ascii="Gill Sans MT" w:hAnsi="Gill Sans MT"/>
          <w:i/>
          <w:iCs/>
        </w:rPr>
        <w:t>Essays in Const</w:t>
      </w:r>
      <w:r w:rsidR="006F0AAD">
        <w:rPr>
          <w:rFonts w:ascii="Gill Sans MT" w:hAnsi="Gill Sans MT"/>
          <w:i/>
          <w:iCs/>
        </w:rPr>
        <w:t xml:space="preserve">itutional </w:t>
      </w:r>
      <w:r w:rsidR="006F0AAD" w:rsidRPr="006F0AAD">
        <w:rPr>
          <w:rFonts w:ascii="Gill Sans MT" w:hAnsi="Gill Sans MT"/>
          <w:i/>
          <w:iCs/>
        </w:rPr>
        <w:t>Law</w:t>
      </w:r>
      <w:r w:rsidR="006F0AAD">
        <w:rPr>
          <w:rFonts w:ascii="Gill Sans MT" w:hAnsi="Gill Sans MT"/>
        </w:rPr>
        <w:t xml:space="preserve"> </w:t>
      </w:r>
      <w:r w:rsidR="006F0AAD" w:rsidRPr="006F0AAD">
        <w:rPr>
          <w:rFonts w:ascii="Gill Sans MT" w:hAnsi="Gill Sans MT"/>
        </w:rPr>
        <w:t>(Stevens,</w:t>
      </w:r>
      <w:r w:rsidR="006F0AAD">
        <w:rPr>
          <w:rFonts w:ascii="Gill Sans MT" w:hAnsi="Gill Sans MT"/>
        </w:rPr>
        <w:t xml:space="preserve"> 2</w:t>
      </w:r>
      <w:r w:rsidR="006F0AAD" w:rsidRPr="006F0AAD">
        <w:rPr>
          <w:rFonts w:ascii="Gill Sans MT" w:hAnsi="Gill Sans MT"/>
          <w:vertAlign w:val="superscript"/>
        </w:rPr>
        <w:t>nd</w:t>
      </w:r>
      <w:r w:rsidR="006F0AAD">
        <w:rPr>
          <w:rFonts w:ascii="Gill Sans MT" w:hAnsi="Gill Sans MT"/>
        </w:rPr>
        <w:t xml:space="preserve"> edn,</w:t>
      </w:r>
      <w:r w:rsidR="006F0AAD" w:rsidRPr="006F0AAD">
        <w:rPr>
          <w:rFonts w:ascii="Gill Sans MT" w:hAnsi="Gill Sans MT"/>
        </w:rPr>
        <w:t xml:space="preserve"> 1964) ch 1.</w:t>
      </w:r>
    </w:p>
  </w:footnote>
  <w:footnote w:id="13">
    <w:p w14:paraId="7B29E681" w14:textId="731A913C" w:rsidR="00E71F64" w:rsidRPr="00FC738A" w:rsidRDefault="00E71F64">
      <w:pPr>
        <w:pStyle w:val="FootnoteText"/>
        <w:rPr>
          <w:rFonts w:ascii="Gill Sans MT" w:hAnsi="Gill Sans MT"/>
        </w:rPr>
      </w:pPr>
      <w:r w:rsidRPr="00FC738A">
        <w:rPr>
          <w:rStyle w:val="FootnoteReference"/>
          <w:rFonts w:ascii="Gill Sans MT" w:hAnsi="Gill Sans MT"/>
        </w:rPr>
        <w:footnoteRef/>
      </w:r>
      <w:r w:rsidRPr="00FC738A">
        <w:rPr>
          <w:rFonts w:ascii="Gill Sans MT" w:hAnsi="Gill Sans MT"/>
        </w:rPr>
        <w:t xml:space="preserve"> I note G</w:t>
      </w:r>
      <w:r w:rsidR="00552A28">
        <w:rPr>
          <w:rFonts w:ascii="Gill Sans MT" w:hAnsi="Gill Sans MT"/>
        </w:rPr>
        <w:t>oldsworthy</w:t>
      </w:r>
      <w:r w:rsidRPr="00FC738A">
        <w:rPr>
          <w:rFonts w:ascii="Gill Sans MT" w:hAnsi="Gill Sans MT"/>
        </w:rPr>
        <w:t xml:space="preserve">’s position </w:t>
      </w:r>
      <w:r w:rsidR="00552A28">
        <w:rPr>
          <w:rFonts w:ascii="Gill Sans MT" w:hAnsi="Gill Sans MT"/>
        </w:rPr>
        <w:t>has additional complexity</w:t>
      </w:r>
      <w:r w:rsidRPr="00FC738A">
        <w:rPr>
          <w:rFonts w:ascii="Gill Sans MT" w:hAnsi="Gill Sans MT"/>
        </w:rPr>
        <w:t xml:space="preserve"> – in some circ</w:t>
      </w:r>
      <w:r w:rsidR="006B1B41">
        <w:rPr>
          <w:rFonts w:ascii="Gill Sans MT" w:hAnsi="Gill Sans MT"/>
        </w:rPr>
        <w:t>umstances</w:t>
      </w:r>
      <w:r w:rsidRPr="00FC738A">
        <w:rPr>
          <w:rFonts w:ascii="Gill Sans MT" w:hAnsi="Gill Sans MT"/>
        </w:rPr>
        <w:t xml:space="preserve"> G</w:t>
      </w:r>
      <w:r w:rsidR="006B1B41">
        <w:rPr>
          <w:rFonts w:ascii="Gill Sans MT" w:hAnsi="Gill Sans MT"/>
        </w:rPr>
        <w:t>oldsworthy</w:t>
      </w:r>
      <w:r w:rsidRPr="00FC738A">
        <w:rPr>
          <w:rFonts w:ascii="Gill Sans MT" w:hAnsi="Gill Sans MT"/>
        </w:rPr>
        <w:t xml:space="preserve"> views ref</w:t>
      </w:r>
      <w:r w:rsidR="006B1B41">
        <w:rPr>
          <w:rFonts w:ascii="Gill Sans MT" w:hAnsi="Gill Sans MT"/>
        </w:rPr>
        <w:t>erendums</w:t>
      </w:r>
      <w:r w:rsidRPr="00FC738A">
        <w:rPr>
          <w:rFonts w:ascii="Gill Sans MT" w:hAnsi="Gill Sans MT"/>
        </w:rPr>
        <w:t xml:space="preserve"> as a purely formal constraint, and he does accept that entrenched referendums requirements could be imposed subject to a change in the rule of recognition.</w:t>
      </w:r>
      <w:r w:rsidR="006B1B41">
        <w:rPr>
          <w:rFonts w:ascii="Gill Sans MT" w:hAnsi="Gill Sans MT"/>
        </w:rPr>
        <w:t xml:space="preserve">  Both points are considered below.</w:t>
      </w:r>
    </w:p>
  </w:footnote>
  <w:footnote w:id="14">
    <w:p w14:paraId="596DADAB" w14:textId="5204EF9A" w:rsidR="00833EE6" w:rsidRPr="00FC738A" w:rsidRDefault="00833EE6">
      <w:pPr>
        <w:pStyle w:val="FootnoteText"/>
        <w:rPr>
          <w:rFonts w:ascii="Gill Sans MT" w:hAnsi="Gill Sans MT"/>
        </w:rPr>
      </w:pPr>
      <w:r w:rsidRPr="00FC738A">
        <w:rPr>
          <w:rStyle w:val="FootnoteReference"/>
          <w:rFonts w:ascii="Gill Sans MT" w:hAnsi="Gill Sans MT"/>
        </w:rPr>
        <w:footnoteRef/>
      </w:r>
      <w:r w:rsidRPr="00FC738A">
        <w:rPr>
          <w:rFonts w:ascii="Gill Sans MT" w:hAnsi="Gill Sans MT"/>
        </w:rPr>
        <w:t xml:space="preserve"> G</w:t>
      </w:r>
      <w:r w:rsidR="00CB28D0">
        <w:rPr>
          <w:rFonts w:ascii="Gill Sans MT" w:hAnsi="Gill Sans MT"/>
        </w:rPr>
        <w:t>oldsworthy,</w:t>
      </w:r>
      <w:r w:rsidRPr="00FC738A">
        <w:rPr>
          <w:rFonts w:ascii="Gill Sans MT" w:hAnsi="Gill Sans MT"/>
        </w:rPr>
        <w:t xml:space="preserve"> p</w:t>
      </w:r>
      <w:r w:rsidR="00CB28D0">
        <w:rPr>
          <w:rFonts w:ascii="Gill Sans MT" w:hAnsi="Gill Sans MT"/>
        </w:rPr>
        <w:t>p</w:t>
      </w:r>
      <w:r w:rsidRPr="00FC738A">
        <w:rPr>
          <w:rFonts w:ascii="Gill Sans MT" w:hAnsi="Gill Sans MT"/>
        </w:rPr>
        <w:t>.16-17.</w:t>
      </w:r>
    </w:p>
  </w:footnote>
  <w:footnote w:id="15">
    <w:p w14:paraId="229BB436" w14:textId="0AA02970" w:rsidR="007701D9" w:rsidRPr="00FC738A" w:rsidRDefault="007701D9">
      <w:pPr>
        <w:pStyle w:val="FootnoteText"/>
        <w:rPr>
          <w:rFonts w:ascii="Gill Sans MT" w:hAnsi="Gill Sans MT"/>
        </w:rPr>
      </w:pPr>
      <w:r w:rsidRPr="00FC738A">
        <w:rPr>
          <w:rStyle w:val="FootnoteReference"/>
          <w:rFonts w:ascii="Gill Sans MT" w:hAnsi="Gill Sans MT"/>
        </w:rPr>
        <w:footnoteRef/>
      </w:r>
      <w:r w:rsidRPr="00FC738A">
        <w:rPr>
          <w:rFonts w:ascii="Gill Sans MT" w:hAnsi="Gill Sans MT"/>
        </w:rPr>
        <w:t xml:space="preserve"> G</w:t>
      </w:r>
      <w:r w:rsidR="00875466">
        <w:rPr>
          <w:rFonts w:ascii="Gill Sans MT" w:hAnsi="Gill Sans MT"/>
        </w:rPr>
        <w:t>oldsworthy,</w:t>
      </w:r>
      <w:r w:rsidRPr="00FC738A">
        <w:rPr>
          <w:rFonts w:ascii="Gill Sans MT" w:hAnsi="Gill Sans MT"/>
        </w:rPr>
        <w:t xml:space="preserve"> p.7</w:t>
      </w:r>
      <w:r w:rsidR="00875466">
        <w:rPr>
          <w:rFonts w:ascii="Gill Sans MT" w:hAnsi="Gill Sans MT"/>
        </w:rPr>
        <w:t>.</w:t>
      </w:r>
    </w:p>
  </w:footnote>
  <w:footnote w:id="16">
    <w:p w14:paraId="7418E16F" w14:textId="49FA770A" w:rsidR="00E71F64" w:rsidRPr="00FC738A" w:rsidRDefault="00E71F64">
      <w:pPr>
        <w:pStyle w:val="FootnoteText"/>
        <w:rPr>
          <w:rFonts w:ascii="Gill Sans MT" w:hAnsi="Gill Sans MT"/>
        </w:rPr>
      </w:pPr>
      <w:r w:rsidRPr="00FC738A">
        <w:rPr>
          <w:rStyle w:val="FootnoteReference"/>
          <w:rFonts w:ascii="Gill Sans MT" w:hAnsi="Gill Sans MT"/>
        </w:rPr>
        <w:footnoteRef/>
      </w:r>
      <w:r w:rsidRPr="00FC738A">
        <w:rPr>
          <w:rFonts w:ascii="Gill Sans MT" w:hAnsi="Gill Sans MT"/>
        </w:rPr>
        <w:t xml:space="preserve"> G</w:t>
      </w:r>
      <w:r w:rsidR="00875466">
        <w:rPr>
          <w:rFonts w:ascii="Gill Sans MT" w:hAnsi="Gill Sans MT"/>
        </w:rPr>
        <w:t>oldsworthy,</w:t>
      </w:r>
      <w:r w:rsidRPr="00FC738A">
        <w:rPr>
          <w:rFonts w:ascii="Gill Sans MT" w:hAnsi="Gill Sans MT"/>
        </w:rPr>
        <w:t xml:space="preserve"> p.25</w:t>
      </w:r>
      <w:r w:rsidR="00875466">
        <w:rPr>
          <w:rFonts w:ascii="Gill Sans MT" w:hAnsi="Gill Sans MT"/>
        </w:rPr>
        <w:t>.</w:t>
      </w:r>
    </w:p>
  </w:footnote>
  <w:footnote w:id="17">
    <w:p w14:paraId="743B527C" w14:textId="364274B2" w:rsidR="00E71F64" w:rsidRPr="00FC738A" w:rsidRDefault="00E71F64">
      <w:pPr>
        <w:pStyle w:val="FootnoteText"/>
        <w:rPr>
          <w:rFonts w:ascii="Gill Sans MT" w:hAnsi="Gill Sans MT"/>
        </w:rPr>
      </w:pPr>
      <w:r w:rsidRPr="00FC738A">
        <w:rPr>
          <w:rStyle w:val="FootnoteReference"/>
          <w:rFonts w:ascii="Gill Sans MT" w:hAnsi="Gill Sans MT"/>
        </w:rPr>
        <w:footnoteRef/>
      </w:r>
      <w:r w:rsidRPr="00FC738A">
        <w:rPr>
          <w:rFonts w:ascii="Gill Sans MT" w:hAnsi="Gill Sans MT"/>
        </w:rPr>
        <w:t xml:space="preserve"> G</w:t>
      </w:r>
      <w:r w:rsidR="00572074">
        <w:rPr>
          <w:rFonts w:ascii="Gill Sans MT" w:hAnsi="Gill Sans MT"/>
        </w:rPr>
        <w:t>oldsworthy,</w:t>
      </w:r>
      <w:r w:rsidRPr="00FC738A">
        <w:rPr>
          <w:rFonts w:ascii="Gill Sans MT" w:hAnsi="Gill Sans MT"/>
        </w:rPr>
        <w:t xml:space="preserve"> p.27.</w:t>
      </w:r>
    </w:p>
  </w:footnote>
  <w:footnote w:id="18">
    <w:p w14:paraId="424DE909" w14:textId="692103DE" w:rsidR="00ED21C4" w:rsidRPr="000D1BDD" w:rsidRDefault="00ED21C4">
      <w:pPr>
        <w:pStyle w:val="FootnoteText"/>
        <w:rPr>
          <w:rFonts w:ascii="Gill Sans MT" w:hAnsi="Gill Sans MT"/>
        </w:rPr>
      </w:pPr>
      <w:r w:rsidRPr="00FC738A">
        <w:rPr>
          <w:rStyle w:val="FootnoteReference"/>
          <w:rFonts w:ascii="Gill Sans MT" w:hAnsi="Gill Sans MT"/>
        </w:rPr>
        <w:footnoteRef/>
      </w:r>
      <w:r w:rsidRPr="00FC738A">
        <w:rPr>
          <w:rFonts w:ascii="Gill Sans MT" w:hAnsi="Gill Sans MT"/>
        </w:rPr>
        <w:t xml:space="preserve"> See </w:t>
      </w:r>
      <w:r w:rsidR="000D1BDD">
        <w:rPr>
          <w:rFonts w:ascii="Gill Sans MT" w:hAnsi="Gill Sans MT"/>
        </w:rPr>
        <w:t xml:space="preserve">further M Gordon, ‘Parliamentary Sovereignty and Constitutional Futures’ in A Bogg, J Rowbottom and AL Young (eds), </w:t>
      </w:r>
      <w:r w:rsidR="000D1BDD">
        <w:rPr>
          <w:rFonts w:ascii="Gill Sans MT" w:hAnsi="Gill Sans MT"/>
          <w:i/>
          <w:iCs/>
        </w:rPr>
        <w:t xml:space="preserve">The Constitution of Social Democracy: Essays in Honour of Keith Ewing </w:t>
      </w:r>
      <w:r w:rsidR="000D1BDD">
        <w:rPr>
          <w:rFonts w:ascii="Gill Sans MT" w:hAnsi="Gill Sans MT"/>
        </w:rPr>
        <w:t>(Hart, 2020).</w:t>
      </w:r>
    </w:p>
  </w:footnote>
  <w:footnote w:id="19">
    <w:p w14:paraId="63B643E4" w14:textId="0FE8AE35" w:rsidR="006A3925" w:rsidRPr="00FC738A" w:rsidRDefault="006A3925">
      <w:pPr>
        <w:pStyle w:val="FootnoteText"/>
        <w:rPr>
          <w:rFonts w:ascii="Gill Sans MT" w:hAnsi="Gill Sans MT"/>
        </w:rPr>
      </w:pPr>
      <w:r w:rsidRPr="00FC738A">
        <w:rPr>
          <w:rStyle w:val="FootnoteReference"/>
          <w:rFonts w:ascii="Gill Sans MT" w:hAnsi="Gill Sans MT"/>
        </w:rPr>
        <w:footnoteRef/>
      </w:r>
      <w:r w:rsidRPr="00FC738A">
        <w:rPr>
          <w:rFonts w:ascii="Gill Sans MT" w:hAnsi="Gill Sans MT"/>
        </w:rPr>
        <w:t xml:space="preserve"> </w:t>
      </w:r>
      <w:r w:rsidR="002542EC">
        <w:rPr>
          <w:rFonts w:ascii="Gill Sans MT" w:hAnsi="Gill Sans MT"/>
        </w:rPr>
        <w:t>[2005] UKHL 56, [68](Lord Nicholls), [128](Lord Hope).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D41A8D"/>
    <w:multiLevelType w:val="hybridMultilevel"/>
    <w:tmpl w:val="EE6C2D5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0EB"/>
    <w:rsid w:val="000071B7"/>
    <w:rsid w:val="000265AD"/>
    <w:rsid w:val="00027083"/>
    <w:rsid w:val="000309A5"/>
    <w:rsid w:val="00041872"/>
    <w:rsid w:val="00043234"/>
    <w:rsid w:val="0004548E"/>
    <w:rsid w:val="00061008"/>
    <w:rsid w:val="00076CD7"/>
    <w:rsid w:val="00081A64"/>
    <w:rsid w:val="000A6F86"/>
    <w:rsid w:val="000B4A7F"/>
    <w:rsid w:val="000B7CF8"/>
    <w:rsid w:val="000D1BDD"/>
    <w:rsid w:val="000E4D1D"/>
    <w:rsid w:val="000E572C"/>
    <w:rsid w:val="000F0866"/>
    <w:rsid w:val="000F148B"/>
    <w:rsid w:val="000F4B8F"/>
    <w:rsid w:val="00123767"/>
    <w:rsid w:val="00131045"/>
    <w:rsid w:val="001340B5"/>
    <w:rsid w:val="00154839"/>
    <w:rsid w:val="001603AD"/>
    <w:rsid w:val="0016587B"/>
    <w:rsid w:val="001820E9"/>
    <w:rsid w:val="00193CE5"/>
    <w:rsid w:val="001D1E1A"/>
    <w:rsid w:val="001E3400"/>
    <w:rsid w:val="001E71E5"/>
    <w:rsid w:val="00221BFA"/>
    <w:rsid w:val="00224FD7"/>
    <w:rsid w:val="00251DE6"/>
    <w:rsid w:val="002542EC"/>
    <w:rsid w:val="00265493"/>
    <w:rsid w:val="002742D0"/>
    <w:rsid w:val="00275E2E"/>
    <w:rsid w:val="0028488A"/>
    <w:rsid w:val="002A637C"/>
    <w:rsid w:val="002B00E1"/>
    <w:rsid w:val="002C240C"/>
    <w:rsid w:val="002C4F84"/>
    <w:rsid w:val="002E4A31"/>
    <w:rsid w:val="002F04A7"/>
    <w:rsid w:val="002F2068"/>
    <w:rsid w:val="003107B7"/>
    <w:rsid w:val="003331CB"/>
    <w:rsid w:val="00336C59"/>
    <w:rsid w:val="00341D87"/>
    <w:rsid w:val="00345355"/>
    <w:rsid w:val="0036090B"/>
    <w:rsid w:val="00363373"/>
    <w:rsid w:val="003729B0"/>
    <w:rsid w:val="00390EBA"/>
    <w:rsid w:val="0039459F"/>
    <w:rsid w:val="003A7FE3"/>
    <w:rsid w:val="003D3DED"/>
    <w:rsid w:val="003E6A1F"/>
    <w:rsid w:val="00406641"/>
    <w:rsid w:val="004134C8"/>
    <w:rsid w:val="004423A6"/>
    <w:rsid w:val="004547FD"/>
    <w:rsid w:val="00471A33"/>
    <w:rsid w:val="00493BFA"/>
    <w:rsid w:val="00495F3A"/>
    <w:rsid w:val="004A2A5C"/>
    <w:rsid w:val="004E2493"/>
    <w:rsid w:val="005329B9"/>
    <w:rsid w:val="0054604B"/>
    <w:rsid w:val="00552A28"/>
    <w:rsid w:val="00572074"/>
    <w:rsid w:val="005960C3"/>
    <w:rsid w:val="005F2D9F"/>
    <w:rsid w:val="005F5005"/>
    <w:rsid w:val="005F50EB"/>
    <w:rsid w:val="005F567A"/>
    <w:rsid w:val="006202CE"/>
    <w:rsid w:val="00623EF2"/>
    <w:rsid w:val="006428F6"/>
    <w:rsid w:val="00671DD9"/>
    <w:rsid w:val="006A3925"/>
    <w:rsid w:val="006A7D0E"/>
    <w:rsid w:val="006B0ED4"/>
    <w:rsid w:val="006B1B41"/>
    <w:rsid w:val="006C6BEB"/>
    <w:rsid w:val="006D1436"/>
    <w:rsid w:val="006E4C9A"/>
    <w:rsid w:val="006E565B"/>
    <w:rsid w:val="006F0AAD"/>
    <w:rsid w:val="006F1009"/>
    <w:rsid w:val="007028A6"/>
    <w:rsid w:val="0070562E"/>
    <w:rsid w:val="00731EA4"/>
    <w:rsid w:val="00751A72"/>
    <w:rsid w:val="00752485"/>
    <w:rsid w:val="007701D9"/>
    <w:rsid w:val="007A3292"/>
    <w:rsid w:val="007B1DD7"/>
    <w:rsid w:val="007B2A2C"/>
    <w:rsid w:val="007D1418"/>
    <w:rsid w:val="007F1066"/>
    <w:rsid w:val="00804203"/>
    <w:rsid w:val="00804A30"/>
    <w:rsid w:val="0081258C"/>
    <w:rsid w:val="00815B0E"/>
    <w:rsid w:val="00833EE6"/>
    <w:rsid w:val="008370D2"/>
    <w:rsid w:val="00875466"/>
    <w:rsid w:val="008B5F07"/>
    <w:rsid w:val="008D6A04"/>
    <w:rsid w:val="009014D7"/>
    <w:rsid w:val="00913AD8"/>
    <w:rsid w:val="00913B9B"/>
    <w:rsid w:val="009171B1"/>
    <w:rsid w:val="009263A4"/>
    <w:rsid w:val="00933EF4"/>
    <w:rsid w:val="00983FFE"/>
    <w:rsid w:val="0098401F"/>
    <w:rsid w:val="009B2031"/>
    <w:rsid w:val="009D4381"/>
    <w:rsid w:val="009F07A0"/>
    <w:rsid w:val="009F4CE7"/>
    <w:rsid w:val="00A31367"/>
    <w:rsid w:val="00A33496"/>
    <w:rsid w:val="00A45C0A"/>
    <w:rsid w:val="00A46A8B"/>
    <w:rsid w:val="00A5421A"/>
    <w:rsid w:val="00A62652"/>
    <w:rsid w:val="00A63ECF"/>
    <w:rsid w:val="00AB0434"/>
    <w:rsid w:val="00AB357D"/>
    <w:rsid w:val="00AD2D4B"/>
    <w:rsid w:val="00B7329A"/>
    <w:rsid w:val="00B836B2"/>
    <w:rsid w:val="00BA0FF0"/>
    <w:rsid w:val="00BA6226"/>
    <w:rsid w:val="00BF30D2"/>
    <w:rsid w:val="00BF6634"/>
    <w:rsid w:val="00C06A00"/>
    <w:rsid w:val="00C10067"/>
    <w:rsid w:val="00C1252C"/>
    <w:rsid w:val="00C16937"/>
    <w:rsid w:val="00C339FC"/>
    <w:rsid w:val="00C4075F"/>
    <w:rsid w:val="00C7432D"/>
    <w:rsid w:val="00C81E3E"/>
    <w:rsid w:val="00C90476"/>
    <w:rsid w:val="00CA110E"/>
    <w:rsid w:val="00CB28D0"/>
    <w:rsid w:val="00CD12D4"/>
    <w:rsid w:val="00CD345A"/>
    <w:rsid w:val="00CE03DC"/>
    <w:rsid w:val="00D07422"/>
    <w:rsid w:val="00D12CCA"/>
    <w:rsid w:val="00D26CB6"/>
    <w:rsid w:val="00D27528"/>
    <w:rsid w:val="00D27F90"/>
    <w:rsid w:val="00D35FE3"/>
    <w:rsid w:val="00DA7E63"/>
    <w:rsid w:val="00DD26C2"/>
    <w:rsid w:val="00DD7763"/>
    <w:rsid w:val="00DE53DB"/>
    <w:rsid w:val="00E05D29"/>
    <w:rsid w:val="00E3129D"/>
    <w:rsid w:val="00E43AEB"/>
    <w:rsid w:val="00E71F64"/>
    <w:rsid w:val="00E72259"/>
    <w:rsid w:val="00E80E01"/>
    <w:rsid w:val="00EA4FB0"/>
    <w:rsid w:val="00EC4D46"/>
    <w:rsid w:val="00ED21C4"/>
    <w:rsid w:val="00ED42E5"/>
    <w:rsid w:val="00ED7D63"/>
    <w:rsid w:val="00EE20DB"/>
    <w:rsid w:val="00EF2524"/>
    <w:rsid w:val="00F00F05"/>
    <w:rsid w:val="00F175E2"/>
    <w:rsid w:val="00F35D08"/>
    <w:rsid w:val="00F44038"/>
    <w:rsid w:val="00F44531"/>
    <w:rsid w:val="00F61D9A"/>
    <w:rsid w:val="00F93B3D"/>
    <w:rsid w:val="00FA742C"/>
    <w:rsid w:val="00FC738A"/>
    <w:rsid w:val="00FD0326"/>
    <w:rsid w:val="00FE5D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B6098"/>
  <w15:chartTrackingRefBased/>
  <w15:docId w15:val="{A1C4BE25-BD08-4FBC-AA1C-19B241542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A,FA Fußnotentext,fn"/>
    <w:basedOn w:val="Normal"/>
    <w:link w:val="FootnoteTextChar"/>
    <w:uiPriority w:val="99"/>
    <w:unhideWhenUsed/>
    <w:rsid w:val="002E4A31"/>
    <w:pPr>
      <w:spacing w:after="0" w:line="240" w:lineRule="auto"/>
    </w:pPr>
    <w:rPr>
      <w:sz w:val="20"/>
      <w:szCs w:val="20"/>
    </w:rPr>
  </w:style>
  <w:style w:type="character" w:customStyle="1" w:styleId="FootnoteTextChar">
    <w:name w:val="Footnote Text Char"/>
    <w:aliases w:val="FA Char,FA Fußnotentext Char,fn Char"/>
    <w:basedOn w:val="DefaultParagraphFont"/>
    <w:link w:val="FootnoteText"/>
    <w:uiPriority w:val="99"/>
    <w:rsid w:val="002E4A31"/>
    <w:rPr>
      <w:sz w:val="20"/>
      <w:szCs w:val="20"/>
    </w:rPr>
  </w:style>
  <w:style w:type="character" w:styleId="FootnoteReference">
    <w:name w:val="footnote reference"/>
    <w:basedOn w:val="DefaultParagraphFont"/>
    <w:uiPriority w:val="99"/>
    <w:semiHidden/>
    <w:unhideWhenUsed/>
    <w:rsid w:val="002E4A31"/>
    <w:rPr>
      <w:vertAlign w:val="superscript"/>
    </w:rPr>
  </w:style>
  <w:style w:type="paragraph" w:styleId="ListParagraph">
    <w:name w:val="List Paragraph"/>
    <w:basedOn w:val="Normal"/>
    <w:uiPriority w:val="34"/>
    <w:qFormat/>
    <w:rsid w:val="00D07422"/>
    <w:pPr>
      <w:ind w:left="720"/>
      <w:contextualSpacing/>
    </w:pPr>
  </w:style>
  <w:style w:type="paragraph" w:styleId="Header">
    <w:name w:val="header"/>
    <w:basedOn w:val="Normal"/>
    <w:link w:val="HeaderChar"/>
    <w:uiPriority w:val="99"/>
    <w:unhideWhenUsed/>
    <w:rsid w:val="00EF25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2524"/>
  </w:style>
  <w:style w:type="paragraph" w:styleId="Footer">
    <w:name w:val="footer"/>
    <w:basedOn w:val="Normal"/>
    <w:link w:val="FooterChar"/>
    <w:uiPriority w:val="99"/>
    <w:unhideWhenUsed/>
    <w:rsid w:val="00EF25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2524"/>
  </w:style>
  <w:style w:type="character" w:styleId="CommentReference">
    <w:name w:val="annotation reference"/>
    <w:basedOn w:val="DefaultParagraphFont"/>
    <w:uiPriority w:val="99"/>
    <w:semiHidden/>
    <w:unhideWhenUsed/>
    <w:rsid w:val="00EC4D46"/>
    <w:rPr>
      <w:sz w:val="16"/>
      <w:szCs w:val="16"/>
    </w:rPr>
  </w:style>
  <w:style w:type="paragraph" w:styleId="CommentText">
    <w:name w:val="annotation text"/>
    <w:basedOn w:val="Normal"/>
    <w:link w:val="CommentTextChar"/>
    <w:uiPriority w:val="99"/>
    <w:semiHidden/>
    <w:unhideWhenUsed/>
    <w:rsid w:val="00EC4D46"/>
    <w:pPr>
      <w:spacing w:line="240" w:lineRule="auto"/>
    </w:pPr>
    <w:rPr>
      <w:sz w:val="20"/>
      <w:szCs w:val="20"/>
    </w:rPr>
  </w:style>
  <w:style w:type="character" w:customStyle="1" w:styleId="CommentTextChar">
    <w:name w:val="Comment Text Char"/>
    <w:basedOn w:val="DefaultParagraphFont"/>
    <w:link w:val="CommentText"/>
    <w:uiPriority w:val="99"/>
    <w:semiHidden/>
    <w:rsid w:val="00EC4D46"/>
    <w:rPr>
      <w:sz w:val="20"/>
      <w:szCs w:val="20"/>
    </w:rPr>
  </w:style>
  <w:style w:type="paragraph" w:styleId="CommentSubject">
    <w:name w:val="annotation subject"/>
    <w:basedOn w:val="CommentText"/>
    <w:next w:val="CommentText"/>
    <w:link w:val="CommentSubjectChar"/>
    <w:uiPriority w:val="99"/>
    <w:semiHidden/>
    <w:unhideWhenUsed/>
    <w:rsid w:val="00EC4D46"/>
    <w:rPr>
      <w:b/>
      <w:bCs/>
    </w:rPr>
  </w:style>
  <w:style w:type="character" w:customStyle="1" w:styleId="CommentSubjectChar">
    <w:name w:val="Comment Subject Char"/>
    <w:basedOn w:val="CommentTextChar"/>
    <w:link w:val="CommentSubject"/>
    <w:uiPriority w:val="99"/>
    <w:semiHidden/>
    <w:rsid w:val="00EC4D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A5372-0FB1-4F20-93EC-2D64ABAB5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2222</TotalTime>
  <Pages>8</Pages>
  <Words>3940</Words>
  <Characters>22463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Michael</dc:creator>
  <cp:keywords/>
  <dc:description/>
  <cp:lastModifiedBy>Gordon, Michael</cp:lastModifiedBy>
  <cp:revision>256</cp:revision>
  <dcterms:created xsi:type="dcterms:W3CDTF">2021-02-11T13:59:00Z</dcterms:created>
  <dcterms:modified xsi:type="dcterms:W3CDTF">2021-03-17T16:50:00Z</dcterms:modified>
</cp:coreProperties>
</file>