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42FC" w14:textId="3C0C9147" w:rsidR="00166AC4" w:rsidRDefault="00E8509A" w:rsidP="001137EA">
      <w:pPr>
        <w:spacing w:after="0" w:line="360" w:lineRule="auto"/>
        <w:jc w:val="center"/>
        <w:rPr>
          <w:rFonts w:ascii="Gill Sans MT" w:hAnsi="Gill Sans MT"/>
        </w:rPr>
      </w:pPr>
      <w:r>
        <w:rPr>
          <w:rFonts w:ascii="Gill Sans MT" w:hAnsi="Gill Sans MT"/>
          <w:b/>
          <w:u w:val="single"/>
        </w:rPr>
        <w:t xml:space="preserve">32. </w:t>
      </w:r>
      <w:r w:rsidR="00166AC4" w:rsidRPr="00E150D0">
        <w:rPr>
          <w:rFonts w:ascii="Gill Sans MT" w:hAnsi="Gill Sans MT"/>
          <w:b/>
          <w:u w:val="single"/>
        </w:rPr>
        <w:t>Legislatures</w:t>
      </w:r>
    </w:p>
    <w:p w14:paraId="3CA37CBF" w14:textId="1CD90CE7" w:rsidR="00D27CEE" w:rsidRDefault="00D27CEE" w:rsidP="001137EA">
      <w:pPr>
        <w:spacing w:after="0" w:line="360" w:lineRule="auto"/>
        <w:jc w:val="center"/>
        <w:rPr>
          <w:rFonts w:ascii="Gill Sans MT" w:hAnsi="Gill Sans MT"/>
          <w:b/>
          <w:bCs/>
          <w:i/>
          <w:iCs/>
        </w:rPr>
      </w:pPr>
    </w:p>
    <w:p w14:paraId="5920C22B" w14:textId="58C5DABE" w:rsidR="00E150D0" w:rsidRDefault="00E150D0" w:rsidP="001137EA">
      <w:pPr>
        <w:spacing w:after="0" w:line="360" w:lineRule="auto"/>
        <w:jc w:val="center"/>
        <w:rPr>
          <w:rFonts w:ascii="Gill Sans MT" w:hAnsi="Gill Sans MT"/>
          <w:b/>
          <w:bCs/>
          <w:i/>
          <w:iCs/>
        </w:rPr>
      </w:pPr>
    </w:p>
    <w:p w14:paraId="0745A482" w14:textId="4158F59C" w:rsidR="00443A29" w:rsidRDefault="00801447" w:rsidP="001137EA">
      <w:pPr>
        <w:spacing w:after="0" w:line="360" w:lineRule="auto"/>
        <w:jc w:val="both"/>
        <w:rPr>
          <w:rFonts w:ascii="Gill Sans MT" w:hAnsi="Gill Sans MT"/>
        </w:rPr>
      </w:pPr>
      <w:bookmarkStart w:id="0" w:name="_Hlk34290943"/>
      <w:r>
        <w:rPr>
          <w:rFonts w:ascii="Gill Sans MT" w:hAnsi="Gill Sans MT"/>
        </w:rPr>
        <w:t xml:space="preserve">The legislature has been one of the central institutions in the UK’s constitutional </w:t>
      </w:r>
      <w:r w:rsidR="00A00782">
        <w:rPr>
          <w:rFonts w:ascii="Gill Sans MT" w:hAnsi="Gill Sans MT"/>
        </w:rPr>
        <w:t>history,</w:t>
      </w:r>
      <w:r w:rsidR="003535EA">
        <w:rPr>
          <w:rFonts w:ascii="Gill Sans MT" w:hAnsi="Gill Sans MT"/>
        </w:rPr>
        <w:t xml:space="preserve"> </w:t>
      </w:r>
      <w:r w:rsidR="00692F85">
        <w:rPr>
          <w:rFonts w:ascii="Gill Sans MT" w:hAnsi="Gill Sans MT"/>
        </w:rPr>
        <w:t>a forum in which major political events occu</w:t>
      </w:r>
      <w:r w:rsidR="00CC6BC9">
        <w:rPr>
          <w:rFonts w:ascii="Gill Sans MT" w:hAnsi="Gill Sans MT"/>
        </w:rPr>
        <w:t>r</w:t>
      </w:r>
      <w:r w:rsidR="003535EA">
        <w:rPr>
          <w:rFonts w:ascii="Gill Sans MT" w:hAnsi="Gill Sans MT"/>
        </w:rPr>
        <w:t>red</w:t>
      </w:r>
      <w:r w:rsidR="00692F85">
        <w:rPr>
          <w:rFonts w:ascii="Gill Sans MT" w:hAnsi="Gill Sans MT"/>
        </w:rPr>
        <w:t xml:space="preserve"> and decisions </w:t>
      </w:r>
      <w:r w:rsidR="003535EA">
        <w:rPr>
          <w:rFonts w:ascii="Gill Sans MT" w:hAnsi="Gill Sans MT"/>
        </w:rPr>
        <w:t>were</w:t>
      </w:r>
      <w:r w:rsidR="00692F85">
        <w:rPr>
          <w:rFonts w:ascii="Gill Sans MT" w:hAnsi="Gill Sans MT"/>
        </w:rPr>
        <w:t xml:space="preserve"> taken.  </w:t>
      </w:r>
      <w:r w:rsidR="00CA6767">
        <w:rPr>
          <w:rFonts w:ascii="Gill Sans MT" w:hAnsi="Gill Sans MT"/>
        </w:rPr>
        <w:t>T</w:t>
      </w:r>
      <w:r w:rsidR="00692F85">
        <w:rPr>
          <w:rFonts w:ascii="Gill Sans MT" w:hAnsi="Gill Sans MT"/>
        </w:rPr>
        <w:t xml:space="preserve">he legislature projects constitutional values: </w:t>
      </w:r>
      <w:r w:rsidR="00D965FD">
        <w:rPr>
          <w:rFonts w:ascii="Gill Sans MT" w:hAnsi="Gill Sans MT"/>
        </w:rPr>
        <w:t xml:space="preserve">its practice is based on the significance of </w:t>
      </w:r>
      <w:r w:rsidR="00692F85">
        <w:rPr>
          <w:rFonts w:ascii="Gill Sans MT" w:hAnsi="Gill Sans MT"/>
        </w:rPr>
        <w:t xml:space="preserve">representation, accountability, </w:t>
      </w:r>
      <w:r w:rsidR="00D965FD">
        <w:rPr>
          <w:rFonts w:ascii="Gill Sans MT" w:hAnsi="Gill Sans MT"/>
        </w:rPr>
        <w:t xml:space="preserve">transparency, </w:t>
      </w:r>
      <w:r w:rsidR="00692F85">
        <w:rPr>
          <w:rFonts w:ascii="Gill Sans MT" w:hAnsi="Gill Sans MT"/>
        </w:rPr>
        <w:t>deliberation,</w:t>
      </w:r>
      <w:r w:rsidR="00D965FD">
        <w:rPr>
          <w:rFonts w:ascii="Gill Sans MT" w:hAnsi="Gill Sans MT"/>
        </w:rPr>
        <w:t xml:space="preserve"> contestation, and collective action.  </w:t>
      </w:r>
      <w:r w:rsidR="00CA6767">
        <w:rPr>
          <w:rFonts w:ascii="Gill Sans MT" w:hAnsi="Gill Sans MT"/>
        </w:rPr>
        <w:t>Moreover, t</w:t>
      </w:r>
      <w:r w:rsidR="00D965FD">
        <w:rPr>
          <w:rFonts w:ascii="Gill Sans MT" w:hAnsi="Gill Sans MT"/>
        </w:rPr>
        <w:t xml:space="preserve">he UK Parliament is the </w:t>
      </w:r>
      <w:r w:rsidR="00C56E6A" w:rsidRPr="00C56E6A">
        <w:rPr>
          <w:rFonts w:ascii="Gill Sans MT" w:hAnsi="Gill Sans MT"/>
        </w:rPr>
        <w:t>focus of the fundamental norm around which the constitution is structured</w:t>
      </w:r>
      <w:r w:rsidR="00D965FD">
        <w:rPr>
          <w:rFonts w:ascii="Gill Sans MT" w:hAnsi="Gill Sans MT"/>
        </w:rPr>
        <w:t xml:space="preserve">.  It possesses legislative sovereignty, the constitutional authority to make law on any topic.  </w:t>
      </w:r>
      <w:r w:rsidR="00871529">
        <w:rPr>
          <w:rFonts w:ascii="Gill Sans MT" w:hAnsi="Gill Sans MT"/>
        </w:rPr>
        <w:t xml:space="preserve">The UK’s political constitution is therefore </w:t>
      </w:r>
      <w:r w:rsidR="00CC6BC9">
        <w:rPr>
          <w:rFonts w:ascii="Gill Sans MT" w:hAnsi="Gill Sans MT"/>
        </w:rPr>
        <w:t>crucially a parliamentary constitution, organised around the doctrine of parliamentary sovereignty.</w:t>
      </w:r>
      <w:r w:rsidR="003535EA">
        <w:rPr>
          <w:rFonts w:ascii="Gill Sans MT" w:hAnsi="Gill Sans MT"/>
        </w:rPr>
        <w:t xml:space="preserve">  </w:t>
      </w:r>
      <w:r w:rsidR="00443A29">
        <w:rPr>
          <w:rFonts w:ascii="Gill Sans MT" w:hAnsi="Gill Sans MT"/>
        </w:rPr>
        <w:t>The UK Parliament’s</w:t>
      </w:r>
      <w:r w:rsidR="00FE7B4E">
        <w:rPr>
          <w:rFonts w:ascii="Gill Sans MT" w:hAnsi="Gill Sans MT"/>
        </w:rPr>
        <w:t xml:space="preserve"> role, composition</w:t>
      </w:r>
      <w:r w:rsidR="00443A29">
        <w:rPr>
          <w:rFonts w:ascii="Gill Sans MT" w:hAnsi="Gill Sans MT"/>
        </w:rPr>
        <w:t xml:space="preserve">, </w:t>
      </w:r>
      <w:r w:rsidR="00706BD1">
        <w:rPr>
          <w:rFonts w:ascii="Gill Sans MT" w:hAnsi="Gill Sans MT"/>
        </w:rPr>
        <w:t xml:space="preserve">and </w:t>
      </w:r>
      <w:r w:rsidR="00FE7B4E">
        <w:rPr>
          <w:rFonts w:ascii="Gill Sans MT" w:hAnsi="Gill Sans MT"/>
        </w:rPr>
        <w:t>functions</w:t>
      </w:r>
      <w:r w:rsidR="001D4882">
        <w:rPr>
          <w:rFonts w:ascii="Gill Sans MT" w:hAnsi="Gill Sans MT"/>
        </w:rPr>
        <w:t xml:space="preserve"> </w:t>
      </w:r>
      <w:r w:rsidR="00FE7B4E">
        <w:rPr>
          <w:rFonts w:ascii="Gill Sans MT" w:hAnsi="Gill Sans MT"/>
        </w:rPr>
        <w:t xml:space="preserve">have </w:t>
      </w:r>
      <w:r w:rsidR="00443A29">
        <w:rPr>
          <w:rFonts w:ascii="Gill Sans MT" w:hAnsi="Gill Sans MT"/>
        </w:rPr>
        <w:t>changed</w:t>
      </w:r>
      <w:r w:rsidR="00CA6767">
        <w:rPr>
          <w:rFonts w:ascii="Gill Sans MT" w:hAnsi="Gill Sans MT"/>
        </w:rPr>
        <w:t xml:space="preserve"> </w:t>
      </w:r>
      <w:r w:rsidR="00443A29">
        <w:rPr>
          <w:rFonts w:ascii="Gill Sans MT" w:hAnsi="Gill Sans MT"/>
        </w:rPr>
        <w:t xml:space="preserve">significantly </w:t>
      </w:r>
      <w:r w:rsidR="00FE7B4E">
        <w:rPr>
          <w:rFonts w:ascii="Gill Sans MT" w:hAnsi="Gill Sans MT"/>
        </w:rPr>
        <w:t>over time – as indeed have the number of legislatures within the UK</w:t>
      </w:r>
      <w:r w:rsidR="00443A29">
        <w:rPr>
          <w:rFonts w:ascii="Gill Sans MT" w:hAnsi="Gill Sans MT"/>
        </w:rPr>
        <w:t xml:space="preserve">.  Yet </w:t>
      </w:r>
      <w:r w:rsidR="00FE7B4E">
        <w:rPr>
          <w:rFonts w:ascii="Gill Sans MT" w:hAnsi="Gill Sans MT"/>
        </w:rPr>
        <w:t>in many ways the institution</w:t>
      </w:r>
      <w:r w:rsidR="00443A29">
        <w:rPr>
          <w:rFonts w:ascii="Gill Sans MT" w:hAnsi="Gill Sans MT"/>
        </w:rPr>
        <w:t xml:space="preserve"> also</w:t>
      </w:r>
      <w:r w:rsidR="00FE7B4E">
        <w:rPr>
          <w:rFonts w:ascii="Gill Sans MT" w:hAnsi="Gill Sans MT"/>
        </w:rPr>
        <w:t xml:space="preserve"> provides a</w:t>
      </w:r>
      <w:r w:rsidR="00683B05">
        <w:rPr>
          <w:rFonts w:ascii="Gill Sans MT" w:hAnsi="Gill Sans MT"/>
        </w:rPr>
        <w:t xml:space="preserve"> notable </w:t>
      </w:r>
      <w:r w:rsidR="00FE7B4E">
        <w:rPr>
          <w:rFonts w:ascii="Gill Sans MT" w:hAnsi="Gill Sans MT"/>
        </w:rPr>
        <w:t>example of continuity in the constitution.</w:t>
      </w:r>
      <w:r w:rsidR="00443A29">
        <w:rPr>
          <w:rFonts w:ascii="Gill Sans MT" w:hAnsi="Gill Sans MT"/>
        </w:rPr>
        <w:t xml:space="preserve">  </w:t>
      </w:r>
    </w:p>
    <w:p w14:paraId="561779D1" w14:textId="26F75AEB" w:rsidR="001440C3" w:rsidRPr="0083074F" w:rsidRDefault="003535EA" w:rsidP="001137EA">
      <w:pPr>
        <w:spacing w:after="0" w:line="360" w:lineRule="auto"/>
        <w:ind w:firstLine="720"/>
        <w:jc w:val="both"/>
        <w:rPr>
          <w:rFonts w:ascii="Gill Sans MT" w:hAnsi="Gill Sans MT"/>
        </w:rPr>
      </w:pPr>
      <w:r>
        <w:rPr>
          <w:rFonts w:ascii="Gill Sans MT" w:hAnsi="Gill Sans MT"/>
        </w:rPr>
        <w:t>This</w:t>
      </w:r>
      <w:r w:rsidR="00443A29">
        <w:rPr>
          <w:rFonts w:ascii="Gill Sans MT" w:hAnsi="Gill Sans MT"/>
        </w:rPr>
        <w:t xml:space="preserve"> chapter first identifies the basic functions of </w:t>
      </w:r>
      <w:proofErr w:type="gramStart"/>
      <w:r w:rsidR="00443A29">
        <w:rPr>
          <w:rFonts w:ascii="Gill Sans MT" w:hAnsi="Gill Sans MT"/>
        </w:rPr>
        <w:t>legislatures, and</w:t>
      </w:r>
      <w:proofErr w:type="gramEnd"/>
      <w:r w:rsidR="00443A29">
        <w:rPr>
          <w:rFonts w:ascii="Gill Sans MT" w:hAnsi="Gill Sans MT"/>
        </w:rPr>
        <w:t xml:space="preserve"> </w:t>
      </w:r>
      <w:r w:rsidR="0067222B">
        <w:rPr>
          <w:rFonts w:ascii="Gill Sans MT" w:hAnsi="Gill Sans MT"/>
        </w:rPr>
        <w:t xml:space="preserve">discusses </w:t>
      </w:r>
      <w:r w:rsidR="00443A29">
        <w:rPr>
          <w:rFonts w:ascii="Gill Sans MT" w:hAnsi="Gill Sans MT"/>
        </w:rPr>
        <w:t xml:space="preserve">how those functions have evolved in the UK’s history.  It then explores three key themes: first, the </w:t>
      </w:r>
      <w:r w:rsidR="00FE019E">
        <w:rPr>
          <w:rFonts w:ascii="Gill Sans MT" w:hAnsi="Gill Sans MT"/>
        </w:rPr>
        <w:t>development o</w:t>
      </w:r>
      <w:r w:rsidR="00443A29">
        <w:rPr>
          <w:rFonts w:ascii="Gill Sans MT" w:hAnsi="Gill Sans MT"/>
        </w:rPr>
        <w:t xml:space="preserve">f parliamentary sovereignty; second, </w:t>
      </w:r>
      <w:r w:rsidR="0083074F">
        <w:rPr>
          <w:rFonts w:ascii="Gill Sans MT" w:hAnsi="Gill Sans MT"/>
        </w:rPr>
        <w:t>the democratisation of the UK Parliament</w:t>
      </w:r>
      <w:r w:rsidR="00FE019E">
        <w:rPr>
          <w:rFonts w:ascii="Gill Sans MT" w:hAnsi="Gill Sans MT"/>
        </w:rPr>
        <w:t xml:space="preserve">; and third, </w:t>
      </w:r>
      <w:r w:rsidR="001440C3">
        <w:rPr>
          <w:rFonts w:ascii="Gill Sans MT" w:hAnsi="Gill Sans MT"/>
        </w:rPr>
        <w:t xml:space="preserve">the dispersal of power from the UK Parliament, in particular to other legislatures within the </w:t>
      </w:r>
      <w:proofErr w:type="gramStart"/>
      <w:r w:rsidR="001440C3">
        <w:rPr>
          <w:rFonts w:ascii="Gill Sans MT" w:hAnsi="Gill Sans MT"/>
        </w:rPr>
        <w:t>state.</w:t>
      </w:r>
      <w:r w:rsidR="00706BD1">
        <w:rPr>
          <w:rFonts w:ascii="Gill Sans MT" w:hAnsi="Gill Sans MT"/>
        </w:rPr>
        <w:t xml:space="preserve">  .</w:t>
      </w:r>
      <w:proofErr w:type="gramEnd"/>
      <w:r w:rsidR="00706BD1">
        <w:rPr>
          <w:rFonts w:ascii="Gill Sans MT" w:hAnsi="Gill Sans MT"/>
        </w:rPr>
        <w:t xml:space="preserve">  While this is not suggested to be a simple</w:t>
      </w:r>
      <w:r w:rsidR="006F2585">
        <w:rPr>
          <w:rFonts w:ascii="Gill Sans MT" w:hAnsi="Gill Sans MT"/>
        </w:rPr>
        <w:t xml:space="preserve"> (or comprehensive)</w:t>
      </w:r>
      <w:r w:rsidR="00706BD1">
        <w:rPr>
          <w:rFonts w:ascii="Gill Sans MT" w:hAnsi="Gill Sans MT"/>
        </w:rPr>
        <w:t xml:space="preserve"> chronological narrative, in broad terms we see the UK Parliament becoming sovereign in </w:t>
      </w:r>
      <w:r w:rsidR="001D4882">
        <w:rPr>
          <w:rFonts w:ascii="Gill Sans MT" w:hAnsi="Gill Sans MT"/>
        </w:rPr>
        <w:t>the 16</w:t>
      </w:r>
      <w:r w:rsidR="001D4882" w:rsidRPr="001D4882">
        <w:rPr>
          <w:rFonts w:ascii="Gill Sans MT" w:hAnsi="Gill Sans MT"/>
          <w:vertAlign w:val="superscript"/>
        </w:rPr>
        <w:t>th</w:t>
      </w:r>
      <w:r w:rsidR="001D4882">
        <w:rPr>
          <w:rFonts w:ascii="Gill Sans MT" w:hAnsi="Gill Sans MT"/>
        </w:rPr>
        <w:t xml:space="preserve"> and</w:t>
      </w:r>
      <w:r w:rsidR="00706BD1">
        <w:rPr>
          <w:rFonts w:ascii="Gill Sans MT" w:hAnsi="Gill Sans MT"/>
        </w:rPr>
        <w:t xml:space="preserve"> 17</w:t>
      </w:r>
      <w:r w:rsidR="00706BD1" w:rsidRPr="00706BD1">
        <w:rPr>
          <w:rFonts w:ascii="Gill Sans MT" w:hAnsi="Gill Sans MT"/>
          <w:vertAlign w:val="superscript"/>
        </w:rPr>
        <w:t>th</w:t>
      </w:r>
      <w:r w:rsidR="00706BD1">
        <w:rPr>
          <w:rFonts w:ascii="Gill Sans MT" w:hAnsi="Gill Sans MT"/>
        </w:rPr>
        <w:t xml:space="preserve"> centuries</w:t>
      </w:r>
      <w:r w:rsidR="001D4882">
        <w:rPr>
          <w:rFonts w:ascii="Gill Sans MT" w:hAnsi="Gill Sans MT"/>
        </w:rPr>
        <w:t>, then becoming democratic in the 19</w:t>
      </w:r>
      <w:r w:rsidR="001D4882" w:rsidRPr="001D4882">
        <w:rPr>
          <w:rFonts w:ascii="Gill Sans MT" w:hAnsi="Gill Sans MT"/>
          <w:vertAlign w:val="superscript"/>
        </w:rPr>
        <w:t>th</w:t>
      </w:r>
      <w:r w:rsidR="001D4882">
        <w:rPr>
          <w:rFonts w:ascii="Gill Sans MT" w:hAnsi="Gill Sans MT"/>
        </w:rPr>
        <w:t xml:space="preserve"> and 20</w:t>
      </w:r>
      <w:r w:rsidR="001D4882" w:rsidRPr="001D4882">
        <w:rPr>
          <w:rFonts w:ascii="Gill Sans MT" w:hAnsi="Gill Sans MT"/>
          <w:vertAlign w:val="superscript"/>
        </w:rPr>
        <w:t>th</w:t>
      </w:r>
      <w:r w:rsidR="001D4882">
        <w:rPr>
          <w:rFonts w:ascii="Gill Sans MT" w:hAnsi="Gill Sans MT"/>
        </w:rPr>
        <w:t xml:space="preserve"> centuries, and in the 21</w:t>
      </w:r>
      <w:r w:rsidR="001D4882" w:rsidRPr="001D4882">
        <w:rPr>
          <w:rFonts w:ascii="Gill Sans MT" w:hAnsi="Gill Sans MT"/>
          <w:vertAlign w:val="superscript"/>
        </w:rPr>
        <w:t>st</w:t>
      </w:r>
      <w:r w:rsidR="001D4882">
        <w:rPr>
          <w:rFonts w:ascii="Gill Sans MT" w:hAnsi="Gill Sans MT"/>
        </w:rPr>
        <w:t xml:space="preserve"> century the UK’s legislature </w:t>
      </w:r>
      <w:r w:rsidR="00B22CEE">
        <w:rPr>
          <w:rFonts w:ascii="Gill Sans MT" w:hAnsi="Gill Sans MT"/>
        </w:rPr>
        <w:t xml:space="preserve">remains </w:t>
      </w:r>
      <w:r w:rsidR="00663034">
        <w:rPr>
          <w:rFonts w:ascii="Gill Sans MT" w:hAnsi="Gill Sans MT"/>
        </w:rPr>
        <w:t>central</w:t>
      </w:r>
      <w:r w:rsidR="00B22CEE">
        <w:rPr>
          <w:rFonts w:ascii="Gill Sans MT" w:hAnsi="Gill Sans MT"/>
        </w:rPr>
        <w:t>,</w:t>
      </w:r>
      <w:r w:rsidR="00663034">
        <w:rPr>
          <w:rFonts w:ascii="Gill Sans MT" w:hAnsi="Gill Sans MT"/>
        </w:rPr>
        <w:t xml:space="preserve"> </w:t>
      </w:r>
      <w:r w:rsidR="00B22CEE">
        <w:rPr>
          <w:rFonts w:ascii="Gill Sans MT" w:hAnsi="Gill Sans MT"/>
        </w:rPr>
        <w:t xml:space="preserve">but </w:t>
      </w:r>
      <w:r w:rsidR="008233E7">
        <w:rPr>
          <w:rFonts w:ascii="Gill Sans MT" w:hAnsi="Gill Sans MT"/>
        </w:rPr>
        <w:t>within</w:t>
      </w:r>
      <w:r w:rsidR="00663034">
        <w:rPr>
          <w:rFonts w:ascii="Gill Sans MT" w:hAnsi="Gill Sans MT"/>
        </w:rPr>
        <w:t xml:space="preserve"> a</w:t>
      </w:r>
      <w:r w:rsidR="00B22CEE">
        <w:rPr>
          <w:rFonts w:ascii="Gill Sans MT" w:hAnsi="Gill Sans MT"/>
        </w:rPr>
        <w:t xml:space="preserve"> </w:t>
      </w:r>
      <w:r w:rsidR="00663034">
        <w:rPr>
          <w:rFonts w:ascii="Gill Sans MT" w:hAnsi="Gill Sans MT"/>
        </w:rPr>
        <w:t>constellation</w:t>
      </w:r>
      <w:r w:rsidR="00B22CEE">
        <w:rPr>
          <w:rFonts w:ascii="Gill Sans MT" w:hAnsi="Gill Sans MT"/>
        </w:rPr>
        <w:t xml:space="preserve"> of legislatures</w:t>
      </w:r>
      <w:r w:rsidR="001D4882">
        <w:rPr>
          <w:rFonts w:ascii="Gill Sans MT" w:hAnsi="Gill Sans MT"/>
        </w:rPr>
        <w:t>.</w:t>
      </w:r>
    </w:p>
    <w:p w14:paraId="78F3F587" w14:textId="02A44D16" w:rsidR="00636F63" w:rsidRPr="00C56E6A" w:rsidRDefault="00AA4543" w:rsidP="001137EA">
      <w:pPr>
        <w:spacing w:after="0" w:line="360" w:lineRule="auto"/>
        <w:ind w:firstLine="720"/>
        <w:jc w:val="both"/>
        <w:rPr>
          <w:rFonts w:ascii="Gill Sans MT" w:hAnsi="Gill Sans MT"/>
        </w:rPr>
      </w:pPr>
      <w:r>
        <w:rPr>
          <w:rFonts w:ascii="Gill Sans MT" w:hAnsi="Gill Sans MT"/>
        </w:rPr>
        <w:t>In exploring these themes, t</w:t>
      </w:r>
      <w:r w:rsidR="00B41CA2">
        <w:rPr>
          <w:rFonts w:ascii="Gill Sans MT" w:hAnsi="Gill Sans MT"/>
        </w:rPr>
        <w:t>he f</w:t>
      </w:r>
      <w:r w:rsidR="001D4C8E">
        <w:rPr>
          <w:rFonts w:ascii="Gill Sans MT" w:hAnsi="Gill Sans MT"/>
        </w:rPr>
        <w:t xml:space="preserve">ocus </w:t>
      </w:r>
      <w:r w:rsidR="00B41CA2">
        <w:rPr>
          <w:rFonts w:ascii="Gill Sans MT" w:hAnsi="Gill Sans MT"/>
        </w:rPr>
        <w:t xml:space="preserve">of this chapter </w:t>
      </w:r>
      <w:r w:rsidR="001D4C8E">
        <w:rPr>
          <w:rFonts w:ascii="Gill Sans MT" w:hAnsi="Gill Sans MT"/>
        </w:rPr>
        <w:t xml:space="preserve">will be the UK Parliament, given its overarching constitutional authority over all institutions of government in the UK, not just other legislatures.  But while the Parliament based </w:t>
      </w:r>
      <w:r w:rsidR="00273C3E">
        <w:rPr>
          <w:rFonts w:ascii="Gill Sans MT" w:hAnsi="Gill Sans MT"/>
        </w:rPr>
        <w:t>i</w:t>
      </w:r>
      <w:r w:rsidR="001D4C8E">
        <w:rPr>
          <w:rFonts w:ascii="Gill Sans MT" w:hAnsi="Gill Sans MT"/>
        </w:rPr>
        <w:t xml:space="preserve">n Westminster has </w:t>
      </w:r>
      <w:proofErr w:type="gramStart"/>
      <w:r w:rsidR="001D4C8E">
        <w:rPr>
          <w:rFonts w:ascii="Gill Sans MT" w:hAnsi="Gill Sans MT"/>
        </w:rPr>
        <w:t>been  the</w:t>
      </w:r>
      <w:proofErr w:type="gramEnd"/>
      <w:r w:rsidR="001D4C8E">
        <w:rPr>
          <w:rFonts w:ascii="Gill Sans MT" w:hAnsi="Gill Sans MT"/>
        </w:rPr>
        <w:t xml:space="preserve"> </w:t>
      </w:r>
      <w:r w:rsidR="006736E7">
        <w:rPr>
          <w:rFonts w:ascii="Gill Sans MT" w:hAnsi="Gill Sans MT"/>
        </w:rPr>
        <w:t>pre</w:t>
      </w:r>
      <w:r w:rsidR="001D4C8E">
        <w:rPr>
          <w:rFonts w:ascii="Gill Sans MT" w:hAnsi="Gill Sans MT"/>
        </w:rPr>
        <w:t xml:space="preserve">dominant </w:t>
      </w:r>
      <w:r w:rsidR="00273C3E">
        <w:rPr>
          <w:rFonts w:ascii="Gill Sans MT" w:hAnsi="Gill Sans MT"/>
        </w:rPr>
        <w:t xml:space="preserve">legislature during the </w:t>
      </w:r>
      <w:r w:rsidR="006736E7">
        <w:rPr>
          <w:rFonts w:ascii="Gill Sans MT" w:hAnsi="Gill Sans MT"/>
        </w:rPr>
        <w:t>history of the UK</w:t>
      </w:r>
      <w:r w:rsidR="00AB2DF3">
        <w:rPr>
          <w:rFonts w:ascii="Gill Sans MT" w:hAnsi="Gill Sans MT"/>
        </w:rPr>
        <w:t xml:space="preserve"> (and remains so)</w:t>
      </w:r>
      <w:r w:rsidR="006736E7">
        <w:rPr>
          <w:rFonts w:ascii="Gill Sans MT" w:hAnsi="Gill Sans MT"/>
        </w:rPr>
        <w:t>, its composition and reach have not been constant:  it has variously been the English Parliament, the Parliament of England and Wales, the British Parliament,</w:t>
      </w:r>
      <w:r w:rsidR="003535EA">
        <w:rPr>
          <w:rFonts w:ascii="Gill Sans MT" w:hAnsi="Gill Sans MT"/>
        </w:rPr>
        <w:t xml:space="preserve"> the Imperial Parliament</w:t>
      </w:r>
      <w:r w:rsidR="006736E7">
        <w:rPr>
          <w:rFonts w:ascii="Gill Sans MT" w:hAnsi="Gill Sans MT"/>
        </w:rPr>
        <w:t xml:space="preserve"> and the UK Parliament.  </w:t>
      </w:r>
      <w:r w:rsidR="00AB2DF3">
        <w:rPr>
          <w:rFonts w:ascii="Gill Sans MT" w:hAnsi="Gill Sans MT"/>
        </w:rPr>
        <w:t>Moreover, o</w:t>
      </w:r>
      <w:r w:rsidR="006736E7">
        <w:rPr>
          <w:rFonts w:ascii="Gill Sans MT" w:hAnsi="Gill Sans MT"/>
        </w:rPr>
        <w:t xml:space="preserve">ther legislatures have existed within the UK throughout its history, most notably in Scotland until </w:t>
      </w:r>
      <w:r w:rsidR="009C11A0">
        <w:rPr>
          <w:rFonts w:ascii="Gill Sans MT" w:hAnsi="Gill Sans MT"/>
        </w:rPr>
        <w:t xml:space="preserve">the union founding Great Britain in </w:t>
      </w:r>
      <w:r w:rsidR="006736E7">
        <w:rPr>
          <w:rFonts w:ascii="Gill Sans MT" w:hAnsi="Gill Sans MT"/>
        </w:rPr>
        <w:t>1700,</w:t>
      </w:r>
      <w:r w:rsidR="003535EA" w:rsidDel="003535EA">
        <w:rPr>
          <w:rStyle w:val="FootnoteReference"/>
          <w:rFonts w:ascii="Gill Sans MT" w:hAnsi="Gill Sans MT"/>
        </w:rPr>
        <w:t xml:space="preserve"> </w:t>
      </w:r>
      <w:r w:rsidR="006736E7">
        <w:rPr>
          <w:rFonts w:ascii="Gill Sans MT" w:hAnsi="Gill Sans MT"/>
        </w:rPr>
        <w:t xml:space="preserve"> in Ireland until </w:t>
      </w:r>
      <w:r w:rsidR="009C11A0">
        <w:rPr>
          <w:rFonts w:ascii="Gill Sans MT" w:hAnsi="Gill Sans MT"/>
        </w:rPr>
        <w:t xml:space="preserve">the union founding the UK in </w:t>
      </w:r>
      <w:r w:rsidR="006736E7">
        <w:rPr>
          <w:rFonts w:ascii="Gill Sans MT" w:hAnsi="Gill Sans MT"/>
        </w:rPr>
        <w:t xml:space="preserve">1800 and then again from 1919 until </w:t>
      </w:r>
      <w:r w:rsidR="003028BB">
        <w:rPr>
          <w:rFonts w:ascii="Gill Sans MT" w:hAnsi="Gill Sans MT"/>
        </w:rPr>
        <w:t xml:space="preserve">the independent Irish Free State </w:t>
      </w:r>
      <w:r w:rsidR="009C11A0">
        <w:rPr>
          <w:rFonts w:ascii="Gill Sans MT" w:hAnsi="Gill Sans MT"/>
        </w:rPr>
        <w:t xml:space="preserve">was established </w:t>
      </w:r>
      <w:r w:rsidR="003028BB">
        <w:rPr>
          <w:rFonts w:ascii="Gill Sans MT" w:hAnsi="Gill Sans MT"/>
        </w:rPr>
        <w:t>in 1922,</w:t>
      </w:r>
      <w:r w:rsidR="009C11A0">
        <w:rPr>
          <w:rFonts w:ascii="Gill Sans MT" w:hAnsi="Gill Sans MT"/>
        </w:rPr>
        <w:t xml:space="preserve"> and </w:t>
      </w:r>
      <w:r w:rsidR="003028BB">
        <w:rPr>
          <w:rFonts w:ascii="Gill Sans MT" w:hAnsi="Gill Sans MT"/>
        </w:rPr>
        <w:t>in Northern Ireland from 1920 to 1972 when direct rule was re-imposed (subject to sporadic attempts to restore an assembly in 1973-74 and 1982-86)</w:t>
      </w:r>
      <w:r w:rsidR="003535EA">
        <w:rPr>
          <w:rFonts w:ascii="Gill Sans MT" w:hAnsi="Gill Sans MT"/>
        </w:rPr>
        <w:t>.</w:t>
      </w:r>
      <w:r w:rsidR="00BD5540">
        <w:rPr>
          <w:rStyle w:val="FootnoteReference"/>
          <w:rFonts w:ascii="Gill Sans MT" w:hAnsi="Gill Sans MT"/>
        </w:rPr>
        <w:footnoteReference w:id="1"/>
      </w:r>
      <w:r w:rsidR="00BD5540">
        <w:rPr>
          <w:rFonts w:ascii="Gill Sans MT" w:hAnsi="Gill Sans MT"/>
        </w:rPr>
        <w:t xml:space="preserve"> </w:t>
      </w:r>
      <w:r w:rsidR="00C627D6">
        <w:rPr>
          <w:rFonts w:ascii="Gill Sans MT" w:hAnsi="Gill Sans MT"/>
        </w:rPr>
        <w:t xml:space="preserve">  </w:t>
      </w:r>
      <w:r w:rsidR="00B41CA2">
        <w:rPr>
          <w:rFonts w:ascii="Gill Sans MT" w:hAnsi="Gill Sans MT"/>
        </w:rPr>
        <w:t>Despite the dominance of the English Crown since the conquest of Wales in the late 13</w:t>
      </w:r>
      <w:r w:rsidR="00B41CA2" w:rsidRPr="00B41CA2">
        <w:rPr>
          <w:rFonts w:ascii="Gill Sans MT" w:hAnsi="Gill Sans MT"/>
          <w:vertAlign w:val="superscript"/>
        </w:rPr>
        <w:t>th</w:t>
      </w:r>
      <w:r w:rsidR="00B41CA2">
        <w:rPr>
          <w:rFonts w:ascii="Gill Sans MT" w:hAnsi="Gill Sans MT"/>
        </w:rPr>
        <w:t xml:space="preserve"> century, this territory</w:t>
      </w:r>
      <w:r w:rsidR="00C627D6">
        <w:rPr>
          <w:rFonts w:ascii="Gill Sans MT" w:hAnsi="Gill Sans MT"/>
        </w:rPr>
        <w:t xml:space="preserve"> </w:t>
      </w:r>
      <w:r w:rsidR="00C627D6">
        <w:rPr>
          <w:rFonts w:ascii="Gill Sans MT" w:hAnsi="Gill Sans MT"/>
        </w:rPr>
        <w:lastRenderedPageBreak/>
        <w:t>w</w:t>
      </w:r>
      <w:r w:rsidR="00B41CA2">
        <w:rPr>
          <w:rFonts w:ascii="Gill Sans MT" w:hAnsi="Gill Sans MT"/>
        </w:rPr>
        <w:t>as</w:t>
      </w:r>
      <w:r w:rsidR="00C627D6">
        <w:rPr>
          <w:rFonts w:ascii="Gill Sans MT" w:hAnsi="Gill Sans MT"/>
        </w:rPr>
        <w:t xml:space="preserve"> not routinely represented in English </w:t>
      </w:r>
      <w:r w:rsidR="007123F8">
        <w:rPr>
          <w:rFonts w:ascii="Gill Sans MT" w:hAnsi="Gill Sans MT"/>
        </w:rPr>
        <w:t>p</w:t>
      </w:r>
      <w:r w:rsidR="00C627D6">
        <w:rPr>
          <w:rFonts w:ascii="Gill Sans MT" w:hAnsi="Gill Sans MT"/>
        </w:rPr>
        <w:t>arliaments until the formal Acts of Union in 15</w:t>
      </w:r>
      <w:r w:rsidR="007123F8">
        <w:rPr>
          <w:rFonts w:ascii="Gill Sans MT" w:hAnsi="Gill Sans MT"/>
        </w:rPr>
        <w:t>36</w:t>
      </w:r>
      <w:r w:rsidR="00C627D6">
        <w:rPr>
          <w:rFonts w:ascii="Gill Sans MT" w:hAnsi="Gill Sans MT"/>
        </w:rPr>
        <w:t>.</w:t>
      </w:r>
      <w:r w:rsidR="00C627D6">
        <w:rPr>
          <w:rStyle w:val="FootnoteReference"/>
          <w:rFonts w:ascii="Gill Sans MT" w:hAnsi="Gill Sans MT"/>
        </w:rPr>
        <w:footnoteReference w:id="2"/>
      </w:r>
      <w:r w:rsidR="00B41CA2">
        <w:rPr>
          <w:rFonts w:ascii="Gill Sans MT" w:hAnsi="Gill Sans MT"/>
        </w:rPr>
        <w:t xml:space="preserve">  Th</w:t>
      </w:r>
      <w:r w:rsidR="009C11A0">
        <w:rPr>
          <w:rFonts w:ascii="Gill Sans MT" w:hAnsi="Gill Sans MT"/>
        </w:rPr>
        <w:t>e advent of the modern devolution system in 1998 has seen the (re-)emergence of legislatures in Scotland, Northern Ireland and Wales, and a</w:t>
      </w:r>
      <w:r>
        <w:rPr>
          <w:rFonts w:ascii="Gill Sans MT" w:hAnsi="Gill Sans MT"/>
        </w:rPr>
        <w:t>n important</w:t>
      </w:r>
      <w:r w:rsidR="009C11A0">
        <w:rPr>
          <w:rFonts w:ascii="Gill Sans MT" w:hAnsi="Gill Sans MT"/>
        </w:rPr>
        <w:t xml:space="preserve"> new dynamic </w:t>
      </w:r>
      <w:r w:rsidR="00B612C5">
        <w:rPr>
          <w:rFonts w:ascii="Gill Sans MT" w:hAnsi="Gill Sans MT"/>
        </w:rPr>
        <w:t xml:space="preserve">emerging </w:t>
      </w:r>
      <w:r w:rsidR="009C11A0">
        <w:rPr>
          <w:rFonts w:ascii="Gill Sans MT" w:hAnsi="Gill Sans MT"/>
        </w:rPr>
        <w:t>between the</w:t>
      </w:r>
      <w:r w:rsidR="00B612C5">
        <w:rPr>
          <w:rFonts w:ascii="Gill Sans MT" w:hAnsi="Gill Sans MT"/>
        </w:rPr>
        <w:t>m and the</w:t>
      </w:r>
      <w:r w:rsidR="009C11A0">
        <w:rPr>
          <w:rFonts w:ascii="Gill Sans MT" w:hAnsi="Gill Sans MT"/>
        </w:rPr>
        <w:t xml:space="preserve"> UK Parliament</w:t>
      </w:r>
      <w:r w:rsidR="00B612C5">
        <w:rPr>
          <w:rFonts w:ascii="Gill Sans MT" w:hAnsi="Gill Sans MT"/>
        </w:rPr>
        <w:t>.</w:t>
      </w:r>
      <w:r>
        <w:rPr>
          <w:rFonts w:ascii="Gill Sans MT" w:hAnsi="Gill Sans MT"/>
        </w:rPr>
        <w:t xml:space="preserve">  </w:t>
      </w:r>
      <w:r w:rsidR="0001262E">
        <w:rPr>
          <w:rFonts w:ascii="Gill Sans MT" w:hAnsi="Gill Sans MT"/>
        </w:rPr>
        <w:t>.</w:t>
      </w:r>
    </w:p>
    <w:bookmarkEnd w:id="0"/>
    <w:p w14:paraId="1547D41D" w14:textId="7FA11AF2" w:rsidR="00E150D0" w:rsidRDefault="00E150D0" w:rsidP="001137EA">
      <w:pPr>
        <w:spacing w:after="0" w:line="360" w:lineRule="auto"/>
        <w:rPr>
          <w:rFonts w:ascii="Gill Sans MT" w:hAnsi="Gill Sans MT"/>
        </w:rPr>
      </w:pPr>
    </w:p>
    <w:p w14:paraId="6293C1E1" w14:textId="795DCF03" w:rsidR="00E150D0" w:rsidRDefault="005D71A5" w:rsidP="001137EA">
      <w:pPr>
        <w:pStyle w:val="ListParagraph"/>
        <w:numPr>
          <w:ilvl w:val="0"/>
          <w:numId w:val="1"/>
        </w:numPr>
        <w:spacing w:after="0" w:line="360" w:lineRule="auto"/>
        <w:rPr>
          <w:rFonts w:ascii="Gill Sans MT" w:hAnsi="Gill Sans MT"/>
          <w:i/>
          <w:iCs/>
          <w:u w:val="single"/>
        </w:rPr>
      </w:pPr>
      <w:r>
        <w:rPr>
          <w:rFonts w:ascii="Gill Sans MT" w:hAnsi="Gill Sans MT"/>
          <w:i/>
          <w:iCs/>
          <w:u w:val="single"/>
        </w:rPr>
        <w:t>The Legislature’s Functions</w:t>
      </w:r>
    </w:p>
    <w:p w14:paraId="3961BD60" w14:textId="77777777" w:rsidR="00443A29" w:rsidRDefault="00443A29" w:rsidP="001137EA">
      <w:pPr>
        <w:spacing w:after="0" w:line="360" w:lineRule="auto"/>
        <w:jc w:val="both"/>
        <w:rPr>
          <w:rFonts w:ascii="Gill Sans MT" w:hAnsi="Gill Sans MT"/>
        </w:rPr>
      </w:pPr>
    </w:p>
    <w:p w14:paraId="32A6BEED" w14:textId="51F655D6" w:rsidR="001850B8" w:rsidRDefault="00621C81" w:rsidP="001137EA">
      <w:pPr>
        <w:spacing w:after="0" w:line="360" w:lineRule="auto"/>
        <w:jc w:val="both"/>
        <w:rPr>
          <w:rFonts w:ascii="Gill Sans MT" w:hAnsi="Gill Sans MT"/>
        </w:rPr>
      </w:pPr>
      <w:r>
        <w:rPr>
          <w:rFonts w:ascii="Gill Sans MT" w:hAnsi="Gill Sans MT"/>
        </w:rPr>
        <w:t>The l</w:t>
      </w:r>
      <w:r w:rsidR="001D4C8E" w:rsidRPr="001D4C8E">
        <w:rPr>
          <w:rFonts w:ascii="Gill Sans MT" w:hAnsi="Gill Sans MT"/>
        </w:rPr>
        <w:t>egislature is a complex</w:t>
      </w:r>
      <w:r w:rsidR="001850B8">
        <w:rPr>
          <w:rFonts w:ascii="Gill Sans MT" w:hAnsi="Gill Sans MT"/>
        </w:rPr>
        <w:t>, multi-faceted</w:t>
      </w:r>
      <w:r w:rsidR="001D4C8E" w:rsidRPr="001D4C8E">
        <w:rPr>
          <w:rFonts w:ascii="Gill Sans MT" w:hAnsi="Gill Sans MT"/>
        </w:rPr>
        <w:t xml:space="preserve"> institution.  </w:t>
      </w:r>
      <w:r w:rsidR="00F02D87">
        <w:rPr>
          <w:rFonts w:ascii="Gill Sans MT" w:hAnsi="Gill Sans MT"/>
        </w:rPr>
        <w:t>In essence, it is a political assembly which contributes to the governing of the state.  Yet the precise contribution made to governing can vary, for a legislature has</w:t>
      </w:r>
      <w:r w:rsidR="00F02D87" w:rsidRPr="001D4C8E">
        <w:rPr>
          <w:rFonts w:ascii="Gill Sans MT" w:hAnsi="Gill Sans MT"/>
        </w:rPr>
        <w:t xml:space="preserve"> the potential to perform a range of connected functions in a political system</w:t>
      </w:r>
      <w:r w:rsidR="00F02D87">
        <w:rPr>
          <w:rFonts w:ascii="Gill Sans MT" w:hAnsi="Gill Sans MT"/>
        </w:rPr>
        <w:t>.  T</w:t>
      </w:r>
      <w:r w:rsidR="001850B8">
        <w:rPr>
          <w:rFonts w:ascii="Gill Sans MT" w:hAnsi="Gill Sans MT"/>
        </w:rPr>
        <w:t xml:space="preserve">hese functions have changed considerably over time – the Parliament of Simon de Montfort, </w:t>
      </w:r>
      <w:r w:rsidR="00F77548">
        <w:rPr>
          <w:rFonts w:ascii="Gill Sans MT" w:hAnsi="Gill Sans MT"/>
        </w:rPr>
        <w:t xml:space="preserve">identified as </w:t>
      </w:r>
      <w:r w:rsidR="001850B8">
        <w:rPr>
          <w:rFonts w:ascii="Gill Sans MT" w:hAnsi="Gill Sans MT"/>
        </w:rPr>
        <w:t>the first recognisable Parliament judged against modern standards,</w:t>
      </w:r>
      <w:r w:rsidR="001850B8">
        <w:rPr>
          <w:rStyle w:val="FootnoteReference"/>
          <w:rFonts w:ascii="Gill Sans MT" w:hAnsi="Gill Sans MT"/>
        </w:rPr>
        <w:footnoteReference w:id="3"/>
      </w:r>
      <w:r w:rsidR="001850B8">
        <w:rPr>
          <w:rFonts w:ascii="Gill Sans MT" w:hAnsi="Gill Sans MT"/>
        </w:rPr>
        <w:t xml:space="preserve"> was very different to th</w:t>
      </w:r>
      <w:r w:rsidR="00E70C6A">
        <w:rPr>
          <w:rFonts w:ascii="Gill Sans MT" w:hAnsi="Gill Sans MT"/>
        </w:rPr>
        <w:t>e</w:t>
      </w:r>
      <w:r w:rsidR="001850B8">
        <w:rPr>
          <w:rFonts w:ascii="Gill Sans MT" w:hAnsi="Gill Sans MT"/>
        </w:rPr>
        <w:t xml:space="preserve"> UK Parliament, or the devolved legislatures, in the present</w:t>
      </w:r>
      <w:r w:rsidR="004F3E82">
        <w:rPr>
          <w:rFonts w:ascii="Gill Sans MT" w:hAnsi="Gill Sans MT"/>
        </w:rPr>
        <w:t>-</w:t>
      </w:r>
      <w:r w:rsidR="001850B8">
        <w:rPr>
          <w:rFonts w:ascii="Gill Sans MT" w:hAnsi="Gill Sans MT"/>
        </w:rPr>
        <w:t xml:space="preserve">day constitution.  </w:t>
      </w:r>
      <w:r w:rsidR="00F95A70">
        <w:rPr>
          <w:rFonts w:ascii="Gill Sans MT" w:hAnsi="Gill Sans MT"/>
        </w:rPr>
        <w:t xml:space="preserve">That a legislature performs multiple functions makes the development of these institutions over time especially interesting from a constitutional perspective.  As Jennings suggests, ‘[t]here was not, and there has never been, conscious planning of the common law or of political </w:t>
      </w:r>
      <w:proofErr w:type="gramStart"/>
      <w:r w:rsidR="00F95A70">
        <w:rPr>
          <w:rFonts w:ascii="Gill Sans MT" w:hAnsi="Gill Sans MT"/>
        </w:rPr>
        <w:t>institutions’</w:t>
      </w:r>
      <w:proofErr w:type="gramEnd"/>
      <w:r w:rsidR="00F95A70">
        <w:rPr>
          <w:rFonts w:ascii="Gill Sans MT" w:hAnsi="Gill Sans MT"/>
        </w:rPr>
        <w:t>.</w:t>
      </w:r>
      <w:r w:rsidR="00F95A70">
        <w:rPr>
          <w:rStyle w:val="FootnoteReference"/>
          <w:rFonts w:ascii="Gill Sans MT" w:hAnsi="Gill Sans MT"/>
        </w:rPr>
        <w:footnoteReference w:id="4"/>
      </w:r>
      <w:r w:rsidR="004D1684">
        <w:rPr>
          <w:rFonts w:ascii="Gill Sans MT" w:hAnsi="Gill Sans MT"/>
        </w:rPr>
        <w:t xml:space="preserve">  Yet we can identify a core set of functions performed by a legislature, even if they </w:t>
      </w:r>
      <w:r w:rsidR="00F77548">
        <w:rPr>
          <w:rFonts w:ascii="Gill Sans MT" w:hAnsi="Gill Sans MT"/>
        </w:rPr>
        <w:t>have</w:t>
      </w:r>
      <w:r w:rsidR="004D1684">
        <w:rPr>
          <w:rFonts w:ascii="Gill Sans MT" w:hAnsi="Gill Sans MT"/>
        </w:rPr>
        <w:t xml:space="preserve"> developed at different points in the UK’s history.  These core functions are</w:t>
      </w:r>
      <w:r w:rsidR="00667B32">
        <w:rPr>
          <w:rFonts w:ascii="Gill Sans MT" w:hAnsi="Gill Sans MT"/>
        </w:rPr>
        <w:t>: (</w:t>
      </w:r>
      <w:proofErr w:type="spellStart"/>
      <w:r w:rsidR="00667B32">
        <w:rPr>
          <w:rFonts w:ascii="Gill Sans MT" w:hAnsi="Gill Sans MT"/>
        </w:rPr>
        <w:t>i</w:t>
      </w:r>
      <w:proofErr w:type="spellEnd"/>
      <w:r w:rsidR="00667B32">
        <w:rPr>
          <w:rFonts w:ascii="Gill Sans MT" w:hAnsi="Gill Sans MT"/>
        </w:rPr>
        <w:t xml:space="preserve">) </w:t>
      </w:r>
      <w:r w:rsidR="004D1684">
        <w:rPr>
          <w:rFonts w:ascii="Gill Sans MT" w:hAnsi="Gill Sans MT"/>
        </w:rPr>
        <w:t>representation</w:t>
      </w:r>
      <w:r w:rsidR="00667B32">
        <w:rPr>
          <w:rFonts w:ascii="Gill Sans MT" w:hAnsi="Gill Sans MT"/>
        </w:rPr>
        <w:t xml:space="preserve">; (ii) </w:t>
      </w:r>
      <w:r w:rsidR="00D97C9F">
        <w:rPr>
          <w:rFonts w:ascii="Gill Sans MT" w:hAnsi="Gill Sans MT"/>
        </w:rPr>
        <w:t xml:space="preserve">legislating; (iii) </w:t>
      </w:r>
      <w:r w:rsidR="004D1684">
        <w:rPr>
          <w:rFonts w:ascii="Gill Sans MT" w:hAnsi="Gill Sans MT"/>
        </w:rPr>
        <w:t>scrutiny</w:t>
      </w:r>
      <w:r w:rsidR="00667B32">
        <w:rPr>
          <w:rFonts w:ascii="Gill Sans MT" w:hAnsi="Gill Sans MT"/>
        </w:rPr>
        <w:t xml:space="preserve">; (iv) </w:t>
      </w:r>
      <w:r w:rsidR="00D97C9F">
        <w:rPr>
          <w:rFonts w:ascii="Gill Sans MT" w:hAnsi="Gill Sans MT"/>
        </w:rPr>
        <w:t xml:space="preserve">debating; (v) </w:t>
      </w:r>
      <w:r w:rsidR="00667B32">
        <w:rPr>
          <w:rFonts w:ascii="Gill Sans MT" w:hAnsi="Gill Sans MT"/>
        </w:rPr>
        <w:t xml:space="preserve">producing, sustaining, and holding a government to account; </w:t>
      </w:r>
      <w:r w:rsidR="00D97C9F">
        <w:rPr>
          <w:rFonts w:ascii="Gill Sans MT" w:hAnsi="Gill Sans MT"/>
        </w:rPr>
        <w:t xml:space="preserve">and </w:t>
      </w:r>
      <w:r w:rsidR="00667B32">
        <w:rPr>
          <w:rFonts w:ascii="Gill Sans MT" w:hAnsi="Gill Sans MT"/>
        </w:rPr>
        <w:t>(v</w:t>
      </w:r>
      <w:r w:rsidR="00D97C9F">
        <w:rPr>
          <w:rFonts w:ascii="Gill Sans MT" w:hAnsi="Gill Sans MT"/>
        </w:rPr>
        <w:t>i</w:t>
      </w:r>
      <w:r w:rsidR="00667B32">
        <w:rPr>
          <w:rFonts w:ascii="Gill Sans MT" w:hAnsi="Gill Sans MT"/>
        </w:rPr>
        <w:t xml:space="preserve">) legitimisation of the wider </w:t>
      </w:r>
      <w:r w:rsidR="007E1AF0">
        <w:rPr>
          <w:rFonts w:ascii="Gill Sans MT" w:hAnsi="Gill Sans MT"/>
        </w:rPr>
        <w:t>constitutional</w:t>
      </w:r>
      <w:r w:rsidR="00667B32">
        <w:rPr>
          <w:rFonts w:ascii="Gill Sans MT" w:hAnsi="Gill Sans MT"/>
        </w:rPr>
        <w:t xml:space="preserve"> system.</w:t>
      </w:r>
      <w:r w:rsidR="00CC7B12">
        <w:rPr>
          <w:rFonts w:ascii="Gill Sans MT" w:hAnsi="Gill Sans MT"/>
        </w:rPr>
        <w:t xml:space="preserve">  </w:t>
      </w:r>
      <w:r w:rsidR="004F3E82">
        <w:rPr>
          <w:rFonts w:ascii="Gill Sans MT" w:hAnsi="Gill Sans MT"/>
        </w:rPr>
        <w:t xml:space="preserve">The process of development of these functions was not </w:t>
      </w:r>
      <w:r w:rsidR="00CC7B12">
        <w:rPr>
          <w:rFonts w:ascii="Gill Sans MT" w:hAnsi="Gill Sans MT"/>
        </w:rPr>
        <w:t>a</w:t>
      </w:r>
      <w:r w:rsidR="004F3E82">
        <w:rPr>
          <w:rFonts w:ascii="Gill Sans MT" w:hAnsi="Gill Sans MT"/>
        </w:rPr>
        <w:t>n</w:t>
      </w:r>
      <w:r w:rsidR="00CC7B12">
        <w:rPr>
          <w:rFonts w:ascii="Gill Sans MT" w:hAnsi="Gill Sans MT"/>
        </w:rPr>
        <w:t xml:space="preserve"> inevitable or smooth evolution – rather, </w:t>
      </w:r>
      <w:r w:rsidR="004F3E82">
        <w:rPr>
          <w:rFonts w:ascii="Gill Sans MT" w:hAnsi="Gill Sans MT"/>
        </w:rPr>
        <w:t xml:space="preserve">the various functions had </w:t>
      </w:r>
      <w:r w:rsidR="00696936">
        <w:rPr>
          <w:rFonts w:ascii="Gill Sans MT" w:hAnsi="Gill Sans MT"/>
        </w:rPr>
        <w:t>disparate</w:t>
      </w:r>
      <w:r w:rsidR="00CC7B12">
        <w:rPr>
          <w:rFonts w:ascii="Gill Sans MT" w:hAnsi="Gill Sans MT"/>
        </w:rPr>
        <w:t>, historical roots.</w:t>
      </w:r>
    </w:p>
    <w:p w14:paraId="47D29C94" w14:textId="7247D785" w:rsidR="001850B8" w:rsidRDefault="0077234C" w:rsidP="001137EA">
      <w:pPr>
        <w:spacing w:after="0" w:line="360" w:lineRule="auto"/>
        <w:ind w:firstLine="720"/>
        <w:jc w:val="both"/>
        <w:rPr>
          <w:rFonts w:ascii="Gill Sans MT" w:hAnsi="Gill Sans MT"/>
        </w:rPr>
      </w:pPr>
      <w:r>
        <w:rPr>
          <w:rFonts w:ascii="Gill Sans MT" w:hAnsi="Gill Sans MT"/>
        </w:rPr>
        <w:t>The first of a legislature’s functions is</w:t>
      </w:r>
      <w:r w:rsidR="001D4C8E" w:rsidRPr="001D4C8E">
        <w:rPr>
          <w:rFonts w:ascii="Gill Sans MT" w:hAnsi="Gill Sans MT"/>
        </w:rPr>
        <w:t xml:space="preserve"> representation</w:t>
      </w:r>
      <w:r>
        <w:rPr>
          <w:rFonts w:ascii="Gill Sans MT" w:hAnsi="Gill Sans MT"/>
        </w:rPr>
        <w:t>.  This has been clear since the very</w:t>
      </w:r>
      <w:r w:rsidR="001D4C8E" w:rsidRPr="001D4C8E">
        <w:rPr>
          <w:rFonts w:ascii="Gill Sans MT" w:hAnsi="Gill Sans MT"/>
        </w:rPr>
        <w:t xml:space="preserve"> </w:t>
      </w:r>
      <w:r w:rsidR="00C328B0">
        <w:rPr>
          <w:rFonts w:ascii="Gill Sans MT" w:hAnsi="Gill Sans MT"/>
        </w:rPr>
        <w:t>earl</w:t>
      </w:r>
      <w:r>
        <w:rPr>
          <w:rFonts w:ascii="Gill Sans MT" w:hAnsi="Gill Sans MT"/>
        </w:rPr>
        <w:t xml:space="preserve">iest </w:t>
      </w:r>
      <w:r w:rsidR="00C328B0">
        <w:rPr>
          <w:rFonts w:ascii="Gill Sans MT" w:hAnsi="Gill Sans MT"/>
        </w:rPr>
        <w:t xml:space="preserve">Parliaments </w:t>
      </w:r>
      <w:r>
        <w:rPr>
          <w:rFonts w:ascii="Gill Sans MT" w:hAnsi="Gill Sans MT"/>
        </w:rPr>
        <w:t xml:space="preserve">in England.  The legislature provides a forum in which a range of interests can be represented </w:t>
      </w:r>
      <w:r w:rsidR="003940CE">
        <w:rPr>
          <w:rFonts w:ascii="Gill Sans MT" w:hAnsi="Gill Sans MT"/>
        </w:rPr>
        <w:t>to attempt</w:t>
      </w:r>
      <w:r>
        <w:rPr>
          <w:rFonts w:ascii="Gill Sans MT" w:hAnsi="Gill Sans MT"/>
        </w:rPr>
        <w:t xml:space="preserve"> to influence political decision-making.  In the earliest manifestations of legislatures, we see the representation of the interests of the aristocracy to the monarch.  </w:t>
      </w:r>
      <w:r w:rsidR="00B456B4">
        <w:rPr>
          <w:rFonts w:ascii="Gill Sans MT" w:hAnsi="Gill Sans MT"/>
        </w:rPr>
        <w:t>Simon de Montfort’s Parliament between January and March 1265</w:t>
      </w:r>
      <w:r w:rsidR="00EA2E1A">
        <w:rPr>
          <w:rFonts w:ascii="Gill Sans MT" w:hAnsi="Gill Sans MT"/>
        </w:rPr>
        <w:t xml:space="preserve"> is generally regarded as the </w:t>
      </w:r>
      <w:r w:rsidR="00997904">
        <w:rPr>
          <w:rFonts w:ascii="Gill Sans MT" w:hAnsi="Gill Sans MT"/>
        </w:rPr>
        <w:t xml:space="preserve">first </w:t>
      </w:r>
      <w:r w:rsidR="00EA2E1A">
        <w:rPr>
          <w:rFonts w:ascii="Gill Sans MT" w:hAnsi="Gill Sans MT"/>
        </w:rPr>
        <w:t xml:space="preserve">assembly which </w:t>
      </w:r>
      <w:r w:rsidR="00997904">
        <w:rPr>
          <w:rFonts w:ascii="Gill Sans MT" w:hAnsi="Gill Sans MT"/>
        </w:rPr>
        <w:t>exhibited characteristics</w:t>
      </w:r>
      <w:r w:rsidR="00EA2E1A">
        <w:rPr>
          <w:rFonts w:ascii="Gill Sans MT" w:hAnsi="Gill Sans MT"/>
        </w:rPr>
        <w:t xml:space="preserve"> </w:t>
      </w:r>
      <w:r w:rsidR="00997904">
        <w:rPr>
          <w:rFonts w:ascii="Gill Sans MT" w:hAnsi="Gill Sans MT"/>
        </w:rPr>
        <w:t xml:space="preserve">of a modern legislature.  It </w:t>
      </w:r>
      <w:r w:rsidR="00B456B4">
        <w:rPr>
          <w:rFonts w:ascii="Gill Sans MT" w:hAnsi="Gill Sans MT"/>
        </w:rPr>
        <w:t xml:space="preserve">followed attempts to impose limits on the power of King Henry III, </w:t>
      </w:r>
      <w:r w:rsidR="00997904">
        <w:rPr>
          <w:rFonts w:ascii="Gill Sans MT" w:hAnsi="Gill Sans MT"/>
        </w:rPr>
        <w:t xml:space="preserve">to provide a means through which the </w:t>
      </w:r>
      <w:r w:rsidR="00B456B4">
        <w:rPr>
          <w:rFonts w:ascii="Gill Sans MT" w:hAnsi="Gill Sans MT"/>
        </w:rPr>
        <w:t xml:space="preserve">consent of barons </w:t>
      </w:r>
      <w:r w:rsidR="00997904">
        <w:rPr>
          <w:rFonts w:ascii="Gill Sans MT" w:hAnsi="Gill Sans MT"/>
        </w:rPr>
        <w:t xml:space="preserve">could be required </w:t>
      </w:r>
      <w:r w:rsidR="00B456B4">
        <w:rPr>
          <w:rFonts w:ascii="Gill Sans MT" w:hAnsi="Gill Sans MT"/>
        </w:rPr>
        <w:t xml:space="preserve">for raising revenue through taxes.  </w:t>
      </w:r>
      <w:r w:rsidR="00997904">
        <w:rPr>
          <w:rFonts w:ascii="Gill Sans MT" w:hAnsi="Gill Sans MT"/>
        </w:rPr>
        <w:t xml:space="preserve">The principle that taxation </w:t>
      </w:r>
      <w:r w:rsidR="00B91D05">
        <w:rPr>
          <w:rFonts w:ascii="Gill Sans MT" w:hAnsi="Gill Sans MT"/>
        </w:rPr>
        <w:t>required representation</w:t>
      </w:r>
      <w:r w:rsidR="00997904">
        <w:rPr>
          <w:rFonts w:ascii="Gill Sans MT" w:hAnsi="Gill Sans MT"/>
        </w:rPr>
        <w:t xml:space="preserve"> had emerged in Magna Carta </w:t>
      </w:r>
      <w:r w:rsidR="00FA685F">
        <w:rPr>
          <w:rFonts w:ascii="Gill Sans MT" w:hAnsi="Gill Sans MT"/>
        </w:rPr>
        <w:t xml:space="preserve">in </w:t>
      </w:r>
      <w:r w:rsidR="00997904">
        <w:rPr>
          <w:rFonts w:ascii="Gill Sans MT" w:hAnsi="Gill Sans MT"/>
        </w:rPr>
        <w:t xml:space="preserve">1215, </w:t>
      </w:r>
      <w:r w:rsidR="00FA685F">
        <w:rPr>
          <w:rFonts w:ascii="Gill Sans MT" w:hAnsi="Gill Sans MT"/>
        </w:rPr>
        <w:t xml:space="preserve">which </w:t>
      </w:r>
      <w:r w:rsidR="00B91D05">
        <w:rPr>
          <w:rFonts w:ascii="Gill Sans MT" w:hAnsi="Gill Sans MT"/>
        </w:rPr>
        <w:t xml:space="preserve">leading barons </w:t>
      </w:r>
      <w:r w:rsidR="00FA685F">
        <w:rPr>
          <w:rFonts w:ascii="Gill Sans MT" w:hAnsi="Gill Sans MT"/>
        </w:rPr>
        <w:t xml:space="preserve">created </w:t>
      </w:r>
      <w:r w:rsidR="00B91D05">
        <w:rPr>
          <w:rFonts w:ascii="Gill Sans MT" w:hAnsi="Gill Sans MT"/>
        </w:rPr>
        <w:t>to impose constraints on King John.</w:t>
      </w:r>
      <w:r w:rsidR="004A380B">
        <w:rPr>
          <w:rStyle w:val="FootnoteReference"/>
          <w:rFonts w:ascii="Gill Sans MT" w:hAnsi="Gill Sans MT"/>
        </w:rPr>
        <w:footnoteReference w:id="5"/>
      </w:r>
      <w:r w:rsidR="00B91D05">
        <w:rPr>
          <w:rFonts w:ascii="Gill Sans MT" w:hAnsi="Gill Sans MT"/>
        </w:rPr>
        <w:t xml:space="preserve">  The de </w:t>
      </w:r>
      <w:r w:rsidR="00B91D05">
        <w:rPr>
          <w:rFonts w:ascii="Gill Sans MT" w:hAnsi="Gill Sans MT"/>
        </w:rPr>
        <w:lastRenderedPageBreak/>
        <w:t>Montfort</w:t>
      </w:r>
      <w:r w:rsidR="00B456B4">
        <w:rPr>
          <w:rFonts w:ascii="Gill Sans MT" w:hAnsi="Gill Sans MT"/>
        </w:rPr>
        <w:t xml:space="preserve"> Parliament </w:t>
      </w:r>
      <w:r w:rsidR="00646526">
        <w:rPr>
          <w:rFonts w:ascii="Gill Sans MT" w:hAnsi="Gill Sans MT"/>
        </w:rPr>
        <w:t xml:space="preserve">took this idea further, </w:t>
      </w:r>
      <w:r w:rsidR="00B456B4">
        <w:rPr>
          <w:rFonts w:ascii="Gill Sans MT" w:hAnsi="Gill Sans MT"/>
        </w:rPr>
        <w:t>with wider representation and scop</w:t>
      </w:r>
      <w:r w:rsidR="00646526">
        <w:rPr>
          <w:rFonts w:ascii="Gill Sans MT" w:hAnsi="Gill Sans MT"/>
        </w:rPr>
        <w:t xml:space="preserve">e:  it included representatives from </w:t>
      </w:r>
      <w:r w:rsidR="00B456B4">
        <w:rPr>
          <w:rFonts w:ascii="Gill Sans MT" w:hAnsi="Gill Sans MT"/>
        </w:rPr>
        <w:t xml:space="preserve">cities, boroughs, knights from counties, </w:t>
      </w:r>
      <w:r w:rsidR="00646526">
        <w:rPr>
          <w:rFonts w:ascii="Gill Sans MT" w:hAnsi="Gill Sans MT"/>
        </w:rPr>
        <w:t xml:space="preserve">and considered </w:t>
      </w:r>
      <w:r w:rsidR="00B456B4">
        <w:rPr>
          <w:rFonts w:ascii="Gill Sans MT" w:hAnsi="Gill Sans MT"/>
        </w:rPr>
        <w:t>issues beyond taxation.</w:t>
      </w:r>
      <w:r w:rsidR="004A380B">
        <w:rPr>
          <w:rStyle w:val="FootnoteReference"/>
          <w:rFonts w:ascii="Gill Sans MT" w:hAnsi="Gill Sans MT"/>
        </w:rPr>
        <w:footnoteReference w:id="6"/>
      </w:r>
      <w:r w:rsidR="00B456B4">
        <w:rPr>
          <w:rFonts w:ascii="Gill Sans MT" w:hAnsi="Gill Sans MT"/>
        </w:rPr>
        <w:t xml:space="preserve">  </w:t>
      </w:r>
      <w:r w:rsidR="004A380B">
        <w:rPr>
          <w:rFonts w:ascii="Gill Sans MT" w:hAnsi="Gill Sans MT"/>
        </w:rPr>
        <w:t xml:space="preserve">In this way, the de Montfort Parliament </w:t>
      </w:r>
      <w:r w:rsidR="00FA685F">
        <w:rPr>
          <w:rFonts w:ascii="Gill Sans MT" w:hAnsi="Gill Sans MT"/>
        </w:rPr>
        <w:t xml:space="preserve">could </w:t>
      </w:r>
      <w:r w:rsidR="004A380B">
        <w:rPr>
          <w:rFonts w:ascii="Gill Sans MT" w:hAnsi="Gill Sans MT"/>
        </w:rPr>
        <w:t xml:space="preserve">be viewed as </w:t>
      </w:r>
      <w:r w:rsidR="00B456B4">
        <w:rPr>
          <w:rFonts w:ascii="Gill Sans MT" w:hAnsi="Gill Sans MT"/>
        </w:rPr>
        <w:t xml:space="preserve">a potential precursor to the House of Commons – </w:t>
      </w:r>
      <w:r w:rsidR="00490D2B">
        <w:rPr>
          <w:rFonts w:ascii="Gill Sans MT" w:hAnsi="Gill Sans MT"/>
        </w:rPr>
        <w:t xml:space="preserve">it established </w:t>
      </w:r>
      <w:r w:rsidR="00B456B4">
        <w:rPr>
          <w:rFonts w:ascii="Gill Sans MT" w:hAnsi="Gill Sans MT"/>
        </w:rPr>
        <w:t>representation of interests beyond the Anglo-Saxon Witan</w:t>
      </w:r>
      <w:r w:rsidR="00490D2B">
        <w:rPr>
          <w:rFonts w:ascii="Gill Sans MT" w:hAnsi="Gill Sans MT"/>
        </w:rPr>
        <w:t xml:space="preserve"> of the 11</w:t>
      </w:r>
      <w:r w:rsidR="00490D2B" w:rsidRPr="00490D2B">
        <w:rPr>
          <w:rFonts w:ascii="Gill Sans MT" w:hAnsi="Gill Sans MT"/>
          <w:vertAlign w:val="superscript"/>
        </w:rPr>
        <w:t>th</w:t>
      </w:r>
      <w:r w:rsidR="00490D2B">
        <w:rPr>
          <w:rFonts w:ascii="Gill Sans MT" w:hAnsi="Gill Sans MT"/>
        </w:rPr>
        <w:t xml:space="preserve"> century</w:t>
      </w:r>
      <w:r w:rsidR="00B456B4">
        <w:rPr>
          <w:rFonts w:ascii="Gill Sans MT" w:hAnsi="Gill Sans MT"/>
        </w:rPr>
        <w:t xml:space="preserve">, or the King in Council, which were intended to advise the Crown and solidify royal power.  </w:t>
      </w:r>
      <w:r w:rsidR="00FA685F">
        <w:rPr>
          <w:rFonts w:ascii="Gill Sans MT" w:hAnsi="Gill Sans MT"/>
        </w:rPr>
        <w:t xml:space="preserve">Representation </w:t>
      </w:r>
      <w:r w:rsidR="00C679BB">
        <w:rPr>
          <w:rFonts w:ascii="Gill Sans MT" w:hAnsi="Gill Sans MT"/>
        </w:rPr>
        <w:t>was further regularised in the ‘</w:t>
      </w:r>
      <w:r w:rsidR="00B456B4">
        <w:rPr>
          <w:rFonts w:ascii="Gill Sans MT" w:hAnsi="Gill Sans MT"/>
        </w:rPr>
        <w:t>Model Parliament</w:t>
      </w:r>
      <w:r w:rsidR="00C679BB">
        <w:rPr>
          <w:rFonts w:ascii="Gill Sans MT" w:hAnsi="Gill Sans MT"/>
        </w:rPr>
        <w:t>’</w:t>
      </w:r>
      <w:r w:rsidR="00B456B4">
        <w:rPr>
          <w:rFonts w:ascii="Gill Sans MT" w:hAnsi="Gill Sans MT"/>
        </w:rPr>
        <w:t xml:space="preserve"> of Edward I</w:t>
      </w:r>
      <w:r w:rsidR="00C679BB">
        <w:rPr>
          <w:rFonts w:ascii="Gill Sans MT" w:hAnsi="Gill Sans MT"/>
        </w:rPr>
        <w:t xml:space="preserve">, </w:t>
      </w:r>
      <w:r w:rsidR="00B73418">
        <w:rPr>
          <w:rFonts w:ascii="Gill Sans MT" w:hAnsi="Gill Sans MT"/>
        </w:rPr>
        <w:t>which was composed of</w:t>
      </w:r>
      <w:r w:rsidR="00C679BB">
        <w:rPr>
          <w:rFonts w:ascii="Gill Sans MT" w:hAnsi="Gill Sans MT"/>
        </w:rPr>
        <w:t xml:space="preserve"> </w:t>
      </w:r>
      <w:r w:rsidR="00F55C04">
        <w:rPr>
          <w:rFonts w:ascii="Gill Sans MT" w:hAnsi="Gill Sans MT"/>
        </w:rPr>
        <w:t>two knights per county and two burgesses per town</w:t>
      </w:r>
      <w:r w:rsidR="00B73418">
        <w:rPr>
          <w:rFonts w:ascii="Gill Sans MT" w:hAnsi="Gill Sans MT"/>
        </w:rPr>
        <w:t>,</w:t>
      </w:r>
      <w:r w:rsidR="00F55C04">
        <w:rPr>
          <w:rFonts w:ascii="Gill Sans MT" w:hAnsi="Gill Sans MT"/>
        </w:rPr>
        <w:t xml:space="preserve"> driven by</w:t>
      </w:r>
      <w:r w:rsidR="00B73418">
        <w:rPr>
          <w:rFonts w:ascii="Gill Sans MT" w:hAnsi="Gill Sans MT"/>
        </w:rPr>
        <w:t xml:space="preserve"> the</w:t>
      </w:r>
      <w:r w:rsidR="00F55C04">
        <w:rPr>
          <w:rFonts w:ascii="Gill Sans MT" w:hAnsi="Gill Sans MT"/>
        </w:rPr>
        <w:t xml:space="preserve"> need for representation to</w:t>
      </w:r>
      <w:r w:rsidR="00B2514F">
        <w:rPr>
          <w:rFonts w:ascii="Gill Sans MT" w:hAnsi="Gill Sans MT"/>
        </w:rPr>
        <w:t xml:space="preserve"> gain</w:t>
      </w:r>
      <w:r w:rsidR="00F55C04">
        <w:rPr>
          <w:rFonts w:ascii="Gill Sans MT" w:hAnsi="Gill Sans MT"/>
        </w:rPr>
        <w:t xml:space="preserve"> consent </w:t>
      </w:r>
      <w:r w:rsidR="00B2514F">
        <w:rPr>
          <w:rFonts w:ascii="Gill Sans MT" w:hAnsi="Gill Sans MT"/>
        </w:rPr>
        <w:t>for</w:t>
      </w:r>
      <w:r w:rsidR="00F55C04">
        <w:rPr>
          <w:rFonts w:ascii="Gill Sans MT" w:hAnsi="Gill Sans MT"/>
        </w:rPr>
        <w:t xml:space="preserve"> taxation </w:t>
      </w:r>
      <w:r w:rsidR="00B73418">
        <w:rPr>
          <w:rFonts w:ascii="Gill Sans MT" w:hAnsi="Gill Sans MT"/>
        </w:rPr>
        <w:t>in</w:t>
      </w:r>
      <w:r w:rsidR="00F55C04">
        <w:rPr>
          <w:rFonts w:ascii="Gill Sans MT" w:hAnsi="Gill Sans MT"/>
        </w:rPr>
        <w:t xml:space="preserve"> support </w:t>
      </w:r>
      <w:r w:rsidR="00B73418">
        <w:rPr>
          <w:rFonts w:ascii="Gill Sans MT" w:hAnsi="Gill Sans MT"/>
        </w:rPr>
        <w:t xml:space="preserve">of </w:t>
      </w:r>
      <w:r w:rsidR="00F55C04">
        <w:rPr>
          <w:rFonts w:ascii="Gill Sans MT" w:hAnsi="Gill Sans MT"/>
        </w:rPr>
        <w:t>war.</w:t>
      </w:r>
      <w:r w:rsidR="001C71CF">
        <w:rPr>
          <w:rStyle w:val="FootnoteReference"/>
          <w:rFonts w:ascii="Gill Sans MT" w:hAnsi="Gill Sans MT"/>
        </w:rPr>
        <w:footnoteReference w:id="7"/>
      </w:r>
      <w:r w:rsidR="00F55C04">
        <w:rPr>
          <w:rFonts w:ascii="Gill Sans MT" w:hAnsi="Gill Sans MT"/>
        </w:rPr>
        <w:t xml:space="preserve">  </w:t>
      </w:r>
      <w:r w:rsidR="007D38FA">
        <w:rPr>
          <w:rFonts w:ascii="Gill Sans MT" w:hAnsi="Gill Sans MT"/>
        </w:rPr>
        <w:t>The pattern of representation for the modern tripartite legislatur</w:t>
      </w:r>
      <w:r w:rsidR="00FA685F">
        <w:rPr>
          <w:rFonts w:ascii="Gill Sans MT" w:hAnsi="Gill Sans MT"/>
        </w:rPr>
        <w:t xml:space="preserve">e combining </w:t>
      </w:r>
      <w:r w:rsidR="007D38FA">
        <w:rPr>
          <w:rFonts w:ascii="Gill Sans MT" w:hAnsi="Gill Sans MT"/>
        </w:rPr>
        <w:t xml:space="preserve">Crown, Lords, </w:t>
      </w:r>
      <w:r w:rsidR="002043F6">
        <w:rPr>
          <w:rFonts w:ascii="Gill Sans MT" w:hAnsi="Gill Sans MT"/>
        </w:rPr>
        <w:t xml:space="preserve">and an increasingly independent </w:t>
      </w:r>
      <w:r w:rsidR="007D38FA">
        <w:rPr>
          <w:rFonts w:ascii="Gill Sans MT" w:hAnsi="Gill Sans MT"/>
        </w:rPr>
        <w:t xml:space="preserve">Commons </w:t>
      </w:r>
      <w:r w:rsidR="002043F6">
        <w:rPr>
          <w:rFonts w:ascii="Gill Sans MT" w:hAnsi="Gill Sans MT"/>
        </w:rPr>
        <w:t>developed</w:t>
      </w:r>
      <w:r w:rsidR="007D38FA">
        <w:rPr>
          <w:rFonts w:ascii="Gill Sans MT" w:hAnsi="Gill Sans MT"/>
        </w:rPr>
        <w:t xml:space="preserve"> </w:t>
      </w:r>
      <w:r w:rsidR="002043F6">
        <w:rPr>
          <w:rFonts w:ascii="Gill Sans MT" w:hAnsi="Gill Sans MT"/>
        </w:rPr>
        <w:t xml:space="preserve">under Edward II, </w:t>
      </w:r>
      <w:r w:rsidR="007A70E0">
        <w:rPr>
          <w:rFonts w:ascii="Gill Sans MT" w:hAnsi="Gill Sans MT"/>
        </w:rPr>
        <w:t xml:space="preserve">and </w:t>
      </w:r>
      <w:r w:rsidR="00004216">
        <w:rPr>
          <w:rFonts w:ascii="Gill Sans MT" w:hAnsi="Gill Sans MT"/>
        </w:rPr>
        <w:t xml:space="preserve">even if the Commons were not then formally ‘members’ of Parliament, </w:t>
      </w:r>
      <w:r w:rsidR="007A70E0">
        <w:rPr>
          <w:rFonts w:ascii="Gill Sans MT" w:hAnsi="Gill Sans MT"/>
        </w:rPr>
        <w:t xml:space="preserve">the basic existence of this framework </w:t>
      </w:r>
      <w:r w:rsidR="002043F6">
        <w:rPr>
          <w:rFonts w:ascii="Gill Sans MT" w:hAnsi="Gill Sans MT"/>
        </w:rPr>
        <w:t xml:space="preserve">seemed </w:t>
      </w:r>
      <w:r w:rsidR="007A70E0">
        <w:rPr>
          <w:rFonts w:ascii="Gill Sans MT" w:hAnsi="Gill Sans MT"/>
        </w:rPr>
        <w:t xml:space="preserve">broadly </w:t>
      </w:r>
      <w:r w:rsidR="002043F6">
        <w:rPr>
          <w:rFonts w:ascii="Gill Sans MT" w:hAnsi="Gill Sans MT"/>
        </w:rPr>
        <w:t>established by the end of his reign in</w:t>
      </w:r>
      <w:r w:rsidR="007D38FA">
        <w:rPr>
          <w:rFonts w:ascii="Gill Sans MT" w:hAnsi="Gill Sans MT"/>
        </w:rPr>
        <w:t xml:space="preserve"> 1327</w:t>
      </w:r>
      <w:r w:rsidR="00F55C04">
        <w:rPr>
          <w:rFonts w:ascii="Gill Sans MT" w:hAnsi="Gill Sans MT"/>
        </w:rPr>
        <w:t>.</w:t>
      </w:r>
      <w:r w:rsidR="002043F6">
        <w:rPr>
          <w:rStyle w:val="FootnoteReference"/>
          <w:rFonts w:ascii="Gill Sans MT" w:hAnsi="Gill Sans MT"/>
        </w:rPr>
        <w:footnoteReference w:id="8"/>
      </w:r>
      <w:r w:rsidR="002043F6">
        <w:rPr>
          <w:rFonts w:ascii="Gill Sans MT" w:hAnsi="Gill Sans MT"/>
        </w:rPr>
        <w:t xml:space="preserve">  </w:t>
      </w:r>
      <w:r w:rsidR="00FA685F">
        <w:rPr>
          <w:rFonts w:ascii="Gill Sans MT" w:hAnsi="Gill Sans MT"/>
        </w:rPr>
        <w:t xml:space="preserve">The </w:t>
      </w:r>
      <w:r w:rsidR="002043F6">
        <w:rPr>
          <w:rFonts w:ascii="Gill Sans MT" w:hAnsi="Gill Sans MT"/>
        </w:rPr>
        <w:t xml:space="preserve">representative function has been </w:t>
      </w:r>
      <w:r w:rsidR="00FA685F">
        <w:rPr>
          <w:rFonts w:ascii="Gill Sans MT" w:hAnsi="Gill Sans MT"/>
        </w:rPr>
        <w:t>a central parliamentary function</w:t>
      </w:r>
      <w:r w:rsidR="002043F6">
        <w:rPr>
          <w:rFonts w:ascii="Gill Sans MT" w:hAnsi="Gill Sans MT"/>
        </w:rPr>
        <w:t xml:space="preserve"> through</w:t>
      </w:r>
      <w:r w:rsidR="00EA7C6A">
        <w:rPr>
          <w:rFonts w:ascii="Gill Sans MT" w:hAnsi="Gill Sans MT"/>
        </w:rPr>
        <w:t>out</w:t>
      </w:r>
      <w:r w:rsidR="002043F6">
        <w:rPr>
          <w:rFonts w:ascii="Gill Sans MT" w:hAnsi="Gill Sans MT"/>
        </w:rPr>
        <w:t xml:space="preserve"> the UK’s history.  </w:t>
      </w:r>
      <w:r w:rsidR="00405168" w:rsidRPr="00EA7C6A">
        <w:rPr>
          <w:rFonts w:ascii="Gill Sans MT" w:hAnsi="Gill Sans MT"/>
        </w:rPr>
        <w:t xml:space="preserve">For </w:t>
      </w:r>
      <w:proofErr w:type="spellStart"/>
      <w:r w:rsidR="00405168" w:rsidRPr="00EA7C6A">
        <w:rPr>
          <w:rFonts w:ascii="Gill Sans MT" w:hAnsi="Gill Sans MT"/>
        </w:rPr>
        <w:t>Maddicott</w:t>
      </w:r>
      <w:proofErr w:type="spellEnd"/>
      <w:r w:rsidR="00405168" w:rsidRPr="00EA7C6A">
        <w:rPr>
          <w:rFonts w:ascii="Gill Sans MT" w:hAnsi="Gill Sans MT"/>
        </w:rPr>
        <w:t>, Parliament in the Middle Ages had ‘long been’ a ‘</w:t>
      </w:r>
      <w:r w:rsidR="00405168" w:rsidRPr="00EA7C6A">
        <w:rPr>
          <w:rFonts w:ascii="Gill Sans MT" w:hAnsi="Gill Sans MT"/>
          <w:color w:val="000000"/>
          <w:shd w:val="clear" w:color="auto" w:fill="FFFFFF"/>
        </w:rPr>
        <w:t>national occasion unique in providing </w:t>
      </w:r>
      <w:bookmarkStart w:id="1" w:name="p305"/>
      <w:bookmarkEnd w:id="1"/>
      <w:r w:rsidR="00405168" w:rsidRPr="00EA7C6A">
        <w:rPr>
          <w:rFonts w:ascii="Gill Sans MT" w:hAnsi="Gill Sans MT"/>
          <w:color w:val="000000"/>
          <w:shd w:val="clear" w:color="auto" w:fill="FFFFFF"/>
        </w:rPr>
        <w:t>a political focus for the whole community</w:t>
      </w:r>
      <w:r w:rsidR="00405168" w:rsidRPr="00EA7C6A">
        <w:rPr>
          <w:rFonts w:ascii="Gill Sans MT" w:hAnsi="Gill Sans MT"/>
        </w:rPr>
        <w:t>’.</w:t>
      </w:r>
      <w:r w:rsidR="00405168" w:rsidRPr="00EA7C6A">
        <w:rPr>
          <w:rStyle w:val="FootnoteReference"/>
          <w:rFonts w:ascii="Gill Sans MT" w:hAnsi="Gill Sans MT"/>
        </w:rPr>
        <w:footnoteReference w:id="9"/>
      </w:r>
      <w:r w:rsidR="00405168" w:rsidRPr="00EA7C6A">
        <w:rPr>
          <w:rFonts w:ascii="Gill Sans MT" w:hAnsi="Gill Sans MT"/>
        </w:rPr>
        <w:t xml:space="preserve"> And we can see a similar sentiment in Elton’s observation on the Tudor period</w:t>
      </w:r>
      <w:r w:rsidR="00FD7E9D" w:rsidRPr="00EA7C6A">
        <w:rPr>
          <w:rFonts w:ascii="Gill Sans MT" w:hAnsi="Gill Sans MT"/>
        </w:rPr>
        <w:t>: ‘Parliament, after all, was thought of as the image of the nation in common political action’</w:t>
      </w:r>
      <w:r w:rsidR="00405168" w:rsidRPr="00EA7C6A">
        <w:rPr>
          <w:rFonts w:ascii="Gill Sans MT" w:hAnsi="Gill Sans MT"/>
        </w:rPr>
        <w:t>.</w:t>
      </w:r>
      <w:r w:rsidR="00405168" w:rsidRPr="00EA7C6A">
        <w:rPr>
          <w:rStyle w:val="FootnoteReference"/>
          <w:rFonts w:ascii="Gill Sans MT" w:hAnsi="Gill Sans MT"/>
        </w:rPr>
        <w:footnoteReference w:id="10"/>
      </w:r>
    </w:p>
    <w:p w14:paraId="35609598" w14:textId="24B65573" w:rsidR="00796C13" w:rsidRPr="004760D5" w:rsidRDefault="00EA7C6A" w:rsidP="001137EA">
      <w:pPr>
        <w:spacing w:after="0" w:line="360" w:lineRule="auto"/>
        <w:ind w:firstLine="720"/>
        <w:jc w:val="both"/>
        <w:rPr>
          <w:rFonts w:ascii="Gill Sans MT" w:hAnsi="Gill Sans MT"/>
        </w:rPr>
      </w:pPr>
      <w:r>
        <w:rPr>
          <w:rFonts w:ascii="Gill Sans MT" w:hAnsi="Gill Sans MT"/>
        </w:rPr>
        <w:t>The second function of the legislature i</w:t>
      </w:r>
      <w:r w:rsidR="00A144EC">
        <w:rPr>
          <w:rFonts w:ascii="Gill Sans MT" w:hAnsi="Gill Sans MT"/>
        </w:rPr>
        <w:t xml:space="preserve">s to enact </w:t>
      </w:r>
      <w:r>
        <w:rPr>
          <w:rFonts w:ascii="Gill Sans MT" w:hAnsi="Gill Sans MT"/>
        </w:rPr>
        <w:t xml:space="preserve">legislation.  Based on its representative character, Parliament was an assembly which was needed to endorse decisions taken by the Crown, thereby strengthening royal authority.  The requirement that the Commons provided its assent to Bills, </w:t>
      </w:r>
      <w:r w:rsidR="00796C13">
        <w:rPr>
          <w:rFonts w:ascii="Gill Sans MT" w:hAnsi="Gill Sans MT"/>
        </w:rPr>
        <w:t>in addition to that of Crown and Lords</w:t>
      </w:r>
      <w:r>
        <w:rPr>
          <w:rFonts w:ascii="Gill Sans MT" w:hAnsi="Gill Sans MT"/>
        </w:rPr>
        <w:t xml:space="preserve">, </w:t>
      </w:r>
      <w:r w:rsidR="00CF78CE">
        <w:rPr>
          <w:rFonts w:ascii="Gill Sans MT" w:hAnsi="Gill Sans MT"/>
        </w:rPr>
        <w:t>is commonly thought to have been</w:t>
      </w:r>
      <w:r>
        <w:rPr>
          <w:rFonts w:ascii="Gill Sans MT" w:hAnsi="Gill Sans MT"/>
        </w:rPr>
        <w:t xml:space="preserve"> established by 1414 </w:t>
      </w:r>
      <w:r w:rsidR="00796C13">
        <w:rPr>
          <w:rFonts w:ascii="Gill Sans MT" w:hAnsi="Gill Sans MT"/>
        </w:rPr>
        <w:t>under Henry V</w:t>
      </w:r>
      <w:r w:rsidR="00501DC1">
        <w:rPr>
          <w:rFonts w:ascii="Gill Sans MT" w:hAnsi="Gill Sans MT"/>
        </w:rPr>
        <w:t>, when the Commons’ petitioned the King for full rights of assent to legislation</w:t>
      </w:r>
      <w:proofErr w:type="gramStart"/>
      <w:r w:rsidR="00501DC1">
        <w:rPr>
          <w:rFonts w:ascii="Gill Sans MT" w:hAnsi="Gill Sans MT"/>
        </w:rPr>
        <w:t>.</w:t>
      </w:r>
      <w:r w:rsidR="00796C13">
        <w:rPr>
          <w:rFonts w:ascii="Gill Sans MT" w:hAnsi="Gill Sans MT"/>
        </w:rPr>
        <w:t xml:space="preserve"> </w:t>
      </w:r>
      <w:proofErr w:type="gramEnd"/>
      <w:r w:rsidR="00DE4A2F">
        <w:rPr>
          <w:rFonts w:ascii="Gill Sans MT" w:hAnsi="Gill Sans MT"/>
        </w:rPr>
        <w:t>However, the King did not</w:t>
      </w:r>
      <w:r w:rsidR="005C3B2A">
        <w:rPr>
          <w:rFonts w:ascii="Gill Sans MT" w:hAnsi="Gill Sans MT"/>
        </w:rPr>
        <w:t xml:space="preserve"> consistently seek </w:t>
      </w:r>
      <w:r w:rsidR="00DE4A2F">
        <w:rPr>
          <w:rFonts w:ascii="Gill Sans MT" w:hAnsi="Gill Sans MT"/>
        </w:rPr>
        <w:t xml:space="preserve">the Commons’ </w:t>
      </w:r>
      <w:r w:rsidR="005C3B2A">
        <w:rPr>
          <w:rFonts w:ascii="Gill Sans MT" w:hAnsi="Gill Sans MT"/>
        </w:rPr>
        <w:t>positive assent</w:t>
      </w:r>
      <w:r w:rsidR="00DE4A2F">
        <w:rPr>
          <w:rFonts w:ascii="Gill Sans MT" w:hAnsi="Gill Sans MT"/>
        </w:rPr>
        <w:t xml:space="preserve"> throughout the 15</w:t>
      </w:r>
      <w:r w:rsidR="00DE4A2F" w:rsidRPr="00ED0896">
        <w:rPr>
          <w:rFonts w:ascii="Gill Sans MT" w:hAnsi="Gill Sans MT"/>
          <w:vertAlign w:val="superscript"/>
        </w:rPr>
        <w:t>th</w:t>
      </w:r>
      <w:r w:rsidR="00DE4A2F">
        <w:rPr>
          <w:rFonts w:ascii="Gill Sans MT" w:hAnsi="Gill Sans MT"/>
        </w:rPr>
        <w:t xml:space="preserve"> century</w:t>
      </w:r>
      <w:r w:rsidR="005C3B2A">
        <w:rPr>
          <w:rFonts w:ascii="Gill Sans MT" w:hAnsi="Gill Sans MT"/>
        </w:rPr>
        <w:t>,</w:t>
      </w:r>
      <w:r w:rsidR="00DE4A2F">
        <w:rPr>
          <w:rFonts w:ascii="Gill Sans MT" w:hAnsi="Gill Sans MT"/>
        </w:rPr>
        <w:t xml:space="preserve"> although</w:t>
      </w:r>
      <w:r w:rsidR="00CF78CE">
        <w:rPr>
          <w:rFonts w:ascii="Gill Sans MT" w:hAnsi="Gill Sans MT"/>
        </w:rPr>
        <w:t xml:space="preserve"> would not enact law contrary to the</w:t>
      </w:r>
      <w:r w:rsidR="00DE4A2F">
        <w:rPr>
          <w:rFonts w:ascii="Gill Sans MT" w:hAnsi="Gill Sans MT"/>
        </w:rPr>
        <w:t xml:space="preserve">ir </w:t>
      </w:r>
      <w:r w:rsidR="00501DC1">
        <w:rPr>
          <w:rFonts w:ascii="Gill Sans MT" w:hAnsi="Gill Sans MT"/>
        </w:rPr>
        <w:t xml:space="preserve">substantive </w:t>
      </w:r>
      <w:r w:rsidR="00CF78CE">
        <w:rPr>
          <w:rFonts w:ascii="Gill Sans MT" w:hAnsi="Gill Sans MT"/>
        </w:rPr>
        <w:t>pe</w:t>
      </w:r>
      <w:r w:rsidR="008917A5">
        <w:rPr>
          <w:rFonts w:ascii="Gill Sans MT" w:hAnsi="Gill Sans MT"/>
        </w:rPr>
        <w:t>titions.</w:t>
      </w:r>
      <w:r w:rsidR="008917A5">
        <w:rPr>
          <w:rStyle w:val="FootnoteReference"/>
          <w:rFonts w:ascii="Gill Sans MT" w:hAnsi="Gill Sans MT"/>
        </w:rPr>
        <w:footnoteReference w:id="11"/>
      </w:r>
      <w:r w:rsidR="008917A5">
        <w:rPr>
          <w:rFonts w:ascii="Gill Sans MT" w:hAnsi="Gill Sans MT"/>
        </w:rPr>
        <w:t xml:space="preserve">  </w:t>
      </w:r>
      <w:r w:rsidR="00DE4A2F">
        <w:rPr>
          <w:rFonts w:ascii="Gill Sans MT" w:hAnsi="Gill Sans MT"/>
        </w:rPr>
        <w:t>T</w:t>
      </w:r>
      <w:r w:rsidR="00866B42">
        <w:rPr>
          <w:rFonts w:ascii="Gill Sans MT" w:hAnsi="Gill Sans MT"/>
        </w:rPr>
        <w:t xml:space="preserve">he reliance of the Crown on Parliament when legislating was most vividly demonstrated during the </w:t>
      </w:r>
      <w:r w:rsidR="00796C13">
        <w:rPr>
          <w:rFonts w:ascii="Gill Sans MT" w:hAnsi="Gill Sans MT"/>
        </w:rPr>
        <w:t>Reformation</w:t>
      </w:r>
      <w:r w:rsidR="00866B42">
        <w:rPr>
          <w:rFonts w:ascii="Gill Sans MT" w:hAnsi="Gill Sans MT"/>
        </w:rPr>
        <w:t>.  This</w:t>
      </w:r>
      <w:r w:rsidR="00796C13">
        <w:rPr>
          <w:rFonts w:ascii="Gill Sans MT" w:hAnsi="Gill Sans MT"/>
        </w:rPr>
        <w:t xml:space="preserve"> Parliament</w:t>
      </w:r>
      <w:r w:rsidR="00866B42">
        <w:rPr>
          <w:rFonts w:ascii="Gill Sans MT" w:hAnsi="Gill Sans MT"/>
        </w:rPr>
        <w:t>, sitting under Henry VIII from</w:t>
      </w:r>
      <w:r w:rsidR="00796C13">
        <w:rPr>
          <w:rFonts w:ascii="Gill Sans MT" w:hAnsi="Gill Sans MT"/>
        </w:rPr>
        <w:t xml:space="preserve"> 1529 to 1536</w:t>
      </w:r>
      <w:r w:rsidR="00866B42">
        <w:rPr>
          <w:rFonts w:ascii="Gill Sans MT" w:hAnsi="Gill Sans MT"/>
        </w:rPr>
        <w:t>, enacted</w:t>
      </w:r>
      <w:r w:rsidR="00E70C6A">
        <w:rPr>
          <w:rFonts w:ascii="Gill Sans MT" w:hAnsi="Gill Sans MT"/>
        </w:rPr>
        <w:t xml:space="preserve"> a range of</w:t>
      </w:r>
      <w:r w:rsidR="00796C13">
        <w:rPr>
          <w:rFonts w:ascii="Gill Sans MT" w:hAnsi="Gill Sans MT"/>
        </w:rPr>
        <w:t xml:space="preserve"> legislation </w:t>
      </w:r>
      <w:r w:rsidR="003A31C4">
        <w:rPr>
          <w:rFonts w:ascii="Gill Sans MT" w:hAnsi="Gill Sans MT"/>
        </w:rPr>
        <w:t>altering</w:t>
      </w:r>
      <w:r w:rsidR="00796C13">
        <w:rPr>
          <w:rFonts w:ascii="Gill Sans MT" w:hAnsi="Gill Sans MT"/>
        </w:rPr>
        <w:t xml:space="preserve"> religious </w:t>
      </w:r>
      <w:r w:rsidR="003A31C4">
        <w:rPr>
          <w:rFonts w:ascii="Gill Sans MT" w:hAnsi="Gill Sans MT"/>
        </w:rPr>
        <w:t xml:space="preserve">doctrine and </w:t>
      </w:r>
      <w:r w:rsidR="00796C13">
        <w:rPr>
          <w:rFonts w:ascii="Gill Sans MT" w:hAnsi="Gill Sans MT"/>
        </w:rPr>
        <w:t>practice</w:t>
      </w:r>
      <w:r w:rsidR="003A31C4">
        <w:rPr>
          <w:rFonts w:ascii="Gill Sans MT" w:hAnsi="Gill Sans MT"/>
        </w:rPr>
        <w:t xml:space="preserve"> in fundamental ways</w:t>
      </w:r>
      <w:r w:rsidR="00796C13">
        <w:rPr>
          <w:rFonts w:ascii="Gill Sans MT" w:hAnsi="Gill Sans MT"/>
        </w:rPr>
        <w:t xml:space="preserve">, </w:t>
      </w:r>
      <w:r w:rsidR="003A31C4">
        <w:rPr>
          <w:rFonts w:ascii="Gill Sans MT" w:hAnsi="Gill Sans MT"/>
        </w:rPr>
        <w:t xml:space="preserve">and </w:t>
      </w:r>
      <w:r w:rsidR="00796C13">
        <w:rPr>
          <w:rFonts w:ascii="Gill Sans MT" w:hAnsi="Gill Sans MT"/>
        </w:rPr>
        <w:t xml:space="preserve">challenging the </w:t>
      </w:r>
      <w:r w:rsidR="003A31C4">
        <w:rPr>
          <w:rFonts w:ascii="Gill Sans MT" w:hAnsi="Gill Sans MT"/>
        </w:rPr>
        <w:t xml:space="preserve">established </w:t>
      </w:r>
      <w:r w:rsidR="00796C13">
        <w:rPr>
          <w:rFonts w:ascii="Gill Sans MT" w:hAnsi="Gill Sans MT"/>
        </w:rPr>
        <w:t>power of the</w:t>
      </w:r>
      <w:r w:rsidR="003A31C4">
        <w:rPr>
          <w:rFonts w:ascii="Gill Sans MT" w:hAnsi="Gill Sans MT"/>
        </w:rPr>
        <w:t xml:space="preserve"> Catholic</w:t>
      </w:r>
      <w:r w:rsidR="00796C13">
        <w:rPr>
          <w:rFonts w:ascii="Gill Sans MT" w:hAnsi="Gill Sans MT"/>
        </w:rPr>
        <w:t xml:space="preserve"> church.  </w:t>
      </w:r>
      <w:r w:rsidR="007B43B1">
        <w:rPr>
          <w:rFonts w:ascii="Gill Sans MT" w:hAnsi="Gill Sans MT"/>
        </w:rPr>
        <w:t>The authority of Parliament was e</w:t>
      </w:r>
      <w:r w:rsidR="003A31C4">
        <w:rPr>
          <w:rFonts w:ascii="Gill Sans MT" w:hAnsi="Gill Sans MT"/>
        </w:rPr>
        <w:t xml:space="preserve">ssential </w:t>
      </w:r>
      <w:r w:rsidR="007B43B1">
        <w:rPr>
          <w:rFonts w:ascii="Gill Sans MT" w:hAnsi="Gill Sans MT"/>
        </w:rPr>
        <w:t xml:space="preserve">to make such fundamental changes to the relationship between the </w:t>
      </w:r>
      <w:r w:rsidR="007B43B1" w:rsidRPr="007B43B1">
        <w:rPr>
          <w:rFonts w:ascii="Gill Sans MT" w:hAnsi="Gill Sans MT"/>
        </w:rPr>
        <w:t>state and the church.  For, as</w:t>
      </w:r>
      <w:r w:rsidR="003A31C4" w:rsidRPr="007B43B1">
        <w:rPr>
          <w:rFonts w:ascii="Gill Sans MT" w:hAnsi="Gill Sans MT"/>
        </w:rPr>
        <w:t xml:space="preserve"> Henry VIII</w:t>
      </w:r>
      <w:r w:rsidR="007B43B1" w:rsidRPr="007B43B1">
        <w:rPr>
          <w:rFonts w:ascii="Gill Sans MT" w:hAnsi="Gill Sans MT"/>
        </w:rPr>
        <w:t xml:space="preserve"> would claim in </w:t>
      </w:r>
      <w:r w:rsidR="007B43B1">
        <w:rPr>
          <w:rFonts w:ascii="Gill Sans MT" w:hAnsi="Gill Sans MT"/>
        </w:rPr>
        <w:t>1543</w:t>
      </w:r>
      <w:r w:rsidR="003A31C4" w:rsidRPr="007B43B1">
        <w:rPr>
          <w:rFonts w:ascii="Gill Sans MT" w:hAnsi="Gill Sans MT"/>
        </w:rPr>
        <w:t xml:space="preserve">: </w:t>
      </w:r>
      <w:r w:rsidR="003A31C4" w:rsidRPr="007B43B1">
        <w:rPr>
          <w:rFonts w:ascii="Gill Sans MT" w:hAnsi="Gill Sans MT"/>
          <w:color w:val="000000"/>
          <w:shd w:val="clear" w:color="auto" w:fill="FFFFFF"/>
        </w:rPr>
        <w:t>"We be informed by our judges that we at no time stand so highly in our estate royal as in the time of parliament</w:t>
      </w:r>
      <w:r w:rsidR="007B43B1">
        <w:rPr>
          <w:rFonts w:ascii="Gill Sans MT" w:hAnsi="Gill Sans MT"/>
          <w:color w:val="000000"/>
          <w:shd w:val="clear" w:color="auto" w:fill="FFFFFF"/>
        </w:rPr>
        <w:t xml:space="preserve">, wherein we as head and you as members are conjoined and knit together into one body </w:t>
      </w:r>
      <w:r w:rsidR="007B43B1">
        <w:rPr>
          <w:rFonts w:ascii="Gill Sans MT" w:hAnsi="Gill Sans MT"/>
          <w:color w:val="000000"/>
          <w:shd w:val="clear" w:color="auto" w:fill="FFFFFF"/>
        </w:rPr>
        <w:lastRenderedPageBreak/>
        <w:t>politic</w:t>
      </w:r>
      <w:r w:rsidR="003A31C4" w:rsidRPr="007B43B1">
        <w:rPr>
          <w:rFonts w:ascii="Gill Sans MT" w:hAnsi="Gill Sans MT"/>
          <w:color w:val="000000"/>
          <w:shd w:val="clear" w:color="auto" w:fill="FFFFFF"/>
        </w:rPr>
        <w:t>"</w:t>
      </w:r>
      <w:r w:rsidR="007B43B1" w:rsidRPr="007B43B1">
        <w:rPr>
          <w:rFonts w:ascii="Gill Sans MT" w:hAnsi="Gill Sans MT"/>
          <w:color w:val="000000"/>
          <w:shd w:val="clear" w:color="auto" w:fill="FFFFFF"/>
        </w:rPr>
        <w:t>.</w:t>
      </w:r>
      <w:r w:rsidR="007B43B1" w:rsidRPr="007B43B1">
        <w:rPr>
          <w:rStyle w:val="FootnoteReference"/>
          <w:rFonts w:ascii="Gill Sans MT" w:hAnsi="Gill Sans MT"/>
          <w:color w:val="000000"/>
          <w:shd w:val="clear" w:color="auto" w:fill="FFFFFF"/>
        </w:rPr>
        <w:footnoteReference w:id="12"/>
      </w:r>
      <w:r w:rsidR="007B43B1">
        <w:rPr>
          <w:rFonts w:ascii="Verdana" w:hAnsi="Verdana"/>
          <w:color w:val="000000"/>
          <w:sz w:val="19"/>
          <w:szCs w:val="19"/>
          <w:shd w:val="clear" w:color="auto" w:fill="FFFFFF"/>
        </w:rPr>
        <w:t xml:space="preserve">  </w:t>
      </w:r>
      <w:r w:rsidR="004760D5" w:rsidRPr="004760D5">
        <w:rPr>
          <w:rFonts w:ascii="Gill Sans MT" w:hAnsi="Gill Sans MT"/>
          <w:color w:val="000000"/>
          <w:shd w:val="clear" w:color="auto" w:fill="FFFFFF"/>
        </w:rPr>
        <w:t xml:space="preserve">As </w:t>
      </w:r>
      <w:r w:rsidR="00FD7E9D" w:rsidRPr="004760D5">
        <w:rPr>
          <w:rFonts w:ascii="Gill Sans MT" w:hAnsi="Gill Sans MT"/>
        </w:rPr>
        <w:t xml:space="preserve">Elton </w:t>
      </w:r>
      <w:r w:rsidR="00ED262A">
        <w:rPr>
          <w:rFonts w:ascii="Gill Sans MT" w:hAnsi="Gill Sans MT"/>
        </w:rPr>
        <w:t>argue</w:t>
      </w:r>
      <w:r w:rsidR="001F0960">
        <w:rPr>
          <w:rFonts w:ascii="Gill Sans MT" w:hAnsi="Gill Sans MT"/>
        </w:rPr>
        <w:t>d</w:t>
      </w:r>
      <w:r w:rsidR="004760D5">
        <w:rPr>
          <w:rFonts w:ascii="Gill Sans MT" w:hAnsi="Gill Sans MT"/>
        </w:rPr>
        <w:t>,</w:t>
      </w:r>
      <w:r w:rsidR="00FD7E9D" w:rsidRPr="004760D5">
        <w:rPr>
          <w:rFonts w:ascii="Gill Sans MT" w:hAnsi="Gill Sans MT"/>
        </w:rPr>
        <w:t xml:space="preserve"> following th</w:t>
      </w:r>
      <w:r w:rsidR="004760D5">
        <w:rPr>
          <w:rFonts w:ascii="Gill Sans MT" w:hAnsi="Gill Sans MT"/>
        </w:rPr>
        <w:t xml:space="preserve">is parliamentary </w:t>
      </w:r>
      <w:r w:rsidR="00501DC1">
        <w:rPr>
          <w:rFonts w:ascii="Gill Sans MT" w:hAnsi="Gill Sans MT"/>
        </w:rPr>
        <w:t>R</w:t>
      </w:r>
      <w:r w:rsidR="004760D5">
        <w:rPr>
          <w:rFonts w:ascii="Gill Sans MT" w:hAnsi="Gill Sans MT"/>
        </w:rPr>
        <w:t>eformation, the</w:t>
      </w:r>
      <w:r w:rsidR="00FD7E9D" w:rsidRPr="004760D5">
        <w:rPr>
          <w:rFonts w:ascii="Gill Sans MT" w:hAnsi="Gill Sans MT"/>
        </w:rPr>
        <w:t xml:space="preserve"> </w:t>
      </w:r>
      <w:r w:rsidR="004760D5">
        <w:rPr>
          <w:rFonts w:ascii="Gill Sans MT" w:hAnsi="Gill Sans MT"/>
        </w:rPr>
        <w:t>‘</w:t>
      </w:r>
      <w:r w:rsidR="004760D5" w:rsidRPr="004760D5">
        <w:rPr>
          <w:rFonts w:ascii="Gill Sans MT" w:hAnsi="Gill Sans MT"/>
        </w:rPr>
        <w:t>basis of Tudor government</w:t>
      </w:r>
      <w:r w:rsidR="00404AB3">
        <w:rPr>
          <w:rFonts w:ascii="Gill Sans MT" w:hAnsi="Gill Sans MT"/>
        </w:rPr>
        <w:t>’</w:t>
      </w:r>
      <w:r w:rsidR="004760D5" w:rsidRPr="004760D5">
        <w:rPr>
          <w:rFonts w:ascii="Gill Sans MT" w:hAnsi="Gill Sans MT"/>
        </w:rPr>
        <w:t xml:space="preserve"> </w:t>
      </w:r>
      <w:r w:rsidR="004760D5">
        <w:rPr>
          <w:rFonts w:ascii="Gill Sans MT" w:hAnsi="Gill Sans MT"/>
        </w:rPr>
        <w:t xml:space="preserve">was </w:t>
      </w:r>
      <w:r w:rsidR="00FD7E9D" w:rsidRPr="004760D5">
        <w:rPr>
          <w:rFonts w:ascii="Gill Sans MT" w:hAnsi="Gill Sans MT"/>
        </w:rPr>
        <w:t>‘</w:t>
      </w:r>
      <w:r w:rsidR="004760D5">
        <w:rPr>
          <w:rFonts w:ascii="Gill Sans MT" w:hAnsi="Gill Sans MT"/>
        </w:rPr>
        <w:t>[f]</w:t>
      </w:r>
      <w:proofErr w:type="spellStart"/>
      <w:r w:rsidR="00FD7E9D" w:rsidRPr="004760D5">
        <w:rPr>
          <w:rFonts w:ascii="Gill Sans MT" w:hAnsi="Gill Sans MT"/>
        </w:rPr>
        <w:t>ull</w:t>
      </w:r>
      <w:proofErr w:type="spellEnd"/>
      <w:r w:rsidR="00FD7E9D" w:rsidRPr="004760D5">
        <w:rPr>
          <w:rFonts w:ascii="Gill Sans MT" w:hAnsi="Gill Sans MT"/>
        </w:rPr>
        <w:t xml:space="preserve"> legislative supremacy vested in the image of the nation and politically active there</w:t>
      </w:r>
      <w:r w:rsidR="004760D5">
        <w:rPr>
          <w:rFonts w:ascii="Gill Sans MT" w:hAnsi="Gill Sans MT"/>
        </w:rPr>
        <w:t>’.</w:t>
      </w:r>
      <w:r w:rsidR="004760D5">
        <w:rPr>
          <w:rStyle w:val="FootnoteReference"/>
          <w:rFonts w:ascii="Gill Sans MT" w:hAnsi="Gill Sans MT"/>
        </w:rPr>
        <w:footnoteReference w:id="13"/>
      </w:r>
      <w:r w:rsidR="00ED262A">
        <w:rPr>
          <w:rFonts w:ascii="Gill Sans MT" w:hAnsi="Gill Sans MT"/>
        </w:rPr>
        <w:t xml:space="preserve">  This does not mean we should imagine all legislation from that point onwards was concerned with general matters of considerable public significance.  Instead, private legislation dealing with highly specific issues was a key aspect of Parliament’s legislative business.  </w:t>
      </w:r>
      <w:r w:rsidR="00ED262A" w:rsidRPr="00ED262A">
        <w:rPr>
          <w:rFonts w:ascii="Gill Sans MT" w:hAnsi="Gill Sans MT"/>
        </w:rPr>
        <w:t xml:space="preserve">For example, as Lemmings notes in a study of the massive increase in primary legislation enacted in the eighteenth century, ‘parliament was increasingly open to the influence of public opinion, but </w:t>
      </w:r>
      <w:proofErr w:type="gramStart"/>
      <w:r w:rsidR="00ED262A" w:rsidRPr="00ED262A">
        <w:rPr>
          <w:rFonts w:ascii="Gill Sans MT" w:hAnsi="Gill Sans MT"/>
        </w:rPr>
        <w:t>the overwhelming majority of</w:t>
      </w:r>
      <w:proofErr w:type="gramEnd"/>
      <w:r w:rsidR="00ED262A" w:rsidRPr="00ED262A">
        <w:rPr>
          <w:rFonts w:ascii="Gill Sans MT" w:hAnsi="Gill Sans MT"/>
        </w:rPr>
        <w:t xml:space="preserve"> its acts were initiated by local combinations of private propertied interests’.</w:t>
      </w:r>
      <w:r w:rsidR="00ED262A">
        <w:rPr>
          <w:rStyle w:val="FootnoteReference"/>
          <w:rFonts w:ascii="Gill Sans MT" w:hAnsi="Gill Sans MT"/>
        </w:rPr>
        <w:footnoteReference w:id="14"/>
      </w:r>
    </w:p>
    <w:p w14:paraId="0FE92505" w14:textId="5462CCC1" w:rsidR="00E03CD7" w:rsidRDefault="0062022B" w:rsidP="001137EA">
      <w:pPr>
        <w:spacing w:after="0" w:line="360" w:lineRule="auto"/>
        <w:ind w:firstLine="720"/>
        <w:jc w:val="both"/>
        <w:rPr>
          <w:rFonts w:ascii="Gill Sans MT" w:hAnsi="Gill Sans MT"/>
        </w:rPr>
      </w:pPr>
      <w:r>
        <w:rPr>
          <w:rFonts w:ascii="Gill Sans MT" w:hAnsi="Gill Sans MT"/>
        </w:rPr>
        <w:t>The t</w:t>
      </w:r>
      <w:r w:rsidR="00796C13">
        <w:rPr>
          <w:rFonts w:ascii="Gill Sans MT" w:hAnsi="Gill Sans MT"/>
        </w:rPr>
        <w:t>hird</w:t>
      </w:r>
      <w:r>
        <w:rPr>
          <w:rFonts w:ascii="Gill Sans MT" w:hAnsi="Gill Sans MT"/>
        </w:rPr>
        <w:t xml:space="preserve"> function of a legislature is to </w:t>
      </w:r>
      <w:r w:rsidR="001D4C8E" w:rsidRPr="001D4C8E">
        <w:rPr>
          <w:rFonts w:ascii="Gill Sans MT" w:hAnsi="Gill Sans MT"/>
        </w:rPr>
        <w:t>scrutin</w:t>
      </w:r>
      <w:r w:rsidR="00C06F08">
        <w:rPr>
          <w:rFonts w:ascii="Gill Sans MT" w:hAnsi="Gill Sans MT"/>
        </w:rPr>
        <w:t>ize</w:t>
      </w:r>
      <w:r>
        <w:rPr>
          <w:rFonts w:ascii="Gill Sans MT" w:hAnsi="Gill Sans MT"/>
        </w:rPr>
        <w:t xml:space="preserve"> decisions made by those exercising governmental </w:t>
      </w:r>
      <w:r w:rsidRPr="00E03CD7">
        <w:rPr>
          <w:rFonts w:ascii="Gill Sans MT" w:hAnsi="Gill Sans MT"/>
        </w:rPr>
        <w:t xml:space="preserve">authority.  </w:t>
      </w:r>
      <w:r w:rsidR="0093553E">
        <w:rPr>
          <w:rFonts w:ascii="Gill Sans MT" w:hAnsi="Gill Sans MT"/>
        </w:rPr>
        <w:t>P</w:t>
      </w:r>
      <w:r w:rsidR="00004910" w:rsidRPr="00E03CD7">
        <w:rPr>
          <w:rFonts w:ascii="Gill Sans MT" w:hAnsi="Gill Sans MT"/>
        </w:rPr>
        <w:t xml:space="preserve">arliamentary scrutiny </w:t>
      </w:r>
      <w:r w:rsidR="00174D17" w:rsidRPr="00E03CD7">
        <w:rPr>
          <w:rFonts w:ascii="Gill Sans MT" w:hAnsi="Gill Sans MT" w:cs="Segoe UI"/>
          <w:color w:val="212121"/>
          <w:shd w:val="clear" w:color="auto" w:fill="FFFFFF"/>
        </w:rPr>
        <w:t xml:space="preserve">of </w:t>
      </w:r>
      <w:r w:rsidR="00004910" w:rsidRPr="00E03CD7">
        <w:rPr>
          <w:rFonts w:ascii="Gill Sans MT" w:hAnsi="Gill Sans MT" w:cs="Segoe UI"/>
          <w:color w:val="212121"/>
          <w:shd w:val="clear" w:color="auto" w:fill="FFFFFF"/>
        </w:rPr>
        <w:t xml:space="preserve">the </w:t>
      </w:r>
      <w:r w:rsidR="00174D17" w:rsidRPr="00E03CD7">
        <w:rPr>
          <w:rFonts w:ascii="Gill Sans MT" w:hAnsi="Gill Sans MT" w:cs="Segoe UI"/>
          <w:color w:val="212121"/>
          <w:shd w:val="clear" w:color="auto" w:fill="FFFFFF"/>
        </w:rPr>
        <w:t xml:space="preserve">exercise of public power </w:t>
      </w:r>
      <w:r w:rsidR="00004910" w:rsidRPr="00E03CD7">
        <w:rPr>
          <w:rFonts w:ascii="Gill Sans MT" w:hAnsi="Gill Sans MT" w:cs="Segoe UI"/>
          <w:color w:val="212121"/>
          <w:shd w:val="clear" w:color="auto" w:fill="FFFFFF"/>
        </w:rPr>
        <w:t>allows ministers to be challenged for specific decisions and the general governance of the state</w:t>
      </w:r>
      <w:r w:rsidR="00174D17" w:rsidRPr="00E03CD7">
        <w:rPr>
          <w:rFonts w:ascii="Gill Sans MT" w:hAnsi="Gill Sans MT" w:cs="Segoe UI"/>
          <w:color w:val="212121"/>
          <w:shd w:val="clear" w:color="auto" w:fill="FFFFFF"/>
        </w:rPr>
        <w:t xml:space="preserve">.  </w:t>
      </w:r>
      <w:r w:rsidRPr="00E03CD7">
        <w:rPr>
          <w:rFonts w:ascii="Gill Sans MT" w:hAnsi="Gill Sans MT"/>
        </w:rPr>
        <w:t>This practice</w:t>
      </w:r>
      <w:r>
        <w:rPr>
          <w:rFonts w:ascii="Gill Sans MT" w:hAnsi="Gill Sans MT"/>
        </w:rPr>
        <w:t xml:space="preserve"> pre-dates the existence of the more recent constitutional idea that the government must sustain the confidence of the House of Commons to retain office.  Even in the period whe</w:t>
      </w:r>
      <w:r w:rsidR="00C06F08">
        <w:rPr>
          <w:rFonts w:ascii="Gill Sans MT" w:hAnsi="Gill Sans MT"/>
        </w:rPr>
        <w:t>n</w:t>
      </w:r>
      <w:r>
        <w:rPr>
          <w:rFonts w:ascii="Gill Sans MT" w:hAnsi="Gill Sans MT"/>
        </w:rPr>
        <w:t xml:space="preserve"> </w:t>
      </w:r>
      <w:proofErr w:type="gramStart"/>
      <w:r w:rsidR="00E03CD7">
        <w:rPr>
          <w:rFonts w:ascii="Gill Sans MT" w:hAnsi="Gill Sans MT"/>
        </w:rPr>
        <w:t>monarch</w:t>
      </w:r>
      <w:r w:rsidR="00C06F08">
        <w:rPr>
          <w:rFonts w:ascii="Gill Sans MT" w:hAnsi="Gill Sans MT"/>
        </w:rPr>
        <w:t>s</w:t>
      </w:r>
      <w:r>
        <w:rPr>
          <w:rFonts w:ascii="Gill Sans MT" w:hAnsi="Gill Sans MT"/>
        </w:rPr>
        <w:t xml:space="preserve">  rule</w:t>
      </w:r>
      <w:r w:rsidR="00C06F08">
        <w:rPr>
          <w:rFonts w:ascii="Gill Sans MT" w:hAnsi="Gill Sans MT"/>
        </w:rPr>
        <w:t>d</w:t>
      </w:r>
      <w:proofErr w:type="gramEnd"/>
      <w:r>
        <w:rPr>
          <w:rFonts w:ascii="Gill Sans MT" w:hAnsi="Gill Sans MT"/>
        </w:rPr>
        <w:t xml:space="preserve"> with the support of </w:t>
      </w:r>
      <w:r w:rsidR="00E03CD7">
        <w:rPr>
          <w:rFonts w:ascii="Gill Sans MT" w:hAnsi="Gill Sans MT"/>
        </w:rPr>
        <w:t>their</w:t>
      </w:r>
      <w:r>
        <w:rPr>
          <w:rFonts w:ascii="Gill Sans MT" w:hAnsi="Gill Sans MT"/>
        </w:rPr>
        <w:t xml:space="preserve"> Council</w:t>
      </w:r>
      <w:r w:rsidR="00C06F08">
        <w:rPr>
          <w:rFonts w:ascii="Gill Sans MT" w:hAnsi="Gill Sans MT"/>
        </w:rPr>
        <w:t>s</w:t>
      </w:r>
      <w:r>
        <w:rPr>
          <w:rFonts w:ascii="Gill Sans MT" w:hAnsi="Gill Sans MT"/>
        </w:rPr>
        <w:t>, the legislature could be involved in challenging the decisions of those royal advisors</w:t>
      </w:r>
      <w:r w:rsidR="00004910">
        <w:rPr>
          <w:rFonts w:ascii="Gill Sans MT" w:hAnsi="Gill Sans MT"/>
        </w:rPr>
        <w:t>, who remained responsible to the sovereign, rather than Parliament itself</w:t>
      </w:r>
      <w:r>
        <w:rPr>
          <w:rFonts w:ascii="Gill Sans MT" w:hAnsi="Gill Sans MT"/>
        </w:rPr>
        <w:t>.  For example, in the</w:t>
      </w:r>
      <w:r w:rsidR="00E03CD7">
        <w:rPr>
          <w:rFonts w:ascii="Gill Sans MT" w:hAnsi="Gill Sans MT"/>
        </w:rPr>
        <w:t xml:space="preserve"> famous</w:t>
      </w:r>
      <w:r w:rsidR="00C328B0">
        <w:rPr>
          <w:rFonts w:ascii="Gill Sans MT" w:hAnsi="Gill Sans MT"/>
        </w:rPr>
        <w:t xml:space="preserve"> </w:t>
      </w:r>
      <w:r w:rsidR="00211C4E">
        <w:rPr>
          <w:rFonts w:ascii="Gill Sans MT" w:hAnsi="Gill Sans MT"/>
        </w:rPr>
        <w:t xml:space="preserve">‘named Parliaments’ of the </w:t>
      </w:r>
      <w:r w:rsidR="00796C13">
        <w:rPr>
          <w:rFonts w:ascii="Gill Sans MT" w:hAnsi="Gill Sans MT"/>
        </w:rPr>
        <w:t>14</w:t>
      </w:r>
      <w:r w:rsidR="00796C13" w:rsidRPr="00F55C04">
        <w:rPr>
          <w:rFonts w:ascii="Gill Sans MT" w:hAnsi="Gill Sans MT"/>
          <w:vertAlign w:val="superscript"/>
        </w:rPr>
        <w:t>th</w:t>
      </w:r>
      <w:r w:rsidR="00796C13">
        <w:rPr>
          <w:rFonts w:ascii="Gill Sans MT" w:hAnsi="Gill Sans MT"/>
        </w:rPr>
        <w:t xml:space="preserve"> century</w:t>
      </w:r>
      <w:r w:rsidR="00211C4E">
        <w:rPr>
          <w:rFonts w:ascii="Gill Sans MT" w:hAnsi="Gill Sans MT"/>
        </w:rPr>
        <w:t>,</w:t>
      </w:r>
      <w:r w:rsidR="00211C4E">
        <w:rPr>
          <w:rStyle w:val="FootnoteReference"/>
          <w:rFonts w:ascii="Gill Sans MT" w:hAnsi="Gill Sans MT"/>
        </w:rPr>
        <w:footnoteReference w:id="15"/>
      </w:r>
      <w:r w:rsidR="00211C4E">
        <w:rPr>
          <w:rFonts w:ascii="Gill Sans MT" w:hAnsi="Gill Sans MT"/>
        </w:rPr>
        <w:t xml:space="preserve"> we see examples of the King’s counsellors and Ministers criticised to the point where they </w:t>
      </w:r>
      <w:r w:rsidR="0093553E">
        <w:rPr>
          <w:rFonts w:ascii="Gill Sans MT" w:hAnsi="Gill Sans MT"/>
        </w:rPr>
        <w:t>were</w:t>
      </w:r>
      <w:r w:rsidR="00211C4E">
        <w:rPr>
          <w:rFonts w:ascii="Gill Sans MT" w:hAnsi="Gill Sans MT"/>
        </w:rPr>
        <w:t xml:space="preserve"> removed from office.  In </w:t>
      </w:r>
      <w:r w:rsidR="00211C4E" w:rsidRPr="008D65B5">
        <w:rPr>
          <w:rFonts w:ascii="Gill Sans MT" w:hAnsi="Gill Sans MT"/>
        </w:rPr>
        <w:t>the ‘</w:t>
      </w:r>
      <w:r w:rsidR="00796C13" w:rsidRPr="008D65B5">
        <w:rPr>
          <w:rFonts w:ascii="Gill Sans MT" w:hAnsi="Gill Sans MT"/>
        </w:rPr>
        <w:t>Good Parliament</w:t>
      </w:r>
      <w:r w:rsidR="00211C4E" w:rsidRPr="008D65B5">
        <w:rPr>
          <w:rFonts w:ascii="Gill Sans MT" w:hAnsi="Gill Sans MT"/>
        </w:rPr>
        <w:t xml:space="preserve">’ of 1376, </w:t>
      </w:r>
      <w:r w:rsidR="004F49D6" w:rsidRPr="008D65B5">
        <w:rPr>
          <w:rFonts w:ascii="Gill Sans MT" w:hAnsi="Gill Sans MT"/>
        </w:rPr>
        <w:t xml:space="preserve">key advisors of Edward III were the subject of serious criticism for </w:t>
      </w:r>
      <w:r w:rsidR="008D65B5" w:rsidRPr="008D65B5">
        <w:rPr>
          <w:rFonts w:ascii="Gill Sans MT" w:hAnsi="Gill Sans MT"/>
        </w:rPr>
        <w:t>corruption and extortion</w:t>
      </w:r>
      <w:r w:rsidR="004F49D6" w:rsidRPr="008D65B5">
        <w:rPr>
          <w:rFonts w:ascii="Gill Sans MT" w:hAnsi="Gill Sans MT"/>
        </w:rPr>
        <w:t>, leading to the first impeachments, including of Lord Latimer, the King’s chamberlain.</w:t>
      </w:r>
      <w:r w:rsidR="004F49D6" w:rsidRPr="008D65B5">
        <w:rPr>
          <w:rStyle w:val="FootnoteReference"/>
          <w:rFonts w:ascii="Gill Sans MT" w:hAnsi="Gill Sans MT"/>
        </w:rPr>
        <w:footnoteReference w:id="16"/>
      </w:r>
      <w:r w:rsidR="004F49D6" w:rsidRPr="008D65B5">
        <w:rPr>
          <w:rFonts w:ascii="Gill Sans MT" w:hAnsi="Gill Sans MT"/>
        </w:rPr>
        <w:t xml:space="preserve">  But this critical atmosphere was not sustained, and was followed by the </w:t>
      </w:r>
      <w:r w:rsidR="00211C4E" w:rsidRPr="008D65B5">
        <w:rPr>
          <w:rFonts w:ascii="Gill Sans MT" w:hAnsi="Gill Sans MT"/>
        </w:rPr>
        <w:t xml:space="preserve">‘Bad Parliament’ of </w:t>
      </w:r>
      <w:r w:rsidR="004F49D6" w:rsidRPr="008D65B5">
        <w:rPr>
          <w:rFonts w:ascii="Gill Sans MT" w:hAnsi="Gill Sans MT"/>
        </w:rPr>
        <w:t>1377 (so-named by more modern historians), in which a more pliant Speaker of the House of Commons was appointed in place</w:t>
      </w:r>
      <w:r w:rsidR="004F49D6">
        <w:rPr>
          <w:rFonts w:ascii="Gill Sans MT" w:hAnsi="Gill Sans MT"/>
        </w:rPr>
        <w:t xml:space="preserve"> of the imprisoned Sir Peter de la Mare, </w:t>
      </w:r>
      <w:r w:rsidR="00004910">
        <w:rPr>
          <w:rFonts w:ascii="Gill Sans MT" w:hAnsi="Gill Sans MT"/>
        </w:rPr>
        <w:t xml:space="preserve">who had been </w:t>
      </w:r>
      <w:r w:rsidR="004F49D6">
        <w:rPr>
          <w:rFonts w:ascii="Gill Sans MT" w:hAnsi="Gill Sans MT"/>
        </w:rPr>
        <w:t>a leading actor against the King’s ministers during the previous ‘Good Parliament’.</w:t>
      </w:r>
      <w:r w:rsidR="00796C13">
        <w:rPr>
          <w:rFonts w:ascii="Gill Sans MT" w:hAnsi="Gill Sans MT"/>
        </w:rPr>
        <w:t xml:space="preserve"> </w:t>
      </w:r>
      <w:r w:rsidR="009E50C9">
        <w:rPr>
          <w:rFonts w:ascii="Gill Sans MT" w:hAnsi="Gill Sans MT"/>
        </w:rPr>
        <w:t xml:space="preserve">  </w:t>
      </w:r>
      <w:r w:rsidR="00A741DF">
        <w:rPr>
          <w:rFonts w:ascii="Gill Sans MT" w:hAnsi="Gill Sans MT"/>
        </w:rPr>
        <w:t xml:space="preserve">Then, under Richard II, in the ‘Wonderful Parliament’ of 1386, the Commons again impeached key ministers, most notably the chancellor, Michael de la Pole, in a challenge to excessive royal spending </w:t>
      </w:r>
      <w:r w:rsidR="00D378F1">
        <w:rPr>
          <w:rFonts w:ascii="Gill Sans MT" w:hAnsi="Gill Sans MT"/>
        </w:rPr>
        <w:t>on</w:t>
      </w:r>
      <w:r w:rsidR="00A741DF">
        <w:rPr>
          <w:rFonts w:ascii="Gill Sans MT" w:hAnsi="Gill Sans MT"/>
        </w:rPr>
        <w:t xml:space="preserve"> </w:t>
      </w:r>
      <w:r w:rsidR="00D378F1">
        <w:rPr>
          <w:rFonts w:ascii="Gill Sans MT" w:hAnsi="Gill Sans MT"/>
        </w:rPr>
        <w:t>extravagant patronage and war with France</w:t>
      </w:r>
      <w:r w:rsidR="00A741DF">
        <w:rPr>
          <w:rFonts w:ascii="Gill Sans MT" w:hAnsi="Gill Sans MT"/>
        </w:rPr>
        <w:t>.</w:t>
      </w:r>
      <w:r w:rsidR="00A741DF">
        <w:rPr>
          <w:rStyle w:val="FootnoteReference"/>
          <w:rFonts w:ascii="Gill Sans MT" w:hAnsi="Gill Sans MT"/>
        </w:rPr>
        <w:footnoteReference w:id="17"/>
      </w:r>
      <w:r w:rsidR="00A741DF">
        <w:rPr>
          <w:rFonts w:ascii="Gill Sans MT" w:hAnsi="Gill Sans MT"/>
        </w:rPr>
        <w:t xml:space="preserve">  </w:t>
      </w:r>
      <w:r w:rsidR="00DF4767">
        <w:rPr>
          <w:rFonts w:ascii="Gill Sans MT" w:hAnsi="Gill Sans MT"/>
        </w:rPr>
        <w:t>This Parliament also created a commission</w:t>
      </w:r>
      <w:r w:rsidR="00D378F1">
        <w:rPr>
          <w:rFonts w:ascii="Gill Sans MT" w:hAnsi="Gill Sans MT"/>
        </w:rPr>
        <w:t xml:space="preserve"> of peers</w:t>
      </w:r>
      <w:r w:rsidR="00DF4767">
        <w:rPr>
          <w:rFonts w:ascii="Gill Sans MT" w:hAnsi="Gill Sans MT"/>
        </w:rPr>
        <w:t xml:space="preserve"> to </w:t>
      </w:r>
      <w:r w:rsidR="00964A63">
        <w:rPr>
          <w:rFonts w:ascii="Gill Sans MT" w:hAnsi="Gill Sans MT"/>
        </w:rPr>
        <w:t xml:space="preserve">restrain royal power and </w:t>
      </w:r>
      <w:r w:rsidR="00DF4767">
        <w:rPr>
          <w:rFonts w:ascii="Gill Sans MT" w:hAnsi="Gill Sans MT"/>
        </w:rPr>
        <w:t xml:space="preserve">manage the implementation of reform to financial governance, </w:t>
      </w:r>
      <w:r w:rsidR="00D378F1">
        <w:rPr>
          <w:rFonts w:ascii="Gill Sans MT" w:hAnsi="Gill Sans MT"/>
        </w:rPr>
        <w:t xml:space="preserve">which Richard II </w:t>
      </w:r>
      <w:r w:rsidR="00964A63">
        <w:rPr>
          <w:rFonts w:ascii="Gill Sans MT" w:hAnsi="Gill Sans MT"/>
        </w:rPr>
        <w:t xml:space="preserve">was forced to accept but worked to circumvent.  Division </w:t>
      </w:r>
      <w:r w:rsidR="00964A63">
        <w:rPr>
          <w:rFonts w:ascii="Gill Sans MT" w:hAnsi="Gill Sans MT"/>
        </w:rPr>
        <w:lastRenderedPageBreak/>
        <w:t xml:space="preserve">between the King and </w:t>
      </w:r>
      <w:r w:rsidR="009061B6">
        <w:rPr>
          <w:rFonts w:ascii="Gill Sans MT" w:hAnsi="Gill Sans MT"/>
        </w:rPr>
        <w:t>this</w:t>
      </w:r>
      <w:r w:rsidR="00964A63">
        <w:rPr>
          <w:rFonts w:ascii="Gill Sans MT" w:hAnsi="Gill Sans MT"/>
        </w:rPr>
        <w:t xml:space="preserve"> group of influential barons, </w:t>
      </w:r>
      <w:r w:rsidR="009061B6">
        <w:rPr>
          <w:rFonts w:ascii="Gill Sans MT" w:hAnsi="Gill Sans MT"/>
        </w:rPr>
        <w:t xml:space="preserve">who became known as </w:t>
      </w:r>
      <w:r w:rsidR="00964A63">
        <w:rPr>
          <w:rFonts w:ascii="Gill Sans MT" w:hAnsi="Gill Sans MT"/>
        </w:rPr>
        <w:t>the ‘Lords Appellant’, culminated in</w:t>
      </w:r>
      <w:r w:rsidR="00923DF6">
        <w:rPr>
          <w:rFonts w:ascii="Gill Sans MT" w:hAnsi="Gill Sans MT"/>
        </w:rPr>
        <w:t xml:space="preserve"> extreme fashion in</w:t>
      </w:r>
      <w:r w:rsidR="00964A63">
        <w:rPr>
          <w:rFonts w:ascii="Gill Sans MT" w:hAnsi="Gill Sans MT"/>
        </w:rPr>
        <w:t xml:space="preserve"> </w:t>
      </w:r>
      <w:r w:rsidR="00964A63" w:rsidRPr="00964A63">
        <w:rPr>
          <w:rFonts w:ascii="Gill Sans MT" w:hAnsi="Gill Sans MT"/>
        </w:rPr>
        <w:t>the ‘</w:t>
      </w:r>
      <w:r w:rsidR="00796C13" w:rsidRPr="00964A63">
        <w:rPr>
          <w:rFonts w:ascii="Gill Sans MT" w:hAnsi="Gill Sans MT"/>
        </w:rPr>
        <w:t>Merciless Parliament</w:t>
      </w:r>
      <w:r w:rsidR="00964A63" w:rsidRPr="00964A63">
        <w:rPr>
          <w:rFonts w:ascii="Gill Sans MT" w:hAnsi="Gill Sans MT"/>
        </w:rPr>
        <w:t xml:space="preserve">’ of 1388, when many royal advisors </w:t>
      </w:r>
      <w:r w:rsidR="009061B6">
        <w:rPr>
          <w:rFonts w:ascii="Gill Sans MT" w:hAnsi="Gill Sans MT"/>
        </w:rPr>
        <w:t xml:space="preserve">were </w:t>
      </w:r>
      <w:r w:rsidR="00AC7715">
        <w:rPr>
          <w:rFonts w:ascii="Gill Sans MT" w:hAnsi="Gill Sans MT"/>
        </w:rPr>
        <w:t>accused of</w:t>
      </w:r>
      <w:r w:rsidR="009061B6">
        <w:rPr>
          <w:rFonts w:ascii="Gill Sans MT" w:hAnsi="Gill Sans MT"/>
        </w:rPr>
        <w:t xml:space="preserve"> treason and executed.</w:t>
      </w:r>
      <w:r w:rsidR="00AC7715">
        <w:rPr>
          <w:rStyle w:val="FootnoteReference"/>
          <w:rFonts w:ascii="Gill Sans MT" w:hAnsi="Gill Sans MT"/>
        </w:rPr>
        <w:footnoteReference w:id="18"/>
      </w:r>
      <w:r w:rsidR="00964A63">
        <w:rPr>
          <w:rFonts w:ascii="Gill Sans MT" w:hAnsi="Gill Sans MT"/>
          <w:b/>
          <w:bCs/>
        </w:rPr>
        <w:t xml:space="preserve"> </w:t>
      </w:r>
      <w:r w:rsidR="009061B6">
        <w:rPr>
          <w:rFonts w:ascii="Gill Sans MT" w:hAnsi="Gill Sans MT"/>
          <w:b/>
          <w:bCs/>
        </w:rPr>
        <w:t xml:space="preserve"> </w:t>
      </w:r>
      <w:r w:rsidR="0093553E">
        <w:rPr>
          <w:rFonts w:ascii="Gill Sans MT" w:hAnsi="Gill Sans MT"/>
        </w:rPr>
        <w:t>S</w:t>
      </w:r>
      <w:r w:rsidR="003259B0">
        <w:rPr>
          <w:rFonts w:ascii="Gill Sans MT" w:hAnsi="Gill Sans MT"/>
        </w:rPr>
        <w:t xml:space="preserve">crutiny was </w:t>
      </w:r>
      <w:r w:rsidR="0093553E">
        <w:rPr>
          <w:rFonts w:ascii="Gill Sans MT" w:hAnsi="Gill Sans MT"/>
        </w:rPr>
        <w:t xml:space="preserve">therefore </w:t>
      </w:r>
      <w:r w:rsidR="003259B0">
        <w:rPr>
          <w:rFonts w:ascii="Gill Sans MT" w:hAnsi="Gill Sans MT"/>
        </w:rPr>
        <w:t>irregular</w:t>
      </w:r>
      <w:r w:rsidR="00AC7715">
        <w:rPr>
          <w:rFonts w:ascii="Gill Sans MT" w:hAnsi="Gill Sans MT"/>
        </w:rPr>
        <w:t>,</w:t>
      </w:r>
      <w:r w:rsidR="003259B0">
        <w:rPr>
          <w:rFonts w:ascii="Gill Sans MT" w:hAnsi="Gill Sans MT"/>
        </w:rPr>
        <w:t xml:space="preserve"> dictated by </w:t>
      </w:r>
      <w:r w:rsidR="00964A63">
        <w:rPr>
          <w:rFonts w:ascii="Gill Sans MT" w:hAnsi="Gill Sans MT"/>
        </w:rPr>
        <w:t xml:space="preserve">the wider political climate alongside </w:t>
      </w:r>
      <w:r w:rsidR="003259B0">
        <w:rPr>
          <w:rFonts w:ascii="Gill Sans MT" w:hAnsi="Gill Sans MT"/>
        </w:rPr>
        <w:t>factors such as the frequency and length of each parliamentary session.</w:t>
      </w:r>
      <w:r w:rsidR="003259B0">
        <w:rPr>
          <w:rStyle w:val="FootnoteReference"/>
          <w:rFonts w:ascii="Gill Sans MT" w:hAnsi="Gill Sans MT"/>
        </w:rPr>
        <w:footnoteReference w:id="19"/>
      </w:r>
      <w:r w:rsidR="0072026F">
        <w:rPr>
          <w:rFonts w:ascii="Gill Sans MT" w:hAnsi="Gill Sans MT"/>
        </w:rPr>
        <w:t xml:space="preserve">  The ‘Good Parliament’, for example, lasted ten weeks</w:t>
      </w:r>
      <w:r w:rsidR="00434B2D">
        <w:rPr>
          <w:rFonts w:ascii="Gill Sans MT" w:hAnsi="Gill Sans MT"/>
        </w:rPr>
        <w:t>, longer than any previous Parliament</w:t>
      </w:r>
      <w:r w:rsidR="00964A63">
        <w:rPr>
          <w:rFonts w:ascii="Gill Sans MT" w:hAnsi="Gill Sans MT"/>
        </w:rPr>
        <w:t xml:space="preserve"> at that point</w:t>
      </w:r>
      <w:r w:rsidR="00434B2D">
        <w:rPr>
          <w:rFonts w:ascii="Gill Sans MT" w:hAnsi="Gill Sans MT"/>
        </w:rPr>
        <w:t>,</w:t>
      </w:r>
      <w:r w:rsidR="00434B2D">
        <w:rPr>
          <w:rStyle w:val="FootnoteReference"/>
          <w:rFonts w:ascii="Gill Sans MT" w:hAnsi="Gill Sans MT"/>
        </w:rPr>
        <w:footnoteReference w:id="20"/>
      </w:r>
      <w:r w:rsidR="00434B2D">
        <w:rPr>
          <w:rFonts w:ascii="Gill Sans MT" w:hAnsi="Gill Sans MT"/>
        </w:rPr>
        <w:t xml:space="preserve"> but this </w:t>
      </w:r>
      <w:r w:rsidR="00964A63">
        <w:rPr>
          <w:rFonts w:ascii="Gill Sans MT" w:hAnsi="Gill Sans MT"/>
        </w:rPr>
        <w:t>was</w:t>
      </w:r>
      <w:r w:rsidR="00434B2D">
        <w:rPr>
          <w:rFonts w:ascii="Gill Sans MT" w:hAnsi="Gill Sans MT"/>
        </w:rPr>
        <w:t xml:space="preserve"> far from the regular, institutionalised scrutiny and accountability expected from the </w:t>
      </w:r>
      <w:r w:rsidR="0059297C">
        <w:rPr>
          <w:rFonts w:ascii="Gill Sans MT" w:hAnsi="Gill Sans MT"/>
        </w:rPr>
        <w:t>near</w:t>
      </w:r>
      <w:r w:rsidR="00C06F08">
        <w:rPr>
          <w:rFonts w:ascii="Gill Sans MT" w:hAnsi="Gill Sans MT"/>
        </w:rPr>
        <w:t xml:space="preserve">ly </w:t>
      </w:r>
      <w:r w:rsidR="00434B2D">
        <w:rPr>
          <w:rFonts w:ascii="Gill Sans MT" w:hAnsi="Gill Sans MT"/>
        </w:rPr>
        <w:t xml:space="preserve">ever-present modern legislature.  </w:t>
      </w:r>
      <w:r w:rsidR="00AC7715">
        <w:rPr>
          <w:rFonts w:ascii="Gill Sans MT" w:hAnsi="Gill Sans MT"/>
        </w:rPr>
        <w:t>These challenges to royal authority could also be short</w:t>
      </w:r>
      <w:r w:rsidR="00C06F08">
        <w:rPr>
          <w:rFonts w:ascii="Gill Sans MT" w:hAnsi="Gill Sans MT"/>
        </w:rPr>
        <w:t>-</w:t>
      </w:r>
      <w:r w:rsidR="00AC7715">
        <w:rPr>
          <w:rFonts w:ascii="Gill Sans MT" w:hAnsi="Gill Sans MT"/>
        </w:rPr>
        <w:t xml:space="preserve">lived – following the ‘Merciless Parliament’, many of the Lords Appellant who confronted Richard II were exiled or </w:t>
      </w:r>
      <w:r w:rsidR="0064750F">
        <w:rPr>
          <w:rFonts w:ascii="Gill Sans MT" w:hAnsi="Gill Sans MT"/>
        </w:rPr>
        <w:t>killed as the King regained power</w:t>
      </w:r>
      <w:r w:rsidR="0050374D">
        <w:rPr>
          <w:rFonts w:ascii="Gill Sans MT" w:hAnsi="Gill Sans MT"/>
        </w:rPr>
        <w:t>.</w:t>
      </w:r>
      <w:r w:rsidR="0050374D">
        <w:rPr>
          <w:rStyle w:val="FootnoteReference"/>
          <w:rFonts w:ascii="Gill Sans MT" w:hAnsi="Gill Sans MT"/>
        </w:rPr>
        <w:footnoteReference w:id="21"/>
      </w:r>
    </w:p>
    <w:p w14:paraId="0BF01457" w14:textId="5ADDAAF1" w:rsidR="001850B8" w:rsidRPr="00075D42" w:rsidRDefault="00F31AA4" w:rsidP="001137EA">
      <w:pPr>
        <w:spacing w:after="0" w:line="360" w:lineRule="auto"/>
        <w:ind w:firstLine="720"/>
        <w:jc w:val="both"/>
        <w:rPr>
          <w:rFonts w:ascii="Gill Sans MT" w:hAnsi="Gill Sans MT"/>
        </w:rPr>
      </w:pPr>
      <w:r>
        <w:rPr>
          <w:rFonts w:ascii="Gill Sans MT" w:hAnsi="Gill Sans MT"/>
        </w:rPr>
        <w:t>The f</w:t>
      </w:r>
      <w:r w:rsidR="00DA46A0" w:rsidRPr="00F31AA4">
        <w:rPr>
          <w:rFonts w:ascii="Gill Sans MT" w:hAnsi="Gill Sans MT"/>
        </w:rPr>
        <w:t>ourth</w:t>
      </w:r>
      <w:r>
        <w:rPr>
          <w:rFonts w:ascii="Gill Sans MT" w:hAnsi="Gill Sans MT"/>
        </w:rPr>
        <w:t xml:space="preserve"> function of a legislature is </w:t>
      </w:r>
      <w:r w:rsidR="000E5B93">
        <w:rPr>
          <w:rFonts w:ascii="Gill Sans MT" w:hAnsi="Gill Sans MT"/>
        </w:rPr>
        <w:t xml:space="preserve">to </w:t>
      </w:r>
      <w:r>
        <w:rPr>
          <w:rFonts w:ascii="Gill Sans MT" w:hAnsi="Gill Sans MT"/>
        </w:rPr>
        <w:t>provide a forum for</w:t>
      </w:r>
      <w:r w:rsidR="00DA46A0" w:rsidRPr="00F31AA4">
        <w:rPr>
          <w:rFonts w:ascii="Gill Sans MT" w:hAnsi="Gill Sans MT"/>
        </w:rPr>
        <w:t xml:space="preserve"> debate</w:t>
      </w:r>
      <w:r>
        <w:rPr>
          <w:rFonts w:ascii="Gill Sans MT" w:hAnsi="Gill Sans MT"/>
        </w:rPr>
        <w:t xml:space="preserve">.  </w:t>
      </w:r>
      <w:r w:rsidR="00956656">
        <w:rPr>
          <w:rFonts w:ascii="Gill Sans MT" w:hAnsi="Gill Sans MT"/>
        </w:rPr>
        <w:t>While related to representati</w:t>
      </w:r>
      <w:r w:rsidR="00CD5C4D">
        <w:rPr>
          <w:rFonts w:ascii="Gill Sans MT" w:hAnsi="Gill Sans MT"/>
        </w:rPr>
        <w:t>on</w:t>
      </w:r>
      <w:r w:rsidR="00956656">
        <w:rPr>
          <w:rFonts w:ascii="Gill Sans MT" w:hAnsi="Gill Sans MT"/>
        </w:rPr>
        <w:t xml:space="preserve">, </w:t>
      </w:r>
      <w:proofErr w:type="gramStart"/>
      <w:r w:rsidR="00956656">
        <w:rPr>
          <w:rFonts w:ascii="Gill Sans MT" w:hAnsi="Gill Sans MT"/>
        </w:rPr>
        <w:t>legislati</w:t>
      </w:r>
      <w:r w:rsidR="00CD5C4D">
        <w:rPr>
          <w:rFonts w:ascii="Gill Sans MT" w:hAnsi="Gill Sans MT"/>
        </w:rPr>
        <w:t>on</w:t>
      </w:r>
      <w:proofErr w:type="gramEnd"/>
      <w:r w:rsidR="00956656">
        <w:rPr>
          <w:rFonts w:ascii="Gill Sans MT" w:hAnsi="Gill Sans MT"/>
        </w:rPr>
        <w:t xml:space="preserve"> and scrutiny, facilitating debate</w:t>
      </w:r>
      <w:r w:rsidR="00577D3F">
        <w:rPr>
          <w:rFonts w:ascii="Gill Sans MT" w:hAnsi="Gill Sans MT"/>
        </w:rPr>
        <w:t xml:space="preserve"> is a distinct </w:t>
      </w:r>
      <w:r w:rsidR="00CD5C4D">
        <w:rPr>
          <w:rFonts w:ascii="Gill Sans MT" w:hAnsi="Gill Sans MT"/>
        </w:rPr>
        <w:t>function</w:t>
      </w:r>
      <w:r w:rsidR="00956656">
        <w:rPr>
          <w:rFonts w:ascii="Gill Sans MT" w:hAnsi="Gill Sans MT"/>
        </w:rPr>
        <w:t xml:space="preserve">.   </w:t>
      </w:r>
      <w:r>
        <w:rPr>
          <w:rFonts w:ascii="Gill Sans MT" w:hAnsi="Gill Sans MT"/>
        </w:rPr>
        <w:t>As Elton</w:t>
      </w:r>
      <w:r w:rsidR="00DA46A0" w:rsidRPr="00F31AA4">
        <w:rPr>
          <w:rFonts w:ascii="Gill Sans MT" w:hAnsi="Gill Sans MT"/>
        </w:rPr>
        <w:t xml:space="preserve"> </w:t>
      </w:r>
      <w:r w:rsidR="009A2493">
        <w:rPr>
          <w:rFonts w:ascii="Gill Sans MT" w:hAnsi="Gill Sans MT"/>
        </w:rPr>
        <w:t>argues</w:t>
      </w:r>
      <w:r w:rsidR="00404AB3">
        <w:rPr>
          <w:rFonts w:ascii="Gill Sans MT" w:hAnsi="Gill Sans MT"/>
        </w:rPr>
        <w:t>, the</w:t>
      </w:r>
      <w:r w:rsidR="00DA46A0" w:rsidRPr="00F31AA4">
        <w:rPr>
          <w:rFonts w:ascii="Gill Sans MT" w:hAnsi="Gill Sans MT"/>
        </w:rPr>
        <w:t xml:space="preserve"> </w:t>
      </w:r>
      <w:r w:rsidR="009A2493">
        <w:rPr>
          <w:rFonts w:ascii="Gill Sans MT" w:hAnsi="Gill Sans MT"/>
        </w:rPr>
        <w:t>‘</w:t>
      </w:r>
      <w:r w:rsidR="00DA46A0" w:rsidRPr="00F31AA4">
        <w:rPr>
          <w:rFonts w:ascii="Gill Sans MT" w:hAnsi="Gill Sans MT"/>
        </w:rPr>
        <w:t>practical needs of cash and laws do not fully explain the attitude of Tudor governments to Parliament, at least not after 1529 when all possibility ceased of ruling without the meetings of the estates</w:t>
      </w:r>
      <w:proofErr w:type="gramStart"/>
      <w:r w:rsidR="00DA46A0" w:rsidRPr="00F31AA4">
        <w:rPr>
          <w:rFonts w:ascii="Gill Sans MT" w:hAnsi="Gill Sans MT"/>
        </w:rPr>
        <w:t xml:space="preserve">. </w:t>
      </w:r>
      <w:proofErr w:type="gramEnd"/>
      <w:r w:rsidR="00DA46A0" w:rsidRPr="00F31AA4">
        <w:rPr>
          <w:rFonts w:ascii="Gill Sans MT" w:hAnsi="Gill Sans MT"/>
        </w:rPr>
        <w:t xml:space="preserve">Parliaments were wanted because there the great affairs of the nation could be considered, </w:t>
      </w:r>
      <w:proofErr w:type="gramStart"/>
      <w:r w:rsidR="00DA46A0" w:rsidRPr="00F31AA4">
        <w:rPr>
          <w:rFonts w:ascii="Gill Sans MT" w:hAnsi="Gill Sans MT"/>
        </w:rPr>
        <w:t>debated</w:t>
      </w:r>
      <w:proofErr w:type="gramEnd"/>
      <w:r w:rsidR="00DA46A0" w:rsidRPr="00F31AA4">
        <w:rPr>
          <w:rFonts w:ascii="Gill Sans MT" w:hAnsi="Gill Sans MT"/>
        </w:rPr>
        <w:t xml:space="preserve"> and advertised: Parliament was a part of the machinery of government available to active rulers</w:t>
      </w:r>
      <w:r w:rsidR="00956656">
        <w:rPr>
          <w:rFonts w:ascii="Gill Sans MT" w:hAnsi="Gill Sans MT"/>
        </w:rPr>
        <w:t>’</w:t>
      </w:r>
      <w:r w:rsidR="00DA46A0" w:rsidRPr="00F31AA4">
        <w:rPr>
          <w:rFonts w:ascii="Gill Sans MT" w:hAnsi="Gill Sans MT"/>
        </w:rPr>
        <w:t>.</w:t>
      </w:r>
      <w:r w:rsidR="00956656">
        <w:rPr>
          <w:rStyle w:val="FootnoteReference"/>
          <w:rFonts w:ascii="Gill Sans MT" w:hAnsi="Gill Sans MT"/>
        </w:rPr>
        <w:footnoteReference w:id="22"/>
      </w:r>
      <w:r w:rsidR="00DA46A0" w:rsidRPr="00F31AA4">
        <w:rPr>
          <w:rFonts w:ascii="Gill Sans MT" w:hAnsi="Gill Sans MT"/>
        </w:rPr>
        <w:t xml:space="preserve"> </w:t>
      </w:r>
      <w:r w:rsidR="009A2493">
        <w:rPr>
          <w:rFonts w:ascii="Gill Sans MT" w:hAnsi="Gill Sans MT"/>
        </w:rPr>
        <w:t xml:space="preserve"> </w:t>
      </w:r>
      <w:r w:rsidR="00C06F08">
        <w:rPr>
          <w:rFonts w:ascii="Gill Sans MT" w:hAnsi="Gill Sans MT"/>
        </w:rPr>
        <w:t>T</w:t>
      </w:r>
      <w:r w:rsidR="00CF2027">
        <w:rPr>
          <w:rFonts w:ascii="Gill Sans MT" w:hAnsi="Gill Sans MT"/>
        </w:rPr>
        <w:t>he extent to whic</w:t>
      </w:r>
      <w:r w:rsidR="00075D42">
        <w:rPr>
          <w:rFonts w:ascii="Gill Sans MT" w:hAnsi="Gill Sans MT"/>
        </w:rPr>
        <w:t>h</w:t>
      </w:r>
      <w:r w:rsidR="00CF2027">
        <w:rPr>
          <w:rFonts w:ascii="Gill Sans MT" w:hAnsi="Gill Sans MT"/>
        </w:rPr>
        <w:t xml:space="preserve"> Parliament </w:t>
      </w:r>
      <w:r w:rsidR="00075D42">
        <w:rPr>
          <w:rFonts w:ascii="Gill Sans MT" w:hAnsi="Gill Sans MT"/>
        </w:rPr>
        <w:t xml:space="preserve">has </w:t>
      </w:r>
      <w:r w:rsidR="00CF2027">
        <w:rPr>
          <w:rFonts w:ascii="Gill Sans MT" w:hAnsi="Gill Sans MT"/>
        </w:rPr>
        <w:t>provided a hostile environment for the monarch and their ministers</w:t>
      </w:r>
      <w:r w:rsidR="00C06F08">
        <w:rPr>
          <w:rFonts w:ascii="Gill Sans MT" w:hAnsi="Gill Sans MT"/>
        </w:rPr>
        <w:t xml:space="preserve"> has varied considerably from time to time</w:t>
      </w:r>
      <w:r w:rsidR="00CF2027">
        <w:rPr>
          <w:rFonts w:ascii="Gill Sans MT" w:hAnsi="Gill Sans MT"/>
        </w:rPr>
        <w:t xml:space="preserve">.  In relation to the Tudor period, for example, there is </w:t>
      </w:r>
      <w:r w:rsidR="00BA407A">
        <w:rPr>
          <w:rFonts w:ascii="Gill Sans MT" w:hAnsi="Gill Sans MT"/>
        </w:rPr>
        <w:t>disagreement</w:t>
      </w:r>
      <w:r w:rsidR="00CF2027">
        <w:rPr>
          <w:rFonts w:ascii="Gill Sans MT" w:hAnsi="Gill Sans MT"/>
        </w:rPr>
        <w:t xml:space="preserve"> about the development of the idea of parliamentary opposition, with the traditional view that this emerged under Elizabeth I</w:t>
      </w:r>
      <w:r w:rsidR="00624E73">
        <w:rPr>
          <w:rFonts w:ascii="Gill Sans MT" w:hAnsi="Gill Sans MT"/>
        </w:rPr>
        <w:t xml:space="preserve">, with figures like Peter Wentworth </w:t>
      </w:r>
      <w:r w:rsidR="00B9544A">
        <w:rPr>
          <w:rFonts w:ascii="Gill Sans MT" w:hAnsi="Gill Sans MT"/>
        </w:rPr>
        <w:t xml:space="preserve">famously </w:t>
      </w:r>
      <w:r w:rsidR="00624E73">
        <w:rPr>
          <w:rFonts w:ascii="Gill Sans MT" w:hAnsi="Gill Sans MT"/>
        </w:rPr>
        <w:t>speaking in Parliament in</w:t>
      </w:r>
      <w:r w:rsidR="00B9544A">
        <w:rPr>
          <w:rFonts w:ascii="Gill Sans MT" w:hAnsi="Gill Sans MT"/>
        </w:rPr>
        <w:t xml:space="preserve"> 1576 in</w:t>
      </w:r>
      <w:r w:rsidR="00624E73">
        <w:rPr>
          <w:rFonts w:ascii="Gill Sans MT" w:hAnsi="Gill Sans MT"/>
        </w:rPr>
        <w:t xml:space="preserve"> favour of freedom of speech for members of the legislature, which he used criticise the Queen (resulting in his detention in the Tower of London).</w:t>
      </w:r>
      <w:r w:rsidR="00577E99">
        <w:rPr>
          <w:rStyle w:val="FootnoteReference"/>
          <w:rFonts w:ascii="Gill Sans MT" w:hAnsi="Gill Sans MT"/>
        </w:rPr>
        <w:footnoteReference w:id="23"/>
      </w:r>
      <w:r w:rsidR="00CF2027">
        <w:rPr>
          <w:rFonts w:ascii="Gill Sans MT" w:hAnsi="Gill Sans MT"/>
        </w:rPr>
        <w:t xml:space="preserve"> </w:t>
      </w:r>
      <w:r w:rsidR="00725E7F">
        <w:rPr>
          <w:rFonts w:ascii="Gill Sans MT" w:hAnsi="Gill Sans MT"/>
        </w:rPr>
        <w:t xml:space="preserve"> </w:t>
      </w:r>
      <w:r w:rsidR="00624E73">
        <w:rPr>
          <w:rFonts w:ascii="Gill Sans MT" w:hAnsi="Gill Sans MT"/>
        </w:rPr>
        <w:t xml:space="preserve">However, this is </w:t>
      </w:r>
      <w:r w:rsidR="00CF2027">
        <w:rPr>
          <w:rFonts w:ascii="Gill Sans MT" w:hAnsi="Gill Sans MT"/>
        </w:rPr>
        <w:t>contested by revisionists, who argue that Parliament at the time was ‘not a political arena’</w:t>
      </w:r>
      <w:r w:rsidR="00CF2027">
        <w:rPr>
          <w:rStyle w:val="FootnoteReference"/>
          <w:rFonts w:ascii="Gill Sans MT" w:hAnsi="Gill Sans MT"/>
        </w:rPr>
        <w:footnoteReference w:id="24"/>
      </w:r>
      <w:r w:rsidR="00075D42">
        <w:rPr>
          <w:rFonts w:ascii="Gill Sans MT" w:hAnsi="Gill Sans MT"/>
        </w:rPr>
        <w:t xml:space="preserve"> </w:t>
      </w:r>
      <w:r w:rsidR="00CC501D">
        <w:rPr>
          <w:rFonts w:ascii="Gill Sans MT" w:hAnsi="Gill Sans MT"/>
        </w:rPr>
        <w:t>– instead ‘co-operation’ with the Crown was the norm.</w:t>
      </w:r>
      <w:r w:rsidR="00CC501D">
        <w:rPr>
          <w:rStyle w:val="FootnoteReference"/>
          <w:rFonts w:ascii="Gill Sans MT" w:hAnsi="Gill Sans MT"/>
        </w:rPr>
        <w:footnoteReference w:id="25"/>
      </w:r>
      <w:r w:rsidR="00BA407A">
        <w:rPr>
          <w:rFonts w:ascii="Gill Sans MT" w:hAnsi="Gill Sans MT"/>
        </w:rPr>
        <w:t xml:space="preserve">  Whether in a hostile manner or not, debate within a legislature </w:t>
      </w:r>
      <w:r w:rsidR="00FA2754" w:rsidRPr="00075D42">
        <w:rPr>
          <w:rFonts w:ascii="Gill Sans MT" w:hAnsi="Gill Sans MT"/>
        </w:rPr>
        <w:t xml:space="preserve">allows </w:t>
      </w:r>
      <w:r w:rsidR="00BA407A">
        <w:rPr>
          <w:rFonts w:ascii="Gill Sans MT" w:hAnsi="Gill Sans MT"/>
        </w:rPr>
        <w:t>issues</w:t>
      </w:r>
      <w:r w:rsidR="00FA2754" w:rsidRPr="00075D42">
        <w:rPr>
          <w:rFonts w:ascii="Gill Sans MT" w:hAnsi="Gill Sans MT"/>
        </w:rPr>
        <w:t xml:space="preserve"> to be </w:t>
      </w:r>
      <w:r w:rsidR="00BA407A">
        <w:rPr>
          <w:rFonts w:ascii="Gill Sans MT" w:hAnsi="Gill Sans MT"/>
        </w:rPr>
        <w:t>explored and decisions to be analysed</w:t>
      </w:r>
      <w:r w:rsidR="00075D42">
        <w:rPr>
          <w:rFonts w:ascii="Gill Sans MT" w:hAnsi="Gill Sans MT"/>
        </w:rPr>
        <w:t xml:space="preserve">, </w:t>
      </w:r>
      <w:r w:rsidR="00EB2863">
        <w:rPr>
          <w:rFonts w:ascii="Gill Sans MT" w:hAnsi="Gill Sans MT"/>
        </w:rPr>
        <w:t>which requires</w:t>
      </w:r>
      <w:r w:rsidR="00075D42">
        <w:rPr>
          <w:rFonts w:ascii="Gill Sans MT" w:hAnsi="Gill Sans MT"/>
        </w:rPr>
        <w:t xml:space="preserve"> the representation of </w:t>
      </w:r>
      <w:r w:rsidR="0070354A" w:rsidRPr="00075D42">
        <w:rPr>
          <w:rFonts w:ascii="Gill Sans MT" w:hAnsi="Gill Sans MT" w:cs="Segoe UI"/>
          <w:shd w:val="clear" w:color="auto" w:fill="FFFFFF"/>
        </w:rPr>
        <w:t>different political views and perspectives</w:t>
      </w:r>
      <w:r w:rsidR="00075D42">
        <w:rPr>
          <w:rFonts w:ascii="Gill Sans MT" w:hAnsi="Gill Sans MT" w:cs="Segoe UI"/>
          <w:shd w:val="clear" w:color="auto" w:fill="FFFFFF"/>
        </w:rPr>
        <w:t xml:space="preserve">.  </w:t>
      </w:r>
      <w:r w:rsidR="00BA407A">
        <w:rPr>
          <w:rFonts w:ascii="Gill Sans MT" w:hAnsi="Gill Sans MT" w:cs="Segoe UI"/>
          <w:shd w:val="clear" w:color="auto" w:fill="FFFFFF"/>
        </w:rPr>
        <w:t>This is re</w:t>
      </w:r>
      <w:r w:rsidR="00075D42">
        <w:rPr>
          <w:rFonts w:ascii="Gill Sans MT" w:hAnsi="Gill Sans MT" w:cs="Segoe UI"/>
          <w:shd w:val="clear" w:color="auto" w:fill="FFFFFF"/>
        </w:rPr>
        <w:t xml:space="preserve">flected in the emergence of </w:t>
      </w:r>
      <w:r w:rsidR="0070354A" w:rsidRPr="00075D42">
        <w:rPr>
          <w:rFonts w:ascii="Gill Sans MT" w:hAnsi="Gill Sans MT" w:cs="Segoe UI"/>
          <w:shd w:val="clear" w:color="auto" w:fill="FFFFFF"/>
        </w:rPr>
        <w:t xml:space="preserve">political parties </w:t>
      </w:r>
      <w:r w:rsidR="00BA407A">
        <w:rPr>
          <w:rFonts w:ascii="Gill Sans MT" w:hAnsi="Gill Sans MT" w:cs="Segoe UI"/>
          <w:shd w:val="clear" w:color="auto" w:fill="FFFFFF"/>
        </w:rPr>
        <w:t>in the late 17</w:t>
      </w:r>
      <w:r w:rsidR="00BA407A" w:rsidRPr="00BA407A">
        <w:rPr>
          <w:rFonts w:ascii="Gill Sans MT" w:hAnsi="Gill Sans MT" w:cs="Segoe UI"/>
          <w:shd w:val="clear" w:color="auto" w:fill="FFFFFF"/>
          <w:vertAlign w:val="superscript"/>
        </w:rPr>
        <w:t>th</w:t>
      </w:r>
      <w:r w:rsidR="00BA407A">
        <w:rPr>
          <w:rFonts w:ascii="Gill Sans MT" w:hAnsi="Gill Sans MT" w:cs="Segoe UI"/>
          <w:shd w:val="clear" w:color="auto" w:fill="FFFFFF"/>
        </w:rPr>
        <w:t xml:space="preserve"> century</w:t>
      </w:r>
      <w:r w:rsidR="0049326F">
        <w:rPr>
          <w:rFonts w:ascii="Gill Sans MT" w:hAnsi="Gill Sans MT" w:cs="Segoe UI"/>
          <w:shd w:val="clear" w:color="auto" w:fill="FFFFFF"/>
        </w:rPr>
        <w:t xml:space="preserve"> to early 18</w:t>
      </w:r>
      <w:r w:rsidR="0049326F" w:rsidRPr="0049326F">
        <w:rPr>
          <w:rFonts w:ascii="Gill Sans MT" w:hAnsi="Gill Sans MT" w:cs="Segoe UI"/>
          <w:shd w:val="clear" w:color="auto" w:fill="FFFFFF"/>
          <w:vertAlign w:val="superscript"/>
        </w:rPr>
        <w:t>th</w:t>
      </w:r>
      <w:r w:rsidR="0049326F">
        <w:rPr>
          <w:rFonts w:ascii="Gill Sans MT" w:hAnsi="Gill Sans MT" w:cs="Segoe UI"/>
          <w:shd w:val="clear" w:color="auto" w:fill="FFFFFF"/>
        </w:rPr>
        <w:t xml:space="preserve"> century</w:t>
      </w:r>
      <w:r w:rsidR="00BA407A">
        <w:rPr>
          <w:rFonts w:ascii="Gill Sans MT" w:hAnsi="Gill Sans MT" w:cs="Segoe UI"/>
          <w:shd w:val="clear" w:color="auto" w:fill="FFFFFF"/>
        </w:rPr>
        <w:t>,</w:t>
      </w:r>
      <w:r w:rsidR="00BA407A">
        <w:rPr>
          <w:rStyle w:val="FootnoteReference"/>
          <w:rFonts w:ascii="Gill Sans MT" w:hAnsi="Gill Sans MT" w:cs="Segoe UI"/>
          <w:shd w:val="clear" w:color="auto" w:fill="FFFFFF"/>
        </w:rPr>
        <w:footnoteReference w:id="26"/>
      </w:r>
      <w:r w:rsidR="00BA407A">
        <w:rPr>
          <w:rFonts w:ascii="Gill Sans MT" w:hAnsi="Gill Sans MT" w:cs="Segoe UI"/>
          <w:shd w:val="clear" w:color="auto" w:fill="FFFFFF"/>
        </w:rPr>
        <w:t xml:space="preserve"> representing</w:t>
      </w:r>
      <w:r w:rsidR="00075D42">
        <w:rPr>
          <w:rFonts w:ascii="Gill Sans MT" w:hAnsi="Gill Sans MT" w:cs="Segoe UI"/>
          <w:shd w:val="clear" w:color="auto" w:fill="FFFFFF"/>
        </w:rPr>
        <w:t xml:space="preserve"> alternative values and </w:t>
      </w:r>
      <w:r w:rsidR="00BA407A">
        <w:rPr>
          <w:rFonts w:ascii="Gill Sans MT" w:hAnsi="Gill Sans MT" w:cs="Segoe UI"/>
          <w:shd w:val="clear" w:color="auto" w:fill="FFFFFF"/>
        </w:rPr>
        <w:t xml:space="preserve">policy </w:t>
      </w:r>
      <w:r w:rsidR="00075D42">
        <w:rPr>
          <w:rFonts w:ascii="Gill Sans MT" w:hAnsi="Gill Sans MT" w:cs="Segoe UI"/>
          <w:shd w:val="clear" w:color="auto" w:fill="FFFFFF"/>
        </w:rPr>
        <w:t xml:space="preserve">priorities within the legislature.  While the various political parties in the ascendency have changed over </w:t>
      </w:r>
      <w:proofErr w:type="gramStart"/>
      <w:r w:rsidR="00075D42">
        <w:rPr>
          <w:rFonts w:ascii="Gill Sans MT" w:hAnsi="Gill Sans MT" w:cs="Segoe UI"/>
          <w:shd w:val="clear" w:color="auto" w:fill="FFFFFF"/>
        </w:rPr>
        <w:t>time</w:t>
      </w:r>
      <w:proofErr w:type="gramEnd"/>
      <w:r w:rsidR="00BA407A">
        <w:rPr>
          <w:rFonts w:ascii="Gill Sans MT" w:hAnsi="Gill Sans MT" w:cs="Segoe UI"/>
          <w:shd w:val="clear" w:color="auto" w:fill="FFFFFF"/>
        </w:rPr>
        <w:t xml:space="preserve"> </w:t>
      </w:r>
      <w:r w:rsidR="00075D42">
        <w:rPr>
          <w:rFonts w:ascii="Gill Sans MT" w:hAnsi="Gill Sans MT" w:cs="Segoe UI"/>
          <w:shd w:val="clear" w:color="auto" w:fill="FFFFFF"/>
        </w:rPr>
        <w:t xml:space="preserve">they have also become the primary means of organising parliamentary business, to the point where it is difficult </w:t>
      </w:r>
      <w:r w:rsidR="00075D42">
        <w:rPr>
          <w:rFonts w:ascii="Gill Sans MT" w:hAnsi="Gill Sans MT" w:cs="Segoe UI"/>
          <w:shd w:val="clear" w:color="auto" w:fill="FFFFFF"/>
        </w:rPr>
        <w:lastRenderedPageBreak/>
        <w:t>to imagine how the legislature could function in practice in the absence of political parties to structure its activity.</w:t>
      </w:r>
    </w:p>
    <w:p w14:paraId="7B7B9802" w14:textId="0379B87C" w:rsidR="001850B8" w:rsidRDefault="00632105" w:rsidP="001137EA">
      <w:pPr>
        <w:autoSpaceDE w:val="0"/>
        <w:autoSpaceDN w:val="0"/>
        <w:adjustRightInd w:val="0"/>
        <w:spacing w:after="0" w:line="360" w:lineRule="auto"/>
        <w:ind w:firstLine="720"/>
        <w:jc w:val="both"/>
        <w:rPr>
          <w:rFonts w:ascii="Gill Sans MT" w:hAnsi="Gill Sans MT"/>
        </w:rPr>
      </w:pPr>
      <w:r>
        <w:rPr>
          <w:rFonts w:ascii="Gill Sans MT" w:hAnsi="Gill Sans MT"/>
        </w:rPr>
        <w:t xml:space="preserve">The fifth function of a legislature is to </w:t>
      </w:r>
      <w:r w:rsidR="001D4C8E" w:rsidRPr="001D4C8E">
        <w:rPr>
          <w:rFonts w:ascii="Gill Sans MT" w:hAnsi="Gill Sans MT"/>
        </w:rPr>
        <w:t>produce, sustain and hold a government to accoun</w:t>
      </w:r>
      <w:r>
        <w:rPr>
          <w:rFonts w:ascii="Gill Sans MT" w:hAnsi="Gill Sans MT"/>
        </w:rPr>
        <w:t>t.  The i</w:t>
      </w:r>
      <w:r w:rsidR="00C85A5A" w:rsidRPr="00DF50EB">
        <w:rPr>
          <w:rFonts w:ascii="Gill Sans MT" w:hAnsi="Gill Sans MT"/>
        </w:rPr>
        <w:t xml:space="preserve">mportance of </w:t>
      </w:r>
      <w:r>
        <w:rPr>
          <w:rFonts w:ascii="Gill Sans MT" w:hAnsi="Gill Sans MT"/>
        </w:rPr>
        <w:t xml:space="preserve">the </w:t>
      </w:r>
      <w:r w:rsidR="00C85A5A" w:rsidRPr="00DF50EB">
        <w:rPr>
          <w:rFonts w:ascii="Gill Sans MT" w:hAnsi="Gill Sans MT"/>
        </w:rPr>
        <w:t>Cabinet</w:t>
      </w:r>
      <w:r w:rsidR="003202E8">
        <w:rPr>
          <w:rFonts w:ascii="Gill Sans MT" w:hAnsi="Gill Sans MT"/>
        </w:rPr>
        <w:t xml:space="preserve"> as the decision-making body of the government</w:t>
      </w:r>
      <w:r>
        <w:rPr>
          <w:rFonts w:ascii="Gill Sans MT" w:hAnsi="Gill Sans MT"/>
        </w:rPr>
        <w:t xml:space="preserve"> was</w:t>
      </w:r>
      <w:r w:rsidR="003202E8">
        <w:rPr>
          <w:rFonts w:ascii="Gill Sans MT" w:hAnsi="Gill Sans MT"/>
        </w:rPr>
        <w:t xml:space="preserve"> established</w:t>
      </w:r>
      <w:r w:rsidR="00C85A5A" w:rsidRPr="00DF50EB">
        <w:rPr>
          <w:rFonts w:ascii="Gill Sans MT" w:hAnsi="Gill Sans MT"/>
        </w:rPr>
        <w:t xml:space="preserve"> </w:t>
      </w:r>
      <w:r w:rsidR="003202E8">
        <w:rPr>
          <w:rFonts w:ascii="Gill Sans MT" w:hAnsi="Gill Sans MT"/>
        </w:rPr>
        <w:t>in the early 18</w:t>
      </w:r>
      <w:r w:rsidR="003202E8" w:rsidRPr="003202E8">
        <w:rPr>
          <w:rFonts w:ascii="Gill Sans MT" w:hAnsi="Gill Sans MT"/>
          <w:vertAlign w:val="superscript"/>
        </w:rPr>
        <w:t>th</w:t>
      </w:r>
      <w:r w:rsidR="003202E8">
        <w:rPr>
          <w:rFonts w:ascii="Gill Sans MT" w:hAnsi="Gill Sans MT"/>
        </w:rPr>
        <w:t xml:space="preserve"> century </w:t>
      </w:r>
      <w:r w:rsidR="00C85A5A" w:rsidRPr="00DF50EB">
        <w:rPr>
          <w:rFonts w:ascii="Gill Sans MT" w:hAnsi="Gill Sans MT"/>
        </w:rPr>
        <w:t>under George I</w:t>
      </w:r>
      <w:r w:rsidR="003202E8">
        <w:rPr>
          <w:rFonts w:ascii="Gill Sans MT" w:hAnsi="Gill Sans MT"/>
        </w:rPr>
        <w:t xml:space="preserve">, who did not speak </w:t>
      </w:r>
      <w:r w:rsidR="00DF50EB" w:rsidRPr="00DF50EB">
        <w:rPr>
          <w:rFonts w:ascii="Gill Sans MT" w:hAnsi="Gill Sans MT"/>
        </w:rPr>
        <w:t>English</w:t>
      </w:r>
      <w:r w:rsidR="00541369">
        <w:rPr>
          <w:rFonts w:ascii="Gill Sans MT" w:hAnsi="Gill Sans MT"/>
        </w:rPr>
        <w:t xml:space="preserve"> well</w:t>
      </w:r>
      <w:r w:rsidR="00DF50EB" w:rsidRPr="00DF50EB">
        <w:rPr>
          <w:rFonts w:ascii="Gill Sans MT" w:hAnsi="Gill Sans MT"/>
        </w:rPr>
        <w:t xml:space="preserve"> </w:t>
      </w:r>
      <w:r w:rsidR="003202E8">
        <w:rPr>
          <w:rFonts w:ascii="Gill Sans MT" w:hAnsi="Gill Sans MT"/>
        </w:rPr>
        <w:t>and</w:t>
      </w:r>
      <w:r w:rsidR="00DF50EB" w:rsidRPr="00DF50EB">
        <w:rPr>
          <w:rFonts w:ascii="Gill Sans MT" w:hAnsi="Gill Sans MT"/>
        </w:rPr>
        <w:t xml:space="preserve"> </w:t>
      </w:r>
      <w:r w:rsidR="005F49D1">
        <w:rPr>
          <w:rFonts w:ascii="Gill Sans MT" w:hAnsi="Gill Sans MT"/>
        </w:rPr>
        <w:t xml:space="preserve">rarely </w:t>
      </w:r>
      <w:r w:rsidR="00DF50EB" w:rsidRPr="00DF50EB">
        <w:rPr>
          <w:rFonts w:ascii="Gill Sans MT" w:hAnsi="Gill Sans MT"/>
        </w:rPr>
        <w:t>attend</w:t>
      </w:r>
      <w:r w:rsidR="005F49D1">
        <w:rPr>
          <w:rFonts w:ascii="Gill Sans MT" w:hAnsi="Gill Sans MT"/>
        </w:rPr>
        <w:t>ed</w:t>
      </w:r>
      <w:r w:rsidR="00DF50EB" w:rsidRPr="00DF50EB">
        <w:rPr>
          <w:rFonts w:ascii="Gill Sans MT" w:hAnsi="Gill Sans MT"/>
        </w:rPr>
        <w:t xml:space="preserve"> Cabinet meetings</w:t>
      </w:r>
      <w:r w:rsidR="003202E8">
        <w:rPr>
          <w:rFonts w:ascii="Gill Sans MT" w:hAnsi="Gill Sans MT"/>
        </w:rPr>
        <w:t>.  This left</w:t>
      </w:r>
      <w:r w:rsidR="00DF50EB" w:rsidRPr="00DF50EB">
        <w:rPr>
          <w:rFonts w:ascii="Gill Sans MT" w:hAnsi="Gill Sans MT"/>
        </w:rPr>
        <w:t xml:space="preserve"> </w:t>
      </w:r>
      <w:r w:rsidR="003202E8">
        <w:rPr>
          <w:rFonts w:ascii="Gill Sans MT" w:hAnsi="Gill Sans MT"/>
        </w:rPr>
        <w:t xml:space="preserve">much greater political </w:t>
      </w:r>
      <w:r w:rsidR="00DF50EB" w:rsidRPr="00DF50EB">
        <w:rPr>
          <w:rFonts w:ascii="Gill Sans MT" w:hAnsi="Gill Sans MT"/>
        </w:rPr>
        <w:t xml:space="preserve">power to his </w:t>
      </w:r>
      <w:r w:rsidR="003202E8">
        <w:rPr>
          <w:rFonts w:ascii="Gill Sans MT" w:hAnsi="Gill Sans MT"/>
        </w:rPr>
        <w:t xml:space="preserve">appointed </w:t>
      </w:r>
      <w:r w:rsidR="00DF50EB" w:rsidRPr="00DF50EB">
        <w:rPr>
          <w:rFonts w:ascii="Gill Sans MT" w:hAnsi="Gill Sans MT"/>
        </w:rPr>
        <w:t>ministers</w:t>
      </w:r>
      <w:r w:rsidR="003202E8">
        <w:rPr>
          <w:rFonts w:ascii="Gill Sans MT" w:hAnsi="Gill Sans MT"/>
        </w:rPr>
        <w:t xml:space="preserve"> </w:t>
      </w:r>
      <w:r w:rsidR="00DF50EB" w:rsidRPr="00DF50EB">
        <w:rPr>
          <w:rFonts w:ascii="Gill Sans MT" w:hAnsi="Gill Sans MT"/>
        </w:rPr>
        <w:t xml:space="preserve">and </w:t>
      </w:r>
      <w:r w:rsidR="003202E8">
        <w:rPr>
          <w:rFonts w:ascii="Gill Sans MT" w:hAnsi="Gill Sans MT"/>
        </w:rPr>
        <w:t xml:space="preserve">initiated </w:t>
      </w:r>
      <w:r w:rsidR="00DF50EB" w:rsidRPr="00DF50EB">
        <w:rPr>
          <w:rFonts w:ascii="Gill Sans MT" w:hAnsi="Gill Sans MT"/>
        </w:rPr>
        <w:t>a separation between Crown and Cabinet which would become the norm under future monarchs.</w:t>
      </w:r>
      <w:r w:rsidR="003202E8">
        <w:rPr>
          <w:rStyle w:val="FootnoteReference"/>
          <w:rFonts w:ascii="Gill Sans MT" w:hAnsi="Gill Sans MT"/>
        </w:rPr>
        <w:footnoteReference w:id="27"/>
      </w:r>
      <w:r w:rsidR="003202E8">
        <w:rPr>
          <w:rFonts w:ascii="Gill Sans MT" w:hAnsi="Gill Sans MT"/>
        </w:rPr>
        <w:t xml:space="preserve">  Under George II, Sir Robert Walpole became the </w:t>
      </w:r>
      <w:r w:rsidR="003202E8" w:rsidRPr="00DF50EB">
        <w:rPr>
          <w:rFonts w:ascii="Gill Sans MT" w:hAnsi="Gill Sans MT"/>
        </w:rPr>
        <w:t>first modern P</w:t>
      </w:r>
      <w:r w:rsidR="003202E8">
        <w:rPr>
          <w:rFonts w:ascii="Gill Sans MT" w:hAnsi="Gill Sans MT"/>
        </w:rPr>
        <w:t xml:space="preserve">rime </w:t>
      </w:r>
      <w:r w:rsidR="003202E8" w:rsidRPr="00DF50EB">
        <w:rPr>
          <w:rFonts w:ascii="Gill Sans MT" w:hAnsi="Gill Sans MT"/>
        </w:rPr>
        <w:t>M</w:t>
      </w:r>
      <w:r w:rsidR="003202E8">
        <w:rPr>
          <w:rFonts w:ascii="Gill Sans MT" w:hAnsi="Gill Sans MT"/>
        </w:rPr>
        <w:t>inister</w:t>
      </w:r>
      <w:r w:rsidR="003202E8" w:rsidRPr="00DF50EB">
        <w:rPr>
          <w:rFonts w:ascii="Gill Sans MT" w:hAnsi="Gill Sans MT"/>
        </w:rPr>
        <w:t xml:space="preserve"> (</w:t>
      </w:r>
      <w:r w:rsidR="001D30E6">
        <w:rPr>
          <w:rFonts w:ascii="Gill Sans MT" w:hAnsi="Gill Sans MT"/>
        </w:rPr>
        <w:t xml:space="preserve">although </w:t>
      </w:r>
      <w:r w:rsidR="003202E8">
        <w:rPr>
          <w:rFonts w:ascii="Gill Sans MT" w:hAnsi="Gill Sans MT"/>
        </w:rPr>
        <w:t>that</w:t>
      </w:r>
      <w:r w:rsidR="003202E8" w:rsidRPr="00DF50EB">
        <w:rPr>
          <w:rFonts w:ascii="Gill Sans MT" w:hAnsi="Gill Sans MT"/>
        </w:rPr>
        <w:t xml:space="preserve"> terminology </w:t>
      </w:r>
      <w:r w:rsidR="003202E8">
        <w:rPr>
          <w:rFonts w:ascii="Gill Sans MT" w:hAnsi="Gill Sans MT"/>
        </w:rPr>
        <w:t xml:space="preserve">would not become common until later).  The close connection between the authority of the government and the confidence of Parliament in </w:t>
      </w:r>
      <w:r>
        <w:rPr>
          <w:rFonts w:ascii="Gill Sans MT" w:hAnsi="Gill Sans MT"/>
        </w:rPr>
        <w:t>the Cabinet</w:t>
      </w:r>
      <w:r w:rsidR="003202E8">
        <w:rPr>
          <w:rFonts w:ascii="Gill Sans MT" w:hAnsi="Gill Sans MT"/>
        </w:rPr>
        <w:t xml:space="preserve"> </w:t>
      </w:r>
      <w:r w:rsidR="0031586A">
        <w:rPr>
          <w:rFonts w:ascii="Gill Sans MT" w:hAnsi="Gill Sans MT"/>
        </w:rPr>
        <w:t xml:space="preserve">also </w:t>
      </w:r>
      <w:r w:rsidR="003202E8">
        <w:rPr>
          <w:rFonts w:ascii="Gill Sans MT" w:hAnsi="Gill Sans MT"/>
        </w:rPr>
        <w:t>emerged in this period</w:t>
      </w:r>
      <w:r w:rsidR="001E2E1A">
        <w:rPr>
          <w:rFonts w:ascii="Gill Sans MT" w:hAnsi="Gill Sans MT"/>
        </w:rPr>
        <w:t>, when the Regency Act 1705 made it possible for Members of Parliament to be appointed as ministers</w:t>
      </w:r>
      <w:r w:rsidR="0031586A">
        <w:rPr>
          <w:rFonts w:ascii="Gill Sans MT" w:hAnsi="Gill Sans MT"/>
        </w:rPr>
        <w:t>.</w:t>
      </w:r>
      <w:r w:rsidR="0031586A">
        <w:rPr>
          <w:rStyle w:val="FootnoteReference"/>
          <w:rFonts w:ascii="Gill Sans MT" w:hAnsi="Gill Sans MT"/>
        </w:rPr>
        <w:footnoteReference w:id="28"/>
      </w:r>
      <w:r w:rsidR="0031586A">
        <w:rPr>
          <w:rFonts w:ascii="Gill Sans MT" w:hAnsi="Gill Sans MT"/>
        </w:rPr>
        <w:t xml:space="preserve">  The idea of parliamentary government</w:t>
      </w:r>
      <w:r w:rsidR="00754F80">
        <w:rPr>
          <w:rFonts w:ascii="Gill Sans MT" w:hAnsi="Gill Sans MT"/>
        </w:rPr>
        <w:t xml:space="preserve"> </w:t>
      </w:r>
      <w:r w:rsidR="009262AF">
        <w:rPr>
          <w:rFonts w:ascii="Gill Sans MT" w:hAnsi="Gill Sans MT"/>
        </w:rPr>
        <w:t>therefore</w:t>
      </w:r>
      <w:r w:rsidR="001E2E1A">
        <w:rPr>
          <w:rFonts w:ascii="Gill Sans MT" w:hAnsi="Gill Sans MT"/>
        </w:rPr>
        <w:t xml:space="preserve"> extended</w:t>
      </w:r>
      <w:r w:rsidR="00754F80">
        <w:rPr>
          <w:rFonts w:ascii="Gill Sans MT" w:hAnsi="Gill Sans MT"/>
        </w:rPr>
        <w:t xml:space="preserve"> beyond the scrutiny of government in </w:t>
      </w:r>
      <w:r w:rsidR="001E2E1A">
        <w:rPr>
          <w:rFonts w:ascii="Gill Sans MT" w:hAnsi="Gill Sans MT"/>
        </w:rPr>
        <w:t>Parliament</w:t>
      </w:r>
      <w:r w:rsidR="0031586A">
        <w:rPr>
          <w:rFonts w:ascii="Gill Sans MT" w:hAnsi="Gill Sans MT"/>
        </w:rPr>
        <w:t>,</w:t>
      </w:r>
      <w:r w:rsidR="00754F80">
        <w:rPr>
          <w:rFonts w:ascii="Gill Sans MT" w:hAnsi="Gill Sans MT"/>
        </w:rPr>
        <w:t xml:space="preserve"> to establish the principle of government </w:t>
      </w:r>
      <w:r w:rsidR="0031586A">
        <w:rPr>
          <w:rFonts w:ascii="Gill Sans MT" w:hAnsi="Gill Sans MT"/>
        </w:rPr>
        <w:t xml:space="preserve">within Parliament, with </w:t>
      </w:r>
      <w:r w:rsidR="00754F80">
        <w:rPr>
          <w:rFonts w:ascii="Gill Sans MT" w:hAnsi="Gill Sans MT"/>
        </w:rPr>
        <w:t>responsibility to the Commons</w:t>
      </w:r>
      <w:r w:rsidR="003202E8">
        <w:rPr>
          <w:rFonts w:ascii="Gill Sans MT" w:hAnsi="Gill Sans MT"/>
        </w:rPr>
        <w:t xml:space="preserve">.  Walpole’s </w:t>
      </w:r>
      <w:r>
        <w:rPr>
          <w:rFonts w:ascii="Gill Sans MT" w:hAnsi="Gill Sans MT"/>
        </w:rPr>
        <w:t xml:space="preserve">individual </w:t>
      </w:r>
      <w:r w:rsidR="003202E8">
        <w:rPr>
          <w:rFonts w:ascii="Gill Sans MT" w:hAnsi="Gill Sans MT"/>
        </w:rPr>
        <w:t xml:space="preserve">resignation </w:t>
      </w:r>
      <w:r w:rsidR="007B66EE">
        <w:rPr>
          <w:rFonts w:ascii="Gill Sans MT" w:hAnsi="Gill Sans MT"/>
        </w:rPr>
        <w:t xml:space="preserve">in 1742 </w:t>
      </w:r>
      <w:r w:rsidR="003202E8">
        <w:rPr>
          <w:rFonts w:ascii="Gill Sans MT" w:hAnsi="Gill Sans MT"/>
        </w:rPr>
        <w:t>was prompted not</w:t>
      </w:r>
      <w:r w:rsidR="007B66EE">
        <w:rPr>
          <w:rFonts w:ascii="Gill Sans MT" w:hAnsi="Gill Sans MT"/>
        </w:rPr>
        <w:t xml:space="preserve"> </w:t>
      </w:r>
      <w:r w:rsidR="003202E8">
        <w:rPr>
          <w:rFonts w:ascii="Gill Sans MT" w:hAnsi="Gill Sans MT"/>
        </w:rPr>
        <w:t>by the monarch who</w:t>
      </w:r>
      <w:r w:rsidR="007B66EE">
        <w:rPr>
          <w:rFonts w:ascii="Gill Sans MT" w:hAnsi="Gill Sans MT"/>
        </w:rPr>
        <w:t>m</w:t>
      </w:r>
      <w:r w:rsidR="003202E8">
        <w:rPr>
          <w:rFonts w:ascii="Gill Sans MT" w:hAnsi="Gill Sans MT"/>
        </w:rPr>
        <w:t xml:space="preserve"> he served, but followed defeat on a vote in the Commons: it was ‘the first time that a Prime Minister had resigned solely on account of having lost the support of the Commons majority’.</w:t>
      </w:r>
      <w:r>
        <w:rPr>
          <w:rStyle w:val="FootnoteReference"/>
          <w:rFonts w:ascii="Gill Sans MT" w:hAnsi="Gill Sans MT"/>
        </w:rPr>
        <w:footnoteReference w:id="29"/>
      </w:r>
      <w:r>
        <w:rPr>
          <w:rFonts w:ascii="Gill Sans MT" w:hAnsi="Gill Sans MT"/>
        </w:rPr>
        <w:t xml:space="preserve">  Subsequently, under the ministry of Lord North in 1782, the entire government would resign for the first time having lost the Commons’ confidence.</w:t>
      </w:r>
      <w:r>
        <w:rPr>
          <w:rStyle w:val="FootnoteReference"/>
          <w:rFonts w:ascii="Gill Sans MT" w:hAnsi="Gill Sans MT"/>
        </w:rPr>
        <w:footnoteReference w:id="30"/>
      </w:r>
      <w:r w:rsidR="000D195A">
        <w:rPr>
          <w:rFonts w:ascii="Gill Sans MT" w:hAnsi="Gill Sans MT"/>
        </w:rPr>
        <w:t xml:space="preserve">  </w:t>
      </w:r>
      <w:r w:rsidR="006724E4">
        <w:rPr>
          <w:rFonts w:ascii="Gill Sans MT" w:hAnsi="Gill Sans MT"/>
        </w:rPr>
        <w:t xml:space="preserve">These are </w:t>
      </w:r>
      <w:r w:rsidR="000D195A">
        <w:rPr>
          <w:rFonts w:ascii="Gill Sans MT" w:hAnsi="Gill Sans MT"/>
        </w:rPr>
        <w:t>the origin</w:t>
      </w:r>
      <w:r w:rsidR="006724E4">
        <w:rPr>
          <w:rFonts w:ascii="Gill Sans MT" w:hAnsi="Gill Sans MT"/>
        </w:rPr>
        <w:t>s</w:t>
      </w:r>
      <w:r w:rsidR="000D195A">
        <w:rPr>
          <w:rFonts w:ascii="Gill Sans MT" w:hAnsi="Gill Sans MT"/>
        </w:rPr>
        <w:t xml:space="preserve"> of the</w:t>
      </w:r>
      <w:r w:rsidR="008B20E1">
        <w:rPr>
          <w:rFonts w:ascii="Gill Sans MT" w:hAnsi="Gill Sans MT"/>
        </w:rPr>
        <w:t xml:space="preserve"> crucial</w:t>
      </w:r>
      <w:r w:rsidR="000D195A">
        <w:rPr>
          <w:rFonts w:ascii="Gill Sans MT" w:hAnsi="Gill Sans MT"/>
        </w:rPr>
        <w:t xml:space="preserve"> idea </w:t>
      </w:r>
      <w:r w:rsidR="008B20E1">
        <w:rPr>
          <w:rFonts w:ascii="Gill Sans MT" w:hAnsi="Gill Sans MT"/>
        </w:rPr>
        <w:t xml:space="preserve">which underpins the formation and termination of governments.  </w:t>
      </w:r>
      <w:r w:rsidR="006724E4">
        <w:rPr>
          <w:rFonts w:ascii="Gill Sans MT" w:hAnsi="Gill Sans MT"/>
        </w:rPr>
        <w:t>A</w:t>
      </w:r>
      <w:r w:rsidR="000D195A">
        <w:rPr>
          <w:rFonts w:ascii="Gill Sans MT" w:hAnsi="Gill Sans MT"/>
        </w:rPr>
        <w:t xml:space="preserve"> government must be drawn fro</w:t>
      </w:r>
      <w:r w:rsidR="006724E4">
        <w:rPr>
          <w:rFonts w:ascii="Gill Sans MT" w:hAnsi="Gill Sans MT"/>
        </w:rPr>
        <w:t>m and operate within</w:t>
      </w:r>
      <w:r w:rsidR="000D195A">
        <w:rPr>
          <w:rFonts w:ascii="Gill Sans MT" w:hAnsi="Gill Sans MT"/>
        </w:rPr>
        <w:t xml:space="preserve"> the legislature</w:t>
      </w:r>
      <w:r w:rsidR="006724E4">
        <w:rPr>
          <w:rFonts w:ascii="Gill Sans MT" w:hAnsi="Gill Sans MT"/>
        </w:rPr>
        <w:t xml:space="preserve"> </w:t>
      </w:r>
      <w:r w:rsidR="008B20E1">
        <w:rPr>
          <w:rFonts w:ascii="Gill Sans MT" w:hAnsi="Gill Sans MT"/>
        </w:rPr>
        <w:t>to retain office</w:t>
      </w:r>
      <w:r w:rsidR="000D195A">
        <w:rPr>
          <w:rFonts w:ascii="Gill Sans MT" w:hAnsi="Gill Sans MT"/>
        </w:rPr>
        <w:t xml:space="preserve">, </w:t>
      </w:r>
      <w:r w:rsidR="006724E4">
        <w:rPr>
          <w:rFonts w:ascii="Gill Sans MT" w:hAnsi="Gill Sans MT"/>
        </w:rPr>
        <w:t xml:space="preserve">but </w:t>
      </w:r>
      <w:r w:rsidR="000D195A">
        <w:rPr>
          <w:rFonts w:ascii="Gill Sans MT" w:hAnsi="Gill Sans MT"/>
        </w:rPr>
        <w:t xml:space="preserve">an administration </w:t>
      </w:r>
      <w:r w:rsidR="006724E4">
        <w:rPr>
          <w:rFonts w:ascii="Gill Sans MT" w:hAnsi="Gill Sans MT"/>
        </w:rPr>
        <w:t xml:space="preserve">which </w:t>
      </w:r>
      <w:r w:rsidR="000D195A">
        <w:rPr>
          <w:rFonts w:ascii="Gill Sans MT" w:hAnsi="Gill Sans MT"/>
        </w:rPr>
        <w:t>no longer command</w:t>
      </w:r>
      <w:r w:rsidR="006724E4">
        <w:rPr>
          <w:rFonts w:ascii="Gill Sans MT" w:hAnsi="Gill Sans MT"/>
        </w:rPr>
        <w:t>s</w:t>
      </w:r>
      <w:r w:rsidR="000D195A">
        <w:rPr>
          <w:rFonts w:ascii="Gill Sans MT" w:hAnsi="Gill Sans MT"/>
        </w:rPr>
        <w:t xml:space="preserve"> a majority in the </w:t>
      </w:r>
      <w:r w:rsidR="009262AF">
        <w:rPr>
          <w:rFonts w:ascii="Gill Sans MT" w:hAnsi="Gill Sans MT"/>
        </w:rPr>
        <w:t>Commons</w:t>
      </w:r>
      <w:r w:rsidR="000D195A">
        <w:rPr>
          <w:rFonts w:ascii="Gill Sans MT" w:hAnsi="Gill Sans MT"/>
        </w:rPr>
        <w:t xml:space="preserve"> </w:t>
      </w:r>
      <w:r w:rsidR="006724E4">
        <w:rPr>
          <w:rFonts w:ascii="Gill Sans MT" w:hAnsi="Gill Sans MT"/>
        </w:rPr>
        <w:t>must</w:t>
      </w:r>
      <w:r w:rsidR="000D195A">
        <w:rPr>
          <w:rFonts w:ascii="Gill Sans MT" w:hAnsi="Gill Sans MT"/>
        </w:rPr>
        <w:t xml:space="preserve"> be replaced.</w:t>
      </w:r>
    </w:p>
    <w:p w14:paraId="38DFC73F" w14:textId="566FECAF" w:rsidR="00F44D46" w:rsidRPr="00F44D46" w:rsidRDefault="00075D42" w:rsidP="001137EA">
      <w:pPr>
        <w:spacing w:after="0" w:line="360" w:lineRule="auto"/>
        <w:ind w:firstLine="720"/>
        <w:jc w:val="both"/>
        <w:rPr>
          <w:rFonts w:ascii="Gill Sans MT" w:hAnsi="Gill Sans MT"/>
        </w:rPr>
      </w:pPr>
      <w:r>
        <w:rPr>
          <w:rFonts w:ascii="Gill Sans MT" w:hAnsi="Gill Sans MT"/>
        </w:rPr>
        <w:t>The sixth function of the legislature</w:t>
      </w:r>
      <w:r w:rsidR="00BC232E">
        <w:rPr>
          <w:rFonts w:ascii="Gill Sans MT" w:hAnsi="Gill Sans MT"/>
        </w:rPr>
        <w:t xml:space="preserve"> </w:t>
      </w:r>
      <w:r>
        <w:rPr>
          <w:rFonts w:ascii="Gill Sans MT" w:hAnsi="Gill Sans MT"/>
        </w:rPr>
        <w:t xml:space="preserve">is </w:t>
      </w:r>
      <w:r w:rsidRPr="003037F0">
        <w:rPr>
          <w:rFonts w:ascii="Gill Sans MT" w:hAnsi="Gill Sans MT"/>
        </w:rPr>
        <w:t xml:space="preserve">the </w:t>
      </w:r>
      <w:r w:rsidR="001D4C8E" w:rsidRPr="003037F0">
        <w:rPr>
          <w:rFonts w:ascii="Gill Sans MT" w:hAnsi="Gill Sans MT"/>
        </w:rPr>
        <w:t>legitimation of the wider political syste</w:t>
      </w:r>
      <w:r w:rsidRPr="003037F0">
        <w:rPr>
          <w:rFonts w:ascii="Gill Sans MT" w:hAnsi="Gill Sans MT"/>
        </w:rPr>
        <w:t xml:space="preserve">m.  </w:t>
      </w:r>
      <w:r w:rsidR="003037F0" w:rsidRPr="003037F0">
        <w:rPr>
          <w:rFonts w:ascii="Gill Sans MT" w:hAnsi="Gill Sans MT"/>
        </w:rPr>
        <w:t>As Elton argues, Parliament was</w:t>
      </w:r>
      <w:r w:rsidR="00F55C04" w:rsidRPr="003037F0">
        <w:rPr>
          <w:rFonts w:ascii="Gill Sans MT" w:hAnsi="Gill Sans MT"/>
        </w:rPr>
        <w:t xml:space="preserve"> </w:t>
      </w:r>
      <w:r w:rsidR="003037F0" w:rsidRPr="003037F0">
        <w:rPr>
          <w:rFonts w:ascii="Gill Sans MT" w:hAnsi="Gill Sans MT"/>
        </w:rPr>
        <w:t>‘the premier point of contact between rulers and ruled, between the Crown and the political nation, in the sixteenth century’ and ‘fulfilled its function as a stabilizing mechanism because it was usable and used to satisfy legitimate and potentially powerful aspirations’.</w:t>
      </w:r>
      <w:r w:rsidR="003037F0" w:rsidRPr="003037F0">
        <w:rPr>
          <w:rStyle w:val="FootnoteReference"/>
          <w:rFonts w:ascii="Gill Sans MT" w:hAnsi="Gill Sans MT"/>
        </w:rPr>
        <w:footnoteReference w:id="31"/>
      </w:r>
      <w:r w:rsidR="003037F0">
        <w:rPr>
          <w:rFonts w:ascii="Gill Sans MT" w:hAnsi="Gill Sans MT"/>
        </w:rPr>
        <w:t xml:space="preserve">  Parliament provided a forum which connected those with authority and those subject to it</w:t>
      </w:r>
      <w:r w:rsidR="00503150">
        <w:rPr>
          <w:rFonts w:ascii="Gill Sans MT" w:hAnsi="Gill Sans MT"/>
        </w:rPr>
        <w:t>.  E</w:t>
      </w:r>
      <w:r w:rsidR="003037F0">
        <w:rPr>
          <w:rFonts w:ascii="Gill Sans MT" w:hAnsi="Gill Sans MT"/>
        </w:rPr>
        <w:t>ven prior to the advent of democracy in the UK</w:t>
      </w:r>
      <w:r w:rsidR="00503150">
        <w:rPr>
          <w:rFonts w:ascii="Gill Sans MT" w:hAnsi="Gill Sans MT"/>
        </w:rPr>
        <w:t>,</w:t>
      </w:r>
      <w:r w:rsidR="003037F0">
        <w:rPr>
          <w:rFonts w:ascii="Gill Sans MT" w:hAnsi="Gill Sans MT"/>
        </w:rPr>
        <w:t xml:space="preserve"> when this connection was theoretical rather than actual, </w:t>
      </w:r>
      <w:r w:rsidR="00503150">
        <w:rPr>
          <w:rFonts w:ascii="Gill Sans MT" w:hAnsi="Gill Sans MT"/>
        </w:rPr>
        <w:t xml:space="preserve">governing with and through a legislature </w:t>
      </w:r>
      <w:r w:rsidR="003037F0">
        <w:rPr>
          <w:rFonts w:ascii="Gill Sans MT" w:hAnsi="Gill Sans MT"/>
        </w:rPr>
        <w:t xml:space="preserve">offered a greater justification for the exercise of power than could be claimed by a hereditary monarch acting on their own judgement.  That Parliament performed some legitimising function, does not mean that </w:t>
      </w:r>
      <w:r w:rsidR="003B579A" w:rsidRPr="00F44D46">
        <w:rPr>
          <w:rFonts w:ascii="Gill Sans MT" w:hAnsi="Gill Sans MT"/>
        </w:rPr>
        <w:t>Parliament has been a benevolent institution throughout the history of the UK</w:t>
      </w:r>
      <w:r w:rsidR="005D3D8A">
        <w:rPr>
          <w:rFonts w:ascii="Gill Sans MT" w:hAnsi="Gill Sans MT"/>
        </w:rPr>
        <w:t xml:space="preserve">.  Indeed, Parliament played a central </w:t>
      </w:r>
      <w:r w:rsidR="003B579A" w:rsidRPr="00F44D46">
        <w:rPr>
          <w:rFonts w:ascii="Gill Sans MT" w:hAnsi="Gill Sans MT"/>
        </w:rPr>
        <w:t xml:space="preserve">role in enabling the worst </w:t>
      </w:r>
      <w:r w:rsidR="005D3D8A">
        <w:rPr>
          <w:rFonts w:ascii="Gill Sans MT" w:hAnsi="Gill Sans MT"/>
        </w:rPr>
        <w:t xml:space="preserve">atrocities </w:t>
      </w:r>
      <w:r w:rsidR="003B579A" w:rsidRPr="00F44D46">
        <w:rPr>
          <w:rFonts w:ascii="Gill Sans MT" w:hAnsi="Gill Sans MT"/>
        </w:rPr>
        <w:t xml:space="preserve">of the </w:t>
      </w:r>
      <w:r w:rsidR="003B579A" w:rsidRPr="00F44D46">
        <w:rPr>
          <w:rFonts w:ascii="Gill Sans MT" w:hAnsi="Gill Sans MT"/>
        </w:rPr>
        <w:lastRenderedPageBreak/>
        <w:t>British state</w:t>
      </w:r>
      <w:r w:rsidR="005D3D8A">
        <w:rPr>
          <w:rFonts w:ascii="Gill Sans MT" w:hAnsi="Gill Sans MT"/>
        </w:rPr>
        <w:t>, including s</w:t>
      </w:r>
      <w:r w:rsidR="003B579A" w:rsidRPr="00F44D46">
        <w:rPr>
          <w:rFonts w:ascii="Gill Sans MT" w:hAnsi="Gill Sans MT"/>
        </w:rPr>
        <w:t>lavery,</w:t>
      </w:r>
      <w:r w:rsidR="005D3D8A">
        <w:rPr>
          <w:rFonts w:ascii="Gill Sans MT" w:hAnsi="Gill Sans MT"/>
        </w:rPr>
        <w:t xml:space="preserve"> </w:t>
      </w:r>
      <w:r w:rsidR="00BC232E">
        <w:rPr>
          <w:rFonts w:ascii="Gill Sans MT" w:hAnsi="Gill Sans MT"/>
        </w:rPr>
        <w:t xml:space="preserve">colonialism, </w:t>
      </w:r>
      <w:r w:rsidR="005D3D8A">
        <w:rPr>
          <w:rFonts w:ascii="Gill Sans MT" w:hAnsi="Gill Sans MT"/>
        </w:rPr>
        <w:t xml:space="preserve">and </w:t>
      </w:r>
      <w:r w:rsidR="00D14CCC">
        <w:rPr>
          <w:rFonts w:ascii="Gill Sans MT" w:hAnsi="Gill Sans MT"/>
        </w:rPr>
        <w:t>other</w:t>
      </w:r>
      <w:r w:rsidR="005D3D8A">
        <w:rPr>
          <w:rFonts w:ascii="Gill Sans MT" w:hAnsi="Gill Sans MT"/>
        </w:rPr>
        <w:t xml:space="preserve"> oppressi</w:t>
      </w:r>
      <w:r w:rsidR="00BC232E">
        <w:rPr>
          <w:rFonts w:ascii="Gill Sans MT" w:hAnsi="Gill Sans MT"/>
        </w:rPr>
        <w:t xml:space="preserve">ons </w:t>
      </w:r>
      <w:r w:rsidR="005D3D8A">
        <w:rPr>
          <w:rFonts w:ascii="Gill Sans MT" w:hAnsi="Gill Sans MT"/>
        </w:rPr>
        <w:t>of E</w:t>
      </w:r>
      <w:r w:rsidR="003B579A" w:rsidRPr="00F44D46">
        <w:rPr>
          <w:rFonts w:ascii="Gill Sans MT" w:hAnsi="Gill Sans MT"/>
        </w:rPr>
        <w:t>mpire</w:t>
      </w:r>
      <w:r w:rsidR="005D3D8A">
        <w:rPr>
          <w:rFonts w:ascii="Gill Sans MT" w:hAnsi="Gill Sans MT"/>
        </w:rPr>
        <w:t>.</w:t>
      </w:r>
      <w:r w:rsidR="006F3A98">
        <w:rPr>
          <w:rStyle w:val="FootnoteReference"/>
          <w:rFonts w:ascii="Gill Sans MT" w:hAnsi="Gill Sans MT"/>
        </w:rPr>
        <w:footnoteReference w:id="32"/>
      </w:r>
      <w:r w:rsidR="005D3D8A">
        <w:rPr>
          <w:rFonts w:ascii="Gill Sans MT" w:hAnsi="Gill Sans MT"/>
        </w:rPr>
        <w:t xml:space="preserve">  </w:t>
      </w:r>
      <w:r w:rsidR="00DF3C9C">
        <w:rPr>
          <w:rFonts w:ascii="Gill Sans MT" w:hAnsi="Gill Sans MT"/>
        </w:rPr>
        <w:t>H</w:t>
      </w:r>
      <w:r w:rsidR="00503150">
        <w:rPr>
          <w:rFonts w:ascii="Gill Sans MT" w:hAnsi="Gill Sans MT"/>
        </w:rPr>
        <w:t>owever</w:t>
      </w:r>
      <w:r w:rsidR="006F3A98">
        <w:rPr>
          <w:rFonts w:ascii="Gill Sans MT" w:hAnsi="Gill Sans MT"/>
        </w:rPr>
        <w:t xml:space="preserve">, we </w:t>
      </w:r>
      <w:r w:rsidR="00503150">
        <w:rPr>
          <w:rFonts w:ascii="Gill Sans MT" w:hAnsi="Gill Sans MT"/>
        </w:rPr>
        <w:t>must</w:t>
      </w:r>
      <w:r w:rsidR="006F3A98">
        <w:rPr>
          <w:rFonts w:ascii="Gill Sans MT" w:hAnsi="Gill Sans MT"/>
        </w:rPr>
        <w:t xml:space="preserve"> recognise that Parliament played a significant role in legitimising the constitutional system in which these decisions were taken.</w:t>
      </w:r>
      <w:r w:rsidR="00503150">
        <w:rPr>
          <w:rFonts w:ascii="Gill Sans MT" w:hAnsi="Gill Sans MT"/>
        </w:rPr>
        <w:t xml:space="preserve">  Following the slow democratisation of the House of Commons between 1832 and 1928, the UK’s legislature gained a clearer claim to legitimacy, and is better positioned to perform its legitimating role</w:t>
      </w:r>
      <w:r w:rsidR="00653F10">
        <w:rPr>
          <w:rFonts w:ascii="Gill Sans MT" w:hAnsi="Gill Sans MT"/>
        </w:rPr>
        <w:t xml:space="preserve"> (without this guaranteeing the legitimacy of every substantive decision it makes).</w:t>
      </w:r>
      <w:r w:rsidR="00503150">
        <w:rPr>
          <w:rFonts w:ascii="Gill Sans MT" w:hAnsi="Gill Sans MT"/>
        </w:rPr>
        <w:t xml:space="preserve"> </w:t>
      </w:r>
    </w:p>
    <w:p w14:paraId="2C967D21" w14:textId="08504149" w:rsidR="003C08CE" w:rsidRPr="00F44D46" w:rsidRDefault="00861CD5" w:rsidP="001137EA">
      <w:pPr>
        <w:spacing w:after="0" w:line="360" w:lineRule="auto"/>
        <w:ind w:firstLine="720"/>
        <w:jc w:val="both"/>
        <w:rPr>
          <w:rFonts w:ascii="Gill Sans MT" w:hAnsi="Gill Sans MT"/>
        </w:rPr>
      </w:pPr>
      <w:r>
        <w:rPr>
          <w:rFonts w:ascii="Gill Sans MT" w:hAnsi="Gill Sans MT"/>
        </w:rPr>
        <w:t>O</w:t>
      </w:r>
      <w:r w:rsidR="003C08CE" w:rsidRPr="00F44D46">
        <w:rPr>
          <w:rFonts w:ascii="Gill Sans MT" w:hAnsi="Gill Sans MT"/>
        </w:rPr>
        <w:t>ther functions</w:t>
      </w:r>
      <w:r w:rsidR="006F3A98">
        <w:rPr>
          <w:rFonts w:ascii="Gill Sans MT" w:hAnsi="Gill Sans MT"/>
        </w:rPr>
        <w:t xml:space="preserve"> </w:t>
      </w:r>
      <w:r w:rsidR="00F90517">
        <w:rPr>
          <w:rFonts w:ascii="Gill Sans MT" w:hAnsi="Gill Sans MT"/>
        </w:rPr>
        <w:t xml:space="preserve">were </w:t>
      </w:r>
      <w:r w:rsidR="006F3A98">
        <w:rPr>
          <w:rFonts w:ascii="Gill Sans MT" w:hAnsi="Gill Sans MT"/>
        </w:rPr>
        <w:t xml:space="preserve">exercised by the legislature at different points in the UK’s </w:t>
      </w:r>
      <w:proofErr w:type="gramStart"/>
      <w:r w:rsidR="006F3A98">
        <w:rPr>
          <w:rFonts w:ascii="Gill Sans MT" w:hAnsi="Gill Sans MT"/>
        </w:rPr>
        <w:t>history</w:t>
      </w:r>
      <w:r>
        <w:rPr>
          <w:rFonts w:ascii="Gill Sans MT" w:hAnsi="Gill Sans MT"/>
        </w:rPr>
        <w:t>, but</w:t>
      </w:r>
      <w:proofErr w:type="gramEnd"/>
      <w:r w:rsidR="006F3A98">
        <w:rPr>
          <w:rFonts w:ascii="Gill Sans MT" w:hAnsi="Gill Sans MT"/>
        </w:rPr>
        <w:t xml:space="preserve"> have</w:t>
      </w:r>
      <w:r w:rsidR="003C08CE" w:rsidRPr="00F44D46">
        <w:rPr>
          <w:rFonts w:ascii="Gill Sans MT" w:hAnsi="Gill Sans MT"/>
        </w:rPr>
        <w:t xml:space="preserve"> fallen away</w:t>
      </w:r>
      <w:r w:rsidR="00F90517">
        <w:rPr>
          <w:rFonts w:ascii="Gill Sans MT" w:hAnsi="Gill Sans MT"/>
        </w:rPr>
        <w:t xml:space="preserve">.  </w:t>
      </w:r>
      <w:r>
        <w:rPr>
          <w:rFonts w:ascii="Gill Sans MT" w:hAnsi="Gill Sans MT"/>
        </w:rPr>
        <w:t>T</w:t>
      </w:r>
      <w:r w:rsidR="006F3A98">
        <w:rPr>
          <w:rFonts w:ascii="Gill Sans MT" w:hAnsi="Gill Sans MT"/>
        </w:rPr>
        <w:t xml:space="preserve">he most important example </w:t>
      </w:r>
      <w:r w:rsidR="00F90517">
        <w:rPr>
          <w:rFonts w:ascii="Gill Sans MT" w:hAnsi="Gill Sans MT"/>
        </w:rPr>
        <w:t>is</w:t>
      </w:r>
      <w:r w:rsidR="006F3A98">
        <w:rPr>
          <w:rFonts w:ascii="Gill Sans MT" w:hAnsi="Gill Sans MT"/>
        </w:rPr>
        <w:t xml:space="preserve"> the idea of </w:t>
      </w:r>
      <w:r w:rsidR="003C08CE" w:rsidRPr="00F44D46">
        <w:rPr>
          <w:rFonts w:ascii="Gill Sans MT" w:hAnsi="Gill Sans MT"/>
        </w:rPr>
        <w:t xml:space="preserve">Parliament </w:t>
      </w:r>
      <w:r w:rsidR="006F3A98">
        <w:rPr>
          <w:rFonts w:ascii="Gill Sans MT" w:hAnsi="Gill Sans MT"/>
        </w:rPr>
        <w:t xml:space="preserve">operating </w:t>
      </w:r>
      <w:r w:rsidR="003C08CE" w:rsidRPr="00F44D46">
        <w:rPr>
          <w:rFonts w:ascii="Gill Sans MT" w:hAnsi="Gill Sans MT"/>
        </w:rPr>
        <w:t xml:space="preserve">as a High Court receiving </w:t>
      </w:r>
      <w:r w:rsidR="00DF5772" w:rsidRPr="00F44D46">
        <w:rPr>
          <w:rFonts w:ascii="Gill Sans MT" w:hAnsi="Gill Sans MT"/>
        </w:rPr>
        <w:t xml:space="preserve">individual </w:t>
      </w:r>
      <w:r w:rsidR="003C08CE" w:rsidRPr="00F44D46">
        <w:rPr>
          <w:rFonts w:ascii="Gill Sans MT" w:hAnsi="Gill Sans MT"/>
        </w:rPr>
        <w:t xml:space="preserve">pleas </w:t>
      </w:r>
      <w:r w:rsidR="00DF5772" w:rsidRPr="00F44D46">
        <w:rPr>
          <w:rFonts w:ascii="Gill Sans MT" w:hAnsi="Gill Sans MT"/>
        </w:rPr>
        <w:t>for justice</w:t>
      </w:r>
      <w:r w:rsidR="00F90517">
        <w:rPr>
          <w:rFonts w:ascii="Gill Sans MT" w:hAnsi="Gill Sans MT"/>
          <w:b/>
          <w:bCs/>
        </w:rPr>
        <w:t>.</w:t>
      </w:r>
      <w:r w:rsidR="00DF5772" w:rsidRPr="00F44D46">
        <w:rPr>
          <w:rFonts w:ascii="Gill Sans MT" w:hAnsi="Gill Sans MT"/>
        </w:rPr>
        <w:t xml:space="preserve">  </w:t>
      </w:r>
      <w:r w:rsidR="00F90517">
        <w:rPr>
          <w:rFonts w:ascii="Gill Sans MT" w:hAnsi="Gill Sans MT"/>
        </w:rPr>
        <w:t xml:space="preserve">This was far from a trivial function; </w:t>
      </w:r>
      <w:r w:rsidR="00DF5772" w:rsidRPr="00F44D46">
        <w:rPr>
          <w:rFonts w:ascii="Gill Sans MT" w:hAnsi="Gill Sans MT"/>
        </w:rPr>
        <w:t xml:space="preserve">Pollard argues </w:t>
      </w:r>
      <w:r w:rsidR="00F90517">
        <w:rPr>
          <w:rFonts w:ascii="Gill Sans MT" w:hAnsi="Gill Sans MT"/>
        </w:rPr>
        <w:t>it</w:t>
      </w:r>
      <w:r w:rsidR="00DF5772" w:rsidRPr="00F44D46">
        <w:rPr>
          <w:rFonts w:ascii="Gill Sans MT" w:hAnsi="Gill Sans MT"/>
        </w:rPr>
        <w:t xml:space="preserve"> was key to the development of Parliament as an institution:  ‘It was to a high court of law and justice that the taxing and representative factors of parliament were wedded; and it was this union that gave the English parliament its strength.’</w:t>
      </w:r>
      <w:r w:rsidR="00DF5772" w:rsidRPr="00F44D46">
        <w:rPr>
          <w:rStyle w:val="FootnoteReference"/>
          <w:rFonts w:ascii="Gill Sans MT" w:hAnsi="Gill Sans MT"/>
        </w:rPr>
        <w:footnoteReference w:id="33"/>
      </w:r>
      <w:r w:rsidR="00F44D46">
        <w:rPr>
          <w:rFonts w:ascii="Gill Sans MT" w:hAnsi="Gill Sans MT"/>
        </w:rPr>
        <w:t xml:space="preserve">  </w:t>
      </w:r>
      <w:r w:rsidR="007D0293">
        <w:rPr>
          <w:rFonts w:ascii="Gill Sans MT" w:hAnsi="Gill Sans MT"/>
        </w:rPr>
        <w:t xml:space="preserve">In the late fourteenth century, </w:t>
      </w:r>
      <w:r w:rsidR="00F44D46">
        <w:rPr>
          <w:rFonts w:ascii="Gill Sans MT" w:hAnsi="Gill Sans MT"/>
        </w:rPr>
        <w:t xml:space="preserve">panels </w:t>
      </w:r>
      <w:r w:rsidR="00904140">
        <w:rPr>
          <w:rFonts w:ascii="Gill Sans MT" w:hAnsi="Gill Sans MT"/>
        </w:rPr>
        <w:t xml:space="preserve">of peers </w:t>
      </w:r>
      <w:r w:rsidR="007D0293">
        <w:rPr>
          <w:rFonts w:ascii="Gill Sans MT" w:hAnsi="Gill Sans MT"/>
        </w:rPr>
        <w:t xml:space="preserve">were still </w:t>
      </w:r>
      <w:r w:rsidR="00F90517">
        <w:rPr>
          <w:rFonts w:ascii="Gill Sans MT" w:hAnsi="Gill Sans MT"/>
        </w:rPr>
        <w:t xml:space="preserve">set up </w:t>
      </w:r>
      <w:r w:rsidR="00F44D46">
        <w:rPr>
          <w:rFonts w:ascii="Gill Sans MT" w:hAnsi="Gill Sans MT"/>
        </w:rPr>
        <w:t xml:space="preserve">to receive </w:t>
      </w:r>
      <w:r w:rsidR="00904140">
        <w:rPr>
          <w:rFonts w:ascii="Gill Sans MT" w:hAnsi="Gill Sans MT"/>
        </w:rPr>
        <w:t xml:space="preserve">private </w:t>
      </w:r>
      <w:r w:rsidR="00F44D46">
        <w:rPr>
          <w:rFonts w:ascii="Gill Sans MT" w:hAnsi="Gill Sans MT"/>
        </w:rPr>
        <w:t>petitions in Parliament</w:t>
      </w:r>
      <w:r w:rsidR="00F90517">
        <w:rPr>
          <w:rFonts w:ascii="Gill Sans MT" w:hAnsi="Gill Sans MT"/>
        </w:rPr>
        <w:t xml:space="preserve">, yet </w:t>
      </w:r>
      <w:r w:rsidR="007D0293">
        <w:rPr>
          <w:rFonts w:ascii="Gill Sans MT" w:hAnsi="Gill Sans MT"/>
        </w:rPr>
        <w:t xml:space="preserve">by this point </w:t>
      </w:r>
      <w:r w:rsidR="00912A26">
        <w:rPr>
          <w:rFonts w:ascii="Gill Sans MT" w:hAnsi="Gill Sans MT"/>
        </w:rPr>
        <w:t>it</w:t>
      </w:r>
      <w:r w:rsidR="00F90517">
        <w:rPr>
          <w:rFonts w:ascii="Gill Sans MT" w:hAnsi="Gill Sans MT"/>
        </w:rPr>
        <w:t xml:space="preserve"> had become </w:t>
      </w:r>
      <w:r w:rsidR="00F44D46">
        <w:rPr>
          <w:rFonts w:ascii="Gill Sans MT" w:hAnsi="Gill Sans MT"/>
        </w:rPr>
        <w:t>‘an ancient but now relatively unimportant part of parliament’ because ‘petitions could be presented to the king, the council or the chancellor at any time’.</w:t>
      </w:r>
      <w:r w:rsidR="00F44D46">
        <w:rPr>
          <w:rStyle w:val="FootnoteReference"/>
          <w:rFonts w:ascii="Gill Sans MT" w:hAnsi="Gill Sans MT"/>
        </w:rPr>
        <w:footnoteReference w:id="34"/>
      </w:r>
      <w:r w:rsidR="004E5865">
        <w:rPr>
          <w:rFonts w:ascii="Gill Sans MT" w:hAnsi="Gill Sans MT"/>
        </w:rPr>
        <w:t xml:space="preserve">  </w:t>
      </w:r>
      <w:r w:rsidR="007D0293">
        <w:rPr>
          <w:rFonts w:ascii="Gill Sans MT" w:hAnsi="Gill Sans MT"/>
        </w:rPr>
        <w:t>Members of the</w:t>
      </w:r>
      <w:r w:rsidR="00F90517">
        <w:rPr>
          <w:rFonts w:ascii="Gill Sans MT" w:hAnsi="Gill Sans MT"/>
        </w:rPr>
        <w:t xml:space="preserve"> House of Lords with legal expertise</w:t>
      </w:r>
      <w:r w:rsidR="007D0293">
        <w:rPr>
          <w:rFonts w:ascii="Gill Sans MT" w:hAnsi="Gill Sans MT"/>
        </w:rPr>
        <w:t xml:space="preserve"> continued to act as a final court of appeal, and after a radical decline in cases in the sixteenth century, </w:t>
      </w:r>
      <w:r w:rsidR="00CB5943">
        <w:rPr>
          <w:rFonts w:ascii="Gill Sans MT" w:hAnsi="Gill Sans MT"/>
        </w:rPr>
        <w:t>this</w:t>
      </w:r>
      <w:r w:rsidR="007D0293">
        <w:rPr>
          <w:rFonts w:ascii="Gill Sans MT" w:hAnsi="Gill Sans MT"/>
        </w:rPr>
        <w:t xml:space="preserve"> work expanded again </w:t>
      </w:r>
      <w:r w:rsidR="00DB681E">
        <w:rPr>
          <w:rFonts w:ascii="Gill Sans MT" w:hAnsi="Gill Sans MT"/>
        </w:rPr>
        <w:t>from</w:t>
      </w:r>
      <w:r w:rsidR="007D0293">
        <w:rPr>
          <w:rFonts w:ascii="Gill Sans MT" w:hAnsi="Gill Sans MT"/>
        </w:rPr>
        <w:t xml:space="preserve"> the seventeenth century</w:t>
      </w:r>
      <w:r w:rsidR="00DB681E">
        <w:rPr>
          <w:rFonts w:ascii="Gill Sans MT" w:hAnsi="Gill Sans MT"/>
        </w:rPr>
        <w:t xml:space="preserve"> onwards</w:t>
      </w:r>
      <w:r w:rsidR="00F90517">
        <w:rPr>
          <w:rFonts w:ascii="Gill Sans MT" w:hAnsi="Gill Sans MT"/>
        </w:rPr>
        <w:t xml:space="preserve">.  </w:t>
      </w:r>
      <w:r w:rsidR="00DB681E">
        <w:rPr>
          <w:rFonts w:ascii="Gill Sans MT" w:hAnsi="Gill Sans MT"/>
        </w:rPr>
        <w:t>The professionalisation of the judicial element of the Lords was confirmed by the</w:t>
      </w:r>
      <w:r w:rsidR="007D0293">
        <w:rPr>
          <w:rFonts w:ascii="Gill Sans MT" w:hAnsi="Gill Sans MT"/>
        </w:rPr>
        <w:t xml:space="preserve"> Appellate Jurisdiction Act 1</w:t>
      </w:r>
      <w:r w:rsidR="00DB681E">
        <w:rPr>
          <w:rFonts w:ascii="Gill Sans MT" w:hAnsi="Gill Sans MT"/>
        </w:rPr>
        <w:t>8</w:t>
      </w:r>
      <w:r w:rsidR="007D0293">
        <w:rPr>
          <w:rFonts w:ascii="Gill Sans MT" w:hAnsi="Gill Sans MT"/>
        </w:rPr>
        <w:t>76</w:t>
      </w:r>
      <w:r w:rsidR="00DB681E">
        <w:rPr>
          <w:rFonts w:ascii="Gill Sans MT" w:hAnsi="Gill Sans MT"/>
        </w:rPr>
        <w:t xml:space="preserve">, which allowed the appointment of salaried judges as Law Lords.  The Appellate Committee of the House of Lords continued to function as the highest court of appeal in the UK until </w:t>
      </w:r>
      <w:r>
        <w:rPr>
          <w:rFonts w:ascii="Gill Sans MT" w:hAnsi="Gill Sans MT"/>
        </w:rPr>
        <w:t>200</w:t>
      </w:r>
      <w:r w:rsidR="00D94863">
        <w:rPr>
          <w:rFonts w:ascii="Gill Sans MT" w:hAnsi="Gill Sans MT"/>
        </w:rPr>
        <w:t>9</w:t>
      </w:r>
      <w:r>
        <w:rPr>
          <w:rFonts w:ascii="Gill Sans MT" w:hAnsi="Gill Sans MT"/>
        </w:rPr>
        <w:t xml:space="preserve"> when it was</w:t>
      </w:r>
      <w:r w:rsidR="00DB681E">
        <w:rPr>
          <w:rFonts w:ascii="Gill Sans MT" w:hAnsi="Gill Sans MT"/>
        </w:rPr>
        <w:t xml:space="preserve"> replaced by a Supreme Court</w:t>
      </w:r>
      <w:r w:rsidR="00F31484">
        <w:rPr>
          <w:rFonts w:ascii="Gill Sans MT" w:hAnsi="Gill Sans MT"/>
        </w:rPr>
        <w:t>, suggesting that the residual judicial role was a function which occurred within the legislature rather than a function of the legislature more generally</w:t>
      </w:r>
      <w:r w:rsidR="00DB681E">
        <w:rPr>
          <w:rFonts w:ascii="Gill Sans MT" w:hAnsi="Gill Sans MT"/>
        </w:rPr>
        <w:t>.</w:t>
      </w:r>
      <w:r w:rsidR="00DB681E">
        <w:rPr>
          <w:rStyle w:val="FootnoteReference"/>
          <w:rFonts w:ascii="Gill Sans MT" w:hAnsi="Gill Sans MT"/>
        </w:rPr>
        <w:footnoteReference w:id="35"/>
      </w:r>
      <w:r w:rsidR="00DB681E">
        <w:rPr>
          <w:rFonts w:ascii="Gill Sans MT" w:hAnsi="Gill Sans MT"/>
        </w:rPr>
        <w:t xml:space="preserve">  </w:t>
      </w:r>
      <w:r w:rsidR="00CB5943">
        <w:rPr>
          <w:rFonts w:ascii="Gill Sans MT" w:hAnsi="Gill Sans MT"/>
        </w:rPr>
        <w:t>.</w:t>
      </w:r>
    </w:p>
    <w:p w14:paraId="4680599B" w14:textId="3A9C21AD" w:rsidR="00644ADC" w:rsidRPr="001D4C8E" w:rsidRDefault="00A03E61" w:rsidP="001137EA">
      <w:pPr>
        <w:spacing w:after="0" w:line="360" w:lineRule="auto"/>
        <w:ind w:firstLine="720"/>
        <w:jc w:val="both"/>
        <w:rPr>
          <w:rFonts w:ascii="Gill Sans MT" w:hAnsi="Gill Sans MT"/>
        </w:rPr>
      </w:pPr>
      <w:r>
        <w:rPr>
          <w:rFonts w:ascii="Gill Sans MT" w:hAnsi="Gill Sans MT"/>
        </w:rPr>
        <w:t>.</w:t>
      </w:r>
    </w:p>
    <w:p w14:paraId="1B4332CE" w14:textId="77777777" w:rsidR="00E150D0" w:rsidRPr="00E150D0" w:rsidRDefault="00E150D0" w:rsidP="001137EA">
      <w:pPr>
        <w:spacing w:after="0" w:line="360" w:lineRule="auto"/>
        <w:rPr>
          <w:rFonts w:ascii="Gill Sans MT" w:hAnsi="Gill Sans MT"/>
          <w:i/>
          <w:iCs/>
          <w:u w:val="single"/>
        </w:rPr>
      </w:pPr>
    </w:p>
    <w:p w14:paraId="2A38EAF7" w14:textId="23F14A1C" w:rsidR="00E150D0" w:rsidRDefault="00E150D0" w:rsidP="001137EA">
      <w:pPr>
        <w:pStyle w:val="ListParagraph"/>
        <w:numPr>
          <w:ilvl w:val="0"/>
          <w:numId w:val="1"/>
        </w:numPr>
        <w:spacing w:after="0" w:line="360" w:lineRule="auto"/>
        <w:rPr>
          <w:rFonts w:ascii="Gill Sans MT" w:hAnsi="Gill Sans MT"/>
          <w:i/>
          <w:iCs/>
          <w:u w:val="single"/>
        </w:rPr>
      </w:pPr>
      <w:r>
        <w:rPr>
          <w:rFonts w:ascii="Gill Sans MT" w:hAnsi="Gill Sans MT"/>
          <w:i/>
          <w:iCs/>
          <w:u w:val="single"/>
        </w:rPr>
        <w:t>Parliamentary Sovereignty</w:t>
      </w:r>
    </w:p>
    <w:p w14:paraId="7AB4CD7D" w14:textId="404B60AB" w:rsidR="00E150D0" w:rsidRDefault="00E150D0" w:rsidP="001137EA">
      <w:pPr>
        <w:spacing w:after="0" w:line="360" w:lineRule="auto"/>
        <w:rPr>
          <w:rFonts w:ascii="Gill Sans MT" w:hAnsi="Gill Sans MT"/>
          <w:i/>
          <w:iCs/>
          <w:u w:val="single"/>
        </w:rPr>
      </w:pPr>
    </w:p>
    <w:p w14:paraId="1ADF876D" w14:textId="5492EA1A" w:rsidR="00AA0DE4" w:rsidRDefault="005312A4" w:rsidP="001137EA">
      <w:pPr>
        <w:spacing w:after="0" w:line="360" w:lineRule="auto"/>
        <w:jc w:val="both"/>
        <w:rPr>
          <w:rFonts w:ascii="Gill Sans MT" w:hAnsi="Gill Sans MT"/>
        </w:rPr>
      </w:pPr>
      <w:r w:rsidRPr="005312A4">
        <w:rPr>
          <w:rFonts w:ascii="Gill Sans MT" w:hAnsi="Gill Sans MT"/>
        </w:rPr>
        <w:t>The first</w:t>
      </w:r>
      <w:r>
        <w:rPr>
          <w:rFonts w:ascii="Gill Sans MT" w:hAnsi="Gill Sans MT"/>
        </w:rPr>
        <w:t xml:space="preserve"> theme which illustrates the key position of the legislature in the UK’s constitutional history is parliamentary sovereignty.  Parliamentary sovereignty is the foundational principle of the UK’s constitution.  </w:t>
      </w:r>
      <w:r w:rsidR="00AA0DE4">
        <w:rPr>
          <w:rFonts w:ascii="Gill Sans MT" w:hAnsi="Gill Sans MT"/>
        </w:rPr>
        <w:t xml:space="preserve">It is a legal principle </w:t>
      </w:r>
      <w:r w:rsidR="00100252">
        <w:rPr>
          <w:rFonts w:ascii="Gill Sans MT" w:hAnsi="Gill Sans MT"/>
        </w:rPr>
        <w:t xml:space="preserve">that confers </w:t>
      </w:r>
      <w:r w:rsidR="00AA0DE4">
        <w:rPr>
          <w:rFonts w:ascii="Gill Sans MT" w:hAnsi="Gill Sans MT"/>
        </w:rPr>
        <w:t>unlimited law-making power</w:t>
      </w:r>
      <w:r w:rsidR="00100252">
        <w:rPr>
          <w:rFonts w:ascii="Gill Sans MT" w:hAnsi="Gill Sans MT"/>
        </w:rPr>
        <w:t xml:space="preserve"> on </w:t>
      </w:r>
      <w:r w:rsidR="00AA0DE4">
        <w:rPr>
          <w:rFonts w:ascii="Gill Sans MT" w:hAnsi="Gill Sans MT"/>
        </w:rPr>
        <w:t xml:space="preserve">‘the Queen-in-Parliament’: the House of Commons and the House of Lords, acting with the assent of the monarch.  In </w:t>
      </w:r>
      <w:proofErr w:type="spellStart"/>
      <w:r w:rsidR="00AA0DE4">
        <w:rPr>
          <w:rFonts w:ascii="Gill Sans MT" w:hAnsi="Gill Sans MT"/>
        </w:rPr>
        <w:t>Dicey’s</w:t>
      </w:r>
      <w:proofErr w:type="spellEnd"/>
      <w:r w:rsidR="00AA0DE4">
        <w:rPr>
          <w:rFonts w:ascii="Gill Sans MT" w:hAnsi="Gill Sans MT"/>
        </w:rPr>
        <w:t xml:space="preserve"> famous phrase, it means that Parliament has ‘the right to make or unmake any law whatever; </w:t>
      </w:r>
      <w:r w:rsidR="00AA0DE4">
        <w:rPr>
          <w:rFonts w:ascii="Gill Sans MT" w:hAnsi="Gill Sans MT"/>
        </w:rPr>
        <w:lastRenderedPageBreak/>
        <w:t>and, further, that no person or body is recognised by the law of England as having a right to override or set aside the legislation of Parliament’.</w:t>
      </w:r>
      <w:r w:rsidR="00AA0DE4">
        <w:rPr>
          <w:rStyle w:val="FootnoteReference"/>
          <w:rFonts w:ascii="Gill Sans MT" w:hAnsi="Gill Sans MT"/>
        </w:rPr>
        <w:footnoteReference w:id="36"/>
      </w:r>
      <w:r w:rsidR="00AA0DE4">
        <w:rPr>
          <w:rFonts w:ascii="Gill Sans MT" w:hAnsi="Gill Sans MT"/>
        </w:rPr>
        <w:t xml:space="preserve">  </w:t>
      </w:r>
    </w:p>
    <w:p w14:paraId="69D7788B" w14:textId="33838F73" w:rsidR="00B52AFF" w:rsidRDefault="00AA0DE4" w:rsidP="001137EA">
      <w:pPr>
        <w:spacing w:after="0" w:line="360" w:lineRule="auto"/>
        <w:ind w:firstLine="720"/>
        <w:jc w:val="both"/>
        <w:rPr>
          <w:rFonts w:ascii="Gill Sans MT" w:hAnsi="Gill Sans MT"/>
        </w:rPr>
      </w:pPr>
      <w:r>
        <w:rPr>
          <w:rFonts w:ascii="Gill Sans MT" w:hAnsi="Gill Sans MT"/>
        </w:rPr>
        <w:t xml:space="preserve">Yet it is not simply a principle distributing legal power.  Parliamentary sovereignty is also a legal doctrine with crucial constitutional implications.  It shapes and structures the constitution, and the institutional relationships and interactions which occur within it.  </w:t>
      </w:r>
      <w:r w:rsidR="00D6783F">
        <w:rPr>
          <w:rFonts w:ascii="Gill Sans MT" w:hAnsi="Gill Sans MT"/>
        </w:rPr>
        <w:t>It acts as a ‘central organising principle’, establishing the hierarchy of constitutional sources in the UK, as well as structuring the interactions between the legislature and the other constitutional actors who exercise their power in a framework which is premised on Parliament’s sovereignty.</w:t>
      </w:r>
      <w:r w:rsidR="00D6783F">
        <w:rPr>
          <w:rStyle w:val="FootnoteReference"/>
          <w:rFonts w:ascii="Gill Sans MT" w:hAnsi="Gill Sans MT"/>
        </w:rPr>
        <w:footnoteReference w:id="37"/>
      </w:r>
      <w:r w:rsidR="00D6783F">
        <w:rPr>
          <w:rFonts w:ascii="Gill Sans MT" w:hAnsi="Gill Sans MT"/>
        </w:rPr>
        <w:t xml:space="preserve">  And it functions as ‘constitutional focal point’, offering citizens and official actors a means by which to begin to access constitutional knowledge, while </w:t>
      </w:r>
      <w:r w:rsidR="00415AA8">
        <w:rPr>
          <w:rFonts w:ascii="Gill Sans MT" w:hAnsi="Gill Sans MT"/>
        </w:rPr>
        <w:t>sending a signal about the potential normative basis of the constitutional order</w:t>
      </w:r>
      <w:r w:rsidR="00486F87">
        <w:rPr>
          <w:rFonts w:ascii="Gill Sans MT" w:hAnsi="Gill Sans MT"/>
        </w:rPr>
        <w:t xml:space="preserve">.  This </w:t>
      </w:r>
      <w:r w:rsidR="00AD0764">
        <w:rPr>
          <w:rFonts w:ascii="Gill Sans MT" w:hAnsi="Gill Sans MT"/>
        </w:rPr>
        <w:t xml:space="preserve">in turn </w:t>
      </w:r>
      <w:r w:rsidR="00415AA8">
        <w:rPr>
          <w:rFonts w:ascii="Gill Sans MT" w:hAnsi="Gill Sans MT"/>
        </w:rPr>
        <w:t>creates space for necessary debate about the legitimacy of the</w:t>
      </w:r>
      <w:r w:rsidR="007D23E1">
        <w:rPr>
          <w:rFonts w:ascii="Gill Sans MT" w:hAnsi="Gill Sans MT"/>
        </w:rPr>
        <w:t xml:space="preserve"> system.</w:t>
      </w:r>
      <w:r w:rsidR="00BA4718">
        <w:rPr>
          <w:rStyle w:val="FootnoteReference"/>
          <w:rFonts w:ascii="Gill Sans MT" w:hAnsi="Gill Sans MT"/>
        </w:rPr>
        <w:footnoteReference w:id="38"/>
      </w:r>
    </w:p>
    <w:p w14:paraId="571574D5" w14:textId="3B53D3F0" w:rsidR="00073164" w:rsidRDefault="00D263F9" w:rsidP="001137EA">
      <w:pPr>
        <w:spacing w:after="0" w:line="360" w:lineRule="auto"/>
        <w:jc w:val="both"/>
        <w:rPr>
          <w:rFonts w:ascii="Gill Sans MT" w:hAnsi="Gill Sans MT"/>
        </w:rPr>
      </w:pPr>
      <w:r>
        <w:rPr>
          <w:rFonts w:ascii="Gill Sans MT" w:hAnsi="Gill Sans MT"/>
        </w:rPr>
        <w:tab/>
      </w:r>
      <w:r w:rsidR="00BE4A35">
        <w:rPr>
          <w:rFonts w:ascii="Gill Sans MT" w:hAnsi="Gill Sans MT"/>
        </w:rPr>
        <w:t xml:space="preserve">The </w:t>
      </w:r>
      <w:r w:rsidR="00100252">
        <w:rPr>
          <w:rFonts w:ascii="Gill Sans MT" w:hAnsi="Gill Sans MT"/>
        </w:rPr>
        <w:t>‘</w:t>
      </w:r>
      <w:r w:rsidR="00BE4A35">
        <w:rPr>
          <w:rFonts w:ascii="Gill Sans MT" w:hAnsi="Gill Sans MT"/>
        </w:rPr>
        <w:t>doctrine</w:t>
      </w:r>
      <w:r w:rsidR="00100252">
        <w:rPr>
          <w:rFonts w:ascii="Gill Sans MT" w:hAnsi="Gill Sans MT"/>
        </w:rPr>
        <w:t>’</w:t>
      </w:r>
      <w:r w:rsidR="00BE4A35">
        <w:rPr>
          <w:rFonts w:ascii="Gill Sans MT" w:hAnsi="Gill Sans MT"/>
        </w:rPr>
        <w:t xml:space="preserve"> of parliamentary sovereignty does not derive its force from being formally enacted in any legal or constitutional instrument or document</w:t>
      </w:r>
      <w:r w:rsidR="00C42556">
        <w:rPr>
          <w:rFonts w:ascii="Gill Sans MT" w:hAnsi="Gill Sans MT"/>
        </w:rPr>
        <w:t xml:space="preserve"> or by having been announced by courts</w:t>
      </w:r>
      <w:proofErr w:type="gramStart"/>
      <w:r w:rsidR="00BE4A35">
        <w:rPr>
          <w:rFonts w:ascii="Gill Sans MT" w:hAnsi="Gill Sans MT"/>
        </w:rPr>
        <w:t>.</w:t>
      </w:r>
      <w:r w:rsidR="00100252">
        <w:rPr>
          <w:rFonts w:ascii="Gill Sans MT" w:hAnsi="Gill Sans MT"/>
        </w:rPr>
        <w:t xml:space="preserve"> </w:t>
      </w:r>
      <w:proofErr w:type="gramEnd"/>
      <w:r w:rsidR="00100252">
        <w:rPr>
          <w:rFonts w:ascii="Gill Sans MT" w:hAnsi="Gill Sans MT"/>
        </w:rPr>
        <w:t>In other words,</w:t>
      </w:r>
      <w:r w:rsidR="008D3FB3">
        <w:rPr>
          <w:rFonts w:ascii="Gill Sans MT" w:eastAsia="Times New Roman" w:hAnsi="Gill Sans MT" w:cs="Segoe UI"/>
          <w:lang w:eastAsia="en-GB"/>
        </w:rPr>
        <w:t xml:space="preserve"> its authority does not derive from the legal system because it </w:t>
      </w:r>
      <w:r w:rsidR="009800A7">
        <w:rPr>
          <w:rFonts w:ascii="Gill Sans MT" w:eastAsia="Times New Roman" w:hAnsi="Gill Sans MT" w:cs="Segoe UI"/>
          <w:lang w:eastAsia="en-GB"/>
        </w:rPr>
        <w:t xml:space="preserve">constitutes the legal system, creating the very criteria by which the validity of law can be established.  </w:t>
      </w:r>
      <w:r w:rsidR="002D37CE">
        <w:rPr>
          <w:rFonts w:ascii="Gill Sans MT" w:eastAsia="Times New Roman" w:hAnsi="Gill Sans MT" w:cs="Segoe UI"/>
          <w:lang w:eastAsia="en-GB"/>
        </w:rPr>
        <w:t xml:space="preserve"> </w:t>
      </w:r>
      <w:r w:rsidR="00703869">
        <w:rPr>
          <w:rFonts w:ascii="Gill Sans MT" w:eastAsia="Times New Roman" w:hAnsi="Gill Sans MT" w:cs="Segoe UI"/>
          <w:lang w:eastAsia="en-GB"/>
        </w:rPr>
        <w:t>For Jennings, parliamentary sovereignty was crucially a product of the 17</w:t>
      </w:r>
      <w:r w:rsidR="00703869" w:rsidRPr="00703869">
        <w:rPr>
          <w:rFonts w:ascii="Gill Sans MT" w:eastAsia="Times New Roman" w:hAnsi="Gill Sans MT" w:cs="Segoe UI"/>
          <w:vertAlign w:val="superscript"/>
          <w:lang w:eastAsia="en-GB"/>
        </w:rPr>
        <w:t>th</w:t>
      </w:r>
      <w:r w:rsidR="00703869">
        <w:rPr>
          <w:rFonts w:ascii="Gill Sans MT" w:eastAsia="Times New Roman" w:hAnsi="Gill Sans MT" w:cs="Segoe UI"/>
          <w:lang w:eastAsia="en-GB"/>
        </w:rPr>
        <w:t xml:space="preserve"> century </w:t>
      </w:r>
      <w:r w:rsidR="00C42556">
        <w:rPr>
          <w:rFonts w:ascii="Gill Sans MT" w:eastAsia="Times New Roman" w:hAnsi="Gill Sans MT" w:cs="Segoe UI"/>
          <w:lang w:eastAsia="en-GB"/>
        </w:rPr>
        <w:t xml:space="preserve">clashes between </w:t>
      </w:r>
      <w:r w:rsidR="00703869">
        <w:rPr>
          <w:rFonts w:ascii="Gill Sans MT" w:eastAsia="Times New Roman" w:hAnsi="Gill Sans MT" w:cs="Segoe UI"/>
          <w:lang w:eastAsia="en-GB"/>
        </w:rPr>
        <w:t xml:space="preserve">supporters of the Crown and of the legislature.  While Jennings was clear that parliamentary sovereignty was a legal rule, he argued that it </w:t>
      </w:r>
      <w:r w:rsidR="00703869">
        <w:rPr>
          <w:rFonts w:ascii="Gill Sans MT" w:hAnsi="Gill Sans MT"/>
        </w:rPr>
        <w:t>‘</w:t>
      </w:r>
      <w:r w:rsidR="00703869" w:rsidRPr="00703869">
        <w:rPr>
          <w:rFonts w:ascii="Gill Sans MT" w:hAnsi="Gill Sans MT"/>
        </w:rPr>
        <w:t>was not established by judicial decisions, however; it was settled by armed conflict and the Bill of Rights and the Act of Settlement.  The judges did no more than acquiesce in a simple fact of political authority, though they have never been called upon precisely to say so’</w:t>
      </w:r>
      <w:r w:rsidR="00703869">
        <w:rPr>
          <w:rFonts w:ascii="Gill Sans MT" w:hAnsi="Gill Sans MT"/>
        </w:rPr>
        <w:t>.</w:t>
      </w:r>
      <w:r w:rsidR="00703869" w:rsidRPr="00703869">
        <w:rPr>
          <w:rStyle w:val="FootnoteReference"/>
          <w:rFonts w:ascii="Gill Sans MT" w:hAnsi="Gill Sans MT"/>
        </w:rPr>
        <w:footnoteReference w:id="39"/>
      </w:r>
      <w:r w:rsidR="00703869">
        <w:rPr>
          <w:rFonts w:ascii="Gill Sans MT" w:hAnsi="Gill Sans MT"/>
        </w:rPr>
        <w:t xml:space="preserve">  </w:t>
      </w:r>
      <w:r w:rsidR="00C42556">
        <w:rPr>
          <w:rFonts w:ascii="Gill Sans MT" w:hAnsi="Gill Sans MT"/>
        </w:rPr>
        <w:t>The legal doctrine, said Jennings, illustrates</w:t>
      </w:r>
      <w:r w:rsidR="00E947AF">
        <w:rPr>
          <w:rFonts w:ascii="Gill Sans MT" w:hAnsi="Gill Sans MT"/>
        </w:rPr>
        <w:t xml:space="preserve"> ‘the conversion of history into law’.</w:t>
      </w:r>
      <w:r w:rsidR="00E947AF">
        <w:rPr>
          <w:rStyle w:val="FootnoteReference"/>
          <w:rFonts w:ascii="Gill Sans MT" w:hAnsi="Gill Sans MT"/>
        </w:rPr>
        <w:footnoteReference w:id="40"/>
      </w:r>
      <w:r w:rsidR="00C35A24" w:rsidRPr="008D3FB3">
        <w:rPr>
          <w:rFonts w:ascii="Gill Sans MT" w:hAnsi="Gill Sans MT"/>
        </w:rPr>
        <w:t xml:space="preserve">  </w:t>
      </w:r>
      <w:r w:rsidR="00C42556">
        <w:rPr>
          <w:rFonts w:ascii="Gill Sans MT" w:hAnsi="Gill Sans MT"/>
        </w:rPr>
        <w:t xml:space="preserve">The pivotal events included </w:t>
      </w:r>
      <w:r w:rsidR="00703869">
        <w:rPr>
          <w:rFonts w:ascii="Gill Sans MT" w:hAnsi="Gill Sans MT"/>
        </w:rPr>
        <w:t>the parliamentary trial and execution of Charles I</w:t>
      </w:r>
      <w:r w:rsidR="00630BB3">
        <w:rPr>
          <w:rFonts w:ascii="Gill Sans MT" w:hAnsi="Gill Sans MT"/>
        </w:rPr>
        <w:t xml:space="preserve"> in </w:t>
      </w:r>
      <w:r w:rsidR="00630BB3" w:rsidRPr="00F02ED8">
        <w:rPr>
          <w:rFonts w:ascii="Gill Sans MT" w:hAnsi="Gill Sans MT"/>
        </w:rPr>
        <w:t>164</w:t>
      </w:r>
      <w:r w:rsidR="00F02ED8" w:rsidRPr="00F02ED8">
        <w:rPr>
          <w:rFonts w:ascii="Gill Sans MT" w:hAnsi="Gill Sans MT"/>
        </w:rPr>
        <w:t>9</w:t>
      </w:r>
      <w:r w:rsidR="00961AED">
        <w:rPr>
          <w:rFonts w:ascii="Gill Sans MT" w:hAnsi="Gill Sans MT"/>
        </w:rPr>
        <w:t>;</w:t>
      </w:r>
      <w:r w:rsidR="00630BB3">
        <w:rPr>
          <w:rFonts w:ascii="Gill Sans MT" w:hAnsi="Gill Sans MT"/>
        </w:rPr>
        <w:t xml:space="preserve"> the subsequent failure of Cromwell’s Instrument of Government and the restoration of monarchy </w:t>
      </w:r>
      <w:r w:rsidR="0098775B">
        <w:rPr>
          <w:rFonts w:ascii="Gill Sans MT" w:hAnsi="Gill Sans MT"/>
        </w:rPr>
        <w:t xml:space="preserve">in the form of </w:t>
      </w:r>
      <w:r w:rsidR="00630BB3">
        <w:rPr>
          <w:rFonts w:ascii="Gill Sans MT" w:hAnsi="Gill Sans MT"/>
        </w:rPr>
        <w:t>Charles II</w:t>
      </w:r>
      <w:r w:rsidR="0098775B">
        <w:rPr>
          <w:rFonts w:ascii="Gill Sans MT" w:hAnsi="Gill Sans MT"/>
        </w:rPr>
        <w:t xml:space="preserve"> by the </w:t>
      </w:r>
      <w:r w:rsidR="00F02ED8" w:rsidRPr="00F02ED8">
        <w:rPr>
          <w:rFonts w:ascii="Gill Sans MT" w:hAnsi="Gill Sans MT"/>
        </w:rPr>
        <w:t>Convention</w:t>
      </w:r>
      <w:r w:rsidR="0098775B">
        <w:rPr>
          <w:rFonts w:ascii="Gill Sans MT" w:hAnsi="Gill Sans MT"/>
        </w:rPr>
        <w:t xml:space="preserve"> Parliament in 1660</w:t>
      </w:r>
      <w:r w:rsidR="00961AED">
        <w:rPr>
          <w:rFonts w:ascii="Gill Sans MT" w:hAnsi="Gill Sans MT"/>
        </w:rPr>
        <w:t>;</w:t>
      </w:r>
      <w:r w:rsidR="0098775B">
        <w:rPr>
          <w:rFonts w:ascii="Gill Sans MT" w:hAnsi="Gill Sans MT"/>
        </w:rPr>
        <w:t xml:space="preserve"> the replacement of </w:t>
      </w:r>
      <w:r w:rsidR="0098775B" w:rsidRPr="00F02ED8">
        <w:rPr>
          <w:rFonts w:ascii="Gill Sans MT" w:hAnsi="Gill Sans MT"/>
        </w:rPr>
        <w:t>James I</w:t>
      </w:r>
      <w:r w:rsidR="00F02ED8" w:rsidRPr="00F02ED8">
        <w:rPr>
          <w:rFonts w:ascii="Gill Sans MT" w:hAnsi="Gill Sans MT"/>
        </w:rPr>
        <w:t>I</w:t>
      </w:r>
      <w:r w:rsidR="0098775B">
        <w:rPr>
          <w:rFonts w:ascii="Gill Sans MT" w:hAnsi="Gill Sans MT"/>
        </w:rPr>
        <w:t xml:space="preserve"> with William and Mary in 1688</w:t>
      </w:r>
      <w:r w:rsidR="00961AED">
        <w:rPr>
          <w:rFonts w:ascii="Gill Sans MT" w:hAnsi="Gill Sans MT"/>
        </w:rPr>
        <w:t>;</w:t>
      </w:r>
      <w:r w:rsidR="00092E66">
        <w:rPr>
          <w:rFonts w:ascii="Gill Sans MT" w:hAnsi="Gill Sans MT"/>
        </w:rPr>
        <w:t xml:space="preserve"> their subjection to the statutory constraints on royal </w:t>
      </w:r>
      <w:r w:rsidR="000F7A90">
        <w:rPr>
          <w:rFonts w:ascii="Gill Sans MT" w:hAnsi="Gill Sans MT"/>
        </w:rPr>
        <w:t xml:space="preserve">prerogative </w:t>
      </w:r>
      <w:r w:rsidR="00092E66">
        <w:rPr>
          <w:rFonts w:ascii="Gill Sans MT" w:hAnsi="Gill Sans MT"/>
        </w:rPr>
        <w:t>power enacted by Parliament in the Bill of Rights 1689</w:t>
      </w:r>
      <w:r w:rsidR="00961AED">
        <w:rPr>
          <w:rFonts w:ascii="Gill Sans MT" w:hAnsi="Gill Sans MT"/>
        </w:rPr>
        <w:t>;</w:t>
      </w:r>
      <w:r w:rsidR="00EE5A3D">
        <w:rPr>
          <w:rStyle w:val="FootnoteReference"/>
          <w:rFonts w:ascii="Gill Sans MT" w:hAnsi="Gill Sans MT"/>
        </w:rPr>
        <w:footnoteReference w:id="41"/>
      </w:r>
      <w:r w:rsidR="00092E66">
        <w:rPr>
          <w:rFonts w:ascii="Gill Sans MT" w:hAnsi="Gill Sans MT"/>
        </w:rPr>
        <w:t xml:space="preserve"> and the definitive shift in the line of succession to the protestant House of Hannover made by Parliament through the Act of Settlement 1701.</w:t>
      </w:r>
      <w:r w:rsidR="00EE5A3D">
        <w:rPr>
          <w:rStyle w:val="FootnoteReference"/>
          <w:rFonts w:ascii="Gill Sans MT" w:hAnsi="Gill Sans MT"/>
        </w:rPr>
        <w:footnoteReference w:id="42"/>
      </w:r>
      <w:r w:rsidR="00A701B2">
        <w:rPr>
          <w:rFonts w:ascii="Gill Sans MT" w:hAnsi="Gill Sans MT"/>
        </w:rPr>
        <w:t xml:space="preserve">  In </w:t>
      </w:r>
      <w:r w:rsidR="00C35A24">
        <w:rPr>
          <w:rFonts w:ascii="Gill Sans MT" w:hAnsi="Gill Sans MT"/>
        </w:rPr>
        <w:t>the course of this 17</w:t>
      </w:r>
      <w:r w:rsidR="00C35A24" w:rsidRPr="00C35A24">
        <w:rPr>
          <w:rFonts w:ascii="Gill Sans MT" w:hAnsi="Gill Sans MT"/>
          <w:vertAlign w:val="superscript"/>
        </w:rPr>
        <w:t>th</w:t>
      </w:r>
      <w:r w:rsidR="00C35A24">
        <w:rPr>
          <w:rFonts w:ascii="Gill Sans MT" w:hAnsi="Gill Sans MT"/>
        </w:rPr>
        <w:t xml:space="preserve"> century ‘revolution’</w:t>
      </w:r>
      <w:r w:rsidR="00A701B2">
        <w:rPr>
          <w:rFonts w:ascii="Gill Sans MT" w:hAnsi="Gill Sans MT"/>
        </w:rPr>
        <w:t>,</w:t>
      </w:r>
      <w:r w:rsidR="00C35A24">
        <w:rPr>
          <w:rStyle w:val="FootnoteReference"/>
          <w:rFonts w:ascii="Gill Sans MT" w:hAnsi="Gill Sans MT"/>
        </w:rPr>
        <w:footnoteReference w:id="43"/>
      </w:r>
      <w:r w:rsidR="00A701B2">
        <w:rPr>
          <w:rFonts w:ascii="Gill Sans MT" w:hAnsi="Gill Sans MT"/>
        </w:rPr>
        <w:t xml:space="preserve"> we see on one level the reconciliation of monarchy with Parliament’s </w:t>
      </w:r>
      <w:r w:rsidR="00C42556">
        <w:rPr>
          <w:rFonts w:ascii="Gill Sans MT" w:hAnsi="Gill Sans MT"/>
        </w:rPr>
        <w:t>assertions of legislative power</w:t>
      </w:r>
      <w:r w:rsidR="00A701B2">
        <w:rPr>
          <w:rFonts w:ascii="Gill Sans MT" w:hAnsi="Gill Sans MT"/>
        </w:rPr>
        <w:t xml:space="preserve"> and</w:t>
      </w:r>
      <w:r w:rsidR="00C42556">
        <w:rPr>
          <w:rFonts w:ascii="Gill Sans MT" w:hAnsi="Gill Sans MT"/>
        </w:rPr>
        <w:t>,</w:t>
      </w:r>
      <w:r w:rsidR="00A701B2">
        <w:rPr>
          <w:rFonts w:ascii="Gill Sans MT" w:hAnsi="Gill Sans MT"/>
        </w:rPr>
        <w:t xml:space="preserve"> at another level</w:t>
      </w:r>
      <w:r w:rsidR="00C42556">
        <w:rPr>
          <w:rFonts w:ascii="Gill Sans MT" w:hAnsi="Gill Sans MT"/>
        </w:rPr>
        <w:t>,</w:t>
      </w:r>
      <w:r w:rsidR="00A701B2">
        <w:rPr>
          <w:rFonts w:ascii="Gill Sans MT" w:hAnsi="Gill Sans MT"/>
        </w:rPr>
        <w:t xml:space="preserve"> the use of </w:t>
      </w:r>
      <w:r w:rsidR="00C42556">
        <w:rPr>
          <w:rFonts w:ascii="Gill Sans MT" w:hAnsi="Gill Sans MT"/>
        </w:rPr>
        <w:t xml:space="preserve">that </w:t>
      </w:r>
      <w:r w:rsidR="00A701B2">
        <w:rPr>
          <w:rFonts w:ascii="Gill Sans MT" w:hAnsi="Gill Sans MT"/>
        </w:rPr>
        <w:t xml:space="preserve">power to select and control the </w:t>
      </w:r>
      <w:r w:rsidR="000F79D3">
        <w:rPr>
          <w:rFonts w:ascii="Gill Sans MT" w:hAnsi="Gill Sans MT"/>
        </w:rPr>
        <w:t>monarch.</w:t>
      </w:r>
      <w:r w:rsidR="00545170">
        <w:rPr>
          <w:rFonts w:ascii="Gill Sans MT" w:hAnsi="Gill Sans MT"/>
        </w:rPr>
        <w:t xml:space="preserve">  </w:t>
      </w:r>
      <w:r w:rsidR="00C42556">
        <w:rPr>
          <w:rFonts w:ascii="Gill Sans MT" w:hAnsi="Gill Sans MT"/>
        </w:rPr>
        <w:t>T</w:t>
      </w:r>
      <w:r w:rsidR="00CD6DD5">
        <w:rPr>
          <w:rFonts w:ascii="Gill Sans MT" w:hAnsi="Gill Sans MT"/>
        </w:rPr>
        <w:t xml:space="preserve">he </w:t>
      </w:r>
      <w:r w:rsidR="00CD6DD5">
        <w:rPr>
          <w:rFonts w:ascii="Gill Sans MT" w:hAnsi="Gill Sans MT"/>
        </w:rPr>
        <w:lastRenderedPageBreak/>
        <w:t>c</w:t>
      </w:r>
      <w:r w:rsidR="00726FB8">
        <w:rPr>
          <w:rFonts w:ascii="Gill Sans MT" w:hAnsi="Gill Sans MT"/>
        </w:rPr>
        <w:t xml:space="preserve">onstitutional doctrine </w:t>
      </w:r>
      <w:r w:rsidR="00C42556">
        <w:rPr>
          <w:rFonts w:ascii="Gill Sans MT" w:hAnsi="Gill Sans MT"/>
        </w:rPr>
        <w:t xml:space="preserve">of Parliamentary sovereignty </w:t>
      </w:r>
      <w:r w:rsidR="00CD6DD5">
        <w:rPr>
          <w:rFonts w:ascii="Gill Sans MT" w:hAnsi="Gill Sans MT"/>
        </w:rPr>
        <w:t>emerges</w:t>
      </w:r>
      <w:r w:rsidR="00726FB8">
        <w:rPr>
          <w:rFonts w:ascii="Gill Sans MT" w:hAnsi="Gill Sans MT"/>
        </w:rPr>
        <w:t xml:space="preserve"> to capture and explain the power exercised by the legislature in response to political event</w:t>
      </w:r>
      <w:r w:rsidR="00CD6DD5">
        <w:rPr>
          <w:rFonts w:ascii="Gill Sans MT" w:hAnsi="Gill Sans MT"/>
        </w:rPr>
        <w:t>s</w:t>
      </w:r>
      <w:r w:rsidR="00E947AF">
        <w:rPr>
          <w:rFonts w:ascii="Gill Sans MT" w:hAnsi="Gill Sans MT"/>
        </w:rPr>
        <w:t>.</w:t>
      </w:r>
    </w:p>
    <w:p w14:paraId="0A234596" w14:textId="2C76D545" w:rsidR="00BA41C1" w:rsidRDefault="00E947AF" w:rsidP="001137EA">
      <w:pPr>
        <w:shd w:val="clear" w:color="auto" w:fill="FFFFFF"/>
        <w:spacing w:after="0" w:line="360" w:lineRule="auto"/>
        <w:ind w:firstLine="720"/>
        <w:jc w:val="both"/>
        <w:rPr>
          <w:rFonts w:ascii="Gill Sans MT" w:hAnsi="Gill Sans MT"/>
        </w:rPr>
      </w:pPr>
      <w:r>
        <w:rPr>
          <w:rFonts w:ascii="Gill Sans MT" w:hAnsi="Gill Sans MT"/>
        </w:rPr>
        <w:t>This h</w:t>
      </w:r>
      <w:r w:rsidR="00726FB8">
        <w:rPr>
          <w:rFonts w:ascii="Gill Sans MT" w:hAnsi="Gill Sans MT"/>
        </w:rPr>
        <w:t>istor</w:t>
      </w:r>
      <w:r>
        <w:rPr>
          <w:rFonts w:ascii="Gill Sans MT" w:hAnsi="Gill Sans MT"/>
        </w:rPr>
        <w:t>ical period</w:t>
      </w:r>
      <w:r w:rsidR="00726FB8">
        <w:rPr>
          <w:rFonts w:ascii="Gill Sans MT" w:hAnsi="Gill Sans MT"/>
        </w:rPr>
        <w:t xml:space="preserve"> remains crucial to our understanding of parliamentary sovereignty.</w:t>
      </w:r>
      <w:r w:rsidR="006C569A">
        <w:rPr>
          <w:rFonts w:ascii="Gill Sans MT" w:hAnsi="Gill Sans MT"/>
        </w:rPr>
        <w:t xml:space="preserve"> </w:t>
      </w:r>
      <w:r w:rsidR="00726FB8">
        <w:rPr>
          <w:rFonts w:ascii="Gill Sans MT" w:hAnsi="Gill Sans MT"/>
        </w:rPr>
        <w:t xml:space="preserve"> </w:t>
      </w:r>
      <w:r w:rsidR="00C140DC">
        <w:rPr>
          <w:rFonts w:ascii="Gill Sans MT" w:hAnsi="Gill Sans MT"/>
        </w:rPr>
        <w:t xml:space="preserve">The authority of parliamentary sovereignty has been most </w:t>
      </w:r>
      <w:r w:rsidR="006C569A">
        <w:rPr>
          <w:rFonts w:ascii="Gill Sans MT" w:hAnsi="Gill Sans MT"/>
        </w:rPr>
        <w:t>influentially</w:t>
      </w:r>
      <w:r w:rsidR="00C140DC">
        <w:rPr>
          <w:rFonts w:ascii="Gill Sans MT" w:hAnsi="Gill Sans MT"/>
        </w:rPr>
        <w:t xml:space="preserve"> demonstrated by </w:t>
      </w:r>
      <w:r w:rsidR="00EC6276" w:rsidRPr="004E5FAD">
        <w:rPr>
          <w:rFonts w:ascii="Gill Sans MT" w:hAnsi="Gill Sans MT"/>
        </w:rPr>
        <w:t>Goldsworthy</w:t>
      </w:r>
      <w:r w:rsidR="006C569A">
        <w:rPr>
          <w:rFonts w:ascii="Gill Sans MT" w:hAnsi="Gill Sans MT"/>
        </w:rPr>
        <w:t>’s exhaustive study.  Goldsworthy charts the evolution of parliamentary sovereignty from that held by medieval Kings.</w:t>
      </w:r>
      <w:r w:rsidR="006C569A">
        <w:rPr>
          <w:rStyle w:val="FootnoteReference"/>
          <w:rFonts w:ascii="Gill Sans MT" w:hAnsi="Gill Sans MT"/>
        </w:rPr>
        <w:footnoteReference w:id="44"/>
      </w:r>
      <w:r w:rsidR="006C569A">
        <w:rPr>
          <w:rFonts w:ascii="Gill Sans MT" w:hAnsi="Gill Sans MT"/>
        </w:rPr>
        <w:t xml:space="preserve">  He shows that the Reformation Parliament in the 1530s </w:t>
      </w:r>
      <w:r w:rsidR="00B274E5">
        <w:rPr>
          <w:rFonts w:ascii="Gill Sans MT" w:hAnsi="Gill Sans MT"/>
        </w:rPr>
        <w:t>was the point at which the legislature asserted its power over religious (or ‘spiritual’) matters, previously held by the Pope.  When added to its already established power to make law on all other matters of concern with</w:t>
      </w:r>
      <w:r w:rsidR="00961AED">
        <w:rPr>
          <w:rFonts w:ascii="Gill Sans MT" w:hAnsi="Gill Sans MT"/>
        </w:rPr>
        <w:t>in</w:t>
      </w:r>
      <w:r w:rsidR="00B274E5">
        <w:rPr>
          <w:rFonts w:ascii="Gill Sans MT" w:hAnsi="Gill Sans MT"/>
        </w:rPr>
        <w:t xml:space="preserve"> the nation (‘temporal’ matters)</w:t>
      </w:r>
      <w:r w:rsidR="001C0B59">
        <w:rPr>
          <w:rFonts w:ascii="Gill Sans MT" w:hAnsi="Gill Sans MT"/>
        </w:rPr>
        <w:t>, this marked the point at which the King in Parliament could be considered ‘in practice, fully sovereign’.</w:t>
      </w:r>
      <w:r w:rsidR="001C0B59">
        <w:rPr>
          <w:rStyle w:val="FootnoteReference"/>
          <w:rFonts w:ascii="Gill Sans MT" w:hAnsi="Gill Sans MT"/>
        </w:rPr>
        <w:footnoteReference w:id="45"/>
      </w:r>
      <w:r w:rsidR="001C0B59">
        <w:rPr>
          <w:rFonts w:ascii="Gill Sans MT" w:hAnsi="Gill Sans MT"/>
        </w:rPr>
        <w:t xml:space="preserve">  Yet Goldsworthy shows that while the full legally unlimited scope of legislative sovereignty was </w:t>
      </w:r>
      <w:r w:rsidR="00CC09BA">
        <w:rPr>
          <w:rFonts w:ascii="Gill Sans MT" w:hAnsi="Gill Sans MT"/>
        </w:rPr>
        <w:t xml:space="preserve">widely </w:t>
      </w:r>
      <w:r w:rsidR="001C0B59">
        <w:rPr>
          <w:rFonts w:ascii="Gill Sans MT" w:hAnsi="Gill Sans MT"/>
        </w:rPr>
        <w:t xml:space="preserve">recognised from this point, the </w:t>
      </w:r>
      <w:r w:rsidR="00CC09BA">
        <w:rPr>
          <w:rFonts w:ascii="Gill Sans MT" w:hAnsi="Gill Sans MT"/>
        </w:rPr>
        <w:t>identity of the institution which possessed it remained disputed: was the authority of the King in Parliament ‘that of the King alone, which he chose to exercise only in Parliament, or that of a composite institution, the “King-in-Parliament”?’.</w:t>
      </w:r>
      <w:r w:rsidR="00CC09BA">
        <w:rPr>
          <w:rStyle w:val="FootnoteReference"/>
          <w:rFonts w:ascii="Gill Sans MT" w:hAnsi="Gill Sans MT"/>
        </w:rPr>
        <w:footnoteReference w:id="46"/>
      </w:r>
      <w:r w:rsidR="00196F68">
        <w:rPr>
          <w:rFonts w:ascii="Gill Sans MT" w:hAnsi="Gill Sans MT"/>
        </w:rPr>
        <w:t xml:space="preserve">  This was the question resolved in the 17</w:t>
      </w:r>
      <w:r w:rsidR="00196F68" w:rsidRPr="00196F68">
        <w:rPr>
          <w:rFonts w:ascii="Gill Sans MT" w:hAnsi="Gill Sans MT"/>
          <w:vertAlign w:val="superscript"/>
        </w:rPr>
        <w:t>th</w:t>
      </w:r>
      <w:r w:rsidR="00196F68">
        <w:rPr>
          <w:rFonts w:ascii="Gill Sans MT" w:hAnsi="Gill Sans MT"/>
        </w:rPr>
        <w:t xml:space="preserve"> century, in the events of the Civil War and its aftermath, with abundant examples demonstrating that the authority of the Crown had been subordinated to the authority of the Crown-in-Parliament.  Th</w:t>
      </w:r>
      <w:r w:rsidR="00607981">
        <w:rPr>
          <w:rFonts w:ascii="Gill Sans MT" w:hAnsi="Gill Sans MT"/>
        </w:rPr>
        <w:t>is</w:t>
      </w:r>
      <w:r w:rsidR="00196F68">
        <w:rPr>
          <w:rFonts w:ascii="Gill Sans MT" w:hAnsi="Gill Sans MT"/>
        </w:rPr>
        <w:t xml:space="preserve"> </w:t>
      </w:r>
      <w:r w:rsidR="00607981">
        <w:rPr>
          <w:rFonts w:ascii="Gill Sans MT" w:hAnsi="Gill Sans MT"/>
        </w:rPr>
        <w:t>reorganisation</w:t>
      </w:r>
      <w:r w:rsidR="00196F68">
        <w:rPr>
          <w:rFonts w:ascii="Gill Sans MT" w:hAnsi="Gill Sans MT"/>
        </w:rPr>
        <w:t xml:space="preserve"> </w:t>
      </w:r>
      <w:r w:rsidR="00607981">
        <w:rPr>
          <w:rFonts w:ascii="Gill Sans MT" w:hAnsi="Gill Sans MT"/>
        </w:rPr>
        <w:t xml:space="preserve">of sovereignty produced (and perhaps </w:t>
      </w:r>
      <w:r w:rsidR="00961AED">
        <w:rPr>
          <w:rFonts w:ascii="Gill Sans MT" w:hAnsi="Gill Sans MT"/>
        </w:rPr>
        <w:t>to some extent</w:t>
      </w:r>
      <w:r w:rsidR="00607981">
        <w:rPr>
          <w:rFonts w:ascii="Gill Sans MT" w:hAnsi="Gill Sans MT"/>
        </w:rPr>
        <w:t xml:space="preserve"> masked) by institutional fusion </w:t>
      </w:r>
      <w:r w:rsidR="00196F68">
        <w:rPr>
          <w:rFonts w:ascii="Gill Sans MT" w:hAnsi="Gill Sans MT"/>
        </w:rPr>
        <w:t>became dominan</w:t>
      </w:r>
      <w:r w:rsidR="00C7276E">
        <w:rPr>
          <w:rFonts w:ascii="Gill Sans MT" w:hAnsi="Gill Sans MT"/>
        </w:rPr>
        <w:t>t</w:t>
      </w:r>
      <w:r w:rsidR="00196F68">
        <w:rPr>
          <w:rFonts w:ascii="Gill Sans MT" w:hAnsi="Gill Sans MT"/>
        </w:rPr>
        <w:t>: ‘even by the beginning of the nineteenth century</w:t>
      </w:r>
      <w:r w:rsidR="00254B19">
        <w:rPr>
          <w:rFonts w:ascii="Gill Sans MT" w:hAnsi="Gill Sans MT"/>
        </w:rPr>
        <w:t xml:space="preserve">, parliamentary sovereignty </w:t>
      </w:r>
      <w:r w:rsidR="00C7276E">
        <w:rPr>
          <w:rFonts w:ascii="Gill Sans MT" w:hAnsi="Gill Sans MT"/>
        </w:rPr>
        <w:t>had become a rarely questioned assumption of British constitutional thought, an apparently necessary truth’.</w:t>
      </w:r>
      <w:r w:rsidR="00C7276E">
        <w:rPr>
          <w:rStyle w:val="FootnoteReference"/>
          <w:rFonts w:ascii="Gill Sans MT" w:hAnsi="Gill Sans MT"/>
        </w:rPr>
        <w:footnoteReference w:id="47"/>
      </w:r>
      <w:r w:rsidR="00825244">
        <w:rPr>
          <w:rFonts w:ascii="Gill Sans MT" w:hAnsi="Gill Sans MT"/>
        </w:rPr>
        <w:t xml:space="preserve">  And over time, the </w:t>
      </w:r>
      <w:r w:rsidR="00607981">
        <w:rPr>
          <w:rFonts w:ascii="Gill Sans MT" w:hAnsi="Gill Sans MT"/>
        </w:rPr>
        <w:t xml:space="preserve">Crown became a more and more peripheral element of this combination, to the point where </w:t>
      </w:r>
      <w:r w:rsidR="00560884">
        <w:rPr>
          <w:rFonts w:ascii="Gill Sans MT" w:hAnsi="Gill Sans MT"/>
        </w:rPr>
        <w:t>‘the Queen’s part in legislation is now formal only’, having not been refused since Queen Anne rejected the Scottish Militia Bill in 17</w:t>
      </w:r>
      <w:r w:rsidR="00A938B6">
        <w:rPr>
          <w:rFonts w:ascii="Gill Sans MT" w:hAnsi="Gill Sans MT"/>
        </w:rPr>
        <w:t>08</w:t>
      </w:r>
      <w:r w:rsidR="00560884">
        <w:rPr>
          <w:rFonts w:ascii="Gill Sans MT" w:hAnsi="Gill Sans MT"/>
        </w:rPr>
        <w:t>.</w:t>
      </w:r>
      <w:r w:rsidR="00560884">
        <w:rPr>
          <w:rStyle w:val="FootnoteReference"/>
          <w:rFonts w:ascii="Gill Sans MT" w:hAnsi="Gill Sans MT"/>
        </w:rPr>
        <w:footnoteReference w:id="48"/>
      </w:r>
    </w:p>
    <w:p w14:paraId="2E9CC16D" w14:textId="1D2B6FF4" w:rsidR="00CE2502" w:rsidRDefault="009F2CF4" w:rsidP="001137EA">
      <w:pPr>
        <w:shd w:val="clear" w:color="auto" w:fill="FFFFFF"/>
        <w:spacing w:after="0" w:line="360" w:lineRule="auto"/>
        <w:ind w:firstLine="720"/>
        <w:jc w:val="both"/>
        <w:rPr>
          <w:rFonts w:ascii="Gill Sans MT" w:hAnsi="Gill Sans MT"/>
          <w:b/>
          <w:bCs/>
        </w:rPr>
      </w:pPr>
      <w:r>
        <w:rPr>
          <w:rFonts w:ascii="Gill Sans MT" w:hAnsi="Gill Sans MT"/>
        </w:rPr>
        <w:t>That</w:t>
      </w:r>
      <w:r w:rsidR="00153B20">
        <w:rPr>
          <w:rFonts w:ascii="Gill Sans MT" w:hAnsi="Gill Sans MT"/>
        </w:rPr>
        <w:t xml:space="preserve"> there is no single constitutional source or statute which establishes a legal basis for Parliament’s legislative authority, and its unlimited sovereign character, this is no</w:t>
      </w:r>
      <w:r w:rsidR="008D34BF">
        <w:rPr>
          <w:rFonts w:ascii="Gill Sans MT" w:hAnsi="Gill Sans MT"/>
        </w:rPr>
        <w:t>t</w:t>
      </w:r>
      <w:r w:rsidR="00153B20">
        <w:rPr>
          <w:rFonts w:ascii="Gill Sans MT" w:hAnsi="Gill Sans MT"/>
        </w:rPr>
        <w:t xml:space="preserve"> evidence of uncertainty about the existence of the doctrine.  Indeed, in contrast, that parliamentary sovereignty is rooted in a </w:t>
      </w:r>
      <w:r>
        <w:rPr>
          <w:rFonts w:ascii="Gill Sans MT" w:hAnsi="Gill Sans MT"/>
        </w:rPr>
        <w:t xml:space="preserve">complex </w:t>
      </w:r>
      <w:r w:rsidR="00153B20">
        <w:rPr>
          <w:rFonts w:ascii="Gill Sans MT" w:hAnsi="Gill Sans MT"/>
        </w:rPr>
        <w:t>mixture of the beliefs of key constitutional actors, the outcome of decisive political events at crucial historical moments, and enduring practice recognising the absence of any legal limitations on Parliament’s law-making</w:t>
      </w:r>
      <w:r w:rsidR="008D34BF">
        <w:rPr>
          <w:rFonts w:ascii="Gill Sans MT" w:hAnsi="Gill Sans MT"/>
        </w:rPr>
        <w:t>,</w:t>
      </w:r>
      <w:r w:rsidR="00153B20">
        <w:rPr>
          <w:rFonts w:ascii="Gill Sans MT" w:hAnsi="Gill Sans MT"/>
        </w:rPr>
        <w:t xml:space="preserve"> is</w:t>
      </w:r>
      <w:r w:rsidR="009B1061">
        <w:rPr>
          <w:rFonts w:ascii="Gill Sans MT" w:hAnsi="Gill Sans MT"/>
        </w:rPr>
        <w:t xml:space="preserve"> all</w:t>
      </w:r>
      <w:r w:rsidR="00153B20">
        <w:rPr>
          <w:rFonts w:ascii="Gill Sans MT" w:hAnsi="Gill Sans MT"/>
        </w:rPr>
        <w:t xml:space="preserve"> evidence of the strength of this doctrine.  It is of such a fundamental nature that formal enactment of the doctrine is unnecessar</w:t>
      </w:r>
      <w:r w:rsidR="009B1061">
        <w:rPr>
          <w:rFonts w:ascii="Gill Sans MT" w:hAnsi="Gill Sans MT"/>
        </w:rPr>
        <w:t xml:space="preserve">y.  Nevertheless, as a legal doctrine with legal implications for the authority and the interpretation of statute law, </w:t>
      </w:r>
      <w:r w:rsidR="00430E36">
        <w:rPr>
          <w:rFonts w:ascii="Gill Sans MT" w:hAnsi="Gill Sans MT"/>
        </w:rPr>
        <w:t xml:space="preserve">the existence of </w:t>
      </w:r>
      <w:r w:rsidR="009B1061">
        <w:rPr>
          <w:rFonts w:ascii="Gill Sans MT" w:hAnsi="Gill Sans MT"/>
        </w:rPr>
        <w:t xml:space="preserve">parliamentary sovereignty </w:t>
      </w:r>
      <w:r w:rsidR="00430E36">
        <w:rPr>
          <w:rFonts w:ascii="Gill Sans MT" w:hAnsi="Gill Sans MT"/>
        </w:rPr>
        <w:t xml:space="preserve">has been </w:t>
      </w:r>
      <w:r w:rsidR="00CE2502">
        <w:rPr>
          <w:rFonts w:ascii="Gill Sans MT" w:hAnsi="Gill Sans MT"/>
        </w:rPr>
        <w:t xml:space="preserve">unambiguously </w:t>
      </w:r>
      <w:r w:rsidR="00430E36">
        <w:rPr>
          <w:rFonts w:ascii="Gill Sans MT" w:hAnsi="Gill Sans MT"/>
        </w:rPr>
        <w:t>recognised in judicial precedents</w:t>
      </w:r>
      <w:r w:rsidR="00CE2502">
        <w:rPr>
          <w:rFonts w:ascii="Gill Sans MT" w:hAnsi="Gill Sans MT"/>
        </w:rPr>
        <w:t xml:space="preserve"> extending back </w:t>
      </w:r>
      <w:r w:rsidR="00CE2502" w:rsidRPr="004C59E4">
        <w:rPr>
          <w:rFonts w:ascii="Gill Sans MT" w:hAnsi="Gill Sans MT"/>
        </w:rPr>
        <w:t>at least 170 years</w:t>
      </w:r>
      <w:r w:rsidR="00430E36" w:rsidRPr="004C59E4">
        <w:rPr>
          <w:rFonts w:ascii="Gill Sans MT" w:hAnsi="Gill Sans MT"/>
        </w:rPr>
        <w:t>.</w:t>
      </w:r>
      <w:r w:rsidR="004A3628" w:rsidRPr="004C59E4">
        <w:rPr>
          <w:rStyle w:val="FootnoteReference"/>
          <w:rFonts w:ascii="Gill Sans MT" w:hAnsi="Gill Sans MT"/>
        </w:rPr>
        <w:footnoteReference w:id="49"/>
      </w:r>
    </w:p>
    <w:p w14:paraId="2A0A6F9C" w14:textId="66DA6591" w:rsidR="00527703" w:rsidRDefault="00E2332A" w:rsidP="001137EA">
      <w:pPr>
        <w:shd w:val="clear" w:color="auto" w:fill="FFFFFF"/>
        <w:spacing w:after="0" w:line="360" w:lineRule="auto"/>
        <w:ind w:firstLine="720"/>
        <w:jc w:val="both"/>
        <w:rPr>
          <w:rFonts w:ascii="Gill Sans MT" w:hAnsi="Gill Sans MT"/>
        </w:rPr>
      </w:pPr>
      <w:r>
        <w:rPr>
          <w:rFonts w:ascii="Gill Sans MT" w:hAnsi="Gill Sans MT"/>
        </w:rPr>
        <w:lastRenderedPageBreak/>
        <w:t>The</w:t>
      </w:r>
      <w:r w:rsidR="00CE2502">
        <w:rPr>
          <w:rFonts w:ascii="Gill Sans MT" w:hAnsi="Gill Sans MT"/>
        </w:rPr>
        <w:t xml:space="preserve"> historic </w:t>
      </w:r>
      <w:r w:rsidR="00C2100C">
        <w:rPr>
          <w:rFonts w:ascii="Gill Sans MT" w:hAnsi="Gill Sans MT"/>
        </w:rPr>
        <w:t>character</w:t>
      </w:r>
      <w:r w:rsidR="00CE2502">
        <w:rPr>
          <w:rFonts w:ascii="Gill Sans MT" w:hAnsi="Gill Sans MT"/>
        </w:rPr>
        <w:t xml:space="preserve"> of parliamentary sovereignty </w:t>
      </w:r>
      <w:r>
        <w:rPr>
          <w:rFonts w:ascii="Gill Sans MT" w:hAnsi="Gill Sans MT"/>
        </w:rPr>
        <w:t>has been</w:t>
      </w:r>
      <w:r w:rsidR="00CE2502">
        <w:rPr>
          <w:rFonts w:ascii="Gill Sans MT" w:hAnsi="Gill Sans MT"/>
        </w:rPr>
        <w:t xml:space="preserve"> </w:t>
      </w:r>
      <w:r w:rsidR="008D34BF">
        <w:rPr>
          <w:rFonts w:ascii="Gill Sans MT" w:hAnsi="Gill Sans MT"/>
        </w:rPr>
        <w:t>crucial</w:t>
      </w:r>
      <w:r w:rsidR="00441412" w:rsidRPr="00726FB8">
        <w:rPr>
          <w:rFonts w:ascii="Gill Sans MT" w:hAnsi="Gill Sans MT"/>
        </w:rPr>
        <w:t xml:space="preserve"> in sustaining </w:t>
      </w:r>
      <w:r w:rsidR="00CE2502">
        <w:rPr>
          <w:rFonts w:ascii="Gill Sans MT" w:hAnsi="Gill Sans MT"/>
        </w:rPr>
        <w:t xml:space="preserve">the </w:t>
      </w:r>
      <w:r w:rsidR="00441412" w:rsidRPr="00726FB8">
        <w:rPr>
          <w:rFonts w:ascii="Gill Sans MT" w:hAnsi="Gill Sans MT"/>
        </w:rPr>
        <w:t xml:space="preserve">authority </w:t>
      </w:r>
      <w:r w:rsidR="00CE2502">
        <w:rPr>
          <w:rFonts w:ascii="Gill Sans MT" w:hAnsi="Gill Sans MT"/>
        </w:rPr>
        <w:t xml:space="preserve">of the doctrine in the courts.  A classic example is </w:t>
      </w:r>
      <w:r w:rsidR="00CE2502" w:rsidRPr="00C2100C">
        <w:rPr>
          <w:rFonts w:ascii="Gill Sans MT" w:hAnsi="Gill Sans MT"/>
          <w:i/>
          <w:iCs/>
        </w:rPr>
        <w:t>Pickin v British Railways Board</w:t>
      </w:r>
      <w:r w:rsidR="00C2100C">
        <w:rPr>
          <w:rFonts w:ascii="Gill Sans MT" w:hAnsi="Gill Sans MT"/>
        </w:rPr>
        <w:t>,</w:t>
      </w:r>
      <w:r w:rsidR="00C2100C">
        <w:rPr>
          <w:rStyle w:val="FootnoteReference"/>
          <w:rFonts w:ascii="Gill Sans MT" w:hAnsi="Gill Sans MT"/>
        </w:rPr>
        <w:footnoteReference w:id="50"/>
      </w:r>
      <w:r w:rsidR="00CE2502">
        <w:rPr>
          <w:rFonts w:ascii="Gill Sans MT" w:hAnsi="Gill Sans MT"/>
        </w:rPr>
        <w:t xml:space="preserve"> decided in </w:t>
      </w:r>
      <w:r w:rsidR="00C2100C">
        <w:rPr>
          <w:rFonts w:ascii="Gill Sans MT" w:hAnsi="Gill Sans MT"/>
        </w:rPr>
        <w:t xml:space="preserve">the House of Lords in </w:t>
      </w:r>
      <w:r w:rsidR="00CE2502">
        <w:rPr>
          <w:rFonts w:ascii="Gill Sans MT" w:hAnsi="Gill Sans MT"/>
        </w:rPr>
        <w:t>1974</w:t>
      </w:r>
      <w:r w:rsidR="00C2100C">
        <w:rPr>
          <w:rFonts w:ascii="Gill Sans MT" w:hAnsi="Gill Sans MT"/>
        </w:rPr>
        <w:t>, which until recently was regarded as the leading precedent on parliamentary sovereignty.</w:t>
      </w:r>
      <w:r w:rsidR="00527703">
        <w:rPr>
          <w:rFonts w:ascii="Gill Sans MT" w:hAnsi="Gill Sans MT"/>
        </w:rPr>
        <w:t xml:space="preserve">  As in </w:t>
      </w:r>
      <w:r w:rsidR="00527703">
        <w:rPr>
          <w:rFonts w:ascii="Gill Sans MT" w:hAnsi="Gill Sans MT"/>
          <w:i/>
          <w:iCs/>
        </w:rPr>
        <w:t xml:space="preserve">Edinburgh &amp; Dalkeith </w:t>
      </w:r>
      <w:r w:rsidR="00527703" w:rsidRPr="00527703">
        <w:rPr>
          <w:rFonts w:ascii="Gill Sans MT" w:hAnsi="Gill Sans MT"/>
          <w:i/>
          <w:iCs/>
        </w:rPr>
        <w:t>Railways</w:t>
      </w:r>
      <w:r w:rsidR="00527703">
        <w:rPr>
          <w:rFonts w:ascii="Gill Sans MT" w:hAnsi="Gill Sans MT"/>
        </w:rPr>
        <w:t xml:space="preserve"> before it, the House of Lords rejected a challenge to the validity of a private Act of Parliament in </w:t>
      </w:r>
      <w:r>
        <w:rPr>
          <w:rFonts w:ascii="Gill Sans MT" w:hAnsi="Gill Sans MT"/>
        </w:rPr>
        <w:t>stark</w:t>
      </w:r>
      <w:r w:rsidR="00527703">
        <w:rPr>
          <w:rFonts w:ascii="Gill Sans MT" w:hAnsi="Gill Sans MT"/>
        </w:rPr>
        <w:t xml:space="preserve"> language, relying on the judgment of Lord Campbell in 1842 among other 19</w:t>
      </w:r>
      <w:r w:rsidR="00527703" w:rsidRPr="00527703">
        <w:rPr>
          <w:rFonts w:ascii="Gill Sans MT" w:hAnsi="Gill Sans MT"/>
          <w:vertAlign w:val="superscript"/>
        </w:rPr>
        <w:t>th</w:t>
      </w:r>
      <w:r w:rsidR="00527703">
        <w:rPr>
          <w:rFonts w:ascii="Gill Sans MT" w:hAnsi="Gill Sans MT"/>
        </w:rPr>
        <w:t xml:space="preserve"> century precedents.  For Lord Reid:</w:t>
      </w:r>
    </w:p>
    <w:p w14:paraId="7B8ECB94" w14:textId="04D993DE" w:rsidR="005E69E9" w:rsidRPr="00527703" w:rsidRDefault="005E69E9" w:rsidP="001137EA">
      <w:pPr>
        <w:shd w:val="clear" w:color="auto" w:fill="FFFFFF"/>
        <w:spacing w:before="160" w:line="360" w:lineRule="auto"/>
        <w:ind w:left="284" w:right="284"/>
        <w:jc w:val="both"/>
        <w:rPr>
          <w:rFonts w:ascii="Gill Sans MT" w:hAnsi="Gill Sans MT"/>
          <w:sz w:val="20"/>
          <w:szCs w:val="20"/>
        </w:rPr>
      </w:pPr>
      <w:r w:rsidRPr="00527703">
        <w:rPr>
          <w:rFonts w:ascii="Gill Sans MT" w:hAnsi="Gill Sans MT"/>
          <w:sz w:val="20"/>
          <w:szCs w:val="20"/>
        </w:rPr>
        <w:t>‘The idea that a court is entitled to disregard a provision in an Act of Parliament on any ground must seem strange and startling to anyone with any knowledge of the history and law of our constitution, but a detailed argument has been submitted to your Lordships and I must deal with it.’</w:t>
      </w:r>
      <w:r w:rsidRPr="00527703">
        <w:rPr>
          <w:rStyle w:val="FootnoteReference"/>
          <w:rFonts w:ascii="Gill Sans MT" w:hAnsi="Gill Sans MT"/>
          <w:sz w:val="20"/>
          <w:szCs w:val="20"/>
        </w:rPr>
        <w:footnoteReference w:id="51"/>
      </w:r>
    </w:p>
    <w:p w14:paraId="5E3249F6" w14:textId="6E0F1233" w:rsidR="005E69E9" w:rsidRPr="00726FB8" w:rsidRDefault="00527703" w:rsidP="001137EA">
      <w:pPr>
        <w:shd w:val="clear" w:color="auto" w:fill="FFFFFF"/>
        <w:spacing w:after="0" w:line="360" w:lineRule="auto"/>
        <w:jc w:val="both"/>
        <w:rPr>
          <w:rFonts w:ascii="Gill Sans MT" w:hAnsi="Gill Sans MT"/>
        </w:rPr>
      </w:pPr>
      <w:r>
        <w:rPr>
          <w:rFonts w:ascii="Gill Sans MT" w:hAnsi="Gill Sans MT"/>
        </w:rPr>
        <w:t xml:space="preserve">Crucial here is the explicit connection made between history and law by Lord Reid in establishing the constitutional authority of parliamentary sovereignty.   And this connection is used to reinforce the fundamental </w:t>
      </w:r>
      <w:r w:rsidR="00EB525E">
        <w:rPr>
          <w:rFonts w:ascii="Gill Sans MT" w:hAnsi="Gill Sans MT"/>
        </w:rPr>
        <w:t xml:space="preserve">character of the doctrine, which is presented as long accepted and therefore </w:t>
      </w:r>
      <w:r>
        <w:rPr>
          <w:rFonts w:ascii="Gill Sans MT" w:hAnsi="Gill Sans MT"/>
        </w:rPr>
        <w:t>(at this point) utterly unquestionabl</w:t>
      </w:r>
      <w:r w:rsidR="00EB525E">
        <w:rPr>
          <w:rFonts w:ascii="Gill Sans MT" w:hAnsi="Gill Sans MT"/>
        </w:rPr>
        <w:t>e.  Indeed, Lord Reid expressly identifies the 17</w:t>
      </w:r>
      <w:r w:rsidR="00EB525E" w:rsidRPr="00EB525E">
        <w:rPr>
          <w:rFonts w:ascii="Gill Sans MT" w:hAnsi="Gill Sans MT"/>
          <w:vertAlign w:val="superscript"/>
        </w:rPr>
        <w:t>th</w:t>
      </w:r>
      <w:r w:rsidR="00EB525E">
        <w:rPr>
          <w:rFonts w:ascii="Gill Sans MT" w:hAnsi="Gill Sans MT"/>
        </w:rPr>
        <w:t xml:space="preserve"> century conflicts as being the </w:t>
      </w:r>
      <w:r w:rsidR="00505DF5">
        <w:rPr>
          <w:rFonts w:ascii="Gill Sans MT" w:hAnsi="Gill Sans MT"/>
        </w:rPr>
        <w:t>context in</w:t>
      </w:r>
      <w:r w:rsidR="00EB525E">
        <w:rPr>
          <w:rFonts w:ascii="Gill Sans MT" w:hAnsi="Gill Sans MT"/>
        </w:rPr>
        <w:t xml:space="preserve"> which ‘the supremacy of Parliament was finally demonstrated by the Revolution of 1688’, which had </w:t>
      </w:r>
      <w:r w:rsidR="00505DF5">
        <w:rPr>
          <w:rFonts w:ascii="Gill Sans MT" w:hAnsi="Gill Sans MT"/>
        </w:rPr>
        <w:t xml:space="preserve">therefore </w:t>
      </w:r>
      <w:r w:rsidR="00EB525E">
        <w:rPr>
          <w:rFonts w:ascii="Gill Sans MT" w:hAnsi="Gill Sans MT"/>
        </w:rPr>
        <w:t>rendered ‘obsolete’ any prior idea that an Act of Parliament could be unlawful if contrary to the law of God or nature.</w:t>
      </w:r>
      <w:r w:rsidR="00EB525E">
        <w:rPr>
          <w:rStyle w:val="FootnoteReference"/>
          <w:rFonts w:ascii="Gill Sans MT" w:hAnsi="Gill Sans MT"/>
        </w:rPr>
        <w:footnoteReference w:id="52"/>
      </w:r>
      <w:r w:rsidR="00832E30">
        <w:rPr>
          <w:rFonts w:ascii="Gill Sans MT" w:hAnsi="Gill Sans MT"/>
        </w:rPr>
        <w:t xml:space="preserve">  </w:t>
      </w:r>
      <w:r w:rsidR="00692972">
        <w:rPr>
          <w:rFonts w:ascii="Gill Sans MT" w:hAnsi="Gill Sans MT"/>
        </w:rPr>
        <w:t>T</w:t>
      </w:r>
      <w:r w:rsidR="008D34BF">
        <w:rPr>
          <w:rFonts w:ascii="Gill Sans MT" w:hAnsi="Gill Sans MT"/>
        </w:rPr>
        <w:t>he</w:t>
      </w:r>
      <w:r w:rsidR="00832E30">
        <w:rPr>
          <w:rFonts w:ascii="Gill Sans MT" w:hAnsi="Gill Sans MT"/>
        </w:rPr>
        <w:t xml:space="preserve"> longevity of parliamentary sovereignty </w:t>
      </w:r>
      <w:r w:rsidR="00692972">
        <w:rPr>
          <w:rFonts w:ascii="Gill Sans MT" w:hAnsi="Gill Sans MT"/>
        </w:rPr>
        <w:t xml:space="preserve">therefore </w:t>
      </w:r>
      <w:r w:rsidR="008D34BF">
        <w:rPr>
          <w:rFonts w:ascii="Gill Sans MT" w:hAnsi="Gill Sans MT"/>
        </w:rPr>
        <w:t>contributed</w:t>
      </w:r>
      <w:r w:rsidR="00832E30">
        <w:rPr>
          <w:rFonts w:ascii="Gill Sans MT" w:hAnsi="Gill Sans MT"/>
        </w:rPr>
        <w:t xml:space="preserve"> directly to its contemporary authority </w:t>
      </w:r>
      <w:r w:rsidR="00692972">
        <w:rPr>
          <w:rFonts w:ascii="Gill Sans MT" w:hAnsi="Gill Sans MT"/>
        </w:rPr>
        <w:t xml:space="preserve">because </w:t>
      </w:r>
      <w:r w:rsidR="00902738">
        <w:rPr>
          <w:rFonts w:ascii="Gill Sans MT" w:hAnsi="Gill Sans MT"/>
        </w:rPr>
        <w:t>‘so far as I am aware, no one since 1842 has doubted that it is a correct statement of the constitutional position’.</w:t>
      </w:r>
      <w:r w:rsidR="00902738">
        <w:rPr>
          <w:rStyle w:val="FootnoteReference"/>
          <w:rFonts w:ascii="Gill Sans MT" w:hAnsi="Gill Sans MT"/>
        </w:rPr>
        <w:footnoteReference w:id="53"/>
      </w:r>
      <w:r w:rsidR="00902738">
        <w:rPr>
          <w:rFonts w:ascii="Gill Sans MT" w:hAnsi="Gill Sans MT"/>
        </w:rPr>
        <w:t xml:space="preserve"> </w:t>
      </w:r>
    </w:p>
    <w:p w14:paraId="3BC75245" w14:textId="516ECEAC" w:rsidR="00963DDD" w:rsidRDefault="00444523" w:rsidP="001137EA">
      <w:pPr>
        <w:spacing w:after="0" w:line="360" w:lineRule="auto"/>
        <w:jc w:val="both"/>
        <w:rPr>
          <w:rFonts w:ascii="Gill Sans MT" w:hAnsi="Gill Sans MT"/>
        </w:rPr>
      </w:pPr>
      <w:r>
        <w:rPr>
          <w:rFonts w:ascii="Gill Sans MT" w:hAnsi="Gill Sans MT"/>
        </w:rPr>
        <w:tab/>
      </w:r>
      <w:r w:rsidR="00760E9E">
        <w:rPr>
          <w:rFonts w:ascii="Gill Sans MT" w:hAnsi="Gill Sans MT"/>
        </w:rPr>
        <w:t>The historical approach taken by the courts to parliamentary sovereignty is a minimalist one – the doctrine is presented as a constitutional norm which has been long accepted and is</w:t>
      </w:r>
      <w:r w:rsidR="00FA19D4">
        <w:rPr>
          <w:rFonts w:ascii="Gill Sans MT" w:hAnsi="Gill Sans MT"/>
        </w:rPr>
        <w:t>,</w:t>
      </w:r>
      <w:r w:rsidR="004A211B">
        <w:rPr>
          <w:rFonts w:ascii="Gill Sans MT" w:hAnsi="Gill Sans MT"/>
        </w:rPr>
        <w:t xml:space="preserve"> therefore</w:t>
      </w:r>
      <w:r w:rsidR="00FA19D4">
        <w:rPr>
          <w:rFonts w:ascii="Gill Sans MT" w:hAnsi="Gill Sans MT"/>
        </w:rPr>
        <w:t xml:space="preserve">, </w:t>
      </w:r>
      <w:r w:rsidR="00760E9E">
        <w:rPr>
          <w:rFonts w:ascii="Gill Sans MT" w:hAnsi="Gill Sans MT"/>
        </w:rPr>
        <w:t xml:space="preserve">far beyond the authority of the judges to change or question.  Yet this approach is now in decline and is in the process of being replaced by a judicial approach which </w:t>
      </w:r>
      <w:r w:rsidR="00FA19D4">
        <w:rPr>
          <w:rFonts w:ascii="Gill Sans MT" w:hAnsi="Gill Sans MT"/>
        </w:rPr>
        <w:t>may be considere</w:t>
      </w:r>
      <w:r w:rsidR="00092AA6">
        <w:rPr>
          <w:rFonts w:ascii="Gill Sans MT" w:hAnsi="Gill Sans MT"/>
        </w:rPr>
        <w:t>d</w:t>
      </w:r>
      <w:r w:rsidR="00760E9E">
        <w:rPr>
          <w:rFonts w:ascii="Gill Sans MT" w:hAnsi="Gill Sans MT"/>
        </w:rPr>
        <w:t xml:space="preserve"> maximalist and overtly normative.</w:t>
      </w:r>
      <w:r w:rsidR="005A46BA">
        <w:rPr>
          <w:rFonts w:ascii="Gill Sans MT" w:hAnsi="Gill Sans MT"/>
        </w:rPr>
        <w:t xml:space="preserve">  This has led the courts to adopt a contradictory modern attitude to parliamentary sovereignty.  On one hand, some senior judges have expressed doubts about the continuing existence of parliamentary sovereignty.  In the watershed case of </w:t>
      </w:r>
      <w:r w:rsidR="005A46BA">
        <w:rPr>
          <w:rFonts w:ascii="Gill Sans MT" w:hAnsi="Gill Sans MT"/>
          <w:i/>
          <w:iCs/>
        </w:rPr>
        <w:t>Jackson</w:t>
      </w:r>
      <w:r w:rsidR="005A46BA">
        <w:rPr>
          <w:rFonts w:ascii="Gill Sans MT" w:hAnsi="Gill Sans MT"/>
        </w:rPr>
        <w:t xml:space="preserve"> in 2006, Lords Steyn, Hope and Lady Hale (albeit obiter, and only as a minority of the judges hearing the case in the House of Lords) explicitly questioned whether Parliament’s legislative power was now, or could become, limited by the common law.</w:t>
      </w:r>
      <w:r w:rsidR="00675551">
        <w:rPr>
          <w:rStyle w:val="FootnoteReference"/>
          <w:rFonts w:ascii="Gill Sans MT" w:hAnsi="Gill Sans MT"/>
        </w:rPr>
        <w:footnoteReference w:id="54"/>
      </w:r>
      <w:r w:rsidR="005A46BA">
        <w:rPr>
          <w:rFonts w:ascii="Gill Sans MT" w:hAnsi="Gill Sans MT"/>
        </w:rPr>
        <w:t xml:space="preserve">  This</w:t>
      </w:r>
      <w:r w:rsidR="00560694">
        <w:rPr>
          <w:rFonts w:ascii="Gill Sans MT" w:hAnsi="Gill Sans MT"/>
        </w:rPr>
        <w:t xml:space="preserve"> </w:t>
      </w:r>
      <w:r w:rsidR="009A23D0">
        <w:rPr>
          <w:rFonts w:ascii="Gill Sans MT" w:hAnsi="Gill Sans MT"/>
        </w:rPr>
        <w:t xml:space="preserve">judicial </w:t>
      </w:r>
      <w:r w:rsidR="005A46BA">
        <w:rPr>
          <w:rFonts w:ascii="Gill Sans MT" w:hAnsi="Gill Sans MT"/>
        </w:rPr>
        <w:t>speculation about</w:t>
      </w:r>
      <w:r w:rsidR="009A23D0">
        <w:rPr>
          <w:rFonts w:ascii="Gill Sans MT" w:hAnsi="Gill Sans MT"/>
        </w:rPr>
        <w:t xml:space="preserve"> the</w:t>
      </w:r>
      <w:r w:rsidR="005A46BA">
        <w:rPr>
          <w:rFonts w:ascii="Gill Sans MT" w:hAnsi="Gill Sans MT"/>
        </w:rPr>
        <w:t xml:space="preserve"> potential </w:t>
      </w:r>
      <w:r w:rsidR="009A23D0">
        <w:rPr>
          <w:rFonts w:ascii="Gill Sans MT" w:hAnsi="Gill Sans MT"/>
        </w:rPr>
        <w:t>for judicial limitation of legislative power has been controversial, and challenged by some judges,</w:t>
      </w:r>
      <w:r w:rsidR="009A23D0">
        <w:rPr>
          <w:rStyle w:val="FootnoteReference"/>
          <w:rFonts w:ascii="Gill Sans MT" w:hAnsi="Gill Sans MT"/>
        </w:rPr>
        <w:footnoteReference w:id="55"/>
      </w:r>
      <w:r w:rsidR="009A23D0">
        <w:rPr>
          <w:rFonts w:ascii="Gill Sans MT" w:hAnsi="Gill Sans MT"/>
        </w:rPr>
        <w:t xml:space="preserve"> but it has also intensified and been reinforced </w:t>
      </w:r>
      <w:r w:rsidR="009A23D0">
        <w:rPr>
          <w:rFonts w:ascii="Gill Sans MT" w:hAnsi="Gill Sans MT"/>
        </w:rPr>
        <w:lastRenderedPageBreak/>
        <w:t>in successive cases</w:t>
      </w:r>
      <w:r w:rsidR="001C30CE">
        <w:rPr>
          <w:rFonts w:ascii="Gill Sans MT" w:hAnsi="Gill Sans MT"/>
        </w:rPr>
        <w:t xml:space="preserve">, including </w:t>
      </w:r>
      <w:proofErr w:type="spellStart"/>
      <w:r w:rsidR="001C30CE">
        <w:rPr>
          <w:rFonts w:ascii="Gill Sans MT" w:hAnsi="Gill Sans MT"/>
          <w:i/>
          <w:iCs/>
        </w:rPr>
        <w:t>Axa</w:t>
      </w:r>
      <w:proofErr w:type="spellEnd"/>
      <w:r w:rsidR="001C30CE">
        <w:rPr>
          <w:rFonts w:ascii="Gill Sans MT" w:hAnsi="Gill Sans MT"/>
        </w:rPr>
        <w:t>,</w:t>
      </w:r>
      <w:r w:rsidR="001C30CE">
        <w:rPr>
          <w:rStyle w:val="FootnoteReference"/>
          <w:rFonts w:ascii="Gill Sans MT" w:hAnsi="Gill Sans MT"/>
        </w:rPr>
        <w:footnoteReference w:id="56"/>
      </w:r>
      <w:r w:rsidR="001C30CE">
        <w:rPr>
          <w:rFonts w:ascii="Gill Sans MT" w:hAnsi="Gill Sans MT"/>
        </w:rPr>
        <w:t xml:space="preserve"> </w:t>
      </w:r>
      <w:proofErr w:type="spellStart"/>
      <w:r w:rsidR="001C30CE">
        <w:rPr>
          <w:rFonts w:ascii="Gill Sans MT" w:hAnsi="Gill Sans MT"/>
          <w:i/>
          <w:iCs/>
        </w:rPr>
        <w:t>Moohan</w:t>
      </w:r>
      <w:proofErr w:type="spellEnd"/>
      <w:r w:rsidR="001C30CE">
        <w:rPr>
          <w:rFonts w:ascii="Gill Sans MT" w:hAnsi="Gill Sans MT"/>
        </w:rPr>
        <w:t>,</w:t>
      </w:r>
      <w:r w:rsidR="001C30CE">
        <w:rPr>
          <w:rStyle w:val="FootnoteReference"/>
          <w:rFonts w:ascii="Gill Sans MT" w:hAnsi="Gill Sans MT"/>
        </w:rPr>
        <w:footnoteReference w:id="57"/>
      </w:r>
      <w:r w:rsidR="001C30CE">
        <w:rPr>
          <w:rFonts w:ascii="Gill Sans MT" w:hAnsi="Gill Sans MT"/>
        </w:rPr>
        <w:t xml:space="preserve"> </w:t>
      </w:r>
      <w:r w:rsidR="001C30CE">
        <w:rPr>
          <w:rFonts w:ascii="Gill Sans MT" w:hAnsi="Gill Sans MT"/>
          <w:i/>
          <w:iCs/>
        </w:rPr>
        <w:t>Public Law Project</w:t>
      </w:r>
      <w:r w:rsidR="00B25213">
        <w:rPr>
          <w:rFonts w:ascii="Gill Sans MT" w:hAnsi="Gill Sans MT"/>
        </w:rPr>
        <w:t>,</w:t>
      </w:r>
      <w:r w:rsidR="009A23D0">
        <w:rPr>
          <w:rStyle w:val="FootnoteReference"/>
          <w:rFonts w:ascii="Gill Sans MT" w:hAnsi="Gill Sans MT"/>
        </w:rPr>
        <w:footnoteReference w:id="58"/>
      </w:r>
      <w:r w:rsidR="009A23D0">
        <w:rPr>
          <w:rFonts w:ascii="Gill Sans MT" w:hAnsi="Gill Sans MT"/>
        </w:rPr>
        <w:t xml:space="preserve"> </w:t>
      </w:r>
      <w:r w:rsidR="00B25213">
        <w:rPr>
          <w:rFonts w:ascii="Gill Sans MT" w:hAnsi="Gill Sans MT"/>
        </w:rPr>
        <w:t xml:space="preserve">and </w:t>
      </w:r>
      <w:r w:rsidR="00B25213">
        <w:rPr>
          <w:rFonts w:ascii="Gill Sans MT" w:hAnsi="Gill Sans MT"/>
          <w:i/>
          <w:iCs/>
        </w:rPr>
        <w:t>Privacy International</w:t>
      </w:r>
      <w:r w:rsidR="00B25213">
        <w:rPr>
          <w:rFonts w:ascii="Gill Sans MT" w:hAnsi="Gill Sans MT"/>
        </w:rPr>
        <w:t>.</w:t>
      </w:r>
      <w:r w:rsidR="00B25213">
        <w:rPr>
          <w:rStyle w:val="FootnoteReference"/>
          <w:rFonts w:ascii="Gill Sans MT" w:hAnsi="Gill Sans MT"/>
        </w:rPr>
        <w:footnoteReference w:id="59"/>
      </w:r>
      <w:r w:rsidR="001A4E99">
        <w:rPr>
          <w:rFonts w:ascii="Gill Sans MT" w:hAnsi="Gill Sans MT"/>
        </w:rPr>
        <w:t xml:space="preserve">  On the other hand, however, the contemporary doubts which have been </w:t>
      </w:r>
      <w:r w:rsidR="00FA19D4">
        <w:rPr>
          <w:rFonts w:ascii="Gill Sans MT" w:hAnsi="Gill Sans MT"/>
        </w:rPr>
        <w:t xml:space="preserve">expressed </w:t>
      </w:r>
      <w:r w:rsidR="001A4E99">
        <w:rPr>
          <w:rFonts w:ascii="Gill Sans MT" w:hAnsi="Gill Sans MT"/>
        </w:rPr>
        <w:t>by some judges</w:t>
      </w:r>
      <w:r w:rsidR="000C3792">
        <w:rPr>
          <w:rFonts w:ascii="Gill Sans MT" w:hAnsi="Gill Sans MT"/>
        </w:rPr>
        <w:t xml:space="preserve"> – </w:t>
      </w:r>
      <w:r w:rsidR="001A4E99">
        <w:rPr>
          <w:rFonts w:ascii="Gill Sans MT" w:hAnsi="Gill Sans MT"/>
        </w:rPr>
        <w:t>but not yet acted upon</w:t>
      </w:r>
      <w:r w:rsidR="000C3792">
        <w:rPr>
          <w:rFonts w:ascii="Gill Sans MT" w:hAnsi="Gill Sans MT"/>
        </w:rPr>
        <w:t xml:space="preserve"> – </w:t>
      </w:r>
      <w:r w:rsidR="001A4E99">
        <w:rPr>
          <w:rFonts w:ascii="Gill Sans MT" w:hAnsi="Gill Sans MT"/>
        </w:rPr>
        <w:t>sit very uneasily with a number of decisions relating to the process of Brexit</w:t>
      </w:r>
      <w:r w:rsidR="005C12AF">
        <w:rPr>
          <w:rFonts w:ascii="Gill Sans MT" w:hAnsi="Gill Sans MT"/>
        </w:rPr>
        <w:t xml:space="preserve">, which placed the Supreme Court at the centre of a heated public debate about whether it had strayed into the political realm.  </w:t>
      </w:r>
      <w:r w:rsidR="000C3792">
        <w:rPr>
          <w:rFonts w:ascii="Gill Sans MT" w:hAnsi="Gill Sans MT"/>
        </w:rPr>
        <w:t xml:space="preserve">In the cases of </w:t>
      </w:r>
      <w:r w:rsidR="001A4E99">
        <w:rPr>
          <w:rFonts w:ascii="Gill Sans MT" w:hAnsi="Gill Sans MT"/>
          <w:i/>
          <w:iCs/>
        </w:rPr>
        <w:t>Miller</w:t>
      </w:r>
      <w:r w:rsidR="001A4E99">
        <w:rPr>
          <w:rFonts w:ascii="Gill Sans MT" w:hAnsi="Gill Sans MT"/>
        </w:rPr>
        <w:t>,</w:t>
      </w:r>
      <w:r w:rsidR="001A4E99">
        <w:rPr>
          <w:rStyle w:val="FootnoteReference"/>
          <w:rFonts w:ascii="Gill Sans MT" w:hAnsi="Gill Sans MT"/>
        </w:rPr>
        <w:footnoteReference w:id="60"/>
      </w:r>
      <w:r w:rsidR="001A4E99">
        <w:rPr>
          <w:rFonts w:ascii="Gill Sans MT" w:hAnsi="Gill Sans MT"/>
        </w:rPr>
        <w:t xml:space="preserve"> the </w:t>
      </w:r>
      <w:r w:rsidR="001A4E99" w:rsidRPr="001A4E99">
        <w:rPr>
          <w:rFonts w:ascii="Gill Sans MT" w:hAnsi="Gill Sans MT"/>
          <w:i/>
          <w:iCs/>
        </w:rPr>
        <w:t>Reference on the Scottish Continuity Bill</w:t>
      </w:r>
      <w:r w:rsidR="001A4E99">
        <w:rPr>
          <w:rFonts w:ascii="Gill Sans MT" w:hAnsi="Gill Sans MT"/>
        </w:rPr>
        <w:t>,</w:t>
      </w:r>
      <w:r w:rsidR="001A4E99">
        <w:rPr>
          <w:rStyle w:val="FootnoteReference"/>
          <w:rFonts w:ascii="Gill Sans MT" w:hAnsi="Gill Sans MT"/>
        </w:rPr>
        <w:footnoteReference w:id="61"/>
      </w:r>
      <w:r w:rsidR="001A4E99">
        <w:rPr>
          <w:rFonts w:ascii="Gill Sans MT" w:hAnsi="Gill Sans MT"/>
        </w:rPr>
        <w:t xml:space="preserve"> and </w:t>
      </w:r>
      <w:r w:rsidR="001A4E99" w:rsidRPr="001A4E99">
        <w:rPr>
          <w:rFonts w:ascii="Gill Sans MT" w:hAnsi="Gill Sans MT"/>
          <w:i/>
          <w:iCs/>
        </w:rPr>
        <w:t>Cherry</w:t>
      </w:r>
      <w:r w:rsidR="001A4E99">
        <w:rPr>
          <w:rFonts w:ascii="Gill Sans MT" w:hAnsi="Gill Sans MT"/>
          <w:i/>
          <w:iCs/>
        </w:rPr>
        <w:t>/Miller (No.2)</w:t>
      </w:r>
      <w:r w:rsidR="000C3792">
        <w:rPr>
          <w:rFonts w:ascii="Gill Sans MT" w:hAnsi="Gill Sans MT"/>
          <w:i/>
          <w:iCs/>
        </w:rPr>
        <w:t>,</w:t>
      </w:r>
      <w:r w:rsidR="001A4E99">
        <w:rPr>
          <w:rStyle w:val="FootnoteReference"/>
          <w:rFonts w:ascii="Gill Sans MT" w:hAnsi="Gill Sans MT"/>
        </w:rPr>
        <w:footnoteReference w:id="62"/>
      </w:r>
      <w:r w:rsidR="001A4E99">
        <w:rPr>
          <w:rFonts w:ascii="Gill Sans MT" w:hAnsi="Gill Sans MT"/>
        </w:rPr>
        <w:t xml:space="preserve"> </w:t>
      </w:r>
      <w:bookmarkStart w:id="2" w:name="_Hlk59527474"/>
      <w:r w:rsidR="000C3792">
        <w:rPr>
          <w:rFonts w:ascii="Gill Sans MT" w:hAnsi="Gill Sans MT"/>
        </w:rPr>
        <w:t>the Supreme Court explicitly reaffirmed the importance of parliamentary sovereignty, paradoxically relying on the doctrine to bolster the judges’ authority in contentious constitutional circumstances.</w:t>
      </w:r>
    </w:p>
    <w:p w14:paraId="4D86D7EC" w14:textId="4EA6EE3B" w:rsidR="00963DDD" w:rsidRDefault="00963DDD" w:rsidP="001137EA">
      <w:pPr>
        <w:spacing w:after="0" w:line="360" w:lineRule="auto"/>
        <w:ind w:firstLine="720"/>
        <w:jc w:val="both"/>
        <w:rPr>
          <w:rFonts w:ascii="Gill Sans MT" w:hAnsi="Gill Sans MT"/>
        </w:rPr>
      </w:pPr>
      <w:r>
        <w:rPr>
          <w:rFonts w:ascii="Gill Sans MT" w:hAnsi="Gill Sans MT"/>
        </w:rPr>
        <w:t xml:space="preserve">This is a remarkable shift in substance and approach from the minimalist historicism of </w:t>
      </w:r>
      <w:r>
        <w:rPr>
          <w:rFonts w:ascii="Gill Sans MT" w:hAnsi="Gill Sans MT"/>
          <w:i/>
          <w:iCs/>
        </w:rPr>
        <w:t>Pickin</w:t>
      </w:r>
      <w:r>
        <w:rPr>
          <w:rFonts w:ascii="Gill Sans MT" w:hAnsi="Gill Sans MT"/>
        </w:rPr>
        <w:t xml:space="preserve">.  Whether the judges are hypothesising limits on parliamentary sovereignty or declaring its constitutional fundamentality, they are positioning themselves as active agents of constitutional principle, rather than the legal and institutional subordinates of the legislature.  Whether the normative balance in any </w:t>
      </w:r>
      <w:proofErr w:type="gramStart"/>
      <w:r>
        <w:rPr>
          <w:rFonts w:ascii="Gill Sans MT" w:hAnsi="Gill Sans MT"/>
        </w:rPr>
        <w:t>particular case</w:t>
      </w:r>
      <w:proofErr w:type="gramEnd"/>
      <w:r>
        <w:rPr>
          <w:rFonts w:ascii="Gill Sans MT" w:hAnsi="Gill Sans MT"/>
        </w:rPr>
        <w:t xml:space="preserve"> tips for or against parliamentary sovereignty, the courts are explicitly conducting that normative balancing exercise.  And in that sense, we see the common law is becoming disconnected from the history of parliamentary sovereignty and </w:t>
      </w:r>
      <w:r w:rsidR="00FA19D4">
        <w:rPr>
          <w:rFonts w:ascii="Gill Sans MT" w:hAnsi="Gill Sans MT"/>
        </w:rPr>
        <w:t xml:space="preserve">is being </w:t>
      </w:r>
      <w:r>
        <w:rPr>
          <w:rFonts w:ascii="Gill Sans MT" w:hAnsi="Gill Sans MT"/>
        </w:rPr>
        <w:t xml:space="preserve">shaped instead by abstract – and often </w:t>
      </w:r>
      <w:r w:rsidR="00FA19D4">
        <w:rPr>
          <w:rFonts w:ascii="Gill Sans MT" w:hAnsi="Gill Sans MT"/>
        </w:rPr>
        <w:t xml:space="preserve">controversial </w:t>
      </w:r>
      <w:r>
        <w:rPr>
          <w:rFonts w:ascii="Gill Sans MT" w:hAnsi="Gill Sans MT"/>
        </w:rPr>
        <w:t xml:space="preserve">– normative principles determined </w:t>
      </w:r>
      <w:r w:rsidR="00FA19D4">
        <w:rPr>
          <w:rFonts w:ascii="Gill Sans MT" w:hAnsi="Gill Sans MT"/>
        </w:rPr>
        <w:t xml:space="preserve">a priori </w:t>
      </w:r>
      <w:r>
        <w:rPr>
          <w:rFonts w:ascii="Gill Sans MT" w:hAnsi="Gill Sans MT"/>
        </w:rPr>
        <w:t>by the judiciary.</w:t>
      </w:r>
    </w:p>
    <w:bookmarkEnd w:id="2"/>
    <w:p w14:paraId="20191550" w14:textId="7E46BF34" w:rsidR="001C125D" w:rsidRPr="00B324BC" w:rsidRDefault="00963DDD" w:rsidP="001137EA">
      <w:pPr>
        <w:spacing w:after="0" w:line="360" w:lineRule="auto"/>
        <w:ind w:firstLine="720"/>
        <w:jc w:val="both"/>
        <w:rPr>
          <w:rFonts w:ascii="Gill Sans MT" w:hAnsi="Gill Sans MT"/>
        </w:rPr>
      </w:pPr>
      <w:r>
        <w:rPr>
          <w:rFonts w:ascii="Gill Sans MT" w:hAnsi="Gill Sans MT"/>
        </w:rPr>
        <w:t>Th</w:t>
      </w:r>
      <w:r w:rsidR="007E3B8A">
        <w:rPr>
          <w:rFonts w:ascii="Gill Sans MT" w:hAnsi="Gill Sans MT"/>
        </w:rPr>
        <w:t>e a-historical</w:t>
      </w:r>
      <w:r w:rsidR="00FA19D4">
        <w:rPr>
          <w:rFonts w:ascii="Gill Sans MT" w:hAnsi="Gill Sans MT"/>
        </w:rPr>
        <w:t>, normative</w:t>
      </w:r>
      <w:r w:rsidR="007E3B8A">
        <w:rPr>
          <w:rFonts w:ascii="Gill Sans MT" w:hAnsi="Gill Sans MT"/>
        </w:rPr>
        <w:t xml:space="preserve"> approach</w:t>
      </w:r>
      <w:r w:rsidR="001C125D">
        <w:rPr>
          <w:rFonts w:ascii="Gill Sans MT" w:hAnsi="Gill Sans MT"/>
        </w:rPr>
        <w:t xml:space="preserve"> now being</w:t>
      </w:r>
      <w:r w:rsidR="007E3B8A">
        <w:rPr>
          <w:rFonts w:ascii="Gill Sans MT" w:hAnsi="Gill Sans MT"/>
        </w:rPr>
        <w:t xml:space="preserve"> taken by the courts to </w:t>
      </w:r>
      <w:r w:rsidR="00973B92">
        <w:rPr>
          <w:rFonts w:ascii="Gill Sans MT" w:hAnsi="Gill Sans MT"/>
        </w:rPr>
        <w:t>parliamentary</w:t>
      </w:r>
      <w:r w:rsidR="007E3B8A">
        <w:rPr>
          <w:rFonts w:ascii="Gill Sans MT" w:hAnsi="Gill Sans MT"/>
        </w:rPr>
        <w:t xml:space="preserve"> sovereignty </w:t>
      </w:r>
      <w:r w:rsidR="00FA19D4">
        <w:rPr>
          <w:rFonts w:ascii="Gill Sans MT" w:hAnsi="Gill Sans MT"/>
        </w:rPr>
        <w:t xml:space="preserve">represents a significant change of attitude to </w:t>
      </w:r>
      <w:r w:rsidR="00973B92">
        <w:rPr>
          <w:rFonts w:ascii="Gill Sans MT" w:hAnsi="Gill Sans MT"/>
        </w:rPr>
        <w:t>legislative authority in the constitution</w:t>
      </w:r>
      <w:r w:rsidR="00FA19D4">
        <w:rPr>
          <w:rFonts w:ascii="Gill Sans MT" w:hAnsi="Gill Sans MT"/>
        </w:rPr>
        <w:t xml:space="preserve"> which</w:t>
      </w:r>
      <w:r w:rsidR="00973B92">
        <w:rPr>
          <w:rFonts w:ascii="Gill Sans MT" w:hAnsi="Gill Sans MT"/>
        </w:rPr>
        <w:t xml:space="preserve"> </w:t>
      </w:r>
      <w:proofErr w:type="spellStart"/>
      <w:r w:rsidR="00973B92">
        <w:rPr>
          <w:rFonts w:ascii="Gill Sans MT" w:hAnsi="Gill Sans MT"/>
        </w:rPr>
        <w:t>empowe</w:t>
      </w:r>
      <w:r w:rsidR="00FA19D4">
        <w:rPr>
          <w:rFonts w:ascii="Gill Sans MT" w:hAnsi="Gill Sans MT"/>
        </w:rPr>
        <w:t>s</w:t>
      </w:r>
      <w:proofErr w:type="spellEnd"/>
      <w:r w:rsidR="00973B92">
        <w:rPr>
          <w:rFonts w:ascii="Gill Sans MT" w:hAnsi="Gill Sans MT"/>
        </w:rPr>
        <w:t xml:space="preserve"> the courts to become more active interpreters of parliamentary sovereignty</w:t>
      </w:r>
      <w:proofErr w:type="gramStart"/>
      <w:r w:rsidR="00FA19D4">
        <w:rPr>
          <w:rFonts w:ascii="Gill Sans MT" w:hAnsi="Gill Sans MT"/>
        </w:rPr>
        <w:t xml:space="preserve">. </w:t>
      </w:r>
      <w:proofErr w:type="gramEnd"/>
      <w:r w:rsidR="00FA19D4">
        <w:rPr>
          <w:rFonts w:ascii="Gill Sans MT" w:hAnsi="Gill Sans MT"/>
        </w:rPr>
        <w:t xml:space="preserve">This </w:t>
      </w:r>
      <w:r w:rsidR="001C125D">
        <w:rPr>
          <w:rFonts w:ascii="Gill Sans MT" w:hAnsi="Gill Sans MT"/>
        </w:rPr>
        <w:t>may be</w:t>
      </w:r>
      <w:r w:rsidR="001C125D" w:rsidRPr="00B324BC">
        <w:rPr>
          <w:rFonts w:ascii="Gill Sans MT" w:hAnsi="Gill Sans MT"/>
        </w:rPr>
        <w:t xml:space="preserve"> the </w:t>
      </w:r>
      <w:r w:rsidR="001C125D">
        <w:rPr>
          <w:rFonts w:ascii="Gill Sans MT" w:hAnsi="Gill Sans MT"/>
        </w:rPr>
        <w:t xml:space="preserve">ultimate </w:t>
      </w:r>
      <w:r w:rsidR="001C125D" w:rsidRPr="00B324BC">
        <w:rPr>
          <w:rFonts w:ascii="Gill Sans MT" w:hAnsi="Gill Sans MT"/>
        </w:rPr>
        <w:t xml:space="preserve">consequence of </w:t>
      </w:r>
      <w:proofErr w:type="spellStart"/>
      <w:r w:rsidR="001C125D" w:rsidRPr="00B324BC">
        <w:rPr>
          <w:rFonts w:ascii="Gill Sans MT" w:hAnsi="Gill Sans MT"/>
        </w:rPr>
        <w:t>Dicey’s</w:t>
      </w:r>
      <w:proofErr w:type="spellEnd"/>
      <w:r w:rsidR="001C125D" w:rsidRPr="00B324BC">
        <w:rPr>
          <w:rFonts w:ascii="Gill Sans MT" w:hAnsi="Gill Sans MT"/>
        </w:rPr>
        <w:t xml:space="preserve"> legalism</w:t>
      </w:r>
      <w:r w:rsidR="00FA19D4">
        <w:rPr>
          <w:rFonts w:ascii="Gill Sans MT" w:hAnsi="Gill Sans MT"/>
        </w:rPr>
        <w:t xml:space="preserve">, based on the view </w:t>
      </w:r>
      <w:r w:rsidR="001C125D">
        <w:rPr>
          <w:rFonts w:ascii="Gill Sans MT" w:hAnsi="Gill Sans MT"/>
        </w:rPr>
        <w:t xml:space="preserve">that </w:t>
      </w:r>
      <w:r w:rsidR="0043632E">
        <w:rPr>
          <w:rFonts w:ascii="Gill Sans MT" w:hAnsi="Gill Sans MT"/>
        </w:rPr>
        <w:t xml:space="preserve">constitutional </w:t>
      </w:r>
      <w:r w:rsidR="001C125D" w:rsidRPr="00B324BC">
        <w:rPr>
          <w:rFonts w:ascii="Gill Sans MT" w:hAnsi="Gill Sans MT"/>
        </w:rPr>
        <w:t xml:space="preserve">law </w:t>
      </w:r>
      <w:r w:rsidR="00FA19D4">
        <w:rPr>
          <w:rFonts w:ascii="Gill Sans MT" w:hAnsi="Gill Sans MT"/>
        </w:rPr>
        <w:t xml:space="preserve">is </w:t>
      </w:r>
      <w:r w:rsidR="001C125D" w:rsidRPr="00B324BC">
        <w:rPr>
          <w:rFonts w:ascii="Gill Sans MT" w:hAnsi="Gill Sans MT"/>
        </w:rPr>
        <w:t xml:space="preserve">autonomous and untethered from historical context, and can be made and re-made by the </w:t>
      </w:r>
      <w:r w:rsidR="005B51C2">
        <w:rPr>
          <w:rFonts w:ascii="Gill Sans MT" w:hAnsi="Gill Sans MT"/>
        </w:rPr>
        <w:t>judiciary</w:t>
      </w:r>
      <w:r w:rsidR="001C125D" w:rsidRPr="00B324BC">
        <w:rPr>
          <w:rFonts w:ascii="Gill Sans MT" w:hAnsi="Gill Sans MT"/>
        </w:rPr>
        <w:t>, who are self-empowered in the process.</w:t>
      </w:r>
      <w:r w:rsidR="001C125D">
        <w:rPr>
          <w:rFonts w:ascii="Gill Sans MT" w:hAnsi="Gill Sans MT"/>
        </w:rPr>
        <w:t xml:space="preserve"> </w:t>
      </w:r>
      <w:r w:rsidR="0043632E">
        <w:rPr>
          <w:rFonts w:ascii="Gill Sans MT" w:hAnsi="Gill Sans MT"/>
        </w:rPr>
        <w:t xml:space="preserve"> </w:t>
      </w:r>
    </w:p>
    <w:p w14:paraId="335533A1" w14:textId="77777777" w:rsidR="00E150D0" w:rsidRPr="00E150D0" w:rsidRDefault="00E150D0" w:rsidP="001137EA">
      <w:pPr>
        <w:spacing w:after="0" w:line="360" w:lineRule="auto"/>
        <w:rPr>
          <w:rFonts w:ascii="Gill Sans MT" w:hAnsi="Gill Sans MT"/>
          <w:i/>
          <w:iCs/>
          <w:u w:val="single"/>
        </w:rPr>
      </w:pPr>
    </w:p>
    <w:p w14:paraId="3CA29BAB" w14:textId="72FA1370" w:rsidR="00E150D0" w:rsidRDefault="00E150D0" w:rsidP="001137EA">
      <w:pPr>
        <w:pStyle w:val="ListParagraph"/>
        <w:numPr>
          <w:ilvl w:val="0"/>
          <w:numId w:val="1"/>
        </w:numPr>
        <w:spacing w:after="0" w:line="360" w:lineRule="auto"/>
        <w:rPr>
          <w:rFonts w:ascii="Gill Sans MT" w:hAnsi="Gill Sans MT"/>
          <w:i/>
          <w:iCs/>
          <w:u w:val="single"/>
        </w:rPr>
      </w:pPr>
      <w:r>
        <w:rPr>
          <w:rFonts w:ascii="Gill Sans MT" w:hAnsi="Gill Sans MT"/>
          <w:i/>
          <w:iCs/>
          <w:u w:val="single"/>
        </w:rPr>
        <w:t>Democratisation</w:t>
      </w:r>
    </w:p>
    <w:p w14:paraId="3F5ACEAD" w14:textId="33D010ED" w:rsidR="00E150D0" w:rsidRDefault="00E150D0" w:rsidP="001137EA">
      <w:pPr>
        <w:spacing w:after="0" w:line="360" w:lineRule="auto"/>
        <w:rPr>
          <w:rFonts w:ascii="Gill Sans MT" w:hAnsi="Gill Sans MT"/>
          <w:u w:val="single"/>
        </w:rPr>
      </w:pPr>
    </w:p>
    <w:p w14:paraId="6BC73EF1" w14:textId="4A29A60C" w:rsidR="000A0C5C" w:rsidRDefault="00A47A03" w:rsidP="001137EA">
      <w:pPr>
        <w:spacing w:after="0" w:line="360" w:lineRule="auto"/>
        <w:jc w:val="both"/>
        <w:rPr>
          <w:rFonts w:ascii="Gill Sans MT" w:hAnsi="Gill Sans MT"/>
        </w:rPr>
      </w:pPr>
      <w:r>
        <w:rPr>
          <w:rFonts w:ascii="Gill Sans MT" w:hAnsi="Gill Sans MT"/>
        </w:rPr>
        <w:t>The democratic character of Parliament is central to its institutional and constitutional legitimacy</w:t>
      </w:r>
      <w:r w:rsidR="00CE746A">
        <w:rPr>
          <w:rFonts w:ascii="Gill Sans MT" w:hAnsi="Gill Sans MT"/>
        </w:rPr>
        <w:t xml:space="preserve"> – it has</w:t>
      </w:r>
      <w:r>
        <w:rPr>
          <w:rFonts w:ascii="Gill Sans MT" w:hAnsi="Gill Sans MT"/>
        </w:rPr>
        <w:t xml:space="preserve"> </w:t>
      </w:r>
      <w:r w:rsidR="002E005C">
        <w:rPr>
          <w:rFonts w:ascii="Gill Sans MT" w:hAnsi="Gill Sans MT"/>
        </w:rPr>
        <w:t>developed</w:t>
      </w:r>
      <w:r>
        <w:rPr>
          <w:rFonts w:ascii="Gill Sans MT" w:hAnsi="Gill Sans MT"/>
        </w:rPr>
        <w:t xml:space="preserve"> in tandem </w:t>
      </w:r>
      <w:r w:rsidR="00A94092">
        <w:rPr>
          <w:rFonts w:ascii="Gill Sans MT" w:hAnsi="Gill Sans MT"/>
        </w:rPr>
        <w:t>with</w:t>
      </w:r>
      <w:r>
        <w:rPr>
          <w:rFonts w:ascii="Gill Sans MT" w:hAnsi="Gill Sans MT"/>
        </w:rPr>
        <w:t xml:space="preserve"> the evolution of Parliament as an institution, but not in a precise wa</w:t>
      </w:r>
      <w:r w:rsidR="00A94092">
        <w:rPr>
          <w:rFonts w:ascii="Gill Sans MT" w:hAnsi="Gill Sans MT"/>
        </w:rPr>
        <w:t>y.  The</w:t>
      </w:r>
      <w:r>
        <w:rPr>
          <w:rFonts w:ascii="Gill Sans MT" w:hAnsi="Gill Sans MT"/>
        </w:rPr>
        <w:t xml:space="preserve"> representative character of </w:t>
      </w:r>
      <w:r w:rsidR="00A94092">
        <w:rPr>
          <w:rFonts w:ascii="Gill Sans MT" w:hAnsi="Gill Sans MT"/>
        </w:rPr>
        <w:t>Parliament was</w:t>
      </w:r>
      <w:r>
        <w:rPr>
          <w:rFonts w:ascii="Gill Sans MT" w:hAnsi="Gill Sans MT"/>
        </w:rPr>
        <w:t xml:space="preserve"> key in</w:t>
      </w:r>
      <w:r w:rsidR="00A94092">
        <w:rPr>
          <w:rFonts w:ascii="Gill Sans MT" w:hAnsi="Gill Sans MT"/>
        </w:rPr>
        <w:t xml:space="preserve"> the</w:t>
      </w:r>
      <w:r>
        <w:rPr>
          <w:rFonts w:ascii="Gill Sans MT" w:hAnsi="Gill Sans MT"/>
        </w:rPr>
        <w:t xml:space="preserve"> 17</w:t>
      </w:r>
      <w:r w:rsidRPr="00D716CF">
        <w:rPr>
          <w:rFonts w:ascii="Gill Sans MT" w:hAnsi="Gill Sans MT"/>
          <w:vertAlign w:val="superscript"/>
        </w:rPr>
        <w:t>th</w:t>
      </w:r>
      <w:r>
        <w:rPr>
          <w:rFonts w:ascii="Gill Sans MT" w:hAnsi="Gill Sans MT"/>
        </w:rPr>
        <w:t xml:space="preserve"> century </w:t>
      </w:r>
      <w:r w:rsidR="00A94092">
        <w:rPr>
          <w:rFonts w:ascii="Gill Sans MT" w:hAnsi="Gill Sans MT"/>
        </w:rPr>
        <w:t xml:space="preserve">English </w:t>
      </w:r>
      <w:r>
        <w:rPr>
          <w:rFonts w:ascii="Gill Sans MT" w:hAnsi="Gill Sans MT"/>
        </w:rPr>
        <w:t>civil war</w:t>
      </w:r>
      <w:r w:rsidR="00A94092">
        <w:rPr>
          <w:rFonts w:ascii="Gill Sans MT" w:hAnsi="Gill Sans MT"/>
        </w:rPr>
        <w:t xml:space="preserve"> in distinguishing rule by a legislature from that of a singular, hereditary monarch acting by divine right</w:t>
      </w:r>
      <w:r w:rsidR="00CE746A">
        <w:rPr>
          <w:rFonts w:ascii="Gill Sans MT" w:hAnsi="Gill Sans MT"/>
        </w:rPr>
        <w:t>, and to</w:t>
      </w:r>
      <w:r>
        <w:rPr>
          <w:rFonts w:ascii="Gill Sans MT" w:hAnsi="Gill Sans MT"/>
        </w:rPr>
        <w:t xml:space="preserve"> Parliament</w:t>
      </w:r>
      <w:r w:rsidR="00A94092">
        <w:rPr>
          <w:rFonts w:ascii="Gill Sans MT" w:hAnsi="Gill Sans MT"/>
        </w:rPr>
        <w:t xml:space="preserve">’s </w:t>
      </w:r>
      <w:r w:rsidR="002B6F36">
        <w:rPr>
          <w:rFonts w:ascii="Gill Sans MT" w:hAnsi="Gill Sans MT"/>
        </w:rPr>
        <w:t xml:space="preserve">forceful acquisition of legislative </w:t>
      </w:r>
      <w:r>
        <w:rPr>
          <w:rFonts w:ascii="Gill Sans MT" w:hAnsi="Gill Sans MT"/>
        </w:rPr>
        <w:t xml:space="preserve">sovereignty.  But Parliament </w:t>
      </w:r>
      <w:r w:rsidR="00A94092">
        <w:rPr>
          <w:rFonts w:ascii="Gill Sans MT" w:hAnsi="Gill Sans MT"/>
        </w:rPr>
        <w:t>was</w:t>
      </w:r>
      <w:r>
        <w:rPr>
          <w:rFonts w:ascii="Gill Sans MT" w:hAnsi="Gill Sans MT"/>
        </w:rPr>
        <w:t xml:space="preserve"> </w:t>
      </w:r>
      <w:r w:rsidR="00123345">
        <w:rPr>
          <w:rFonts w:ascii="Gill Sans MT" w:hAnsi="Gill Sans MT"/>
        </w:rPr>
        <w:t xml:space="preserve">certainly </w:t>
      </w:r>
      <w:r>
        <w:rPr>
          <w:rFonts w:ascii="Gill Sans MT" w:hAnsi="Gill Sans MT"/>
        </w:rPr>
        <w:t xml:space="preserve">not, at this point, a democratic institution in the </w:t>
      </w:r>
      <w:r w:rsidR="002E005C">
        <w:rPr>
          <w:rFonts w:ascii="Gill Sans MT" w:hAnsi="Gill Sans MT"/>
        </w:rPr>
        <w:t>modern</w:t>
      </w:r>
      <w:r>
        <w:rPr>
          <w:rFonts w:ascii="Gill Sans MT" w:hAnsi="Gill Sans MT"/>
        </w:rPr>
        <w:t xml:space="preserve"> sense.  </w:t>
      </w:r>
      <w:r w:rsidR="00403DA9">
        <w:rPr>
          <w:rFonts w:ascii="Gill Sans MT" w:hAnsi="Gill Sans MT"/>
        </w:rPr>
        <w:t>Consequently</w:t>
      </w:r>
      <w:r w:rsidR="00103CDC">
        <w:rPr>
          <w:rFonts w:ascii="Gill Sans MT" w:hAnsi="Gill Sans MT"/>
        </w:rPr>
        <w:t xml:space="preserve">, we can see that changes in </w:t>
      </w:r>
      <w:r w:rsidR="00103CDC">
        <w:rPr>
          <w:rFonts w:ascii="Gill Sans MT" w:hAnsi="Gill Sans MT"/>
        </w:rPr>
        <w:lastRenderedPageBreak/>
        <w:t xml:space="preserve">Parliament’s </w:t>
      </w:r>
      <w:r w:rsidR="00D836F3">
        <w:rPr>
          <w:rFonts w:ascii="Gill Sans MT" w:hAnsi="Gill Sans MT"/>
        </w:rPr>
        <w:t xml:space="preserve">constitutional position, legal authority, and </w:t>
      </w:r>
      <w:r w:rsidR="00103CDC">
        <w:rPr>
          <w:rFonts w:ascii="Gill Sans MT" w:hAnsi="Gill Sans MT"/>
        </w:rPr>
        <w:t>institutional functions are shaped</w:t>
      </w:r>
      <w:r w:rsidR="00D836F3">
        <w:rPr>
          <w:rFonts w:ascii="Gill Sans MT" w:hAnsi="Gill Sans MT"/>
        </w:rPr>
        <w:t xml:space="preserve"> </w:t>
      </w:r>
      <w:r w:rsidR="00103CDC">
        <w:rPr>
          <w:rFonts w:ascii="Gill Sans MT" w:hAnsi="Gill Sans MT"/>
        </w:rPr>
        <w:t xml:space="preserve">by parallel, </w:t>
      </w:r>
      <w:r w:rsidR="00D836F3">
        <w:rPr>
          <w:rFonts w:ascii="Gill Sans MT" w:hAnsi="Gill Sans MT"/>
        </w:rPr>
        <w:t>if</w:t>
      </w:r>
      <w:r w:rsidR="00103CDC">
        <w:rPr>
          <w:rFonts w:ascii="Gill Sans MT" w:hAnsi="Gill Sans MT"/>
        </w:rPr>
        <w:t xml:space="preserve"> uneven, shifts in our understanding of political ideas.  </w:t>
      </w:r>
      <w:r w:rsidR="00E05445">
        <w:rPr>
          <w:rFonts w:ascii="Gill Sans MT" w:hAnsi="Gill Sans MT"/>
        </w:rPr>
        <w:t>While a</w:t>
      </w:r>
      <w:r w:rsidR="00B009E6">
        <w:rPr>
          <w:rFonts w:ascii="Gill Sans MT" w:hAnsi="Gill Sans MT"/>
        </w:rPr>
        <w:t xml:space="preserve"> pre</w:t>
      </w:r>
      <w:r w:rsidR="00403DA9">
        <w:rPr>
          <w:rFonts w:ascii="Gill Sans MT" w:hAnsi="Gill Sans MT"/>
        </w:rPr>
        <w:t>-</w:t>
      </w:r>
      <w:r w:rsidR="00B009E6">
        <w:rPr>
          <w:rFonts w:ascii="Gill Sans MT" w:hAnsi="Gill Sans MT"/>
        </w:rPr>
        <w:t xml:space="preserve">democratic Parliament could </w:t>
      </w:r>
      <w:r w:rsidR="00AC51DB">
        <w:rPr>
          <w:rFonts w:ascii="Gill Sans MT" w:hAnsi="Gill Sans MT"/>
        </w:rPr>
        <w:t>obtain sovereignty in the 16</w:t>
      </w:r>
      <w:r w:rsidR="00AC51DB" w:rsidRPr="00AC51DB">
        <w:rPr>
          <w:rFonts w:ascii="Gill Sans MT" w:hAnsi="Gill Sans MT"/>
          <w:vertAlign w:val="superscript"/>
        </w:rPr>
        <w:t>th</w:t>
      </w:r>
      <w:r w:rsidR="00AC51DB">
        <w:rPr>
          <w:rFonts w:ascii="Gill Sans MT" w:hAnsi="Gill Sans MT"/>
        </w:rPr>
        <w:t xml:space="preserve"> and 17</w:t>
      </w:r>
      <w:r w:rsidR="00AC51DB" w:rsidRPr="00AC51DB">
        <w:rPr>
          <w:rFonts w:ascii="Gill Sans MT" w:hAnsi="Gill Sans MT"/>
          <w:vertAlign w:val="superscript"/>
        </w:rPr>
        <w:t>th</w:t>
      </w:r>
      <w:r w:rsidR="00AC51DB">
        <w:rPr>
          <w:rFonts w:ascii="Gill Sans MT" w:hAnsi="Gill Sans MT"/>
        </w:rPr>
        <w:t xml:space="preserve"> centuries, the justification for that power could not be </w:t>
      </w:r>
      <w:proofErr w:type="gramStart"/>
      <w:r w:rsidR="00AC51DB">
        <w:rPr>
          <w:rFonts w:ascii="Gill Sans MT" w:hAnsi="Gill Sans MT"/>
        </w:rPr>
        <w:t>static, if</w:t>
      </w:r>
      <w:proofErr w:type="gramEnd"/>
      <w:r w:rsidR="00AC51DB">
        <w:rPr>
          <w:rFonts w:ascii="Gill Sans MT" w:hAnsi="Gill Sans MT"/>
        </w:rPr>
        <w:t xml:space="preserve"> the legislature was to sustain its claim to legitimate authority.</w:t>
      </w:r>
      <w:r w:rsidR="002E005C">
        <w:rPr>
          <w:rFonts w:ascii="Gill Sans MT" w:hAnsi="Gill Sans MT"/>
        </w:rPr>
        <w:t xml:space="preserve">  </w:t>
      </w:r>
      <w:r w:rsidR="00E05445">
        <w:rPr>
          <w:rFonts w:ascii="Gill Sans MT" w:hAnsi="Gill Sans MT"/>
        </w:rPr>
        <w:t>Consequently, while</w:t>
      </w:r>
      <w:r w:rsidR="002E005C">
        <w:rPr>
          <w:rFonts w:ascii="Gill Sans MT" w:hAnsi="Gill Sans MT"/>
        </w:rPr>
        <w:t xml:space="preserve"> the legal sovereignty held by the English, then British, then UK Parliament has endured as a relatively </w:t>
      </w:r>
      <w:r w:rsidR="00E05445">
        <w:rPr>
          <w:rFonts w:ascii="Gill Sans MT" w:hAnsi="Gill Sans MT"/>
        </w:rPr>
        <w:t xml:space="preserve">constant </w:t>
      </w:r>
      <w:r w:rsidR="002E005C">
        <w:rPr>
          <w:rFonts w:ascii="Gill Sans MT" w:hAnsi="Gill Sans MT"/>
        </w:rPr>
        <w:t xml:space="preserve">constitutional norm for </w:t>
      </w:r>
      <w:proofErr w:type="gramStart"/>
      <w:r w:rsidR="007C289B">
        <w:rPr>
          <w:rFonts w:ascii="Gill Sans MT" w:hAnsi="Gill Sans MT"/>
        </w:rPr>
        <w:t>in excess of</w:t>
      </w:r>
      <w:proofErr w:type="gramEnd"/>
      <w:r w:rsidR="007C289B">
        <w:rPr>
          <w:rFonts w:ascii="Gill Sans MT" w:hAnsi="Gill Sans MT"/>
        </w:rPr>
        <w:t xml:space="preserve"> 300 years, the </w:t>
      </w:r>
      <w:r w:rsidR="002A00C8">
        <w:rPr>
          <w:rFonts w:ascii="Gill Sans MT" w:hAnsi="Gill Sans MT"/>
        </w:rPr>
        <w:t>nature</w:t>
      </w:r>
      <w:r w:rsidR="007C289B">
        <w:rPr>
          <w:rFonts w:ascii="Gill Sans MT" w:hAnsi="Gill Sans MT"/>
        </w:rPr>
        <w:t xml:space="preserve"> and </w:t>
      </w:r>
      <w:r w:rsidR="002A00C8">
        <w:rPr>
          <w:rFonts w:ascii="Gill Sans MT" w:hAnsi="Gill Sans MT"/>
        </w:rPr>
        <w:t>location</w:t>
      </w:r>
      <w:r w:rsidR="007C289B">
        <w:rPr>
          <w:rFonts w:ascii="Gill Sans MT" w:hAnsi="Gill Sans MT"/>
        </w:rPr>
        <w:t xml:space="preserve"> of what Dicey described as ‘political sovereignty’ has changed considerably.</w:t>
      </w:r>
      <w:r w:rsidR="007C289B">
        <w:rPr>
          <w:rStyle w:val="FootnoteReference"/>
          <w:rFonts w:ascii="Gill Sans MT" w:hAnsi="Gill Sans MT"/>
        </w:rPr>
        <w:footnoteReference w:id="63"/>
      </w:r>
      <w:r w:rsidR="007C289B">
        <w:rPr>
          <w:rFonts w:ascii="Gill Sans MT" w:hAnsi="Gill Sans MT"/>
        </w:rPr>
        <w:t xml:space="preserve">  </w:t>
      </w:r>
    </w:p>
    <w:p w14:paraId="7C2559E1" w14:textId="3EA8B90F" w:rsidR="00FE262E" w:rsidRDefault="002A00C8" w:rsidP="001137EA">
      <w:pPr>
        <w:spacing w:after="0" w:line="360" w:lineRule="auto"/>
        <w:ind w:firstLine="720"/>
        <w:jc w:val="both"/>
        <w:rPr>
          <w:rFonts w:ascii="Gill Sans MT" w:hAnsi="Gill Sans MT"/>
        </w:rPr>
      </w:pPr>
      <w:r>
        <w:rPr>
          <w:rFonts w:ascii="Gill Sans MT" w:hAnsi="Gill Sans MT"/>
        </w:rPr>
        <w:t xml:space="preserve">This is primarily due to the slow process of parliamentary democratisation, which has </w:t>
      </w:r>
      <w:r w:rsidR="00E9616D">
        <w:rPr>
          <w:rFonts w:ascii="Gill Sans MT" w:hAnsi="Gill Sans MT"/>
        </w:rPr>
        <w:t xml:space="preserve">aligned Parliament’s </w:t>
      </w:r>
      <w:r w:rsidR="000C67D4">
        <w:rPr>
          <w:rFonts w:ascii="Gill Sans MT" w:hAnsi="Gill Sans MT"/>
        </w:rPr>
        <w:t>legally unlimited legislative authority with democratic principle</w:t>
      </w:r>
      <w:r w:rsidR="00E9616D">
        <w:rPr>
          <w:rFonts w:ascii="Gill Sans MT" w:hAnsi="Gill Sans MT"/>
        </w:rPr>
        <w:t xml:space="preserve"> after the fact</w:t>
      </w:r>
      <w:r w:rsidR="000C67D4">
        <w:rPr>
          <w:rFonts w:ascii="Gill Sans MT" w:hAnsi="Gill Sans MT"/>
        </w:rPr>
        <w:t xml:space="preserve">.  </w:t>
      </w:r>
      <w:r w:rsidR="00E9616D">
        <w:rPr>
          <w:rFonts w:ascii="Gill Sans MT" w:hAnsi="Gill Sans MT"/>
        </w:rPr>
        <w:t>W</w:t>
      </w:r>
      <w:r w:rsidR="000C67D4">
        <w:rPr>
          <w:rFonts w:ascii="Gill Sans MT" w:hAnsi="Gill Sans MT"/>
        </w:rPr>
        <w:t xml:space="preserve">hile Dicey argued that political sovereignty was vested in the electorate, with those in the legislature exercising their legal sovereignty in accordance with the ‘will of the electors’, the electorate of </w:t>
      </w:r>
      <w:proofErr w:type="spellStart"/>
      <w:r w:rsidR="000C67D4">
        <w:rPr>
          <w:rFonts w:ascii="Gill Sans MT" w:hAnsi="Gill Sans MT"/>
        </w:rPr>
        <w:t>Dicey’s</w:t>
      </w:r>
      <w:proofErr w:type="spellEnd"/>
      <w:r w:rsidR="000C67D4">
        <w:rPr>
          <w:rFonts w:ascii="Gill Sans MT" w:hAnsi="Gill Sans MT"/>
        </w:rPr>
        <w:t xml:space="preserve"> </w:t>
      </w:r>
      <w:r w:rsidR="00FE262E">
        <w:rPr>
          <w:rFonts w:ascii="Gill Sans MT" w:hAnsi="Gill Sans MT"/>
        </w:rPr>
        <w:t>era</w:t>
      </w:r>
      <w:r w:rsidR="000C67D4">
        <w:rPr>
          <w:rFonts w:ascii="Gill Sans MT" w:hAnsi="Gill Sans MT"/>
        </w:rPr>
        <w:t xml:space="preserve"> was not based on an equal franchise.  Voting rights were only extended to women (over 30 years </w:t>
      </w:r>
      <w:r w:rsidR="00E9616D">
        <w:rPr>
          <w:rFonts w:ascii="Gill Sans MT" w:hAnsi="Gill Sans MT"/>
        </w:rPr>
        <w:t>old</w:t>
      </w:r>
      <w:r w:rsidR="002F0557">
        <w:rPr>
          <w:rFonts w:ascii="Gill Sans MT" w:hAnsi="Gill Sans MT"/>
        </w:rPr>
        <w:t xml:space="preserve">, </w:t>
      </w:r>
      <w:r w:rsidR="00FE262E">
        <w:rPr>
          <w:rFonts w:ascii="Gill Sans MT" w:hAnsi="Gill Sans MT"/>
        </w:rPr>
        <w:t xml:space="preserve">who satisfied a property qualification) for the first time by the Representation of the People Act 1918, enacted just four years before </w:t>
      </w:r>
      <w:proofErr w:type="spellStart"/>
      <w:r w:rsidR="00FE262E">
        <w:rPr>
          <w:rFonts w:ascii="Gill Sans MT" w:hAnsi="Gill Sans MT"/>
        </w:rPr>
        <w:t>Dicey’s</w:t>
      </w:r>
      <w:proofErr w:type="spellEnd"/>
      <w:r w:rsidR="00FE262E">
        <w:rPr>
          <w:rFonts w:ascii="Gill Sans MT" w:hAnsi="Gill Sans MT"/>
        </w:rPr>
        <w:t xml:space="preserve"> death in 1922.  And it was not until six years later, </w:t>
      </w:r>
      <w:r w:rsidR="002F0557">
        <w:rPr>
          <w:rFonts w:ascii="Gill Sans MT" w:hAnsi="Gill Sans MT"/>
        </w:rPr>
        <w:t>under</w:t>
      </w:r>
      <w:r w:rsidR="00FE262E">
        <w:rPr>
          <w:rFonts w:ascii="Gill Sans MT" w:hAnsi="Gill Sans MT"/>
        </w:rPr>
        <w:t xml:space="preserve"> the Representation of the People (Equal Franchise) Act 1928, that men and women over the age of 21 </w:t>
      </w:r>
      <w:r w:rsidR="00FE262E" w:rsidRPr="00ED0896">
        <w:rPr>
          <w:rFonts w:ascii="Gill Sans MT" w:hAnsi="Gill Sans MT"/>
        </w:rPr>
        <w:t xml:space="preserve">could vote on equal terms, regardless of whether they occupied land or premises of </w:t>
      </w:r>
      <w:r w:rsidR="002F0557" w:rsidRPr="00ED0896">
        <w:rPr>
          <w:rFonts w:ascii="Gill Sans MT" w:hAnsi="Gill Sans MT"/>
        </w:rPr>
        <w:t>a minimum</w:t>
      </w:r>
      <w:r w:rsidR="00FE262E" w:rsidRPr="00ED0896">
        <w:rPr>
          <w:rFonts w:ascii="Gill Sans MT" w:hAnsi="Gill Sans MT"/>
        </w:rPr>
        <w:t xml:space="preserve"> value</w:t>
      </w:r>
      <w:r w:rsidR="00FE262E">
        <w:rPr>
          <w:rFonts w:ascii="Gill Sans MT" w:hAnsi="Gill Sans MT"/>
        </w:rPr>
        <w:t>.</w:t>
      </w:r>
    </w:p>
    <w:p w14:paraId="2D90109B" w14:textId="7B222BB1" w:rsidR="00E35AA6" w:rsidRDefault="00FE262E" w:rsidP="001137EA">
      <w:pPr>
        <w:spacing w:after="0" w:line="360" w:lineRule="auto"/>
        <w:jc w:val="both"/>
        <w:rPr>
          <w:rFonts w:ascii="Gill Sans MT" w:hAnsi="Gill Sans MT"/>
        </w:rPr>
      </w:pPr>
      <w:r>
        <w:rPr>
          <w:rFonts w:ascii="Gill Sans MT" w:hAnsi="Gill Sans MT"/>
        </w:rPr>
        <w:tab/>
        <w:t xml:space="preserve">The democratisation of Parliament has also, in institutional terms, only been partial.  </w:t>
      </w:r>
      <w:r w:rsidR="007524A0">
        <w:rPr>
          <w:rFonts w:ascii="Gill Sans MT" w:hAnsi="Gill Sans MT"/>
        </w:rPr>
        <w:t xml:space="preserve">A clear division exists between the two Houses, the </w:t>
      </w:r>
      <w:proofErr w:type="gramStart"/>
      <w:r w:rsidR="007524A0">
        <w:rPr>
          <w:rFonts w:ascii="Gill Sans MT" w:hAnsi="Gill Sans MT"/>
        </w:rPr>
        <w:t>Commons</w:t>
      </w:r>
      <w:proofErr w:type="gramEnd"/>
      <w:r w:rsidR="007524A0">
        <w:rPr>
          <w:rFonts w:ascii="Gill Sans MT" w:hAnsi="Gill Sans MT"/>
        </w:rPr>
        <w:t xml:space="preserve"> and the Lords, which is rooted in their historic origins.  The House of Commons developed as a supplement to the House of Lords, allowing a broader representation of (wealthy, elite) interests than the chamber composed of aristocrats.  In the late fourteenth century, the Lords, as the ‘original members’ of Parliament, remained ‘the most important’, and ‘it was their advice that counted most’.</w:t>
      </w:r>
      <w:r w:rsidR="007524A0">
        <w:rPr>
          <w:rStyle w:val="FootnoteReference"/>
          <w:rFonts w:ascii="Gill Sans MT" w:hAnsi="Gill Sans MT"/>
        </w:rPr>
        <w:footnoteReference w:id="64"/>
      </w:r>
      <w:r w:rsidR="007524A0">
        <w:rPr>
          <w:rFonts w:ascii="Gill Sans MT" w:hAnsi="Gill Sans MT"/>
        </w:rPr>
        <w:t xml:space="preserve">  It was in the mid-fifteenth century that an equivalence between the two Houses can be clearly seen: ‘By the 1450s references to a lower and a higher House of Parliament were so casual as to show them to be commonplace; and Edward IV, who deliberately wooed non-aristocratic opinion, from the first treated the House of Commons as effectively comparable to the Lords in constitutional standing’.</w:t>
      </w:r>
      <w:r w:rsidR="007524A0">
        <w:rPr>
          <w:rStyle w:val="FootnoteReference"/>
          <w:rFonts w:ascii="Gill Sans MT" w:hAnsi="Gill Sans MT"/>
        </w:rPr>
        <w:footnoteReference w:id="65"/>
      </w:r>
      <w:r w:rsidR="007524A0">
        <w:rPr>
          <w:rFonts w:ascii="Gill Sans MT" w:hAnsi="Gill Sans MT"/>
        </w:rPr>
        <w:t xml:space="preserve">  </w:t>
      </w:r>
    </w:p>
    <w:p w14:paraId="14B3F24C" w14:textId="2A2A6C31" w:rsidR="007524A0" w:rsidRDefault="007524A0" w:rsidP="001137EA">
      <w:pPr>
        <w:spacing w:after="0" w:line="360" w:lineRule="auto"/>
        <w:ind w:firstLine="720"/>
        <w:jc w:val="both"/>
        <w:rPr>
          <w:rFonts w:ascii="Gill Sans MT" w:hAnsi="Gill Sans MT"/>
        </w:rPr>
      </w:pPr>
      <w:r>
        <w:rPr>
          <w:rFonts w:ascii="Gill Sans MT" w:hAnsi="Gill Sans MT"/>
        </w:rPr>
        <w:t>The Commons’ modern primacy over the Lords</w:t>
      </w:r>
      <w:r w:rsidR="000D3BE2">
        <w:rPr>
          <w:rFonts w:ascii="Gill Sans MT" w:hAnsi="Gill Sans MT"/>
        </w:rPr>
        <w:t xml:space="preserve"> – in terms of law-making, and </w:t>
      </w:r>
      <w:r w:rsidR="00E35AA6">
        <w:rPr>
          <w:rFonts w:ascii="Gill Sans MT" w:hAnsi="Gill Sans MT"/>
        </w:rPr>
        <w:t>as the source of confidence and supply for the government</w:t>
      </w:r>
      <w:r w:rsidR="000D3BE2">
        <w:rPr>
          <w:rFonts w:ascii="Gill Sans MT" w:hAnsi="Gill Sans MT"/>
        </w:rPr>
        <w:t xml:space="preserve"> – </w:t>
      </w:r>
      <w:r w:rsidR="00E35AA6">
        <w:rPr>
          <w:rFonts w:ascii="Gill Sans MT" w:hAnsi="Gill Sans MT"/>
        </w:rPr>
        <w:t xml:space="preserve">is </w:t>
      </w:r>
      <w:r w:rsidR="00606E73">
        <w:rPr>
          <w:rFonts w:ascii="Gill Sans MT" w:hAnsi="Gill Sans MT"/>
        </w:rPr>
        <w:t>ultimately a consequence of</w:t>
      </w:r>
      <w:r>
        <w:rPr>
          <w:rFonts w:ascii="Gill Sans MT" w:hAnsi="Gill Sans MT"/>
        </w:rPr>
        <w:t xml:space="preserve"> its growing democratic composition</w:t>
      </w:r>
      <w:r w:rsidR="00EF41EC">
        <w:rPr>
          <w:rFonts w:ascii="Gill Sans MT" w:hAnsi="Gill Sans MT"/>
        </w:rPr>
        <w:t>, and the more authentic breadth of representation that provides</w:t>
      </w:r>
      <w:r w:rsidR="00606E73">
        <w:rPr>
          <w:rFonts w:ascii="Gill Sans MT" w:hAnsi="Gill Sans MT"/>
        </w:rPr>
        <w:t xml:space="preserve">.  But in addition </w:t>
      </w:r>
      <w:r w:rsidR="00E35AA6">
        <w:rPr>
          <w:rFonts w:ascii="Gill Sans MT" w:hAnsi="Gill Sans MT"/>
        </w:rPr>
        <w:t xml:space="preserve">to </w:t>
      </w:r>
      <w:r w:rsidR="00606E73">
        <w:rPr>
          <w:rFonts w:ascii="Gill Sans MT" w:hAnsi="Gill Sans MT"/>
        </w:rPr>
        <w:t xml:space="preserve">providing a basis for </w:t>
      </w:r>
      <w:r w:rsidR="00797271">
        <w:rPr>
          <w:rFonts w:ascii="Gill Sans MT" w:hAnsi="Gill Sans MT"/>
        </w:rPr>
        <w:t>re</w:t>
      </w:r>
      <w:r w:rsidR="00606E73">
        <w:rPr>
          <w:rFonts w:ascii="Gill Sans MT" w:hAnsi="Gill Sans MT"/>
        </w:rPr>
        <w:t>balanc</w:t>
      </w:r>
      <w:r w:rsidR="00797271">
        <w:rPr>
          <w:rFonts w:ascii="Gill Sans MT" w:hAnsi="Gill Sans MT"/>
        </w:rPr>
        <w:t>ing</w:t>
      </w:r>
      <w:r w:rsidR="00606E73">
        <w:rPr>
          <w:rFonts w:ascii="Gill Sans MT" w:hAnsi="Gill Sans MT"/>
        </w:rPr>
        <w:t xml:space="preserve"> power between the two Houses of Parliament, it is also important to recognise that </w:t>
      </w:r>
      <w:r w:rsidR="00797271">
        <w:rPr>
          <w:rFonts w:ascii="Gill Sans MT" w:hAnsi="Gill Sans MT"/>
        </w:rPr>
        <w:t>democratisation</w:t>
      </w:r>
      <w:r w:rsidR="00606E73">
        <w:rPr>
          <w:rFonts w:ascii="Gill Sans MT" w:hAnsi="Gill Sans MT"/>
        </w:rPr>
        <w:t xml:space="preserve"> has contributed to the subordination of the Crown within </w:t>
      </w:r>
      <w:r w:rsidR="0055254E">
        <w:rPr>
          <w:rFonts w:ascii="Gill Sans MT" w:hAnsi="Gill Sans MT"/>
        </w:rPr>
        <w:t xml:space="preserve">the </w:t>
      </w:r>
      <w:r w:rsidR="00606E73">
        <w:rPr>
          <w:rFonts w:ascii="Gill Sans MT" w:hAnsi="Gill Sans MT"/>
        </w:rPr>
        <w:t>Crown-in-Parliament.</w:t>
      </w:r>
      <w:r w:rsidR="0055254E">
        <w:rPr>
          <w:rFonts w:ascii="Gill Sans MT" w:hAnsi="Gill Sans MT"/>
        </w:rPr>
        <w:t xml:space="preserve">  The legislative role of the unelected hereditary monarch has also been eroded to a </w:t>
      </w:r>
      <w:r w:rsidR="0055254E">
        <w:rPr>
          <w:rFonts w:ascii="Gill Sans MT" w:hAnsi="Gill Sans MT"/>
        </w:rPr>
        <w:lastRenderedPageBreak/>
        <w:t>mere technicality as the House of Commons has become a genuine (if far from perfect) democratic entity.</w:t>
      </w:r>
      <w:r w:rsidR="00E3760A">
        <w:rPr>
          <w:rFonts w:ascii="Gill Sans MT" w:hAnsi="Gill Sans MT"/>
        </w:rPr>
        <w:t xml:space="preserve">  </w:t>
      </w:r>
      <w:r w:rsidR="00EF41EC">
        <w:rPr>
          <w:rFonts w:ascii="Gill Sans MT" w:hAnsi="Gill Sans MT"/>
        </w:rPr>
        <w:t>The royal assent</w:t>
      </w:r>
      <w:r w:rsidR="00E3760A">
        <w:rPr>
          <w:rFonts w:ascii="Gill Sans MT" w:hAnsi="Gill Sans MT"/>
        </w:rPr>
        <w:t xml:space="preserve"> is now a formality to signal the end of the legislative process, can be given by Lords Commissioners on behalf of the monarch,</w:t>
      </w:r>
      <w:r w:rsidR="009779B6">
        <w:rPr>
          <w:rStyle w:val="FootnoteReference"/>
          <w:rFonts w:ascii="Gill Sans MT" w:hAnsi="Gill Sans MT"/>
        </w:rPr>
        <w:footnoteReference w:id="66"/>
      </w:r>
      <w:r w:rsidR="00E3760A">
        <w:rPr>
          <w:rFonts w:ascii="Gill Sans MT" w:hAnsi="Gill Sans MT"/>
        </w:rPr>
        <w:t xml:space="preserve"> and, most importantly, </w:t>
      </w:r>
      <w:r w:rsidR="00DF2974">
        <w:rPr>
          <w:rFonts w:ascii="Gill Sans MT" w:hAnsi="Gill Sans MT"/>
        </w:rPr>
        <w:t xml:space="preserve">by constitutional convention </w:t>
      </w:r>
      <w:r w:rsidR="00E3760A">
        <w:rPr>
          <w:rFonts w:ascii="Gill Sans MT" w:hAnsi="Gill Sans MT"/>
        </w:rPr>
        <w:t>cannot be refused</w:t>
      </w:r>
      <w:r w:rsidR="009779B6">
        <w:rPr>
          <w:rFonts w:ascii="Gill Sans MT" w:hAnsi="Gill Sans MT"/>
        </w:rPr>
        <w:t>.</w:t>
      </w:r>
    </w:p>
    <w:p w14:paraId="391A1CB4" w14:textId="5F4F0BCA" w:rsidR="00FE262E" w:rsidRDefault="0055254E" w:rsidP="001137EA">
      <w:pPr>
        <w:spacing w:after="0" w:line="360" w:lineRule="auto"/>
        <w:jc w:val="both"/>
        <w:rPr>
          <w:rFonts w:ascii="Gill Sans MT" w:hAnsi="Gill Sans MT"/>
        </w:rPr>
      </w:pPr>
      <w:r>
        <w:rPr>
          <w:rFonts w:ascii="Gill Sans MT" w:hAnsi="Gill Sans MT"/>
        </w:rPr>
        <w:tab/>
      </w:r>
      <w:r w:rsidR="00705658">
        <w:rPr>
          <w:rFonts w:ascii="Gill Sans MT" w:hAnsi="Gill Sans MT"/>
        </w:rPr>
        <w:t>Following the English Civil War, the inadequacy of representation in Parliament was challenged by the Levellers, a group of democratic radicals in Cromwell’s New Model Army, who (among other things) called in the Putney Debates in 1647 for universal male suffrage.</w:t>
      </w:r>
      <w:r w:rsidR="00705658">
        <w:rPr>
          <w:rStyle w:val="FootnoteReference"/>
          <w:rFonts w:ascii="Gill Sans MT" w:hAnsi="Gill Sans MT"/>
        </w:rPr>
        <w:footnoteReference w:id="67"/>
      </w:r>
      <w:r w:rsidR="00705658">
        <w:rPr>
          <w:rFonts w:ascii="Gill Sans MT" w:hAnsi="Gill Sans MT"/>
        </w:rPr>
        <w:t xml:space="preserve">  These calls for reform were resisted by Cromwell, and the link between representation and property rights remained strong throughout the 17</w:t>
      </w:r>
      <w:r w:rsidR="00705658" w:rsidRPr="00705658">
        <w:rPr>
          <w:rFonts w:ascii="Gill Sans MT" w:hAnsi="Gill Sans MT"/>
          <w:vertAlign w:val="superscript"/>
        </w:rPr>
        <w:t>th</w:t>
      </w:r>
      <w:r w:rsidR="00705658">
        <w:rPr>
          <w:rFonts w:ascii="Gill Sans MT" w:hAnsi="Gill Sans MT"/>
        </w:rPr>
        <w:t xml:space="preserve"> and 18</w:t>
      </w:r>
      <w:r w:rsidR="00705658" w:rsidRPr="00705658">
        <w:rPr>
          <w:rFonts w:ascii="Gill Sans MT" w:hAnsi="Gill Sans MT"/>
          <w:vertAlign w:val="superscript"/>
        </w:rPr>
        <w:t>th</w:t>
      </w:r>
      <w:r w:rsidR="00705658">
        <w:rPr>
          <w:rFonts w:ascii="Gill Sans MT" w:hAnsi="Gill Sans MT"/>
        </w:rPr>
        <w:t xml:space="preserve"> centuries.  John Locke, for example,</w:t>
      </w:r>
      <w:r w:rsidR="00C56D26">
        <w:rPr>
          <w:rFonts w:ascii="Gill Sans MT" w:hAnsi="Gill Sans MT"/>
        </w:rPr>
        <w:t xml:space="preserve"> </w:t>
      </w:r>
      <w:r w:rsidR="003A5158">
        <w:rPr>
          <w:rFonts w:ascii="Gill Sans MT" w:hAnsi="Gill Sans MT"/>
        </w:rPr>
        <w:t xml:space="preserve">argued </w:t>
      </w:r>
      <w:r w:rsidR="00C56D26">
        <w:rPr>
          <w:rFonts w:ascii="Gill Sans MT" w:hAnsi="Gill Sans MT"/>
        </w:rPr>
        <w:t>in 1690, that ‘there can be but one supreme power, which is the legislative’, yet this being ‘only a fiduciary power to act for certain ends, there remains still in the people a supreme power to remove or alter the legislative, when they find the legislative act contrary to the trust reposed in them’.</w:t>
      </w:r>
      <w:r w:rsidR="00C56D26">
        <w:rPr>
          <w:rStyle w:val="FootnoteReference"/>
          <w:rFonts w:ascii="Gill Sans MT" w:hAnsi="Gill Sans MT"/>
        </w:rPr>
        <w:footnoteReference w:id="68"/>
      </w:r>
      <w:r w:rsidR="00C56D26">
        <w:rPr>
          <w:rFonts w:ascii="Gill Sans MT" w:hAnsi="Gill Sans MT"/>
        </w:rPr>
        <w:t xml:space="preserve"> </w:t>
      </w:r>
      <w:r w:rsidR="00705658">
        <w:rPr>
          <w:rFonts w:ascii="Gill Sans MT" w:hAnsi="Gill Sans MT"/>
        </w:rPr>
        <w:t xml:space="preserve"> </w:t>
      </w:r>
      <w:r w:rsidR="00D8399A">
        <w:rPr>
          <w:rFonts w:ascii="Gill Sans MT" w:hAnsi="Gill Sans MT"/>
        </w:rPr>
        <w:t xml:space="preserve">Since </w:t>
      </w:r>
      <w:r w:rsidR="00F0345F">
        <w:rPr>
          <w:rFonts w:ascii="Gill Sans MT" w:hAnsi="Gill Sans MT"/>
        </w:rPr>
        <w:t>‘</w:t>
      </w:r>
      <w:r w:rsidR="00D8399A">
        <w:rPr>
          <w:rFonts w:ascii="Gill Sans MT" w:hAnsi="Gill Sans MT"/>
        </w:rPr>
        <w:t>[t]he reason why men enter into society, is the preservation of their property’, legislative power could be challenged as illegitimate ‘whenever the legislators end</w:t>
      </w:r>
      <w:r w:rsidR="009D5F6D">
        <w:rPr>
          <w:rFonts w:ascii="Gill Sans MT" w:hAnsi="Gill Sans MT"/>
        </w:rPr>
        <w:t>e</w:t>
      </w:r>
      <w:r w:rsidR="00D8399A">
        <w:rPr>
          <w:rFonts w:ascii="Gill Sans MT" w:hAnsi="Gill Sans MT"/>
        </w:rPr>
        <w:t>avour to take away, and destroy the property of the people’.</w:t>
      </w:r>
      <w:r w:rsidR="00D8399A">
        <w:rPr>
          <w:rStyle w:val="FootnoteReference"/>
          <w:rFonts w:ascii="Gill Sans MT" w:hAnsi="Gill Sans MT"/>
        </w:rPr>
        <w:footnoteReference w:id="69"/>
      </w:r>
      <w:r w:rsidR="00D8399A">
        <w:rPr>
          <w:rFonts w:ascii="Gill Sans MT" w:hAnsi="Gill Sans MT"/>
        </w:rPr>
        <w:t xml:space="preserve">  </w:t>
      </w:r>
      <w:r w:rsidR="00705658">
        <w:rPr>
          <w:rFonts w:ascii="Gill Sans MT" w:hAnsi="Gill Sans MT"/>
        </w:rPr>
        <w:t>Locke’s views were criticised by William Blackstone</w:t>
      </w:r>
      <w:r w:rsidR="00A229F2">
        <w:rPr>
          <w:rFonts w:ascii="Gill Sans MT" w:hAnsi="Gill Sans MT"/>
        </w:rPr>
        <w:t xml:space="preserve">, who argued in his </w:t>
      </w:r>
      <w:r w:rsidR="00A229F2" w:rsidRPr="00A229F2">
        <w:rPr>
          <w:rFonts w:ascii="Gill Sans MT" w:hAnsi="Gill Sans MT"/>
          <w:i/>
          <w:iCs/>
        </w:rPr>
        <w:t>Commentaries</w:t>
      </w:r>
      <w:r w:rsidR="00521B9D">
        <w:rPr>
          <w:rFonts w:ascii="Gill Sans MT" w:hAnsi="Gill Sans MT"/>
        </w:rPr>
        <w:t xml:space="preserve"> </w:t>
      </w:r>
      <w:r w:rsidR="00A229F2">
        <w:rPr>
          <w:rFonts w:ascii="Gill Sans MT" w:hAnsi="Gill Sans MT"/>
        </w:rPr>
        <w:t>in 1765 that ‘</w:t>
      </w:r>
      <w:r w:rsidR="00A229F2">
        <w:rPr>
          <w:rFonts w:ascii="Gill Sans MT" w:hAnsi="Gill Sans MT"/>
          <w:color w:val="000000"/>
        </w:rPr>
        <w:t>[s]</w:t>
      </w:r>
      <w:r w:rsidR="00A229F2" w:rsidRPr="008951F8">
        <w:rPr>
          <w:rFonts w:ascii="Gill Sans MT" w:hAnsi="Gill Sans MT"/>
          <w:color w:val="000000"/>
        </w:rPr>
        <w:t>o long therefore as the English constitution lasts</w:t>
      </w:r>
      <w:r w:rsidR="00A229F2">
        <w:rPr>
          <w:rFonts w:ascii="Gill Sans MT" w:hAnsi="Gill Sans MT"/>
          <w:color w:val="000000"/>
        </w:rPr>
        <w:t xml:space="preserve">… </w:t>
      </w:r>
      <w:r w:rsidR="00A229F2" w:rsidRPr="008951F8">
        <w:rPr>
          <w:rFonts w:ascii="Gill Sans MT" w:hAnsi="Gill Sans MT"/>
          <w:color w:val="000000"/>
        </w:rPr>
        <w:t xml:space="preserve">the power of parliament is </w:t>
      </w:r>
      <w:r w:rsidR="00A229F2" w:rsidRPr="00A229F2">
        <w:rPr>
          <w:rFonts w:ascii="Gill Sans MT" w:hAnsi="Gill Sans MT"/>
          <w:color w:val="000000"/>
        </w:rPr>
        <w:t>absolute and without control</w:t>
      </w:r>
      <w:r w:rsidR="00A229F2">
        <w:rPr>
          <w:rFonts w:ascii="Gill Sans MT" w:hAnsi="Gill Sans MT"/>
          <w:color w:val="000000"/>
        </w:rPr>
        <w:t>’.</w:t>
      </w:r>
      <w:r w:rsidR="00A229F2">
        <w:rPr>
          <w:rStyle w:val="FootnoteReference"/>
          <w:rFonts w:ascii="Gill Sans MT" w:hAnsi="Gill Sans MT"/>
          <w:color w:val="000000"/>
        </w:rPr>
        <w:footnoteReference w:id="70"/>
      </w:r>
      <w:r w:rsidR="00A229F2">
        <w:rPr>
          <w:rFonts w:ascii="Gill Sans MT" w:hAnsi="Gill Sans MT"/>
          <w:color w:val="000000"/>
        </w:rPr>
        <w:t xml:space="preserve">  </w:t>
      </w:r>
      <w:r w:rsidR="00521B9D">
        <w:rPr>
          <w:rFonts w:ascii="Gill Sans MT" w:hAnsi="Gill Sans MT"/>
          <w:color w:val="000000"/>
        </w:rPr>
        <w:t>F</w:t>
      </w:r>
      <w:r w:rsidR="00F92AC0">
        <w:rPr>
          <w:rFonts w:ascii="Gill Sans MT" w:hAnsi="Gill Sans MT"/>
          <w:color w:val="000000"/>
        </w:rPr>
        <w:t xml:space="preserve">or Blackstone, </w:t>
      </w:r>
      <w:r w:rsidR="00F0345F">
        <w:rPr>
          <w:rFonts w:ascii="Gill Sans MT" w:hAnsi="Gill Sans MT"/>
          <w:color w:val="000000"/>
        </w:rPr>
        <w:t xml:space="preserve">any </w:t>
      </w:r>
      <w:r w:rsidR="00F92AC0">
        <w:rPr>
          <w:rFonts w:ascii="Gill Sans MT" w:hAnsi="Gill Sans MT"/>
          <w:color w:val="000000"/>
        </w:rPr>
        <w:t>‘</w:t>
      </w:r>
      <w:r w:rsidR="00F92AC0" w:rsidRPr="008951F8">
        <w:rPr>
          <w:rFonts w:ascii="Gill Sans MT" w:hAnsi="Gill Sans MT"/>
          <w:color w:val="000000"/>
        </w:rPr>
        <w:t>devolution of power, to the people at large, includes in it a dissolution of the whole form of government established by that people, reduces all the members to their original state of equality, and by annihilating the sovereign power repeals all positive laws whatsoever before enacted</w:t>
      </w:r>
      <w:r w:rsidR="00F92AC0">
        <w:rPr>
          <w:rFonts w:ascii="Gill Sans MT" w:hAnsi="Gill Sans MT"/>
          <w:color w:val="000000"/>
        </w:rPr>
        <w:t>’.</w:t>
      </w:r>
      <w:r w:rsidR="00F92AC0">
        <w:rPr>
          <w:rStyle w:val="FootnoteReference"/>
          <w:rFonts w:ascii="Gill Sans MT" w:hAnsi="Gill Sans MT"/>
          <w:color w:val="000000"/>
        </w:rPr>
        <w:footnoteReference w:id="71"/>
      </w:r>
      <w:r w:rsidR="00F92AC0">
        <w:rPr>
          <w:rFonts w:ascii="Gill Sans MT" w:hAnsi="Gill Sans MT"/>
        </w:rPr>
        <w:t xml:space="preserve">  Even the most timid</w:t>
      </w:r>
      <w:r w:rsidR="001A3963">
        <w:rPr>
          <w:rFonts w:ascii="Gill Sans MT" w:hAnsi="Gill Sans MT"/>
        </w:rPr>
        <w:t>,</w:t>
      </w:r>
      <w:r w:rsidR="00F92AC0">
        <w:rPr>
          <w:rFonts w:ascii="Gill Sans MT" w:hAnsi="Gill Sans MT"/>
        </w:rPr>
        <w:t xml:space="preserve"> </w:t>
      </w:r>
      <w:r w:rsidR="001A3963">
        <w:rPr>
          <w:rFonts w:ascii="Gill Sans MT" w:hAnsi="Gill Sans MT"/>
        </w:rPr>
        <w:t>and only loosely popular,</w:t>
      </w:r>
      <w:r w:rsidR="00F92AC0">
        <w:rPr>
          <w:rFonts w:ascii="Gill Sans MT" w:hAnsi="Gill Sans MT"/>
        </w:rPr>
        <w:t xml:space="preserve"> restraints on the use of legislative power </w:t>
      </w:r>
      <w:r w:rsidR="00521B9D">
        <w:rPr>
          <w:rFonts w:ascii="Gill Sans MT" w:hAnsi="Gill Sans MT"/>
        </w:rPr>
        <w:t>could</w:t>
      </w:r>
      <w:r w:rsidR="00EC2765">
        <w:rPr>
          <w:rFonts w:ascii="Gill Sans MT" w:hAnsi="Gill Sans MT"/>
        </w:rPr>
        <w:t>,</w:t>
      </w:r>
      <w:r w:rsidR="00521B9D">
        <w:rPr>
          <w:rFonts w:ascii="Gill Sans MT" w:hAnsi="Gill Sans MT"/>
        </w:rPr>
        <w:t xml:space="preserve"> </w:t>
      </w:r>
      <w:r w:rsidR="00F92AC0">
        <w:rPr>
          <w:rFonts w:ascii="Gill Sans MT" w:hAnsi="Gill Sans MT"/>
        </w:rPr>
        <w:t>therefore</w:t>
      </w:r>
      <w:r w:rsidR="00EC2765">
        <w:rPr>
          <w:rFonts w:ascii="Gill Sans MT" w:hAnsi="Gill Sans MT"/>
        </w:rPr>
        <w:t>,</w:t>
      </w:r>
      <w:r w:rsidR="00F92AC0">
        <w:rPr>
          <w:rFonts w:ascii="Gill Sans MT" w:hAnsi="Gill Sans MT"/>
        </w:rPr>
        <w:t xml:space="preserve"> </w:t>
      </w:r>
      <w:r w:rsidR="00521B9D">
        <w:rPr>
          <w:rFonts w:ascii="Gill Sans MT" w:hAnsi="Gill Sans MT"/>
        </w:rPr>
        <w:t>be claimed to be inconsistent</w:t>
      </w:r>
      <w:r w:rsidR="00F92AC0">
        <w:rPr>
          <w:rFonts w:ascii="Gill Sans MT" w:hAnsi="Gill Sans MT"/>
        </w:rPr>
        <w:t xml:space="preserve"> with the entire constitutional system which</w:t>
      </w:r>
      <w:r w:rsidR="00EC2765">
        <w:rPr>
          <w:rFonts w:ascii="Gill Sans MT" w:hAnsi="Gill Sans MT"/>
        </w:rPr>
        <w:t>, by reason of the partial and manipulable nature of the electoral process,</w:t>
      </w:r>
      <w:r w:rsidR="00F92AC0">
        <w:rPr>
          <w:rFonts w:ascii="Gill Sans MT" w:hAnsi="Gill Sans MT"/>
        </w:rPr>
        <w:t xml:space="preserve"> </w:t>
      </w:r>
      <w:r w:rsidR="00EC2765">
        <w:rPr>
          <w:rFonts w:ascii="Gill Sans MT" w:hAnsi="Gill Sans MT"/>
        </w:rPr>
        <w:t xml:space="preserve">in reality represented only </w:t>
      </w:r>
      <w:r w:rsidR="00E63491">
        <w:rPr>
          <w:rFonts w:ascii="Gill Sans MT" w:hAnsi="Gill Sans MT"/>
        </w:rPr>
        <w:t>wealthy property owning classes.</w:t>
      </w:r>
    </w:p>
    <w:p w14:paraId="52CAAA30" w14:textId="5E4DB537" w:rsidR="001C68B6" w:rsidRDefault="001A3963" w:rsidP="001137EA">
      <w:pPr>
        <w:spacing w:after="0" w:line="360" w:lineRule="auto"/>
        <w:jc w:val="both"/>
        <w:rPr>
          <w:rFonts w:ascii="Gill Sans MT" w:hAnsi="Gill Sans MT"/>
        </w:rPr>
      </w:pPr>
      <w:r>
        <w:rPr>
          <w:rFonts w:ascii="Gill Sans MT" w:hAnsi="Gill Sans MT"/>
        </w:rPr>
        <w:tab/>
      </w:r>
      <w:r w:rsidR="008A7854">
        <w:rPr>
          <w:rFonts w:ascii="Gill Sans MT" w:hAnsi="Gill Sans MT"/>
        </w:rPr>
        <w:t xml:space="preserve">The ‘Great’ Reform Act 1832 </w:t>
      </w:r>
      <w:r w:rsidR="001C21A2">
        <w:rPr>
          <w:rFonts w:ascii="Gill Sans MT" w:hAnsi="Gill Sans MT"/>
        </w:rPr>
        <w:t>was</w:t>
      </w:r>
      <w:r w:rsidR="008A7854">
        <w:rPr>
          <w:rFonts w:ascii="Gill Sans MT" w:hAnsi="Gill Sans MT"/>
        </w:rPr>
        <w:t xml:space="preserve"> the beginning of the </w:t>
      </w:r>
      <w:r w:rsidR="001C21A2">
        <w:rPr>
          <w:rFonts w:ascii="Gill Sans MT" w:hAnsi="Gill Sans MT"/>
        </w:rPr>
        <w:t xml:space="preserve">actual </w:t>
      </w:r>
      <w:r w:rsidR="008A7854">
        <w:rPr>
          <w:rFonts w:ascii="Gill Sans MT" w:hAnsi="Gill Sans MT"/>
        </w:rPr>
        <w:t xml:space="preserve">process of democratisation.  Campaigning for parliamentary reform was strongly resisted by </w:t>
      </w:r>
      <w:r w:rsidR="00F0345F">
        <w:rPr>
          <w:rFonts w:ascii="Gill Sans MT" w:hAnsi="Gill Sans MT"/>
        </w:rPr>
        <w:t xml:space="preserve">the </w:t>
      </w:r>
      <w:r w:rsidR="008A7854">
        <w:rPr>
          <w:rFonts w:ascii="Gill Sans MT" w:hAnsi="Gill Sans MT"/>
        </w:rPr>
        <w:t>political establishment during the age of the American and French revolutions at the end of the 18</w:t>
      </w:r>
      <w:r w:rsidR="008A7854" w:rsidRPr="008A7854">
        <w:rPr>
          <w:rFonts w:ascii="Gill Sans MT" w:hAnsi="Gill Sans MT"/>
          <w:vertAlign w:val="superscript"/>
        </w:rPr>
        <w:t>th</w:t>
      </w:r>
      <w:r w:rsidR="008A7854">
        <w:rPr>
          <w:rFonts w:ascii="Gill Sans MT" w:hAnsi="Gill Sans MT"/>
        </w:rPr>
        <w:t xml:space="preserve"> century</w:t>
      </w:r>
      <w:proofErr w:type="gramStart"/>
      <w:r w:rsidR="00EC2765">
        <w:rPr>
          <w:rFonts w:ascii="Gill Sans MT" w:hAnsi="Gill Sans MT"/>
        </w:rPr>
        <w:t xml:space="preserve">. </w:t>
      </w:r>
      <w:proofErr w:type="gramEnd"/>
      <w:r w:rsidR="00773F49">
        <w:rPr>
          <w:rFonts w:ascii="Gill Sans MT" w:hAnsi="Gill Sans MT"/>
        </w:rPr>
        <w:t>Thomas Paine</w:t>
      </w:r>
      <w:r w:rsidR="00ED50B4">
        <w:rPr>
          <w:rFonts w:ascii="Gill Sans MT" w:hAnsi="Gill Sans MT"/>
        </w:rPr>
        <w:t xml:space="preserve"> </w:t>
      </w:r>
      <w:r w:rsidR="00EC2765">
        <w:rPr>
          <w:rFonts w:ascii="Gill Sans MT" w:hAnsi="Gill Sans MT"/>
        </w:rPr>
        <w:t xml:space="preserve">was </w:t>
      </w:r>
      <w:r w:rsidR="00ED50B4">
        <w:rPr>
          <w:rFonts w:ascii="Gill Sans MT" w:hAnsi="Gill Sans MT"/>
        </w:rPr>
        <w:t xml:space="preserve">successfully prosecuted (in his absence) for seditious libel following the publication of Part 2 of </w:t>
      </w:r>
      <w:r w:rsidR="00F0345F">
        <w:rPr>
          <w:rFonts w:ascii="Gill Sans MT" w:hAnsi="Gill Sans MT"/>
        </w:rPr>
        <w:t>his republican pamphlet</w:t>
      </w:r>
      <w:r w:rsidR="00EC2765">
        <w:rPr>
          <w:rFonts w:ascii="Gill Sans MT" w:hAnsi="Gill Sans MT"/>
        </w:rPr>
        <w:t>,</w:t>
      </w:r>
      <w:r w:rsidR="00A13E33">
        <w:rPr>
          <w:rFonts w:ascii="Gill Sans MT" w:hAnsi="Gill Sans MT"/>
        </w:rPr>
        <w:t xml:space="preserve"> the</w:t>
      </w:r>
      <w:r w:rsidR="00773F49">
        <w:rPr>
          <w:rFonts w:ascii="Gill Sans MT" w:hAnsi="Gill Sans MT"/>
        </w:rPr>
        <w:t xml:space="preserve"> </w:t>
      </w:r>
      <w:r w:rsidR="00773F49">
        <w:rPr>
          <w:rFonts w:ascii="Gill Sans MT" w:hAnsi="Gill Sans MT"/>
          <w:i/>
          <w:iCs/>
        </w:rPr>
        <w:t>Rights of Man</w:t>
      </w:r>
      <w:r w:rsidR="00EC2765">
        <w:rPr>
          <w:rFonts w:ascii="Gill Sans MT" w:hAnsi="Gill Sans MT"/>
        </w:rPr>
        <w:t>,</w:t>
      </w:r>
      <w:r w:rsidR="00773F49">
        <w:rPr>
          <w:rFonts w:ascii="Gill Sans MT" w:hAnsi="Gill Sans MT"/>
        </w:rPr>
        <w:t xml:space="preserve"> </w:t>
      </w:r>
      <w:r w:rsidR="00ED50B4">
        <w:rPr>
          <w:rFonts w:ascii="Gill Sans MT" w:hAnsi="Gill Sans MT"/>
        </w:rPr>
        <w:t>in 1792</w:t>
      </w:r>
      <w:r w:rsidR="00ED50B4">
        <w:rPr>
          <w:rStyle w:val="FootnoteReference"/>
          <w:rFonts w:ascii="Gill Sans MT" w:hAnsi="Gill Sans MT"/>
        </w:rPr>
        <w:footnoteReference w:id="72"/>
      </w:r>
      <w:r w:rsidR="0001361F">
        <w:rPr>
          <w:rFonts w:ascii="Gill Sans MT" w:hAnsi="Gill Sans MT"/>
        </w:rPr>
        <w:t xml:space="preserve"> and the enactment of a new Treasonable and Seditious Practices Act</w:t>
      </w:r>
      <w:r w:rsidR="00C52F1B">
        <w:rPr>
          <w:rFonts w:ascii="Gill Sans MT" w:hAnsi="Gill Sans MT"/>
        </w:rPr>
        <w:t xml:space="preserve"> in</w:t>
      </w:r>
      <w:r w:rsidR="0001361F">
        <w:rPr>
          <w:rFonts w:ascii="Gill Sans MT" w:hAnsi="Gill Sans MT"/>
        </w:rPr>
        <w:t xml:space="preserve"> 1795</w:t>
      </w:r>
      <w:r w:rsidR="00EC2765">
        <w:rPr>
          <w:rFonts w:ascii="Gill Sans MT" w:hAnsi="Gill Sans MT"/>
        </w:rPr>
        <w:t>,</w:t>
      </w:r>
      <w:r w:rsidR="0001361F">
        <w:rPr>
          <w:rFonts w:ascii="Gill Sans MT" w:hAnsi="Gill Sans MT"/>
        </w:rPr>
        <w:t xml:space="preserve"> which was concerned to prevent discussion of ‘the overthrow of the laws, government and happy constitution of these realms’.</w:t>
      </w:r>
      <w:r w:rsidR="0001361F">
        <w:rPr>
          <w:rStyle w:val="FootnoteReference"/>
          <w:rFonts w:ascii="Gill Sans MT" w:hAnsi="Gill Sans MT"/>
        </w:rPr>
        <w:footnoteReference w:id="73"/>
      </w:r>
      <w:r w:rsidR="006A1843">
        <w:rPr>
          <w:rFonts w:ascii="Gill Sans MT" w:hAnsi="Gill Sans MT"/>
        </w:rPr>
        <w:t xml:space="preserve">  The Peterloo Massacre in Manchester in </w:t>
      </w:r>
      <w:r w:rsidR="006A1843">
        <w:rPr>
          <w:rFonts w:ascii="Gill Sans MT" w:hAnsi="Gill Sans MT"/>
        </w:rPr>
        <w:lastRenderedPageBreak/>
        <w:t xml:space="preserve">1818, at which cavalry charged on a large crowd of protestors </w:t>
      </w:r>
      <w:r w:rsidR="001C21A2">
        <w:rPr>
          <w:rFonts w:ascii="Gill Sans MT" w:hAnsi="Gill Sans MT"/>
        </w:rPr>
        <w:t>at a rally in support of</w:t>
      </w:r>
      <w:r w:rsidR="006A1843">
        <w:rPr>
          <w:rFonts w:ascii="Gill Sans MT" w:hAnsi="Gill Sans MT"/>
        </w:rPr>
        <w:t xml:space="preserve"> parliamentary representation, </w:t>
      </w:r>
      <w:r w:rsidR="00A13E33">
        <w:rPr>
          <w:rFonts w:ascii="Gill Sans MT" w:hAnsi="Gill Sans MT"/>
        </w:rPr>
        <w:t xml:space="preserve">killing 11 </w:t>
      </w:r>
      <w:r w:rsidR="006A1843">
        <w:rPr>
          <w:rFonts w:ascii="Gill Sans MT" w:hAnsi="Gill Sans MT"/>
        </w:rPr>
        <w:t>and injuring up to 500, provided a vivid example of establishment opposition to reform.</w:t>
      </w:r>
      <w:r w:rsidR="00E32EEC">
        <w:rPr>
          <w:rFonts w:ascii="Gill Sans MT" w:hAnsi="Gill Sans MT"/>
        </w:rPr>
        <w:t xml:space="preserve">  In 1830, following revolutions in France and Belgium, legislation to emancipate wealthy Catholics in Ireland, and against a backdrop of famine and growing insurrection, the Tory government was replaced by a Whig administration led by Lord Grey.  More radical calls for universal male suffrage and a secret ballot were disregarded, but the Reform Act 1832 </w:t>
      </w:r>
      <w:r w:rsidR="00CC39D9">
        <w:rPr>
          <w:rFonts w:ascii="Gill Sans MT" w:hAnsi="Gill Sans MT"/>
        </w:rPr>
        <w:t xml:space="preserve">was </w:t>
      </w:r>
      <w:r w:rsidR="003A5158">
        <w:rPr>
          <w:rFonts w:ascii="Gill Sans MT" w:hAnsi="Gill Sans MT"/>
        </w:rPr>
        <w:t>eventually</w:t>
      </w:r>
      <w:r w:rsidR="00CC39D9">
        <w:rPr>
          <w:rFonts w:ascii="Gill Sans MT" w:hAnsi="Gill Sans MT"/>
        </w:rPr>
        <w:t xml:space="preserve"> enacted, in the face of </w:t>
      </w:r>
      <w:r w:rsidR="00D110C9">
        <w:rPr>
          <w:rFonts w:ascii="Gill Sans MT" w:hAnsi="Gill Sans MT"/>
        </w:rPr>
        <w:t xml:space="preserve">substantial </w:t>
      </w:r>
      <w:r w:rsidR="00CC39D9">
        <w:rPr>
          <w:rFonts w:ascii="Gill Sans MT" w:hAnsi="Gill Sans MT"/>
        </w:rPr>
        <w:t>opposition in the House of Lords</w:t>
      </w:r>
      <w:r w:rsidR="004C5702">
        <w:rPr>
          <w:rFonts w:ascii="Gill Sans MT" w:hAnsi="Gill Sans MT"/>
        </w:rPr>
        <w:t xml:space="preserve"> (and </w:t>
      </w:r>
      <w:r w:rsidR="00763F0D">
        <w:rPr>
          <w:rFonts w:ascii="Gill Sans MT" w:hAnsi="Gill Sans MT"/>
        </w:rPr>
        <w:t xml:space="preserve">only </w:t>
      </w:r>
      <w:r w:rsidR="004C5702">
        <w:rPr>
          <w:rFonts w:ascii="Gill Sans MT" w:hAnsi="Gill Sans MT"/>
        </w:rPr>
        <w:t>following threats to create new peer</w:t>
      </w:r>
      <w:r w:rsidR="001C21A2">
        <w:rPr>
          <w:rFonts w:ascii="Gill Sans MT" w:hAnsi="Gill Sans MT"/>
        </w:rPr>
        <w:t>s</w:t>
      </w:r>
      <w:r w:rsidR="004C5702">
        <w:rPr>
          <w:rFonts w:ascii="Gill Sans MT" w:hAnsi="Gill Sans MT"/>
        </w:rPr>
        <w:t xml:space="preserve"> to force through the legislation).  </w:t>
      </w:r>
    </w:p>
    <w:p w14:paraId="634AC761" w14:textId="57D3F9EE" w:rsidR="00F26C92" w:rsidRDefault="00D83F75" w:rsidP="001137EA">
      <w:pPr>
        <w:spacing w:after="0" w:line="360" w:lineRule="auto"/>
        <w:ind w:firstLine="720"/>
        <w:jc w:val="both"/>
        <w:rPr>
          <w:rFonts w:ascii="Gill Sans MT" w:hAnsi="Gill Sans MT"/>
        </w:rPr>
      </w:pPr>
      <w:r>
        <w:rPr>
          <w:rFonts w:ascii="Gill Sans MT" w:hAnsi="Gill Sans MT"/>
        </w:rPr>
        <w:t>The 1832 Act</w:t>
      </w:r>
      <w:r w:rsidR="00D110C9">
        <w:rPr>
          <w:rFonts w:ascii="Gill Sans MT" w:hAnsi="Gill Sans MT"/>
        </w:rPr>
        <w:t xml:space="preserve"> abolish</w:t>
      </w:r>
      <w:r w:rsidR="004C5702">
        <w:rPr>
          <w:rFonts w:ascii="Gill Sans MT" w:hAnsi="Gill Sans MT"/>
        </w:rPr>
        <w:t>ed</w:t>
      </w:r>
      <w:r w:rsidR="00D110C9">
        <w:rPr>
          <w:rFonts w:ascii="Gill Sans MT" w:hAnsi="Gill Sans MT"/>
        </w:rPr>
        <w:t xml:space="preserve"> many rotten boroughs but retain</w:t>
      </w:r>
      <w:r w:rsidR="004C5702">
        <w:rPr>
          <w:rFonts w:ascii="Gill Sans MT" w:hAnsi="Gill Sans MT"/>
        </w:rPr>
        <w:t>ed</w:t>
      </w:r>
      <w:r w:rsidR="00D110C9">
        <w:rPr>
          <w:rFonts w:ascii="Gill Sans MT" w:hAnsi="Gill Sans MT"/>
        </w:rPr>
        <w:t xml:space="preserve"> a property qualification which limited the </w:t>
      </w:r>
      <w:r w:rsidR="00A96157">
        <w:rPr>
          <w:rFonts w:ascii="Gill Sans MT" w:hAnsi="Gill Sans MT"/>
        </w:rPr>
        <w:t xml:space="preserve">size of the </w:t>
      </w:r>
      <w:r w:rsidR="00EC2765">
        <w:rPr>
          <w:rFonts w:ascii="Gill Sans MT" w:hAnsi="Gill Sans MT"/>
        </w:rPr>
        <w:t>(</w:t>
      </w:r>
      <w:r w:rsidR="004C5702">
        <w:rPr>
          <w:rFonts w:ascii="Gill Sans MT" w:hAnsi="Gill Sans MT"/>
        </w:rPr>
        <w:t>exclusively male</w:t>
      </w:r>
      <w:r w:rsidR="00EC2765">
        <w:rPr>
          <w:rFonts w:ascii="Gill Sans MT" w:hAnsi="Gill Sans MT"/>
        </w:rPr>
        <w:t>)</w:t>
      </w:r>
      <w:r w:rsidR="004C5702">
        <w:rPr>
          <w:rFonts w:ascii="Gill Sans MT" w:hAnsi="Gill Sans MT"/>
        </w:rPr>
        <w:t xml:space="preserve"> </w:t>
      </w:r>
      <w:r w:rsidR="00D110C9">
        <w:rPr>
          <w:rFonts w:ascii="Gill Sans MT" w:hAnsi="Gill Sans MT"/>
        </w:rPr>
        <w:t xml:space="preserve">electorate </w:t>
      </w:r>
      <w:r w:rsidR="00A96157">
        <w:rPr>
          <w:rFonts w:ascii="Gill Sans MT" w:hAnsi="Gill Sans MT"/>
        </w:rPr>
        <w:t>dramatically: on Foot’s calculation, ‘[o]</w:t>
      </w:r>
      <w:proofErr w:type="spellStart"/>
      <w:r w:rsidR="00A96157">
        <w:rPr>
          <w:rFonts w:ascii="Gill Sans MT" w:hAnsi="Gill Sans MT"/>
        </w:rPr>
        <w:t>nly</w:t>
      </w:r>
      <w:proofErr w:type="spellEnd"/>
      <w:r w:rsidR="00A96157">
        <w:rPr>
          <w:rFonts w:ascii="Gill Sans MT" w:hAnsi="Gill Sans MT"/>
        </w:rPr>
        <w:t xml:space="preserve"> a fortieth of men over 21 (and no women at all) were entitled to vote’.</w:t>
      </w:r>
      <w:r w:rsidR="00D37DB6">
        <w:rPr>
          <w:rStyle w:val="FootnoteReference"/>
          <w:rFonts w:ascii="Gill Sans MT" w:hAnsi="Gill Sans MT"/>
        </w:rPr>
        <w:footnoteReference w:id="74"/>
      </w:r>
      <w:r>
        <w:rPr>
          <w:rFonts w:ascii="Gill Sans MT" w:hAnsi="Gill Sans MT"/>
        </w:rPr>
        <w:t xml:space="preserve">  During the course of the 19</w:t>
      </w:r>
      <w:r w:rsidRPr="00D83F75">
        <w:rPr>
          <w:rFonts w:ascii="Gill Sans MT" w:hAnsi="Gill Sans MT"/>
          <w:vertAlign w:val="superscript"/>
        </w:rPr>
        <w:t>th</w:t>
      </w:r>
      <w:r>
        <w:rPr>
          <w:rFonts w:ascii="Gill Sans MT" w:hAnsi="Gill Sans MT"/>
        </w:rPr>
        <w:t xml:space="preserve"> century, two further Reform Acts were required – each </w:t>
      </w:r>
      <w:proofErr w:type="gramStart"/>
      <w:r>
        <w:rPr>
          <w:rFonts w:ascii="Gill Sans MT" w:hAnsi="Gill Sans MT"/>
        </w:rPr>
        <w:t>decades</w:t>
      </w:r>
      <w:proofErr w:type="gramEnd"/>
      <w:r>
        <w:rPr>
          <w:rFonts w:ascii="Gill Sans MT" w:hAnsi="Gill Sans MT"/>
        </w:rPr>
        <w:t xml:space="preserve"> apart – to further democratise elections in the UK.  Much of the pressure for additional parliamentary reform was organised around the Chartist Movement, and focused on the six demands contained in ‘the People’s Charter’ published in 1838, including universal male suffrage, constituencies of equal size, annual parliaments, and secret ballots.</w:t>
      </w:r>
      <w:r>
        <w:rPr>
          <w:rStyle w:val="FootnoteReference"/>
          <w:rFonts w:ascii="Gill Sans MT" w:hAnsi="Gill Sans MT"/>
        </w:rPr>
        <w:footnoteReference w:id="75"/>
      </w:r>
      <w:r>
        <w:rPr>
          <w:rFonts w:ascii="Gill Sans MT" w:hAnsi="Gill Sans MT"/>
        </w:rPr>
        <w:t xml:space="preserve">  Yet the Reform Act 1867 still based the franchise on a property qualification,</w:t>
      </w:r>
      <w:r w:rsidR="00843079">
        <w:rPr>
          <w:rStyle w:val="FootnoteReference"/>
          <w:rFonts w:ascii="Gill Sans MT" w:hAnsi="Gill Sans MT"/>
        </w:rPr>
        <w:footnoteReference w:id="76"/>
      </w:r>
      <w:r>
        <w:rPr>
          <w:rFonts w:ascii="Gill Sans MT" w:hAnsi="Gill Sans MT"/>
        </w:rPr>
        <w:t xml:space="preserve"> </w:t>
      </w:r>
      <w:r w:rsidR="002E477D">
        <w:rPr>
          <w:rFonts w:ascii="Gill Sans MT" w:hAnsi="Gill Sans MT"/>
        </w:rPr>
        <w:t>as did the Reform Act 1884</w:t>
      </w:r>
      <w:r w:rsidR="00936607">
        <w:rPr>
          <w:rFonts w:ascii="Gill Sans MT" w:hAnsi="Gill Sans MT"/>
        </w:rPr>
        <w:t xml:space="preserve">, </w:t>
      </w:r>
      <w:r w:rsidR="00843079">
        <w:rPr>
          <w:rFonts w:ascii="Gill Sans MT" w:hAnsi="Gill Sans MT"/>
        </w:rPr>
        <w:t xml:space="preserve">which made </w:t>
      </w:r>
      <w:r w:rsidR="00936607">
        <w:rPr>
          <w:rFonts w:ascii="Gill Sans MT" w:hAnsi="Gill Sans MT"/>
        </w:rPr>
        <w:t xml:space="preserve">the 1867 </w:t>
      </w:r>
      <w:r w:rsidR="00843079">
        <w:rPr>
          <w:rFonts w:ascii="Gill Sans MT" w:hAnsi="Gill Sans MT"/>
        </w:rPr>
        <w:t xml:space="preserve">reforms </w:t>
      </w:r>
      <w:r w:rsidR="00EC2765">
        <w:rPr>
          <w:rFonts w:ascii="Gill Sans MT" w:hAnsi="Gill Sans MT"/>
        </w:rPr>
        <w:t xml:space="preserve">– </w:t>
      </w:r>
      <w:r w:rsidR="00936607">
        <w:rPr>
          <w:rFonts w:ascii="Gill Sans MT" w:hAnsi="Gill Sans MT"/>
        </w:rPr>
        <w:t>expanding the</w:t>
      </w:r>
      <w:r w:rsidR="00843079">
        <w:rPr>
          <w:rFonts w:ascii="Gill Sans MT" w:hAnsi="Gill Sans MT"/>
        </w:rPr>
        <w:t xml:space="preserve"> electorate in </w:t>
      </w:r>
      <w:r w:rsidR="009A1CAF">
        <w:rPr>
          <w:rFonts w:ascii="Gill Sans MT" w:hAnsi="Gill Sans MT"/>
        </w:rPr>
        <w:t xml:space="preserve">urban </w:t>
      </w:r>
      <w:r w:rsidR="00843079">
        <w:rPr>
          <w:rFonts w:ascii="Gill Sans MT" w:hAnsi="Gill Sans MT"/>
        </w:rPr>
        <w:t>borough</w:t>
      </w:r>
      <w:r w:rsidR="009A1CAF">
        <w:rPr>
          <w:rFonts w:ascii="Gill Sans MT" w:hAnsi="Gill Sans MT"/>
        </w:rPr>
        <w:t>s</w:t>
      </w:r>
      <w:r w:rsidR="00843079">
        <w:rPr>
          <w:rFonts w:ascii="Gill Sans MT" w:hAnsi="Gill Sans MT"/>
        </w:rPr>
        <w:t xml:space="preserve"> </w:t>
      </w:r>
      <w:r w:rsidR="00EC2765">
        <w:rPr>
          <w:rFonts w:ascii="Gill Sans MT" w:hAnsi="Gill Sans MT"/>
        </w:rPr>
        <w:t xml:space="preserve">– </w:t>
      </w:r>
      <w:r w:rsidR="00843079">
        <w:rPr>
          <w:rFonts w:ascii="Gill Sans MT" w:hAnsi="Gill Sans MT"/>
        </w:rPr>
        <w:t xml:space="preserve">universally applicable, </w:t>
      </w:r>
      <w:r w:rsidR="009A1CAF">
        <w:rPr>
          <w:rFonts w:ascii="Gill Sans MT" w:hAnsi="Gill Sans MT"/>
        </w:rPr>
        <w:t>extending them</w:t>
      </w:r>
      <w:r w:rsidR="00843079">
        <w:rPr>
          <w:rFonts w:ascii="Gill Sans MT" w:hAnsi="Gill Sans MT"/>
        </w:rPr>
        <w:t xml:space="preserve"> to rural constituencies.</w:t>
      </w:r>
      <w:r w:rsidR="00936607">
        <w:rPr>
          <w:rFonts w:ascii="Gill Sans MT" w:hAnsi="Gill Sans MT"/>
        </w:rPr>
        <w:t xml:space="preserve">  </w:t>
      </w:r>
      <w:r w:rsidR="00BD7FDB">
        <w:rPr>
          <w:rFonts w:ascii="Gill Sans MT" w:hAnsi="Gill Sans MT"/>
        </w:rPr>
        <w:t>The Third Reform Act was preceded by the Ballot Act 1872, which introduced secret ballots in parliamentary elections, and the 1884 reforms were accompanied by a separate Redistribution Act 1885</w:t>
      </w:r>
      <w:r w:rsidR="003A5B04">
        <w:rPr>
          <w:rFonts w:ascii="Gill Sans MT" w:hAnsi="Gill Sans MT"/>
        </w:rPr>
        <w:t>,</w:t>
      </w:r>
      <w:r w:rsidR="00BD7FDB">
        <w:rPr>
          <w:rFonts w:ascii="Gill Sans MT" w:hAnsi="Gill Sans MT"/>
        </w:rPr>
        <w:t xml:space="preserve"> to equalise the size of constituencies and therefore the weight of each vote. </w:t>
      </w:r>
      <w:r w:rsidR="00525267">
        <w:rPr>
          <w:rFonts w:ascii="Gill Sans MT" w:hAnsi="Gill Sans MT"/>
        </w:rPr>
        <w:t xml:space="preserve"> Yet</w:t>
      </w:r>
      <w:r w:rsidR="00EC2765">
        <w:rPr>
          <w:rFonts w:ascii="Gill Sans MT" w:hAnsi="Gill Sans MT"/>
        </w:rPr>
        <w:t>,</w:t>
      </w:r>
      <w:r w:rsidR="00525267">
        <w:rPr>
          <w:rFonts w:ascii="Gill Sans MT" w:hAnsi="Gill Sans MT"/>
        </w:rPr>
        <w:t xml:space="preserve"> </w:t>
      </w:r>
      <w:r w:rsidR="006E4CC3">
        <w:rPr>
          <w:rFonts w:ascii="Gill Sans MT" w:hAnsi="Gill Sans MT"/>
        </w:rPr>
        <w:t xml:space="preserve">although the electorate had increased from around 350,000 in 1831 to some 8 million in 1885, </w:t>
      </w:r>
      <w:r w:rsidR="00525267">
        <w:rPr>
          <w:rFonts w:ascii="Gill Sans MT" w:hAnsi="Gill Sans MT"/>
        </w:rPr>
        <w:t xml:space="preserve"> Foot concludes</w:t>
      </w:r>
      <w:r w:rsidR="00EC2765">
        <w:rPr>
          <w:rFonts w:ascii="Gill Sans MT" w:hAnsi="Gill Sans MT"/>
        </w:rPr>
        <w:t xml:space="preserve"> that</w:t>
      </w:r>
      <w:r w:rsidR="00525267">
        <w:rPr>
          <w:rFonts w:ascii="Gill Sans MT" w:hAnsi="Gill Sans MT"/>
        </w:rPr>
        <w:t>, ‘[f]or all the gains made in 1867 and 1884, at least two-thirds of the population – all the women and more than a third of the men – still had no votes’.</w:t>
      </w:r>
      <w:r w:rsidR="003A5B04">
        <w:rPr>
          <w:rStyle w:val="FootnoteReference"/>
          <w:rFonts w:ascii="Gill Sans MT" w:hAnsi="Gill Sans MT"/>
        </w:rPr>
        <w:footnoteReference w:id="77"/>
      </w:r>
      <w:r w:rsidR="006E4CC3">
        <w:rPr>
          <w:rFonts w:ascii="Gill Sans MT" w:hAnsi="Gill Sans MT"/>
        </w:rPr>
        <w:t xml:space="preserve">  Only in the twentieth cent</w:t>
      </w:r>
      <w:r w:rsidR="00201F88">
        <w:rPr>
          <w:rFonts w:ascii="Gill Sans MT" w:hAnsi="Gill Sans MT"/>
        </w:rPr>
        <w:t xml:space="preserve">ury, from 1928 onwards, were members of the House of </w:t>
      </w:r>
      <w:r w:rsidR="00201F88" w:rsidRPr="00E001EA">
        <w:rPr>
          <w:rFonts w:ascii="Gill Sans MT" w:hAnsi="Gill Sans MT"/>
        </w:rPr>
        <w:t>Commons able to truly claim the democratic legitimacy of having been elected to represent their constituency on a universal and equal franchise.</w:t>
      </w:r>
      <w:r w:rsidR="00E44E24" w:rsidRPr="00E001EA">
        <w:rPr>
          <w:rStyle w:val="FootnoteReference"/>
          <w:rFonts w:ascii="Gill Sans MT" w:hAnsi="Gill Sans MT"/>
        </w:rPr>
        <w:footnoteReference w:id="78"/>
      </w:r>
      <w:r w:rsidR="00E001EA" w:rsidRPr="00E001EA">
        <w:rPr>
          <w:rFonts w:ascii="Gill Sans MT" w:hAnsi="Gill Sans MT"/>
        </w:rPr>
        <w:t xml:space="preserve">  And it was not until 1948 </w:t>
      </w:r>
      <w:r w:rsidR="001903BD">
        <w:rPr>
          <w:rFonts w:ascii="Gill Sans MT" w:hAnsi="Gill Sans MT"/>
        </w:rPr>
        <w:t>that</w:t>
      </w:r>
      <w:r w:rsidR="001903BD" w:rsidRPr="00E001EA">
        <w:rPr>
          <w:rFonts w:ascii="Gill Sans MT" w:hAnsi="Gill Sans MT"/>
        </w:rPr>
        <w:t xml:space="preserve"> </w:t>
      </w:r>
      <w:r w:rsidR="00E001EA" w:rsidRPr="00E001EA">
        <w:rPr>
          <w:rFonts w:ascii="Gill Sans MT" w:hAnsi="Gill Sans MT"/>
        </w:rPr>
        <w:t xml:space="preserve">plurality votes </w:t>
      </w:r>
      <w:r w:rsidR="00B00482">
        <w:rPr>
          <w:rFonts w:ascii="Gill Sans MT" w:hAnsi="Gill Sans MT"/>
        </w:rPr>
        <w:t xml:space="preserve">attaching </w:t>
      </w:r>
      <w:r w:rsidR="00D92675">
        <w:rPr>
          <w:rFonts w:ascii="Gill Sans MT" w:hAnsi="Gill Sans MT"/>
        </w:rPr>
        <w:t>to</w:t>
      </w:r>
      <w:r w:rsidR="00E001EA" w:rsidRPr="00E001EA">
        <w:rPr>
          <w:rFonts w:ascii="Gill Sans MT" w:hAnsi="Gill Sans MT"/>
        </w:rPr>
        <w:t xml:space="preserve"> business premises and universities were abolished,</w:t>
      </w:r>
      <w:r w:rsidR="00D92675">
        <w:rPr>
          <w:rStyle w:val="FootnoteReference"/>
          <w:rFonts w:ascii="Gill Sans MT" w:hAnsi="Gill Sans MT"/>
        </w:rPr>
        <w:footnoteReference w:id="79"/>
      </w:r>
      <w:r w:rsidR="00E001EA" w:rsidRPr="00E001EA">
        <w:rPr>
          <w:rFonts w:ascii="Gill Sans MT" w:hAnsi="Gill Sans MT"/>
        </w:rPr>
        <w:t xml:space="preserve"> and only in 1969 that voting was extended to adults from the age of 18.</w:t>
      </w:r>
      <w:r w:rsidR="00D92675">
        <w:rPr>
          <w:rStyle w:val="FootnoteReference"/>
          <w:rFonts w:ascii="Gill Sans MT" w:hAnsi="Gill Sans MT"/>
        </w:rPr>
        <w:footnoteReference w:id="80"/>
      </w:r>
    </w:p>
    <w:p w14:paraId="4F7E15ED" w14:textId="0835F89F" w:rsidR="003D63C3" w:rsidRDefault="00417980" w:rsidP="001137EA">
      <w:pPr>
        <w:spacing w:after="0" w:line="360" w:lineRule="auto"/>
        <w:ind w:firstLine="720"/>
        <w:jc w:val="both"/>
        <w:rPr>
          <w:rFonts w:ascii="Gill Sans MT" w:hAnsi="Gill Sans MT"/>
        </w:rPr>
      </w:pPr>
      <w:r>
        <w:rPr>
          <w:rFonts w:ascii="Gill Sans MT" w:hAnsi="Gill Sans MT"/>
        </w:rPr>
        <w:t xml:space="preserve">The story of the </w:t>
      </w:r>
      <w:r w:rsidR="001F06E4" w:rsidRPr="001C68B6">
        <w:rPr>
          <w:rFonts w:ascii="Gill Sans MT" w:hAnsi="Gill Sans MT"/>
        </w:rPr>
        <w:t>House of Lords</w:t>
      </w:r>
      <w:r>
        <w:rPr>
          <w:rFonts w:ascii="Gill Sans MT" w:hAnsi="Gill Sans MT"/>
        </w:rPr>
        <w:t>, in contrast, is one of a</w:t>
      </w:r>
      <w:r w:rsidR="00AA3511" w:rsidRPr="001C68B6">
        <w:rPr>
          <w:rFonts w:ascii="Gill Sans MT" w:hAnsi="Gill Sans MT"/>
        </w:rPr>
        <w:t xml:space="preserve"> failure to democratise</w:t>
      </w:r>
      <w:r>
        <w:rPr>
          <w:rFonts w:ascii="Gill Sans MT" w:hAnsi="Gill Sans MT"/>
        </w:rPr>
        <w:t>.</w:t>
      </w:r>
      <w:r w:rsidR="00AA3511" w:rsidRPr="001C68B6">
        <w:rPr>
          <w:rFonts w:ascii="Gill Sans MT" w:hAnsi="Gill Sans MT"/>
        </w:rPr>
        <w:t xml:space="preserve">  </w:t>
      </w:r>
      <w:r>
        <w:rPr>
          <w:rFonts w:ascii="Gill Sans MT" w:hAnsi="Gill Sans MT"/>
        </w:rPr>
        <w:t>The most far-reaching c</w:t>
      </w:r>
      <w:r w:rsidR="001F06E4" w:rsidRPr="001C68B6">
        <w:rPr>
          <w:rFonts w:ascii="Gill Sans MT" w:hAnsi="Gill Sans MT"/>
        </w:rPr>
        <w:t xml:space="preserve">hanges to </w:t>
      </w:r>
      <w:r>
        <w:rPr>
          <w:rFonts w:ascii="Gill Sans MT" w:hAnsi="Gill Sans MT"/>
        </w:rPr>
        <w:t xml:space="preserve">its </w:t>
      </w:r>
      <w:r w:rsidR="001F06E4" w:rsidRPr="001C68B6">
        <w:rPr>
          <w:rFonts w:ascii="Gill Sans MT" w:hAnsi="Gill Sans MT"/>
        </w:rPr>
        <w:t xml:space="preserve">composition </w:t>
      </w:r>
      <w:r>
        <w:rPr>
          <w:rFonts w:ascii="Gill Sans MT" w:hAnsi="Gill Sans MT"/>
        </w:rPr>
        <w:t xml:space="preserve">have been </w:t>
      </w:r>
      <w:r w:rsidR="00AA3511" w:rsidRPr="001C68B6">
        <w:rPr>
          <w:rFonts w:ascii="Gill Sans MT" w:hAnsi="Gill Sans MT"/>
        </w:rPr>
        <w:t>largely modern, occurr</w:t>
      </w:r>
      <w:r>
        <w:rPr>
          <w:rFonts w:ascii="Gill Sans MT" w:hAnsi="Gill Sans MT"/>
        </w:rPr>
        <w:t>ing</w:t>
      </w:r>
      <w:r w:rsidR="00AA3511" w:rsidRPr="001C68B6">
        <w:rPr>
          <w:rFonts w:ascii="Gill Sans MT" w:hAnsi="Gill Sans MT"/>
        </w:rPr>
        <w:t xml:space="preserve"> in the </w:t>
      </w:r>
      <w:r>
        <w:rPr>
          <w:rFonts w:ascii="Gill Sans MT" w:hAnsi="Gill Sans MT"/>
        </w:rPr>
        <w:t xml:space="preserve">second half of the </w:t>
      </w:r>
      <w:r w:rsidR="00AA3511" w:rsidRPr="001C68B6">
        <w:rPr>
          <w:rFonts w:ascii="Gill Sans MT" w:hAnsi="Gill Sans MT"/>
        </w:rPr>
        <w:lastRenderedPageBreak/>
        <w:t>twentieth century,</w:t>
      </w:r>
      <w:r w:rsidR="001F06E4" w:rsidRPr="001C68B6">
        <w:rPr>
          <w:rFonts w:ascii="Gill Sans MT" w:hAnsi="Gill Sans MT"/>
        </w:rPr>
        <w:t xml:space="preserve"> and </w:t>
      </w:r>
      <w:r w:rsidR="00AA3511" w:rsidRPr="001C68B6">
        <w:rPr>
          <w:rFonts w:ascii="Gill Sans MT" w:hAnsi="Gill Sans MT"/>
        </w:rPr>
        <w:t>arguably</w:t>
      </w:r>
      <w:r w:rsidR="001F06E4" w:rsidRPr="001C68B6">
        <w:rPr>
          <w:rFonts w:ascii="Gill Sans MT" w:hAnsi="Gill Sans MT"/>
        </w:rPr>
        <w:t xml:space="preserve"> incomplete</w:t>
      </w:r>
      <w:r w:rsidR="00AA3511" w:rsidRPr="001C68B6">
        <w:rPr>
          <w:rFonts w:ascii="Gill Sans MT" w:hAnsi="Gill Sans MT"/>
        </w:rPr>
        <w:t xml:space="preserve">.  </w:t>
      </w:r>
      <w:r>
        <w:rPr>
          <w:rFonts w:ascii="Gill Sans MT" w:hAnsi="Gill Sans MT"/>
        </w:rPr>
        <w:t xml:space="preserve">The </w:t>
      </w:r>
      <w:r w:rsidR="00AA3511" w:rsidRPr="001C68B6">
        <w:rPr>
          <w:rFonts w:ascii="Gill Sans MT" w:hAnsi="Gill Sans MT"/>
        </w:rPr>
        <w:t>House of Lords</w:t>
      </w:r>
      <w:r w:rsidR="001F06E4" w:rsidRPr="001C68B6">
        <w:rPr>
          <w:rFonts w:ascii="Gill Sans MT" w:hAnsi="Gill Sans MT"/>
        </w:rPr>
        <w:t xml:space="preserve"> Act 1999</w:t>
      </w:r>
      <w:r w:rsidR="00AA3511" w:rsidRPr="001C68B6">
        <w:rPr>
          <w:rFonts w:ascii="Gill Sans MT" w:hAnsi="Gill Sans MT"/>
        </w:rPr>
        <w:t xml:space="preserve"> </w:t>
      </w:r>
      <w:r w:rsidR="006D29BC">
        <w:rPr>
          <w:rFonts w:ascii="Gill Sans MT" w:hAnsi="Gill Sans MT"/>
        </w:rPr>
        <w:t xml:space="preserve">was </w:t>
      </w:r>
      <w:r w:rsidR="00AA3511" w:rsidRPr="001C68B6">
        <w:rPr>
          <w:rFonts w:ascii="Gill Sans MT" w:hAnsi="Gill Sans MT"/>
        </w:rPr>
        <w:t>not intended to be a final settlement for the Lords</w:t>
      </w:r>
      <w:r w:rsidR="006D29BC">
        <w:rPr>
          <w:rFonts w:ascii="Gill Sans MT" w:hAnsi="Gill Sans MT"/>
        </w:rPr>
        <w:t>,</w:t>
      </w:r>
      <w:r w:rsidR="00AA3511" w:rsidRPr="001C68B6">
        <w:rPr>
          <w:rFonts w:ascii="Gill Sans MT" w:hAnsi="Gill Sans MT"/>
        </w:rPr>
        <w:t xml:space="preserve"> but the first stage of reform</w:t>
      </w:r>
      <w:r w:rsidR="003A5158">
        <w:rPr>
          <w:rFonts w:ascii="Gill Sans MT" w:hAnsi="Gill Sans MT"/>
        </w:rPr>
        <w:t>.</w:t>
      </w:r>
      <w:r w:rsidR="00AA3511" w:rsidRPr="001C68B6">
        <w:rPr>
          <w:rFonts w:ascii="Gill Sans MT" w:hAnsi="Gill Sans MT"/>
        </w:rPr>
        <w:t xml:space="preserve"> </w:t>
      </w:r>
      <w:r w:rsidR="003A5158">
        <w:rPr>
          <w:rFonts w:ascii="Gill Sans MT" w:hAnsi="Gill Sans MT"/>
        </w:rPr>
        <w:t xml:space="preserve"> </w:t>
      </w:r>
      <w:proofErr w:type="gramStart"/>
      <w:r w:rsidR="003A5158">
        <w:rPr>
          <w:rFonts w:ascii="Gill Sans MT" w:hAnsi="Gill Sans MT"/>
        </w:rPr>
        <w:t>Yet</w:t>
      </w:r>
      <w:r w:rsidR="00B00482">
        <w:rPr>
          <w:rFonts w:ascii="Gill Sans MT" w:hAnsi="Gill Sans MT"/>
        </w:rPr>
        <w:t>,</w:t>
      </w:r>
      <w:proofErr w:type="gramEnd"/>
      <w:r w:rsidR="00AA3511" w:rsidRPr="001C68B6">
        <w:rPr>
          <w:rFonts w:ascii="Gill Sans MT" w:hAnsi="Gill Sans MT"/>
        </w:rPr>
        <w:t xml:space="preserve"> currently it seems likely that this status quo will endure for some time</w:t>
      </w:r>
      <w:r w:rsidR="006D29BC">
        <w:rPr>
          <w:rFonts w:ascii="Gill Sans MT" w:hAnsi="Gill Sans MT"/>
        </w:rPr>
        <w:t>,</w:t>
      </w:r>
      <w:r w:rsidR="00AA3511" w:rsidRPr="001C68B6">
        <w:rPr>
          <w:rFonts w:ascii="Gill Sans MT" w:hAnsi="Gill Sans MT"/>
        </w:rPr>
        <w:t xml:space="preserve"> in the absence of </w:t>
      </w:r>
      <w:r w:rsidR="009D051B">
        <w:rPr>
          <w:rFonts w:ascii="Gill Sans MT" w:hAnsi="Gill Sans MT"/>
        </w:rPr>
        <w:t xml:space="preserve">clear </w:t>
      </w:r>
      <w:r w:rsidR="00AA3511" w:rsidRPr="001C68B6">
        <w:rPr>
          <w:rFonts w:ascii="Gill Sans MT" w:hAnsi="Gill Sans MT"/>
        </w:rPr>
        <w:t>ideas or</w:t>
      </w:r>
      <w:r w:rsidR="009D051B">
        <w:rPr>
          <w:rFonts w:ascii="Gill Sans MT" w:hAnsi="Gill Sans MT"/>
        </w:rPr>
        <w:t xml:space="preserve"> strong</w:t>
      </w:r>
      <w:r w:rsidR="00AA3511" w:rsidRPr="001C68B6">
        <w:rPr>
          <w:rFonts w:ascii="Gill Sans MT" w:hAnsi="Gill Sans MT"/>
        </w:rPr>
        <w:t xml:space="preserve"> motivation to replace it.  </w:t>
      </w:r>
      <w:r w:rsidR="00B00482">
        <w:rPr>
          <w:rFonts w:ascii="Gill Sans MT" w:hAnsi="Gill Sans MT"/>
        </w:rPr>
        <w:t>Moreover,</w:t>
      </w:r>
      <w:r w:rsidR="00B00482" w:rsidRPr="001C68B6">
        <w:rPr>
          <w:rFonts w:ascii="Gill Sans MT" w:hAnsi="Gill Sans MT"/>
        </w:rPr>
        <w:t xml:space="preserve"> </w:t>
      </w:r>
      <w:r w:rsidR="00AA3511" w:rsidRPr="001C68B6">
        <w:rPr>
          <w:rFonts w:ascii="Gill Sans MT" w:hAnsi="Gill Sans MT"/>
        </w:rPr>
        <w:t>the reform which has occurred has made the Lords less aristocratic but no more democratic</w:t>
      </w:r>
      <w:r w:rsidR="006D29BC">
        <w:rPr>
          <w:rFonts w:ascii="Gill Sans MT" w:hAnsi="Gill Sans MT"/>
        </w:rPr>
        <w:t>.  The life peerages created in the Life Peerages Act 1958 gave the right to membership of the Lords by appointment, but with a title which cannot be inherited by the children of a life peer.  Hereditary peers were</w:t>
      </w:r>
      <w:r w:rsidR="003D63C3">
        <w:rPr>
          <w:rFonts w:ascii="Gill Sans MT" w:hAnsi="Gill Sans MT"/>
        </w:rPr>
        <w:t xml:space="preserve"> almost all</w:t>
      </w:r>
      <w:r w:rsidR="006D29BC">
        <w:rPr>
          <w:rFonts w:ascii="Gill Sans MT" w:hAnsi="Gill Sans MT"/>
        </w:rPr>
        <w:t xml:space="preserve"> excluded from membership of the House of Lords by the 1999 Act, subject to the </w:t>
      </w:r>
      <w:r w:rsidR="00AA3511" w:rsidRPr="001C68B6">
        <w:rPr>
          <w:rFonts w:ascii="Gill Sans MT" w:hAnsi="Gill Sans MT"/>
        </w:rPr>
        <w:t xml:space="preserve">exception </w:t>
      </w:r>
      <w:r w:rsidR="003D63C3">
        <w:rPr>
          <w:rFonts w:ascii="Gill Sans MT" w:hAnsi="Gill Sans MT"/>
        </w:rPr>
        <w:t xml:space="preserve">that 92 may remain, with </w:t>
      </w:r>
      <w:r w:rsidR="00AA3511" w:rsidRPr="001C68B6">
        <w:rPr>
          <w:rFonts w:ascii="Gill Sans MT" w:hAnsi="Gill Sans MT"/>
        </w:rPr>
        <w:t>‘</w:t>
      </w:r>
      <w:r w:rsidR="003D63C3">
        <w:rPr>
          <w:rFonts w:ascii="Gill Sans MT" w:hAnsi="Gill Sans MT"/>
        </w:rPr>
        <w:t>by-</w:t>
      </w:r>
      <w:r w:rsidR="00AA3511" w:rsidRPr="001C68B6">
        <w:rPr>
          <w:rFonts w:ascii="Gill Sans MT" w:hAnsi="Gill Sans MT"/>
        </w:rPr>
        <w:t xml:space="preserve">elections’ </w:t>
      </w:r>
      <w:r w:rsidR="003D63C3">
        <w:rPr>
          <w:rFonts w:ascii="Gill Sans MT" w:hAnsi="Gill Sans MT"/>
        </w:rPr>
        <w:t xml:space="preserve">introduced </w:t>
      </w:r>
      <w:r w:rsidR="00AA3511" w:rsidRPr="001C68B6">
        <w:rPr>
          <w:rFonts w:ascii="Gill Sans MT" w:hAnsi="Gill Sans MT"/>
        </w:rPr>
        <w:t xml:space="preserve">among </w:t>
      </w:r>
      <w:r w:rsidR="003D63C3">
        <w:rPr>
          <w:rFonts w:ascii="Gill Sans MT" w:hAnsi="Gill Sans MT"/>
        </w:rPr>
        <w:t>all</w:t>
      </w:r>
      <w:r w:rsidR="00AA3511" w:rsidRPr="001C68B6">
        <w:rPr>
          <w:rFonts w:ascii="Gill Sans MT" w:hAnsi="Gill Sans MT"/>
        </w:rPr>
        <w:t xml:space="preserve"> </w:t>
      </w:r>
      <w:r w:rsidR="003D63C3">
        <w:rPr>
          <w:rFonts w:ascii="Gill Sans MT" w:hAnsi="Gill Sans MT"/>
        </w:rPr>
        <w:t xml:space="preserve">previously </w:t>
      </w:r>
      <w:r w:rsidR="00AA3511" w:rsidRPr="001C68B6">
        <w:rPr>
          <w:rFonts w:ascii="Gill Sans MT" w:hAnsi="Gill Sans MT"/>
        </w:rPr>
        <w:t>eligible hereditary peers to select</w:t>
      </w:r>
      <w:r w:rsidR="009D051B">
        <w:rPr>
          <w:rFonts w:ascii="Gill Sans MT" w:hAnsi="Gill Sans MT"/>
        </w:rPr>
        <w:t xml:space="preserve"> the</w:t>
      </w:r>
      <w:r w:rsidR="00AA3511" w:rsidRPr="001C68B6">
        <w:rPr>
          <w:rFonts w:ascii="Gill Sans MT" w:hAnsi="Gill Sans MT"/>
        </w:rPr>
        <w:t xml:space="preserve"> 9</w:t>
      </w:r>
      <w:r w:rsidR="003D63C3">
        <w:rPr>
          <w:rFonts w:ascii="Gill Sans MT" w:hAnsi="Gill Sans MT"/>
        </w:rPr>
        <w:t>0</w:t>
      </w:r>
      <w:r w:rsidR="00AA3511" w:rsidRPr="001C68B6">
        <w:rPr>
          <w:rFonts w:ascii="Gill Sans MT" w:hAnsi="Gill Sans MT"/>
        </w:rPr>
        <w:t xml:space="preserve"> retain</w:t>
      </w:r>
      <w:r w:rsidR="00E67626">
        <w:rPr>
          <w:rFonts w:ascii="Gill Sans MT" w:hAnsi="Gill Sans MT"/>
        </w:rPr>
        <w:t>ing</w:t>
      </w:r>
      <w:r w:rsidR="00AA3511" w:rsidRPr="001C68B6">
        <w:rPr>
          <w:rFonts w:ascii="Gill Sans MT" w:hAnsi="Gill Sans MT"/>
        </w:rPr>
        <w:t xml:space="preserve"> their seats</w:t>
      </w:r>
      <w:r w:rsidR="003D63C3">
        <w:rPr>
          <w:rFonts w:ascii="Gill Sans MT" w:hAnsi="Gill Sans MT"/>
        </w:rPr>
        <w:t xml:space="preserve">.  </w:t>
      </w:r>
    </w:p>
    <w:p w14:paraId="562975AA" w14:textId="0847A9E5" w:rsidR="00C406C8" w:rsidRDefault="000C464D" w:rsidP="001137EA">
      <w:pPr>
        <w:spacing w:after="0" w:line="360" w:lineRule="auto"/>
        <w:ind w:firstLine="720"/>
        <w:jc w:val="both"/>
        <w:rPr>
          <w:rFonts w:ascii="Gill Sans MT" w:hAnsi="Gill Sans MT"/>
        </w:rPr>
      </w:pPr>
      <w:r>
        <w:rPr>
          <w:rFonts w:ascii="Gill Sans MT" w:hAnsi="Gill Sans MT"/>
        </w:rPr>
        <w:t xml:space="preserve">The House of Lords has historically </w:t>
      </w:r>
      <w:r w:rsidR="00B00482">
        <w:rPr>
          <w:rFonts w:ascii="Gill Sans MT" w:hAnsi="Gill Sans MT"/>
        </w:rPr>
        <w:t xml:space="preserve">consisted of </w:t>
      </w:r>
      <w:r>
        <w:rPr>
          <w:rFonts w:ascii="Gill Sans MT" w:hAnsi="Gill Sans MT"/>
        </w:rPr>
        <w:t xml:space="preserve">a combination of the Lords Temporal and </w:t>
      </w:r>
      <w:r w:rsidR="0048684C">
        <w:rPr>
          <w:rFonts w:ascii="Gill Sans MT" w:hAnsi="Gill Sans MT"/>
        </w:rPr>
        <w:t xml:space="preserve">Lords </w:t>
      </w:r>
      <w:r>
        <w:rPr>
          <w:rFonts w:ascii="Gill Sans MT" w:hAnsi="Gill Sans MT"/>
        </w:rPr>
        <w:t>Spiritual</w:t>
      </w:r>
      <w:r w:rsidR="00C406C8">
        <w:rPr>
          <w:rFonts w:ascii="Gill Sans MT" w:hAnsi="Gill Sans MT"/>
        </w:rPr>
        <w:t xml:space="preserve">, </w:t>
      </w:r>
      <w:r w:rsidR="00916123">
        <w:rPr>
          <w:rFonts w:ascii="Gill Sans MT" w:hAnsi="Gill Sans MT"/>
        </w:rPr>
        <w:t xml:space="preserve">the former being the </w:t>
      </w:r>
      <w:r w:rsidR="00B00482">
        <w:rPr>
          <w:rFonts w:ascii="Gill Sans MT" w:hAnsi="Gill Sans MT"/>
        </w:rPr>
        <w:t xml:space="preserve">hereditary </w:t>
      </w:r>
      <w:r w:rsidR="00916123">
        <w:rPr>
          <w:rFonts w:ascii="Gill Sans MT" w:hAnsi="Gill Sans MT"/>
        </w:rPr>
        <w:t xml:space="preserve">aristocracy and </w:t>
      </w:r>
      <w:r w:rsidR="0048684C">
        <w:rPr>
          <w:rFonts w:ascii="Gill Sans MT" w:hAnsi="Gill Sans MT"/>
        </w:rPr>
        <w:t xml:space="preserve">the latter members of the </w:t>
      </w:r>
      <w:r w:rsidR="00B00482">
        <w:rPr>
          <w:rFonts w:ascii="Gill Sans MT" w:hAnsi="Gill Sans MT"/>
        </w:rPr>
        <w:t xml:space="preserve">church, </w:t>
      </w:r>
      <w:r w:rsidR="0048684C">
        <w:rPr>
          <w:rFonts w:ascii="Gill Sans MT" w:hAnsi="Gill Sans MT"/>
        </w:rPr>
        <w:t xml:space="preserve">who </w:t>
      </w:r>
      <w:r w:rsidR="00916123">
        <w:rPr>
          <w:rFonts w:ascii="Gill Sans MT" w:hAnsi="Gill Sans MT"/>
        </w:rPr>
        <w:t>s</w:t>
      </w:r>
      <w:r w:rsidR="00B00482">
        <w:rPr>
          <w:rFonts w:ascii="Gill Sans MT" w:hAnsi="Gill Sans MT"/>
        </w:rPr>
        <w:t>i</w:t>
      </w:r>
      <w:r w:rsidR="0048684C">
        <w:rPr>
          <w:rFonts w:ascii="Gill Sans MT" w:hAnsi="Gill Sans MT"/>
        </w:rPr>
        <w:t xml:space="preserve">t in the upper chamber by virtue of their religious office.  </w:t>
      </w:r>
      <w:r w:rsidR="00A816D4">
        <w:rPr>
          <w:rFonts w:ascii="Gill Sans MT" w:hAnsi="Gill Sans MT"/>
        </w:rPr>
        <w:t>The eligibility of bishops, archbishops and other clergy to sit in the Lords (as Lords of Parliament, rather than peers</w:t>
      </w:r>
      <w:r w:rsidR="00A816D4">
        <w:rPr>
          <w:rStyle w:val="FootnoteReference"/>
          <w:rFonts w:ascii="Gill Sans MT" w:hAnsi="Gill Sans MT"/>
        </w:rPr>
        <w:footnoteReference w:id="81"/>
      </w:r>
      <w:r w:rsidR="00A816D4">
        <w:rPr>
          <w:rFonts w:ascii="Gill Sans MT" w:hAnsi="Gill Sans MT"/>
        </w:rPr>
        <w:t>) stems from ‘ancient usage’.</w:t>
      </w:r>
      <w:r w:rsidR="00A816D4">
        <w:rPr>
          <w:rStyle w:val="FootnoteReference"/>
          <w:rFonts w:ascii="Gill Sans MT" w:hAnsi="Gill Sans MT"/>
        </w:rPr>
        <w:footnoteReference w:id="82"/>
      </w:r>
      <w:r w:rsidR="00A816D4">
        <w:rPr>
          <w:rFonts w:ascii="Gill Sans MT" w:hAnsi="Gill Sans MT"/>
        </w:rPr>
        <w:t xml:space="preserve">  But the number of office holders</w:t>
      </w:r>
      <w:r w:rsidR="00C406C8">
        <w:rPr>
          <w:rFonts w:ascii="Gill Sans MT" w:hAnsi="Gill Sans MT"/>
        </w:rPr>
        <w:t>, now exclusively from the Church of England,</w:t>
      </w:r>
      <w:r w:rsidR="00A816D4">
        <w:rPr>
          <w:rFonts w:ascii="Gill Sans MT" w:hAnsi="Gill Sans MT"/>
        </w:rPr>
        <w:t xml:space="preserve"> entitled to attend the Lords has been limited by statute </w:t>
      </w:r>
      <w:r w:rsidR="0020573A">
        <w:rPr>
          <w:rFonts w:ascii="Gill Sans MT" w:hAnsi="Gill Sans MT"/>
        </w:rPr>
        <w:t xml:space="preserve">to 26 </w:t>
      </w:r>
      <w:r w:rsidR="00A816D4">
        <w:rPr>
          <w:rFonts w:ascii="Gill Sans MT" w:hAnsi="Gill Sans MT"/>
        </w:rPr>
        <w:t>since the Bishopric of Manchester Act 1847 –</w:t>
      </w:r>
      <w:r w:rsidR="0020573A">
        <w:rPr>
          <w:rFonts w:ascii="Gill Sans MT" w:hAnsi="Gill Sans MT"/>
        </w:rPr>
        <w:t xml:space="preserve"> the Archbishops of Canterbury and York, and Bishops of London, Durham and Winchester,</w:t>
      </w:r>
      <w:r w:rsidR="0020573A">
        <w:rPr>
          <w:rStyle w:val="FootnoteReference"/>
          <w:rFonts w:ascii="Gill Sans MT" w:hAnsi="Gill Sans MT"/>
        </w:rPr>
        <w:footnoteReference w:id="83"/>
      </w:r>
      <w:r w:rsidR="0020573A">
        <w:rPr>
          <w:rFonts w:ascii="Gill Sans MT" w:hAnsi="Gill Sans MT"/>
        </w:rPr>
        <w:t xml:space="preserve"> with the remaining positions filled in accordance with seniority (subject, until 2025,</w:t>
      </w:r>
      <w:r w:rsidR="00916123">
        <w:rPr>
          <w:rFonts w:ascii="Gill Sans MT" w:hAnsi="Gill Sans MT"/>
        </w:rPr>
        <w:t xml:space="preserve"> to a preference</w:t>
      </w:r>
      <w:r w:rsidR="0020573A">
        <w:rPr>
          <w:rFonts w:ascii="Gill Sans MT" w:hAnsi="Gill Sans MT"/>
        </w:rPr>
        <w:t xml:space="preserve"> for female bishops).  So</w:t>
      </w:r>
      <w:r w:rsidR="00B00482">
        <w:rPr>
          <w:rFonts w:ascii="Gill Sans MT" w:hAnsi="Gill Sans MT"/>
        </w:rPr>
        <w:t>,</w:t>
      </w:r>
      <w:r w:rsidR="0020573A">
        <w:rPr>
          <w:rFonts w:ascii="Gill Sans MT" w:hAnsi="Gill Sans MT"/>
        </w:rPr>
        <w:t xml:space="preserve"> while the religious component of the House of Lords has been diminished, it has also remained relatively stable since the nineteenth century.</w:t>
      </w:r>
    </w:p>
    <w:p w14:paraId="4228DCE2" w14:textId="6F59BAF3" w:rsidR="00635A87" w:rsidRDefault="00B00482" w:rsidP="001137EA">
      <w:pPr>
        <w:spacing w:after="0" w:line="360" w:lineRule="auto"/>
        <w:ind w:firstLine="720"/>
        <w:jc w:val="both"/>
        <w:rPr>
          <w:rFonts w:ascii="Gill Sans MT" w:hAnsi="Gill Sans MT"/>
        </w:rPr>
      </w:pPr>
      <w:r>
        <w:rPr>
          <w:rFonts w:ascii="Gill Sans MT" w:hAnsi="Gill Sans MT"/>
        </w:rPr>
        <w:t xml:space="preserve">Alongside the hereditary and religious </w:t>
      </w:r>
      <w:proofErr w:type="gramStart"/>
      <w:r>
        <w:rPr>
          <w:rFonts w:ascii="Gill Sans MT" w:hAnsi="Gill Sans MT"/>
        </w:rPr>
        <w:t>elements</w:t>
      </w:r>
      <w:proofErr w:type="gramEnd"/>
      <w:r>
        <w:rPr>
          <w:rFonts w:ascii="Gill Sans MT" w:hAnsi="Gill Sans MT"/>
        </w:rPr>
        <w:t xml:space="preserve"> </w:t>
      </w:r>
      <w:r w:rsidR="0020573A">
        <w:rPr>
          <w:rFonts w:ascii="Gill Sans MT" w:hAnsi="Gill Sans MT"/>
        </w:rPr>
        <w:t>the House of Lords</w:t>
      </w:r>
      <w:r>
        <w:rPr>
          <w:rFonts w:ascii="Gill Sans MT" w:hAnsi="Gill Sans MT"/>
        </w:rPr>
        <w:t>, the judicial element</w:t>
      </w:r>
      <w:r w:rsidR="0020573A">
        <w:rPr>
          <w:rFonts w:ascii="Gill Sans MT" w:hAnsi="Gill Sans MT"/>
        </w:rPr>
        <w:t xml:space="preserve"> has also diminished, albeit much more recently.  Under the </w:t>
      </w:r>
      <w:r w:rsidR="00A503A5">
        <w:rPr>
          <w:rFonts w:ascii="Gill Sans MT" w:hAnsi="Gill Sans MT"/>
        </w:rPr>
        <w:t xml:space="preserve">Appellate Jurisdiction Act 1876, the monarch was empowered to appoint </w:t>
      </w:r>
      <w:r w:rsidR="00D96BCF">
        <w:rPr>
          <w:rFonts w:ascii="Gill Sans MT" w:hAnsi="Gill Sans MT"/>
        </w:rPr>
        <w:t xml:space="preserve">experienced judges or lawyers as </w:t>
      </w:r>
      <w:r w:rsidR="00A503A5">
        <w:rPr>
          <w:rFonts w:ascii="Gill Sans MT" w:hAnsi="Gill Sans MT"/>
        </w:rPr>
        <w:t>Lords of Appeal in Ordinary</w:t>
      </w:r>
      <w:r w:rsidR="00D96BCF">
        <w:rPr>
          <w:rFonts w:ascii="Gill Sans MT" w:hAnsi="Gill Sans MT"/>
        </w:rPr>
        <w:t>, ‘for the purpose of aiding the House of Lords in the hearing and determination of appeals’.</w:t>
      </w:r>
      <w:r w:rsidR="00D96BCF">
        <w:rPr>
          <w:rStyle w:val="FootnoteReference"/>
          <w:rFonts w:ascii="Gill Sans MT" w:hAnsi="Gill Sans MT"/>
        </w:rPr>
        <w:footnoteReference w:id="84"/>
      </w:r>
      <w:r w:rsidR="00916123">
        <w:rPr>
          <w:rFonts w:ascii="Gill Sans MT" w:hAnsi="Gill Sans MT"/>
        </w:rPr>
        <w:t xml:space="preserve">  </w:t>
      </w:r>
      <w:r>
        <w:rPr>
          <w:rFonts w:ascii="Gill Sans MT" w:hAnsi="Gill Sans MT"/>
        </w:rPr>
        <w:t>Although t</w:t>
      </w:r>
      <w:r w:rsidR="007B0197">
        <w:rPr>
          <w:rFonts w:ascii="Gill Sans MT" w:hAnsi="Gill Sans MT"/>
        </w:rPr>
        <w:t>h</w:t>
      </w:r>
      <w:r w:rsidR="00916123">
        <w:rPr>
          <w:rFonts w:ascii="Gill Sans MT" w:hAnsi="Gill Sans MT"/>
        </w:rPr>
        <w:t>ese judges did not receive a hereditary title</w:t>
      </w:r>
      <w:r>
        <w:rPr>
          <w:rFonts w:ascii="Gill Sans MT" w:hAnsi="Gill Sans MT"/>
        </w:rPr>
        <w:t>, they</w:t>
      </w:r>
      <w:r w:rsidR="00916123">
        <w:rPr>
          <w:rFonts w:ascii="Gill Sans MT" w:hAnsi="Gill Sans MT"/>
        </w:rPr>
        <w:t xml:space="preserve"> could continue to sit in the Lords after their retirement from judicial work.  With the creation of a Supreme Court in 2005 to replace the Appellate Committee of the House of Lords as the highest appeal court in the UK,</w:t>
      </w:r>
      <w:r w:rsidR="00796EB8">
        <w:rPr>
          <w:rStyle w:val="FootnoteReference"/>
          <w:rFonts w:ascii="Gill Sans MT" w:hAnsi="Gill Sans MT"/>
        </w:rPr>
        <w:footnoteReference w:id="85"/>
      </w:r>
      <w:r w:rsidR="00916123">
        <w:rPr>
          <w:rFonts w:ascii="Gill Sans MT" w:hAnsi="Gill Sans MT"/>
        </w:rPr>
        <w:t xml:space="preserve"> no further Lords of Appeal in Ordinary </w:t>
      </w:r>
      <w:r w:rsidR="00B30610">
        <w:rPr>
          <w:rFonts w:ascii="Gill Sans MT" w:hAnsi="Gill Sans MT"/>
        </w:rPr>
        <w:t>have been appointed since 2009</w:t>
      </w:r>
      <w:r w:rsidR="00916123">
        <w:rPr>
          <w:rFonts w:ascii="Gill Sans MT" w:hAnsi="Gill Sans MT"/>
        </w:rPr>
        <w:t xml:space="preserve">, although </w:t>
      </w:r>
      <w:r w:rsidR="00796EB8">
        <w:rPr>
          <w:rFonts w:ascii="Gill Sans MT" w:hAnsi="Gill Sans MT"/>
        </w:rPr>
        <w:t xml:space="preserve">the </w:t>
      </w:r>
      <w:r w:rsidR="006D1407">
        <w:rPr>
          <w:rFonts w:ascii="Gill Sans MT" w:hAnsi="Gill Sans MT"/>
        </w:rPr>
        <w:t>remainder</w:t>
      </w:r>
      <w:r w:rsidR="00796EB8">
        <w:rPr>
          <w:rFonts w:ascii="Gill Sans MT" w:hAnsi="Gill Sans MT"/>
        </w:rPr>
        <w:t xml:space="preserve"> can sit in the Lords </w:t>
      </w:r>
      <w:r w:rsidR="006D1407">
        <w:rPr>
          <w:rFonts w:ascii="Gill Sans MT" w:hAnsi="Gill Sans MT"/>
        </w:rPr>
        <w:t>after retirement</w:t>
      </w:r>
      <w:r w:rsidR="00796EB8">
        <w:rPr>
          <w:rFonts w:ascii="Gill Sans MT" w:hAnsi="Gill Sans MT"/>
        </w:rPr>
        <w:t xml:space="preserve"> from the Supreme Court.</w:t>
      </w:r>
      <w:r w:rsidR="00796EB8">
        <w:rPr>
          <w:rStyle w:val="FootnoteReference"/>
          <w:rFonts w:ascii="Gill Sans MT" w:hAnsi="Gill Sans MT"/>
        </w:rPr>
        <w:footnoteReference w:id="86"/>
      </w:r>
      <w:r w:rsidR="00796EB8">
        <w:rPr>
          <w:rFonts w:ascii="Gill Sans MT" w:hAnsi="Gill Sans MT"/>
        </w:rPr>
        <w:t xml:space="preserve">  New Supreme Court Justices use the courtesy title ‘Lord’ or ‘Lady’ by royal warrant, although it confers no eligibility to sit in the House of Lords.</w:t>
      </w:r>
      <w:r w:rsidR="006D1407">
        <w:rPr>
          <w:rStyle w:val="FootnoteReference"/>
          <w:rFonts w:ascii="Gill Sans MT" w:hAnsi="Gill Sans MT"/>
        </w:rPr>
        <w:footnoteReference w:id="87"/>
      </w:r>
    </w:p>
    <w:p w14:paraId="01615A1E" w14:textId="57775F29" w:rsidR="00583D56" w:rsidRDefault="008E3AAE" w:rsidP="001137EA">
      <w:pPr>
        <w:spacing w:after="0" w:line="360" w:lineRule="auto"/>
        <w:jc w:val="both"/>
        <w:rPr>
          <w:rFonts w:ascii="Gill Sans MT" w:hAnsi="Gill Sans MT"/>
        </w:rPr>
      </w:pPr>
      <w:r>
        <w:rPr>
          <w:rFonts w:ascii="Gill Sans MT" w:hAnsi="Gill Sans MT"/>
        </w:rPr>
        <w:lastRenderedPageBreak/>
        <w:tab/>
        <w:t xml:space="preserve">The democratisation of the House of Commons and the </w:t>
      </w:r>
      <w:r w:rsidR="00C54BFC">
        <w:rPr>
          <w:rFonts w:ascii="Gill Sans MT" w:hAnsi="Gill Sans MT"/>
        </w:rPr>
        <w:t>resilience of the House of Lords to such reform ha</w:t>
      </w:r>
      <w:r w:rsidR="00B00482">
        <w:rPr>
          <w:rFonts w:ascii="Gill Sans MT" w:hAnsi="Gill Sans MT"/>
        </w:rPr>
        <w:t>ve</w:t>
      </w:r>
      <w:r w:rsidR="00C54BFC">
        <w:rPr>
          <w:rFonts w:ascii="Gill Sans MT" w:hAnsi="Gill Sans MT"/>
        </w:rPr>
        <w:t xml:space="preserve"> </w:t>
      </w:r>
      <w:proofErr w:type="gramStart"/>
      <w:r w:rsidR="00C54BFC">
        <w:rPr>
          <w:rFonts w:ascii="Gill Sans MT" w:hAnsi="Gill Sans MT"/>
        </w:rPr>
        <w:t>a number of</w:t>
      </w:r>
      <w:proofErr w:type="gramEnd"/>
      <w:r w:rsidR="00C54BFC">
        <w:rPr>
          <w:rFonts w:ascii="Gill Sans MT" w:hAnsi="Gill Sans MT"/>
        </w:rPr>
        <w:t xml:space="preserve"> important implications.  Most significantly, the relationship between the two Houses of Parliament has been defined by their respective characters.  The shifting balance of power between the elected Commons and the unelected Lords has been a key strand of the UK legislature’s constitutional history.  The notion of the House of Lords as possessing a veto which allowed it to check or obstruct constitutional change came under </w:t>
      </w:r>
      <w:r w:rsidR="003C1211">
        <w:rPr>
          <w:rFonts w:ascii="Gill Sans MT" w:hAnsi="Gill Sans MT"/>
        </w:rPr>
        <w:t>growing</w:t>
      </w:r>
      <w:r w:rsidR="00C54BFC">
        <w:rPr>
          <w:rFonts w:ascii="Gill Sans MT" w:hAnsi="Gill Sans MT"/>
        </w:rPr>
        <w:t xml:space="preserve"> pressure as the Commons became increasingly democratic and representative.  </w:t>
      </w:r>
      <w:r w:rsidR="00D75C2E">
        <w:rPr>
          <w:rFonts w:ascii="Gill Sans MT" w:hAnsi="Gill Sans MT"/>
        </w:rPr>
        <w:t xml:space="preserve">The doctrine of the mandate was popularised by the third Marquess of Salisbury between 1868 and </w:t>
      </w:r>
      <w:r w:rsidR="00361AF0">
        <w:rPr>
          <w:rFonts w:ascii="Gill Sans MT" w:hAnsi="Gill Sans MT"/>
        </w:rPr>
        <w:t>1900</w:t>
      </w:r>
      <w:r w:rsidR="00D75C2E">
        <w:rPr>
          <w:rFonts w:ascii="Gill Sans MT" w:hAnsi="Gill Sans MT"/>
        </w:rPr>
        <w:t xml:space="preserve">.  Salisbury, who was Prime Minister on three occasions during this period, argued that the Lords had </w:t>
      </w:r>
      <w:r w:rsidR="00B50DC7">
        <w:rPr>
          <w:rFonts w:ascii="Gill Sans MT" w:hAnsi="Gill Sans MT"/>
        </w:rPr>
        <w:t xml:space="preserve">a </w:t>
      </w:r>
      <w:r w:rsidR="00D75C2E">
        <w:rPr>
          <w:rFonts w:ascii="Gill Sans MT" w:hAnsi="Gill Sans MT"/>
        </w:rPr>
        <w:t>right to refer constitutionally controversial legislation proposed by the Commons back to the electorate, to ensure the</w:t>
      </w:r>
      <w:r w:rsidR="00B00482">
        <w:rPr>
          <w:rFonts w:ascii="Gill Sans MT" w:hAnsi="Gill Sans MT"/>
        </w:rPr>
        <w:t xml:space="preserve"> government</w:t>
      </w:r>
      <w:r w:rsidR="00D75C2E">
        <w:rPr>
          <w:rFonts w:ascii="Gill Sans MT" w:hAnsi="Gill Sans MT"/>
        </w:rPr>
        <w:t xml:space="preserve"> possessed a mandate for such change.</w:t>
      </w:r>
      <w:r w:rsidR="00D75C2E">
        <w:rPr>
          <w:rStyle w:val="FootnoteReference"/>
          <w:rFonts w:ascii="Gill Sans MT" w:hAnsi="Gill Sans MT"/>
        </w:rPr>
        <w:footnoteReference w:id="88"/>
      </w:r>
      <w:r w:rsidR="00D75C2E">
        <w:rPr>
          <w:rFonts w:ascii="Gill Sans MT" w:hAnsi="Gill Sans MT"/>
        </w:rPr>
        <w:t xml:space="preserve">  </w:t>
      </w:r>
      <w:r w:rsidR="00361AF0">
        <w:rPr>
          <w:rFonts w:ascii="Gill Sans MT" w:hAnsi="Gill Sans MT"/>
        </w:rPr>
        <w:t>However, this approach</w:t>
      </w:r>
      <w:r w:rsidR="00D75C2E">
        <w:rPr>
          <w:rFonts w:ascii="Gill Sans MT" w:hAnsi="Gill Sans MT"/>
        </w:rPr>
        <w:t xml:space="preserve"> was </w:t>
      </w:r>
      <w:r w:rsidR="0044798B">
        <w:rPr>
          <w:rFonts w:ascii="Gill Sans MT" w:hAnsi="Gill Sans MT"/>
        </w:rPr>
        <w:t>inverted</w:t>
      </w:r>
      <w:r w:rsidR="00D75C2E">
        <w:rPr>
          <w:rFonts w:ascii="Gill Sans MT" w:hAnsi="Gill Sans MT"/>
        </w:rPr>
        <w:t xml:space="preserve"> in the twentieth century, </w:t>
      </w:r>
      <w:r w:rsidR="00201F48">
        <w:rPr>
          <w:rFonts w:ascii="Gill Sans MT" w:hAnsi="Gill Sans MT"/>
        </w:rPr>
        <w:t>on the election of a majority Labour government in 1945.  The Leader of the House of Lords, Viscount Addison, and the Leader of the Opposition in the Lords, the fifth Marquess of Salisbury, announced an understanding that the Conservative dominated upper chamber would not seek to obstruct manifesto legislation, on the basis that a pre-existing mandate for any such change could be inferred from the Labour government’s election victory.  Th</w:t>
      </w:r>
      <w:r w:rsidR="0044798B">
        <w:rPr>
          <w:rFonts w:ascii="Gill Sans MT" w:hAnsi="Gill Sans MT"/>
        </w:rPr>
        <w:t>is</w:t>
      </w:r>
      <w:r w:rsidR="00201F48">
        <w:rPr>
          <w:rFonts w:ascii="Gill Sans MT" w:hAnsi="Gill Sans MT"/>
        </w:rPr>
        <w:t xml:space="preserve"> ‘Salisbury-Addison’ convention </w:t>
      </w:r>
      <w:r w:rsidR="00B00482">
        <w:rPr>
          <w:rFonts w:ascii="Gill Sans MT" w:hAnsi="Gill Sans MT"/>
        </w:rPr>
        <w:t xml:space="preserve">is </w:t>
      </w:r>
      <w:r w:rsidR="00201F48">
        <w:rPr>
          <w:rFonts w:ascii="Gill Sans MT" w:hAnsi="Gill Sans MT"/>
        </w:rPr>
        <w:t>a clear manifestation of the wider subordination of the Lords to the elected Commons.</w:t>
      </w:r>
    </w:p>
    <w:p w14:paraId="5A388866" w14:textId="198A8A6E" w:rsidR="005568C3" w:rsidRDefault="00201F48" w:rsidP="001137EA">
      <w:pPr>
        <w:spacing w:after="0" w:line="360" w:lineRule="auto"/>
        <w:jc w:val="both"/>
        <w:rPr>
          <w:rFonts w:ascii="Gill Sans MT" w:hAnsi="Gill Sans MT"/>
        </w:rPr>
      </w:pPr>
      <w:r>
        <w:rPr>
          <w:rFonts w:ascii="Gill Sans MT" w:hAnsi="Gill Sans MT"/>
        </w:rPr>
        <w:tab/>
        <w:t>The primacy of the Commons and the constrained right of the Lords to veto the choices of the democratic chamber ha</w:t>
      </w:r>
      <w:r w:rsidR="00BE2A5F">
        <w:rPr>
          <w:rFonts w:ascii="Gill Sans MT" w:hAnsi="Gill Sans MT"/>
        </w:rPr>
        <w:t>ve</w:t>
      </w:r>
      <w:r>
        <w:rPr>
          <w:rFonts w:ascii="Gill Sans MT" w:hAnsi="Gill Sans MT"/>
        </w:rPr>
        <w:t xml:space="preserve"> also been reflected in law.  The Parliament Act 1911 was enacted to reduce the House of Lords’ absolute veto over legislation to a delaying power of two years, over three </w:t>
      </w:r>
      <w:r w:rsidR="0044798B">
        <w:rPr>
          <w:rFonts w:ascii="Gill Sans MT" w:hAnsi="Gill Sans MT"/>
        </w:rPr>
        <w:t xml:space="preserve">successive </w:t>
      </w:r>
      <w:r>
        <w:rPr>
          <w:rFonts w:ascii="Gill Sans MT" w:hAnsi="Gill Sans MT"/>
        </w:rPr>
        <w:t>sessions of Parliament in relation to any public Bill (</w:t>
      </w:r>
      <w:r w:rsidR="0044798B">
        <w:rPr>
          <w:rFonts w:ascii="Gill Sans MT" w:hAnsi="Gill Sans MT"/>
        </w:rPr>
        <w:t>excluding a Bill to extend the life of Parliament beyond five years, and with a delaying power of only one month in relation to a money Bill).</w:t>
      </w:r>
      <w:r w:rsidR="0044798B">
        <w:rPr>
          <w:rStyle w:val="FootnoteReference"/>
          <w:rFonts w:ascii="Gill Sans MT" w:hAnsi="Gill Sans MT"/>
        </w:rPr>
        <w:footnoteReference w:id="89"/>
      </w:r>
      <w:r w:rsidR="00C86673">
        <w:rPr>
          <w:rFonts w:ascii="Gill Sans MT" w:hAnsi="Gill Sans MT"/>
        </w:rPr>
        <w:t xml:space="preserve">  This followed the budget crisis of 1909, when the Lords refused to </w:t>
      </w:r>
      <w:r w:rsidR="00415C06">
        <w:rPr>
          <w:rFonts w:ascii="Gill Sans MT" w:hAnsi="Gill Sans MT"/>
        </w:rPr>
        <w:t>approve a Finance Bill of the Liberal Chancellor David Lloyd George, including taxes on high incomes and capital gains from land, which had been passed in the Commons.  Following general elections in January and December 1910</w:t>
      </w:r>
      <w:r w:rsidR="005E27EA">
        <w:rPr>
          <w:rFonts w:ascii="Gill Sans MT" w:hAnsi="Gill Sans MT"/>
        </w:rPr>
        <w:t xml:space="preserve"> focused on the constraint of the upper chamber’s veto</w:t>
      </w:r>
      <w:r w:rsidR="00415C06">
        <w:rPr>
          <w:rFonts w:ascii="Gill Sans MT" w:hAnsi="Gill Sans MT"/>
        </w:rPr>
        <w:t>, and the threat of the King creating some 500 new peers, the House of Lords eventually assented to the Parliament Act</w:t>
      </w:r>
      <w:r w:rsidR="00BE2A5F">
        <w:rPr>
          <w:rFonts w:ascii="Gill Sans MT" w:hAnsi="Gill Sans MT"/>
        </w:rPr>
        <w:t>,</w:t>
      </w:r>
      <w:r w:rsidR="00415C06">
        <w:rPr>
          <w:rFonts w:ascii="Gill Sans MT" w:hAnsi="Gill Sans MT"/>
        </w:rPr>
        <w:t xml:space="preserve"> which curtailed its power.</w:t>
      </w:r>
      <w:r w:rsidR="0035090A">
        <w:rPr>
          <w:rStyle w:val="FootnoteReference"/>
          <w:rFonts w:ascii="Gill Sans MT" w:hAnsi="Gill Sans MT"/>
        </w:rPr>
        <w:footnoteReference w:id="90"/>
      </w:r>
    </w:p>
    <w:p w14:paraId="21DE354E" w14:textId="231756B8" w:rsidR="00081F02" w:rsidRDefault="00415C06" w:rsidP="001137EA">
      <w:pPr>
        <w:spacing w:after="0" w:line="360" w:lineRule="auto"/>
        <w:ind w:firstLine="720"/>
        <w:jc w:val="both"/>
        <w:rPr>
          <w:rFonts w:ascii="Gill Sans MT" w:hAnsi="Gill Sans MT"/>
        </w:rPr>
      </w:pPr>
      <w:r>
        <w:rPr>
          <w:rFonts w:ascii="Gill Sans MT" w:hAnsi="Gill Sans MT"/>
        </w:rPr>
        <w:t xml:space="preserve">A further constraint </w:t>
      </w:r>
      <w:r w:rsidR="003C1211">
        <w:rPr>
          <w:rFonts w:ascii="Gill Sans MT" w:hAnsi="Gill Sans MT"/>
        </w:rPr>
        <w:t>on</w:t>
      </w:r>
      <w:r>
        <w:rPr>
          <w:rFonts w:ascii="Gill Sans MT" w:hAnsi="Gill Sans MT"/>
        </w:rPr>
        <w:t xml:space="preserve"> the Lords’ legislative authority was imposed in 1949, without its consent, using the procedure established in Parliament Act 1911.  The </w:t>
      </w:r>
      <w:r w:rsidRPr="001900CA">
        <w:rPr>
          <w:rFonts w:ascii="Gill Sans MT" w:hAnsi="Gill Sans MT"/>
        </w:rPr>
        <w:t xml:space="preserve">Parliament Act 1949 reduced the Lords’ delaying power over public Bills to one year, over two successive sessions, but was subject to a legal challenge over 50 years later, on the basis that it </w:t>
      </w:r>
      <w:r w:rsidR="00860E28" w:rsidRPr="001900CA">
        <w:rPr>
          <w:rFonts w:ascii="Gill Sans MT" w:hAnsi="Gill Sans MT"/>
        </w:rPr>
        <w:t>had been</w:t>
      </w:r>
      <w:r w:rsidRPr="001900CA">
        <w:rPr>
          <w:rFonts w:ascii="Gill Sans MT" w:hAnsi="Gill Sans MT"/>
        </w:rPr>
        <w:t xml:space="preserve"> unlawful for the Commons to use the Parliament Acts </w:t>
      </w:r>
      <w:r w:rsidR="00860E28" w:rsidRPr="001900CA">
        <w:rPr>
          <w:rFonts w:ascii="Gill Sans MT" w:hAnsi="Gill Sans MT"/>
        </w:rPr>
        <w:t xml:space="preserve">process </w:t>
      </w:r>
      <w:r w:rsidRPr="001900CA">
        <w:rPr>
          <w:rFonts w:ascii="Gill Sans MT" w:hAnsi="Gill Sans MT"/>
        </w:rPr>
        <w:t>to expand its own power without the Lords</w:t>
      </w:r>
      <w:r w:rsidR="003C1211">
        <w:rPr>
          <w:rFonts w:ascii="Gill Sans MT" w:hAnsi="Gill Sans MT"/>
        </w:rPr>
        <w:t>’</w:t>
      </w:r>
      <w:r w:rsidRPr="001900CA">
        <w:rPr>
          <w:rFonts w:ascii="Gill Sans MT" w:hAnsi="Gill Sans MT"/>
        </w:rPr>
        <w:t xml:space="preserve"> consent.  This argument was </w:t>
      </w:r>
      <w:r w:rsidRPr="001900CA">
        <w:rPr>
          <w:rFonts w:ascii="Gill Sans MT" w:hAnsi="Gill Sans MT"/>
        </w:rPr>
        <w:lastRenderedPageBreak/>
        <w:t xml:space="preserve">rejected in the Appellate Committee of the House of Lords in </w:t>
      </w:r>
      <w:r w:rsidRPr="001900CA">
        <w:rPr>
          <w:rFonts w:ascii="Gill Sans MT" w:hAnsi="Gill Sans MT"/>
          <w:i/>
          <w:iCs/>
        </w:rPr>
        <w:t>R. (Jackson) v Attorney General</w:t>
      </w:r>
      <w:r w:rsidRPr="001900CA">
        <w:rPr>
          <w:rFonts w:ascii="Gill Sans MT" w:hAnsi="Gill Sans MT"/>
        </w:rPr>
        <w:t>.</w:t>
      </w:r>
      <w:r w:rsidRPr="001900CA">
        <w:rPr>
          <w:rStyle w:val="FootnoteReference"/>
          <w:rFonts w:ascii="Gill Sans MT" w:hAnsi="Gill Sans MT"/>
        </w:rPr>
        <w:footnoteReference w:id="91"/>
      </w:r>
      <w:r w:rsidR="00C415D1" w:rsidRPr="001900CA">
        <w:rPr>
          <w:rFonts w:ascii="Gill Sans MT" w:hAnsi="Gill Sans MT"/>
        </w:rPr>
        <w:t xml:space="preserve">  </w:t>
      </w:r>
      <w:r w:rsidR="001900CA" w:rsidRPr="001900CA">
        <w:rPr>
          <w:rFonts w:ascii="Gill Sans MT" w:hAnsi="Gill Sans MT"/>
        </w:rPr>
        <w:t>For Lord Bingham, the historical context in which the 1911 Act was enacted was a significant factor: ‘</w:t>
      </w:r>
      <w:bookmarkStart w:id="3" w:name="para30"/>
      <w:r w:rsidR="001900CA" w:rsidRPr="001900CA">
        <w:rPr>
          <w:rFonts w:ascii="Gill Sans MT" w:hAnsi="Gill Sans MT"/>
          <w:color w:val="000000"/>
        </w:rPr>
        <w:t>The suggestion that Parliament intended the conditions laid down in section 2(1) to be incapable of amendment by use of the Act is in my opinion contradicted both by the language of the section and by the historical record</w:t>
      </w:r>
      <w:bookmarkEnd w:id="3"/>
      <w:r w:rsidR="001900CA" w:rsidRPr="001900CA">
        <w:rPr>
          <w:rFonts w:ascii="Gill Sans MT" w:hAnsi="Gill Sans MT"/>
          <w:color w:val="000000"/>
        </w:rPr>
        <w:t>’.</w:t>
      </w:r>
      <w:r w:rsidR="001900CA" w:rsidRPr="001900CA">
        <w:rPr>
          <w:rStyle w:val="FootnoteReference"/>
          <w:rFonts w:ascii="Gill Sans MT" w:hAnsi="Gill Sans MT"/>
          <w:color w:val="000000"/>
        </w:rPr>
        <w:footnoteReference w:id="92"/>
      </w:r>
      <w:r w:rsidR="001900CA" w:rsidRPr="001900CA">
        <w:rPr>
          <w:rFonts w:ascii="Gill Sans MT" w:hAnsi="Gill Sans MT"/>
          <w:color w:val="000000"/>
        </w:rPr>
        <w:t xml:space="preserve">  Moreover, the longstanding acceptance by political actors of the validity of the 1949 Act over half a century was noted by Lord Bingham,</w:t>
      </w:r>
      <w:r w:rsidR="001900CA" w:rsidRPr="001900CA">
        <w:rPr>
          <w:rStyle w:val="FootnoteReference"/>
          <w:rFonts w:ascii="Gill Sans MT" w:hAnsi="Gill Sans MT"/>
          <w:color w:val="000000"/>
        </w:rPr>
        <w:footnoteReference w:id="93"/>
      </w:r>
      <w:r w:rsidR="001900CA" w:rsidRPr="001900CA">
        <w:rPr>
          <w:rFonts w:ascii="Gill Sans MT" w:hAnsi="Gill Sans MT"/>
          <w:color w:val="000000"/>
        </w:rPr>
        <w:t xml:space="preserve"> and for Lord Hope, this fact was definitive</w:t>
      </w:r>
      <w:r w:rsidR="0010762A">
        <w:rPr>
          <w:rFonts w:ascii="Gill Sans MT" w:hAnsi="Gill Sans MT"/>
          <w:color w:val="000000"/>
        </w:rPr>
        <w:t xml:space="preserve"> </w:t>
      </w:r>
      <w:bookmarkStart w:id="4" w:name="para124"/>
      <w:r w:rsidR="0010762A">
        <w:rPr>
          <w:rFonts w:ascii="Gill Sans MT" w:hAnsi="Gill Sans MT"/>
          <w:color w:val="000000"/>
        </w:rPr>
        <w:t>‘</w:t>
      </w:r>
      <w:r w:rsidR="001900CA" w:rsidRPr="001900CA">
        <w:rPr>
          <w:rFonts w:ascii="Gill Sans MT" w:hAnsi="Gill Sans MT"/>
          <w:color w:val="000000"/>
        </w:rPr>
        <w:t>political reality</w:t>
      </w:r>
      <w:r w:rsidR="0010762A">
        <w:rPr>
          <w:rFonts w:ascii="Gill Sans MT" w:hAnsi="Gill Sans MT"/>
          <w:color w:val="000000"/>
        </w:rPr>
        <w:t>’</w:t>
      </w:r>
      <w:r w:rsidR="001900CA" w:rsidRPr="001900CA">
        <w:rPr>
          <w:rFonts w:ascii="Gill Sans MT" w:hAnsi="Gill Sans MT"/>
          <w:color w:val="000000"/>
        </w:rPr>
        <w:t xml:space="preserve"> </w:t>
      </w:r>
      <w:r w:rsidR="0010762A">
        <w:rPr>
          <w:rFonts w:ascii="Gill Sans MT" w:hAnsi="Gill Sans MT"/>
          <w:color w:val="000000"/>
        </w:rPr>
        <w:t>which it was ‘</w:t>
      </w:r>
      <w:r w:rsidR="001900CA" w:rsidRPr="001900CA">
        <w:rPr>
          <w:rFonts w:ascii="Gill Sans MT" w:hAnsi="Gill Sans MT"/>
          <w:color w:val="000000"/>
        </w:rPr>
        <w:t>not</w:t>
      </w:r>
      <w:r w:rsidR="0010762A">
        <w:rPr>
          <w:rFonts w:ascii="Gill Sans MT" w:hAnsi="Gill Sans MT"/>
          <w:color w:val="000000"/>
        </w:rPr>
        <w:t>…</w:t>
      </w:r>
      <w:r w:rsidR="001900CA" w:rsidRPr="001900CA">
        <w:rPr>
          <w:rFonts w:ascii="Gill Sans MT" w:hAnsi="Gill Sans MT"/>
          <w:color w:val="000000"/>
        </w:rPr>
        <w:t xml:space="preserve"> open to a court of law </w:t>
      </w:r>
      <w:r w:rsidR="0010762A">
        <w:rPr>
          <w:rFonts w:ascii="Gill Sans MT" w:hAnsi="Gill Sans MT"/>
          <w:color w:val="000000"/>
        </w:rPr>
        <w:t>t</w:t>
      </w:r>
      <w:r w:rsidR="001900CA" w:rsidRPr="001900CA">
        <w:rPr>
          <w:rFonts w:ascii="Gill Sans MT" w:hAnsi="Gill Sans MT"/>
          <w:color w:val="000000"/>
        </w:rPr>
        <w:t>o ignore</w:t>
      </w:r>
      <w:bookmarkEnd w:id="4"/>
      <w:r w:rsidR="001900CA">
        <w:rPr>
          <w:rFonts w:ascii="Gill Sans MT" w:hAnsi="Gill Sans MT"/>
          <w:color w:val="000000"/>
        </w:rPr>
        <w:t>’.</w:t>
      </w:r>
      <w:r w:rsidR="001900CA">
        <w:rPr>
          <w:rStyle w:val="FootnoteReference"/>
          <w:rFonts w:ascii="Gill Sans MT" w:hAnsi="Gill Sans MT"/>
          <w:color w:val="000000"/>
        </w:rPr>
        <w:footnoteReference w:id="94"/>
      </w:r>
      <w:r w:rsidR="00081F02">
        <w:rPr>
          <w:rFonts w:ascii="Gill Sans MT" w:hAnsi="Gill Sans MT"/>
        </w:rPr>
        <w:t xml:space="preserve">  </w:t>
      </w:r>
    </w:p>
    <w:p w14:paraId="5F6D33D8" w14:textId="47C4FBDE" w:rsidR="00397E89" w:rsidRDefault="0097035B" w:rsidP="001137EA">
      <w:pPr>
        <w:spacing w:after="0" w:line="360" w:lineRule="auto"/>
        <w:ind w:firstLine="720"/>
        <w:jc w:val="both"/>
        <w:rPr>
          <w:rFonts w:ascii="Gill Sans MT" w:hAnsi="Gill Sans MT"/>
        </w:rPr>
      </w:pPr>
      <w:r>
        <w:rPr>
          <w:rFonts w:ascii="Gill Sans MT" w:hAnsi="Gill Sans MT"/>
        </w:rPr>
        <w:t>The long process of the democratisation of the Commons has led to its primacy within the legislature being recognised in constitutional convention and constitutional law.</w:t>
      </w:r>
      <w:r w:rsidR="008C6B25">
        <w:rPr>
          <w:rFonts w:ascii="Gill Sans MT" w:hAnsi="Gill Sans MT"/>
        </w:rPr>
        <w:t xml:space="preserve">  And the historical context in which the partial democratisation of the legislature occurred continues to shape the constitutional relationship between the Commons and the Lords today.</w:t>
      </w:r>
      <w:r w:rsidR="00081F02">
        <w:rPr>
          <w:rFonts w:ascii="Gill Sans MT" w:hAnsi="Gill Sans MT"/>
        </w:rPr>
        <w:t xml:space="preserve">  Yet while the democratic character of the UK Parliament changed considerably during the nineteenth and twentieth centuries, this change has occurred essentially </w:t>
      </w:r>
      <w:r w:rsidR="00081F02" w:rsidRPr="0002158C">
        <w:rPr>
          <w:rFonts w:ascii="Gill Sans MT" w:hAnsi="Gill Sans MT"/>
        </w:rPr>
        <w:t xml:space="preserve">within </w:t>
      </w:r>
      <w:r w:rsidR="00081F02">
        <w:rPr>
          <w:rFonts w:ascii="Gill Sans MT" w:hAnsi="Gill Sans MT"/>
        </w:rPr>
        <w:t>an enduring</w:t>
      </w:r>
      <w:r w:rsidR="00081F02" w:rsidRPr="0002158C">
        <w:rPr>
          <w:rFonts w:ascii="Gill Sans MT" w:hAnsi="Gill Sans MT"/>
        </w:rPr>
        <w:t xml:space="preserve"> institutional framework.  </w:t>
      </w:r>
      <w:r w:rsidR="007D07E8">
        <w:rPr>
          <w:rFonts w:ascii="Gill Sans MT" w:hAnsi="Gill Sans MT"/>
        </w:rPr>
        <w:t>W</w:t>
      </w:r>
      <w:r w:rsidR="000938CE">
        <w:rPr>
          <w:rFonts w:ascii="Gill Sans MT" w:hAnsi="Gill Sans MT"/>
        </w:rPr>
        <w:t xml:space="preserve">e can see the UK Parliament as </w:t>
      </w:r>
      <w:r w:rsidR="00081F02" w:rsidRPr="00081F02">
        <w:rPr>
          <w:rFonts w:ascii="Gill Sans MT" w:hAnsi="Gill Sans MT"/>
        </w:rPr>
        <w:t xml:space="preserve">a source of relative </w:t>
      </w:r>
      <w:r w:rsidR="00081F02">
        <w:rPr>
          <w:rFonts w:ascii="Gill Sans MT" w:hAnsi="Gill Sans MT"/>
        </w:rPr>
        <w:t xml:space="preserve">institutional </w:t>
      </w:r>
      <w:r w:rsidR="00081F02" w:rsidRPr="00081F02">
        <w:rPr>
          <w:rFonts w:ascii="Gill Sans MT" w:hAnsi="Gill Sans MT"/>
        </w:rPr>
        <w:t>continuity</w:t>
      </w:r>
      <w:r w:rsidR="00BD65A5">
        <w:rPr>
          <w:rFonts w:ascii="Gill Sans MT" w:hAnsi="Gill Sans MT"/>
        </w:rPr>
        <w:t>, especially when</w:t>
      </w:r>
      <w:r w:rsidR="00081F02" w:rsidRPr="00081F02">
        <w:rPr>
          <w:rFonts w:ascii="Gill Sans MT" w:hAnsi="Gill Sans MT"/>
        </w:rPr>
        <w:t xml:space="preserve"> compared to</w:t>
      </w:r>
      <w:r w:rsidR="00BD65A5">
        <w:rPr>
          <w:rFonts w:ascii="Gill Sans MT" w:hAnsi="Gill Sans MT"/>
        </w:rPr>
        <w:t xml:space="preserve"> the other branches of the state: a</w:t>
      </w:r>
      <w:r w:rsidR="00081F02" w:rsidRPr="00081F02">
        <w:rPr>
          <w:rFonts w:ascii="Gill Sans MT" w:hAnsi="Gill Sans MT"/>
        </w:rPr>
        <w:t xml:space="preserve"> government </w:t>
      </w:r>
      <w:r w:rsidR="00BD65A5">
        <w:rPr>
          <w:rFonts w:ascii="Gill Sans MT" w:hAnsi="Gill Sans MT"/>
        </w:rPr>
        <w:t xml:space="preserve">which has </w:t>
      </w:r>
      <w:r w:rsidR="00C53CD2">
        <w:rPr>
          <w:rFonts w:ascii="Gill Sans MT" w:hAnsi="Gill Sans MT"/>
        </w:rPr>
        <w:t>seen</w:t>
      </w:r>
      <w:r w:rsidR="00BD65A5">
        <w:rPr>
          <w:rFonts w:ascii="Gill Sans MT" w:hAnsi="Gill Sans MT"/>
        </w:rPr>
        <w:t xml:space="preserve"> the dramatic </w:t>
      </w:r>
      <w:r w:rsidR="00081F02" w:rsidRPr="00081F02">
        <w:rPr>
          <w:rFonts w:ascii="Gill Sans MT" w:hAnsi="Gill Sans MT"/>
        </w:rPr>
        <w:t>expansion of welfare state</w:t>
      </w:r>
      <w:r w:rsidR="00BD65A5">
        <w:rPr>
          <w:rFonts w:ascii="Gill Sans MT" w:hAnsi="Gill Sans MT"/>
        </w:rPr>
        <w:t xml:space="preserve"> </w:t>
      </w:r>
      <w:r w:rsidR="00BE2A5F">
        <w:rPr>
          <w:rFonts w:ascii="Gill Sans MT" w:hAnsi="Gill Sans MT"/>
        </w:rPr>
        <w:t xml:space="preserve">and, more recently, extensive </w:t>
      </w:r>
      <w:r w:rsidR="00BD65A5">
        <w:rPr>
          <w:rFonts w:ascii="Gill Sans MT" w:hAnsi="Gill Sans MT"/>
        </w:rPr>
        <w:t xml:space="preserve">contracting out of </w:t>
      </w:r>
      <w:r w:rsidR="00BE2A5F">
        <w:rPr>
          <w:rFonts w:ascii="Gill Sans MT" w:hAnsi="Gill Sans MT"/>
        </w:rPr>
        <w:t xml:space="preserve">the provision of public </w:t>
      </w:r>
      <w:r w:rsidR="00BD65A5">
        <w:rPr>
          <w:rFonts w:ascii="Gill Sans MT" w:hAnsi="Gill Sans MT"/>
        </w:rPr>
        <w:t>services to the private sector</w:t>
      </w:r>
      <w:r w:rsidR="00BE2A5F">
        <w:rPr>
          <w:rFonts w:ascii="Gill Sans MT" w:hAnsi="Gill Sans MT"/>
        </w:rPr>
        <w:t>;</w:t>
      </w:r>
      <w:r w:rsidR="00081F02" w:rsidRPr="00081F02">
        <w:rPr>
          <w:rFonts w:ascii="Gill Sans MT" w:hAnsi="Gill Sans MT"/>
        </w:rPr>
        <w:t xml:space="preserve"> </w:t>
      </w:r>
      <w:r w:rsidR="00BD65A5">
        <w:rPr>
          <w:rFonts w:ascii="Gill Sans MT" w:hAnsi="Gill Sans MT"/>
        </w:rPr>
        <w:t>the</w:t>
      </w:r>
      <w:r w:rsidR="00081F02" w:rsidRPr="00081F02">
        <w:rPr>
          <w:rFonts w:ascii="Gill Sans MT" w:hAnsi="Gill Sans MT"/>
        </w:rPr>
        <w:t xml:space="preserve"> courts</w:t>
      </w:r>
      <w:r w:rsidR="00BE2A5F">
        <w:rPr>
          <w:rFonts w:ascii="Gill Sans MT" w:hAnsi="Gill Sans MT"/>
        </w:rPr>
        <w:t>,</w:t>
      </w:r>
      <w:r w:rsidR="00081F02" w:rsidRPr="00081F02">
        <w:rPr>
          <w:rFonts w:ascii="Gill Sans MT" w:hAnsi="Gill Sans MT"/>
        </w:rPr>
        <w:t xml:space="preserve"> </w:t>
      </w:r>
      <w:r w:rsidR="00BD65A5">
        <w:rPr>
          <w:rFonts w:ascii="Gill Sans MT" w:hAnsi="Gill Sans MT"/>
        </w:rPr>
        <w:t xml:space="preserve">which have gone </w:t>
      </w:r>
      <w:r w:rsidR="00081F02" w:rsidRPr="00081F02">
        <w:rPr>
          <w:rFonts w:ascii="Gill Sans MT" w:hAnsi="Gill Sans MT"/>
        </w:rPr>
        <w:t xml:space="preserve">from </w:t>
      </w:r>
      <w:r w:rsidR="005C0ED1">
        <w:rPr>
          <w:rFonts w:ascii="Gill Sans MT" w:hAnsi="Gill Sans MT"/>
        </w:rPr>
        <w:t xml:space="preserve">the </w:t>
      </w:r>
      <w:r w:rsidR="00081F02" w:rsidRPr="00081F02">
        <w:rPr>
          <w:rFonts w:ascii="Gill Sans MT" w:hAnsi="Gill Sans MT"/>
        </w:rPr>
        <w:t xml:space="preserve">fragmentation </w:t>
      </w:r>
      <w:r w:rsidR="005C0ED1">
        <w:rPr>
          <w:rFonts w:ascii="Gill Sans MT" w:hAnsi="Gill Sans MT"/>
        </w:rPr>
        <w:t xml:space="preserve">prior to the Judicature Act 1873 </w:t>
      </w:r>
      <w:r w:rsidR="00081F02" w:rsidRPr="00081F02">
        <w:rPr>
          <w:rFonts w:ascii="Gill Sans MT" w:hAnsi="Gill Sans MT"/>
        </w:rPr>
        <w:t xml:space="preserve"> to </w:t>
      </w:r>
      <w:r w:rsidR="005C0ED1">
        <w:rPr>
          <w:rFonts w:ascii="Gill Sans MT" w:hAnsi="Gill Sans MT"/>
        </w:rPr>
        <w:t xml:space="preserve">a </w:t>
      </w:r>
      <w:r w:rsidR="00081F02" w:rsidRPr="00081F02">
        <w:rPr>
          <w:rFonts w:ascii="Gill Sans MT" w:hAnsi="Gill Sans MT"/>
        </w:rPr>
        <w:t>uniform system</w:t>
      </w:r>
      <w:r w:rsidR="00BD65A5">
        <w:rPr>
          <w:rFonts w:ascii="Gill Sans MT" w:hAnsi="Gill Sans MT"/>
        </w:rPr>
        <w:t xml:space="preserve"> headed by an institutionally independent Supreme Court</w:t>
      </w:r>
      <w:r w:rsidR="00BE2A5F">
        <w:rPr>
          <w:rFonts w:ascii="Gill Sans MT" w:hAnsi="Gill Sans MT"/>
        </w:rPr>
        <w:t>;</w:t>
      </w:r>
      <w:r w:rsidR="00081F02" w:rsidRPr="00081F02">
        <w:rPr>
          <w:rFonts w:ascii="Gill Sans MT" w:hAnsi="Gill Sans MT"/>
        </w:rPr>
        <w:t xml:space="preserve"> </w:t>
      </w:r>
      <w:r w:rsidR="00BD65A5">
        <w:rPr>
          <w:rFonts w:ascii="Gill Sans MT" w:hAnsi="Gill Sans MT"/>
        </w:rPr>
        <w:t>and the</w:t>
      </w:r>
      <w:r w:rsidR="00081F02" w:rsidRPr="00081F02">
        <w:rPr>
          <w:rFonts w:ascii="Gill Sans MT" w:hAnsi="Gill Sans MT"/>
        </w:rPr>
        <w:t xml:space="preserve"> Crown </w:t>
      </w:r>
      <w:r w:rsidR="00BD65A5">
        <w:rPr>
          <w:rFonts w:ascii="Gill Sans MT" w:hAnsi="Gill Sans MT"/>
        </w:rPr>
        <w:t xml:space="preserve">which has experienced the </w:t>
      </w:r>
      <w:r w:rsidR="00081F02" w:rsidRPr="00081F02">
        <w:rPr>
          <w:rFonts w:ascii="Gill Sans MT" w:hAnsi="Gill Sans MT"/>
        </w:rPr>
        <w:t xml:space="preserve">radical change from </w:t>
      </w:r>
      <w:r w:rsidR="00BD65A5">
        <w:rPr>
          <w:rFonts w:ascii="Gill Sans MT" w:hAnsi="Gill Sans MT"/>
        </w:rPr>
        <w:t xml:space="preserve">an </w:t>
      </w:r>
      <w:r w:rsidR="00081F02" w:rsidRPr="00081F02">
        <w:rPr>
          <w:rFonts w:ascii="Gill Sans MT" w:hAnsi="Gill Sans MT"/>
        </w:rPr>
        <w:t xml:space="preserve">active Head of State to </w:t>
      </w:r>
      <w:r w:rsidR="00BD65A5">
        <w:rPr>
          <w:rFonts w:ascii="Gill Sans MT" w:hAnsi="Gill Sans MT"/>
        </w:rPr>
        <w:t xml:space="preserve">a </w:t>
      </w:r>
      <w:r w:rsidR="00081F02" w:rsidRPr="00081F02">
        <w:rPr>
          <w:rFonts w:ascii="Gill Sans MT" w:hAnsi="Gill Sans MT"/>
        </w:rPr>
        <w:t xml:space="preserve">ceremonial figurehead with few remaining powers. </w:t>
      </w:r>
      <w:r w:rsidR="00081F02">
        <w:rPr>
          <w:rFonts w:ascii="Gill Sans MT" w:hAnsi="Gill Sans MT"/>
        </w:rPr>
        <w:t xml:space="preserve"> </w:t>
      </w:r>
    </w:p>
    <w:p w14:paraId="7605D831" w14:textId="77777777" w:rsidR="00E150D0" w:rsidRPr="00E150D0" w:rsidRDefault="00E150D0" w:rsidP="001137EA">
      <w:pPr>
        <w:spacing w:after="0" w:line="360" w:lineRule="auto"/>
        <w:rPr>
          <w:rFonts w:ascii="Gill Sans MT" w:hAnsi="Gill Sans MT"/>
        </w:rPr>
      </w:pPr>
    </w:p>
    <w:p w14:paraId="36E37904" w14:textId="7EC8B2BC" w:rsidR="00E150D0" w:rsidRDefault="00E150D0" w:rsidP="001137EA">
      <w:pPr>
        <w:pStyle w:val="ListParagraph"/>
        <w:numPr>
          <w:ilvl w:val="0"/>
          <w:numId w:val="1"/>
        </w:numPr>
        <w:spacing w:after="0" w:line="360" w:lineRule="auto"/>
        <w:rPr>
          <w:rFonts w:ascii="Gill Sans MT" w:hAnsi="Gill Sans MT"/>
          <w:i/>
          <w:iCs/>
          <w:u w:val="single"/>
        </w:rPr>
      </w:pPr>
      <w:r>
        <w:rPr>
          <w:rFonts w:ascii="Gill Sans MT" w:hAnsi="Gill Sans MT"/>
          <w:i/>
          <w:iCs/>
          <w:u w:val="single"/>
        </w:rPr>
        <w:t xml:space="preserve">Dispersal of </w:t>
      </w:r>
      <w:r w:rsidR="00A47A03">
        <w:rPr>
          <w:rFonts w:ascii="Gill Sans MT" w:hAnsi="Gill Sans MT"/>
          <w:i/>
          <w:iCs/>
          <w:u w:val="single"/>
        </w:rPr>
        <w:t xml:space="preserve">Legislative </w:t>
      </w:r>
      <w:r>
        <w:rPr>
          <w:rFonts w:ascii="Gill Sans MT" w:hAnsi="Gill Sans MT"/>
          <w:i/>
          <w:iCs/>
          <w:u w:val="single"/>
        </w:rPr>
        <w:t>Power</w:t>
      </w:r>
    </w:p>
    <w:p w14:paraId="41753816" w14:textId="2416C28F" w:rsidR="00E150D0" w:rsidRDefault="00E150D0" w:rsidP="001137EA">
      <w:pPr>
        <w:spacing w:after="0" w:line="360" w:lineRule="auto"/>
        <w:rPr>
          <w:rFonts w:ascii="Gill Sans MT" w:hAnsi="Gill Sans MT"/>
          <w:i/>
          <w:iCs/>
          <w:u w:val="single"/>
        </w:rPr>
      </w:pPr>
    </w:p>
    <w:p w14:paraId="4E988112" w14:textId="156FB703" w:rsidR="00DB6724" w:rsidRDefault="00E0495E" w:rsidP="001137EA">
      <w:pPr>
        <w:spacing w:after="0" w:line="360" w:lineRule="auto"/>
        <w:jc w:val="both"/>
        <w:rPr>
          <w:rFonts w:ascii="Gill Sans MT" w:hAnsi="Gill Sans MT"/>
        </w:rPr>
      </w:pPr>
      <w:r w:rsidRPr="00E0495E">
        <w:rPr>
          <w:rFonts w:ascii="Gill Sans MT" w:hAnsi="Gill Sans MT"/>
        </w:rPr>
        <w:t xml:space="preserve">The </w:t>
      </w:r>
      <w:r w:rsidR="00437A5D">
        <w:rPr>
          <w:rFonts w:ascii="Gill Sans MT" w:hAnsi="Gill Sans MT"/>
        </w:rPr>
        <w:t>third theme</w:t>
      </w:r>
      <w:r w:rsidRPr="00E0495E">
        <w:rPr>
          <w:rFonts w:ascii="Gill Sans MT" w:hAnsi="Gill Sans MT"/>
        </w:rPr>
        <w:t xml:space="preserve"> </w:t>
      </w:r>
      <w:r w:rsidR="00437A5D">
        <w:rPr>
          <w:rFonts w:ascii="Gill Sans MT" w:hAnsi="Gill Sans MT"/>
        </w:rPr>
        <w:t>illustrating the changing role of the legislature in the UK’s constitutional history</w:t>
      </w:r>
      <w:r w:rsidR="00437A5D" w:rsidRPr="00E0495E" w:rsidDel="00437A5D">
        <w:rPr>
          <w:rFonts w:ascii="Gill Sans MT" w:hAnsi="Gill Sans MT"/>
        </w:rPr>
        <w:t xml:space="preserve"> </w:t>
      </w:r>
      <w:r w:rsidR="00437A5D">
        <w:rPr>
          <w:rFonts w:ascii="Gill Sans MT" w:hAnsi="Gill Sans MT"/>
        </w:rPr>
        <w:t>is</w:t>
      </w:r>
      <w:r w:rsidR="00E06E35" w:rsidRPr="00E0495E">
        <w:rPr>
          <w:rFonts w:ascii="Gill Sans MT" w:hAnsi="Gill Sans MT"/>
        </w:rPr>
        <w:t xml:space="preserve"> </w:t>
      </w:r>
      <w:r w:rsidRPr="00E0495E">
        <w:rPr>
          <w:rFonts w:ascii="Gill Sans MT" w:hAnsi="Gill Sans MT"/>
        </w:rPr>
        <w:t>the distribution and dispersal of</w:t>
      </w:r>
      <w:r w:rsidR="00437A5D">
        <w:rPr>
          <w:rFonts w:ascii="Gill Sans MT" w:hAnsi="Gill Sans MT"/>
        </w:rPr>
        <w:t xml:space="preserve"> legislative</w:t>
      </w:r>
      <w:r w:rsidRPr="00E0495E">
        <w:rPr>
          <w:rFonts w:ascii="Gill Sans MT" w:hAnsi="Gill Sans MT"/>
        </w:rPr>
        <w:t xml:space="preserve"> power with</w:t>
      </w:r>
      <w:r w:rsidR="00E06E35" w:rsidRPr="00E0495E">
        <w:rPr>
          <w:rFonts w:ascii="Gill Sans MT" w:hAnsi="Gill Sans MT"/>
        </w:rPr>
        <w:t>in the UK</w:t>
      </w:r>
      <w:r w:rsidR="00437A5D">
        <w:rPr>
          <w:rFonts w:ascii="Gill Sans MT" w:hAnsi="Gill Sans MT"/>
        </w:rPr>
        <w:t xml:space="preserve">.  </w:t>
      </w:r>
      <w:r w:rsidRPr="00E0495E">
        <w:rPr>
          <w:rFonts w:ascii="Gill Sans MT" w:hAnsi="Gill Sans MT"/>
        </w:rPr>
        <w:t>B</w:t>
      </w:r>
      <w:r w:rsidR="00E06E35" w:rsidRPr="00E0495E">
        <w:rPr>
          <w:rFonts w:ascii="Gill Sans MT" w:hAnsi="Gill Sans MT"/>
        </w:rPr>
        <w:t xml:space="preserve">ut </w:t>
      </w:r>
      <w:r w:rsidR="00405955">
        <w:rPr>
          <w:rFonts w:ascii="Gill Sans MT" w:hAnsi="Gill Sans MT"/>
        </w:rPr>
        <w:t>first, i</w:t>
      </w:r>
      <w:r w:rsidR="00405955" w:rsidRPr="00E0495E">
        <w:rPr>
          <w:rFonts w:ascii="Gill Sans MT" w:hAnsi="Gill Sans MT"/>
        </w:rPr>
        <w:t xml:space="preserve">t </w:t>
      </w:r>
      <w:r w:rsidRPr="00E0495E">
        <w:rPr>
          <w:rFonts w:ascii="Gill Sans MT" w:hAnsi="Gill Sans MT"/>
        </w:rPr>
        <w:t xml:space="preserve">is also important to </w:t>
      </w:r>
      <w:r w:rsidR="00E06E35" w:rsidRPr="00E0495E">
        <w:rPr>
          <w:rFonts w:ascii="Gill Sans MT" w:hAnsi="Gill Sans MT"/>
        </w:rPr>
        <w:t xml:space="preserve">note that </w:t>
      </w:r>
      <w:r w:rsidRPr="00E0495E">
        <w:rPr>
          <w:rFonts w:ascii="Gill Sans MT" w:hAnsi="Gill Sans MT"/>
        </w:rPr>
        <w:t xml:space="preserve">a key strand of British constitutional history saw </w:t>
      </w:r>
      <w:r w:rsidR="00E033C4" w:rsidRPr="00E0495E">
        <w:rPr>
          <w:rFonts w:ascii="Gill Sans MT" w:hAnsi="Gill Sans MT"/>
        </w:rPr>
        <w:t xml:space="preserve">Parliament claim legislative power over territories beyond the UK, </w:t>
      </w:r>
      <w:r w:rsidR="00C84203">
        <w:rPr>
          <w:rFonts w:ascii="Gill Sans MT" w:hAnsi="Gill Sans MT"/>
        </w:rPr>
        <w:t xml:space="preserve">consolidating a colonising process driven by the Crown using the royal prerogative, and </w:t>
      </w:r>
      <w:r w:rsidR="00E033C4" w:rsidRPr="00E0495E">
        <w:rPr>
          <w:rFonts w:ascii="Gill Sans MT" w:hAnsi="Gill Sans MT"/>
        </w:rPr>
        <w:t xml:space="preserve">providing legal legitimation </w:t>
      </w:r>
      <w:r w:rsidR="00C84203">
        <w:rPr>
          <w:rFonts w:ascii="Gill Sans MT" w:hAnsi="Gill Sans MT"/>
        </w:rPr>
        <w:t>of the</w:t>
      </w:r>
      <w:r w:rsidR="00E033C4" w:rsidRPr="00E0495E">
        <w:rPr>
          <w:rFonts w:ascii="Gill Sans MT" w:hAnsi="Gill Sans MT"/>
        </w:rPr>
        <w:t xml:space="preserve"> creat</w:t>
      </w:r>
      <w:r w:rsidR="00C84203">
        <w:rPr>
          <w:rFonts w:ascii="Gill Sans MT" w:hAnsi="Gill Sans MT"/>
        </w:rPr>
        <w:t>ion of</w:t>
      </w:r>
      <w:r w:rsidR="00E033C4" w:rsidRPr="00E0495E">
        <w:rPr>
          <w:rFonts w:ascii="Gill Sans MT" w:hAnsi="Gill Sans MT"/>
        </w:rPr>
        <w:t xml:space="preserve"> the British Empire.  </w:t>
      </w:r>
      <w:r w:rsidR="00405955">
        <w:rPr>
          <w:rFonts w:ascii="Gill Sans MT" w:hAnsi="Gill Sans MT"/>
        </w:rPr>
        <w:t xml:space="preserve">An important aspect of decolonisation has been the dispersal of Parliament’s legislative power </w:t>
      </w:r>
      <w:r w:rsidR="00E033C4" w:rsidRPr="00E0495E">
        <w:rPr>
          <w:rFonts w:ascii="Gill Sans MT" w:hAnsi="Gill Sans MT"/>
        </w:rPr>
        <w:t xml:space="preserve">to legislative institutions in </w:t>
      </w:r>
      <w:r w:rsidR="00405955">
        <w:rPr>
          <w:rFonts w:ascii="Gill Sans MT" w:hAnsi="Gill Sans MT"/>
        </w:rPr>
        <w:t>former colonies</w:t>
      </w:r>
      <w:proofErr w:type="gramStart"/>
      <w:r w:rsidR="00405955">
        <w:rPr>
          <w:rFonts w:ascii="Gill Sans MT" w:hAnsi="Gill Sans MT"/>
        </w:rPr>
        <w:t xml:space="preserve">. </w:t>
      </w:r>
      <w:proofErr w:type="gramEnd"/>
      <w:r w:rsidR="00E033C4" w:rsidRPr="00E0495E">
        <w:rPr>
          <w:rFonts w:ascii="Gill Sans MT" w:hAnsi="Gill Sans MT"/>
        </w:rPr>
        <w:t>Th</w:t>
      </w:r>
      <w:r w:rsidR="00405955">
        <w:rPr>
          <w:rFonts w:ascii="Gill Sans MT" w:hAnsi="Gill Sans MT"/>
        </w:rPr>
        <w:t>is</w:t>
      </w:r>
      <w:r w:rsidR="00E033C4" w:rsidRPr="00E0495E">
        <w:rPr>
          <w:rFonts w:ascii="Gill Sans MT" w:hAnsi="Gill Sans MT"/>
        </w:rPr>
        <w:t xml:space="preserve"> process </w:t>
      </w:r>
      <w:r w:rsidRPr="00E0495E">
        <w:rPr>
          <w:rFonts w:ascii="Gill Sans MT" w:hAnsi="Gill Sans MT"/>
        </w:rPr>
        <w:t xml:space="preserve">of unravelling the Empire </w:t>
      </w:r>
      <w:r w:rsidR="00E033C4" w:rsidRPr="00E0495E">
        <w:rPr>
          <w:rFonts w:ascii="Gill Sans MT" w:hAnsi="Gill Sans MT"/>
        </w:rPr>
        <w:t xml:space="preserve">has been </w:t>
      </w:r>
      <w:proofErr w:type="gramStart"/>
      <w:r w:rsidR="00E033C4" w:rsidRPr="00E0495E">
        <w:rPr>
          <w:rFonts w:ascii="Gill Sans MT" w:hAnsi="Gill Sans MT"/>
        </w:rPr>
        <w:t>complex, and</w:t>
      </w:r>
      <w:proofErr w:type="gramEnd"/>
      <w:r w:rsidR="00E033C4" w:rsidRPr="00E0495E">
        <w:rPr>
          <w:rFonts w:ascii="Gill Sans MT" w:hAnsi="Gill Sans MT"/>
        </w:rPr>
        <w:t xml:space="preserve"> </w:t>
      </w:r>
      <w:r w:rsidR="00B435FF">
        <w:rPr>
          <w:rFonts w:ascii="Gill Sans MT" w:hAnsi="Gill Sans MT"/>
        </w:rPr>
        <w:t xml:space="preserve">has </w:t>
      </w:r>
      <w:r w:rsidR="00405955">
        <w:rPr>
          <w:rFonts w:ascii="Gill Sans MT" w:hAnsi="Gill Sans MT"/>
        </w:rPr>
        <w:t>taken various paths</w:t>
      </w:r>
      <w:r w:rsidR="00E033C4" w:rsidRPr="00E0495E">
        <w:rPr>
          <w:rFonts w:ascii="Gill Sans MT" w:hAnsi="Gill Sans MT"/>
        </w:rPr>
        <w:t xml:space="preserve">.  Some </w:t>
      </w:r>
      <w:r w:rsidR="00405955">
        <w:rPr>
          <w:rFonts w:ascii="Gill Sans MT" w:hAnsi="Gill Sans MT"/>
        </w:rPr>
        <w:t xml:space="preserve">colonies </w:t>
      </w:r>
      <w:r w:rsidR="00E033C4" w:rsidRPr="00E0495E">
        <w:rPr>
          <w:rFonts w:ascii="Gill Sans MT" w:hAnsi="Gill Sans MT"/>
        </w:rPr>
        <w:t xml:space="preserve">simply declared </w:t>
      </w:r>
      <w:r w:rsidR="00901CAE" w:rsidRPr="00E0495E">
        <w:rPr>
          <w:rFonts w:ascii="Gill Sans MT" w:hAnsi="Gill Sans MT"/>
        </w:rPr>
        <w:t xml:space="preserve">their </w:t>
      </w:r>
      <w:r w:rsidR="00E033C4" w:rsidRPr="00E0495E">
        <w:rPr>
          <w:rFonts w:ascii="Gill Sans MT" w:hAnsi="Gill Sans MT"/>
        </w:rPr>
        <w:t xml:space="preserve">independence from Britain </w:t>
      </w:r>
      <w:r w:rsidR="00DA0D94">
        <w:rPr>
          <w:rFonts w:ascii="Gill Sans MT" w:hAnsi="Gill Sans MT"/>
        </w:rPr>
        <w:t>during</w:t>
      </w:r>
      <w:r w:rsidR="00E033C4" w:rsidRPr="00E0495E">
        <w:rPr>
          <w:rFonts w:ascii="Gill Sans MT" w:hAnsi="Gill Sans MT"/>
        </w:rPr>
        <w:t xml:space="preserve"> revolution</w:t>
      </w:r>
      <w:r w:rsidR="0046007D">
        <w:rPr>
          <w:rFonts w:ascii="Gill Sans MT" w:hAnsi="Gill Sans MT"/>
        </w:rPr>
        <w:t xml:space="preserve">, </w:t>
      </w:r>
      <w:r w:rsidR="00901CAE" w:rsidRPr="00E0495E">
        <w:rPr>
          <w:rFonts w:ascii="Gill Sans MT" w:hAnsi="Gill Sans MT"/>
        </w:rPr>
        <w:t>such as t</w:t>
      </w:r>
      <w:r w:rsidR="00E033C4" w:rsidRPr="00E0495E">
        <w:rPr>
          <w:rFonts w:ascii="Gill Sans MT" w:hAnsi="Gill Sans MT"/>
        </w:rPr>
        <w:t xml:space="preserve">he United States of America in </w:t>
      </w:r>
      <w:r w:rsidR="00DA0D94">
        <w:rPr>
          <w:rFonts w:ascii="Gill Sans MT" w:hAnsi="Gill Sans MT"/>
        </w:rPr>
        <w:t>1776</w:t>
      </w:r>
      <w:r w:rsidR="0046007D">
        <w:rPr>
          <w:rFonts w:ascii="Gill Sans MT" w:hAnsi="Gill Sans MT"/>
        </w:rPr>
        <w:t>.</w:t>
      </w:r>
      <w:r w:rsidR="00E033C4" w:rsidRPr="00E0495E">
        <w:rPr>
          <w:rFonts w:ascii="Gill Sans MT" w:hAnsi="Gill Sans MT"/>
        </w:rPr>
        <w:t xml:space="preserve"> </w:t>
      </w:r>
      <w:r w:rsidR="0046007D">
        <w:rPr>
          <w:rFonts w:ascii="Gill Sans MT" w:hAnsi="Gill Sans MT"/>
        </w:rPr>
        <w:t xml:space="preserve"> S</w:t>
      </w:r>
      <w:r w:rsidR="00E033C4" w:rsidRPr="00E0495E">
        <w:rPr>
          <w:rFonts w:ascii="Gill Sans MT" w:hAnsi="Gill Sans MT"/>
        </w:rPr>
        <w:t xml:space="preserve">ome </w:t>
      </w:r>
      <w:r w:rsidR="00901CAE" w:rsidRPr="00E0495E">
        <w:rPr>
          <w:rFonts w:ascii="Gill Sans MT" w:hAnsi="Gill Sans MT"/>
        </w:rPr>
        <w:t xml:space="preserve">obtained </w:t>
      </w:r>
      <w:r w:rsidR="00E033C4" w:rsidRPr="00E0495E">
        <w:rPr>
          <w:rFonts w:ascii="Gill Sans MT" w:hAnsi="Gill Sans MT"/>
        </w:rPr>
        <w:t>independence aft</w:t>
      </w:r>
      <w:r w:rsidR="00901CAE" w:rsidRPr="00E0495E">
        <w:rPr>
          <w:rFonts w:ascii="Gill Sans MT" w:hAnsi="Gill Sans MT"/>
        </w:rPr>
        <w:t xml:space="preserve">er protests and </w:t>
      </w:r>
      <w:r w:rsidR="00DA0D94">
        <w:rPr>
          <w:rFonts w:ascii="Gill Sans MT" w:hAnsi="Gill Sans MT"/>
        </w:rPr>
        <w:t>resistance to</w:t>
      </w:r>
      <w:r w:rsidR="00901CAE" w:rsidRPr="00E0495E">
        <w:rPr>
          <w:rFonts w:ascii="Gill Sans MT" w:hAnsi="Gill Sans MT"/>
        </w:rPr>
        <w:t xml:space="preserve"> British rule</w:t>
      </w:r>
      <w:r w:rsidR="0046007D">
        <w:rPr>
          <w:rFonts w:ascii="Gill Sans MT" w:hAnsi="Gill Sans MT"/>
        </w:rPr>
        <w:t xml:space="preserve">, </w:t>
      </w:r>
      <w:r w:rsidR="00901CAE" w:rsidRPr="00E0495E">
        <w:rPr>
          <w:rFonts w:ascii="Gill Sans MT" w:hAnsi="Gill Sans MT"/>
        </w:rPr>
        <w:t xml:space="preserve">such as India in </w:t>
      </w:r>
      <w:r w:rsidR="00901CAE" w:rsidRPr="00B435FF">
        <w:rPr>
          <w:rFonts w:ascii="Gill Sans MT" w:hAnsi="Gill Sans MT"/>
        </w:rPr>
        <w:t>19</w:t>
      </w:r>
      <w:r w:rsidR="00B435FF" w:rsidRPr="00B435FF">
        <w:rPr>
          <w:rFonts w:ascii="Gill Sans MT" w:hAnsi="Gill Sans MT"/>
        </w:rPr>
        <w:t>47</w:t>
      </w:r>
      <w:r w:rsidR="00901CAE" w:rsidRPr="00E0495E">
        <w:rPr>
          <w:rFonts w:ascii="Gill Sans MT" w:hAnsi="Gill Sans MT"/>
        </w:rPr>
        <w:t>.</w:t>
      </w:r>
      <w:r w:rsidR="00DA0D94">
        <w:rPr>
          <w:rStyle w:val="FootnoteReference"/>
          <w:rFonts w:ascii="Gill Sans MT" w:hAnsi="Gill Sans MT"/>
        </w:rPr>
        <w:footnoteReference w:id="95"/>
      </w:r>
      <w:r w:rsidR="00901CAE" w:rsidRPr="00E0495E">
        <w:rPr>
          <w:rFonts w:ascii="Gill Sans MT" w:hAnsi="Gill Sans MT"/>
        </w:rPr>
        <w:t xml:space="preserve">  Some became </w:t>
      </w:r>
      <w:r w:rsidR="00C730AF">
        <w:rPr>
          <w:rFonts w:ascii="Gill Sans MT" w:hAnsi="Gill Sans MT"/>
        </w:rPr>
        <w:t>largely self-governing</w:t>
      </w:r>
      <w:r w:rsidR="00901CAE" w:rsidRPr="00E0495E">
        <w:rPr>
          <w:rFonts w:ascii="Gill Sans MT" w:hAnsi="Gill Sans MT"/>
        </w:rPr>
        <w:t xml:space="preserve"> Dominions </w:t>
      </w:r>
      <w:r w:rsidR="00C730AF">
        <w:rPr>
          <w:rFonts w:ascii="Gill Sans MT" w:hAnsi="Gill Sans MT"/>
        </w:rPr>
        <w:t>under the Colonial Law</w:t>
      </w:r>
      <w:r w:rsidR="0046007D">
        <w:rPr>
          <w:rFonts w:ascii="Gill Sans MT" w:hAnsi="Gill Sans MT"/>
        </w:rPr>
        <w:t>s</w:t>
      </w:r>
      <w:r w:rsidR="00C730AF">
        <w:rPr>
          <w:rFonts w:ascii="Gill Sans MT" w:hAnsi="Gill Sans MT"/>
        </w:rPr>
        <w:t xml:space="preserve"> </w:t>
      </w:r>
      <w:r w:rsidR="00C730AF">
        <w:rPr>
          <w:rFonts w:ascii="Gill Sans MT" w:hAnsi="Gill Sans MT"/>
        </w:rPr>
        <w:lastRenderedPageBreak/>
        <w:t>Validity Act 1865,</w:t>
      </w:r>
      <w:r w:rsidR="00901CAE" w:rsidRPr="00E0495E">
        <w:rPr>
          <w:rFonts w:ascii="Gill Sans MT" w:hAnsi="Gill Sans MT"/>
        </w:rPr>
        <w:t xml:space="preserve"> gaining </w:t>
      </w:r>
      <w:r w:rsidR="00C730AF">
        <w:rPr>
          <w:rFonts w:ascii="Gill Sans MT" w:hAnsi="Gill Sans MT"/>
        </w:rPr>
        <w:t xml:space="preserve">effective </w:t>
      </w:r>
      <w:r w:rsidR="00901CAE" w:rsidRPr="00E0495E">
        <w:rPr>
          <w:rFonts w:ascii="Gill Sans MT" w:hAnsi="Gill Sans MT"/>
        </w:rPr>
        <w:t xml:space="preserve">independence while joining the Commonwealth </w:t>
      </w:r>
      <w:r w:rsidR="00C730AF">
        <w:rPr>
          <w:rFonts w:ascii="Gill Sans MT" w:hAnsi="Gill Sans MT"/>
        </w:rPr>
        <w:t>following the Statute of Westminster 1931 (initially</w:t>
      </w:r>
      <w:r w:rsidR="00C730AF" w:rsidRPr="00E0495E">
        <w:rPr>
          <w:rFonts w:ascii="Gill Sans MT" w:hAnsi="Gill Sans MT"/>
        </w:rPr>
        <w:t xml:space="preserve"> </w:t>
      </w:r>
      <w:r w:rsidR="00C730AF" w:rsidRPr="00C730AF">
        <w:rPr>
          <w:rFonts w:ascii="Gill Sans MT" w:hAnsi="Gill Sans MT"/>
        </w:rPr>
        <w:t>Canada, Australia, New Zealand, South Africa, Newfoundland and the Irish Free State</w:t>
      </w:r>
      <w:r w:rsidR="00901CAE" w:rsidRPr="00E0495E">
        <w:rPr>
          <w:rFonts w:ascii="Gill Sans MT" w:hAnsi="Gill Sans MT"/>
        </w:rPr>
        <w:t>).</w:t>
      </w:r>
      <w:r w:rsidR="00C730AF">
        <w:rPr>
          <w:rStyle w:val="FootnoteReference"/>
          <w:rFonts w:ascii="Gill Sans MT" w:hAnsi="Gill Sans MT"/>
        </w:rPr>
        <w:footnoteReference w:id="96"/>
      </w:r>
      <w:r w:rsidR="00C730AF" w:rsidRPr="00E0495E">
        <w:rPr>
          <w:rFonts w:ascii="Gill Sans MT" w:hAnsi="Gill Sans MT"/>
        </w:rPr>
        <w:t xml:space="preserve"> </w:t>
      </w:r>
      <w:r>
        <w:rPr>
          <w:rFonts w:ascii="Gill Sans MT" w:hAnsi="Gill Sans MT"/>
        </w:rPr>
        <w:t xml:space="preserve">  In a number of instances, the UK Parliament held a residual legislative responsibility in relation to the constitutions of former colonies which were long independent (such as Canada – a link only severed by the Canada Act 1982)</w:t>
      </w:r>
      <w:r w:rsidR="00AF3A2C">
        <w:rPr>
          <w:rFonts w:ascii="Gill Sans MT" w:hAnsi="Gill Sans MT"/>
        </w:rPr>
        <w:t xml:space="preserve">.  </w:t>
      </w:r>
      <w:r w:rsidR="00396537">
        <w:rPr>
          <w:rFonts w:ascii="Gill Sans MT" w:hAnsi="Gill Sans MT"/>
        </w:rPr>
        <w:t>There are continuing exceptions, in particular the UK’s fourteen Overseas Terr</w:t>
      </w:r>
      <w:r w:rsidR="00803639">
        <w:rPr>
          <w:rFonts w:ascii="Gill Sans MT" w:hAnsi="Gill Sans MT"/>
        </w:rPr>
        <w:t>itories, which have their own constitutions and systems of government, but in relation to which the UK Parliament retains its unlimited legislative authority in principle.</w:t>
      </w:r>
      <w:r w:rsidR="00803639">
        <w:rPr>
          <w:rStyle w:val="FootnoteReference"/>
          <w:rFonts w:ascii="Gill Sans MT" w:hAnsi="Gill Sans MT"/>
        </w:rPr>
        <w:footnoteReference w:id="97"/>
      </w:r>
      <w:r w:rsidR="00803639">
        <w:rPr>
          <w:rFonts w:ascii="Gill Sans MT" w:hAnsi="Gill Sans MT"/>
        </w:rPr>
        <w:t xml:space="preserve">  </w:t>
      </w:r>
      <w:r w:rsidR="00396537">
        <w:rPr>
          <w:rFonts w:ascii="Gill Sans MT" w:hAnsi="Gill Sans MT"/>
        </w:rPr>
        <w:t>T</w:t>
      </w:r>
      <w:r w:rsidR="00AF3A2C">
        <w:rPr>
          <w:rFonts w:ascii="Gill Sans MT" w:hAnsi="Gill Sans MT"/>
        </w:rPr>
        <w:t xml:space="preserve">hat such legislative power has now been largely dispersed does not in any way negate </w:t>
      </w:r>
      <w:r w:rsidR="002F5017">
        <w:rPr>
          <w:rFonts w:ascii="Gill Sans MT" w:hAnsi="Gill Sans MT"/>
        </w:rPr>
        <w:t>the initial illegitimate appropriations</w:t>
      </w:r>
      <w:r w:rsidR="00AF3A2C">
        <w:rPr>
          <w:rFonts w:ascii="Gill Sans MT" w:hAnsi="Gill Sans MT"/>
        </w:rPr>
        <w:t xml:space="preserve">, </w:t>
      </w:r>
      <w:r w:rsidR="002F5017">
        <w:rPr>
          <w:rFonts w:ascii="Gill Sans MT" w:hAnsi="Gill Sans MT"/>
        </w:rPr>
        <w:t xml:space="preserve">or </w:t>
      </w:r>
      <w:r w:rsidR="00AF3A2C">
        <w:rPr>
          <w:rFonts w:ascii="Gill Sans MT" w:hAnsi="Gill Sans MT"/>
        </w:rPr>
        <w:t>that the UK Parliament’s authority was a central instrument by which the legal architecture of Empire was constructed</w:t>
      </w:r>
      <w:r w:rsidR="0046007D">
        <w:rPr>
          <w:rFonts w:ascii="Gill Sans MT" w:hAnsi="Gill Sans MT"/>
        </w:rPr>
        <w:t>, as well as deconstructed</w:t>
      </w:r>
      <w:r w:rsidR="00AF3A2C">
        <w:rPr>
          <w:rFonts w:ascii="Gill Sans MT" w:hAnsi="Gill Sans MT"/>
        </w:rPr>
        <w:t>.</w:t>
      </w:r>
    </w:p>
    <w:p w14:paraId="059039E4" w14:textId="4FC27715" w:rsidR="0058751A" w:rsidRDefault="00A921B8" w:rsidP="001137EA">
      <w:pPr>
        <w:spacing w:after="0" w:line="360" w:lineRule="auto"/>
        <w:jc w:val="both"/>
        <w:rPr>
          <w:rFonts w:ascii="Gill Sans MT" w:hAnsi="Gill Sans MT"/>
        </w:rPr>
      </w:pPr>
      <w:r>
        <w:rPr>
          <w:rFonts w:ascii="Gill Sans MT" w:hAnsi="Gill Sans MT"/>
        </w:rPr>
        <w:tab/>
        <w:t xml:space="preserve">Within the UK, we have already seen that </w:t>
      </w:r>
      <w:proofErr w:type="gramStart"/>
      <w:r>
        <w:rPr>
          <w:rFonts w:ascii="Gill Sans MT" w:hAnsi="Gill Sans MT"/>
        </w:rPr>
        <w:t>a number of</w:t>
      </w:r>
      <w:proofErr w:type="gramEnd"/>
      <w:r>
        <w:rPr>
          <w:rFonts w:ascii="Gill Sans MT" w:hAnsi="Gill Sans MT"/>
        </w:rPr>
        <w:t xml:space="preserve"> different legislatures existed in the four constituent nations at various points in the constitutional history of the state.  In general, the development of the UK’s legislative institutions was based on the absorption of law-making powers and functions into the English, then British, and then UK Parliament following the Acts of Union with Scotland in 1707 and Ireland in 1800.  Inversely, as the Republic of Ireland became independent from the UK</w:t>
      </w:r>
      <w:r w:rsidR="00C00A64">
        <w:rPr>
          <w:rFonts w:ascii="Gill Sans MT" w:hAnsi="Gill Sans MT"/>
        </w:rPr>
        <w:t xml:space="preserve"> (initially, from 1922 to 1937</w:t>
      </w:r>
      <w:r w:rsidR="00B00A64">
        <w:rPr>
          <w:rFonts w:ascii="Gill Sans MT" w:hAnsi="Gill Sans MT"/>
        </w:rPr>
        <w:t>,</w:t>
      </w:r>
      <w:r w:rsidR="00C00A64">
        <w:rPr>
          <w:rFonts w:ascii="Gill Sans MT" w:hAnsi="Gill Sans MT"/>
        </w:rPr>
        <w:t xml:space="preserve"> as the Irish Free State)</w:t>
      </w:r>
      <w:r>
        <w:rPr>
          <w:rFonts w:ascii="Gill Sans MT" w:hAnsi="Gill Sans MT"/>
        </w:rPr>
        <w:t>, a new legislature</w:t>
      </w:r>
      <w:r w:rsidR="0081276D">
        <w:rPr>
          <w:rFonts w:ascii="Gill Sans MT" w:hAnsi="Gill Sans MT"/>
        </w:rPr>
        <w:t>, the Oireachtas,</w:t>
      </w:r>
      <w:r>
        <w:rPr>
          <w:rFonts w:ascii="Gill Sans MT" w:hAnsi="Gill Sans MT"/>
        </w:rPr>
        <w:t xml:space="preserve"> was established to reclaim powers and functions from the Westminster Parliament.</w:t>
      </w:r>
      <w:r w:rsidR="00681D0A">
        <w:rPr>
          <w:rFonts w:ascii="Gill Sans MT" w:hAnsi="Gill Sans MT"/>
        </w:rPr>
        <w:t xml:space="preserve">  This does not mean </w:t>
      </w:r>
      <w:r w:rsidR="00B267BC">
        <w:rPr>
          <w:rFonts w:ascii="Gill Sans MT" w:hAnsi="Gill Sans MT"/>
        </w:rPr>
        <w:t xml:space="preserve">all differences in constitutional ideas about legislative authority have been eliminated across the four nations.  The best example relates to conceptions of </w:t>
      </w:r>
      <w:r w:rsidR="00254B19" w:rsidRPr="00681D0A">
        <w:rPr>
          <w:rFonts w:ascii="Gill Sans MT" w:hAnsi="Gill Sans MT"/>
        </w:rPr>
        <w:t>sovereignty</w:t>
      </w:r>
      <w:r w:rsidR="00956076">
        <w:rPr>
          <w:rFonts w:ascii="Gill Sans MT" w:hAnsi="Gill Sans MT"/>
        </w:rPr>
        <w:t xml:space="preserve">, with a strong tradition of Scottish popular sovereignty which is presented as a distinct alternative to the ‘English’ doctrine of parliamentary sovereignty.  Whether the acceptance of Scottish popular sovereignty amounts to a rejection of the legislative sovereignty of the UK Parliament is open to debate.  According to Goldsworthy, those provisions </w:t>
      </w:r>
      <w:r w:rsidR="00405955">
        <w:rPr>
          <w:rFonts w:ascii="Gill Sans MT" w:hAnsi="Gill Sans MT"/>
        </w:rPr>
        <w:t xml:space="preserve">of the Acts of Union that </w:t>
      </w:r>
      <w:r w:rsidR="00956076">
        <w:rPr>
          <w:rFonts w:ascii="Gill Sans MT" w:hAnsi="Gill Sans MT"/>
        </w:rPr>
        <w:t xml:space="preserve">were </w:t>
      </w:r>
      <w:r w:rsidR="00405955">
        <w:rPr>
          <w:rFonts w:ascii="Gill Sans MT" w:hAnsi="Gill Sans MT"/>
        </w:rPr>
        <w:t xml:space="preserve">expressed </w:t>
      </w:r>
      <w:r w:rsidR="00956076">
        <w:rPr>
          <w:rFonts w:ascii="Gill Sans MT" w:hAnsi="Gill Sans MT"/>
        </w:rPr>
        <w:t xml:space="preserve">to be </w:t>
      </w:r>
      <w:r w:rsidR="00254B19" w:rsidRPr="00681D0A">
        <w:rPr>
          <w:rFonts w:ascii="Gill Sans MT" w:hAnsi="Gill Sans MT"/>
        </w:rPr>
        <w:t>unalterable ‘had little noticeable impact on the English doctrine of parliamentary sovereignty, which eventually came to be accepted by Scottish lawyers as well’</w:t>
      </w:r>
      <w:r w:rsidR="00956076">
        <w:rPr>
          <w:rFonts w:ascii="Gill Sans MT" w:hAnsi="Gill Sans MT"/>
        </w:rPr>
        <w:t>.</w:t>
      </w:r>
      <w:r w:rsidR="00254B19">
        <w:rPr>
          <w:rStyle w:val="FootnoteReference"/>
          <w:rFonts w:ascii="Gill Sans MT" w:hAnsi="Gill Sans MT"/>
        </w:rPr>
        <w:footnoteReference w:id="98"/>
      </w:r>
      <w:r w:rsidR="006F76B6" w:rsidRPr="00681D0A">
        <w:rPr>
          <w:rFonts w:ascii="Gill Sans MT" w:hAnsi="Gill Sans MT"/>
        </w:rPr>
        <w:t xml:space="preserve">  </w:t>
      </w:r>
      <w:r w:rsidR="00BB702F">
        <w:rPr>
          <w:rFonts w:ascii="Gill Sans MT" w:hAnsi="Gill Sans MT"/>
        </w:rPr>
        <w:t>Moreover</w:t>
      </w:r>
      <w:r w:rsidR="00F638EB">
        <w:rPr>
          <w:rFonts w:ascii="Gill Sans MT" w:hAnsi="Gill Sans MT"/>
        </w:rPr>
        <w:t>, there is</w:t>
      </w:r>
      <w:r w:rsidR="00BB702F">
        <w:rPr>
          <w:rFonts w:ascii="Gill Sans MT" w:hAnsi="Gill Sans MT"/>
        </w:rPr>
        <w:t xml:space="preserve"> arguably</w:t>
      </w:r>
      <w:r w:rsidR="00F638EB">
        <w:rPr>
          <w:rFonts w:ascii="Gill Sans MT" w:hAnsi="Gill Sans MT"/>
        </w:rPr>
        <w:t xml:space="preserve"> no conceptual incompatibility between popular and parliamentary sovereignty, with the former an extra-constitutional democratic ideal which can be institutionalised </w:t>
      </w:r>
      <w:r w:rsidR="005A72E5">
        <w:rPr>
          <w:rFonts w:ascii="Gill Sans MT" w:hAnsi="Gill Sans MT"/>
        </w:rPr>
        <w:t xml:space="preserve">in many ways, including </w:t>
      </w:r>
      <w:r w:rsidR="00BB702F">
        <w:rPr>
          <w:rFonts w:ascii="Gill Sans MT" w:hAnsi="Gill Sans MT"/>
        </w:rPr>
        <w:t xml:space="preserve">through </w:t>
      </w:r>
      <w:r w:rsidR="00F638EB">
        <w:rPr>
          <w:rFonts w:ascii="Gill Sans MT" w:hAnsi="Gill Sans MT"/>
        </w:rPr>
        <w:t>a doctrine of legislative sovereignty.</w:t>
      </w:r>
      <w:r w:rsidR="00F638EB">
        <w:rPr>
          <w:rStyle w:val="FootnoteReference"/>
          <w:rFonts w:ascii="Gill Sans MT" w:hAnsi="Gill Sans MT"/>
        </w:rPr>
        <w:footnoteReference w:id="99"/>
      </w:r>
      <w:r w:rsidR="00F638EB">
        <w:rPr>
          <w:rFonts w:ascii="Gill Sans MT" w:hAnsi="Gill Sans MT"/>
        </w:rPr>
        <w:t xml:space="preserve">  </w:t>
      </w:r>
      <w:r w:rsidR="005A72E5">
        <w:rPr>
          <w:rFonts w:ascii="Gill Sans MT" w:hAnsi="Gill Sans MT"/>
        </w:rPr>
        <w:t>And e</w:t>
      </w:r>
      <w:r w:rsidR="0081276D">
        <w:rPr>
          <w:rFonts w:ascii="Gill Sans MT" w:hAnsi="Gill Sans MT"/>
        </w:rPr>
        <w:t>ven if this conception of popular sovereignty were incompatible with parliamentary sovereignty</w:t>
      </w:r>
      <w:r w:rsidR="005A72E5">
        <w:rPr>
          <w:rFonts w:ascii="Gill Sans MT" w:hAnsi="Gill Sans MT"/>
        </w:rPr>
        <w:t>,</w:t>
      </w:r>
      <w:r w:rsidR="0081276D">
        <w:rPr>
          <w:rFonts w:ascii="Gill Sans MT" w:hAnsi="Gill Sans MT"/>
        </w:rPr>
        <w:t xml:space="preserve"> there are significant legal barriers to</w:t>
      </w:r>
      <w:r w:rsidR="005A72E5">
        <w:rPr>
          <w:rFonts w:ascii="Gill Sans MT" w:hAnsi="Gill Sans MT"/>
        </w:rPr>
        <w:t xml:space="preserve"> giving it tangible constitutional effect.</w:t>
      </w:r>
      <w:r w:rsidR="0081276D">
        <w:rPr>
          <w:rFonts w:ascii="Gill Sans MT" w:hAnsi="Gill Sans MT"/>
        </w:rPr>
        <w:t xml:space="preserve"> </w:t>
      </w:r>
      <w:r w:rsidR="005A72E5">
        <w:rPr>
          <w:rFonts w:ascii="Gill Sans MT" w:hAnsi="Gill Sans MT"/>
        </w:rPr>
        <w:t xml:space="preserve"> </w:t>
      </w:r>
      <w:r w:rsidR="0081276D">
        <w:rPr>
          <w:rFonts w:ascii="Gill Sans MT" w:hAnsi="Gill Sans MT"/>
        </w:rPr>
        <w:t xml:space="preserve">For example, in </w:t>
      </w:r>
      <w:proofErr w:type="spellStart"/>
      <w:r w:rsidR="006F76B6" w:rsidRPr="00C648CB">
        <w:rPr>
          <w:rFonts w:ascii="Gill Sans MT" w:hAnsi="Gill Sans MT"/>
          <w:i/>
          <w:iCs/>
        </w:rPr>
        <w:t>MacCormick</w:t>
      </w:r>
      <w:proofErr w:type="spellEnd"/>
      <w:r w:rsidR="006F76B6" w:rsidRPr="00C648CB">
        <w:rPr>
          <w:rFonts w:ascii="Gill Sans MT" w:hAnsi="Gill Sans MT"/>
          <w:i/>
          <w:iCs/>
        </w:rPr>
        <w:t xml:space="preserve"> v Lord Advocate</w:t>
      </w:r>
      <w:r w:rsidR="00C648CB">
        <w:rPr>
          <w:rFonts w:ascii="Gill Sans MT" w:hAnsi="Gill Sans MT"/>
        </w:rPr>
        <w:t xml:space="preserve"> the Scottish Court of Session</w:t>
      </w:r>
      <w:r w:rsidR="0081276D">
        <w:rPr>
          <w:rFonts w:ascii="Gill Sans MT" w:hAnsi="Gill Sans MT"/>
        </w:rPr>
        <w:t xml:space="preserve"> held </w:t>
      </w:r>
      <w:r w:rsidR="00C648CB">
        <w:rPr>
          <w:rFonts w:ascii="Gill Sans MT" w:hAnsi="Gill Sans MT"/>
        </w:rPr>
        <w:t xml:space="preserve">that </w:t>
      </w:r>
      <w:r w:rsidR="000D4794">
        <w:rPr>
          <w:rFonts w:ascii="Gill Sans MT" w:hAnsi="Gill Sans MT"/>
        </w:rPr>
        <w:t xml:space="preserve">even if </w:t>
      </w:r>
      <w:r w:rsidR="000D4794">
        <w:rPr>
          <w:rFonts w:ascii="Gill Sans MT" w:hAnsi="Gill Sans MT"/>
        </w:rPr>
        <w:lastRenderedPageBreak/>
        <w:t xml:space="preserve">parliamentary </w:t>
      </w:r>
      <w:r w:rsidR="000D4794" w:rsidRPr="000D4794">
        <w:rPr>
          <w:rFonts w:ascii="Gill Sans MT" w:hAnsi="Gill Sans MT"/>
        </w:rPr>
        <w:t xml:space="preserve">sovereignty was ‘a distinctively English principle which has no counterpart in Scottish constitutional law’, </w:t>
      </w:r>
      <w:r w:rsidR="00C648CB" w:rsidRPr="000D4794">
        <w:rPr>
          <w:rFonts w:ascii="Gill Sans MT" w:hAnsi="Gill Sans MT"/>
        </w:rPr>
        <w:t xml:space="preserve">there was </w:t>
      </w:r>
      <w:r w:rsidR="0081276D" w:rsidRPr="000D4794">
        <w:rPr>
          <w:rFonts w:ascii="Gill Sans MT" w:hAnsi="Gill Sans MT"/>
        </w:rPr>
        <w:t>no jurisdiction</w:t>
      </w:r>
      <w:r w:rsidR="0081276D">
        <w:rPr>
          <w:rFonts w:ascii="Gill Sans MT" w:hAnsi="Gill Sans MT"/>
        </w:rPr>
        <w:t xml:space="preserve"> for the courts to enforce any</w:t>
      </w:r>
      <w:r w:rsidR="000D4794">
        <w:rPr>
          <w:rFonts w:ascii="Gill Sans MT" w:hAnsi="Gill Sans MT"/>
        </w:rPr>
        <w:t xml:space="preserve"> </w:t>
      </w:r>
      <w:r w:rsidR="0081276D">
        <w:rPr>
          <w:rFonts w:ascii="Gill Sans MT" w:hAnsi="Gill Sans MT"/>
        </w:rPr>
        <w:t xml:space="preserve">constraints </w:t>
      </w:r>
      <w:r w:rsidR="004E5484">
        <w:rPr>
          <w:rFonts w:ascii="Gill Sans MT" w:hAnsi="Gill Sans MT"/>
        </w:rPr>
        <w:t xml:space="preserve">on the UK Parliament </w:t>
      </w:r>
      <w:r w:rsidR="0081276D">
        <w:rPr>
          <w:rFonts w:ascii="Gill Sans MT" w:hAnsi="Gill Sans MT"/>
        </w:rPr>
        <w:t>which might be identified in the Acts of Union.</w:t>
      </w:r>
      <w:r w:rsidR="0081276D">
        <w:rPr>
          <w:rStyle w:val="FootnoteReference"/>
          <w:rFonts w:ascii="Gill Sans MT" w:hAnsi="Gill Sans MT"/>
        </w:rPr>
        <w:footnoteReference w:id="100"/>
      </w:r>
    </w:p>
    <w:p w14:paraId="19938EE9" w14:textId="5911F597" w:rsidR="00FE2FA0" w:rsidRDefault="0081276D" w:rsidP="001137EA">
      <w:pPr>
        <w:spacing w:after="0" w:line="360" w:lineRule="auto"/>
        <w:jc w:val="both"/>
        <w:rPr>
          <w:rFonts w:ascii="Gill Sans MT" w:hAnsi="Gill Sans MT"/>
        </w:rPr>
      </w:pPr>
      <w:r>
        <w:rPr>
          <w:rFonts w:ascii="Gill Sans MT" w:hAnsi="Gill Sans MT"/>
        </w:rPr>
        <w:tab/>
      </w:r>
      <w:r w:rsidR="00F1796C">
        <w:rPr>
          <w:rFonts w:ascii="Gill Sans MT" w:hAnsi="Gill Sans MT"/>
        </w:rPr>
        <w:t xml:space="preserve">If much of the UK’s constitutional history has seen the central Westminster Parliament operate as the dominant legislature – </w:t>
      </w:r>
      <w:r w:rsidR="00E1596C">
        <w:rPr>
          <w:rFonts w:ascii="Gill Sans MT" w:hAnsi="Gill Sans MT"/>
        </w:rPr>
        <w:t>and</w:t>
      </w:r>
      <w:r w:rsidR="00F1796C">
        <w:rPr>
          <w:rFonts w:ascii="Gill Sans MT" w:hAnsi="Gill Sans MT"/>
        </w:rPr>
        <w:t xml:space="preserve"> the only legislature with primary law-making authority – this has changed in the twentieth century.  After </w:t>
      </w:r>
      <w:r w:rsidR="009046F1">
        <w:rPr>
          <w:rFonts w:ascii="Gill Sans MT" w:hAnsi="Gill Sans MT"/>
        </w:rPr>
        <w:t>the intermittent existence of a legislature in Northern Ireland</w:t>
      </w:r>
      <w:r w:rsidR="00E1596C">
        <w:rPr>
          <w:rFonts w:ascii="Gill Sans MT" w:hAnsi="Gill Sans MT"/>
        </w:rPr>
        <w:t xml:space="preserve"> since 1920</w:t>
      </w:r>
      <w:r w:rsidR="009046F1">
        <w:rPr>
          <w:rFonts w:ascii="Gill Sans MT" w:hAnsi="Gill Sans MT"/>
        </w:rPr>
        <w:t xml:space="preserve">, </w:t>
      </w:r>
      <w:r w:rsidR="00E1596C">
        <w:rPr>
          <w:rFonts w:ascii="Gill Sans MT" w:hAnsi="Gill Sans MT"/>
        </w:rPr>
        <w:t xml:space="preserve">and failed attempts in the 1970s to establish Parliaments in Scotland and Wales, </w:t>
      </w:r>
      <w:r w:rsidR="009046F1">
        <w:rPr>
          <w:rFonts w:ascii="Gill Sans MT" w:hAnsi="Gill Sans MT"/>
        </w:rPr>
        <w:t>a devolution settlement was established in 1998.  Following approval at referendums held in 1997 in Scotland and Wales, and in Northern Ireland in 1998, the UK Parliament enacted legislation creating a Scottish Parliament,</w:t>
      </w:r>
      <w:r w:rsidR="009046F1">
        <w:rPr>
          <w:rStyle w:val="FootnoteReference"/>
          <w:rFonts w:ascii="Gill Sans MT" w:hAnsi="Gill Sans MT"/>
        </w:rPr>
        <w:footnoteReference w:id="101"/>
      </w:r>
      <w:r w:rsidR="009046F1">
        <w:rPr>
          <w:rFonts w:ascii="Gill Sans MT" w:hAnsi="Gill Sans MT"/>
        </w:rPr>
        <w:t xml:space="preserve"> a National Assembly for Wales,</w:t>
      </w:r>
      <w:r w:rsidR="009046F1">
        <w:rPr>
          <w:rStyle w:val="FootnoteReference"/>
          <w:rFonts w:ascii="Gill Sans MT" w:hAnsi="Gill Sans MT"/>
        </w:rPr>
        <w:footnoteReference w:id="102"/>
      </w:r>
      <w:r w:rsidR="009046F1">
        <w:rPr>
          <w:rFonts w:ascii="Gill Sans MT" w:hAnsi="Gill Sans MT"/>
        </w:rPr>
        <w:t xml:space="preserve"> and a Northern Ireland Assembly.</w:t>
      </w:r>
      <w:r w:rsidR="009046F1">
        <w:rPr>
          <w:rStyle w:val="FootnoteReference"/>
          <w:rFonts w:ascii="Gill Sans MT" w:hAnsi="Gill Sans MT"/>
        </w:rPr>
        <w:footnoteReference w:id="103"/>
      </w:r>
      <w:r w:rsidR="00E00538">
        <w:rPr>
          <w:rFonts w:ascii="Gill Sans MT" w:hAnsi="Gill Sans MT"/>
        </w:rPr>
        <w:t xml:space="preserve">  Th</w:t>
      </w:r>
      <w:r w:rsidR="00F64FF8">
        <w:rPr>
          <w:rFonts w:ascii="Gill Sans MT" w:hAnsi="Gill Sans MT"/>
        </w:rPr>
        <w:t>ese</w:t>
      </w:r>
      <w:r w:rsidR="00E00538">
        <w:rPr>
          <w:rFonts w:ascii="Gill Sans MT" w:hAnsi="Gill Sans MT"/>
        </w:rPr>
        <w:t xml:space="preserve"> devolution settlement</w:t>
      </w:r>
      <w:r w:rsidR="00F64FF8">
        <w:rPr>
          <w:rFonts w:ascii="Gill Sans MT" w:hAnsi="Gill Sans MT"/>
        </w:rPr>
        <w:t>s</w:t>
      </w:r>
      <w:r w:rsidR="00E00538">
        <w:rPr>
          <w:rFonts w:ascii="Gill Sans MT" w:hAnsi="Gill Sans MT"/>
        </w:rPr>
        <w:t xml:space="preserve"> ha</w:t>
      </w:r>
      <w:r w:rsidR="00F64FF8">
        <w:rPr>
          <w:rFonts w:ascii="Gill Sans MT" w:hAnsi="Gill Sans MT"/>
        </w:rPr>
        <w:t>ve</w:t>
      </w:r>
      <w:r w:rsidR="00E00538">
        <w:rPr>
          <w:rFonts w:ascii="Gill Sans MT" w:hAnsi="Gill Sans MT"/>
        </w:rPr>
        <w:t xml:space="preserve"> </w:t>
      </w:r>
      <w:r w:rsidR="00F64FF8">
        <w:rPr>
          <w:rFonts w:ascii="Gill Sans MT" w:hAnsi="Gill Sans MT"/>
        </w:rPr>
        <w:t xml:space="preserve">diffused </w:t>
      </w:r>
      <w:r w:rsidR="00E00538">
        <w:rPr>
          <w:rFonts w:ascii="Gill Sans MT" w:hAnsi="Gill Sans MT"/>
        </w:rPr>
        <w:t xml:space="preserve">legislative power among legislatures in the UK.  </w:t>
      </w:r>
      <w:r w:rsidR="00F64FF8">
        <w:rPr>
          <w:rFonts w:ascii="Gill Sans MT" w:hAnsi="Gill Sans MT"/>
        </w:rPr>
        <w:t xml:space="preserve">They are </w:t>
      </w:r>
      <w:r w:rsidR="00E00538">
        <w:rPr>
          <w:rFonts w:ascii="Gill Sans MT" w:hAnsi="Gill Sans MT"/>
        </w:rPr>
        <w:t xml:space="preserve">based on a relatively </w:t>
      </w:r>
      <w:r w:rsidR="00E00538" w:rsidRPr="00E00538">
        <w:rPr>
          <w:rFonts w:ascii="Gill Sans MT" w:hAnsi="Gill Sans MT"/>
        </w:rPr>
        <w:t xml:space="preserve">complex, </w:t>
      </w:r>
      <w:proofErr w:type="gramStart"/>
      <w:r w:rsidR="00E00538" w:rsidRPr="00E00538">
        <w:rPr>
          <w:rFonts w:ascii="Gill Sans MT" w:hAnsi="Gill Sans MT"/>
        </w:rPr>
        <w:t>asymmetrical</w:t>
      </w:r>
      <w:proofErr w:type="gramEnd"/>
      <w:r w:rsidR="00E00538" w:rsidRPr="00E00538">
        <w:rPr>
          <w:rFonts w:ascii="Gill Sans MT" w:hAnsi="Gill Sans MT"/>
        </w:rPr>
        <w:t xml:space="preserve"> and dynamic model</w:t>
      </w:r>
      <w:r w:rsidR="001B1810">
        <w:rPr>
          <w:rStyle w:val="FootnoteReference"/>
          <w:rFonts w:ascii="Gill Sans MT" w:hAnsi="Gill Sans MT"/>
        </w:rPr>
        <w:footnoteReference w:id="104"/>
      </w:r>
      <w:r w:rsidR="00E00538">
        <w:rPr>
          <w:rFonts w:ascii="Gill Sans MT" w:hAnsi="Gill Sans MT"/>
        </w:rPr>
        <w:t xml:space="preserve"> – for example, while the Scottish Parliament and Northern Ireland Assembly were allocated primary legislative power in relation to </w:t>
      </w:r>
      <w:r w:rsidR="001A4B3C">
        <w:rPr>
          <w:rFonts w:ascii="Gill Sans MT" w:hAnsi="Gill Sans MT"/>
        </w:rPr>
        <w:t xml:space="preserve">all </w:t>
      </w:r>
      <w:r w:rsidR="00E00538">
        <w:rPr>
          <w:rFonts w:ascii="Gill Sans MT" w:hAnsi="Gill Sans MT"/>
        </w:rPr>
        <w:t xml:space="preserve">substantive matters other than those explicitly reserved </w:t>
      </w:r>
      <w:r w:rsidR="001A4B3C">
        <w:rPr>
          <w:rFonts w:ascii="Gill Sans MT" w:hAnsi="Gill Sans MT"/>
        </w:rPr>
        <w:t xml:space="preserve">(or excepted) </w:t>
      </w:r>
      <w:r w:rsidR="00E00538">
        <w:rPr>
          <w:rFonts w:ascii="Gill Sans MT" w:hAnsi="Gill Sans MT"/>
        </w:rPr>
        <w:t>to Westminster, the Welsh Assembly initially possessed only secondary legislative power, until a further referendum in 2011,</w:t>
      </w:r>
      <w:r w:rsidR="00E00538">
        <w:rPr>
          <w:rStyle w:val="FootnoteReference"/>
          <w:rFonts w:ascii="Gill Sans MT" w:hAnsi="Gill Sans MT"/>
        </w:rPr>
        <w:footnoteReference w:id="105"/>
      </w:r>
      <w:r w:rsidR="00E00538" w:rsidRPr="00E00538">
        <w:rPr>
          <w:rFonts w:ascii="Gill Sans MT" w:hAnsi="Gill Sans MT"/>
        </w:rPr>
        <w:t xml:space="preserve"> </w:t>
      </w:r>
      <w:r w:rsidR="00E00538">
        <w:rPr>
          <w:rFonts w:ascii="Gill Sans MT" w:hAnsi="Gill Sans MT"/>
        </w:rPr>
        <w:t>and only in 2017 was the reserved powers model also extended to Wales.</w:t>
      </w:r>
      <w:r w:rsidR="00E00538">
        <w:rPr>
          <w:rStyle w:val="FootnoteReference"/>
          <w:rFonts w:ascii="Gill Sans MT" w:hAnsi="Gill Sans MT"/>
        </w:rPr>
        <w:footnoteReference w:id="106"/>
      </w:r>
      <w:r w:rsidR="00E00538">
        <w:rPr>
          <w:rFonts w:ascii="Gill Sans MT" w:hAnsi="Gill Sans MT"/>
        </w:rPr>
        <w:t xml:space="preserve">  </w:t>
      </w:r>
    </w:p>
    <w:p w14:paraId="7864D3EE" w14:textId="210790D4" w:rsidR="007B1831" w:rsidRDefault="001A4B3C" w:rsidP="001137EA">
      <w:pPr>
        <w:spacing w:after="0" w:line="360" w:lineRule="auto"/>
        <w:ind w:firstLine="720"/>
        <w:jc w:val="both"/>
        <w:rPr>
          <w:rFonts w:ascii="Gill Sans MT" w:hAnsi="Gill Sans MT"/>
        </w:rPr>
      </w:pPr>
      <w:r>
        <w:rPr>
          <w:rFonts w:ascii="Gill Sans MT" w:hAnsi="Gill Sans MT"/>
        </w:rPr>
        <w:t>There are still some differences in the topics which have been devolved to the legislatures in these three nations, especially in relation to taxation powers, which are most extensively devolved in Scotland.  The scope of devolved power has also been expanded over time through successive legislative interventions by the UK Parliament.</w:t>
      </w:r>
      <w:r>
        <w:rPr>
          <w:rStyle w:val="FootnoteReference"/>
          <w:rFonts w:ascii="Gill Sans MT" w:hAnsi="Gill Sans MT"/>
        </w:rPr>
        <w:footnoteReference w:id="107"/>
      </w:r>
      <w:r>
        <w:rPr>
          <w:rFonts w:ascii="Gill Sans MT" w:hAnsi="Gill Sans MT"/>
        </w:rPr>
        <w:t xml:space="preserve">  There are </w:t>
      </w:r>
      <w:r w:rsidR="00E00538" w:rsidRPr="00E00538">
        <w:rPr>
          <w:rFonts w:ascii="Gill Sans MT" w:hAnsi="Gill Sans MT"/>
        </w:rPr>
        <w:t xml:space="preserve">still disputes </w:t>
      </w:r>
      <w:r>
        <w:rPr>
          <w:rFonts w:ascii="Gill Sans MT" w:hAnsi="Gill Sans MT"/>
        </w:rPr>
        <w:t>about what is or should be a devolved matter, most notably in relation to the power of the Scottish Parliament to hold a referendum on independence from the UK</w:t>
      </w:r>
      <w:r w:rsidR="0090487A">
        <w:rPr>
          <w:rStyle w:val="FootnoteReference"/>
          <w:rFonts w:ascii="Gill Sans MT" w:hAnsi="Gill Sans MT"/>
        </w:rPr>
        <w:footnoteReference w:id="108"/>
      </w:r>
      <w:r>
        <w:rPr>
          <w:rFonts w:ascii="Gill Sans MT" w:hAnsi="Gill Sans MT"/>
        </w:rPr>
        <w:t xml:space="preserve"> and</w:t>
      </w:r>
      <w:r w:rsidR="00F64FF8">
        <w:rPr>
          <w:rFonts w:ascii="Gill Sans MT" w:hAnsi="Gill Sans MT"/>
        </w:rPr>
        <w:t>,</w:t>
      </w:r>
      <w:r>
        <w:rPr>
          <w:rFonts w:ascii="Gill Sans MT" w:hAnsi="Gill Sans MT"/>
        </w:rPr>
        <w:t xml:space="preserve"> in the aftermath of the UK’s exit from the European Union, in relation to the distribution of legislative competence repatriated from the EU.</w:t>
      </w:r>
      <w:r>
        <w:rPr>
          <w:rStyle w:val="FootnoteReference"/>
          <w:rFonts w:ascii="Gill Sans MT" w:hAnsi="Gill Sans MT"/>
        </w:rPr>
        <w:footnoteReference w:id="109"/>
      </w:r>
      <w:r w:rsidR="00FC0AC1">
        <w:rPr>
          <w:rFonts w:ascii="Gill Sans MT" w:hAnsi="Gill Sans MT"/>
        </w:rPr>
        <w:t xml:space="preserve">  Moreover, the devolution settlement has not </w:t>
      </w:r>
      <w:r w:rsidR="00CD0FE2">
        <w:rPr>
          <w:rFonts w:ascii="Gill Sans MT" w:hAnsi="Gill Sans MT"/>
        </w:rPr>
        <w:t>operated</w:t>
      </w:r>
      <w:r w:rsidR="00FC0AC1">
        <w:rPr>
          <w:rFonts w:ascii="Gill Sans MT" w:hAnsi="Gill Sans MT"/>
        </w:rPr>
        <w:t xml:space="preserve"> </w:t>
      </w:r>
      <w:r w:rsidR="00CD0FE2">
        <w:rPr>
          <w:rFonts w:ascii="Gill Sans MT" w:hAnsi="Gill Sans MT"/>
        </w:rPr>
        <w:t>without interruption, in particular in Northern Ireland, where the Assembly has been suspended on multiple occasions, including for three years between January 2017 and January 2020, when a political scandal led to the collapse of its power-sharing executive.</w:t>
      </w:r>
      <w:r w:rsidR="00CD0FE2">
        <w:rPr>
          <w:rStyle w:val="FootnoteReference"/>
          <w:rFonts w:ascii="Gill Sans MT" w:hAnsi="Gill Sans MT"/>
        </w:rPr>
        <w:footnoteReference w:id="110"/>
      </w:r>
    </w:p>
    <w:p w14:paraId="568CC9C1" w14:textId="7822C085" w:rsidR="00E00538" w:rsidRPr="00AE3512" w:rsidRDefault="007B1831" w:rsidP="001137EA">
      <w:pPr>
        <w:spacing w:after="0" w:line="360" w:lineRule="auto"/>
        <w:ind w:firstLine="720"/>
        <w:jc w:val="both"/>
        <w:rPr>
          <w:rFonts w:ascii="Gill Sans MT" w:hAnsi="Gill Sans MT"/>
        </w:rPr>
      </w:pPr>
      <w:r>
        <w:rPr>
          <w:rFonts w:ascii="Gill Sans MT" w:hAnsi="Gill Sans MT"/>
        </w:rPr>
        <w:lastRenderedPageBreak/>
        <w:t>The modern devolution settlement therefore creates a new paradigm for legislative activity in the UK.  The Scottish Parliament, the Northern Ireland Assembly, and the Welsh Parliament or Senedd Cymru (</w:t>
      </w:r>
      <w:r w:rsidR="009C2A29">
        <w:rPr>
          <w:rFonts w:ascii="Gill Sans MT" w:hAnsi="Gill Sans MT"/>
        </w:rPr>
        <w:t xml:space="preserve">as </w:t>
      </w:r>
      <w:r>
        <w:rPr>
          <w:rFonts w:ascii="Gill Sans MT" w:hAnsi="Gill Sans MT"/>
        </w:rPr>
        <w:t>renamed by its own legislation</w:t>
      </w:r>
      <w:r>
        <w:rPr>
          <w:rStyle w:val="FootnoteReference"/>
          <w:rFonts w:ascii="Gill Sans MT" w:hAnsi="Gill Sans MT"/>
        </w:rPr>
        <w:footnoteReference w:id="111"/>
      </w:r>
      <w:r>
        <w:rPr>
          <w:rFonts w:ascii="Gill Sans MT" w:hAnsi="Gill Sans MT"/>
        </w:rPr>
        <w:t>)</w:t>
      </w:r>
      <w:r w:rsidR="00700FF3">
        <w:rPr>
          <w:rFonts w:ascii="Gill Sans MT" w:hAnsi="Gill Sans MT"/>
        </w:rPr>
        <w:t xml:space="preserve"> </w:t>
      </w:r>
      <w:r w:rsidR="00F64FF8">
        <w:rPr>
          <w:rFonts w:ascii="Gill Sans MT" w:hAnsi="Gill Sans MT"/>
        </w:rPr>
        <w:t xml:space="preserve">have been </w:t>
      </w:r>
      <w:r w:rsidR="00700FF3">
        <w:rPr>
          <w:rFonts w:ascii="Gill Sans MT" w:hAnsi="Gill Sans MT"/>
        </w:rPr>
        <w:t>created in r</w:t>
      </w:r>
      <w:r w:rsidR="00E00538" w:rsidRPr="00700FF3">
        <w:rPr>
          <w:rFonts w:ascii="Gill Sans MT" w:hAnsi="Gill Sans MT"/>
        </w:rPr>
        <w:t xml:space="preserve">ecognition of </w:t>
      </w:r>
      <w:r w:rsidR="00700FF3">
        <w:rPr>
          <w:rFonts w:ascii="Gill Sans MT" w:hAnsi="Gill Sans MT"/>
        </w:rPr>
        <w:t>the distinct</w:t>
      </w:r>
      <w:r w:rsidR="00E00538" w:rsidRPr="00700FF3">
        <w:rPr>
          <w:rFonts w:ascii="Gill Sans MT" w:hAnsi="Gill Sans MT"/>
        </w:rPr>
        <w:t xml:space="preserve"> historie</w:t>
      </w:r>
      <w:r w:rsidR="00700FF3">
        <w:rPr>
          <w:rFonts w:ascii="Gill Sans MT" w:hAnsi="Gill Sans MT"/>
        </w:rPr>
        <w:t xml:space="preserve">s of these nations within the UK.  Yet their legislative </w:t>
      </w:r>
      <w:r w:rsidR="00E00538" w:rsidRPr="00700FF3">
        <w:rPr>
          <w:rFonts w:ascii="Gill Sans MT" w:hAnsi="Gill Sans MT"/>
        </w:rPr>
        <w:t xml:space="preserve">authority </w:t>
      </w:r>
      <w:r w:rsidR="00700FF3">
        <w:rPr>
          <w:rFonts w:ascii="Gill Sans MT" w:hAnsi="Gill Sans MT"/>
        </w:rPr>
        <w:t>is derived</w:t>
      </w:r>
      <w:r w:rsidR="00E00538" w:rsidRPr="00700FF3">
        <w:rPr>
          <w:rFonts w:ascii="Gill Sans MT" w:hAnsi="Gill Sans MT"/>
        </w:rPr>
        <w:t xml:space="preserve"> from positive law</w:t>
      </w:r>
      <w:r w:rsidR="00700FF3">
        <w:rPr>
          <w:rFonts w:ascii="Gill Sans MT" w:hAnsi="Gill Sans MT"/>
        </w:rPr>
        <w:t>, which presents a clear contrast with the UK Parliament.  Moreover, while primary legislative power has been devolved in a range of important substantive areas, including healthcare, education, transport, and the environment, this statutory settlement still exists subject to the sovereignty of the UK Parliament which</w:t>
      </w:r>
      <w:r w:rsidR="00F64FF8">
        <w:rPr>
          <w:rFonts w:ascii="Gill Sans MT" w:hAnsi="Gill Sans MT"/>
        </w:rPr>
        <w:t>,</w:t>
      </w:r>
      <w:r w:rsidR="00700FF3">
        <w:rPr>
          <w:rFonts w:ascii="Gill Sans MT" w:hAnsi="Gill Sans MT"/>
        </w:rPr>
        <w:t xml:space="preserve"> from a legal perspective</w:t>
      </w:r>
      <w:r w:rsidR="00F64FF8">
        <w:rPr>
          <w:rFonts w:ascii="Gill Sans MT" w:hAnsi="Gill Sans MT"/>
        </w:rPr>
        <w:t>,</w:t>
      </w:r>
      <w:r w:rsidR="00700FF3">
        <w:rPr>
          <w:rFonts w:ascii="Gill Sans MT" w:hAnsi="Gill Sans MT"/>
        </w:rPr>
        <w:t xml:space="preserve"> retains the power to redraw the boundaries of devolution, or intervene in devolved areas.</w:t>
      </w:r>
      <w:r w:rsidR="00700FF3">
        <w:rPr>
          <w:rStyle w:val="FootnoteReference"/>
          <w:rFonts w:ascii="Gill Sans MT" w:hAnsi="Gill Sans MT"/>
        </w:rPr>
        <w:footnoteReference w:id="112"/>
      </w:r>
      <w:r w:rsidR="00700FF3">
        <w:rPr>
          <w:rFonts w:ascii="Gill Sans MT" w:hAnsi="Gill Sans MT"/>
        </w:rPr>
        <w:t xml:space="preserve">  And while there is a constitution</w:t>
      </w:r>
      <w:r w:rsidR="00A8707C">
        <w:rPr>
          <w:rFonts w:ascii="Gill Sans MT" w:hAnsi="Gill Sans MT"/>
        </w:rPr>
        <w:t>al</w:t>
      </w:r>
      <w:r w:rsidR="00700FF3">
        <w:rPr>
          <w:rFonts w:ascii="Gill Sans MT" w:hAnsi="Gill Sans MT"/>
        </w:rPr>
        <w:t xml:space="preserve"> convention which indicates that the UK Parliament will not normally legislate on devolved matters without the consent of the relevant devolved legislature, the ‘Sewel convention’ has come under considerable strain during the Brexit process, to the point where the EU (Withdrawal) Act 2018 was imposed without the consent of the Scottish Parliament.</w:t>
      </w:r>
      <w:r w:rsidR="00700FF3">
        <w:rPr>
          <w:rStyle w:val="FootnoteReference"/>
          <w:rFonts w:ascii="Gill Sans MT" w:hAnsi="Gill Sans MT"/>
        </w:rPr>
        <w:footnoteReference w:id="113"/>
      </w:r>
      <w:r w:rsidR="00AE3512">
        <w:rPr>
          <w:rFonts w:ascii="Gill Sans MT" w:hAnsi="Gill Sans MT"/>
        </w:rPr>
        <w:t xml:space="preserve">  </w:t>
      </w:r>
      <w:r w:rsidR="00F64FF8">
        <w:rPr>
          <w:rFonts w:ascii="Gill Sans MT" w:hAnsi="Gill Sans MT"/>
        </w:rPr>
        <w:t xml:space="preserve">The UK Supreme Court held, in the case of </w:t>
      </w:r>
      <w:r w:rsidR="00F64FF8">
        <w:rPr>
          <w:rFonts w:ascii="Gill Sans MT" w:hAnsi="Gill Sans MT"/>
          <w:i/>
          <w:iCs/>
        </w:rPr>
        <w:t>Miller</w:t>
      </w:r>
      <w:r w:rsidR="00F64FF8">
        <w:rPr>
          <w:rFonts w:ascii="Gill Sans MT" w:hAnsi="Gill Sans MT"/>
        </w:rPr>
        <w:t>, that t</w:t>
      </w:r>
      <w:r w:rsidR="00AE3512">
        <w:rPr>
          <w:rFonts w:ascii="Gill Sans MT" w:hAnsi="Gill Sans MT"/>
        </w:rPr>
        <w:t xml:space="preserve">he </w:t>
      </w:r>
      <w:r w:rsidR="00F64FF8">
        <w:rPr>
          <w:rFonts w:ascii="Gill Sans MT" w:hAnsi="Gill Sans MT"/>
        </w:rPr>
        <w:t>recognition of</w:t>
      </w:r>
      <w:r w:rsidR="00AE3512">
        <w:rPr>
          <w:rFonts w:ascii="Gill Sans MT" w:hAnsi="Gill Sans MT"/>
        </w:rPr>
        <w:t xml:space="preserve"> th</w:t>
      </w:r>
      <w:r w:rsidR="00F64FF8">
        <w:rPr>
          <w:rFonts w:ascii="Gill Sans MT" w:hAnsi="Gill Sans MT"/>
        </w:rPr>
        <w:t>e Sewel</w:t>
      </w:r>
      <w:r w:rsidR="00AE3512">
        <w:rPr>
          <w:rFonts w:ascii="Gill Sans MT" w:hAnsi="Gill Sans MT"/>
        </w:rPr>
        <w:t xml:space="preserve"> convention in the Scotland Act 2016 and Wales Act 2017 did not mean that it had been converted into a legal rule which </w:t>
      </w:r>
      <w:r w:rsidR="00A8707C">
        <w:rPr>
          <w:rFonts w:ascii="Gill Sans MT" w:hAnsi="Gill Sans MT"/>
        </w:rPr>
        <w:t xml:space="preserve">was enforceable </w:t>
      </w:r>
      <w:r w:rsidR="00AE3512">
        <w:rPr>
          <w:rFonts w:ascii="Gill Sans MT" w:hAnsi="Gill Sans MT"/>
        </w:rPr>
        <w:t>in the courts.</w:t>
      </w:r>
      <w:r w:rsidR="00AE3512">
        <w:rPr>
          <w:rStyle w:val="FootnoteReference"/>
          <w:rFonts w:ascii="Gill Sans MT" w:hAnsi="Gill Sans MT"/>
        </w:rPr>
        <w:footnoteReference w:id="114"/>
      </w:r>
    </w:p>
    <w:p w14:paraId="2A0A67EE" w14:textId="16C69608" w:rsidR="00DB6724" w:rsidRPr="0054702B" w:rsidRDefault="0084511D" w:rsidP="001137EA">
      <w:pPr>
        <w:spacing w:after="0" w:line="360" w:lineRule="auto"/>
        <w:jc w:val="both"/>
        <w:rPr>
          <w:rFonts w:ascii="Gill Sans MT" w:hAnsi="Gill Sans MT" w:cs="Segoe UI"/>
          <w:shd w:val="clear" w:color="auto" w:fill="FFFFFF"/>
        </w:rPr>
      </w:pPr>
      <w:r>
        <w:rPr>
          <w:rFonts w:ascii="Gill Sans MT" w:hAnsi="Gill Sans MT"/>
        </w:rPr>
        <w:tab/>
        <w:t>Devolution</w:t>
      </w:r>
      <w:r w:rsidRPr="0084511D">
        <w:rPr>
          <w:rFonts w:ascii="Gill Sans MT" w:hAnsi="Gill Sans MT" w:cs="Segoe UI"/>
          <w:shd w:val="clear" w:color="auto" w:fill="FFFFFF"/>
        </w:rPr>
        <w:t xml:space="preserve"> </w:t>
      </w:r>
      <w:r>
        <w:rPr>
          <w:rFonts w:ascii="Gill Sans MT" w:hAnsi="Gill Sans MT" w:cs="Segoe UI"/>
          <w:shd w:val="clear" w:color="auto" w:fill="FFFFFF"/>
        </w:rPr>
        <w:t>has therefore been a</w:t>
      </w:r>
      <w:r w:rsidRPr="00DB6724">
        <w:rPr>
          <w:rFonts w:ascii="Gill Sans MT" w:hAnsi="Gill Sans MT" w:cs="Segoe UI"/>
          <w:shd w:val="clear" w:color="auto" w:fill="FFFFFF"/>
        </w:rPr>
        <w:t xml:space="preserve"> dispersal of </w:t>
      </w:r>
      <w:r>
        <w:rPr>
          <w:rFonts w:ascii="Gill Sans MT" w:hAnsi="Gill Sans MT" w:cs="Segoe UI"/>
          <w:shd w:val="clear" w:color="auto" w:fill="FFFFFF"/>
        </w:rPr>
        <w:t xml:space="preserve">primary </w:t>
      </w:r>
      <w:r w:rsidRPr="00DB6724">
        <w:rPr>
          <w:rFonts w:ascii="Gill Sans MT" w:hAnsi="Gill Sans MT" w:cs="Segoe UI"/>
          <w:shd w:val="clear" w:color="auto" w:fill="FFFFFF"/>
        </w:rPr>
        <w:t xml:space="preserve">legislative power </w:t>
      </w:r>
      <w:r>
        <w:rPr>
          <w:rFonts w:ascii="Gill Sans MT" w:hAnsi="Gill Sans MT" w:cs="Segoe UI"/>
          <w:shd w:val="clear" w:color="auto" w:fill="FFFFFF"/>
        </w:rPr>
        <w:t xml:space="preserve">by the UK Parliament, but not a transfer of its legal sovereignty to the institutions in Scotland, </w:t>
      </w:r>
      <w:proofErr w:type="gramStart"/>
      <w:r>
        <w:rPr>
          <w:rFonts w:ascii="Gill Sans MT" w:hAnsi="Gill Sans MT" w:cs="Segoe UI"/>
          <w:shd w:val="clear" w:color="auto" w:fill="FFFFFF"/>
        </w:rPr>
        <w:t>Wales</w:t>
      </w:r>
      <w:proofErr w:type="gramEnd"/>
      <w:r>
        <w:rPr>
          <w:rFonts w:ascii="Gill Sans MT" w:hAnsi="Gill Sans MT" w:cs="Segoe UI"/>
          <w:shd w:val="clear" w:color="auto" w:fill="FFFFFF"/>
        </w:rPr>
        <w:t xml:space="preserve"> or Northern Ireland. </w:t>
      </w:r>
      <w:r w:rsidR="00A8707C">
        <w:rPr>
          <w:rFonts w:ascii="Gill Sans MT" w:hAnsi="Gill Sans MT" w:cs="Segoe UI"/>
          <w:shd w:val="clear" w:color="auto" w:fill="FFFFFF"/>
        </w:rPr>
        <w:t xml:space="preserve">  </w:t>
      </w:r>
      <w:r>
        <w:rPr>
          <w:rFonts w:ascii="Gill Sans MT" w:hAnsi="Gill Sans MT"/>
        </w:rPr>
        <w:t xml:space="preserve">It has established </w:t>
      </w:r>
      <w:r w:rsidRPr="00E00538">
        <w:rPr>
          <w:rFonts w:ascii="Gill Sans MT" w:hAnsi="Gill Sans MT"/>
        </w:rPr>
        <w:t xml:space="preserve">new sites of </w:t>
      </w:r>
      <w:r>
        <w:rPr>
          <w:rFonts w:ascii="Gill Sans MT" w:hAnsi="Gill Sans MT"/>
        </w:rPr>
        <w:t>national</w:t>
      </w:r>
      <w:r w:rsidR="0054702B">
        <w:rPr>
          <w:rFonts w:ascii="Gill Sans MT" w:hAnsi="Gill Sans MT"/>
        </w:rPr>
        <w:t xml:space="preserve"> law-making authority</w:t>
      </w:r>
      <w:r w:rsidR="00F64FF8">
        <w:rPr>
          <w:rFonts w:ascii="Gill Sans MT" w:hAnsi="Gill Sans MT"/>
        </w:rPr>
        <w:t xml:space="preserve"> and</w:t>
      </w:r>
      <w:r>
        <w:rPr>
          <w:rFonts w:ascii="Gill Sans MT" w:hAnsi="Gill Sans MT"/>
        </w:rPr>
        <w:t xml:space="preserve"> </w:t>
      </w:r>
      <w:r w:rsidRPr="00E00538">
        <w:rPr>
          <w:rFonts w:ascii="Gill Sans MT" w:hAnsi="Gill Sans MT"/>
        </w:rPr>
        <w:t xml:space="preserve">democratic representation </w:t>
      </w:r>
      <w:r>
        <w:rPr>
          <w:rFonts w:ascii="Gill Sans MT" w:hAnsi="Gill Sans MT"/>
        </w:rPr>
        <w:t>and</w:t>
      </w:r>
      <w:r w:rsidR="00F64FF8">
        <w:rPr>
          <w:rFonts w:ascii="Gill Sans MT" w:hAnsi="Gill Sans MT"/>
        </w:rPr>
        <w:t>,</w:t>
      </w:r>
      <w:r>
        <w:rPr>
          <w:rFonts w:ascii="Gill Sans MT" w:hAnsi="Gill Sans MT"/>
        </w:rPr>
        <w:t xml:space="preserve"> </w:t>
      </w:r>
      <w:r w:rsidR="0054702B">
        <w:rPr>
          <w:rFonts w:ascii="Gill Sans MT" w:hAnsi="Gill Sans MT"/>
        </w:rPr>
        <w:t>consequently</w:t>
      </w:r>
      <w:r w:rsidR="00F64FF8">
        <w:rPr>
          <w:rFonts w:ascii="Gill Sans MT" w:hAnsi="Gill Sans MT"/>
        </w:rPr>
        <w:t>, has</w:t>
      </w:r>
      <w:r w:rsidR="0054702B">
        <w:rPr>
          <w:rFonts w:ascii="Gill Sans MT" w:hAnsi="Gill Sans MT"/>
        </w:rPr>
        <w:t xml:space="preserve"> created</w:t>
      </w:r>
      <w:r w:rsidRPr="00E00538">
        <w:rPr>
          <w:rFonts w:ascii="Gill Sans MT" w:hAnsi="Gill Sans MT"/>
        </w:rPr>
        <w:t xml:space="preserve"> internal competition between legislatures within the UK</w:t>
      </w:r>
      <w:r>
        <w:rPr>
          <w:rFonts w:ascii="Gill Sans MT" w:hAnsi="Gill Sans MT"/>
        </w:rPr>
        <w:t xml:space="preserve">.  The devolved legislatures </w:t>
      </w:r>
      <w:r w:rsidR="0054702B">
        <w:rPr>
          <w:rFonts w:ascii="Gill Sans MT" w:hAnsi="Gill Sans MT"/>
        </w:rPr>
        <w:t>occupy a slightly ambiguous position – from a functional perspective they are in many ways politically equivalent to the UK Parliament, possess a clear (perhaps even arguably superior)</w:t>
      </w:r>
      <w:r w:rsidRPr="00DB6724">
        <w:rPr>
          <w:rFonts w:ascii="Gill Sans MT" w:hAnsi="Gill Sans MT" w:cs="Segoe UI"/>
          <w:shd w:val="clear" w:color="auto" w:fill="FFFFFF"/>
        </w:rPr>
        <w:t xml:space="preserve"> democratic weight</w:t>
      </w:r>
      <w:r w:rsidR="00AB714F">
        <w:rPr>
          <w:rFonts w:ascii="Gill Sans MT" w:hAnsi="Gill Sans MT" w:cs="Segoe UI"/>
          <w:shd w:val="clear" w:color="auto" w:fill="FFFFFF"/>
        </w:rPr>
        <w:t>,</w:t>
      </w:r>
      <w:r w:rsidRPr="00DB6724">
        <w:rPr>
          <w:rFonts w:ascii="Gill Sans MT" w:hAnsi="Gill Sans MT" w:cs="Segoe UI"/>
          <w:shd w:val="clear" w:color="auto" w:fill="FFFFFF"/>
        </w:rPr>
        <w:t xml:space="preserve"> and</w:t>
      </w:r>
      <w:r w:rsidR="00AB714F">
        <w:rPr>
          <w:rFonts w:ascii="Gill Sans MT" w:hAnsi="Gill Sans MT" w:cs="Segoe UI"/>
          <w:shd w:val="clear" w:color="auto" w:fill="FFFFFF"/>
        </w:rPr>
        <w:t xml:space="preserve"> tangible</w:t>
      </w:r>
      <w:r w:rsidRPr="00DB6724">
        <w:rPr>
          <w:rFonts w:ascii="Gill Sans MT" w:hAnsi="Gill Sans MT" w:cs="Segoe UI"/>
          <w:shd w:val="clear" w:color="auto" w:fill="FFFFFF"/>
        </w:rPr>
        <w:t xml:space="preserve"> constitutional influence</w:t>
      </w:r>
      <w:r w:rsidR="0054702B">
        <w:rPr>
          <w:rFonts w:ascii="Gill Sans MT" w:hAnsi="Gill Sans MT" w:cs="Segoe UI"/>
          <w:shd w:val="clear" w:color="auto" w:fill="FFFFFF"/>
        </w:rPr>
        <w:t xml:space="preserve">.  Yet while they possess primary legislative power, in legal terms their law-making authority is also subordinate and constrained.  </w:t>
      </w:r>
      <w:r>
        <w:rPr>
          <w:rFonts w:ascii="Gill Sans MT" w:hAnsi="Gill Sans MT" w:cs="Segoe UI"/>
          <w:shd w:val="clear" w:color="auto" w:fill="FFFFFF"/>
        </w:rPr>
        <w:t>While this is in c</w:t>
      </w:r>
      <w:r w:rsidRPr="00DB6724">
        <w:rPr>
          <w:rFonts w:ascii="Gill Sans MT" w:hAnsi="Gill Sans MT" w:cs="Segoe UI"/>
          <w:shd w:val="clear" w:color="auto" w:fill="FFFFFF"/>
        </w:rPr>
        <w:t xml:space="preserve">ontrast with </w:t>
      </w:r>
      <w:r>
        <w:rPr>
          <w:rFonts w:ascii="Gill Sans MT" w:hAnsi="Gill Sans MT" w:cs="Segoe UI"/>
          <w:shd w:val="clear" w:color="auto" w:fill="FFFFFF"/>
        </w:rPr>
        <w:t xml:space="preserve">the </w:t>
      </w:r>
      <w:r w:rsidRPr="00DB6724">
        <w:rPr>
          <w:rFonts w:ascii="Gill Sans MT" w:hAnsi="Gill Sans MT" w:cs="Segoe UI"/>
          <w:shd w:val="clear" w:color="auto" w:fill="FFFFFF"/>
        </w:rPr>
        <w:t>break</w:t>
      </w:r>
      <w:r w:rsidR="0054702B">
        <w:rPr>
          <w:rFonts w:ascii="Gill Sans MT" w:hAnsi="Gill Sans MT" w:cs="Segoe UI"/>
          <w:shd w:val="clear" w:color="auto" w:fill="FFFFFF"/>
        </w:rPr>
        <w:t>-</w:t>
      </w:r>
      <w:r w:rsidRPr="00DB6724">
        <w:rPr>
          <w:rFonts w:ascii="Gill Sans MT" w:hAnsi="Gill Sans MT" w:cs="Segoe UI"/>
          <w:shd w:val="clear" w:color="auto" w:fill="FFFFFF"/>
        </w:rPr>
        <w:t xml:space="preserve">up of </w:t>
      </w:r>
      <w:r w:rsidR="0054702B">
        <w:rPr>
          <w:rFonts w:ascii="Gill Sans MT" w:hAnsi="Gill Sans MT" w:cs="Segoe UI"/>
          <w:shd w:val="clear" w:color="auto" w:fill="FFFFFF"/>
        </w:rPr>
        <w:t xml:space="preserve">the British </w:t>
      </w:r>
      <w:r w:rsidRPr="00DB6724">
        <w:rPr>
          <w:rFonts w:ascii="Gill Sans MT" w:hAnsi="Gill Sans MT" w:cs="Segoe UI"/>
          <w:shd w:val="clear" w:color="auto" w:fill="FFFFFF"/>
        </w:rPr>
        <w:t>Empire</w:t>
      </w:r>
      <w:r w:rsidR="0054702B">
        <w:rPr>
          <w:rFonts w:ascii="Gill Sans MT" w:hAnsi="Gill Sans MT" w:cs="Segoe UI"/>
          <w:shd w:val="clear" w:color="auto" w:fill="FFFFFF"/>
        </w:rPr>
        <w:t>,</w:t>
      </w:r>
      <w:r w:rsidRPr="00DB6724">
        <w:rPr>
          <w:rFonts w:ascii="Gill Sans MT" w:hAnsi="Gill Sans MT" w:cs="Segoe UI"/>
          <w:shd w:val="clear" w:color="auto" w:fill="FFFFFF"/>
        </w:rPr>
        <w:t xml:space="preserve"> which did </w:t>
      </w:r>
      <w:r w:rsidR="0054702B">
        <w:rPr>
          <w:rFonts w:ascii="Gill Sans MT" w:hAnsi="Gill Sans MT" w:cs="Segoe UI"/>
          <w:shd w:val="clear" w:color="auto" w:fill="FFFFFF"/>
        </w:rPr>
        <w:t xml:space="preserve">eventually </w:t>
      </w:r>
      <w:r w:rsidRPr="00DB6724">
        <w:rPr>
          <w:rFonts w:ascii="Gill Sans MT" w:hAnsi="Gill Sans MT" w:cs="Segoe UI"/>
          <w:shd w:val="clear" w:color="auto" w:fill="FFFFFF"/>
        </w:rPr>
        <w:t>see 'sovereignty' transferred</w:t>
      </w:r>
      <w:r w:rsidR="0054702B">
        <w:rPr>
          <w:rFonts w:ascii="Gill Sans MT" w:hAnsi="Gill Sans MT" w:cs="Segoe UI"/>
          <w:shd w:val="clear" w:color="auto" w:fill="FFFFFF"/>
        </w:rPr>
        <w:t>, often through the law,</w:t>
      </w:r>
      <w:r w:rsidR="0054702B">
        <w:rPr>
          <w:rStyle w:val="FootnoteReference"/>
          <w:rFonts w:ascii="Gill Sans MT" w:hAnsi="Gill Sans MT" w:cs="Segoe UI"/>
          <w:shd w:val="clear" w:color="auto" w:fill="FFFFFF"/>
        </w:rPr>
        <w:footnoteReference w:id="115"/>
      </w:r>
      <w:r w:rsidRPr="00DB6724">
        <w:rPr>
          <w:rFonts w:ascii="Gill Sans MT" w:hAnsi="Gill Sans MT" w:cs="Segoe UI"/>
          <w:shd w:val="clear" w:color="auto" w:fill="FFFFFF"/>
        </w:rPr>
        <w:t xml:space="preserve"> </w:t>
      </w:r>
      <w:r>
        <w:rPr>
          <w:rFonts w:ascii="Gill Sans MT" w:hAnsi="Gill Sans MT" w:cs="Segoe UI"/>
          <w:shd w:val="clear" w:color="auto" w:fill="FFFFFF"/>
        </w:rPr>
        <w:t xml:space="preserve">devolution has also only been partial in another sense.  </w:t>
      </w:r>
      <w:r w:rsidR="00F64FF8">
        <w:rPr>
          <w:rFonts w:ascii="Gill Sans MT" w:hAnsi="Gill Sans MT" w:cs="Segoe UI"/>
          <w:shd w:val="clear" w:color="auto" w:fill="FFFFFF"/>
        </w:rPr>
        <w:t>S</w:t>
      </w:r>
      <w:r w:rsidR="00E00538" w:rsidRPr="00E00538">
        <w:rPr>
          <w:rFonts w:ascii="Gill Sans MT" w:hAnsi="Gill Sans MT"/>
        </w:rPr>
        <w:t xml:space="preserve">ome </w:t>
      </w:r>
      <w:r w:rsidR="00AB714F">
        <w:rPr>
          <w:rFonts w:ascii="Gill Sans MT" w:hAnsi="Gill Sans MT"/>
        </w:rPr>
        <w:t>parts of the UK are</w:t>
      </w:r>
      <w:r w:rsidR="00E00538" w:rsidRPr="00E00538">
        <w:rPr>
          <w:rFonts w:ascii="Gill Sans MT" w:hAnsi="Gill Sans MT"/>
        </w:rPr>
        <w:t xml:space="preserve"> devoid of that additional layer of representatio</w:t>
      </w:r>
      <w:r w:rsidR="00AB714F">
        <w:rPr>
          <w:rFonts w:ascii="Gill Sans MT" w:hAnsi="Gill Sans MT"/>
        </w:rPr>
        <w:t xml:space="preserve">n: within England, after the rejection of a regional assembly at a referendum in the </w:t>
      </w:r>
      <w:proofErr w:type="gramStart"/>
      <w:r w:rsidR="00AB714F">
        <w:rPr>
          <w:rFonts w:ascii="Gill Sans MT" w:hAnsi="Gill Sans MT"/>
        </w:rPr>
        <w:t>North East</w:t>
      </w:r>
      <w:proofErr w:type="gramEnd"/>
      <w:r w:rsidR="00AB714F">
        <w:rPr>
          <w:rFonts w:ascii="Gill Sans MT" w:hAnsi="Gill Sans MT"/>
        </w:rPr>
        <w:t xml:space="preserve"> in 2004,</w:t>
      </w:r>
      <w:r w:rsidR="00AB714F">
        <w:rPr>
          <w:rStyle w:val="FootnoteReference"/>
          <w:rFonts w:ascii="Gill Sans MT" w:hAnsi="Gill Sans MT"/>
        </w:rPr>
        <w:footnoteReference w:id="116"/>
      </w:r>
      <w:r w:rsidR="00AB714F">
        <w:rPr>
          <w:rFonts w:ascii="Gill Sans MT" w:hAnsi="Gill Sans MT"/>
        </w:rPr>
        <w:t xml:space="preserve"> only London has an elected assembly,</w:t>
      </w:r>
      <w:r w:rsidR="00AB714F">
        <w:rPr>
          <w:rStyle w:val="FootnoteReference"/>
          <w:rFonts w:ascii="Gill Sans MT" w:hAnsi="Gill Sans MT"/>
        </w:rPr>
        <w:footnoteReference w:id="117"/>
      </w:r>
      <w:r w:rsidR="00AB714F">
        <w:rPr>
          <w:rFonts w:ascii="Gill Sans MT" w:hAnsi="Gill Sans MT"/>
        </w:rPr>
        <w:t xml:space="preserve"> </w:t>
      </w:r>
      <w:r w:rsidR="00F64FF8">
        <w:rPr>
          <w:rFonts w:ascii="Gill Sans MT" w:hAnsi="Gill Sans MT"/>
        </w:rPr>
        <w:t xml:space="preserve">but </w:t>
      </w:r>
      <w:r w:rsidR="00AB714F">
        <w:rPr>
          <w:rFonts w:ascii="Gill Sans MT" w:hAnsi="Gill Sans MT"/>
        </w:rPr>
        <w:t>one which does not possess anything like the primary legislative power devolved to Scotland, Wales and Northern Ireland.</w:t>
      </w:r>
    </w:p>
    <w:p w14:paraId="01DB6857" w14:textId="29AE3263" w:rsidR="002D68FA" w:rsidRDefault="005A7D31" w:rsidP="001137EA">
      <w:pPr>
        <w:spacing w:after="0" w:line="360" w:lineRule="auto"/>
        <w:jc w:val="both"/>
        <w:rPr>
          <w:rFonts w:ascii="Gill Sans MT" w:hAnsi="Gill Sans MT"/>
        </w:rPr>
      </w:pPr>
      <w:r>
        <w:rPr>
          <w:rFonts w:ascii="Gill Sans MT" w:hAnsi="Gill Sans MT"/>
        </w:rPr>
        <w:lastRenderedPageBreak/>
        <w:tab/>
      </w:r>
      <w:r w:rsidR="00A156AE">
        <w:rPr>
          <w:rFonts w:ascii="Gill Sans MT" w:hAnsi="Gill Sans MT"/>
        </w:rPr>
        <w:t>D</w:t>
      </w:r>
      <w:r>
        <w:rPr>
          <w:rFonts w:ascii="Gill Sans MT" w:hAnsi="Gill Sans MT"/>
        </w:rPr>
        <w:t xml:space="preserve">evolution has been </w:t>
      </w:r>
      <w:r w:rsidR="00C139D4">
        <w:rPr>
          <w:rFonts w:ascii="Gill Sans MT" w:hAnsi="Gill Sans MT"/>
        </w:rPr>
        <w:t xml:space="preserve">a momentous </w:t>
      </w:r>
      <w:r>
        <w:rPr>
          <w:rFonts w:ascii="Gill Sans MT" w:hAnsi="Gill Sans MT"/>
        </w:rPr>
        <w:t xml:space="preserve">development in the modern history of legislatures in the UK, </w:t>
      </w:r>
      <w:r w:rsidR="00C139D4">
        <w:rPr>
          <w:rFonts w:ascii="Gill Sans MT" w:hAnsi="Gill Sans MT"/>
        </w:rPr>
        <w:t xml:space="preserve">yet </w:t>
      </w:r>
      <w:r>
        <w:rPr>
          <w:rFonts w:ascii="Gill Sans MT" w:hAnsi="Gill Sans MT"/>
        </w:rPr>
        <w:t xml:space="preserve">its trajectory </w:t>
      </w:r>
      <w:r w:rsidR="00BF5253">
        <w:rPr>
          <w:rFonts w:ascii="Gill Sans MT" w:hAnsi="Gill Sans MT"/>
        </w:rPr>
        <w:t>remains</w:t>
      </w:r>
      <w:r>
        <w:rPr>
          <w:rFonts w:ascii="Gill Sans MT" w:hAnsi="Gill Sans MT"/>
        </w:rPr>
        <w:t xml:space="preserve"> somewhat uncertain.  </w:t>
      </w:r>
      <w:r w:rsidR="00A8707C">
        <w:rPr>
          <w:rFonts w:ascii="Gill Sans MT" w:hAnsi="Gill Sans MT"/>
        </w:rPr>
        <w:t>Despite recent declarations</w:t>
      </w:r>
      <w:r w:rsidR="00C87F65">
        <w:rPr>
          <w:rFonts w:ascii="Gill Sans MT" w:hAnsi="Gill Sans MT"/>
        </w:rPr>
        <w:t xml:space="preserve"> in legislation enacted by the UK Parliament</w:t>
      </w:r>
      <w:r w:rsidR="00A8707C">
        <w:rPr>
          <w:rFonts w:ascii="Gill Sans MT" w:hAnsi="Gill Sans MT"/>
        </w:rPr>
        <w:t>, i</w:t>
      </w:r>
      <w:r w:rsidR="002D68FA">
        <w:rPr>
          <w:rFonts w:ascii="Gill Sans MT" w:hAnsi="Gill Sans MT"/>
        </w:rPr>
        <w:t xml:space="preserve">t </w:t>
      </w:r>
      <w:r w:rsidR="00BF5253">
        <w:rPr>
          <w:rFonts w:ascii="Gill Sans MT" w:hAnsi="Gill Sans MT"/>
        </w:rPr>
        <w:t>cannot be</w:t>
      </w:r>
      <w:r w:rsidR="002D68FA">
        <w:rPr>
          <w:rFonts w:ascii="Gill Sans MT" w:hAnsi="Gill Sans MT"/>
        </w:rPr>
        <w:t xml:space="preserve"> guaranteed that </w:t>
      </w:r>
      <w:r w:rsidR="00C87F65">
        <w:rPr>
          <w:rFonts w:ascii="Gill Sans MT" w:hAnsi="Gill Sans MT"/>
        </w:rPr>
        <w:t>the devolved legislatures</w:t>
      </w:r>
      <w:r w:rsidR="002D68FA">
        <w:rPr>
          <w:rFonts w:ascii="Gill Sans MT" w:hAnsi="Gill Sans MT"/>
        </w:rPr>
        <w:t xml:space="preserve"> will be </w:t>
      </w:r>
      <w:r w:rsidR="00AD3451">
        <w:rPr>
          <w:rFonts w:ascii="Gill Sans MT" w:hAnsi="Gill Sans MT"/>
        </w:rPr>
        <w:t xml:space="preserve">a </w:t>
      </w:r>
      <w:r w:rsidR="00C87F65">
        <w:rPr>
          <w:rFonts w:ascii="Gill Sans MT" w:hAnsi="Gill Sans MT"/>
        </w:rPr>
        <w:t>‘</w:t>
      </w:r>
      <w:r w:rsidR="00AD3451">
        <w:rPr>
          <w:rFonts w:ascii="Gill Sans MT" w:hAnsi="Gill Sans MT"/>
        </w:rPr>
        <w:t>permanent</w:t>
      </w:r>
      <w:r w:rsidR="00C87F65">
        <w:rPr>
          <w:rFonts w:ascii="Gill Sans MT" w:hAnsi="Gill Sans MT"/>
        </w:rPr>
        <w:t xml:space="preserve"> part of the United Kingdom’s constitutional arrangements’.</w:t>
      </w:r>
      <w:r w:rsidR="00A8707C">
        <w:rPr>
          <w:rStyle w:val="FootnoteReference"/>
          <w:rFonts w:ascii="Gill Sans MT" w:hAnsi="Gill Sans MT"/>
        </w:rPr>
        <w:footnoteReference w:id="118"/>
      </w:r>
      <w:r w:rsidR="00AD3451">
        <w:rPr>
          <w:rFonts w:ascii="Gill Sans MT" w:hAnsi="Gill Sans MT"/>
        </w:rPr>
        <w:t xml:space="preserve"> </w:t>
      </w:r>
      <w:r w:rsidR="00C87F65">
        <w:rPr>
          <w:rFonts w:ascii="Gill Sans MT" w:hAnsi="Gill Sans MT"/>
        </w:rPr>
        <w:t>Instead, the devolution of legislative power, combined with the UK government’s lack of respect</w:t>
      </w:r>
      <w:r w:rsidR="00F64FF8">
        <w:rPr>
          <w:rFonts w:ascii="Gill Sans MT" w:hAnsi="Gill Sans MT"/>
        </w:rPr>
        <w:t>,</w:t>
      </w:r>
      <w:r w:rsidR="00C87F65">
        <w:rPr>
          <w:rFonts w:ascii="Gill Sans MT" w:hAnsi="Gill Sans MT"/>
        </w:rPr>
        <w:t xml:space="preserve"> </w:t>
      </w:r>
      <w:r w:rsidR="00A65B54">
        <w:rPr>
          <w:rFonts w:ascii="Gill Sans MT" w:hAnsi="Gill Sans MT"/>
        </w:rPr>
        <w:t>during the Brexit process</w:t>
      </w:r>
      <w:r w:rsidR="00F64FF8">
        <w:rPr>
          <w:rFonts w:ascii="Gill Sans MT" w:hAnsi="Gill Sans MT"/>
        </w:rPr>
        <w:t>,</w:t>
      </w:r>
      <w:r w:rsidR="00A65B54">
        <w:rPr>
          <w:rFonts w:ascii="Gill Sans MT" w:hAnsi="Gill Sans MT"/>
        </w:rPr>
        <w:t xml:space="preserve"> </w:t>
      </w:r>
      <w:r w:rsidR="00C87F65">
        <w:rPr>
          <w:rFonts w:ascii="Gill Sans MT" w:hAnsi="Gill Sans MT"/>
        </w:rPr>
        <w:t xml:space="preserve">for the competences </w:t>
      </w:r>
      <w:proofErr w:type="gramStart"/>
      <w:r w:rsidR="00C87F65">
        <w:rPr>
          <w:rFonts w:ascii="Gill Sans MT" w:hAnsi="Gill Sans MT"/>
        </w:rPr>
        <w:t>and  expectations</w:t>
      </w:r>
      <w:proofErr w:type="gramEnd"/>
      <w:r w:rsidR="00C87F65">
        <w:rPr>
          <w:rFonts w:ascii="Gill Sans MT" w:hAnsi="Gill Sans MT"/>
        </w:rPr>
        <w:t xml:space="preserve"> which are central to the devolved arrangements,</w:t>
      </w:r>
      <w:r>
        <w:rPr>
          <w:rStyle w:val="FootnoteReference"/>
          <w:rFonts w:ascii="Gill Sans MT" w:hAnsi="Gill Sans MT"/>
        </w:rPr>
        <w:footnoteReference w:id="119"/>
      </w:r>
      <w:r w:rsidR="00C87F65">
        <w:rPr>
          <w:rFonts w:ascii="Gill Sans MT" w:hAnsi="Gill Sans MT"/>
        </w:rPr>
        <w:t xml:space="preserve"> could lead to the</w:t>
      </w:r>
      <w:r w:rsidR="00AD3451">
        <w:rPr>
          <w:rFonts w:ascii="Gill Sans MT" w:hAnsi="Gill Sans MT"/>
        </w:rPr>
        <w:t xml:space="preserve"> fragment</w:t>
      </w:r>
      <w:r w:rsidR="00C87F65">
        <w:rPr>
          <w:rFonts w:ascii="Gill Sans MT" w:hAnsi="Gill Sans MT"/>
        </w:rPr>
        <w:t>ation</w:t>
      </w:r>
      <w:r w:rsidR="00AD3451">
        <w:rPr>
          <w:rFonts w:ascii="Gill Sans MT" w:hAnsi="Gill Sans MT"/>
        </w:rPr>
        <w:t xml:space="preserve"> of the UK.  One </w:t>
      </w:r>
      <w:r w:rsidR="00B67879">
        <w:rPr>
          <w:rFonts w:ascii="Gill Sans MT" w:hAnsi="Gill Sans MT"/>
        </w:rPr>
        <w:t>independence</w:t>
      </w:r>
      <w:r w:rsidR="00AD3451">
        <w:rPr>
          <w:rFonts w:ascii="Gill Sans MT" w:hAnsi="Gill Sans MT"/>
        </w:rPr>
        <w:t xml:space="preserve"> referendum has already been held in Scotland since </w:t>
      </w:r>
      <w:r w:rsidR="00B67879">
        <w:rPr>
          <w:rFonts w:ascii="Gill Sans MT" w:hAnsi="Gill Sans MT"/>
        </w:rPr>
        <w:t>devolution</w:t>
      </w:r>
      <w:r w:rsidR="00AD3451">
        <w:rPr>
          <w:rFonts w:ascii="Gill Sans MT" w:hAnsi="Gill Sans MT"/>
        </w:rPr>
        <w:t xml:space="preserve"> was </w:t>
      </w:r>
      <w:r w:rsidR="00B67879">
        <w:rPr>
          <w:rFonts w:ascii="Gill Sans MT" w:hAnsi="Gill Sans MT"/>
        </w:rPr>
        <w:t>established</w:t>
      </w:r>
      <w:r w:rsidR="00AD3451">
        <w:rPr>
          <w:rFonts w:ascii="Gill Sans MT" w:hAnsi="Gill Sans MT"/>
        </w:rPr>
        <w:t xml:space="preserve"> in 1998, a second seems a likely prospect in the aftermath of Brexit, despite the fact it is being resisted by the UK government.</w:t>
      </w:r>
      <w:r w:rsidR="00A370E6">
        <w:rPr>
          <w:rStyle w:val="FootnoteReference"/>
          <w:rFonts w:ascii="Gill Sans MT" w:hAnsi="Gill Sans MT"/>
        </w:rPr>
        <w:footnoteReference w:id="120"/>
      </w:r>
      <w:r w:rsidR="00AD3451">
        <w:rPr>
          <w:rFonts w:ascii="Gill Sans MT" w:hAnsi="Gill Sans MT"/>
        </w:rPr>
        <w:t xml:space="preserve">  A referendum on the reunification of Northern Ireland with the Republic of Ireland is also impossible to rule out in the future, given </w:t>
      </w:r>
      <w:r w:rsidR="00F64FF8">
        <w:rPr>
          <w:rFonts w:ascii="Gill Sans MT" w:hAnsi="Gill Sans MT"/>
        </w:rPr>
        <w:t xml:space="preserve">that </w:t>
      </w:r>
      <w:r w:rsidR="00AE77AD">
        <w:rPr>
          <w:rFonts w:ascii="Gill Sans MT" w:hAnsi="Gill Sans MT"/>
        </w:rPr>
        <w:t xml:space="preserve">a mechanism for this </w:t>
      </w:r>
      <w:r w:rsidR="00AD3451">
        <w:rPr>
          <w:rFonts w:ascii="Gill Sans MT" w:hAnsi="Gill Sans MT"/>
        </w:rPr>
        <w:t xml:space="preserve">already </w:t>
      </w:r>
      <w:r w:rsidR="00AE77AD">
        <w:rPr>
          <w:rFonts w:ascii="Gill Sans MT" w:hAnsi="Gill Sans MT"/>
        </w:rPr>
        <w:t>exists</w:t>
      </w:r>
      <w:r w:rsidR="00AD3451">
        <w:rPr>
          <w:rFonts w:ascii="Gill Sans MT" w:hAnsi="Gill Sans MT"/>
        </w:rPr>
        <w:t xml:space="preserve"> in </w:t>
      </w:r>
      <w:r w:rsidR="00C261C0">
        <w:rPr>
          <w:rFonts w:ascii="Gill Sans MT" w:hAnsi="Gill Sans MT"/>
        </w:rPr>
        <w:t>devolution legislation</w:t>
      </w:r>
      <w:r w:rsidR="00AD3451">
        <w:rPr>
          <w:rFonts w:ascii="Gill Sans MT" w:hAnsi="Gill Sans MT"/>
        </w:rPr>
        <w:t>,</w:t>
      </w:r>
      <w:r w:rsidR="00C261C0">
        <w:rPr>
          <w:rStyle w:val="FootnoteReference"/>
          <w:rFonts w:ascii="Gill Sans MT" w:hAnsi="Gill Sans MT"/>
        </w:rPr>
        <w:footnoteReference w:id="121"/>
      </w:r>
      <w:r w:rsidR="00AD3451">
        <w:rPr>
          <w:rFonts w:ascii="Gill Sans MT" w:hAnsi="Gill Sans MT"/>
        </w:rPr>
        <w:t xml:space="preserve"> and </w:t>
      </w:r>
      <w:r w:rsidR="008E3F23">
        <w:rPr>
          <w:rFonts w:ascii="Gill Sans MT" w:hAnsi="Gill Sans MT"/>
        </w:rPr>
        <w:t xml:space="preserve">since </w:t>
      </w:r>
      <w:r w:rsidR="00AD3451">
        <w:rPr>
          <w:rFonts w:ascii="Gill Sans MT" w:hAnsi="Gill Sans MT"/>
        </w:rPr>
        <w:t xml:space="preserve">the UK’s exit from the EU </w:t>
      </w:r>
      <w:r w:rsidR="00236B14">
        <w:rPr>
          <w:rFonts w:ascii="Gill Sans MT" w:hAnsi="Gill Sans MT"/>
        </w:rPr>
        <w:t xml:space="preserve">has </w:t>
      </w:r>
      <w:r w:rsidR="00AD3451">
        <w:rPr>
          <w:rFonts w:ascii="Gill Sans MT" w:hAnsi="Gill Sans MT"/>
        </w:rPr>
        <w:t>establish</w:t>
      </w:r>
      <w:r w:rsidR="00236B14">
        <w:rPr>
          <w:rFonts w:ascii="Gill Sans MT" w:hAnsi="Gill Sans MT"/>
        </w:rPr>
        <w:t>ed regulatory</w:t>
      </w:r>
      <w:r w:rsidR="00AD3451">
        <w:rPr>
          <w:rFonts w:ascii="Gill Sans MT" w:hAnsi="Gill Sans MT"/>
        </w:rPr>
        <w:t xml:space="preserve"> </w:t>
      </w:r>
      <w:r w:rsidR="00265756">
        <w:rPr>
          <w:rFonts w:ascii="Gill Sans MT" w:hAnsi="Gill Sans MT"/>
        </w:rPr>
        <w:t>barriers</w:t>
      </w:r>
      <w:r w:rsidR="00AD3451">
        <w:rPr>
          <w:rFonts w:ascii="Gill Sans MT" w:hAnsi="Gill Sans MT"/>
        </w:rPr>
        <w:t xml:space="preserve"> between Northern Ireland and the rest of the UK.</w:t>
      </w:r>
      <w:r w:rsidR="00467517">
        <w:rPr>
          <w:rStyle w:val="FootnoteReference"/>
          <w:rFonts w:ascii="Gill Sans MT" w:hAnsi="Gill Sans MT"/>
        </w:rPr>
        <w:footnoteReference w:id="122"/>
      </w:r>
      <w:r w:rsidR="00BF5253">
        <w:rPr>
          <w:rFonts w:ascii="Gill Sans MT" w:hAnsi="Gill Sans MT"/>
        </w:rPr>
        <w:t xml:space="preserve">  In that sense, even if the devolved legislatures have quickly become an embedded part of the UK’s constitutional architecture, the stability of that architecture cannot be taken for granted.</w:t>
      </w:r>
    </w:p>
    <w:p w14:paraId="39E2868E" w14:textId="53636039" w:rsidR="00266555" w:rsidRPr="00E150D0" w:rsidRDefault="00BF5253" w:rsidP="001137EA">
      <w:pPr>
        <w:spacing w:after="0" w:line="360" w:lineRule="auto"/>
        <w:jc w:val="both"/>
        <w:rPr>
          <w:rFonts w:ascii="Gill Sans MT" w:hAnsi="Gill Sans MT"/>
          <w:i/>
          <w:iCs/>
          <w:u w:val="single"/>
        </w:rPr>
      </w:pPr>
      <w:r>
        <w:rPr>
          <w:rFonts w:ascii="Gill Sans MT" w:hAnsi="Gill Sans MT"/>
        </w:rPr>
        <w:tab/>
      </w:r>
    </w:p>
    <w:p w14:paraId="34873A7A" w14:textId="1E469ECE" w:rsidR="00E150D0" w:rsidRDefault="00E150D0" w:rsidP="001137EA">
      <w:pPr>
        <w:pStyle w:val="ListParagraph"/>
        <w:numPr>
          <w:ilvl w:val="0"/>
          <w:numId w:val="1"/>
        </w:numPr>
        <w:spacing w:after="0" w:line="360" w:lineRule="auto"/>
        <w:rPr>
          <w:rFonts w:ascii="Gill Sans MT" w:hAnsi="Gill Sans MT"/>
          <w:i/>
          <w:iCs/>
          <w:u w:val="single"/>
        </w:rPr>
      </w:pPr>
      <w:r>
        <w:rPr>
          <w:rFonts w:ascii="Gill Sans MT" w:hAnsi="Gill Sans MT"/>
          <w:i/>
          <w:iCs/>
          <w:u w:val="single"/>
        </w:rPr>
        <w:t>Conclusion</w:t>
      </w:r>
    </w:p>
    <w:p w14:paraId="15B24D36" w14:textId="77777777" w:rsidR="00C5018D" w:rsidRPr="00C5018D" w:rsidRDefault="00C5018D" w:rsidP="001137EA">
      <w:pPr>
        <w:spacing w:after="0" w:line="360" w:lineRule="auto"/>
        <w:rPr>
          <w:rFonts w:ascii="Gill Sans MT" w:hAnsi="Gill Sans MT"/>
          <w:u w:val="single"/>
        </w:rPr>
      </w:pPr>
    </w:p>
    <w:p w14:paraId="01884B5E" w14:textId="26D490A3" w:rsidR="00497A74" w:rsidRPr="00A71E51" w:rsidRDefault="00E66814" w:rsidP="001137EA">
      <w:pPr>
        <w:spacing w:after="0" w:line="360" w:lineRule="auto"/>
        <w:jc w:val="both"/>
        <w:rPr>
          <w:rFonts w:ascii="Gill Sans MT" w:hAnsi="Gill Sans MT"/>
        </w:rPr>
      </w:pPr>
      <w:r>
        <w:rPr>
          <w:rFonts w:ascii="Gill Sans MT" w:hAnsi="Gill Sans MT"/>
        </w:rPr>
        <w:t xml:space="preserve">The legislature is a multidimensional institution which exercises a broad range of functions, reflecting its constitutional role as the central political forum of the nation.  </w:t>
      </w:r>
      <w:r w:rsidR="00A3643E">
        <w:rPr>
          <w:rFonts w:ascii="Gill Sans MT" w:hAnsi="Gill Sans MT"/>
        </w:rPr>
        <w:t>I</w:t>
      </w:r>
      <w:r>
        <w:rPr>
          <w:rFonts w:ascii="Gill Sans MT" w:hAnsi="Gill Sans MT"/>
        </w:rPr>
        <w:t>ts constitutional history is complex.  Overall</w:t>
      </w:r>
      <w:r w:rsidR="00A3643E">
        <w:rPr>
          <w:rFonts w:ascii="Gill Sans MT" w:hAnsi="Gill Sans MT"/>
        </w:rPr>
        <w:t>,</w:t>
      </w:r>
      <w:r>
        <w:rPr>
          <w:rFonts w:ascii="Gill Sans MT" w:hAnsi="Gill Sans MT"/>
        </w:rPr>
        <w:t xml:space="preserve"> we can see the histor</w:t>
      </w:r>
      <w:r w:rsidR="00A3643E">
        <w:rPr>
          <w:rFonts w:ascii="Gill Sans MT" w:hAnsi="Gill Sans MT"/>
        </w:rPr>
        <w:t>ical development</w:t>
      </w:r>
      <w:r>
        <w:rPr>
          <w:rFonts w:ascii="Gill Sans MT" w:hAnsi="Gill Sans MT"/>
        </w:rPr>
        <w:t xml:space="preserve"> of the legislature in the UK </w:t>
      </w:r>
      <w:r w:rsidR="00A3643E">
        <w:rPr>
          <w:rFonts w:ascii="Gill Sans MT" w:hAnsi="Gill Sans MT"/>
        </w:rPr>
        <w:t xml:space="preserve">first, in terms of </w:t>
      </w:r>
      <w:r>
        <w:rPr>
          <w:rFonts w:ascii="Gill Sans MT" w:hAnsi="Gill Sans MT"/>
        </w:rPr>
        <w:t>increas</w:t>
      </w:r>
      <w:r w:rsidR="00A3643E">
        <w:rPr>
          <w:rFonts w:ascii="Gill Sans MT" w:hAnsi="Gill Sans MT"/>
        </w:rPr>
        <w:t>ing</w:t>
      </w:r>
      <w:r>
        <w:rPr>
          <w:rFonts w:ascii="Gill Sans MT" w:hAnsi="Gill Sans MT"/>
        </w:rPr>
        <w:t xml:space="preserve"> constitutional authority</w:t>
      </w:r>
      <w:r w:rsidR="00A3643E">
        <w:rPr>
          <w:rFonts w:ascii="Gill Sans MT" w:hAnsi="Gill Sans MT"/>
        </w:rPr>
        <w:t xml:space="preserve">; secondly, </w:t>
      </w:r>
      <w:r>
        <w:rPr>
          <w:rFonts w:ascii="Gill Sans MT" w:hAnsi="Gill Sans MT"/>
        </w:rPr>
        <w:t>its democratic legitima</w:t>
      </w:r>
      <w:r w:rsidR="00A3643E">
        <w:rPr>
          <w:rFonts w:ascii="Gill Sans MT" w:hAnsi="Gill Sans MT"/>
        </w:rPr>
        <w:t>tion;</w:t>
      </w:r>
      <w:r>
        <w:rPr>
          <w:rFonts w:ascii="Gill Sans MT" w:hAnsi="Gill Sans MT"/>
        </w:rPr>
        <w:t xml:space="preserve"> and</w:t>
      </w:r>
      <w:r w:rsidR="00A3643E">
        <w:rPr>
          <w:rFonts w:ascii="Gill Sans MT" w:hAnsi="Gill Sans MT"/>
        </w:rPr>
        <w:t>, thirdly,</w:t>
      </w:r>
      <w:r>
        <w:rPr>
          <w:rFonts w:ascii="Gill Sans MT" w:hAnsi="Gill Sans MT"/>
        </w:rPr>
        <w:t xml:space="preserve"> </w:t>
      </w:r>
      <w:r w:rsidR="00A3643E">
        <w:rPr>
          <w:rFonts w:ascii="Gill Sans MT" w:hAnsi="Gill Sans MT"/>
        </w:rPr>
        <w:t xml:space="preserve">the creation of </w:t>
      </w:r>
      <w:r>
        <w:rPr>
          <w:rFonts w:ascii="Gill Sans MT" w:hAnsi="Gill Sans MT"/>
        </w:rPr>
        <w:t xml:space="preserve">other legislatures to which it has dispersed (some of) its law-making power.  The risk in </w:t>
      </w:r>
      <w:r w:rsidR="00345383">
        <w:rPr>
          <w:rFonts w:ascii="Gill Sans MT" w:hAnsi="Gill Sans MT"/>
        </w:rPr>
        <w:t>this</w:t>
      </w:r>
      <w:r>
        <w:rPr>
          <w:rFonts w:ascii="Gill Sans MT" w:hAnsi="Gill Sans MT"/>
        </w:rPr>
        <w:t xml:space="preserve"> narrative is it tempts us to believe there is a natural next step, which is the creation of a federal UK in a codified constitution.  Yet this is not </w:t>
      </w:r>
      <w:r w:rsidR="00345383">
        <w:rPr>
          <w:rFonts w:ascii="Gill Sans MT" w:hAnsi="Gill Sans MT"/>
        </w:rPr>
        <w:t xml:space="preserve">the inevitable end of the UK’s constitutional history, but a political choice which must be approached as such.  </w:t>
      </w:r>
      <w:r w:rsidR="00467748">
        <w:rPr>
          <w:rFonts w:ascii="Gill Sans MT" w:hAnsi="Gill Sans MT"/>
        </w:rPr>
        <w:t>F</w:t>
      </w:r>
      <w:r w:rsidR="00345383">
        <w:rPr>
          <w:rFonts w:ascii="Gill Sans MT" w:hAnsi="Gill Sans MT"/>
        </w:rPr>
        <w:t xml:space="preserve">urther change to the relationships between the UK’s legislatures </w:t>
      </w:r>
      <w:r w:rsidR="00467748">
        <w:rPr>
          <w:rFonts w:ascii="Gill Sans MT" w:hAnsi="Gill Sans MT"/>
        </w:rPr>
        <w:t xml:space="preserve">may be </w:t>
      </w:r>
      <w:r w:rsidR="00345383">
        <w:rPr>
          <w:rFonts w:ascii="Gill Sans MT" w:hAnsi="Gill Sans MT"/>
        </w:rPr>
        <w:t xml:space="preserve">ahead, </w:t>
      </w:r>
      <w:r w:rsidR="00467748">
        <w:rPr>
          <w:rFonts w:ascii="Gill Sans MT" w:hAnsi="Gill Sans MT"/>
        </w:rPr>
        <w:t>but constitutional history suggests that reform will continue to occur within our enduring parliamentary framework.</w:t>
      </w:r>
    </w:p>
    <w:sectPr w:rsidR="00497A74" w:rsidRPr="00A71E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D9AE" w14:textId="77777777" w:rsidR="008D7C1B" w:rsidRDefault="008D7C1B" w:rsidP="00C56E6A">
      <w:pPr>
        <w:spacing w:after="0" w:line="240" w:lineRule="auto"/>
      </w:pPr>
      <w:r>
        <w:separator/>
      </w:r>
    </w:p>
  </w:endnote>
  <w:endnote w:type="continuationSeparator" w:id="0">
    <w:p w14:paraId="34F2D6A7" w14:textId="77777777" w:rsidR="008D7C1B" w:rsidRDefault="008D7C1B" w:rsidP="00C5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inion-Regular">
    <w:altName w:val="Cambria"/>
    <w:charset w:val="00"/>
    <w:family w:val="roman"/>
    <w:pitch w:val="default"/>
    <w:sig w:usb0="00000003" w:usb1="00000000" w:usb2="00000000" w:usb3="00000000" w:csb0="00000001" w:csb1="00000000"/>
  </w:font>
  <w:font w:name="Minion-Italic">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59615"/>
      <w:docPartObj>
        <w:docPartGallery w:val="Page Numbers (Bottom of Page)"/>
        <w:docPartUnique/>
      </w:docPartObj>
    </w:sdtPr>
    <w:sdtEndPr>
      <w:rPr>
        <w:noProof/>
      </w:rPr>
    </w:sdtEndPr>
    <w:sdtContent>
      <w:p w14:paraId="7C0D6823" w14:textId="07D233E3" w:rsidR="00BE2A5F" w:rsidRDefault="00BE2A5F">
        <w:pPr>
          <w:pStyle w:val="Footer"/>
          <w:jc w:val="center"/>
        </w:pPr>
        <w:r w:rsidRPr="00CF2027">
          <w:rPr>
            <w:rFonts w:ascii="Gill Sans MT" w:hAnsi="Gill Sans MT"/>
          </w:rPr>
          <w:fldChar w:fldCharType="begin"/>
        </w:r>
        <w:r w:rsidRPr="00CF2027">
          <w:rPr>
            <w:rFonts w:ascii="Gill Sans MT" w:hAnsi="Gill Sans MT"/>
          </w:rPr>
          <w:instrText xml:space="preserve"> PAGE   \* MERGEFORMAT </w:instrText>
        </w:r>
        <w:r w:rsidRPr="00CF2027">
          <w:rPr>
            <w:rFonts w:ascii="Gill Sans MT" w:hAnsi="Gill Sans MT"/>
          </w:rPr>
          <w:fldChar w:fldCharType="separate"/>
        </w:r>
        <w:r w:rsidRPr="00CF2027">
          <w:rPr>
            <w:rFonts w:ascii="Gill Sans MT" w:hAnsi="Gill Sans MT"/>
            <w:noProof/>
          </w:rPr>
          <w:t>2</w:t>
        </w:r>
        <w:r w:rsidRPr="00CF2027">
          <w:rPr>
            <w:rFonts w:ascii="Gill Sans MT" w:hAnsi="Gill Sans MT"/>
            <w:noProof/>
          </w:rPr>
          <w:fldChar w:fldCharType="end"/>
        </w:r>
      </w:p>
    </w:sdtContent>
  </w:sdt>
  <w:p w14:paraId="577D4254" w14:textId="77777777" w:rsidR="00BE2A5F" w:rsidRDefault="00BE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4583" w14:textId="77777777" w:rsidR="008D7C1B" w:rsidRDefault="008D7C1B" w:rsidP="00C56E6A">
      <w:pPr>
        <w:spacing w:after="0" w:line="240" w:lineRule="auto"/>
      </w:pPr>
      <w:r>
        <w:separator/>
      </w:r>
    </w:p>
  </w:footnote>
  <w:footnote w:type="continuationSeparator" w:id="0">
    <w:p w14:paraId="78228B1C" w14:textId="77777777" w:rsidR="008D7C1B" w:rsidRDefault="008D7C1B" w:rsidP="00C56E6A">
      <w:pPr>
        <w:spacing w:after="0" w:line="240" w:lineRule="auto"/>
      </w:pPr>
      <w:r>
        <w:continuationSeparator/>
      </w:r>
    </w:p>
  </w:footnote>
  <w:footnote w:id="1">
    <w:p w14:paraId="3DEA73A8" w14:textId="28CD5A62" w:rsidR="00BE2A5F" w:rsidRPr="00D704FD" w:rsidRDefault="00BE2A5F" w:rsidP="00BD5540">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The</w:t>
      </w:r>
      <w:r w:rsidRPr="00D704FD">
        <w:rPr>
          <w:rFonts w:ascii="Gill Sans MT" w:hAnsi="Gill Sans MT"/>
        </w:rPr>
        <w:t xml:space="preserve"> Government of Ireland Act 1920</w:t>
      </w:r>
      <w:r>
        <w:rPr>
          <w:rFonts w:ascii="Gill Sans MT" w:hAnsi="Gill Sans MT"/>
        </w:rPr>
        <w:t xml:space="preserve"> sought to establish Parliaments for both ‘Northern’ Ireland and ‘Southern’ Ireland following the formation of an independent </w:t>
      </w:r>
      <w:proofErr w:type="spellStart"/>
      <w:r>
        <w:rPr>
          <w:rFonts w:ascii="Gill Sans MT" w:hAnsi="Gill Sans MT"/>
        </w:rPr>
        <w:t>Dail</w:t>
      </w:r>
      <w:proofErr w:type="spellEnd"/>
      <w:r>
        <w:rPr>
          <w:rFonts w:ascii="Gill Sans MT" w:hAnsi="Gill Sans MT"/>
        </w:rPr>
        <w:t xml:space="preserve"> Eireann in 1919.  The Irish Free State Constitution Act 1922 provided British recognition to the Constitution passed by the Third </w:t>
      </w:r>
      <w:proofErr w:type="spellStart"/>
      <w:r>
        <w:rPr>
          <w:rFonts w:ascii="Gill Sans MT" w:hAnsi="Gill Sans MT"/>
        </w:rPr>
        <w:t>Dail</w:t>
      </w:r>
      <w:proofErr w:type="spellEnd"/>
      <w:r>
        <w:rPr>
          <w:rFonts w:ascii="Gill Sans MT" w:hAnsi="Gill Sans MT"/>
        </w:rPr>
        <w:t xml:space="preserve"> Eireann acting as an Irish constituent assembly in 1922.</w:t>
      </w:r>
    </w:p>
  </w:footnote>
  <w:footnote w:id="2">
    <w:p w14:paraId="7547957D" w14:textId="1AB8A19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T Glyn Watkin, </w:t>
      </w:r>
      <w:r w:rsidRPr="00D704FD">
        <w:rPr>
          <w:rFonts w:ascii="Gill Sans MT" w:hAnsi="Gill Sans MT"/>
          <w:i/>
          <w:iCs/>
        </w:rPr>
        <w:t>The Legal History of Wales</w:t>
      </w:r>
      <w:r w:rsidRPr="00D704FD">
        <w:rPr>
          <w:rFonts w:ascii="Gill Sans MT" w:hAnsi="Gill Sans MT"/>
        </w:rPr>
        <w:t xml:space="preserve"> (University of Wales Press, 2</w:t>
      </w:r>
      <w:r w:rsidRPr="00D704FD">
        <w:rPr>
          <w:rFonts w:ascii="Gill Sans MT" w:hAnsi="Gill Sans MT"/>
          <w:vertAlign w:val="superscript"/>
        </w:rPr>
        <w:t>nd</w:t>
      </w:r>
      <w:r w:rsidRPr="00D704FD">
        <w:rPr>
          <w:rFonts w:ascii="Gill Sans MT" w:hAnsi="Gill Sans MT"/>
        </w:rPr>
        <w:t xml:space="preserve"> ed, 2012) 112, 126-128.  </w:t>
      </w:r>
      <w:r w:rsidRPr="00D704FD">
        <w:rPr>
          <w:rFonts w:ascii="Gill Sans MT" w:hAnsi="Gill Sans MT" w:cs="Helvetica"/>
          <w:shd w:val="clear" w:color="auto" w:fill="FFFFFF"/>
        </w:rPr>
        <w:t>Act for Law and Justice to be Ministered in Wales in like Form as it is in this Realm of 1535/6; Act for Certain Ordinances in the King’s Dominion and Principality of Wales of 1542/3.</w:t>
      </w:r>
    </w:p>
  </w:footnote>
  <w:footnote w:id="3">
    <w:p w14:paraId="74C618A7" w14:textId="695F73FB"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 xml:space="preserve">As claimed on the UK Parliament’s website: </w:t>
      </w:r>
      <w:hyperlink r:id="rId1" w:history="1">
        <w:r w:rsidRPr="00EE77B3">
          <w:rPr>
            <w:rStyle w:val="Hyperlink"/>
            <w:rFonts w:ascii="Gill Sans MT" w:hAnsi="Gill Sans MT"/>
          </w:rPr>
          <w:t>https://www.parliament.uk/about/living-heritage/evolutionofparliament/originsofparliament/birthofparliament/overview/simondemontfort/</w:t>
        </w:r>
      </w:hyperlink>
      <w:r>
        <w:rPr>
          <w:rFonts w:ascii="Gill Sans MT" w:hAnsi="Gill Sans MT"/>
        </w:rPr>
        <w:t xml:space="preserve"> </w:t>
      </w:r>
    </w:p>
  </w:footnote>
  <w:footnote w:id="4">
    <w:p w14:paraId="4FBD8A02" w14:textId="441A7D94"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H </w:t>
      </w:r>
      <w:proofErr w:type="spellStart"/>
      <w:r w:rsidRPr="00D704FD">
        <w:rPr>
          <w:rFonts w:ascii="Gill Sans MT" w:hAnsi="Gill Sans MT"/>
        </w:rPr>
        <w:t>Kumarasingham</w:t>
      </w:r>
      <w:proofErr w:type="spellEnd"/>
      <w:r w:rsidRPr="00D704FD">
        <w:rPr>
          <w:rFonts w:ascii="Gill Sans MT" w:hAnsi="Gill Sans MT"/>
        </w:rPr>
        <w:t xml:space="preserve">, ‘Sir Ivor Jennings’ “The Conversion of History into Law”’ (2016) 56 </w:t>
      </w:r>
      <w:r w:rsidRPr="00D704FD">
        <w:rPr>
          <w:rFonts w:ascii="Gill Sans MT" w:hAnsi="Gill Sans MT"/>
          <w:i/>
          <w:iCs/>
        </w:rPr>
        <w:t xml:space="preserve">American Journal of Legal History </w:t>
      </w:r>
      <w:r w:rsidRPr="00D704FD">
        <w:rPr>
          <w:rFonts w:ascii="Gill Sans MT" w:hAnsi="Gill Sans MT"/>
        </w:rPr>
        <w:t>113-127,</w:t>
      </w:r>
      <w:r>
        <w:rPr>
          <w:rFonts w:ascii="Gill Sans MT" w:hAnsi="Gill Sans MT"/>
        </w:rPr>
        <w:t xml:space="preserve"> 124</w:t>
      </w:r>
      <w:r w:rsidRPr="00D704FD">
        <w:rPr>
          <w:rFonts w:ascii="Gill Sans MT" w:hAnsi="Gill Sans MT"/>
        </w:rPr>
        <w:t xml:space="preserve"> </w:t>
      </w:r>
      <w:r>
        <w:rPr>
          <w:rFonts w:ascii="Gill Sans MT" w:hAnsi="Gill Sans MT"/>
        </w:rPr>
        <w:t>(</w:t>
      </w:r>
      <w:r w:rsidRPr="00D704FD">
        <w:rPr>
          <w:rFonts w:ascii="Gill Sans MT" w:hAnsi="Gill Sans MT"/>
        </w:rPr>
        <w:t>making available the text of a lecture given by Jennings in March 1960</w:t>
      </w:r>
      <w:r>
        <w:rPr>
          <w:rFonts w:ascii="Gill Sans MT" w:hAnsi="Gill Sans MT"/>
        </w:rPr>
        <w:t>)</w:t>
      </w:r>
      <w:r w:rsidRPr="00D704FD">
        <w:rPr>
          <w:rFonts w:ascii="Gill Sans MT" w:hAnsi="Gill Sans MT"/>
        </w:rPr>
        <w:t>.</w:t>
      </w:r>
    </w:p>
  </w:footnote>
  <w:footnote w:id="5">
    <w:p w14:paraId="15C4FB12" w14:textId="72F2FCC7" w:rsidR="00BE2A5F" w:rsidRPr="00690D01"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690D01">
        <w:rPr>
          <w:rFonts w:ascii="Gill Sans MT" w:hAnsi="Gill Sans MT"/>
        </w:rPr>
        <w:t xml:space="preserve">See E Jenks, ‘The Myth of Magna Carta’ (1904) 4 </w:t>
      </w:r>
      <w:r w:rsidRPr="00690D01">
        <w:rPr>
          <w:rFonts w:ascii="Gill Sans MT" w:hAnsi="Gill Sans MT"/>
          <w:i/>
          <w:iCs/>
        </w:rPr>
        <w:t xml:space="preserve">Independent Review </w:t>
      </w:r>
      <w:r w:rsidRPr="00690D01">
        <w:rPr>
          <w:rFonts w:ascii="Gill Sans MT" w:hAnsi="Gill Sans MT"/>
        </w:rPr>
        <w:t>260.</w:t>
      </w:r>
    </w:p>
  </w:footnote>
  <w:footnote w:id="6">
    <w:p w14:paraId="06F9E4DF" w14:textId="6ED84265" w:rsidR="00BE2A5F" w:rsidRPr="00A83868" w:rsidRDefault="00BE2A5F">
      <w:pPr>
        <w:pStyle w:val="FootnoteText"/>
        <w:rPr>
          <w:rFonts w:ascii="Gill Sans MT" w:hAnsi="Gill Sans MT"/>
        </w:rPr>
      </w:pPr>
      <w:r w:rsidRPr="00690D01">
        <w:rPr>
          <w:rStyle w:val="FootnoteReference"/>
          <w:rFonts w:ascii="Gill Sans MT" w:hAnsi="Gill Sans MT"/>
        </w:rPr>
        <w:footnoteRef/>
      </w:r>
      <w:r w:rsidRPr="00690D01">
        <w:rPr>
          <w:rFonts w:ascii="Gill Sans MT" w:hAnsi="Gill Sans MT"/>
        </w:rPr>
        <w:t xml:space="preserve"> </w:t>
      </w:r>
      <w:r>
        <w:rPr>
          <w:rFonts w:ascii="Gill Sans MT" w:hAnsi="Gill Sans MT"/>
        </w:rPr>
        <w:t xml:space="preserve">See MW </w:t>
      </w:r>
      <w:proofErr w:type="spellStart"/>
      <w:r>
        <w:rPr>
          <w:rFonts w:ascii="Gill Sans MT" w:hAnsi="Gill Sans MT"/>
        </w:rPr>
        <w:t>Labarge</w:t>
      </w:r>
      <w:proofErr w:type="spellEnd"/>
      <w:r>
        <w:rPr>
          <w:rFonts w:ascii="Gill Sans MT" w:hAnsi="Gill Sans MT"/>
        </w:rPr>
        <w:t xml:space="preserve">, ‘Simon de </w:t>
      </w:r>
      <w:proofErr w:type="spellStart"/>
      <w:r>
        <w:rPr>
          <w:rFonts w:ascii="Gill Sans MT" w:hAnsi="Gill Sans MT"/>
        </w:rPr>
        <w:t>Monfort’s</w:t>
      </w:r>
      <w:proofErr w:type="spellEnd"/>
      <w:r>
        <w:rPr>
          <w:rFonts w:ascii="Gill Sans MT" w:hAnsi="Gill Sans MT"/>
        </w:rPr>
        <w:t xml:space="preserve"> Parliament’ (1964) </w:t>
      </w:r>
      <w:r>
        <w:rPr>
          <w:rFonts w:ascii="Gill Sans MT" w:hAnsi="Gill Sans MT"/>
          <w:i/>
          <w:iCs/>
        </w:rPr>
        <w:t xml:space="preserve">Parliamentary Affairs </w:t>
      </w:r>
      <w:r>
        <w:rPr>
          <w:rFonts w:ascii="Gill Sans MT" w:hAnsi="Gill Sans MT"/>
        </w:rPr>
        <w:t>13-19.</w:t>
      </w:r>
    </w:p>
  </w:footnote>
  <w:footnote w:id="7">
    <w:p w14:paraId="5C82B275" w14:textId="4AE30A99"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Stubbs, </w:t>
      </w:r>
      <w:r w:rsidRPr="00D704FD">
        <w:rPr>
          <w:rFonts w:ascii="Gill Sans MT" w:hAnsi="Gill Sans MT"/>
          <w:i/>
          <w:iCs/>
        </w:rPr>
        <w:t>Constitutional History</w:t>
      </w:r>
      <w:r w:rsidRPr="00D704FD">
        <w:rPr>
          <w:rFonts w:ascii="Gill Sans MT" w:hAnsi="Gill Sans MT"/>
        </w:rPr>
        <w:t xml:space="preserve">, 134; see generally HG Richardson and GO Sayles, </w:t>
      </w:r>
      <w:r w:rsidRPr="00D704FD">
        <w:rPr>
          <w:rFonts w:ascii="Gill Sans MT" w:hAnsi="Gill Sans MT"/>
          <w:i/>
          <w:iCs/>
        </w:rPr>
        <w:t xml:space="preserve">The English Parliament in the Middle Ages </w:t>
      </w:r>
      <w:r w:rsidRPr="00D704FD">
        <w:rPr>
          <w:rFonts w:ascii="Gill Sans MT" w:hAnsi="Gill Sans MT"/>
        </w:rPr>
        <w:t>(</w:t>
      </w:r>
      <w:proofErr w:type="spellStart"/>
      <w:r w:rsidRPr="00D704FD">
        <w:rPr>
          <w:rFonts w:ascii="Gill Sans MT" w:hAnsi="Gill Sans MT"/>
        </w:rPr>
        <w:t>Hambledon</w:t>
      </w:r>
      <w:proofErr w:type="spellEnd"/>
      <w:r w:rsidRPr="00D704FD">
        <w:rPr>
          <w:rFonts w:ascii="Gill Sans MT" w:hAnsi="Gill Sans MT"/>
        </w:rPr>
        <w:t xml:space="preserve"> Press, 1981) 31-32.</w:t>
      </w:r>
    </w:p>
  </w:footnote>
  <w:footnote w:id="8">
    <w:p w14:paraId="31B439EE" w14:textId="5E613C22"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J </w:t>
      </w:r>
      <w:proofErr w:type="spellStart"/>
      <w:r w:rsidRPr="00D704FD">
        <w:rPr>
          <w:rFonts w:ascii="Gill Sans MT" w:hAnsi="Gill Sans MT"/>
        </w:rPr>
        <w:t>Maddicott</w:t>
      </w:r>
      <w:proofErr w:type="spellEnd"/>
      <w:r w:rsidRPr="00D704FD">
        <w:rPr>
          <w:rFonts w:ascii="Gill Sans MT" w:hAnsi="Gill Sans MT"/>
        </w:rPr>
        <w:t xml:space="preserve">, </w:t>
      </w:r>
      <w:r w:rsidRPr="00D704FD">
        <w:rPr>
          <w:rFonts w:ascii="Gill Sans MT" w:hAnsi="Gill Sans MT"/>
          <w:i/>
          <w:iCs/>
        </w:rPr>
        <w:t>The Origins of the English Parliament, 924-1327</w:t>
      </w:r>
      <w:r w:rsidRPr="00D704FD">
        <w:rPr>
          <w:rFonts w:ascii="Gill Sans MT" w:hAnsi="Gill Sans MT"/>
        </w:rPr>
        <w:t xml:space="preserve"> (Oxford, 2010).</w:t>
      </w:r>
    </w:p>
  </w:footnote>
  <w:footnote w:id="9">
    <w:p w14:paraId="268B0334" w14:textId="216ECB14"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305-306.</w:t>
      </w:r>
    </w:p>
  </w:footnote>
  <w:footnote w:id="10">
    <w:p w14:paraId="39CAC0D3" w14:textId="6EF28D52"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GR Elton, ‘Presidential Address: Tudor Government: The Points of Contact: I. Parliament’ (1974) 24 </w:t>
      </w:r>
      <w:r w:rsidRPr="00D704FD">
        <w:rPr>
          <w:rFonts w:ascii="Gill Sans MT" w:hAnsi="Gill Sans MT"/>
          <w:i/>
          <w:iCs/>
        </w:rPr>
        <w:t xml:space="preserve">Transactions of the Royal Historical Society </w:t>
      </w:r>
      <w:r w:rsidRPr="00D704FD">
        <w:rPr>
          <w:rFonts w:ascii="Gill Sans MT" w:hAnsi="Gill Sans MT"/>
        </w:rPr>
        <w:t>183-200, 185.</w:t>
      </w:r>
    </w:p>
  </w:footnote>
  <w:footnote w:id="11">
    <w:p w14:paraId="4D31F76C" w14:textId="74FC5DC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SB </w:t>
      </w:r>
      <w:proofErr w:type="spellStart"/>
      <w:r w:rsidRPr="00D704FD">
        <w:rPr>
          <w:rFonts w:ascii="Gill Sans MT" w:hAnsi="Gill Sans MT"/>
        </w:rPr>
        <w:t>C</w:t>
      </w:r>
      <w:r>
        <w:rPr>
          <w:rFonts w:ascii="Gill Sans MT" w:hAnsi="Gill Sans MT"/>
        </w:rPr>
        <w:t>h</w:t>
      </w:r>
      <w:r w:rsidRPr="00D704FD">
        <w:rPr>
          <w:rFonts w:ascii="Gill Sans MT" w:hAnsi="Gill Sans MT"/>
        </w:rPr>
        <w:t>rimes</w:t>
      </w:r>
      <w:proofErr w:type="spellEnd"/>
      <w:r w:rsidRPr="00D704FD">
        <w:rPr>
          <w:rFonts w:ascii="Gill Sans MT" w:hAnsi="Gill Sans MT"/>
        </w:rPr>
        <w:t xml:space="preserve">, </w:t>
      </w:r>
      <w:r w:rsidRPr="00D704FD">
        <w:rPr>
          <w:rFonts w:ascii="Gill Sans MT" w:hAnsi="Gill Sans MT"/>
          <w:i/>
          <w:iCs/>
        </w:rPr>
        <w:t xml:space="preserve">English Constitutional Ideas in the Fifteenth Century </w:t>
      </w:r>
      <w:r w:rsidRPr="00D704FD">
        <w:rPr>
          <w:rFonts w:ascii="Gill Sans MT" w:hAnsi="Gill Sans MT"/>
        </w:rPr>
        <w:t xml:space="preserve">(Cambridge, 1936) 161-164. </w:t>
      </w:r>
    </w:p>
  </w:footnote>
  <w:footnote w:id="12">
    <w:p w14:paraId="0188D10A" w14:textId="4F3987E9"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GR Elton, </w:t>
      </w:r>
      <w:r w:rsidRPr="00D704FD">
        <w:rPr>
          <w:rFonts w:ascii="Gill Sans MT" w:hAnsi="Gill Sans MT"/>
          <w:i/>
          <w:iCs/>
        </w:rPr>
        <w:t xml:space="preserve">Studies in Tudor and Stuart Politics and Government, Paper and Reviews 1946-1972: Volume 2, Parliament/Political Thought </w:t>
      </w:r>
      <w:r w:rsidRPr="00D704FD">
        <w:rPr>
          <w:rFonts w:ascii="Gill Sans MT" w:hAnsi="Gill Sans MT"/>
        </w:rPr>
        <w:t>(CUP, 1974) 32.</w:t>
      </w:r>
    </w:p>
  </w:footnote>
  <w:footnote w:id="13">
    <w:p w14:paraId="3B18FB78" w14:textId="22AF9F9B" w:rsidR="00BE2A5F" w:rsidRPr="00D704FD" w:rsidRDefault="00BE2A5F">
      <w:pPr>
        <w:pStyle w:val="FootnoteText"/>
        <w:rPr>
          <w:rFonts w:ascii="Gill Sans MT" w:hAnsi="Gill Sans MT"/>
        </w:rPr>
      </w:pPr>
      <w:r w:rsidRPr="00D704FD">
        <w:rPr>
          <w:rStyle w:val="FootnoteReference"/>
          <w:rFonts w:ascii="Gill Sans MT" w:hAnsi="Gill Sans MT"/>
        </w:rPr>
        <w:footnoteRef/>
      </w:r>
      <w:r>
        <w:rPr>
          <w:rFonts w:ascii="Gill Sans MT" w:hAnsi="Gill Sans MT"/>
        </w:rPr>
        <w:t xml:space="preserve"> </w:t>
      </w:r>
      <w:r w:rsidRPr="00D704FD">
        <w:rPr>
          <w:rFonts w:ascii="Gill Sans MT" w:hAnsi="Gill Sans MT"/>
        </w:rPr>
        <w:t>Elton</w:t>
      </w:r>
      <w:r>
        <w:rPr>
          <w:rFonts w:ascii="Gill Sans MT" w:hAnsi="Gill Sans MT"/>
        </w:rPr>
        <w:t xml:space="preserve"> (n.13)</w:t>
      </w:r>
      <w:r w:rsidRPr="00D704FD">
        <w:rPr>
          <w:rFonts w:ascii="Gill Sans MT" w:hAnsi="Gill Sans MT"/>
        </w:rPr>
        <w:t xml:space="preserve"> 186.</w:t>
      </w:r>
    </w:p>
  </w:footnote>
  <w:footnote w:id="14">
    <w:p w14:paraId="14E418E4" w14:textId="3C8C457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D Lemming, </w:t>
      </w:r>
      <w:r w:rsidRPr="00D704FD">
        <w:rPr>
          <w:rFonts w:ascii="Gill Sans MT" w:hAnsi="Gill Sans MT"/>
          <w:i/>
          <w:iCs/>
        </w:rPr>
        <w:t xml:space="preserve">Law and Government in England During the Long Eighteenth Century: From Consent to Command </w:t>
      </w:r>
      <w:r w:rsidRPr="00D704FD">
        <w:rPr>
          <w:rFonts w:ascii="Gill Sans MT" w:hAnsi="Gill Sans MT"/>
        </w:rPr>
        <w:t>(Palgrave Macmillan, 2011) 171.</w:t>
      </w:r>
    </w:p>
  </w:footnote>
  <w:footnote w:id="15">
    <w:p w14:paraId="4CF596CA" w14:textId="66BD4E69" w:rsidR="00BE2A5F" w:rsidRPr="00D704FD" w:rsidRDefault="00BE2A5F" w:rsidP="00F43DD5">
      <w:pPr>
        <w:pStyle w:val="Heading1"/>
        <w:shd w:val="clear" w:color="auto" w:fill="FFFFFF"/>
        <w:spacing w:before="0" w:beforeAutospacing="0" w:after="0" w:afterAutospacing="0"/>
        <w:rPr>
          <w:rFonts w:ascii="Gill Sans MT" w:hAnsi="Gill Sans MT"/>
          <w:b w:val="0"/>
          <w:bCs w:val="0"/>
          <w:sz w:val="20"/>
          <w:szCs w:val="20"/>
        </w:rPr>
      </w:pPr>
      <w:r w:rsidRPr="00D704FD">
        <w:rPr>
          <w:rStyle w:val="FootnoteReference"/>
          <w:rFonts w:ascii="Gill Sans MT" w:hAnsi="Gill Sans MT"/>
          <w:b w:val="0"/>
          <w:bCs w:val="0"/>
          <w:sz w:val="20"/>
          <w:szCs w:val="20"/>
        </w:rPr>
        <w:footnoteRef/>
      </w:r>
      <w:r w:rsidRPr="00D704FD">
        <w:rPr>
          <w:rFonts w:ascii="Gill Sans MT" w:hAnsi="Gill Sans MT"/>
          <w:b w:val="0"/>
          <w:bCs w:val="0"/>
          <w:sz w:val="20"/>
          <w:szCs w:val="20"/>
        </w:rPr>
        <w:t xml:space="preserve"> See H </w:t>
      </w:r>
      <w:proofErr w:type="spellStart"/>
      <w:r w:rsidRPr="00D704FD">
        <w:rPr>
          <w:rFonts w:ascii="Gill Sans MT" w:hAnsi="Gill Sans MT"/>
          <w:b w:val="0"/>
          <w:bCs w:val="0"/>
          <w:sz w:val="20"/>
          <w:szCs w:val="20"/>
        </w:rPr>
        <w:t>Kleineke</w:t>
      </w:r>
      <w:proofErr w:type="spellEnd"/>
      <w:r w:rsidRPr="00D704FD">
        <w:rPr>
          <w:rFonts w:ascii="Gill Sans MT" w:hAnsi="Gill Sans MT"/>
          <w:b w:val="0"/>
          <w:bCs w:val="0"/>
          <w:sz w:val="20"/>
          <w:szCs w:val="20"/>
        </w:rPr>
        <w:t xml:space="preserve">, ‘The Good, the Bad and the Wonderful: The dramatic Parliaments of the late 14th century (Part One)’, </w:t>
      </w:r>
      <w:r w:rsidRPr="00D704FD">
        <w:rPr>
          <w:rFonts w:ascii="Gill Sans MT" w:hAnsi="Gill Sans MT"/>
          <w:b w:val="0"/>
          <w:bCs w:val="0"/>
          <w:i/>
          <w:iCs/>
          <w:sz w:val="20"/>
          <w:szCs w:val="20"/>
        </w:rPr>
        <w:t xml:space="preserve">The History of Parliament Blog </w:t>
      </w:r>
      <w:r w:rsidRPr="00D704FD">
        <w:rPr>
          <w:rFonts w:ascii="Gill Sans MT" w:hAnsi="Gill Sans MT"/>
          <w:b w:val="0"/>
          <w:bCs w:val="0"/>
          <w:sz w:val="20"/>
          <w:szCs w:val="20"/>
        </w:rPr>
        <w:t xml:space="preserve">(18 June 2019): </w:t>
      </w:r>
      <w:hyperlink r:id="rId2" w:history="1">
        <w:r w:rsidRPr="00D704FD">
          <w:rPr>
            <w:rStyle w:val="Hyperlink"/>
            <w:rFonts w:ascii="Gill Sans MT" w:hAnsi="Gill Sans MT"/>
            <w:b w:val="0"/>
            <w:bCs w:val="0"/>
            <w:color w:val="auto"/>
            <w:sz w:val="20"/>
            <w:szCs w:val="20"/>
          </w:rPr>
          <w:t>https://thehistoryofparliament.wordpress.com/2019/06/18/the-good-the-bad-and-the-wonderful-the-dramatic-parliaments-of-the-late-14th-century-part-one/</w:t>
        </w:r>
      </w:hyperlink>
    </w:p>
  </w:footnote>
  <w:footnote w:id="16">
    <w:p w14:paraId="6160C7F7" w14:textId="02D8C135" w:rsidR="00BE2A5F" w:rsidRPr="00D704FD" w:rsidRDefault="00BE2A5F" w:rsidP="00F43DD5">
      <w:pPr>
        <w:shd w:val="clear" w:color="auto" w:fill="FFFFFF"/>
        <w:spacing w:after="0"/>
        <w:rPr>
          <w:rFonts w:ascii="Gill Sans MT" w:hAnsi="Gill Sans MT"/>
          <w:sz w:val="20"/>
          <w:szCs w:val="20"/>
        </w:rPr>
      </w:pPr>
      <w:r w:rsidRPr="00D704FD">
        <w:rPr>
          <w:rStyle w:val="FootnoteReference"/>
          <w:rFonts w:ascii="Gill Sans MT" w:hAnsi="Gill Sans MT"/>
          <w:sz w:val="20"/>
          <w:szCs w:val="20"/>
        </w:rPr>
        <w:footnoteRef/>
      </w:r>
      <w:r w:rsidRPr="00D704FD">
        <w:rPr>
          <w:rFonts w:ascii="Gill Sans MT" w:hAnsi="Gill Sans MT"/>
          <w:sz w:val="20"/>
          <w:szCs w:val="20"/>
        </w:rPr>
        <w:t xml:space="preserve"> See TFT </w:t>
      </w:r>
      <w:proofErr w:type="spellStart"/>
      <w:r w:rsidRPr="00D704FD">
        <w:rPr>
          <w:rFonts w:ascii="Gill Sans MT" w:hAnsi="Gill Sans MT"/>
          <w:sz w:val="20"/>
          <w:szCs w:val="20"/>
        </w:rPr>
        <w:t>Plucknett</w:t>
      </w:r>
      <w:proofErr w:type="spellEnd"/>
      <w:r w:rsidRPr="00D704FD">
        <w:rPr>
          <w:rFonts w:ascii="Gill Sans MT" w:hAnsi="Gill Sans MT"/>
          <w:sz w:val="20"/>
          <w:szCs w:val="20"/>
        </w:rPr>
        <w:t xml:space="preserve">, ‘The Origin of Impeachment’ (1942) </w:t>
      </w:r>
      <w:r w:rsidRPr="00D704FD">
        <w:rPr>
          <w:rFonts w:ascii="Gill Sans MT" w:hAnsi="Gill Sans MT"/>
          <w:i/>
          <w:iCs/>
          <w:sz w:val="20"/>
          <w:szCs w:val="20"/>
        </w:rPr>
        <w:t xml:space="preserve">Transactions of the Royal Historical Society </w:t>
      </w:r>
      <w:r w:rsidRPr="00D704FD">
        <w:rPr>
          <w:rFonts w:ascii="Gill Sans MT" w:hAnsi="Gill Sans MT"/>
          <w:sz w:val="20"/>
          <w:szCs w:val="20"/>
        </w:rPr>
        <w:t xml:space="preserve">47-71; JG Bellamy, ‘Appeal and Impeachment in the Good Parliament’ (1966) 39 </w:t>
      </w:r>
      <w:r w:rsidRPr="00D704FD">
        <w:rPr>
          <w:rFonts w:ascii="Gill Sans MT" w:hAnsi="Gill Sans MT"/>
          <w:i/>
          <w:iCs/>
          <w:sz w:val="20"/>
          <w:szCs w:val="20"/>
        </w:rPr>
        <w:t xml:space="preserve">Historical Reach </w:t>
      </w:r>
      <w:r w:rsidRPr="00D704FD">
        <w:rPr>
          <w:rFonts w:ascii="Gill Sans MT" w:hAnsi="Gill Sans MT"/>
          <w:sz w:val="20"/>
          <w:szCs w:val="20"/>
        </w:rPr>
        <w:t xml:space="preserve">35-46; G Holmes, </w:t>
      </w:r>
      <w:r w:rsidRPr="00D704FD">
        <w:rPr>
          <w:rFonts w:ascii="Gill Sans MT" w:hAnsi="Gill Sans MT"/>
          <w:i/>
          <w:iCs/>
          <w:sz w:val="20"/>
          <w:szCs w:val="20"/>
        </w:rPr>
        <w:t xml:space="preserve">The Good Parliament </w:t>
      </w:r>
      <w:r w:rsidRPr="00D704FD">
        <w:rPr>
          <w:rFonts w:ascii="Gill Sans MT" w:hAnsi="Gill Sans MT"/>
          <w:sz w:val="20"/>
          <w:szCs w:val="20"/>
        </w:rPr>
        <w:t>(OUP, 1975).</w:t>
      </w:r>
    </w:p>
  </w:footnote>
  <w:footnote w:id="17">
    <w:p w14:paraId="15C5096E" w14:textId="0A586062"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JG Palmer, ‘The Parliament of 1385 and the Constitutional Crisis of 1386’ (1971) 46 </w:t>
      </w:r>
      <w:r w:rsidRPr="00D704FD">
        <w:rPr>
          <w:rFonts w:ascii="Gill Sans MT" w:hAnsi="Gill Sans MT"/>
          <w:i/>
          <w:iCs/>
        </w:rPr>
        <w:t xml:space="preserve">Speculum </w:t>
      </w:r>
      <w:r w:rsidRPr="00D704FD">
        <w:rPr>
          <w:rFonts w:ascii="Gill Sans MT" w:hAnsi="Gill Sans MT"/>
        </w:rPr>
        <w:t>477-490.</w:t>
      </w:r>
    </w:p>
  </w:footnote>
  <w:footnote w:id="18">
    <w:p w14:paraId="6FA0D771" w14:textId="38FDC2BB"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AK McHardy, </w:t>
      </w:r>
      <w:r w:rsidRPr="00D704FD">
        <w:rPr>
          <w:rFonts w:ascii="Gill Sans MT" w:hAnsi="Gill Sans MT"/>
          <w:i/>
          <w:iCs/>
        </w:rPr>
        <w:t xml:space="preserve">The Reign of Richard II: from Minority to Tyranny, 1377-97 </w:t>
      </w:r>
      <w:r w:rsidRPr="00D704FD">
        <w:rPr>
          <w:rFonts w:ascii="Gill Sans MT" w:hAnsi="Gill Sans MT"/>
        </w:rPr>
        <w:t xml:space="preserve">(Manchester University Press, 2012) </w:t>
      </w:r>
      <w:proofErr w:type="spellStart"/>
      <w:r w:rsidRPr="00D704FD">
        <w:rPr>
          <w:rFonts w:ascii="Gill Sans MT" w:hAnsi="Gill Sans MT"/>
        </w:rPr>
        <w:t>ch</w:t>
      </w:r>
      <w:proofErr w:type="spellEnd"/>
      <w:r w:rsidRPr="00D704FD">
        <w:rPr>
          <w:rFonts w:ascii="Gill Sans MT" w:hAnsi="Gill Sans MT"/>
        </w:rPr>
        <w:t xml:space="preserve"> 3.</w:t>
      </w:r>
    </w:p>
  </w:footnote>
  <w:footnote w:id="19">
    <w:p w14:paraId="7C652778" w14:textId="35D710F8" w:rsidR="00BE2A5F" w:rsidRPr="00D704FD" w:rsidRDefault="00BE2A5F" w:rsidP="00F43DD5">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AL Brown, ‘Parliament, c. 1377-1422’ in RG Davies and JH Denton (eds), </w:t>
      </w:r>
      <w:r w:rsidRPr="00D704FD">
        <w:rPr>
          <w:rFonts w:ascii="Gill Sans MT" w:hAnsi="Gill Sans MT"/>
          <w:i/>
          <w:iCs/>
        </w:rPr>
        <w:t xml:space="preserve">The English Parliament in the Middle Ages </w:t>
      </w:r>
      <w:r w:rsidRPr="00D704FD">
        <w:rPr>
          <w:rFonts w:ascii="Gill Sans MT" w:hAnsi="Gill Sans MT"/>
        </w:rPr>
        <w:t>(Manchester University Press, 1981) 112-3.</w:t>
      </w:r>
    </w:p>
  </w:footnote>
  <w:footnote w:id="20">
    <w:p w14:paraId="4B1A65B5" w14:textId="7FEBAE08"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w:t>
      </w:r>
    </w:p>
  </w:footnote>
  <w:footnote w:id="21">
    <w:p w14:paraId="3CEE832A" w14:textId="15088B3D"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A Tuck, ‘The Cambridge Parliament 1388’ (1969) 84 </w:t>
      </w:r>
      <w:r w:rsidRPr="00D704FD">
        <w:rPr>
          <w:rFonts w:ascii="Gill Sans MT" w:hAnsi="Gill Sans MT"/>
          <w:i/>
          <w:iCs/>
        </w:rPr>
        <w:t xml:space="preserve">English Historical Review </w:t>
      </w:r>
      <w:r w:rsidRPr="00D704FD">
        <w:rPr>
          <w:rFonts w:ascii="Gill Sans MT" w:hAnsi="Gill Sans MT"/>
        </w:rPr>
        <w:t>225-243.</w:t>
      </w:r>
    </w:p>
  </w:footnote>
  <w:footnote w:id="22">
    <w:p w14:paraId="04F631ED" w14:textId="7978104D" w:rsidR="00BE2A5F" w:rsidRPr="00577E99" w:rsidRDefault="00BE2A5F">
      <w:pPr>
        <w:pStyle w:val="FootnoteText"/>
        <w:rPr>
          <w:rFonts w:ascii="Gill Sans MT" w:hAnsi="Gill Sans MT"/>
        </w:rPr>
      </w:pPr>
      <w:r w:rsidRPr="00577E99">
        <w:rPr>
          <w:rStyle w:val="FootnoteReference"/>
          <w:rFonts w:ascii="Gill Sans MT" w:hAnsi="Gill Sans MT"/>
        </w:rPr>
        <w:footnoteRef/>
      </w:r>
      <w:r w:rsidRPr="00577E99">
        <w:rPr>
          <w:rFonts w:ascii="Gill Sans MT" w:hAnsi="Gill Sans MT"/>
        </w:rPr>
        <w:t xml:space="preserve"> Elton</w:t>
      </w:r>
      <w:r>
        <w:rPr>
          <w:rFonts w:ascii="Gill Sans MT" w:hAnsi="Gill Sans MT"/>
        </w:rPr>
        <w:t xml:space="preserve"> (n.12)</w:t>
      </w:r>
      <w:r w:rsidRPr="00577E99">
        <w:rPr>
          <w:rFonts w:ascii="Gill Sans MT" w:hAnsi="Gill Sans MT"/>
        </w:rPr>
        <w:t xml:space="preserve"> 188.</w:t>
      </w:r>
    </w:p>
  </w:footnote>
  <w:footnote w:id="23">
    <w:p w14:paraId="1ACC9C8D" w14:textId="0E1664AB" w:rsidR="00BE2A5F" w:rsidRPr="00CC501D" w:rsidRDefault="00BE2A5F">
      <w:pPr>
        <w:pStyle w:val="FootnoteText"/>
        <w:rPr>
          <w:rFonts w:ascii="Gill Sans MT" w:hAnsi="Gill Sans MT"/>
        </w:rPr>
      </w:pPr>
      <w:r w:rsidRPr="00CC501D">
        <w:rPr>
          <w:rStyle w:val="FootnoteReference"/>
          <w:rFonts w:ascii="Gill Sans MT" w:hAnsi="Gill Sans MT"/>
        </w:rPr>
        <w:footnoteRef/>
      </w:r>
      <w:r w:rsidRPr="00CC501D">
        <w:rPr>
          <w:rFonts w:ascii="Gill Sans MT" w:hAnsi="Gill Sans MT"/>
        </w:rPr>
        <w:t xml:space="preserve"> See J Loach, </w:t>
      </w:r>
      <w:r w:rsidRPr="00CC501D">
        <w:rPr>
          <w:rFonts w:ascii="Gill Sans MT" w:hAnsi="Gill Sans MT"/>
          <w:i/>
          <w:iCs/>
        </w:rPr>
        <w:t xml:space="preserve">Parliament under the Tudors </w:t>
      </w:r>
      <w:r w:rsidRPr="00CC501D">
        <w:rPr>
          <w:rFonts w:ascii="Gill Sans MT" w:hAnsi="Gill Sans MT"/>
        </w:rPr>
        <w:t xml:space="preserve">(Clarendon, 1991) 105-108. </w:t>
      </w:r>
    </w:p>
  </w:footnote>
  <w:footnote w:id="24">
    <w:p w14:paraId="71762738" w14:textId="2996087E" w:rsidR="00BE2A5F" w:rsidRPr="00CC501D" w:rsidRDefault="00BE2A5F" w:rsidP="00CF2027">
      <w:pPr>
        <w:pStyle w:val="FootnoteText"/>
        <w:rPr>
          <w:rFonts w:ascii="Gill Sans MT" w:hAnsi="Gill Sans MT"/>
        </w:rPr>
      </w:pPr>
      <w:r w:rsidRPr="00CC501D">
        <w:rPr>
          <w:rStyle w:val="FootnoteReference"/>
          <w:rFonts w:ascii="Gill Sans MT" w:hAnsi="Gill Sans MT"/>
        </w:rPr>
        <w:footnoteRef/>
      </w:r>
      <w:r w:rsidRPr="00CC501D">
        <w:rPr>
          <w:rFonts w:ascii="Gill Sans MT" w:hAnsi="Gill Sans MT"/>
        </w:rPr>
        <w:t xml:space="preserve"> D Dean, ‘Revising the History of the Tudor Parliaments’ (1989) </w:t>
      </w:r>
      <w:r w:rsidRPr="00CC501D">
        <w:rPr>
          <w:rFonts w:ascii="Gill Sans MT" w:hAnsi="Gill Sans MT"/>
          <w:i/>
          <w:iCs/>
        </w:rPr>
        <w:t xml:space="preserve">The Historical Journal </w:t>
      </w:r>
      <w:r w:rsidRPr="00CC501D">
        <w:rPr>
          <w:rFonts w:ascii="Gill Sans MT" w:hAnsi="Gill Sans MT"/>
        </w:rPr>
        <w:t>401, 402.</w:t>
      </w:r>
    </w:p>
  </w:footnote>
  <w:footnote w:id="25">
    <w:p w14:paraId="6F6AA6D2" w14:textId="3AEF6881" w:rsidR="00BE2A5F" w:rsidRPr="00BC26D0" w:rsidRDefault="00BE2A5F" w:rsidP="00CC501D">
      <w:pPr>
        <w:pStyle w:val="FootnoteText"/>
        <w:ind w:left="720" w:hanging="720"/>
        <w:rPr>
          <w:rFonts w:ascii="Gill Sans MT" w:hAnsi="Gill Sans MT"/>
        </w:rPr>
      </w:pPr>
      <w:r w:rsidRPr="00BC26D0">
        <w:rPr>
          <w:rStyle w:val="FootnoteReference"/>
          <w:rFonts w:ascii="Gill Sans MT" w:hAnsi="Gill Sans MT"/>
        </w:rPr>
        <w:footnoteRef/>
      </w:r>
      <w:r w:rsidRPr="00BC26D0">
        <w:rPr>
          <w:rFonts w:ascii="Gill Sans MT" w:hAnsi="Gill Sans MT"/>
        </w:rPr>
        <w:t xml:space="preserve"> M Graves, </w:t>
      </w:r>
      <w:r w:rsidRPr="00BC26D0">
        <w:rPr>
          <w:rFonts w:ascii="Gill Sans MT" w:hAnsi="Gill Sans MT"/>
          <w:i/>
          <w:iCs/>
        </w:rPr>
        <w:t>The Tudor Parliaments: Crown, Lords and Commons, 1485-1603</w:t>
      </w:r>
      <w:r w:rsidRPr="00BC26D0">
        <w:rPr>
          <w:rFonts w:ascii="Gill Sans MT" w:hAnsi="Gill Sans MT"/>
        </w:rPr>
        <w:t xml:space="preserve"> (Longman, 1985) ch.1.</w:t>
      </w:r>
    </w:p>
  </w:footnote>
  <w:footnote w:id="26">
    <w:p w14:paraId="35D8AED0" w14:textId="70AEE846" w:rsidR="00BE2A5F" w:rsidRPr="00BC26D0" w:rsidRDefault="00BE2A5F">
      <w:pPr>
        <w:pStyle w:val="FootnoteText"/>
        <w:rPr>
          <w:rFonts w:ascii="Gill Sans MT" w:hAnsi="Gill Sans MT"/>
        </w:rPr>
      </w:pPr>
      <w:r w:rsidRPr="00BC26D0">
        <w:rPr>
          <w:rStyle w:val="FootnoteReference"/>
          <w:rFonts w:ascii="Gill Sans MT" w:hAnsi="Gill Sans MT"/>
        </w:rPr>
        <w:footnoteRef/>
      </w:r>
      <w:r w:rsidRPr="00BC26D0">
        <w:rPr>
          <w:rFonts w:ascii="Gill Sans MT" w:hAnsi="Gill Sans MT"/>
        </w:rPr>
        <w:t xml:space="preserve"> WC Abbott, ‘The Origin of English Political Parties’ (1919) 24 </w:t>
      </w:r>
      <w:r w:rsidRPr="00BC26D0">
        <w:rPr>
          <w:rFonts w:ascii="Gill Sans MT" w:hAnsi="Gill Sans MT"/>
          <w:i/>
          <w:iCs/>
        </w:rPr>
        <w:t xml:space="preserve">American Historical Review, </w:t>
      </w:r>
      <w:r w:rsidRPr="00BC26D0">
        <w:rPr>
          <w:rFonts w:ascii="Gill Sans MT" w:hAnsi="Gill Sans MT"/>
        </w:rPr>
        <w:t>578-602, 582.</w:t>
      </w:r>
    </w:p>
  </w:footnote>
  <w:footnote w:id="27">
    <w:p w14:paraId="450F3281" w14:textId="45FA9782" w:rsidR="00BE2A5F" w:rsidRPr="00BC26D0" w:rsidRDefault="00BE2A5F" w:rsidP="003202E8">
      <w:pPr>
        <w:autoSpaceDE w:val="0"/>
        <w:autoSpaceDN w:val="0"/>
        <w:adjustRightInd w:val="0"/>
        <w:spacing w:after="0" w:line="240" w:lineRule="auto"/>
        <w:jc w:val="both"/>
        <w:rPr>
          <w:rFonts w:ascii="Gill Sans MT" w:hAnsi="Gill Sans MT"/>
          <w:sz w:val="20"/>
          <w:szCs w:val="20"/>
        </w:rPr>
      </w:pPr>
      <w:r w:rsidRPr="00BC26D0">
        <w:rPr>
          <w:rStyle w:val="FootnoteReference"/>
          <w:rFonts w:ascii="Gill Sans MT" w:hAnsi="Gill Sans MT"/>
          <w:sz w:val="20"/>
          <w:szCs w:val="20"/>
        </w:rPr>
        <w:footnoteRef/>
      </w:r>
      <w:r w:rsidRPr="00BC26D0">
        <w:rPr>
          <w:rFonts w:ascii="Gill Sans MT" w:hAnsi="Gill Sans MT" w:cs="Arial"/>
          <w:sz w:val="20"/>
          <w:szCs w:val="20"/>
        </w:rPr>
        <w:t xml:space="preserve"> See W F Wyndham Brown, 'The Evolution of the Cabinet System in England' (1910) 36 </w:t>
      </w:r>
      <w:r w:rsidRPr="00BC26D0">
        <w:rPr>
          <w:rFonts w:ascii="Gill Sans MT" w:hAnsi="Gill Sans MT" w:cs="Arial"/>
          <w:i/>
          <w:iCs/>
          <w:sz w:val="20"/>
          <w:szCs w:val="20"/>
        </w:rPr>
        <w:t>Law Mag &amp; Rev Quart Rev Juris</w:t>
      </w:r>
      <w:r w:rsidRPr="00BC26D0">
        <w:rPr>
          <w:rFonts w:ascii="Gill Sans MT" w:hAnsi="Gill Sans MT" w:cs="Arial"/>
          <w:sz w:val="20"/>
          <w:szCs w:val="20"/>
        </w:rPr>
        <w:t xml:space="preserve"> 49, 57.</w:t>
      </w:r>
    </w:p>
  </w:footnote>
  <w:footnote w:id="28">
    <w:p w14:paraId="24A4194C" w14:textId="046A26D1" w:rsidR="00BE2A5F" w:rsidRPr="00BC26D0" w:rsidRDefault="00BE2A5F">
      <w:pPr>
        <w:pStyle w:val="FootnoteText"/>
        <w:rPr>
          <w:rFonts w:ascii="Gill Sans MT" w:hAnsi="Gill Sans MT"/>
        </w:rPr>
      </w:pPr>
      <w:r w:rsidRPr="00BC26D0">
        <w:rPr>
          <w:rStyle w:val="FootnoteReference"/>
          <w:rFonts w:ascii="Gill Sans MT" w:hAnsi="Gill Sans MT"/>
        </w:rPr>
        <w:footnoteRef/>
      </w:r>
      <w:r w:rsidRPr="00BC26D0">
        <w:rPr>
          <w:rFonts w:ascii="Gill Sans MT" w:hAnsi="Gill Sans MT"/>
        </w:rPr>
        <w:t xml:space="preserve"> P Langford, ‘Prime Ministers and Parliaments: The Long View, Walpole to Blair’ (2006) 25 </w:t>
      </w:r>
      <w:r w:rsidRPr="00BC26D0">
        <w:rPr>
          <w:rFonts w:ascii="Gill Sans MT" w:hAnsi="Gill Sans MT"/>
          <w:i/>
          <w:iCs/>
        </w:rPr>
        <w:t xml:space="preserve">Parliamentary History </w:t>
      </w:r>
      <w:r w:rsidRPr="00BC26D0">
        <w:rPr>
          <w:rFonts w:ascii="Gill Sans MT" w:hAnsi="Gill Sans MT"/>
        </w:rPr>
        <w:t>382-394</w:t>
      </w:r>
      <w:r>
        <w:rPr>
          <w:rFonts w:ascii="Gill Sans MT" w:hAnsi="Gill Sans MT"/>
        </w:rPr>
        <w:t>, 382-383.</w:t>
      </w:r>
    </w:p>
  </w:footnote>
  <w:footnote w:id="29">
    <w:p w14:paraId="247BE281" w14:textId="5D0C5BC5" w:rsidR="00BE2A5F" w:rsidRPr="00BC26D0" w:rsidRDefault="00BE2A5F">
      <w:pPr>
        <w:pStyle w:val="FootnoteText"/>
        <w:rPr>
          <w:rFonts w:ascii="Gill Sans MT" w:hAnsi="Gill Sans MT"/>
        </w:rPr>
      </w:pPr>
      <w:r w:rsidRPr="00BC26D0">
        <w:rPr>
          <w:rStyle w:val="FootnoteReference"/>
          <w:rFonts w:ascii="Gill Sans MT" w:hAnsi="Gill Sans MT"/>
        </w:rPr>
        <w:footnoteRef/>
      </w:r>
      <w:r>
        <w:rPr>
          <w:rFonts w:ascii="Gill Sans MT" w:hAnsi="Gill Sans MT"/>
        </w:rPr>
        <w:t xml:space="preserve"> </w:t>
      </w:r>
      <w:r w:rsidRPr="00604FC8">
        <w:rPr>
          <w:rFonts w:ascii="Gill Sans MT" w:hAnsi="Gill Sans MT"/>
        </w:rPr>
        <w:t>Wyndham Brown</w:t>
      </w:r>
      <w:r>
        <w:rPr>
          <w:rFonts w:ascii="Gill Sans MT" w:hAnsi="Gill Sans MT"/>
        </w:rPr>
        <w:t xml:space="preserve"> (n.29)</w:t>
      </w:r>
      <w:r w:rsidRPr="00604FC8">
        <w:rPr>
          <w:rFonts w:ascii="Gill Sans MT" w:hAnsi="Gill Sans MT"/>
        </w:rPr>
        <w:t xml:space="preserve"> 59</w:t>
      </w:r>
      <w:r>
        <w:rPr>
          <w:rFonts w:ascii="Gill Sans MT" w:hAnsi="Gill Sans MT"/>
        </w:rPr>
        <w:t>.</w:t>
      </w:r>
    </w:p>
  </w:footnote>
  <w:footnote w:id="30">
    <w:p w14:paraId="5209BF22" w14:textId="6240B41A" w:rsidR="00BE2A5F" w:rsidRPr="00D704FD" w:rsidRDefault="00BE2A5F">
      <w:pPr>
        <w:pStyle w:val="FootnoteText"/>
        <w:rPr>
          <w:rFonts w:ascii="Gill Sans MT" w:hAnsi="Gill Sans MT"/>
          <w:i/>
          <w:iCs/>
        </w:rPr>
      </w:pPr>
      <w:r w:rsidRPr="00D704FD">
        <w:rPr>
          <w:rStyle w:val="FootnoteReference"/>
          <w:rFonts w:ascii="Gill Sans MT" w:hAnsi="Gill Sans MT"/>
        </w:rPr>
        <w:footnoteRef/>
      </w:r>
      <w:r w:rsidRPr="00D704FD">
        <w:rPr>
          <w:rFonts w:ascii="Gill Sans MT" w:hAnsi="Gill Sans MT"/>
        </w:rPr>
        <w:t xml:space="preserve"> </w:t>
      </w:r>
      <w:r w:rsidRPr="00604FC8">
        <w:rPr>
          <w:rFonts w:ascii="Gill Sans MT" w:hAnsi="Gill Sans MT"/>
        </w:rPr>
        <w:t>Ibid</w:t>
      </w:r>
      <w:r w:rsidRPr="00D704FD">
        <w:rPr>
          <w:rFonts w:ascii="Gill Sans MT" w:hAnsi="Gill Sans MT"/>
          <w:i/>
          <w:iCs/>
        </w:rPr>
        <w:t xml:space="preserve"> </w:t>
      </w:r>
      <w:r w:rsidRPr="00D704FD">
        <w:rPr>
          <w:rFonts w:ascii="Gill Sans MT" w:hAnsi="Gill Sans MT"/>
        </w:rPr>
        <w:t>62</w:t>
      </w:r>
      <w:r w:rsidRPr="00D704FD">
        <w:rPr>
          <w:rFonts w:ascii="Gill Sans MT" w:hAnsi="Gill Sans MT"/>
          <w:i/>
          <w:iCs/>
        </w:rPr>
        <w:t>.</w:t>
      </w:r>
    </w:p>
  </w:footnote>
  <w:footnote w:id="31">
    <w:p w14:paraId="5586DBEC" w14:textId="3E296CC2" w:rsidR="00BE2A5F" w:rsidRPr="00D704FD" w:rsidRDefault="00BE2A5F" w:rsidP="003037F0">
      <w:pPr>
        <w:spacing w:after="0" w:line="240" w:lineRule="auto"/>
        <w:jc w:val="both"/>
        <w:rPr>
          <w:rFonts w:ascii="Gill Sans MT" w:hAnsi="Gill Sans MT"/>
          <w:sz w:val="20"/>
          <w:szCs w:val="20"/>
        </w:rPr>
      </w:pPr>
      <w:r w:rsidRPr="00A5456C">
        <w:rPr>
          <w:rStyle w:val="FootnoteReference"/>
          <w:rFonts w:ascii="Gill Sans MT" w:hAnsi="Gill Sans MT"/>
          <w:sz w:val="20"/>
          <w:szCs w:val="20"/>
        </w:rPr>
        <w:footnoteRef/>
      </w:r>
      <w:r w:rsidRPr="00A5456C">
        <w:rPr>
          <w:rFonts w:ascii="Gill Sans MT" w:hAnsi="Gill Sans MT"/>
          <w:sz w:val="20"/>
          <w:szCs w:val="20"/>
        </w:rPr>
        <w:t xml:space="preserve"> Elton (n.</w:t>
      </w:r>
      <w:r>
        <w:rPr>
          <w:rFonts w:ascii="Gill Sans MT" w:hAnsi="Gill Sans MT"/>
          <w:sz w:val="20"/>
          <w:szCs w:val="20"/>
        </w:rPr>
        <w:t>12</w:t>
      </w:r>
      <w:r w:rsidRPr="00A5456C">
        <w:rPr>
          <w:rFonts w:ascii="Gill Sans MT" w:hAnsi="Gill Sans MT"/>
          <w:sz w:val="20"/>
          <w:szCs w:val="20"/>
        </w:rPr>
        <w:t>) 200</w:t>
      </w:r>
      <w:r w:rsidRPr="00D704FD">
        <w:rPr>
          <w:rFonts w:ascii="Gill Sans MT" w:hAnsi="Gill Sans MT"/>
          <w:sz w:val="20"/>
          <w:szCs w:val="20"/>
        </w:rPr>
        <w:t>.</w:t>
      </w:r>
    </w:p>
  </w:footnote>
  <w:footnote w:id="32">
    <w:p w14:paraId="76B55ABA" w14:textId="563E204C" w:rsidR="00BE2A5F" w:rsidRPr="00D14CCC" w:rsidRDefault="00BE2A5F">
      <w:pPr>
        <w:pStyle w:val="FootnoteText"/>
        <w:rPr>
          <w:rFonts w:ascii="Gill Sans MT" w:hAnsi="Gill Sans MT"/>
        </w:rPr>
      </w:pPr>
      <w:r w:rsidRPr="00DB681E">
        <w:rPr>
          <w:rStyle w:val="FootnoteReference"/>
          <w:rFonts w:ascii="Gill Sans MT" w:hAnsi="Gill Sans MT"/>
        </w:rPr>
        <w:footnoteRef/>
      </w:r>
      <w:r w:rsidRPr="00DB681E">
        <w:rPr>
          <w:rFonts w:ascii="Gill Sans MT" w:hAnsi="Gill Sans MT"/>
        </w:rPr>
        <w:t xml:space="preserve"> </w:t>
      </w:r>
      <w:r>
        <w:rPr>
          <w:rFonts w:ascii="Gill Sans MT" w:hAnsi="Gill Sans MT"/>
        </w:rPr>
        <w:t xml:space="preserve">See R Gott, </w:t>
      </w:r>
      <w:r>
        <w:rPr>
          <w:rFonts w:ascii="Gill Sans MT" w:hAnsi="Gill Sans MT"/>
          <w:i/>
          <w:iCs/>
        </w:rPr>
        <w:t xml:space="preserve">Britain’s Empire: Resistance, Repression and Revolt </w:t>
      </w:r>
      <w:r>
        <w:rPr>
          <w:rFonts w:ascii="Gill Sans MT" w:hAnsi="Gill Sans MT"/>
        </w:rPr>
        <w:t>(Verso, 2011).</w:t>
      </w:r>
    </w:p>
  </w:footnote>
  <w:footnote w:id="33">
    <w:p w14:paraId="607581C0" w14:textId="0BB46D31" w:rsidR="00BE2A5F" w:rsidRPr="00DB681E" w:rsidRDefault="00BE2A5F">
      <w:pPr>
        <w:pStyle w:val="FootnoteText"/>
        <w:rPr>
          <w:rFonts w:ascii="Gill Sans MT" w:hAnsi="Gill Sans MT"/>
        </w:rPr>
      </w:pPr>
      <w:r w:rsidRPr="00DB681E">
        <w:rPr>
          <w:rStyle w:val="FootnoteReference"/>
          <w:rFonts w:ascii="Gill Sans MT" w:hAnsi="Gill Sans MT"/>
        </w:rPr>
        <w:footnoteRef/>
      </w:r>
      <w:r w:rsidRPr="00DB681E">
        <w:rPr>
          <w:rFonts w:ascii="Gill Sans MT" w:hAnsi="Gill Sans MT"/>
        </w:rPr>
        <w:t xml:space="preserve"> AF Pollard, </w:t>
      </w:r>
      <w:r w:rsidRPr="00DB681E">
        <w:rPr>
          <w:rFonts w:ascii="Gill Sans MT" w:hAnsi="Gill Sans MT"/>
          <w:i/>
          <w:iCs/>
        </w:rPr>
        <w:t>The Evolution of Parliament</w:t>
      </w:r>
      <w:r w:rsidRPr="00DB681E">
        <w:rPr>
          <w:rFonts w:ascii="Gill Sans MT" w:hAnsi="Gill Sans MT"/>
        </w:rPr>
        <w:t xml:space="preserve"> (2</w:t>
      </w:r>
      <w:r w:rsidRPr="00DB681E">
        <w:rPr>
          <w:rFonts w:ascii="Gill Sans MT" w:hAnsi="Gill Sans MT"/>
          <w:vertAlign w:val="superscript"/>
        </w:rPr>
        <w:t>nd</w:t>
      </w:r>
      <w:r w:rsidRPr="00DB681E">
        <w:rPr>
          <w:rFonts w:ascii="Gill Sans MT" w:hAnsi="Gill Sans MT"/>
        </w:rPr>
        <w:t xml:space="preserve"> ed, 1926) 43.</w:t>
      </w:r>
    </w:p>
  </w:footnote>
  <w:footnote w:id="34">
    <w:p w14:paraId="660A548D" w14:textId="5F898AB3" w:rsidR="00BE2A5F" w:rsidRPr="00771E8E" w:rsidRDefault="00BE2A5F">
      <w:pPr>
        <w:pStyle w:val="FootnoteText"/>
        <w:rPr>
          <w:rFonts w:ascii="Gill Sans MT" w:hAnsi="Gill Sans MT"/>
        </w:rPr>
      </w:pPr>
      <w:r w:rsidRPr="000979BC">
        <w:rPr>
          <w:rStyle w:val="FootnoteReference"/>
          <w:rFonts w:ascii="Gill Sans MT" w:hAnsi="Gill Sans MT"/>
        </w:rPr>
        <w:footnoteRef/>
      </w:r>
      <w:r w:rsidRPr="000979BC">
        <w:rPr>
          <w:rFonts w:ascii="Gill Sans MT" w:hAnsi="Gill Sans MT"/>
        </w:rPr>
        <w:t xml:space="preserve"> See </w:t>
      </w:r>
      <w:r w:rsidRPr="00771E8E">
        <w:rPr>
          <w:rFonts w:ascii="Gill Sans MT" w:hAnsi="Gill Sans MT"/>
        </w:rPr>
        <w:t xml:space="preserve">AL Brown, ‘Parliament, c. 1377-1422’ in RG Davies and JH Denton (eds), </w:t>
      </w:r>
      <w:r w:rsidRPr="00771E8E">
        <w:rPr>
          <w:rFonts w:ascii="Gill Sans MT" w:hAnsi="Gill Sans MT"/>
          <w:i/>
          <w:iCs/>
        </w:rPr>
        <w:t xml:space="preserve">The English Parliament in the Middle Ages </w:t>
      </w:r>
      <w:r w:rsidRPr="00771E8E">
        <w:rPr>
          <w:rFonts w:ascii="Gill Sans MT" w:hAnsi="Gill Sans MT"/>
        </w:rPr>
        <w:t>(Manchester University Press, 1981) 122.</w:t>
      </w:r>
    </w:p>
  </w:footnote>
  <w:footnote w:id="35">
    <w:p w14:paraId="7F85F9A3" w14:textId="29031B05" w:rsidR="00BE2A5F" w:rsidRPr="00771E8E" w:rsidRDefault="00BE2A5F">
      <w:pPr>
        <w:pStyle w:val="FootnoteText"/>
        <w:rPr>
          <w:rFonts w:ascii="Gill Sans MT" w:hAnsi="Gill Sans MT"/>
        </w:rPr>
      </w:pPr>
      <w:r w:rsidRPr="00771E8E">
        <w:rPr>
          <w:rStyle w:val="FootnoteReference"/>
          <w:rFonts w:ascii="Gill Sans MT" w:hAnsi="Gill Sans MT"/>
        </w:rPr>
        <w:footnoteRef/>
      </w:r>
      <w:r w:rsidRPr="00771E8E">
        <w:rPr>
          <w:rFonts w:ascii="Gill Sans MT" w:hAnsi="Gill Sans MT"/>
        </w:rPr>
        <w:t xml:space="preserve"> Constitutional Reform Act 2005, s.40 &amp; Schedule 9.</w:t>
      </w:r>
    </w:p>
  </w:footnote>
  <w:footnote w:id="36">
    <w:p w14:paraId="73366963" w14:textId="77777777" w:rsidR="00BE2A5F" w:rsidRPr="00D704FD" w:rsidRDefault="00BE2A5F" w:rsidP="00AA0DE4">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AV Dicey, </w:t>
      </w:r>
      <w:r w:rsidRPr="00D704FD">
        <w:rPr>
          <w:rFonts w:ascii="Gill Sans MT" w:hAnsi="Gill Sans MT"/>
          <w:i/>
          <w:iCs/>
        </w:rPr>
        <w:t>Introduction to the Study of the Law of the Constitution</w:t>
      </w:r>
      <w:r w:rsidRPr="00D704FD">
        <w:rPr>
          <w:rFonts w:ascii="Gill Sans MT" w:hAnsi="Gill Sans MT"/>
        </w:rPr>
        <w:t xml:space="preserve"> (8</w:t>
      </w:r>
      <w:r w:rsidRPr="00D704FD">
        <w:rPr>
          <w:rFonts w:ascii="Gill Sans MT" w:hAnsi="Gill Sans MT"/>
          <w:vertAlign w:val="superscript"/>
        </w:rPr>
        <w:t>th</w:t>
      </w:r>
      <w:r w:rsidRPr="00D704FD">
        <w:rPr>
          <w:rFonts w:ascii="Gill Sans MT" w:hAnsi="Gill Sans MT"/>
        </w:rPr>
        <w:t xml:space="preserve"> </w:t>
      </w:r>
      <w:proofErr w:type="spellStart"/>
      <w:r w:rsidRPr="00D704FD">
        <w:rPr>
          <w:rFonts w:ascii="Gill Sans MT" w:hAnsi="Gill Sans MT"/>
        </w:rPr>
        <w:t>edn</w:t>
      </w:r>
      <w:proofErr w:type="spellEnd"/>
      <w:r w:rsidRPr="00D704FD">
        <w:rPr>
          <w:rFonts w:ascii="Gill Sans MT" w:hAnsi="Gill Sans MT"/>
        </w:rPr>
        <w:t>, 1915) 39-40.</w:t>
      </w:r>
    </w:p>
  </w:footnote>
  <w:footnote w:id="37">
    <w:p w14:paraId="1EB020F8" w14:textId="60EF17DA"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M Gordon, </w:t>
      </w:r>
      <w:r w:rsidRPr="00D704FD">
        <w:rPr>
          <w:rFonts w:ascii="Gill Sans MT" w:hAnsi="Gill Sans MT"/>
          <w:i/>
          <w:iCs/>
        </w:rPr>
        <w:t xml:space="preserve">Parliamentary Sovereignty in the UK Constitution: Process, Politics and Democracy </w:t>
      </w:r>
      <w:r w:rsidRPr="00D704FD">
        <w:rPr>
          <w:rFonts w:ascii="Gill Sans MT" w:hAnsi="Gill Sans MT"/>
        </w:rPr>
        <w:t xml:space="preserve">(Hart, 2015) </w:t>
      </w:r>
      <w:proofErr w:type="spellStart"/>
      <w:r w:rsidRPr="00D704FD">
        <w:rPr>
          <w:rFonts w:ascii="Gill Sans MT" w:hAnsi="Gill Sans MT"/>
        </w:rPr>
        <w:t>ch</w:t>
      </w:r>
      <w:proofErr w:type="spellEnd"/>
      <w:r w:rsidRPr="00D704FD">
        <w:rPr>
          <w:rFonts w:ascii="Gill Sans MT" w:hAnsi="Gill Sans MT"/>
        </w:rPr>
        <w:t xml:space="preserve"> 1.</w:t>
      </w:r>
    </w:p>
  </w:footnote>
  <w:footnote w:id="38">
    <w:p w14:paraId="3B0F6834" w14:textId="690598A4" w:rsidR="00BE2A5F" w:rsidRPr="00D704FD" w:rsidRDefault="00BE2A5F">
      <w:pPr>
        <w:pStyle w:val="FootnoteText"/>
        <w:rPr>
          <w:rFonts w:ascii="Gill Sans MT" w:hAnsi="Gill Sans MT"/>
          <w:i/>
          <w:iCs/>
        </w:rPr>
      </w:pPr>
      <w:r w:rsidRPr="00D704FD">
        <w:rPr>
          <w:rStyle w:val="FootnoteReference"/>
          <w:rFonts w:ascii="Gill Sans MT" w:hAnsi="Gill Sans MT"/>
        </w:rPr>
        <w:footnoteRef/>
      </w:r>
      <w:r w:rsidRPr="00D704FD">
        <w:rPr>
          <w:rFonts w:ascii="Gill Sans MT" w:hAnsi="Gill Sans MT"/>
        </w:rPr>
        <w:t xml:space="preserve"> </w:t>
      </w:r>
      <w:r w:rsidRPr="00D704FD">
        <w:rPr>
          <w:rFonts w:ascii="Gill Sans MT" w:hAnsi="Gill Sans MT"/>
          <w:i/>
          <w:iCs/>
        </w:rPr>
        <w:t>Ibid.</w:t>
      </w:r>
    </w:p>
  </w:footnote>
  <w:footnote w:id="39">
    <w:p w14:paraId="5BB6AF77" w14:textId="48884C87" w:rsidR="00BE2A5F" w:rsidRPr="00560CF4" w:rsidRDefault="00BE2A5F" w:rsidP="00703869">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Ibid</w:t>
      </w:r>
      <w:r w:rsidRPr="00560CF4">
        <w:rPr>
          <w:rFonts w:ascii="Gill Sans MT" w:hAnsi="Gill Sans MT"/>
        </w:rPr>
        <w:t xml:space="preserve"> 39.</w:t>
      </w:r>
    </w:p>
  </w:footnote>
  <w:footnote w:id="40">
    <w:p w14:paraId="31C6EC22" w14:textId="2FECBA79" w:rsidR="00BE2A5F" w:rsidRPr="00D704FD" w:rsidRDefault="00BE2A5F" w:rsidP="00E947A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Jennings (n</w:t>
      </w:r>
      <w:r w:rsidRPr="00D704FD">
        <w:rPr>
          <w:rFonts w:ascii="Gill Sans MT" w:hAnsi="Gill Sans MT"/>
        </w:rPr>
        <w:t>.</w:t>
      </w:r>
      <w:r>
        <w:rPr>
          <w:rFonts w:ascii="Gill Sans MT" w:hAnsi="Gill Sans MT"/>
        </w:rPr>
        <w:t>6).</w:t>
      </w:r>
    </w:p>
  </w:footnote>
  <w:footnote w:id="41">
    <w:p w14:paraId="5ADFDD8C" w14:textId="10769C8C" w:rsidR="00BE2A5F" w:rsidRPr="003B1AC7" w:rsidRDefault="00BE2A5F">
      <w:pPr>
        <w:pStyle w:val="FootnoteText"/>
        <w:rPr>
          <w:rFonts w:ascii="Gill Sans MT" w:hAnsi="Gill Sans MT"/>
          <w:b/>
          <w:bCs/>
        </w:rPr>
      </w:pPr>
      <w:r w:rsidRPr="00560CF4">
        <w:rPr>
          <w:rStyle w:val="FootnoteReference"/>
          <w:rFonts w:ascii="Gill Sans MT" w:hAnsi="Gill Sans MT"/>
        </w:rPr>
        <w:footnoteRef/>
      </w:r>
      <w:r w:rsidRPr="00560CF4">
        <w:rPr>
          <w:rFonts w:ascii="Gill Sans MT" w:hAnsi="Gill Sans MT"/>
        </w:rPr>
        <w:t xml:space="preserve"> Including limits on suspending or dispensing with laws, levying money, or establishing a standing army without parliamentary consent.</w:t>
      </w:r>
    </w:p>
  </w:footnote>
  <w:footnote w:id="42">
    <w:p w14:paraId="1E1C2D38" w14:textId="27BA8F39"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s.</w:t>
      </w:r>
      <w:r w:rsidRPr="00D704FD">
        <w:rPr>
          <w:rFonts w:ascii="Gill Sans MT" w:hAnsi="Gill Sans MT"/>
        </w:rPr>
        <w:t>1.</w:t>
      </w:r>
    </w:p>
  </w:footnote>
  <w:footnote w:id="43">
    <w:p w14:paraId="3D71FFFB" w14:textId="4DB3ABE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w:t>
      </w:r>
      <w:proofErr w:type="spellStart"/>
      <w:proofErr w:type="gramStart"/>
      <w:r w:rsidRPr="00D704FD">
        <w:rPr>
          <w:rFonts w:ascii="Gill Sans MT" w:hAnsi="Gill Sans MT"/>
        </w:rPr>
        <w:t>eg</w:t>
      </w:r>
      <w:proofErr w:type="spellEnd"/>
      <w:proofErr w:type="gramEnd"/>
      <w:r w:rsidRPr="00D704FD">
        <w:rPr>
          <w:rFonts w:ascii="Gill Sans MT" w:hAnsi="Gill Sans MT"/>
        </w:rPr>
        <w:t xml:space="preserve"> C Hill, </w:t>
      </w:r>
      <w:r w:rsidRPr="00D704FD">
        <w:rPr>
          <w:rFonts w:ascii="Gill Sans MT" w:hAnsi="Gill Sans MT"/>
          <w:i/>
          <w:iCs/>
        </w:rPr>
        <w:t xml:space="preserve">Intellectual Origins of the English Revolution </w:t>
      </w:r>
      <w:r w:rsidRPr="00D704FD">
        <w:rPr>
          <w:rFonts w:ascii="Gill Sans MT" w:hAnsi="Gill Sans MT"/>
        </w:rPr>
        <w:t>(Clarendon, 1965).</w:t>
      </w:r>
    </w:p>
  </w:footnote>
  <w:footnote w:id="44">
    <w:p w14:paraId="15F1F3A4" w14:textId="2C934127"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J Goldsworthy, </w:t>
      </w:r>
      <w:r w:rsidRPr="00D704FD">
        <w:rPr>
          <w:rFonts w:ascii="Gill Sans MT" w:hAnsi="Gill Sans MT"/>
          <w:i/>
          <w:iCs/>
        </w:rPr>
        <w:t xml:space="preserve">The Sovereignty of Parliament: History and Philosophy </w:t>
      </w:r>
      <w:r w:rsidRPr="00D704FD">
        <w:rPr>
          <w:rFonts w:ascii="Gill Sans MT" w:hAnsi="Gill Sans MT"/>
        </w:rPr>
        <w:t xml:space="preserve">(OUP, 1999) </w:t>
      </w:r>
      <w:proofErr w:type="spellStart"/>
      <w:r w:rsidRPr="00D704FD">
        <w:rPr>
          <w:rFonts w:ascii="Gill Sans MT" w:hAnsi="Gill Sans MT"/>
        </w:rPr>
        <w:t>ch</w:t>
      </w:r>
      <w:proofErr w:type="spellEnd"/>
      <w:r w:rsidRPr="00D704FD">
        <w:rPr>
          <w:rFonts w:ascii="Gill Sans MT" w:hAnsi="Gill Sans MT"/>
        </w:rPr>
        <w:t xml:space="preserve"> 2.</w:t>
      </w:r>
    </w:p>
  </w:footnote>
  <w:footnote w:id="45">
    <w:p w14:paraId="4A9C1A81" w14:textId="24F922D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D704FD">
        <w:rPr>
          <w:rFonts w:ascii="Gill Sans MT" w:hAnsi="Gill Sans MT"/>
          <w:i/>
          <w:iCs/>
        </w:rPr>
        <w:t xml:space="preserve">Ibid </w:t>
      </w:r>
      <w:r w:rsidRPr="00D704FD">
        <w:rPr>
          <w:rFonts w:ascii="Gill Sans MT" w:hAnsi="Gill Sans MT"/>
        </w:rPr>
        <w:t>230.</w:t>
      </w:r>
    </w:p>
  </w:footnote>
  <w:footnote w:id="46">
    <w:p w14:paraId="2B0B77B5" w14:textId="6D69CA30"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D704FD">
        <w:rPr>
          <w:rFonts w:ascii="Gill Sans MT" w:hAnsi="Gill Sans MT"/>
          <w:i/>
          <w:iCs/>
        </w:rPr>
        <w:t xml:space="preserve">Ibid </w:t>
      </w:r>
      <w:r w:rsidRPr="00D704FD">
        <w:rPr>
          <w:rFonts w:ascii="Gill Sans MT" w:hAnsi="Gill Sans MT"/>
        </w:rPr>
        <w:t>53.</w:t>
      </w:r>
    </w:p>
  </w:footnote>
  <w:footnote w:id="47">
    <w:p w14:paraId="3D76F89E" w14:textId="403EEA1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233.</w:t>
      </w:r>
    </w:p>
  </w:footnote>
  <w:footnote w:id="48">
    <w:p w14:paraId="05DF6F96" w14:textId="3B153A53"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Jennings (n.</w:t>
      </w:r>
      <w:r>
        <w:rPr>
          <w:rFonts w:ascii="Gill Sans MT" w:hAnsi="Gill Sans MT"/>
        </w:rPr>
        <w:t>49</w:t>
      </w:r>
      <w:r w:rsidRPr="00D704FD">
        <w:rPr>
          <w:rFonts w:ascii="Gill Sans MT" w:hAnsi="Gill Sans MT"/>
        </w:rPr>
        <w:t>) 143.</w:t>
      </w:r>
    </w:p>
  </w:footnote>
  <w:footnote w:id="49">
    <w:p w14:paraId="62804C49" w14:textId="386B59F8"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 xml:space="preserve">See </w:t>
      </w:r>
      <w:proofErr w:type="spellStart"/>
      <w:r>
        <w:rPr>
          <w:rFonts w:ascii="Gill Sans MT" w:hAnsi="Gill Sans MT"/>
        </w:rPr>
        <w:t>eg</w:t>
      </w:r>
      <w:proofErr w:type="spellEnd"/>
      <w:r>
        <w:rPr>
          <w:rFonts w:ascii="Gill Sans MT" w:hAnsi="Gill Sans MT"/>
        </w:rPr>
        <w:t xml:space="preserve">, </w:t>
      </w:r>
      <w:r w:rsidRPr="004C59E4">
        <w:rPr>
          <w:rFonts w:ascii="Gill Sans MT" w:hAnsi="Gill Sans MT"/>
          <w:i/>
          <w:iCs/>
        </w:rPr>
        <w:t>Edinburgh &amp; Dalkeith Railways v Wauchope</w:t>
      </w:r>
      <w:r w:rsidRPr="00D704FD">
        <w:rPr>
          <w:rFonts w:ascii="Gill Sans MT" w:hAnsi="Gill Sans MT"/>
        </w:rPr>
        <w:t xml:space="preserve"> (</w:t>
      </w:r>
      <w:r w:rsidRPr="00D704FD">
        <w:rPr>
          <w:rFonts w:ascii="Gill Sans MT" w:hAnsi="Gill Sans MT"/>
          <w:shd w:val="clear" w:color="auto" w:fill="FFFFFF"/>
        </w:rPr>
        <w:t>1842) 8 Cl. &amp; F. 710.</w:t>
      </w:r>
    </w:p>
  </w:footnote>
  <w:footnote w:id="50">
    <w:p w14:paraId="589AA92A" w14:textId="36D2EB4F"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[1974] AC 765.</w:t>
      </w:r>
    </w:p>
  </w:footnote>
  <w:footnote w:id="51">
    <w:p w14:paraId="15A73262" w14:textId="3D012C14" w:rsidR="00BE2A5F" w:rsidRPr="00D704FD" w:rsidRDefault="00BE2A5F" w:rsidP="005E69E9">
      <w:pPr>
        <w:shd w:val="clear" w:color="auto" w:fill="FFFFFF"/>
        <w:spacing w:after="0" w:line="240" w:lineRule="auto"/>
        <w:jc w:val="both"/>
        <w:rPr>
          <w:rFonts w:ascii="Gill Sans MT" w:hAnsi="Gill Sans MT"/>
          <w:sz w:val="20"/>
          <w:szCs w:val="20"/>
        </w:rPr>
      </w:pPr>
      <w:r w:rsidRPr="00D704FD">
        <w:rPr>
          <w:rStyle w:val="FootnoteReference"/>
          <w:rFonts w:ascii="Gill Sans MT" w:hAnsi="Gill Sans MT"/>
          <w:sz w:val="20"/>
          <w:szCs w:val="20"/>
        </w:rPr>
        <w:footnoteRef/>
      </w:r>
      <w:r w:rsidRPr="00D704FD">
        <w:rPr>
          <w:rFonts w:ascii="Gill Sans MT" w:hAnsi="Gill Sans MT"/>
          <w:i/>
          <w:iCs/>
          <w:sz w:val="20"/>
          <w:szCs w:val="20"/>
        </w:rPr>
        <w:t xml:space="preserve"> </w:t>
      </w:r>
      <w:r w:rsidRPr="00D704FD">
        <w:rPr>
          <w:rFonts w:ascii="Gill Sans MT" w:hAnsi="Gill Sans MT"/>
          <w:sz w:val="20"/>
          <w:szCs w:val="20"/>
        </w:rPr>
        <w:t>Ibid 782.</w:t>
      </w:r>
    </w:p>
  </w:footnote>
  <w:footnote w:id="52">
    <w:p w14:paraId="605F2AC4" w14:textId="4D730A54"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782.</w:t>
      </w:r>
    </w:p>
  </w:footnote>
  <w:footnote w:id="53">
    <w:p w14:paraId="7DB59F15" w14:textId="2F4DE29D"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787.</w:t>
      </w:r>
      <w:r>
        <w:rPr>
          <w:rFonts w:ascii="Gill Sans MT" w:hAnsi="Gill Sans MT"/>
        </w:rPr>
        <w:t xml:space="preserve">  See also Lord Morris, 789-792; </w:t>
      </w:r>
      <w:r w:rsidRPr="00D704FD">
        <w:rPr>
          <w:rFonts w:ascii="Gill Sans MT" w:hAnsi="Gill Sans MT"/>
        </w:rPr>
        <w:t>Lord Simon, 798</w:t>
      </w:r>
      <w:r>
        <w:rPr>
          <w:rFonts w:ascii="Gill Sans MT" w:hAnsi="Gill Sans MT"/>
        </w:rPr>
        <w:t>.</w:t>
      </w:r>
    </w:p>
  </w:footnote>
  <w:footnote w:id="54">
    <w:p w14:paraId="0F169B56" w14:textId="09675471" w:rsidR="00BE2A5F" w:rsidRPr="00811890" w:rsidRDefault="00BE2A5F">
      <w:pPr>
        <w:pStyle w:val="FootnoteText"/>
        <w:rPr>
          <w:rFonts w:ascii="Gill Sans MT" w:hAnsi="Gill Sans MT"/>
        </w:rPr>
      </w:pPr>
      <w:r w:rsidRPr="000E3E7A">
        <w:rPr>
          <w:rStyle w:val="FootnoteReference"/>
          <w:rFonts w:ascii="Gill Sans MT" w:hAnsi="Gill Sans MT"/>
        </w:rPr>
        <w:footnoteRef/>
      </w:r>
      <w:r w:rsidRPr="000E3E7A">
        <w:rPr>
          <w:rFonts w:ascii="Gill Sans MT" w:hAnsi="Gill Sans MT"/>
        </w:rPr>
        <w:t xml:space="preserve"> [</w:t>
      </w:r>
      <w:r w:rsidRPr="00811890">
        <w:rPr>
          <w:rFonts w:ascii="Gill Sans MT" w:hAnsi="Gill Sans MT"/>
        </w:rPr>
        <w:t>2006] UKHL 56, [102], [104], [159].  For critique see Gordon (n.</w:t>
      </w:r>
      <w:r>
        <w:rPr>
          <w:rFonts w:ascii="Gill Sans MT" w:hAnsi="Gill Sans MT"/>
        </w:rPr>
        <w:t>4</w:t>
      </w:r>
      <w:r w:rsidRPr="00811890">
        <w:rPr>
          <w:rFonts w:ascii="Gill Sans MT" w:hAnsi="Gill Sans MT"/>
        </w:rPr>
        <w:t>1) ch.5.</w:t>
      </w:r>
    </w:p>
  </w:footnote>
  <w:footnote w:id="55">
    <w:p w14:paraId="150CC829" w14:textId="652E6194" w:rsidR="00BE2A5F" w:rsidRPr="00811890" w:rsidRDefault="00BE2A5F" w:rsidP="00811890">
      <w:pPr>
        <w:autoSpaceDE w:val="0"/>
        <w:autoSpaceDN w:val="0"/>
        <w:adjustRightInd w:val="0"/>
        <w:spacing w:after="0" w:line="240" w:lineRule="auto"/>
        <w:rPr>
          <w:rFonts w:ascii="Gill Sans MT" w:hAnsi="Gill Sans MT" w:cs="Minion-Regular"/>
          <w:sz w:val="20"/>
          <w:szCs w:val="20"/>
        </w:rPr>
      </w:pPr>
      <w:r w:rsidRPr="00811890">
        <w:rPr>
          <w:rStyle w:val="FootnoteReference"/>
          <w:rFonts w:ascii="Gill Sans MT" w:hAnsi="Gill Sans MT"/>
          <w:sz w:val="20"/>
          <w:szCs w:val="20"/>
        </w:rPr>
        <w:footnoteRef/>
      </w:r>
      <w:r w:rsidRPr="00811890">
        <w:rPr>
          <w:rFonts w:ascii="Gill Sans MT" w:hAnsi="Gill Sans MT"/>
          <w:sz w:val="20"/>
          <w:szCs w:val="20"/>
        </w:rPr>
        <w:t xml:space="preserve"> </w:t>
      </w:r>
      <w:r w:rsidRPr="00811890">
        <w:rPr>
          <w:rFonts w:ascii="Gill Sans MT" w:hAnsi="Gill Sans MT" w:cs="Minion-Regular"/>
          <w:sz w:val="20"/>
          <w:szCs w:val="20"/>
        </w:rPr>
        <w:t xml:space="preserve">Lord Bingham, ‘The Rule of Law and the Sovereignty of Parliament’, </w:t>
      </w:r>
      <w:r w:rsidRPr="00811890">
        <w:rPr>
          <w:rFonts w:ascii="Gill Sans MT" w:hAnsi="Gill Sans MT" w:cs="Minion-Italic"/>
          <w:i/>
          <w:iCs/>
          <w:sz w:val="20"/>
          <w:szCs w:val="20"/>
        </w:rPr>
        <w:t xml:space="preserve">King’s College London Commemoration Oration 2007 </w:t>
      </w:r>
      <w:r w:rsidRPr="00811890">
        <w:rPr>
          <w:rFonts w:ascii="Gill Sans MT" w:hAnsi="Gill Sans MT" w:cs="Minion-Regular"/>
          <w:sz w:val="20"/>
          <w:szCs w:val="20"/>
        </w:rPr>
        <w:t>(31 October 2007) 22.</w:t>
      </w:r>
    </w:p>
  </w:footnote>
  <w:footnote w:id="56">
    <w:p w14:paraId="6AF5C8A7" w14:textId="178A0BE4" w:rsidR="00BE2A5F" w:rsidRPr="00811890" w:rsidRDefault="00BE2A5F">
      <w:pPr>
        <w:pStyle w:val="FootnoteText"/>
        <w:rPr>
          <w:rFonts w:ascii="Gill Sans MT" w:hAnsi="Gill Sans MT"/>
        </w:rPr>
      </w:pPr>
      <w:r w:rsidRPr="00811890">
        <w:rPr>
          <w:rStyle w:val="FootnoteReference"/>
          <w:rFonts w:ascii="Gill Sans MT" w:hAnsi="Gill Sans MT"/>
        </w:rPr>
        <w:footnoteRef/>
      </w:r>
      <w:r w:rsidRPr="00811890">
        <w:rPr>
          <w:rFonts w:ascii="Gill Sans MT" w:hAnsi="Gill Sans MT"/>
        </w:rPr>
        <w:t xml:space="preserve"> </w:t>
      </w:r>
      <w:r w:rsidRPr="00811890">
        <w:rPr>
          <w:rFonts w:ascii="Gill Sans MT" w:hAnsi="Gill Sans MT" w:cs="Minion-Regular"/>
        </w:rPr>
        <w:t>[2011] UKSC 46, [2012] 1 AC 868, [50]-[51].</w:t>
      </w:r>
    </w:p>
  </w:footnote>
  <w:footnote w:id="57">
    <w:p w14:paraId="288FC9FA" w14:textId="5E9D87AE" w:rsidR="00BE2A5F" w:rsidRPr="00811890" w:rsidRDefault="00BE2A5F">
      <w:pPr>
        <w:pStyle w:val="FootnoteText"/>
        <w:rPr>
          <w:rFonts w:ascii="Gill Sans MT" w:hAnsi="Gill Sans MT"/>
        </w:rPr>
      </w:pPr>
      <w:r w:rsidRPr="00811890">
        <w:rPr>
          <w:rStyle w:val="FootnoteReference"/>
          <w:rFonts w:ascii="Gill Sans MT" w:hAnsi="Gill Sans MT"/>
        </w:rPr>
        <w:footnoteRef/>
      </w:r>
      <w:r w:rsidRPr="00811890">
        <w:rPr>
          <w:rFonts w:ascii="Gill Sans MT" w:hAnsi="Gill Sans MT"/>
        </w:rPr>
        <w:t xml:space="preserve"> </w:t>
      </w:r>
      <w:r w:rsidRPr="00811890">
        <w:rPr>
          <w:rFonts w:ascii="Gill Sans MT" w:hAnsi="Gill Sans MT"/>
          <w:color w:val="000000"/>
          <w:shd w:val="clear" w:color="auto" w:fill="FFFFFF"/>
        </w:rPr>
        <w:t>[2014] UKSC 67, [2015] AC 901, [35].</w:t>
      </w:r>
    </w:p>
  </w:footnote>
  <w:footnote w:id="58">
    <w:p w14:paraId="3FB02211" w14:textId="47CF74A5" w:rsidR="00BE2A5F" w:rsidRPr="00F604F5" w:rsidRDefault="00BE2A5F">
      <w:pPr>
        <w:pStyle w:val="FootnoteText"/>
        <w:rPr>
          <w:rFonts w:ascii="Gill Sans MT" w:hAnsi="Gill Sans MT"/>
        </w:rPr>
      </w:pPr>
      <w:r w:rsidRPr="00F604F5">
        <w:rPr>
          <w:rStyle w:val="FootnoteReference"/>
          <w:rFonts w:ascii="Gill Sans MT" w:hAnsi="Gill Sans MT"/>
        </w:rPr>
        <w:footnoteRef/>
      </w:r>
      <w:r w:rsidRPr="00F604F5">
        <w:rPr>
          <w:rFonts w:ascii="Gill Sans MT" w:hAnsi="Gill Sans MT"/>
        </w:rPr>
        <w:t xml:space="preserve"> [2016] UKSC 39, [2016] AC 1531, [20].</w:t>
      </w:r>
    </w:p>
  </w:footnote>
  <w:footnote w:id="59">
    <w:p w14:paraId="212EA55A" w14:textId="7EC1ECD4" w:rsidR="00BE2A5F" w:rsidRPr="00ED0896" w:rsidRDefault="00BE2A5F">
      <w:pPr>
        <w:pStyle w:val="FootnoteText"/>
        <w:rPr>
          <w:rFonts w:ascii="Gill Sans MT" w:hAnsi="Gill Sans MT"/>
        </w:rPr>
      </w:pPr>
      <w:r w:rsidRPr="00ED0896">
        <w:rPr>
          <w:rStyle w:val="FootnoteReference"/>
          <w:rFonts w:ascii="Gill Sans MT" w:hAnsi="Gill Sans MT"/>
        </w:rPr>
        <w:footnoteRef/>
      </w:r>
      <w:r w:rsidRPr="00ED0896">
        <w:rPr>
          <w:rFonts w:ascii="Gill Sans MT" w:hAnsi="Gill Sans MT"/>
        </w:rPr>
        <w:t xml:space="preserve"> [2019] UKSC 22, [144].</w:t>
      </w:r>
    </w:p>
  </w:footnote>
  <w:footnote w:id="60">
    <w:p w14:paraId="77F6C5C7" w14:textId="132146AE" w:rsidR="00BE2A5F" w:rsidRPr="00ED0896" w:rsidRDefault="00BE2A5F">
      <w:pPr>
        <w:pStyle w:val="FootnoteText"/>
        <w:rPr>
          <w:rFonts w:ascii="Gill Sans MT" w:hAnsi="Gill Sans MT"/>
        </w:rPr>
      </w:pPr>
      <w:r w:rsidRPr="00ED0896">
        <w:rPr>
          <w:rStyle w:val="FootnoteReference"/>
          <w:rFonts w:ascii="Gill Sans MT" w:hAnsi="Gill Sans MT"/>
        </w:rPr>
        <w:footnoteRef/>
      </w:r>
      <w:r w:rsidRPr="00ED0896">
        <w:rPr>
          <w:rFonts w:ascii="Gill Sans MT" w:hAnsi="Gill Sans MT"/>
        </w:rPr>
        <w:t xml:space="preserve"> </w:t>
      </w:r>
      <w:r w:rsidRPr="00ED0896">
        <w:rPr>
          <w:rFonts w:ascii="Gill Sans MT" w:hAnsi="Gill Sans MT"/>
          <w:shd w:val="clear" w:color="auto" w:fill="FFFFFF"/>
        </w:rPr>
        <w:t>[2017] UKSC 5, [2018] AC 61, [43].</w:t>
      </w:r>
    </w:p>
  </w:footnote>
  <w:footnote w:id="61">
    <w:p w14:paraId="113B8FC0" w14:textId="1A809987" w:rsidR="00BE2A5F" w:rsidRPr="00ED0896" w:rsidRDefault="00BE2A5F">
      <w:pPr>
        <w:pStyle w:val="FootnoteText"/>
        <w:rPr>
          <w:rFonts w:ascii="Gill Sans MT" w:hAnsi="Gill Sans MT"/>
        </w:rPr>
      </w:pPr>
      <w:r w:rsidRPr="00ED0896">
        <w:rPr>
          <w:rStyle w:val="FootnoteReference"/>
          <w:rFonts w:ascii="Gill Sans MT" w:hAnsi="Gill Sans MT"/>
        </w:rPr>
        <w:footnoteRef/>
      </w:r>
      <w:r w:rsidRPr="00ED0896">
        <w:rPr>
          <w:rFonts w:ascii="Gill Sans MT" w:hAnsi="Gill Sans MT"/>
        </w:rPr>
        <w:t xml:space="preserve"> [2018] UKSC 64, [63], [64].</w:t>
      </w:r>
    </w:p>
  </w:footnote>
  <w:footnote w:id="62">
    <w:p w14:paraId="78119245" w14:textId="439A0D72" w:rsidR="00BE2A5F" w:rsidRPr="00ED0896" w:rsidRDefault="00BE2A5F">
      <w:pPr>
        <w:pStyle w:val="FootnoteText"/>
        <w:rPr>
          <w:rFonts w:ascii="Gill Sans MT" w:hAnsi="Gill Sans MT"/>
        </w:rPr>
      </w:pPr>
      <w:r w:rsidRPr="00ED0896">
        <w:rPr>
          <w:rStyle w:val="FootnoteReference"/>
          <w:rFonts w:ascii="Gill Sans MT" w:hAnsi="Gill Sans MT"/>
        </w:rPr>
        <w:footnoteRef/>
      </w:r>
      <w:r w:rsidRPr="00ED0896">
        <w:rPr>
          <w:rFonts w:ascii="Gill Sans MT" w:hAnsi="Gill Sans MT"/>
        </w:rPr>
        <w:t xml:space="preserve"> [2019] UKSC 41, [40].</w:t>
      </w:r>
    </w:p>
  </w:footnote>
  <w:footnote w:id="63">
    <w:p w14:paraId="4F432A5C" w14:textId="7DC6E419"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742FC8">
        <w:rPr>
          <w:rFonts w:ascii="Gill Sans MT" w:hAnsi="Gill Sans MT"/>
        </w:rPr>
        <w:t>Dicey (n.</w:t>
      </w:r>
      <w:r>
        <w:rPr>
          <w:rFonts w:ascii="Gill Sans MT" w:hAnsi="Gill Sans MT"/>
        </w:rPr>
        <w:t>40</w:t>
      </w:r>
      <w:r w:rsidRPr="00742FC8">
        <w:rPr>
          <w:rFonts w:ascii="Gill Sans MT" w:hAnsi="Gill Sans MT"/>
        </w:rPr>
        <w:t>) 71.</w:t>
      </w:r>
    </w:p>
  </w:footnote>
  <w:footnote w:id="64">
    <w:p w14:paraId="2FBD3433" w14:textId="77777777" w:rsidR="00BE2A5F" w:rsidRPr="00D704FD" w:rsidRDefault="00BE2A5F" w:rsidP="007524A0">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AL Brown, ‘Parliament, c. 1377-1422’ in RG Davies and JH Denton (eds), </w:t>
      </w:r>
      <w:r w:rsidRPr="00D704FD">
        <w:rPr>
          <w:rFonts w:ascii="Gill Sans MT" w:hAnsi="Gill Sans MT"/>
          <w:i/>
          <w:iCs/>
        </w:rPr>
        <w:t xml:space="preserve">The English Parliament in the Middle Ages </w:t>
      </w:r>
      <w:r w:rsidRPr="00D704FD">
        <w:rPr>
          <w:rFonts w:ascii="Gill Sans MT" w:hAnsi="Gill Sans MT"/>
        </w:rPr>
        <w:t>(Manchester University Press, 1981) 131-2.</w:t>
      </w:r>
    </w:p>
  </w:footnote>
  <w:footnote w:id="65">
    <w:p w14:paraId="088853AF" w14:textId="52DD382F" w:rsidR="00BE2A5F" w:rsidRPr="00D704FD" w:rsidRDefault="00BE2A5F" w:rsidP="007524A0">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GR Elton, </w:t>
      </w:r>
      <w:r w:rsidRPr="00D704FD">
        <w:rPr>
          <w:rFonts w:ascii="Gill Sans MT" w:hAnsi="Gill Sans MT"/>
          <w:i/>
          <w:iCs/>
        </w:rPr>
        <w:t xml:space="preserve">Studies in Tudor and Stuart Politics and Government, Paper and Reviews 1946-1972: Volume 2, Parliament/Political Thought </w:t>
      </w:r>
      <w:r w:rsidRPr="00D704FD">
        <w:rPr>
          <w:rFonts w:ascii="Gill Sans MT" w:hAnsi="Gill Sans MT"/>
        </w:rPr>
        <w:t xml:space="preserve">(CUP, 1974) 25, citing </w:t>
      </w:r>
      <w:proofErr w:type="spellStart"/>
      <w:r w:rsidRPr="00D704FD">
        <w:rPr>
          <w:rFonts w:ascii="Gill Sans MT" w:hAnsi="Gill Sans MT"/>
        </w:rPr>
        <w:t>Chrimes</w:t>
      </w:r>
      <w:proofErr w:type="spellEnd"/>
      <w:r w:rsidRPr="00D704FD">
        <w:rPr>
          <w:rFonts w:ascii="Gill Sans MT" w:hAnsi="Gill Sans MT"/>
        </w:rPr>
        <w:t xml:space="preserve">, </w:t>
      </w:r>
      <w:r w:rsidRPr="00D704FD">
        <w:rPr>
          <w:rFonts w:ascii="Gill Sans MT" w:hAnsi="Gill Sans MT"/>
          <w:i/>
          <w:iCs/>
        </w:rPr>
        <w:t>Constitutional Ideas</w:t>
      </w:r>
      <w:r w:rsidRPr="00D704FD">
        <w:rPr>
          <w:rFonts w:ascii="Gill Sans MT" w:hAnsi="Gill Sans MT"/>
        </w:rPr>
        <w:t>, 128-9.</w:t>
      </w:r>
    </w:p>
  </w:footnote>
  <w:footnote w:id="66">
    <w:p w14:paraId="654C561A" w14:textId="2ADDB715" w:rsidR="00BE2A5F" w:rsidRPr="007010A0" w:rsidRDefault="00BE2A5F">
      <w:pPr>
        <w:pStyle w:val="FootnoteText"/>
        <w:rPr>
          <w:rFonts w:ascii="Gill Sans MT" w:hAnsi="Gill Sans MT"/>
        </w:rPr>
      </w:pPr>
      <w:r w:rsidRPr="007010A0">
        <w:rPr>
          <w:rStyle w:val="FootnoteReference"/>
          <w:rFonts w:ascii="Gill Sans MT" w:hAnsi="Gill Sans MT"/>
        </w:rPr>
        <w:footnoteRef/>
      </w:r>
      <w:r w:rsidRPr="007010A0">
        <w:rPr>
          <w:rFonts w:ascii="Gill Sans MT" w:hAnsi="Gill Sans MT"/>
        </w:rPr>
        <w:t xml:space="preserve"> </w:t>
      </w:r>
      <w:r w:rsidRPr="007010A0">
        <w:rPr>
          <w:rFonts w:ascii="Gill Sans MT" w:hAnsi="Gill Sans MT" w:cs="Arial"/>
          <w:color w:val="000000"/>
          <w:shd w:val="clear" w:color="auto" w:fill="FFFFFF"/>
        </w:rPr>
        <w:t xml:space="preserve">Royal Assent by Commission Act 1541; </w:t>
      </w:r>
      <w:r>
        <w:rPr>
          <w:rFonts w:ascii="Gill Sans MT" w:hAnsi="Gill Sans MT" w:cs="Arial"/>
          <w:color w:val="000000"/>
          <w:shd w:val="clear" w:color="auto" w:fill="FFFFFF"/>
        </w:rPr>
        <w:t xml:space="preserve">replaced by </w:t>
      </w:r>
      <w:r w:rsidRPr="007010A0">
        <w:rPr>
          <w:rFonts w:ascii="Gill Sans MT" w:hAnsi="Gill Sans MT" w:cs="Arial"/>
          <w:color w:val="000000"/>
          <w:shd w:val="clear" w:color="auto" w:fill="FFFFFF"/>
        </w:rPr>
        <w:t>Royal Assent Act 1967</w:t>
      </w:r>
      <w:r>
        <w:rPr>
          <w:rFonts w:ascii="Gill Sans MT" w:hAnsi="Gill Sans MT" w:cs="Arial"/>
          <w:color w:val="000000"/>
          <w:shd w:val="clear" w:color="auto" w:fill="FFFFFF"/>
        </w:rPr>
        <w:t>, s.1(a).</w:t>
      </w:r>
    </w:p>
  </w:footnote>
  <w:footnote w:id="67">
    <w:p w14:paraId="6056A416" w14:textId="57E303AB" w:rsidR="00BE2A5F" w:rsidRPr="00213CD1" w:rsidRDefault="00BE2A5F">
      <w:pPr>
        <w:pStyle w:val="FootnoteText"/>
        <w:rPr>
          <w:rFonts w:ascii="Gill Sans MT" w:hAnsi="Gill Sans MT"/>
        </w:rPr>
      </w:pPr>
      <w:r w:rsidRPr="007010A0">
        <w:rPr>
          <w:rStyle w:val="FootnoteReference"/>
          <w:rFonts w:ascii="Gill Sans MT" w:hAnsi="Gill Sans MT"/>
        </w:rPr>
        <w:footnoteRef/>
      </w:r>
      <w:r w:rsidRPr="007010A0">
        <w:rPr>
          <w:rFonts w:ascii="Gill Sans MT" w:hAnsi="Gill Sans MT"/>
        </w:rPr>
        <w:t xml:space="preserve"> M Loughlin, ‘The Constitutional Thought of the Levellers’ (2007) 60</w:t>
      </w:r>
      <w:r>
        <w:rPr>
          <w:rFonts w:ascii="Gill Sans MT" w:hAnsi="Gill Sans MT"/>
        </w:rPr>
        <w:t xml:space="preserve"> </w:t>
      </w:r>
      <w:r>
        <w:rPr>
          <w:rFonts w:ascii="Gill Sans MT" w:hAnsi="Gill Sans MT"/>
          <w:i/>
          <w:iCs/>
        </w:rPr>
        <w:t xml:space="preserve">Current Legal Problems </w:t>
      </w:r>
      <w:r>
        <w:rPr>
          <w:rFonts w:ascii="Gill Sans MT" w:hAnsi="Gill Sans MT"/>
        </w:rPr>
        <w:t>1-39.</w:t>
      </w:r>
    </w:p>
  </w:footnote>
  <w:footnote w:id="68">
    <w:p w14:paraId="4722280E" w14:textId="66DBACD7"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J Locke, </w:t>
      </w:r>
      <w:r w:rsidRPr="00D704FD">
        <w:rPr>
          <w:rFonts w:ascii="Gill Sans MT" w:hAnsi="Gill Sans MT"/>
          <w:i/>
          <w:iCs/>
        </w:rPr>
        <w:t>Second Treatise of Government</w:t>
      </w:r>
      <w:r w:rsidRPr="00D704FD">
        <w:rPr>
          <w:rFonts w:ascii="Gill Sans MT" w:hAnsi="Gill Sans MT"/>
        </w:rPr>
        <w:t xml:space="preserve"> (CB Macpherson (ed), Hackett Publishing Company, 1980) para 149.</w:t>
      </w:r>
    </w:p>
  </w:footnote>
  <w:footnote w:id="69">
    <w:p w14:paraId="28029743" w14:textId="4D1A3E32"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para 222.</w:t>
      </w:r>
    </w:p>
  </w:footnote>
  <w:footnote w:id="70">
    <w:p w14:paraId="4529820F" w14:textId="522998A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 Blackstone, </w:t>
      </w:r>
      <w:r w:rsidRPr="00D704FD">
        <w:rPr>
          <w:rFonts w:ascii="Gill Sans MT" w:hAnsi="Gill Sans MT"/>
          <w:i/>
          <w:iCs/>
        </w:rPr>
        <w:t>Commentaries on the Laws of England</w:t>
      </w:r>
      <w:r w:rsidRPr="00D704FD">
        <w:rPr>
          <w:rFonts w:ascii="Gill Sans MT" w:hAnsi="Gill Sans MT"/>
        </w:rPr>
        <w:t xml:space="preserve"> (Clarendon Press, Oxford, 1765) 157.</w:t>
      </w:r>
    </w:p>
  </w:footnote>
  <w:footnote w:id="71">
    <w:p w14:paraId="7A779702" w14:textId="3B0B13A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157.</w:t>
      </w:r>
    </w:p>
  </w:footnote>
  <w:footnote w:id="72">
    <w:p w14:paraId="1A1262DB" w14:textId="13BEC2BB"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D704FD">
        <w:rPr>
          <w:rFonts w:ascii="Gill Sans MT" w:hAnsi="Gill Sans MT"/>
          <w:i/>
          <w:iCs/>
        </w:rPr>
        <w:t xml:space="preserve">The Trial of Thomas Paine </w:t>
      </w:r>
      <w:r w:rsidRPr="00D704FD">
        <w:rPr>
          <w:rFonts w:ascii="Gill Sans MT" w:hAnsi="Gill Sans MT"/>
        </w:rPr>
        <w:t xml:space="preserve">(C and G Kearsley Fleet Street, London, 1792), online at: </w:t>
      </w:r>
      <w:hyperlink r:id="rId3" w:history="1">
        <w:r w:rsidRPr="00D704FD">
          <w:rPr>
            <w:rStyle w:val="Hyperlink"/>
            <w:rFonts w:ascii="Gill Sans MT" w:hAnsi="Gill Sans MT"/>
            <w:color w:val="auto"/>
          </w:rPr>
          <w:t>https://quod.lib.umich.edu/e/ecco/004809446.0001.000/1:1?rgn=div1;view=fulltext</w:t>
        </w:r>
      </w:hyperlink>
    </w:p>
  </w:footnote>
  <w:footnote w:id="73">
    <w:p w14:paraId="3816148C" w14:textId="6DA5B55F"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Renamed the Treason Act 1795 by the Short Titles Act 1896.</w:t>
      </w:r>
    </w:p>
  </w:footnote>
  <w:footnote w:id="74">
    <w:p w14:paraId="1BD64C0C" w14:textId="19742370"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P Foot, </w:t>
      </w:r>
      <w:r w:rsidRPr="00D704FD">
        <w:rPr>
          <w:rFonts w:ascii="Gill Sans MT" w:hAnsi="Gill Sans MT"/>
          <w:i/>
          <w:iCs/>
        </w:rPr>
        <w:t xml:space="preserve">The Vote: How it was Won and How it was Undermined </w:t>
      </w:r>
      <w:r w:rsidRPr="00D704FD">
        <w:rPr>
          <w:rFonts w:ascii="Gill Sans MT" w:hAnsi="Gill Sans MT"/>
        </w:rPr>
        <w:t>(Bookmarks Publications, 2012) 91; see generally 45-88.</w:t>
      </w:r>
    </w:p>
  </w:footnote>
  <w:footnote w:id="75">
    <w:p w14:paraId="49602F9C" w14:textId="1D1FCB48"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92.  See D Thompson, </w:t>
      </w:r>
      <w:r w:rsidRPr="00D704FD">
        <w:rPr>
          <w:rFonts w:ascii="Gill Sans MT" w:hAnsi="Gill Sans MT"/>
          <w:i/>
          <w:iCs/>
        </w:rPr>
        <w:t xml:space="preserve">The Chartists </w:t>
      </w:r>
      <w:r w:rsidRPr="00D704FD">
        <w:rPr>
          <w:rFonts w:ascii="Gill Sans MT" w:hAnsi="Gill Sans MT"/>
        </w:rPr>
        <w:t>(Temple Smith, 1984).</w:t>
      </w:r>
    </w:p>
  </w:footnote>
  <w:footnote w:id="76">
    <w:p w14:paraId="689B25BC" w14:textId="607FAD14"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See</w:t>
      </w:r>
      <w:r w:rsidRPr="00D704FD">
        <w:rPr>
          <w:rFonts w:ascii="Gill Sans MT" w:hAnsi="Gill Sans MT"/>
        </w:rPr>
        <w:t xml:space="preserve"> R Saunders, ‘The Politics of Reform and the Making of the Second Reform Act, 1848-1867’ (2007) 50 </w:t>
      </w:r>
      <w:r w:rsidRPr="00D704FD">
        <w:rPr>
          <w:rFonts w:ascii="Gill Sans MT" w:hAnsi="Gill Sans MT"/>
          <w:i/>
          <w:iCs/>
        </w:rPr>
        <w:t xml:space="preserve">The Historical Journal </w:t>
      </w:r>
      <w:r w:rsidRPr="00D704FD">
        <w:rPr>
          <w:rFonts w:ascii="Gill Sans MT" w:hAnsi="Gill Sans MT"/>
        </w:rPr>
        <w:t>571-591.</w:t>
      </w:r>
    </w:p>
  </w:footnote>
  <w:footnote w:id="77">
    <w:p w14:paraId="1E7712D1" w14:textId="20D31FF5"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Foot (n.</w:t>
      </w:r>
      <w:r>
        <w:rPr>
          <w:rFonts w:ascii="Gill Sans MT" w:hAnsi="Gill Sans MT"/>
        </w:rPr>
        <w:t>86</w:t>
      </w:r>
      <w:r w:rsidRPr="00D704FD">
        <w:rPr>
          <w:rFonts w:ascii="Gill Sans MT" w:hAnsi="Gill Sans MT"/>
        </w:rPr>
        <w:t>) 170.</w:t>
      </w:r>
    </w:p>
  </w:footnote>
  <w:footnote w:id="78">
    <w:p w14:paraId="2D62FEB9" w14:textId="3B6B32A0"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Representation of the People Act 19</w:t>
      </w:r>
      <w:r>
        <w:rPr>
          <w:rFonts w:ascii="Gill Sans MT" w:hAnsi="Gill Sans MT"/>
        </w:rPr>
        <w:t>28</w:t>
      </w:r>
      <w:r w:rsidRPr="00D704FD">
        <w:rPr>
          <w:rFonts w:ascii="Gill Sans MT" w:hAnsi="Gill Sans MT"/>
        </w:rPr>
        <w:t>.</w:t>
      </w:r>
    </w:p>
  </w:footnote>
  <w:footnote w:id="79">
    <w:p w14:paraId="0DA37345" w14:textId="409FDE59"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Representation of the People Act 1948.</w:t>
      </w:r>
    </w:p>
  </w:footnote>
  <w:footnote w:id="80">
    <w:p w14:paraId="3F667185" w14:textId="6EBCE8FD"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Representation of the People Act 1969.</w:t>
      </w:r>
    </w:p>
  </w:footnote>
  <w:footnote w:id="81">
    <w:p w14:paraId="127111DD" w14:textId="77E7BAAA"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House of Lords Standing Order No.6, </w:t>
      </w:r>
      <w:r>
        <w:rPr>
          <w:rFonts w:ascii="Gill Sans MT" w:hAnsi="Gill Sans MT"/>
        </w:rPr>
        <w:t>(</w:t>
      </w:r>
      <w:r w:rsidRPr="00D704FD">
        <w:rPr>
          <w:rFonts w:ascii="Gill Sans MT" w:hAnsi="Gill Sans MT"/>
        </w:rPr>
        <w:t>first recorded 1621</w:t>
      </w:r>
      <w:r>
        <w:rPr>
          <w:rFonts w:ascii="Gill Sans MT" w:hAnsi="Gill Sans MT"/>
        </w:rPr>
        <w:t>)</w:t>
      </w:r>
      <w:r w:rsidRPr="00D704FD">
        <w:rPr>
          <w:rFonts w:ascii="Gill Sans MT" w:hAnsi="Gill Sans MT"/>
        </w:rPr>
        <w:t>.</w:t>
      </w:r>
    </w:p>
  </w:footnote>
  <w:footnote w:id="82">
    <w:p w14:paraId="19274002" w14:textId="551F2B9A"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A Harlow, N Doe and F Cranmer, ‘Bishops in the House of Lords: A Critical Analysis’ [2008] </w:t>
      </w:r>
      <w:r w:rsidRPr="00D704FD">
        <w:rPr>
          <w:rFonts w:ascii="Gill Sans MT" w:hAnsi="Gill Sans MT"/>
          <w:i/>
          <w:iCs/>
        </w:rPr>
        <w:t xml:space="preserve">Public Law </w:t>
      </w:r>
      <w:r w:rsidRPr="00D704FD">
        <w:rPr>
          <w:rFonts w:ascii="Gill Sans MT" w:hAnsi="Gill Sans MT"/>
        </w:rPr>
        <w:t>490-509, 490.</w:t>
      </w:r>
    </w:p>
  </w:footnote>
  <w:footnote w:id="83">
    <w:p w14:paraId="64985AE4" w14:textId="4BE9F68A"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Bishoprics Act 1878.</w:t>
      </w:r>
    </w:p>
  </w:footnote>
  <w:footnote w:id="84">
    <w:p w14:paraId="6EC7B246" w14:textId="38101D5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Appellate Jurisdiction Act 1876, s.6.</w:t>
      </w:r>
    </w:p>
  </w:footnote>
  <w:footnote w:id="85">
    <w:p w14:paraId="405489E4" w14:textId="0DCAD829" w:rsidR="00BE2A5F" w:rsidRPr="0053417C"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53417C">
        <w:rPr>
          <w:rFonts w:ascii="Gill Sans MT" w:hAnsi="Gill Sans MT"/>
        </w:rPr>
        <w:t>Constitutional Reform Act 2005, s.23.</w:t>
      </w:r>
    </w:p>
  </w:footnote>
  <w:footnote w:id="86">
    <w:p w14:paraId="58B3E5B3" w14:textId="6A1CE289" w:rsidR="00BE2A5F" w:rsidRPr="0053417C" w:rsidRDefault="00BE2A5F">
      <w:pPr>
        <w:pStyle w:val="FootnoteText"/>
        <w:rPr>
          <w:rFonts w:ascii="Gill Sans MT" w:hAnsi="Gill Sans MT"/>
        </w:rPr>
      </w:pPr>
      <w:r w:rsidRPr="0053417C">
        <w:rPr>
          <w:rStyle w:val="FootnoteReference"/>
          <w:rFonts w:ascii="Gill Sans MT" w:hAnsi="Gill Sans MT"/>
        </w:rPr>
        <w:footnoteRef/>
      </w:r>
      <w:r w:rsidRPr="0053417C">
        <w:rPr>
          <w:rFonts w:ascii="Gill Sans MT" w:hAnsi="Gill Sans MT"/>
        </w:rPr>
        <w:t xml:space="preserve"> Constitutional Reform Act 2005, s.137.</w:t>
      </w:r>
    </w:p>
  </w:footnote>
  <w:footnote w:id="87">
    <w:p w14:paraId="4CB08198" w14:textId="1796DCAB" w:rsidR="00BE2A5F" w:rsidRPr="0053417C" w:rsidRDefault="00BE2A5F">
      <w:pPr>
        <w:pStyle w:val="FootnoteText"/>
        <w:rPr>
          <w:rFonts w:ascii="Gill Sans MT" w:hAnsi="Gill Sans MT"/>
        </w:rPr>
      </w:pPr>
      <w:r w:rsidRPr="0053417C">
        <w:rPr>
          <w:rStyle w:val="FootnoteReference"/>
          <w:rFonts w:ascii="Gill Sans MT" w:hAnsi="Gill Sans MT"/>
        </w:rPr>
        <w:footnoteRef/>
      </w:r>
      <w:r w:rsidRPr="0053417C">
        <w:rPr>
          <w:rFonts w:ascii="Gill Sans MT" w:hAnsi="Gill Sans MT"/>
        </w:rPr>
        <w:t xml:space="preserve"> </w:t>
      </w:r>
      <w:r>
        <w:rPr>
          <w:rFonts w:ascii="Gill Sans MT" w:hAnsi="Gill Sans MT"/>
        </w:rPr>
        <w:t>However, on</w:t>
      </w:r>
      <w:r w:rsidRPr="0053417C">
        <w:rPr>
          <w:rFonts w:ascii="Gill Sans MT" w:hAnsi="Gill Sans MT"/>
        </w:rPr>
        <w:t xml:space="preserve"> becoming President of the UKSC in 2019, Lord Reed was appointed to a Life Peerage.</w:t>
      </w:r>
    </w:p>
  </w:footnote>
  <w:footnote w:id="88">
    <w:p w14:paraId="27D7F229" w14:textId="6F105772" w:rsidR="00BE2A5F" w:rsidRPr="0053417C" w:rsidRDefault="00BE2A5F">
      <w:pPr>
        <w:pStyle w:val="FootnoteText"/>
        <w:rPr>
          <w:rFonts w:ascii="Gill Sans MT" w:hAnsi="Gill Sans MT"/>
        </w:rPr>
      </w:pPr>
      <w:r w:rsidRPr="0053417C">
        <w:rPr>
          <w:rStyle w:val="FootnoteReference"/>
          <w:rFonts w:ascii="Gill Sans MT" w:hAnsi="Gill Sans MT"/>
        </w:rPr>
        <w:footnoteRef/>
      </w:r>
      <w:r w:rsidRPr="0053417C">
        <w:rPr>
          <w:rFonts w:ascii="Gill Sans MT" w:hAnsi="Gill Sans MT"/>
        </w:rPr>
        <w:t xml:space="preserve"> House of Lords Library Note, </w:t>
      </w:r>
      <w:r w:rsidRPr="0053417C">
        <w:rPr>
          <w:rFonts w:ascii="Gill Sans MT" w:hAnsi="Gill Sans MT"/>
          <w:i/>
          <w:iCs/>
        </w:rPr>
        <w:t xml:space="preserve">The Salisbury Doctrine </w:t>
      </w:r>
      <w:r w:rsidRPr="0053417C">
        <w:rPr>
          <w:rFonts w:ascii="Gill Sans MT" w:hAnsi="Gill Sans MT"/>
        </w:rPr>
        <w:t>(LLN 2006/006, 30 June 2006).</w:t>
      </w:r>
    </w:p>
  </w:footnote>
  <w:footnote w:id="89">
    <w:p w14:paraId="7A975E84" w14:textId="442362D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Parliament Act 1991, s.2(1); s.1(1).</w:t>
      </w:r>
    </w:p>
  </w:footnote>
  <w:footnote w:id="90">
    <w:p w14:paraId="17BE9538" w14:textId="5E7DBE30"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C Ballinger, </w:t>
      </w:r>
      <w:r w:rsidRPr="00D704FD">
        <w:rPr>
          <w:rFonts w:ascii="Gill Sans MT" w:hAnsi="Gill Sans MT"/>
          <w:i/>
          <w:iCs/>
        </w:rPr>
        <w:t xml:space="preserve">The House of Lords 1911-2011: A Century of Non-Reform </w:t>
      </w:r>
      <w:r w:rsidRPr="00D704FD">
        <w:rPr>
          <w:rFonts w:ascii="Gill Sans MT" w:hAnsi="Gill Sans MT"/>
        </w:rPr>
        <w:t>(Hart Publishing, 2012) ch.1.</w:t>
      </w:r>
    </w:p>
  </w:footnote>
  <w:footnote w:id="91">
    <w:p w14:paraId="2860109B" w14:textId="1DA67C3C" w:rsidR="00BE2A5F" w:rsidRPr="00D704FD" w:rsidRDefault="00BE2A5F" w:rsidP="00415C06">
      <w:pPr>
        <w:pStyle w:val="FootnoteText"/>
        <w:jc w:val="both"/>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[2005] UKHL 56; [2006] 1 AC 262.</w:t>
      </w:r>
    </w:p>
  </w:footnote>
  <w:footnote w:id="92">
    <w:p w14:paraId="05EB96F3" w14:textId="6717A5ED"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[30].  See also Baroness Hale, [156]-[158].</w:t>
      </w:r>
    </w:p>
  </w:footnote>
  <w:footnote w:id="93">
    <w:p w14:paraId="63E8A500" w14:textId="61CBE5E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Ibid [36].</w:t>
      </w:r>
    </w:p>
  </w:footnote>
  <w:footnote w:id="94">
    <w:p w14:paraId="5E599E90" w14:textId="60BFF2F0" w:rsidR="00BE2A5F" w:rsidRPr="00E60EC1" w:rsidRDefault="00BE2A5F">
      <w:pPr>
        <w:pStyle w:val="FootnoteText"/>
        <w:rPr>
          <w:rFonts w:ascii="Gill Sans MT" w:hAnsi="Gill Sans MT"/>
        </w:rPr>
      </w:pPr>
      <w:r w:rsidRPr="00E60EC1">
        <w:rPr>
          <w:rStyle w:val="FootnoteReference"/>
          <w:rFonts w:ascii="Gill Sans MT" w:hAnsi="Gill Sans MT"/>
        </w:rPr>
        <w:footnoteRef/>
      </w:r>
      <w:r w:rsidRPr="00E60EC1">
        <w:rPr>
          <w:rFonts w:ascii="Gill Sans MT" w:hAnsi="Gill Sans MT"/>
        </w:rPr>
        <w:t xml:space="preserve"> Ibid [124].</w:t>
      </w:r>
    </w:p>
  </w:footnote>
  <w:footnote w:id="95">
    <w:p w14:paraId="091573E0" w14:textId="3E324F79" w:rsidR="00BE2A5F" w:rsidRPr="00DA0D94" w:rsidRDefault="00BE2A5F">
      <w:pPr>
        <w:pStyle w:val="FootnoteText"/>
        <w:rPr>
          <w:rFonts w:ascii="Gill Sans MT" w:hAnsi="Gill Sans MT"/>
        </w:rPr>
      </w:pPr>
      <w:r w:rsidRPr="00DA0D94">
        <w:rPr>
          <w:rStyle w:val="FootnoteReference"/>
          <w:rFonts w:ascii="Gill Sans MT" w:hAnsi="Gill Sans MT"/>
        </w:rPr>
        <w:footnoteRef/>
      </w:r>
      <w:r w:rsidRPr="00DA0D94">
        <w:rPr>
          <w:rFonts w:ascii="Gill Sans MT" w:hAnsi="Gill Sans MT"/>
        </w:rPr>
        <w:t xml:space="preserve"> Indian Independence Act 1947.</w:t>
      </w:r>
    </w:p>
  </w:footnote>
  <w:footnote w:id="96">
    <w:p w14:paraId="0489EF17" w14:textId="7E049437" w:rsidR="00BE2A5F" w:rsidRPr="00DA0D94" w:rsidRDefault="00BE2A5F" w:rsidP="00C730AF">
      <w:pPr>
        <w:pStyle w:val="FootnoteText"/>
        <w:rPr>
          <w:rFonts w:ascii="Gill Sans MT" w:hAnsi="Gill Sans MT"/>
        </w:rPr>
      </w:pPr>
      <w:r w:rsidRPr="00DA0D94">
        <w:rPr>
          <w:rStyle w:val="FootnoteReference"/>
          <w:rFonts w:ascii="Gill Sans MT" w:hAnsi="Gill Sans MT"/>
        </w:rPr>
        <w:footnoteRef/>
      </w:r>
      <w:r w:rsidRPr="00DA0D94">
        <w:rPr>
          <w:rFonts w:ascii="Gill Sans MT" w:hAnsi="Gill Sans MT"/>
        </w:rPr>
        <w:t xml:space="preserve"> </w:t>
      </w:r>
      <w:r>
        <w:rPr>
          <w:rFonts w:ascii="Gill Sans MT" w:hAnsi="Gill Sans MT"/>
        </w:rPr>
        <w:t>The Colonial Laws Validity Act 1865 provided legislative autonomy for colonies, subject to the constraint that their laws could not contradict the legislation of the Westminster Parliament (s.2).  The Statute of Westminster 1931 eliminated the power of the UK Parliament to legislate for ‘Dominions’ other than with express consent (s.4).</w:t>
      </w:r>
    </w:p>
  </w:footnote>
  <w:footnote w:id="97">
    <w:p w14:paraId="167AA21F" w14:textId="3CCF13DF" w:rsidR="00BE2A5F" w:rsidRPr="00C10FF1" w:rsidRDefault="00BE2A5F">
      <w:pPr>
        <w:pStyle w:val="FootnoteText"/>
        <w:rPr>
          <w:rFonts w:ascii="Gill Sans MT" w:hAnsi="Gill Sans MT"/>
        </w:rPr>
      </w:pPr>
      <w:r w:rsidRPr="00C10FF1">
        <w:rPr>
          <w:rStyle w:val="FootnoteReference"/>
          <w:rFonts w:ascii="Gill Sans MT" w:hAnsi="Gill Sans MT"/>
        </w:rPr>
        <w:footnoteRef/>
      </w:r>
      <w:r w:rsidRPr="00C10FF1">
        <w:rPr>
          <w:rFonts w:ascii="Gill Sans MT" w:hAnsi="Gill Sans MT"/>
        </w:rPr>
        <w:t xml:space="preserve"> Foreign and Commonwealth Office, </w:t>
      </w:r>
      <w:r w:rsidRPr="00C10FF1">
        <w:rPr>
          <w:rFonts w:ascii="Gill Sans MT" w:hAnsi="Gill Sans MT"/>
          <w:i/>
          <w:iCs/>
        </w:rPr>
        <w:t xml:space="preserve">The Overseas Territories: Security, Success and Sustainability </w:t>
      </w:r>
      <w:r w:rsidRPr="00C10FF1">
        <w:rPr>
          <w:rFonts w:ascii="Gill Sans MT" w:hAnsi="Gill Sans MT"/>
        </w:rPr>
        <w:t xml:space="preserve">(Cm 8374, 2012) 14.  </w:t>
      </w:r>
      <w:r>
        <w:rPr>
          <w:rFonts w:ascii="Gill Sans MT" w:hAnsi="Gill Sans MT"/>
        </w:rPr>
        <w:t>The</w:t>
      </w:r>
      <w:r w:rsidRPr="00C10FF1">
        <w:rPr>
          <w:rFonts w:ascii="Gill Sans MT" w:hAnsi="Gill Sans MT"/>
        </w:rPr>
        <w:t xml:space="preserve"> OTs are former colonies, </w:t>
      </w:r>
      <w:r>
        <w:rPr>
          <w:rFonts w:ascii="Gill Sans MT" w:hAnsi="Gill Sans MT"/>
        </w:rPr>
        <w:t xml:space="preserve">and distinct from three </w:t>
      </w:r>
      <w:r w:rsidRPr="00C10FF1">
        <w:rPr>
          <w:rFonts w:ascii="Gill Sans MT" w:hAnsi="Gill Sans MT"/>
        </w:rPr>
        <w:t>internally self-governing dependencies of the Crown</w:t>
      </w:r>
      <w:r>
        <w:rPr>
          <w:rFonts w:ascii="Gill Sans MT" w:hAnsi="Gill Sans MT"/>
        </w:rPr>
        <w:t xml:space="preserve"> -</w:t>
      </w:r>
      <w:r w:rsidRPr="00C10FF1">
        <w:rPr>
          <w:rFonts w:ascii="Gill Sans MT" w:hAnsi="Gill Sans MT"/>
        </w:rPr>
        <w:t xml:space="preserve"> Jersey, </w:t>
      </w:r>
      <w:proofErr w:type="gramStart"/>
      <w:r w:rsidRPr="00C10FF1">
        <w:rPr>
          <w:rFonts w:ascii="Gill Sans MT" w:hAnsi="Gill Sans MT"/>
        </w:rPr>
        <w:t>Guernsey</w:t>
      </w:r>
      <w:proofErr w:type="gramEnd"/>
      <w:r w:rsidRPr="00C10FF1">
        <w:rPr>
          <w:rFonts w:ascii="Gill Sans MT" w:hAnsi="Gill Sans MT"/>
        </w:rPr>
        <w:t xml:space="preserve"> and the Isle of Man</w:t>
      </w:r>
      <w:r>
        <w:rPr>
          <w:rFonts w:ascii="Gill Sans MT" w:hAnsi="Gill Sans MT"/>
        </w:rPr>
        <w:t xml:space="preserve"> - </w:t>
      </w:r>
      <w:r w:rsidRPr="00C10FF1">
        <w:rPr>
          <w:rFonts w:ascii="Gill Sans MT" w:hAnsi="Gill Sans MT"/>
        </w:rPr>
        <w:t>which were never colonies.</w:t>
      </w:r>
    </w:p>
  </w:footnote>
  <w:footnote w:id="98">
    <w:p w14:paraId="6394B38D" w14:textId="10B70868" w:rsidR="00BE2A5F" w:rsidRPr="00C10FF1" w:rsidRDefault="00BE2A5F">
      <w:pPr>
        <w:pStyle w:val="FootnoteText"/>
        <w:rPr>
          <w:rFonts w:ascii="Gill Sans MT" w:hAnsi="Gill Sans MT"/>
        </w:rPr>
      </w:pPr>
      <w:r w:rsidRPr="00C10FF1">
        <w:rPr>
          <w:rStyle w:val="FootnoteReference"/>
          <w:rFonts w:ascii="Gill Sans MT" w:hAnsi="Gill Sans MT"/>
        </w:rPr>
        <w:footnoteRef/>
      </w:r>
      <w:r w:rsidRPr="00C10FF1">
        <w:rPr>
          <w:rFonts w:ascii="Gill Sans MT" w:hAnsi="Gill Sans MT"/>
        </w:rPr>
        <w:t xml:space="preserve"> Goldsworthy (</w:t>
      </w:r>
      <w:r w:rsidRPr="007F13C5">
        <w:rPr>
          <w:rFonts w:ascii="Gill Sans MT" w:hAnsi="Gill Sans MT"/>
        </w:rPr>
        <w:t>n.</w:t>
      </w:r>
      <w:r>
        <w:rPr>
          <w:rFonts w:ascii="Gill Sans MT" w:hAnsi="Gill Sans MT"/>
        </w:rPr>
        <w:t>55</w:t>
      </w:r>
      <w:r w:rsidRPr="00C10FF1">
        <w:rPr>
          <w:rFonts w:ascii="Gill Sans MT" w:hAnsi="Gill Sans MT"/>
        </w:rPr>
        <w:t>) 232.</w:t>
      </w:r>
    </w:p>
  </w:footnote>
  <w:footnote w:id="99">
    <w:p w14:paraId="1638DA0F" w14:textId="58CA2C29" w:rsidR="00BE2A5F" w:rsidRPr="009D259C" w:rsidRDefault="00BE2A5F" w:rsidP="00F638EB">
      <w:pPr>
        <w:pStyle w:val="FootnoteText"/>
        <w:rPr>
          <w:rFonts w:ascii="Gill Sans MT" w:hAnsi="Gill Sans MT"/>
        </w:rPr>
      </w:pPr>
      <w:r w:rsidRPr="009D259C">
        <w:rPr>
          <w:rStyle w:val="FootnoteReference"/>
          <w:rFonts w:ascii="Gill Sans MT" w:hAnsi="Gill Sans MT"/>
        </w:rPr>
        <w:footnoteRef/>
      </w:r>
      <w:r w:rsidRPr="009D259C">
        <w:rPr>
          <w:rFonts w:ascii="Gill Sans MT" w:hAnsi="Gill Sans MT"/>
        </w:rPr>
        <w:t xml:space="preserve"> Gordon (n.</w:t>
      </w:r>
      <w:r>
        <w:rPr>
          <w:rFonts w:ascii="Gill Sans MT" w:hAnsi="Gill Sans MT"/>
        </w:rPr>
        <w:t>4</w:t>
      </w:r>
      <w:r w:rsidRPr="009D259C">
        <w:rPr>
          <w:rFonts w:ascii="Gill Sans MT" w:hAnsi="Gill Sans MT"/>
        </w:rPr>
        <w:t>1) 48-49.</w:t>
      </w:r>
    </w:p>
  </w:footnote>
  <w:footnote w:id="100">
    <w:p w14:paraId="09D728C2" w14:textId="329CADA2" w:rsidR="00BE2A5F" w:rsidRPr="00D704FD" w:rsidRDefault="00BE2A5F">
      <w:pPr>
        <w:pStyle w:val="FootnoteText"/>
        <w:rPr>
          <w:rFonts w:ascii="Gill Sans MT" w:hAnsi="Gill Sans MT"/>
        </w:rPr>
      </w:pPr>
      <w:r w:rsidRPr="009D259C">
        <w:rPr>
          <w:rStyle w:val="FootnoteReference"/>
          <w:rFonts w:ascii="Gill Sans MT" w:hAnsi="Gill Sans MT"/>
        </w:rPr>
        <w:footnoteRef/>
      </w:r>
      <w:r w:rsidRPr="009D259C">
        <w:rPr>
          <w:rFonts w:ascii="Gill Sans MT" w:hAnsi="Gill Sans MT"/>
        </w:rPr>
        <w:t xml:space="preserve"> </w:t>
      </w:r>
      <w:proofErr w:type="spellStart"/>
      <w:r w:rsidRPr="009D259C">
        <w:rPr>
          <w:rFonts w:ascii="Gill Sans MT" w:hAnsi="Gill Sans MT"/>
          <w:i/>
        </w:rPr>
        <w:t>MacCormick</w:t>
      </w:r>
      <w:proofErr w:type="spellEnd"/>
      <w:r w:rsidRPr="009D259C">
        <w:rPr>
          <w:rFonts w:ascii="Gill Sans MT" w:hAnsi="Gill Sans MT"/>
          <w:i/>
        </w:rPr>
        <w:t xml:space="preserve"> v Lord Advocate</w:t>
      </w:r>
      <w:r w:rsidRPr="009D259C">
        <w:rPr>
          <w:rFonts w:ascii="Gill Sans MT" w:hAnsi="Gill Sans MT"/>
        </w:rPr>
        <w:t xml:space="preserve"> 1953 SC 396, 411.  See also </w:t>
      </w:r>
      <w:r w:rsidRPr="009D259C">
        <w:rPr>
          <w:rFonts w:ascii="Gill Sans MT" w:hAnsi="Gill Sans MT"/>
          <w:i/>
          <w:iCs/>
        </w:rPr>
        <w:t>Lord Gray’s Motion</w:t>
      </w:r>
      <w:r w:rsidRPr="009D259C">
        <w:rPr>
          <w:rFonts w:ascii="Gill Sans MT" w:hAnsi="Gill Sans MT"/>
        </w:rPr>
        <w:t xml:space="preserve"> [2002] 1 AC 124</w:t>
      </w:r>
      <w:r w:rsidRPr="00D704FD">
        <w:rPr>
          <w:rFonts w:ascii="Gill Sans MT" w:hAnsi="Gill Sans MT"/>
        </w:rPr>
        <w:t>.</w:t>
      </w:r>
    </w:p>
  </w:footnote>
  <w:footnote w:id="101">
    <w:p w14:paraId="07588026" w14:textId="308295CA"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Scotland Act 1998.</w:t>
      </w:r>
    </w:p>
  </w:footnote>
  <w:footnote w:id="102">
    <w:p w14:paraId="09FB7B38" w14:textId="6FC3A4EA"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Government of Wales Act 1998.</w:t>
      </w:r>
    </w:p>
  </w:footnote>
  <w:footnote w:id="103">
    <w:p w14:paraId="3657C2AD" w14:textId="6FB62301"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Northern Ireland Act 1998.</w:t>
      </w:r>
    </w:p>
  </w:footnote>
  <w:footnote w:id="104">
    <w:p w14:paraId="72780468" w14:textId="7B279FE0" w:rsidR="00BE2A5F" w:rsidRPr="00AA7365"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P</w:t>
      </w:r>
      <w:r w:rsidRPr="00D704FD">
        <w:rPr>
          <w:rFonts w:ascii="Gill Sans MT" w:hAnsi="Gill Sans MT"/>
        </w:rPr>
        <w:t xml:space="preserve"> Leyland</w:t>
      </w:r>
      <w:r>
        <w:rPr>
          <w:rFonts w:ascii="Gill Sans MT" w:hAnsi="Gill Sans MT"/>
        </w:rPr>
        <w:t>, ‘The Multifaceted Constitutional Dynamics of UK Devolution’</w:t>
      </w:r>
      <w:r w:rsidRPr="00D704FD">
        <w:rPr>
          <w:rFonts w:ascii="Gill Sans MT" w:hAnsi="Gill Sans MT"/>
        </w:rPr>
        <w:t xml:space="preserve"> </w:t>
      </w:r>
      <w:r>
        <w:rPr>
          <w:rFonts w:ascii="Gill Sans MT" w:hAnsi="Gill Sans MT"/>
        </w:rPr>
        <w:t xml:space="preserve">(2011) 9 </w:t>
      </w:r>
      <w:r>
        <w:rPr>
          <w:rFonts w:ascii="Gill Sans MT" w:hAnsi="Gill Sans MT"/>
          <w:i/>
          <w:iCs/>
        </w:rPr>
        <w:t xml:space="preserve">ICON </w:t>
      </w:r>
      <w:r>
        <w:rPr>
          <w:rFonts w:ascii="Gill Sans MT" w:hAnsi="Gill Sans MT"/>
        </w:rPr>
        <w:t>251.</w:t>
      </w:r>
    </w:p>
  </w:footnote>
  <w:footnote w:id="105">
    <w:p w14:paraId="293030A6" w14:textId="38679C7D"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Government of Wales Act 2006, s</w:t>
      </w:r>
      <w:r>
        <w:rPr>
          <w:rFonts w:ascii="Gill Sans MT" w:hAnsi="Gill Sans MT"/>
        </w:rPr>
        <w:t>s</w:t>
      </w:r>
      <w:r w:rsidRPr="00EF0FCA">
        <w:rPr>
          <w:rFonts w:ascii="Gill Sans MT" w:hAnsi="Gill Sans MT"/>
        </w:rPr>
        <w:t>.103-104.</w:t>
      </w:r>
    </w:p>
  </w:footnote>
  <w:footnote w:id="106">
    <w:p w14:paraId="1D2EB9FE" w14:textId="1AD89F50"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Wales Act 2017.</w:t>
      </w:r>
    </w:p>
  </w:footnote>
  <w:footnote w:id="107">
    <w:p w14:paraId="140C91B6" w14:textId="55A5DAB5"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w:t>
      </w:r>
      <w:proofErr w:type="spellStart"/>
      <w:proofErr w:type="gramStart"/>
      <w:r w:rsidRPr="00D704FD">
        <w:rPr>
          <w:rFonts w:ascii="Gill Sans MT" w:hAnsi="Gill Sans MT"/>
        </w:rPr>
        <w:t>eg</w:t>
      </w:r>
      <w:proofErr w:type="spellEnd"/>
      <w:proofErr w:type="gramEnd"/>
      <w:r w:rsidRPr="00D704FD">
        <w:rPr>
          <w:rFonts w:ascii="Gill Sans MT" w:hAnsi="Gill Sans MT"/>
        </w:rPr>
        <w:t xml:space="preserve"> Scotland Act 2012; Scotland Act 2016; </w:t>
      </w:r>
      <w:r>
        <w:rPr>
          <w:rFonts w:ascii="Gill Sans MT" w:hAnsi="Gill Sans MT"/>
        </w:rPr>
        <w:t>Corporation Tax (</w:t>
      </w:r>
      <w:r w:rsidRPr="00D704FD">
        <w:rPr>
          <w:rFonts w:ascii="Gill Sans MT" w:hAnsi="Gill Sans MT"/>
        </w:rPr>
        <w:t>Northern Ireland</w:t>
      </w:r>
      <w:r>
        <w:rPr>
          <w:rFonts w:ascii="Gill Sans MT" w:hAnsi="Gill Sans MT"/>
        </w:rPr>
        <w:t>)</w:t>
      </w:r>
      <w:r w:rsidRPr="00D704FD">
        <w:rPr>
          <w:rFonts w:ascii="Gill Sans MT" w:hAnsi="Gill Sans MT"/>
        </w:rPr>
        <w:t xml:space="preserve"> Act</w:t>
      </w:r>
      <w:r>
        <w:rPr>
          <w:rFonts w:ascii="Gill Sans MT" w:hAnsi="Gill Sans MT"/>
        </w:rPr>
        <w:t xml:space="preserve"> 2015.</w:t>
      </w:r>
    </w:p>
  </w:footnote>
  <w:footnote w:id="108">
    <w:p w14:paraId="2ED29EDC" w14:textId="77777777" w:rsidR="00BE2A5F" w:rsidRPr="00D704FD" w:rsidRDefault="00BE2A5F" w:rsidP="0090487A">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A temporary power to hold an independence referendum in 2014 was granted to the Scottish Parliament by Order in Council following negotiations with the UK government; The Scotland Act 1998 (Modification of Schedule 5) Order 2013.</w:t>
      </w:r>
    </w:p>
  </w:footnote>
  <w:footnote w:id="109">
    <w:p w14:paraId="43AAC0FD" w14:textId="0ABD3088"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w:t>
      </w:r>
      <w:proofErr w:type="spellStart"/>
      <w:proofErr w:type="gramStart"/>
      <w:r w:rsidRPr="00D704FD">
        <w:rPr>
          <w:rFonts w:ascii="Gill Sans MT" w:hAnsi="Gill Sans MT"/>
        </w:rPr>
        <w:t>eg</w:t>
      </w:r>
      <w:proofErr w:type="spellEnd"/>
      <w:proofErr w:type="gramEnd"/>
      <w:r w:rsidRPr="00D704FD">
        <w:rPr>
          <w:rFonts w:ascii="Gill Sans MT" w:hAnsi="Gill Sans MT"/>
        </w:rPr>
        <w:t xml:space="preserve"> </w:t>
      </w:r>
      <w:r w:rsidRPr="00D704FD">
        <w:rPr>
          <w:rFonts w:ascii="Gill Sans MT" w:hAnsi="Gill Sans MT"/>
          <w:i/>
          <w:iCs/>
        </w:rPr>
        <w:t xml:space="preserve">The UK Withdrawal from the European Union (Legal Continuity) (Scotland) Bill Reference </w:t>
      </w:r>
      <w:r w:rsidRPr="00D704FD">
        <w:rPr>
          <w:rFonts w:ascii="Gill Sans MT" w:hAnsi="Gill Sans MT"/>
        </w:rPr>
        <w:t>[2018] UKSC 64.</w:t>
      </w:r>
    </w:p>
  </w:footnote>
  <w:footnote w:id="110">
    <w:p w14:paraId="7A93690D" w14:textId="3FBDEE60"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Pr>
          <w:rFonts w:ascii="Gill Sans MT" w:hAnsi="Gill Sans MT"/>
        </w:rPr>
        <w:t>D</w:t>
      </w:r>
      <w:r w:rsidRPr="00D704FD">
        <w:rPr>
          <w:rFonts w:ascii="Gill Sans MT" w:hAnsi="Gill Sans MT"/>
        </w:rPr>
        <w:t>irect rule by the UK government</w:t>
      </w:r>
      <w:r>
        <w:rPr>
          <w:rFonts w:ascii="Gill Sans MT" w:hAnsi="Gill Sans MT"/>
        </w:rPr>
        <w:t xml:space="preserve"> was not reimposed</w:t>
      </w:r>
      <w:r w:rsidRPr="00D704FD">
        <w:rPr>
          <w:rFonts w:ascii="Gill Sans MT" w:hAnsi="Gill Sans MT"/>
        </w:rPr>
        <w:t>, but the Westminster Parliament was required to legislate to provide for the Northern Ireland civil service to exercise administrative functions, and to repeatedly extend the statutory window for a new executive to be formed:  Northern Ireland (Executive Formation and Exercise of Functions) Act 2018; Northern Ireland (Executive Formation etc) Act 2019.</w:t>
      </w:r>
    </w:p>
  </w:footnote>
  <w:footnote w:id="111">
    <w:p w14:paraId="432EC700" w14:textId="5A5DA0F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D704FD">
        <w:rPr>
          <w:rFonts w:ascii="Gill Sans MT" w:hAnsi="Gill Sans MT" w:cs="Arial"/>
          <w:shd w:val="clear" w:color="auto" w:fill="FFFFFF"/>
        </w:rPr>
        <w:t>Senedd and Elections (Wales) Act 2020.</w:t>
      </w:r>
    </w:p>
  </w:footnote>
  <w:footnote w:id="112">
    <w:p w14:paraId="712A8D45" w14:textId="06AA363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A977DB">
        <w:rPr>
          <w:rFonts w:ascii="Gill Sans MT" w:hAnsi="Gill Sans MT"/>
        </w:rPr>
        <w:t>Scotland Act 1998 s 28(7); Northern Ireland Act 1998 s 5(6); Government of Wales Act 2006 s 107(5).</w:t>
      </w:r>
    </w:p>
  </w:footnote>
  <w:footnote w:id="113">
    <w:p w14:paraId="53B95527" w14:textId="2FF46C08"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Consent was (eventually) obtained from the Welsh Assembly, and there was no Northern Ireland Assembly in operation at the time.</w:t>
      </w:r>
    </w:p>
  </w:footnote>
  <w:footnote w:id="114">
    <w:p w14:paraId="58032C76" w14:textId="43A3C15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w:t>
      </w:r>
      <w:r w:rsidRPr="00D704FD">
        <w:rPr>
          <w:rFonts w:ascii="Gill Sans MT" w:hAnsi="Gill Sans MT"/>
          <w:shd w:val="clear" w:color="auto" w:fill="FFFFFF"/>
        </w:rPr>
        <w:t>[2017] UKSC 5, [2018] AC 61, [</w:t>
      </w:r>
      <w:r>
        <w:rPr>
          <w:rFonts w:ascii="Gill Sans MT" w:hAnsi="Gill Sans MT"/>
          <w:shd w:val="clear" w:color="auto" w:fill="FFFFFF"/>
        </w:rPr>
        <w:t>136</w:t>
      </w:r>
      <w:r w:rsidRPr="00D704FD">
        <w:rPr>
          <w:rFonts w:ascii="Gill Sans MT" w:hAnsi="Gill Sans MT"/>
          <w:shd w:val="clear" w:color="auto" w:fill="FFFFFF"/>
        </w:rPr>
        <w:t>]</w:t>
      </w:r>
      <w:r>
        <w:rPr>
          <w:rFonts w:ascii="Gill Sans MT" w:hAnsi="Gill Sans MT"/>
          <w:shd w:val="clear" w:color="auto" w:fill="FFFFFF"/>
        </w:rPr>
        <w:t>-[151]</w:t>
      </w:r>
      <w:r w:rsidRPr="00D704FD">
        <w:rPr>
          <w:rFonts w:ascii="Gill Sans MT" w:hAnsi="Gill Sans MT"/>
          <w:shd w:val="clear" w:color="auto" w:fill="FFFFFF"/>
        </w:rPr>
        <w:t xml:space="preserve">.  </w:t>
      </w:r>
    </w:p>
  </w:footnote>
  <w:footnote w:id="115">
    <w:p w14:paraId="557678AF" w14:textId="6BBAD0FD"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P Oliver, </w:t>
      </w:r>
      <w:r w:rsidRPr="00D704FD">
        <w:rPr>
          <w:rFonts w:ascii="Gill Sans MT" w:hAnsi="Gill Sans MT"/>
          <w:i/>
          <w:iCs/>
        </w:rPr>
        <w:t xml:space="preserve">The Constitution of Independence </w:t>
      </w:r>
      <w:r w:rsidRPr="00D704FD">
        <w:rPr>
          <w:rFonts w:ascii="Gill Sans MT" w:hAnsi="Gill Sans MT"/>
        </w:rPr>
        <w:t>(OUP, 2005).</w:t>
      </w:r>
    </w:p>
  </w:footnote>
  <w:footnote w:id="116">
    <w:p w14:paraId="50BA4C94" w14:textId="0303EACC"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Regional Assemblies (Preparations) Act 2003.</w:t>
      </w:r>
    </w:p>
  </w:footnote>
  <w:footnote w:id="117">
    <w:p w14:paraId="232EBD54" w14:textId="2AFC679E"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Greater London Authority Act 1999.</w:t>
      </w:r>
    </w:p>
  </w:footnote>
  <w:footnote w:id="118">
    <w:p w14:paraId="47E3CF9E" w14:textId="5AF63948"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Scotland Act 2016, s.1; Wales Act 2017, s.1.</w:t>
      </w:r>
    </w:p>
  </w:footnote>
  <w:footnote w:id="119">
    <w:p w14:paraId="30B06335" w14:textId="11D90173"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House of Lords EU Select Committee, </w:t>
      </w:r>
      <w:r w:rsidRPr="00D704FD">
        <w:rPr>
          <w:rFonts w:ascii="Gill Sans MT" w:hAnsi="Gill Sans MT"/>
          <w:i/>
          <w:iCs/>
        </w:rPr>
        <w:t xml:space="preserve">Brexit: Devolution </w:t>
      </w:r>
      <w:r w:rsidRPr="00D704FD">
        <w:rPr>
          <w:rFonts w:ascii="Gill Sans MT" w:hAnsi="Gill Sans MT"/>
        </w:rPr>
        <w:t>(HL Paper 9, 19 July 2017).</w:t>
      </w:r>
    </w:p>
  </w:footnote>
  <w:footnote w:id="120">
    <w:p w14:paraId="7E6D3157" w14:textId="5F0D0B71"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A McHarg and J</w:t>
      </w:r>
      <w:r w:rsidRPr="00D704FD">
        <w:rPr>
          <w:rFonts w:ascii="Gill Sans MT" w:hAnsi="Gill Sans MT" w:cs="Arial"/>
          <w:shd w:val="clear" w:color="auto" w:fill="FFFFFF"/>
        </w:rPr>
        <w:t xml:space="preserve"> Mitchell, ‘Brexit and Scotland’ (2017) 19 </w:t>
      </w:r>
      <w:r w:rsidRPr="00D704FD">
        <w:rPr>
          <w:rFonts w:ascii="Gill Sans MT" w:hAnsi="Gill Sans MT" w:cs="Arial"/>
          <w:i/>
          <w:iCs/>
          <w:shd w:val="clear" w:color="auto" w:fill="FFFFFF"/>
        </w:rPr>
        <w:t>British Journal of Politics and International Relations</w:t>
      </w:r>
      <w:r w:rsidRPr="00D704FD">
        <w:rPr>
          <w:rFonts w:ascii="Gill Sans MT" w:hAnsi="Gill Sans MT" w:cs="Arial"/>
          <w:shd w:val="clear" w:color="auto" w:fill="FFFFFF"/>
        </w:rPr>
        <w:t> 512-526.</w:t>
      </w:r>
    </w:p>
  </w:footnote>
  <w:footnote w:id="121">
    <w:p w14:paraId="305D0C51" w14:textId="0DE55CE1"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Northern Ireland Act 1998, s.1.</w:t>
      </w:r>
    </w:p>
  </w:footnote>
  <w:footnote w:id="122">
    <w:p w14:paraId="381159E3" w14:textId="03C02FE7" w:rsidR="00BE2A5F" w:rsidRPr="00D704FD" w:rsidRDefault="00BE2A5F">
      <w:pPr>
        <w:pStyle w:val="FootnoteText"/>
        <w:rPr>
          <w:rFonts w:ascii="Gill Sans MT" w:hAnsi="Gill Sans MT"/>
        </w:rPr>
      </w:pPr>
      <w:r w:rsidRPr="00D704FD">
        <w:rPr>
          <w:rStyle w:val="FootnoteReference"/>
          <w:rFonts w:ascii="Gill Sans MT" w:hAnsi="Gill Sans MT"/>
        </w:rPr>
        <w:footnoteRef/>
      </w:r>
      <w:r w:rsidRPr="00D704FD">
        <w:rPr>
          <w:rFonts w:ascii="Gill Sans MT" w:hAnsi="Gill Sans MT"/>
        </w:rPr>
        <w:t xml:space="preserve"> See S de Mars, C Murray, A O’Donoghue and B Warwick, </w:t>
      </w:r>
      <w:r w:rsidRPr="00D704FD">
        <w:rPr>
          <w:rFonts w:ascii="Gill Sans MT" w:hAnsi="Gill Sans MT"/>
          <w:i/>
        </w:rPr>
        <w:t>Bordering Two Unions: Northern Ireland and Brexit</w:t>
      </w:r>
      <w:r w:rsidRPr="00D704FD">
        <w:rPr>
          <w:rFonts w:ascii="Gill Sans MT" w:hAnsi="Gill Sans MT"/>
        </w:rPr>
        <w:t xml:space="preserve"> (Bristol, Policy Press,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1F64"/>
    <w:multiLevelType w:val="hybridMultilevel"/>
    <w:tmpl w:val="22BE1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CB5FF6"/>
    <w:multiLevelType w:val="hybridMultilevel"/>
    <w:tmpl w:val="CB0654D4"/>
    <w:lvl w:ilvl="0" w:tplc="E72E8466">
      <w:start w:val="1"/>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397DF0"/>
    <w:multiLevelType w:val="hybridMultilevel"/>
    <w:tmpl w:val="5B262EB8"/>
    <w:lvl w:ilvl="0" w:tplc="BCDE2386">
      <w:start w:val="1"/>
      <w:numFmt w:val="bullet"/>
      <w:lvlText w:val="–"/>
      <w:lvlJc w:val="left"/>
      <w:pPr>
        <w:tabs>
          <w:tab w:val="num" w:pos="720"/>
        </w:tabs>
        <w:ind w:left="720" w:hanging="360"/>
      </w:pPr>
      <w:rPr>
        <w:rFonts w:ascii="Arial" w:hAnsi="Arial" w:hint="default"/>
      </w:rPr>
    </w:lvl>
    <w:lvl w:ilvl="1" w:tplc="21622C2A">
      <w:start w:val="1"/>
      <w:numFmt w:val="bullet"/>
      <w:lvlText w:val="–"/>
      <w:lvlJc w:val="left"/>
      <w:pPr>
        <w:tabs>
          <w:tab w:val="num" w:pos="1440"/>
        </w:tabs>
        <w:ind w:left="1440" w:hanging="360"/>
      </w:pPr>
      <w:rPr>
        <w:rFonts w:ascii="Arial" w:hAnsi="Arial" w:hint="default"/>
      </w:rPr>
    </w:lvl>
    <w:lvl w:ilvl="2" w:tplc="8B7ED13E" w:tentative="1">
      <w:start w:val="1"/>
      <w:numFmt w:val="bullet"/>
      <w:lvlText w:val="–"/>
      <w:lvlJc w:val="left"/>
      <w:pPr>
        <w:tabs>
          <w:tab w:val="num" w:pos="2160"/>
        </w:tabs>
        <w:ind w:left="2160" w:hanging="360"/>
      </w:pPr>
      <w:rPr>
        <w:rFonts w:ascii="Arial" w:hAnsi="Arial" w:hint="default"/>
      </w:rPr>
    </w:lvl>
    <w:lvl w:ilvl="3" w:tplc="E84EB03E" w:tentative="1">
      <w:start w:val="1"/>
      <w:numFmt w:val="bullet"/>
      <w:lvlText w:val="–"/>
      <w:lvlJc w:val="left"/>
      <w:pPr>
        <w:tabs>
          <w:tab w:val="num" w:pos="2880"/>
        </w:tabs>
        <w:ind w:left="2880" w:hanging="360"/>
      </w:pPr>
      <w:rPr>
        <w:rFonts w:ascii="Arial" w:hAnsi="Arial" w:hint="default"/>
      </w:rPr>
    </w:lvl>
    <w:lvl w:ilvl="4" w:tplc="AB2EA3F6" w:tentative="1">
      <w:start w:val="1"/>
      <w:numFmt w:val="bullet"/>
      <w:lvlText w:val="–"/>
      <w:lvlJc w:val="left"/>
      <w:pPr>
        <w:tabs>
          <w:tab w:val="num" w:pos="3600"/>
        </w:tabs>
        <w:ind w:left="3600" w:hanging="360"/>
      </w:pPr>
      <w:rPr>
        <w:rFonts w:ascii="Arial" w:hAnsi="Arial" w:hint="default"/>
      </w:rPr>
    </w:lvl>
    <w:lvl w:ilvl="5" w:tplc="8EC0C024" w:tentative="1">
      <w:start w:val="1"/>
      <w:numFmt w:val="bullet"/>
      <w:lvlText w:val="–"/>
      <w:lvlJc w:val="left"/>
      <w:pPr>
        <w:tabs>
          <w:tab w:val="num" w:pos="4320"/>
        </w:tabs>
        <w:ind w:left="4320" w:hanging="360"/>
      </w:pPr>
      <w:rPr>
        <w:rFonts w:ascii="Arial" w:hAnsi="Arial" w:hint="default"/>
      </w:rPr>
    </w:lvl>
    <w:lvl w:ilvl="6" w:tplc="B148C286" w:tentative="1">
      <w:start w:val="1"/>
      <w:numFmt w:val="bullet"/>
      <w:lvlText w:val="–"/>
      <w:lvlJc w:val="left"/>
      <w:pPr>
        <w:tabs>
          <w:tab w:val="num" w:pos="5040"/>
        </w:tabs>
        <w:ind w:left="5040" w:hanging="360"/>
      </w:pPr>
      <w:rPr>
        <w:rFonts w:ascii="Arial" w:hAnsi="Arial" w:hint="default"/>
      </w:rPr>
    </w:lvl>
    <w:lvl w:ilvl="7" w:tplc="27041482" w:tentative="1">
      <w:start w:val="1"/>
      <w:numFmt w:val="bullet"/>
      <w:lvlText w:val="–"/>
      <w:lvlJc w:val="left"/>
      <w:pPr>
        <w:tabs>
          <w:tab w:val="num" w:pos="5760"/>
        </w:tabs>
        <w:ind w:left="5760" w:hanging="360"/>
      </w:pPr>
      <w:rPr>
        <w:rFonts w:ascii="Arial" w:hAnsi="Arial" w:hint="default"/>
      </w:rPr>
    </w:lvl>
    <w:lvl w:ilvl="8" w:tplc="246CAC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C4"/>
    <w:rsid w:val="0000052F"/>
    <w:rsid w:val="00003D71"/>
    <w:rsid w:val="00004216"/>
    <w:rsid w:val="00004910"/>
    <w:rsid w:val="0001262E"/>
    <w:rsid w:val="0001361F"/>
    <w:rsid w:val="000162A5"/>
    <w:rsid w:val="0002158C"/>
    <w:rsid w:val="000256D2"/>
    <w:rsid w:val="00025763"/>
    <w:rsid w:val="00027352"/>
    <w:rsid w:val="000278AD"/>
    <w:rsid w:val="00030E7E"/>
    <w:rsid w:val="0003310C"/>
    <w:rsid w:val="00034FED"/>
    <w:rsid w:val="00043FA0"/>
    <w:rsid w:val="0005152A"/>
    <w:rsid w:val="00052012"/>
    <w:rsid w:val="000533A6"/>
    <w:rsid w:val="00057B5B"/>
    <w:rsid w:val="000612B1"/>
    <w:rsid w:val="00073164"/>
    <w:rsid w:val="00075D42"/>
    <w:rsid w:val="000765E8"/>
    <w:rsid w:val="00077A08"/>
    <w:rsid w:val="00080974"/>
    <w:rsid w:val="00081F02"/>
    <w:rsid w:val="0008510A"/>
    <w:rsid w:val="00086260"/>
    <w:rsid w:val="000904BA"/>
    <w:rsid w:val="00092AA6"/>
    <w:rsid w:val="00092E66"/>
    <w:rsid w:val="000938CE"/>
    <w:rsid w:val="00096984"/>
    <w:rsid w:val="000979BC"/>
    <w:rsid w:val="000A00B2"/>
    <w:rsid w:val="000A04B8"/>
    <w:rsid w:val="000A0C5C"/>
    <w:rsid w:val="000A1F53"/>
    <w:rsid w:val="000A296D"/>
    <w:rsid w:val="000A4DEF"/>
    <w:rsid w:val="000A59C5"/>
    <w:rsid w:val="000A7145"/>
    <w:rsid w:val="000B0CC0"/>
    <w:rsid w:val="000B4201"/>
    <w:rsid w:val="000B5E75"/>
    <w:rsid w:val="000B69B4"/>
    <w:rsid w:val="000C3792"/>
    <w:rsid w:val="000C464D"/>
    <w:rsid w:val="000C67D4"/>
    <w:rsid w:val="000D195A"/>
    <w:rsid w:val="000D3BE2"/>
    <w:rsid w:val="000D4794"/>
    <w:rsid w:val="000D7960"/>
    <w:rsid w:val="000E2236"/>
    <w:rsid w:val="000E3E7A"/>
    <w:rsid w:val="000E5B93"/>
    <w:rsid w:val="000E7255"/>
    <w:rsid w:val="000F79D3"/>
    <w:rsid w:val="000F7A90"/>
    <w:rsid w:val="00100252"/>
    <w:rsid w:val="00103CDC"/>
    <w:rsid w:val="00105EBB"/>
    <w:rsid w:val="00106C9F"/>
    <w:rsid w:val="0010762A"/>
    <w:rsid w:val="001137EA"/>
    <w:rsid w:val="00114EC0"/>
    <w:rsid w:val="00121E1A"/>
    <w:rsid w:val="00123345"/>
    <w:rsid w:val="00123663"/>
    <w:rsid w:val="00136E66"/>
    <w:rsid w:val="00137308"/>
    <w:rsid w:val="00143C82"/>
    <w:rsid w:val="001440C3"/>
    <w:rsid w:val="0014510D"/>
    <w:rsid w:val="00145F80"/>
    <w:rsid w:val="001464CB"/>
    <w:rsid w:val="00153B20"/>
    <w:rsid w:val="00153F9E"/>
    <w:rsid w:val="00155A2D"/>
    <w:rsid w:val="00162F83"/>
    <w:rsid w:val="00164A7F"/>
    <w:rsid w:val="00166AC4"/>
    <w:rsid w:val="00171D8E"/>
    <w:rsid w:val="0017363A"/>
    <w:rsid w:val="00174D17"/>
    <w:rsid w:val="001850B8"/>
    <w:rsid w:val="001900CA"/>
    <w:rsid w:val="001903BD"/>
    <w:rsid w:val="00190BFE"/>
    <w:rsid w:val="00196F68"/>
    <w:rsid w:val="001A3963"/>
    <w:rsid w:val="001A4B3C"/>
    <w:rsid w:val="001A4E99"/>
    <w:rsid w:val="001B06C2"/>
    <w:rsid w:val="001B1810"/>
    <w:rsid w:val="001C0B59"/>
    <w:rsid w:val="001C125D"/>
    <w:rsid w:val="001C21A2"/>
    <w:rsid w:val="001C30CE"/>
    <w:rsid w:val="001C359F"/>
    <w:rsid w:val="001C5DDC"/>
    <w:rsid w:val="001C674A"/>
    <w:rsid w:val="001C68B6"/>
    <w:rsid w:val="001C71CF"/>
    <w:rsid w:val="001C7F0E"/>
    <w:rsid w:val="001D30E6"/>
    <w:rsid w:val="001D4882"/>
    <w:rsid w:val="001D4C8E"/>
    <w:rsid w:val="001D6FBA"/>
    <w:rsid w:val="001E2E1A"/>
    <w:rsid w:val="001E7613"/>
    <w:rsid w:val="001F06E4"/>
    <w:rsid w:val="001F0960"/>
    <w:rsid w:val="00201F48"/>
    <w:rsid w:val="00201F88"/>
    <w:rsid w:val="002043F6"/>
    <w:rsid w:val="0020573A"/>
    <w:rsid w:val="00211C4E"/>
    <w:rsid w:val="00213CD1"/>
    <w:rsid w:val="002311D9"/>
    <w:rsid w:val="0023145A"/>
    <w:rsid w:val="00236306"/>
    <w:rsid w:val="00236B14"/>
    <w:rsid w:val="00237265"/>
    <w:rsid w:val="00240933"/>
    <w:rsid w:val="00242F18"/>
    <w:rsid w:val="00246EA9"/>
    <w:rsid w:val="00254B19"/>
    <w:rsid w:val="00265756"/>
    <w:rsid w:val="00266555"/>
    <w:rsid w:val="00270688"/>
    <w:rsid w:val="00273C3E"/>
    <w:rsid w:val="00277884"/>
    <w:rsid w:val="00277B51"/>
    <w:rsid w:val="0028214F"/>
    <w:rsid w:val="00283C2E"/>
    <w:rsid w:val="002A00C8"/>
    <w:rsid w:val="002A5292"/>
    <w:rsid w:val="002B312C"/>
    <w:rsid w:val="002B6F36"/>
    <w:rsid w:val="002C206E"/>
    <w:rsid w:val="002C295F"/>
    <w:rsid w:val="002C32A3"/>
    <w:rsid w:val="002C42B6"/>
    <w:rsid w:val="002D0EDE"/>
    <w:rsid w:val="002D10CA"/>
    <w:rsid w:val="002D216E"/>
    <w:rsid w:val="002D37CE"/>
    <w:rsid w:val="002D43E7"/>
    <w:rsid w:val="002D49A6"/>
    <w:rsid w:val="002D68FA"/>
    <w:rsid w:val="002E005C"/>
    <w:rsid w:val="002E4018"/>
    <w:rsid w:val="002E477D"/>
    <w:rsid w:val="002F0557"/>
    <w:rsid w:val="002F5017"/>
    <w:rsid w:val="003028B8"/>
    <w:rsid w:val="003028BB"/>
    <w:rsid w:val="003037F0"/>
    <w:rsid w:val="0031586A"/>
    <w:rsid w:val="003202E8"/>
    <w:rsid w:val="00322FAE"/>
    <w:rsid w:val="003259B0"/>
    <w:rsid w:val="00326D92"/>
    <w:rsid w:val="00330AA6"/>
    <w:rsid w:val="00333E13"/>
    <w:rsid w:val="00343656"/>
    <w:rsid w:val="00345383"/>
    <w:rsid w:val="00345930"/>
    <w:rsid w:val="0035090A"/>
    <w:rsid w:val="003535EA"/>
    <w:rsid w:val="00355C02"/>
    <w:rsid w:val="00361AF0"/>
    <w:rsid w:val="00361DE8"/>
    <w:rsid w:val="003703D8"/>
    <w:rsid w:val="0037226B"/>
    <w:rsid w:val="00373319"/>
    <w:rsid w:val="00375340"/>
    <w:rsid w:val="00384EE2"/>
    <w:rsid w:val="0038505A"/>
    <w:rsid w:val="003940CE"/>
    <w:rsid w:val="00395050"/>
    <w:rsid w:val="00396537"/>
    <w:rsid w:val="0039664B"/>
    <w:rsid w:val="00397E89"/>
    <w:rsid w:val="003A31C4"/>
    <w:rsid w:val="003A4B56"/>
    <w:rsid w:val="003A5158"/>
    <w:rsid w:val="003A5B04"/>
    <w:rsid w:val="003B1AC7"/>
    <w:rsid w:val="003B39E8"/>
    <w:rsid w:val="003B579A"/>
    <w:rsid w:val="003C08CE"/>
    <w:rsid w:val="003C110D"/>
    <w:rsid w:val="003C1211"/>
    <w:rsid w:val="003C2CC9"/>
    <w:rsid w:val="003D0137"/>
    <w:rsid w:val="003D63C3"/>
    <w:rsid w:val="003E0EF7"/>
    <w:rsid w:val="003E104C"/>
    <w:rsid w:val="003E307E"/>
    <w:rsid w:val="003F23B2"/>
    <w:rsid w:val="00400C68"/>
    <w:rsid w:val="00403DA9"/>
    <w:rsid w:val="00404AB3"/>
    <w:rsid w:val="00405168"/>
    <w:rsid w:val="00405955"/>
    <w:rsid w:val="0040764B"/>
    <w:rsid w:val="00410419"/>
    <w:rsid w:val="00411A8B"/>
    <w:rsid w:val="0041468B"/>
    <w:rsid w:val="0041549A"/>
    <w:rsid w:val="00415AA8"/>
    <w:rsid w:val="00415C06"/>
    <w:rsid w:val="00417980"/>
    <w:rsid w:val="0042098D"/>
    <w:rsid w:val="00425516"/>
    <w:rsid w:val="004259A9"/>
    <w:rsid w:val="0042677C"/>
    <w:rsid w:val="00430E36"/>
    <w:rsid w:val="0043110C"/>
    <w:rsid w:val="0043457A"/>
    <w:rsid w:val="00434B2D"/>
    <w:rsid w:val="0043632E"/>
    <w:rsid w:val="00437A5D"/>
    <w:rsid w:val="0044001F"/>
    <w:rsid w:val="00441412"/>
    <w:rsid w:val="00443A29"/>
    <w:rsid w:val="00444523"/>
    <w:rsid w:val="00446C0C"/>
    <w:rsid w:val="0044798B"/>
    <w:rsid w:val="0045792D"/>
    <w:rsid w:val="0046007D"/>
    <w:rsid w:val="004619BB"/>
    <w:rsid w:val="00467517"/>
    <w:rsid w:val="00467748"/>
    <w:rsid w:val="00472056"/>
    <w:rsid w:val="0047364E"/>
    <w:rsid w:val="00474735"/>
    <w:rsid w:val="004760D5"/>
    <w:rsid w:val="00482610"/>
    <w:rsid w:val="0048295B"/>
    <w:rsid w:val="00485BDC"/>
    <w:rsid w:val="0048684C"/>
    <w:rsid w:val="00486F87"/>
    <w:rsid w:val="00490D2B"/>
    <w:rsid w:val="0049326F"/>
    <w:rsid w:val="00497A74"/>
    <w:rsid w:val="004A12D3"/>
    <w:rsid w:val="004A211B"/>
    <w:rsid w:val="004A3628"/>
    <w:rsid w:val="004A380B"/>
    <w:rsid w:val="004A5CDB"/>
    <w:rsid w:val="004B16F7"/>
    <w:rsid w:val="004B250D"/>
    <w:rsid w:val="004C0769"/>
    <w:rsid w:val="004C4AD9"/>
    <w:rsid w:val="004C5702"/>
    <w:rsid w:val="004C59E4"/>
    <w:rsid w:val="004C5DA4"/>
    <w:rsid w:val="004D01E2"/>
    <w:rsid w:val="004D1684"/>
    <w:rsid w:val="004D2522"/>
    <w:rsid w:val="004D2E7D"/>
    <w:rsid w:val="004D6129"/>
    <w:rsid w:val="004E5081"/>
    <w:rsid w:val="004E5484"/>
    <w:rsid w:val="004E5865"/>
    <w:rsid w:val="004E5FAD"/>
    <w:rsid w:val="004F33FC"/>
    <w:rsid w:val="004F3E82"/>
    <w:rsid w:val="004F49D6"/>
    <w:rsid w:val="004F5D31"/>
    <w:rsid w:val="00501DC1"/>
    <w:rsid w:val="00503150"/>
    <w:rsid w:val="0050374D"/>
    <w:rsid w:val="00504265"/>
    <w:rsid w:val="00505DF5"/>
    <w:rsid w:val="005114CC"/>
    <w:rsid w:val="0051352F"/>
    <w:rsid w:val="0051353D"/>
    <w:rsid w:val="00520E32"/>
    <w:rsid w:val="00521B9D"/>
    <w:rsid w:val="00524380"/>
    <w:rsid w:val="00525267"/>
    <w:rsid w:val="00527703"/>
    <w:rsid w:val="005312A4"/>
    <w:rsid w:val="00532CB8"/>
    <w:rsid w:val="005331E7"/>
    <w:rsid w:val="0053417C"/>
    <w:rsid w:val="0053580F"/>
    <w:rsid w:val="00541369"/>
    <w:rsid w:val="00544087"/>
    <w:rsid w:val="00545170"/>
    <w:rsid w:val="00546F6B"/>
    <w:rsid w:val="0054702B"/>
    <w:rsid w:val="00547632"/>
    <w:rsid w:val="0055254E"/>
    <w:rsid w:val="00555E6A"/>
    <w:rsid w:val="005568C3"/>
    <w:rsid w:val="00560694"/>
    <w:rsid w:val="00560884"/>
    <w:rsid w:val="00560CF4"/>
    <w:rsid w:val="00571348"/>
    <w:rsid w:val="00577D3F"/>
    <w:rsid w:val="00577E99"/>
    <w:rsid w:val="00583D56"/>
    <w:rsid w:val="0058751A"/>
    <w:rsid w:val="00590E62"/>
    <w:rsid w:val="005920F1"/>
    <w:rsid w:val="0059297C"/>
    <w:rsid w:val="00595C26"/>
    <w:rsid w:val="005A46BA"/>
    <w:rsid w:val="005A6082"/>
    <w:rsid w:val="005A72E5"/>
    <w:rsid w:val="005A7D31"/>
    <w:rsid w:val="005B0D0F"/>
    <w:rsid w:val="005B4153"/>
    <w:rsid w:val="005B43E0"/>
    <w:rsid w:val="005B51C2"/>
    <w:rsid w:val="005C0ED1"/>
    <w:rsid w:val="005C12AF"/>
    <w:rsid w:val="005C3B2A"/>
    <w:rsid w:val="005D3D8A"/>
    <w:rsid w:val="005D5D45"/>
    <w:rsid w:val="005D71A5"/>
    <w:rsid w:val="005D7A82"/>
    <w:rsid w:val="005E205E"/>
    <w:rsid w:val="005E27EA"/>
    <w:rsid w:val="005E69E9"/>
    <w:rsid w:val="005F33A6"/>
    <w:rsid w:val="005F3FBD"/>
    <w:rsid w:val="005F49D1"/>
    <w:rsid w:val="005F66ED"/>
    <w:rsid w:val="00602BEE"/>
    <w:rsid w:val="00604FC8"/>
    <w:rsid w:val="00606E73"/>
    <w:rsid w:val="00607981"/>
    <w:rsid w:val="00612423"/>
    <w:rsid w:val="0062022B"/>
    <w:rsid w:val="00621C81"/>
    <w:rsid w:val="00624E73"/>
    <w:rsid w:val="00630BB3"/>
    <w:rsid w:val="00632105"/>
    <w:rsid w:val="00635A87"/>
    <w:rsid w:val="00635DD7"/>
    <w:rsid w:val="00636F63"/>
    <w:rsid w:val="00644ADC"/>
    <w:rsid w:val="00646526"/>
    <w:rsid w:val="00646A4C"/>
    <w:rsid w:val="0064750F"/>
    <w:rsid w:val="00653F10"/>
    <w:rsid w:val="00653F25"/>
    <w:rsid w:val="00663034"/>
    <w:rsid w:val="00667B32"/>
    <w:rsid w:val="0067222B"/>
    <w:rsid w:val="006724E4"/>
    <w:rsid w:val="00672761"/>
    <w:rsid w:val="006736E7"/>
    <w:rsid w:val="00674988"/>
    <w:rsid w:val="00675551"/>
    <w:rsid w:val="00681D0A"/>
    <w:rsid w:val="00682BD1"/>
    <w:rsid w:val="00683B05"/>
    <w:rsid w:val="00685CF4"/>
    <w:rsid w:val="006860F6"/>
    <w:rsid w:val="00686474"/>
    <w:rsid w:val="00686CC1"/>
    <w:rsid w:val="00687623"/>
    <w:rsid w:val="00690155"/>
    <w:rsid w:val="00690D01"/>
    <w:rsid w:val="00692972"/>
    <w:rsid w:val="00692F85"/>
    <w:rsid w:val="00696936"/>
    <w:rsid w:val="00697C34"/>
    <w:rsid w:val="006A042A"/>
    <w:rsid w:val="006A1843"/>
    <w:rsid w:val="006A3844"/>
    <w:rsid w:val="006A48D0"/>
    <w:rsid w:val="006B13E8"/>
    <w:rsid w:val="006B5150"/>
    <w:rsid w:val="006C19E3"/>
    <w:rsid w:val="006C569A"/>
    <w:rsid w:val="006C56A1"/>
    <w:rsid w:val="006C5792"/>
    <w:rsid w:val="006D1407"/>
    <w:rsid w:val="006D148E"/>
    <w:rsid w:val="006D29BC"/>
    <w:rsid w:val="006D6E60"/>
    <w:rsid w:val="006E4CC3"/>
    <w:rsid w:val="006E7610"/>
    <w:rsid w:val="006E7D2F"/>
    <w:rsid w:val="006F02BD"/>
    <w:rsid w:val="006F2585"/>
    <w:rsid w:val="006F3A98"/>
    <w:rsid w:val="006F5E8D"/>
    <w:rsid w:val="006F76B6"/>
    <w:rsid w:val="006F7F77"/>
    <w:rsid w:val="00700FF3"/>
    <w:rsid w:val="007010A0"/>
    <w:rsid w:val="0070354A"/>
    <w:rsid w:val="00703869"/>
    <w:rsid w:val="00705658"/>
    <w:rsid w:val="00706097"/>
    <w:rsid w:val="00706BD1"/>
    <w:rsid w:val="007123F8"/>
    <w:rsid w:val="0072026F"/>
    <w:rsid w:val="007242EE"/>
    <w:rsid w:val="00725E7F"/>
    <w:rsid w:val="00726FB8"/>
    <w:rsid w:val="00742A4D"/>
    <w:rsid w:val="00742FA0"/>
    <w:rsid w:val="00742FC8"/>
    <w:rsid w:val="00750472"/>
    <w:rsid w:val="007524A0"/>
    <w:rsid w:val="00754F80"/>
    <w:rsid w:val="00760E9E"/>
    <w:rsid w:val="00762AD6"/>
    <w:rsid w:val="00763F0D"/>
    <w:rsid w:val="00771E8E"/>
    <w:rsid w:val="0077234C"/>
    <w:rsid w:val="00773F49"/>
    <w:rsid w:val="007827EA"/>
    <w:rsid w:val="00793BB0"/>
    <w:rsid w:val="00796C13"/>
    <w:rsid w:val="00796EB8"/>
    <w:rsid w:val="00797271"/>
    <w:rsid w:val="007A0AAF"/>
    <w:rsid w:val="007A5CF5"/>
    <w:rsid w:val="007A70E0"/>
    <w:rsid w:val="007B0197"/>
    <w:rsid w:val="007B1831"/>
    <w:rsid w:val="007B43B1"/>
    <w:rsid w:val="007B5125"/>
    <w:rsid w:val="007B66EE"/>
    <w:rsid w:val="007B6E76"/>
    <w:rsid w:val="007C289B"/>
    <w:rsid w:val="007C7E06"/>
    <w:rsid w:val="007D0293"/>
    <w:rsid w:val="007D07E8"/>
    <w:rsid w:val="007D23E1"/>
    <w:rsid w:val="007D38FA"/>
    <w:rsid w:val="007E1AF0"/>
    <w:rsid w:val="007E3B8A"/>
    <w:rsid w:val="007F1369"/>
    <w:rsid w:val="007F13C5"/>
    <w:rsid w:val="00801447"/>
    <w:rsid w:val="008027C2"/>
    <w:rsid w:val="00803639"/>
    <w:rsid w:val="00803B52"/>
    <w:rsid w:val="00806079"/>
    <w:rsid w:val="00806974"/>
    <w:rsid w:val="00811890"/>
    <w:rsid w:val="0081276D"/>
    <w:rsid w:val="00814D83"/>
    <w:rsid w:val="00820054"/>
    <w:rsid w:val="008233E7"/>
    <w:rsid w:val="008246A7"/>
    <w:rsid w:val="00825244"/>
    <w:rsid w:val="00826994"/>
    <w:rsid w:val="0083074F"/>
    <w:rsid w:val="00831FE6"/>
    <w:rsid w:val="00832E30"/>
    <w:rsid w:val="00843079"/>
    <w:rsid w:val="0084511D"/>
    <w:rsid w:val="0085095C"/>
    <w:rsid w:val="00860E28"/>
    <w:rsid w:val="00861CD5"/>
    <w:rsid w:val="0086630A"/>
    <w:rsid w:val="00866423"/>
    <w:rsid w:val="00866B42"/>
    <w:rsid w:val="00870528"/>
    <w:rsid w:val="00871529"/>
    <w:rsid w:val="00871EC5"/>
    <w:rsid w:val="00872F75"/>
    <w:rsid w:val="008917A5"/>
    <w:rsid w:val="00892519"/>
    <w:rsid w:val="00893FF6"/>
    <w:rsid w:val="0089443B"/>
    <w:rsid w:val="008951F8"/>
    <w:rsid w:val="008A0CAE"/>
    <w:rsid w:val="008A17C1"/>
    <w:rsid w:val="008A17DE"/>
    <w:rsid w:val="008A7854"/>
    <w:rsid w:val="008B20E1"/>
    <w:rsid w:val="008B2413"/>
    <w:rsid w:val="008B575E"/>
    <w:rsid w:val="008B7FF2"/>
    <w:rsid w:val="008C6B25"/>
    <w:rsid w:val="008C6E2C"/>
    <w:rsid w:val="008D1B8A"/>
    <w:rsid w:val="008D34BF"/>
    <w:rsid w:val="008D3FB3"/>
    <w:rsid w:val="008D5635"/>
    <w:rsid w:val="008D65B5"/>
    <w:rsid w:val="008D7C1B"/>
    <w:rsid w:val="008E3AAE"/>
    <w:rsid w:val="008E3F23"/>
    <w:rsid w:val="008E6D26"/>
    <w:rsid w:val="008F189F"/>
    <w:rsid w:val="008F2F56"/>
    <w:rsid w:val="00901CAE"/>
    <w:rsid w:val="00902738"/>
    <w:rsid w:val="00902BED"/>
    <w:rsid w:val="00902E94"/>
    <w:rsid w:val="00904140"/>
    <w:rsid w:val="009046F1"/>
    <w:rsid w:val="0090487A"/>
    <w:rsid w:val="009061B6"/>
    <w:rsid w:val="00907F83"/>
    <w:rsid w:val="00912A26"/>
    <w:rsid w:val="00916123"/>
    <w:rsid w:val="00923544"/>
    <w:rsid w:val="009235DB"/>
    <w:rsid w:val="00923DF6"/>
    <w:rsid w:val="00924F8C"/>
    <w:rsid w:val="009262AF"/>
    <w:rsid w:val="009343D2"/>
    <w:rsid w:val="009345DA"/>
    <w:rsid w:val="0093553E"/>
    <w:rsid w:val="00936607"/>
    <w:rsid w:val="009524C8"/>
    <w:rsid w:val="00956076"/>
    <w:rsid w:val="00956656"/>
    <w:rsid w:val="00961AED"/>
    <w:rsid w:val="00963DDD"/>
    <w:rsid w:val="00964A37"/>
    <w:rsid w:val="00964A63"/>
    <w:rsid w:val="00965A34"/>
    <w:rsid w:val="0097035B"/>
    <w:rsid w:val="00973B92"/>
    <w:rsid w:val="009779B6"/>
    <w:rsid w:val="009800A7"/>
    <w:rsid w:val="0098775B"/>
    <w:rsid w:val="0099350A"/>
    <w:rsid w:val="009953B1"/>
    <w:rsid w:val="00997904"/>
    <w:rsid w:val="009A1CAF"/>
    <w:rsid w:val="009A23D0"/>
    <w:rsid w:val="009A2493"/>
    <w:rsid w:val="009A2932"/>
    <w:rsid w:val="009A2FE9"/>
    <w:rsid w:val="009A33D0"/>
    <w:rsid w:val="009A371F"/>
    <w:rsid w:val="009A3854"/>
    <w:rsid w:val="009A392A"/>
    <w:rsid w:val="009A530A"/>
    <w:rsid w:val="009B0B6E"/>
    <w:rsid w:val="009B1061"/>
    <w:rsid w:val="009B2447"/>
    <w:rsid w:val="009B2D7E"/>
    <w:rsid w:val="009C11A0"/>
    <w:rsid w:val="009C2A29"/>
    <w:rsid w:val="009C663D"/>
    <w:rsid w:val="009C72AC"/>
    <w:rsid w:val="009D051B"/>
    <w:rsid w:val="009D259C"/>
    <w:rsid w:val="009D5F6D"/>
    <w:rsid w:val="009D7E31"/>
    <w:rsid w:val="009E0583"/>
    <w:rsid w:val="009E50C9"/>
    <w:rsid w:val="009E646D"/>
    <w:rsid w:val="009E6DB3"/>
    <w:rsid w:val="009F18D0"/>
    <w:rsid w:val="009F2CF4"/>
    <w:rsid w:val="009F5178"/>
    <w:rsid w:val="00A00655"/>
    <w:rsid w:val="00A00782"/>
    <w:rsid w:val="00A01160"/>
    <w:rsid w:val="00A0160D"/>
    <w:rsid w:val="00A03E61"/>
    <w:rsid w:val="00A04B81"/>
    <w:rsid w:val="00A07B03"/>
    <w:rsid w:val="00A13E33"/>
    <w:rsid w:val="00A144EC"/>
    <w:rsid w:val="00A156AE"/>
    <w:rsid w:val="00A229F2"/>
    <w:rsid w:val="00A25F8C"/>
    <w:rsid w:val="00A272A8"/>
    <w:rsid w:val="00A32011"/>
    <w:rsid w:val="00A3402C"/>
    <w:rsid w:val="00A35112"/>
    <w:rsid w:val="00A3643E"/>
    <w:rsid w:val="00A370E6"/>
    <w:rsid w:val="00A47A03"/>
    <w:rsid w:val="00A503A5"/>
    <w:rsid w:val="00A5456C"/>
    <w:rsid w:val="00A57F21"/>
    <w:rsid w:val="00A610AD"/>
    <w:rsid w:val="00A65B54"/>
    <w:rsid w:val="00A701B2"/>
    <w:rsid w:val="00A71E51"/>
    <w:rsid w:val="00A737C5"/>
    <w:rsid w:val="00A741DF"/>
    <w:rsid w:val="00A804BB"/>
    <w:rsid w:val="00A809E6"/>
    <w:rsid w:val="00A816D4"/>
    <w:rsid w:val="00A83868"/>
    <w:rsid w:val="00A8707C"/>
    <w:rsid w:val="00A921B8"/>
    <w:rsid w:val="00A92A61"/>
    <w:rsid w:val="00A938B6"/>
    <w:rsid w:val="00A94092"/>
    <w:rsid w:val="00A96157"/>
    <w:rsid w:val="00AA0DE4"/>
    <w:rsid w:val="00AA3511"/>
    <w:rsid w:val="00AA4543"/>
    <w:rsid w:val="00AA7365"/>
    <w:rsid w:val="00AB2DF3"/>
    <w:rsid w:val="00AB4E98"/>
    <w:rsid w:val="00AB714F"/>
    <w:rsid w:val="00AC0021"/>
    <w:rsid w:val="00AC1038"/>
    <w:rsid w:val="00AC51DB"/>
    <w:rsid w:val="00AC7715"/>
    <w:rsid w:val="00AC7AE6"/>
    <w:rsid w:val="00AD0764"/>
    <w:rsid w:val="00AD1CD6"/>
    <w:rsid w:val="00AD3451"/>
    <w:rsid w:val="00AD4341"/>
    <w:rsid w:val="00AE3512"/>
    <w:rsid w:val="00AE77AD"/>
    <w:rsid w:val="00AF3A2C"/>
    <w:rsid w:val="00B00482"/>
    <w:rsid w:val="00B009E6"/>
    <w:rsid w:val="00B00A64"/>
    <w:rsid w:val="00B029B2"/>
    <w:rsid w:val="00B03A96"/>
    <w:rsid w:val="00B05D97"/>
    <w:rsid w:val="00B06EC2"/>
    <w:rsid w:val="00B07CB1"/>
    <w:rsid w:val="00B1766B"/>
    <w:rsid w:val="00B22CEE"/>
    <w:rsid w:val="00B2514F"/>
    <w:rsid w:val="00B25213"/>
    <w:rsid w:val="00B267BC"/>
    <w:rsid w:val="00B274E5"/>
    <w:rsid w:val="00B30610"/>
    <w:rsid w:val="00B315A3"/>
    <w:rsid w:val="00B31608"/>
    <w:rsid w:val="00B324BC"/>
    <w:rsid w:val="00B3724D"/>
    <w:rsid w:val="00B40B9B"/>
    <w:rsid w:val="00B41540"/>
    <w:rsid w:val="00B41BCA"/>
    <w:rsid w:val="00B41CA2"/>
    <w:rsid w:val="00B435FF"/>
    <w:rsid w:val="00B44E6A"/>
    <w:rsid w:val="00B456B4"/>
    <w:rsid w:val="00B50DC7"/>
    <w:rsid w:val="00B52AFF"/>
    <w:rsid w:val="00B55B91"/>
    <w:rsid w:val="00B561D9"/>
    <w:rsid w:val="00B612C5"/>
    <w:rsid w:val="00B64CB4"/>
    <w:rsid w:val="00B67879"/>
    <w:rsid w:val="00B71757"/>
    <w:rsid w:val="00B73418"/>
    <w:rsid w:val="00B760BA"/>
    <w:rsid w:val="00B80A08"/>
    <w:rsid w:val="00B91D05"/>
    <w:rsid w:val="00B9544A"/>
    <w:rsid w:val="00BA407A"/>
    <w:rsid w:val="00BA41C1"/>
    <w:rsid w:val="00BA4718"/>
    <w:rsid w:val="00BA6921"/>
    <w:rsid w:val="00BB0991"/>
    <w:rsid w:val="00BB1C40"/>
    <w:rsid w:val="00BB563D"/>
    <w:rsid w:val="00BB702F"/>
    <w:rsid w:val="00BC232E"/>
    <w:rsid w:val="00BC26D0"/>
    <w:rsid w:val="00BC45DF"/>
    <w:rsid w:val="00BC4BAA"/>
    <w:rsid w:val="00BD10F4"/>
    <w:rsid w:val="00BD5540"/>
    <w:rsid w:val="00BD65A5"/>
    <w:rsid w:val="00BD7771"/>
    <w:rsid w:val="00BD7F31"/>
    <w:rsid w:val="00BD7FDB"/>
    <w:rsid w:val="00BE1AB5"/>
    <w:rsid w:val="00BE22DC"/>
    <w:rsid w:val="00BE2A5F"/>
    <w:rsid w:val="00BE4A35"/>
    <w:rsid w:val="00BF3D1C"/>
    <w:rsid w:val="00BF5253"/>
    <w:rsid w:val="00C00A64"/>
    <w:rsid w:val="00C01C82"/>
    <w:rsid w:val="00C04A70"/>
    <w:rsid w:val="00C04F25"/>
    <w:rsid w:val="00C06053"/>
    <w:rsid w:val="00C06F08"/>
    <w:rsid w:val="00C10FF1"/>
    <w:rsid w:val="00C11B4B"/>
    <w:rsid w:val="00C12A72"/>
    <w:rsid w:val="00C139D4"/>
    <w:rsid w:val="00C140DC"/>
    <w:rsid w:val="00C14949"/>
    <w:rsid w:val="00C17FEE"/>
    <w:rsid w:val="00C2100C"/>
    <w:rsid w:val="00C2445F"/>
    <w:rsid w:val="00C25FCD"/>
    <w:rsid w:val="00C26055"/>
    <w:rsid w:val="00C261C0"/>
    <w:rsid w:val="00C261F8"/>
    <w:rsid w:val="00C328B0"/>
    <w:rsid w:val="00C32EFE"/>
    <w:rsid w:val="00C35A24"/>
    <w:rsid w:val="00C406C8"/>
    <w:rsid w:val="00C415D1"/>
    <w:rsid w:val="00C42556"/>
    <w:rsid w:val="00C45B1E"/>
    <w:rsid w:val="00C5018D"/>
    <w:rsid w:val="00C51215"/>
    <w:rsid w:val="00C52F1B"/>
    <w:rsid w:val="00C53CD2"/>
    <w:rsid w:val="00C54BFC"/>
    <w:rsid w:val="00C56D26"/>
    <w:rsid w:val="00C56E6A"/>
    <w:rsid w:val="00C627D6"/>
    <w:rsid w:val="00C648CB"/>
    <w:rsid w:val="00C65ED3"/>
    <w:rsid w:val="00C66551"/>
    <w:rsid w:val="00C679BB"/>
    <w:rsid w:val="00C71999"/>
    <w:rsid w:val="00C7276E"/>
    <w:rsid w:val="00C730AF"/>
    <w:rsid w:val="00C814F7"/>
    <w:rsid w:val="00C84203"/>
    <w:rsid w:val="00C85A5A"/>
    <w:rsid w:val="00C86673"/>
    <w:rsid w:val="00C87F65"/>
    <w:rsid w:val="00C96830"/>
    <w:rsid w:val="00CA1AE0"/>
    <w:rsid w:val="00CA6767"/>
    <w:rsid w:val="00CB4ABB"/>
    <w:rsid w:val="00CB5943"/>
    <w:rsid w:val="00CC0633"/>
    <w:rsid w:val="00CC09BA"/>
    <w:rsid w:val="00CC39D9"/>
    <w:rsid w:val="00CC501D"/>
    <w:rsid w:val="00CC6BC9"/>
    <w:rsid w:val="00CC6F27"/>
    <w:rsid w:val="00CC7B12"/>
    <w:rsid w:val="00CD0FE2"/>
    <w:rsid w:val="00CD5C4D"/>
    <w:rsid w:val="00CD6DD5"/>
    <w:rsid w:val="00CE2502"/>
    <w:rsid w:val="00CE45CE"/>
    <w:rsid w:val="00CE4F72"/>
    <w:rsid w:val="00CE746A"/>
    <w:rsid w:val="00CF2027"/>
    <w:rsid w:val="00CF78CE"/>
    <w:rsid w:val="00D054CE"/>
    <w:rsid w:val="00D110C9"/>
    <w:rsid w:val="00D11CF7"/>
    <w:rsid w:val="00D12A0C"/>
    <w:rsid w:val="00D14CCC"/>
    <w:rsid w:val="00D15BB8"/>
    <w:rsid w:val="00D24EEA"/>
    <w:rsid w:val="00D263F9"/>
    <w:rsid w:val="00D27CEE"/>
    <w:rsid w:val="00D32152"/>
    <w:rsid w:val="00D361BC"/>
    <w:rsid w:val="00D3770E"/>
    <w:rsid w:val="00D378F1"/>
    <w:rsid w:val="00D37D73"/>
    <w:rsid w:val="00D37DB6"/>
    <w:rsid w:val="00D37E19"/>
    <w:rsid w:val="00D47563"/>
    <w:rsid w:val="00D50CEC"/>
    <w:rsid w:val="00D626E7"/>
    <w:rsid w:val="00D63720"/>
    <w:rsid w:val="00D6783F"/>
    <w:rsid w:val="00D704FD"/>
    <w:rsid w:val="00D716CF"/>
    <w:rsid w:val="00D72453"/>
    <w:rsid w:val="00D72F65"/>
    <w:rsid w:val="00D75C2E"/>
    <w:rsid w:val="00D817E9"/>
    <w:rsid w:val="00D83459"/>
    <w:rsid w:val="00D8367B"/>
    <w:rsid w:val="00D836F3"/>
    <w:rsid w:val="00D8399A"/>
    <w:rsid w:val="00D83F75"/>
    <w:rsid w:val="00D840B2"/>
    <w:rsid w:val="00D84E43"/>
    <w:rsid w:val="00D92675"/>
    <w:rsid w:val="00D94863"/>
    <w:rsid w:val="00D965FD"/>
    <w:rsid w:val="00D96BCF"/>
    <w:rsid w:val="00D97C9F"/>
    <w:rsid w:val="00DA0D94"/>
    <w:rsid w:val="00DA205A"/>
    <w:rsid w:val="00DA2077"/>
    <w:rsid w:val="00DA282F"/>
    <w:rsid w:val="00DA46A0"/>
    <w:rsid w:val="00DB6724"/>
    <w:rsid w:val="00DB681E"/>
    <w:rsid w:val="00DD76F9"/>
    <w:rsid w:val="00DE4A2F"/>
    <w:rsid w:val="00DF269B"/>
    <w:rsid w:val="00DF2974"/>
    <w:rsid w:val="00DF3512"/>
    <w:rsid w:val="00DF3C9C"/>
    <w:rsid w:val="00DF4767"/>
    <w:rsid w:val="00DF50EB"/>
    <w:rsid w:val="00DF567B"/>
    <w:rsid w:val="00DF5772"/>
    <w:rsid w:val="00DF5D94"/>
    <w:rsid w:val="00DF6FAC"/>
    <w:rsid w:val="00E001EA"/>
    <w:rsid w:val="00E00538"/>
    <w:rsid w:val="00E033C4"/>
    <w:rsid w:val="00E03CD7"/>
    <w:rsid w:val="00E0495E"/>
    <w:rsid w:val="00E05445"/>
    <w:rsid w:val="00E06E35"/>
    <w:rsid w:val="00E150D0"/>
    <w:rsid w:val="00E1596C"/>
    <w:rsid w:val="00E2332A"/>
    <w:rsid w:val="00E242BA"/>
    <w:rsid w:val="00E25EA2"/>
    <w:rsid w:val="00E30E52"/>
    <w:rsid w:val="00E32EEC"/>
    <w:rsid w:val="00E33A25"/>
    <w:rsid w:val="00E34555"/>
    <w:rsid w:val="00E35AA6"/>
    <w:rsid w:val="00E36E1F"/>
    <w:rsid w:val="00E37113"/>
    <w:rsid w:val="00E3760A"/>
    <w:rsid w:val="00E41488"/>
    <w:rsid w:val="00E42429"/>
    <w:rsid w:val="00E44E24"/>
    <w:rsid w:val="00E6073D"/>
    <w:rsid w:val="00E60EC1"/>
    <w:rsid w:val="00E62E1D"/>
    <w:rsid w:val="00E63491"/>
    <w:rsid w:val="00E66814"/>
    <w:rsid w:val="00E67626"/>
    <w:rsid w:val="00E705BE"/>
    <w:rsid w:val="00E70C6A"/>
    <w:rsid w:val="00E73174"/>
    <w:rsid w:val="00E7575A"/>
    <w:rsid w:val="00E77221"/>
    <w:rsid w:val="00E77C50"/>
    <w:rsid w:val="00E77E9E"/>
    <w:rsid w:val="00E81EF2"/>
    <w:rsid w:val="00E8509A"/>
    <w:rsid w:val="00E947AF"/>
    <w:rsid w:val="00E95A6E"/>
    <w:rsid w:val="00E9616D"/>
    <w:rsid w:val="00E975E3"/>
    <w:rsid w:val="00EA2E1A"/>
    <w:rsid w:val="00EA7C6A"/>
    <w:rsid w:val="00EB2863"/>
    <w:rsid w:val="00EB4F59"/>
    <w:rsid w:val="00EB525E"/>
    <w:rsid w:val="00EC04A3"/>
    <w:rsid w:val="00EC2765"/>
    <w:rsid w:val="00EC42C3"/>
    <w:rsid w:val="00EC6276"/>
    <w:rsid w:val="00ED01E5"/>
    <w:rsid w:val="00ED0896"/>
    <w:rsid w:val="00ED262A"/>
    <w:rsid w:val="00ED3871"/>
    <w:rsid w:val="00ED50B4"/>
    <w:rsid w:val="00ED59DC"/>
    <w:rsid w:val="00EE076A"/>
    <w:rsid w:val="00EE5A3D"/>
    <w:rsid w:val="00EE5CC5"/>
    <w:rsid w:val="00EE6102"/>
    <w:rsid w:val="00EF0FCA"/>
    <w:rsid w:val="00EF12B8"/>
    <w:rsid w:val="00EF15E4"/>
    <w:rsid w:val="00EF41EC"/>
    <w:rsid w:val="00EF4CA6"/>
    <w:rsid w:val="00EF609D"/>
    <w:rsid w:val="00EF6440"/>
    <w:rsid w:val="00F02D87"/>
    <w:rsid w:val="00F02ED8"/>
    <w:rsid w:val="00F0345F"/>
    <w:rsid w:val="00F1796C"/>
    <w:rsid w:val="00F251B2"/>
    <w:rsid w:val="00F25305"/>
    <w:rsid w:val="00F26B01"/>
    <w:rsid w:val="00F26C92"/>
    <w:rsid w:val="00F31484"/>
    <w:rsid w:val="00F31AA4"/>
    <w:rsid w:val="00F373D6"/>
    <w:rsid w:val="00F43DD5"/>
    <w:rsid w:val="00F44D46"/>
    <w:rsid w:val="00F523E1"/>
    <w:rsid w:val="00F54CA1"/>
    <w:rsid w:val="00F55C04"/>
    <w:rsid w:val="00F604F5"/>
    <w:rsid w:val="00F638EB"/>
    <w:rsid w:val="00F64FF8"/>
    <w:rsid w:val="00F66BE2"/>
    <w:rsid w:val="00F74A02"/>
    <w:rsid w:val="00F76EC7"/>
    <w:rsid w:val="00F77548"/>
    <w:rsid w:val="00F90517"/>
    <w:rsid w:val="00F92AC0"/>
    <w:rsid w:val="00F95A70"/>
    <w:rsid w:val="00FA0C3A"/>
    <w:rsid w:val="00FA19D4"/>
    <w:rsid w:val="00FA2754"/>
    <w:rsid w:val="00FA685F"/>
    <w:rsid w:val="00FB2252"/>
    <w:rsid w:val="00FC0A63"/>
    <w:rsid w:val="00FC0AC1"/>
    <w:rsid w:val="00FD7059"/>
    <w:rsid w:val="00FD7E9D"/>
    <w:rsid w:val="00FE019E"/>
    <w:rsid w:val="00FE262E"/>
    <w:rsid w:val="00FE2FA0"/>
    <w:rsid w:val="00FE71F5"/>
    <w:rsid w:val="00FE7B4E"/>
    <w:rsid w:val="00FF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E6E0"/>
  <w15:chartTrackingRefBased/>
  <w15:docId w15:val="{46DDEEB1-7402-43FB-96AA-AEADB5DC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1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048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D0"/>
    <w:pPr>
      <w:ind w:left="720"/>
      <w:contextualSpacing/>
    </w:pPr>
  </w:style>
  <w:style w:type="paragraph" w:styleId="FootnoteText">
    <w:name w:val="footnote text"/>
    <w:basedOn w:val="Normal"/>
    <w:link w:val="FootnoteTextChar"/>
    <w:uiPriority w:val="99"/>
    <w:unhideWhenUsed/>
    <w:rsid w:val="00C56E6A"/>
    <w:pPr>
      <w:spacing w:after="0" w:line="240" w:lineRule="auto"/>
    </w:pPr>
    <w:rPr>
      <w:sz w:val="20"/>
      <w:szCs w:val="20"/>
    </w:rPr>
  </w:style>
  <w:style w:type="character" w:customStyle="1" w:styleId="FootnoteTextChar">
    <w:name w:val="Footnote Text Char"/>
    <w:basedOn w:val="DefaultParagraphFont"/>
    <w:link w:val="FootnoteText"/>
    <w:uiPriority w:val="99"/>
    <w:rsid w:val="00C56E6A"/>
    <w:rPr>
      <w:sz w:val="20"/>
      <w:szCs w:val="20"/>
    </w:rPr>
  </w:style>
  <w:style w:type="character" w:styleId="FootnoteReference">
    <w:name w:val="footnote reference"/>
    <w:basedOn w:val="DefaultParagraphFont"/>
    <w:unhideWhenUsed/>
    <w:rsid w:val="00C56E6A"/>
    <w:rPr>
      <w:vertAlign w:val="superscript"/>
    </w:rPr>
  </w:style>
  <w:style w:type="paragraph" w:styleId="BalloonText">
    <w:name w:val="Balloon Text"/>
    <w:basedOn w:val="Normal"/>
    <w:link w:val="BalloonTextChar"/>
    <w:uiPriority w:val="99"/>
    <w:semiHidden/>
    <w:unhideWhenUsed/>
    <w:rsid w:val="007D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FA"/>
    <w:rPr>
      <w:rFonts w:ascii="Segoe UI" w:hAnsi="Segoe UI" w:cs="Segoe UI"/>
      <w:sz w:val="18"/>
      <w:szCs w:val="18"/>
    </w:rPr>
  </w:style>
  <w:style w:type="character" w:customStyle="1" w:styleId="pagenumber">
    <w:name w:val="pagenumber"/>
    <w:basedOn w:val="DefaultParagraphFont"/>
    <w:rsid w:val="00405168"/>
  </w:style>
  <w:style w:type="character" w:customStyle="1" w:styleId="Heading1Char">
    <w:name w:val="Heading 1 Char"/>
    <w:basedOn w:val="DefaultParagraphFont"/>
    <w:link w:val="Heading1"/>
    <w:uiPriority w:val="9"/>
    <w:rsid w:val="00211C4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11C4E"/>
    <w:rPr>
      <w:color w:val="0000FF"/>
      <w:u w:val="single"/>
    </w:rPr>
  </w:style>
  <w:style w:type="character" w:customStyle="1" w:styleId="ls26">
    <w:name w:val="ls26"/>
    <w:basedOn w:val="DefaultParagraphFont"/>
    <w:rsid w:val="009E50C9"/>
  </w:style>
  <w:style w:type="character" w:customStyle="1" w:styleId="ls25">
    <w:name w:val="ls25"/>
    <w:basedOn w:val="DefaultParagraphFont"/>
    <w:rsid w:val="009E50C9"/>
  </w:style>
  <w:style w:type="character" w:customStyle="1" w:styleId="ff4">
    <w:name w:val="ff4"/>
    <w:basedOn w:val="DefaultParagraphFont"/>
    <w:rsid w:val="009E50C9"/>
  </w:style>
  <w:style w:type="character" w:customStyle="1" w:styleId="ls28">
    <w:name w:val="ls28"/>
    <w:basedOn w:val="DefaultParagraphFont"/>
    <w:rsid w:val="009E50C9"/>
  </w:style>
  <w:style w:type="paragraph" w:styleId="NormalWeb">
    <w:name w:val="Normal (Web)"/>
    <w:basedOn w:val="Normal"/>
    <w:uiPriority w:val="99"/>
    <w:unhideWhenUsed/>
    <w:rsid w:val="004747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7A5C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CF5"/>
    <w:rPr>
      <w:sz w:val="20"/>
      <w:szCs w:val="20"/>
    </w:rPr>
  </w:style>
  <w:style w:type="character" w:styleId="EndnoteReference">
    <w:name w:val="endnote reference"/>
    <w:basedOn w:val="DefaultParagraphFont"/>
    <w:uiPriority w:val="99"/>
    <w:semiHidden/>
    <w:unhideWhenUsed/>
    <w:rsid w:val="007A5CF5"/>
    <w:rPr>
      <w:vertAlign w:val="superscript"/>
    </w:rPr>
  </w:style>
  <w:style w:type="character" w:customStyle="1" w:styleId="smcap">
    <w:name w:val="smcap"/>
    <w:basedOn w:val="DefaultParagraphFont"/>
    <w:rsid w:val="008951F8"/>
  </w:style>
  <w:style w:type="character" w:customStyle="1" w:styleId="Heading3Char">
    <w:name w:val="Heading 3 Char"/>
    <w:basedOn w:val="DefaultParagraphFont"/>
    <w:link w:val="Heading3"/>
    <w:uiPriority w:val="9"/>
    <w:semiHidden/>
    <w:rsid w:val="009048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F2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027"/>
  </w:style>
  <w:style w:type="paragraph" w:styleId="Footer">
    <w:name w:val="footer"/>
    <w:basedOn w:val="Normal"/>
    <w:link w:val="FooterChar"/>
    <w:uiPriority w:val="99"/>
    <w:unhideWhenUsed/>
    <w:rsid w:val="00CF2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027"/>
  </w:style>
  <w:style w:type="character" w:styleId="UnresolvedMention">
    <w:name w:val="Unresolved Mention"/>
    <w:basedOn w:val="DefaultParagraphFont"/>
    <w:uiPriority w:val="99"/>
    <w:semiHidden/>
    <w:unhideWhenUsed/>
    <w:rsid w:val="00ED3871"/>
    <w:rPr>
      <w:color w:val="605E5C"/>
      <w:shd w:val="clear" w:color="auto" w:fill="E1DFDD"/>
    </w:rPr>
  </w:style>
  <w:style w:type="character" w:styleId="CommentReference">
    <w:name w:val="annotation reference"/>
    <w:basedOn w:val="DefaultParagraphFont"/>
    <w:uiPriority w:val="99"/>
    <w:semiHidden/>
    <w:unhideWhenUsed/>
    <w:rsid w:val="00AB2DF3"/>
    <w:rPr>
      <w:sz w:val="16"/>
      <w:szCs w:val="16"/>
    </w:rPr>
  </w:style>
  <w:style w:type="paragraph" w:styleId="CommentText">
    <w:name w:val="annotation text"/>
    <w:basedOn w:val="Normal"/>
    <w:link w:val="CommentTextChar"/>
    <w:uiPriority w:val="99"/>
    <w:semiHidden/>
    <w:unhideWhenUsed/>
    <w:rsid w:val="00AB2DF3"/>
    <w:pPr>
      <w:spacing w:line="240" w:lineRule="auto"/>
    </w:pPr>
    <w:rPr>
      <w:sz w:val="20"/>
      <w:szCs w:val="20"/>
    </w:rPr>
  </w:style>
  <w:style w:type="character" w:customStyle="1" w:styleId="CommentTextChar">
    <w:name w:val="Comment Text Char"/>
    <w:basedOn w:val="DefaultParagraphFont"/>
    <w:link w:val="CommentText"/>
    <w:uiPriority w:val="99"/>
    <w:semiHidden/>
    <w:rsid w:val="00AB2DF3"/>
    <w:rPr>
      <w:sz w:val="20"/>
      <w:szCs w:val="20"/>
    </w:rPr>
  </w:style>
  <w:style w:type="paragraph" w:styleId="CommentSubject">
    <w:name w:val="annotation subject"/>
    <w:basedOn w:val="CommentText"/>
    <w:next w:val="CommentText"/>
    <w:link w:val="CommentSubjectChar"/>
    <w:uiPriority w:val="99"/>
    <w:semiHidden/>
    <w:unhideWhenUsed/>
    <w:rsid w:val="00AB2DF3"/>
    <w:rPr>
      <w:b/>
      <w:bCs/>
    </w:rPr>
  </w:style>
  <w:style w:type="character" w:customStyle="1" w:styleId="CommentSubjectChar">
    <w:name w:val="Comment Subject Char"/>
    <w:basedOn w:val="CommentTextChar"/>
    <w:link w:val="CommentSubject"/>
    <w:uiPriority w:val="99"/>
    <w:semiHidden/>
    <w:rsid w:val="00AB2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543">
      <w:bodyDiv w:val="1"/>
      <w:marLeft w:val="0"/>
      <w:marRight w:val="0"/>
      <w:marTop w:val="0"/>
      <w:marBottom w:val="0"/>
      <w:divBdr>
        <w:top w:val="none" w:sz="0" w:space="0" w:color="auto"/>
        <w:left w:val="none" w:sz="0" w:space="0" w:color="auto"/>
        <w:bottom w:val="none" w:sz="0" w:space="0" w:color="auto"/>
        <w:right w:val="none" w:sz="0" w:space="0" w:color="auto"/>
      </w:divBdr>
      <w:divsChild>
        <w:div w:id="922688790">
          <w:marLeft w:val="0"/>
          <w:marRight w:val="0"/>
          <w:marTop w:val="0"/>
          <w:marBottom w:val="0"/>
          <w:divBdr>
            <w:top w:val="none" w:sz="0" w:space="0" w:color="auto"/>
            <w:left w:val="none" w:sz="0" w:space="0" w:color="auto"/>
            <w:bottom w:val="none" w:sz="0" w:space="0" w:color="auto"/>
            <w:right w:val="none" w:sz="0" w:space="0" w:color="auto"/>
          </w:divBdr>
        </w:div>
        <w:div w:id="2021269612">
          <w:marLeft w:val="0"/>
          <w:marRight w:val="0"/>
          <w:marTop w:val="0"/>
          <w:marBottom w:val="0"/>
          <w:divBdr>
            <w:top w:val="none" w:sz="0" w:space="0" w:color="auto"/>
            <w:left w:val="none" w:sz="0" w:space="0" w:color="auto"/>
            <w:bottom w:val="none" w:sz="0" w:space="0" w:color="auto"/>
            <w:right w:val="none" w:sz="0" w:space="0" w:color="auto"/>
          </w:divBdr>
        </w:div>
        <w:div w:id="1395087141">
          <w:marLeft w:val="0"/>
          <w:marRight w:val="0"/>
          <w:marTop w:val="0"/>
          <w:marBottom w:val="0"/>
          <w:divBdr>
            <w:top w:val="none" w:sz="0" w:space="0" w:color="auto"/>
            <w:left w:val="none" w:sz="0" w:space="0" w:color="auto"/>
            <w:bottom w:val="none" w:sz="0" w:space="0" w:color="auto"/>
            <w:right w:val="none" w:sz="0" w:space="0" w:color="auto"/>
          </w:divBdr>
        </w:div>
        <w:div w:id="916015194">
          <w:marLeft w:val="0"/>
          <w:marRight w:val="0"/>
          <w:marTop w:val="0"/>
          <w:marBottom w:val="0"/>
          <w:divBdr>
            <w:top w:val="none" w:sz="0" w:space="0" w:color="auto"/>
            <w:left w:val="none" w:sz="0" w:space="0" w:color="auto"/>
            <w:bottom w:val="none" w:sz="0" w:space="0" w:color="auto"/>
            <w:right w:val="none" w:sz="0" w:space="0" w:color="auto"/>
          </w:divBdr>
        </w:div>
        <w:div w:id="1163861996">
          <w:marLeft w:val="0"/>
          <w:marRight w:val="0"/>
          <w:marTop w:val="0"/>
          <w:marBottom w:val="0"/>
          <w:divBdr>
            <w:top w:val="none" w:sz="0" w:space="0" w:color="auto"/>
            <w:left w:val="none" w:sz="0" w:space="0" w:color="auto"/>
            <w:bottom w:val="none" w:sz="0" w:space="0" w:color="auto"/>
            <w:right w:val="none" w:sz="0" w:space="0" w:color="auto"/>
          </w:divBdr>
        </w:div>
        <w:div w:id="802848363">
          <w:marLeft w:val="0"/>
          <w:marRight w:val="0"/>
          <w:marTop w:val="0"/>
          <w:marBottom w:val="0"/>
          <w:divBdr>
            <w:top w:val="none" w:sz="0" w:space="0" w:color="auto"/>
            <w:left w:val="none" w:sz="0" w:space="0" w:color="auto"/>
            <w:bottom w:val="none" w:sz="0" w:space="0" w:color="auto"/>
            <w:right w:val="none" w:sz="0" w:space="0" w:color="auto"/>
          </w:divBdr>
        </w:div>
      </w:divsChild>
    </w:div>
    <w:div w:id="586353852">
      <w:bodyDiv w:val="1"/>
      <w:marLeft w:val="0"/>
      <w:marRight w:val="0"/>
      <w:marTop w:val="0"/>
      <w:marBottom w:val="0"/>
      <w:divBdr>
        <w:top w:val="none" w:sz="0" w:space="0" w:color="auto"/>
        <w:left w:val="none" w:sz="0" w:space="0" w:color="auto"/>
        <w:bottom w:val="none" w:sz="0" w:space="0" w:color="auto"/>
        <w:right w:val="none" w:sz="0" w:space="0" w:color="auto"/>
      </w:divBdr>
    </w:div>
    <w:div w:id="664745951">
      <w:bodyDiv w:val="1"/>
      <w:marLeft w:val="0"/>
      <w:marRight w:val="0"/>
      <w:marTop w:val="0"/>
      <w:marBottom w:val="0"/>
      <w:divBdr>
        <w:top w:val="none" w:sz="0" w:space="0" w:color="auto"/>
        <w:left w:val="none" w:sz="0" w:space="0" w:color="auto"/>
        <w:bottom w:val="none" w:sz="0" w:space="0" w:color="auto"/>
        <w:right w:val="none" w:sz="0" w:space="0" w:color="auto"/>
      </w:divBdr>
    </w:div>
    <w:div w:id="1785616501">
      <w:bodyDiv w:val="1"/>
      <w:marLeft w:val="0"/>
      <w:marRight w:val="0"/>
      <w:marTop w:val="0"/>
      <w:marBottom w:val="0"/>
      <w:divBdr>
        <w:top w:val="none" w:sz="0" w:space="0" w:color="auto"/>
        <w:left w:val="none" w:sz="0" w:space="0" w:color="auto"/>
        <w:bottom w:val="none" w:sz="0" w:space="0" w:color="auto"/>
        <w:right w:val="none" w:sz="0" w:space="0" w:color="auto"/>
      </w:divBdr>
      <w:divsChild>
        <w:div w:id="868761818">
          <w:marLeft w:val="0"/>
          <w:marRight w:val="0"/>
          <w:marTop w:val="0"/>
          <w:marBottom w:val="0"/>
          <w:divBdr>
            <w:top w:val="none" w:sz="0" w:space="0" w:color="auto"/>
            <w:left w:val="none" w:sz="0" w:space="0" w:color="auto"/>
            <w:bottom w:val="none" w:sz="0" w:space="0" w:color="auto"/>
            <w:right w:val="none" w:sz="0" w:space="0" w:color="auto"/>
          </w:divBdr>
        </w:div>
        <w:div w:id="78064733">
          <w:marLeft w:val="0"/>
          <w:marRight w:val="0"/>
          <w:marTop w:val="0"/>
          <w:marBottom w:val="0"/>
          <w:divBdr>
            <w:top w:val="none" w:sz="0" w:space="0" w:color="auto"/>
            <w:left w:val="none" w:sz="0" w:space="0" w:color="auto"/>
            <w:bottom w:val="none" w:sz="0" w:space="0" w:color="auto"/>
            <w:right w:val="none" w:sz="0" w:space="0" w:color="auto"/>
          </w:divBdr>
        </w:div>
        <w:div w:id="2053072415">
          <w:marLeft w:val="0"/>
          <w:marRight w:val="0"/>
          <w:marTop w:val="0"/>
          <w:marBottom w:val="0"/>
          <w:divBdr>
            <w:top w:val="none" w:sz="0" w:space="0" w:color="auto"/>
            <w:left w:val="none" w:sz="0" w:space="0" w:color="auto"/>
            <w:bottom w:val="none" w:sz="0" w:space="0" w:color="auto"/>
            <w:right w:val="none" w:sz="0" w:space="0" w:color="auto"/>
          </w:divBdr>
        </w:div>
        <w:div w:id="1419594613">
          <w:marLeft w:val="0"/>
          <w:marRight w:val="0"/>
          <w:marTop w:val="0"/>
          <w:marBottom w:val="0"/>
          <w:divBdr>
            <w:top w:val="none" w:sz="0" w:space="0" w:color="auto"/>
            <w:left w:val="none" w:sz="0" w:space="0" w:color="auto"/>
            <w:bottom w:val="none" w:sz="0" w:space="0" w:color="auto"/>
            <w:right w:val="none" w:sz="0" w:space="0" w:color="auto"/>
          </w:divBdr>
        </w:div>
        <w:div w:id="1750618509">
          <w:marLeft w:val="0"/>
          <w:marRight w:val="0"/>
          <w:marTop w:val="0"/>
          <w:marBottom w:val="0"/>
          <w:divBdr>
            <w:top w:val="none" w:sz="0" w:space="0" w:color="auto"/>
            <w:left w:val="none" w:sz="0" w:space="0" w:color="auto"/>
            <w:bottom w:val="none" w:sz="0" w:space="0" w:color="auto"/>
            <w:right w:val="none" w:sz="0" w:space="0" w:color="auto"/>
          </w:divBdr>
        </w:div>
        <w:div w:id="611668795">
          <w:marLeft w:val="0"/>
          <w:marRight w:val="0"/>
          <w:marTop w:val="0"/>
          <w:marBottom w:val="0"/>
          <w:divBdr>
            <w:top w:val="none" w:sz="0" w:space="0" w:color="auto"/>
            <w:left w:val="none" w:sz="0" w:space="0" w:color="auto"/>
            <w:bottom w:val="none" w:sz="0" w:space="0" w:color="auto"/>
            <w:right w:val="none" w:sz="0" w:space="0" w:color="auto"/>
          </w:divBdr>
        </w:div>
        <w:div w:id="601228344">
          <w:marLeft w:val="0"/>
          <w:marRight w:val="0"/>
          <w:marTop w:val="0"/>
          <w:marBottom w:val="0"/>
          <w:divBdr>
            <w:top w:val="none" w:sz="0" w:space="0" w:color="auto"/>
            <w:left w:val="none" w:sz="0" w:space="0" w:color="auto"/>
            <w:bottom w:val="none" w:sz="0" w:space="0" w:color="auto"/>
            <w:right w:val="none" w:sz="0" w:space="0" w:color="auto"/>
          </w:divBdr>
        </w:div>
      </w:divsChild>
    </w:div>
    <w:div w:id="1793280353">
      <w:bodyDiv w:val="1"/>
      <w:marLeft w:val="0"/>
      <w:marRight w:val="0"/>
      <w:marTop w:val="0"/>
      <w:marBottom w:val="0"/>
      <w:divBdr>
        <w:top w:val="none" w:sz="0" w:space="0" w:color="auto"/>
        <w:left w:val="none" w:sz="0" w:space="0" w:color="auto"/>
        <w:bottom w:val="none" w:sz="0" w:space="0" w:color="auto"/>
        <w:right w:val="none" w:sz="0" w:space="0" w:color="auto"/>
      </w:divBdr>
      <w:divsChild>
        <w:div w:id="2027094769">
          <w:marLeft w:val="1627"/>
          <w:marRight w:val="0"/>
          <w:marTop w:val="115"/>
          <w:marBottom w:val="0"/>
          <w:divBdr>
            <w:top w:val="none" w:sz="0" w:space="0" w:color="auto"/>
            <w:left w:val="none" w:sz="0" w:space="0" w:color="auto"/>
            <w:bottom w:val="none" w:sz="0" w:space="0" w:color="auto"/>
            <w:right w:val="none" w:sz="0" w:space="0" w:color="auto"/>
          </w:divBdr>
        </w:div>
      </w:divsChild>
    </w:div>
    <w:div w:id="1807815222">
      <w:bodyDiv w:val="1"/>
      <w:marLeft w:val="0"/>
      <w:marRight w:val="0"/>
      <w:marTop w:val="0"/>
      <w:marBottom w:val="0"/>
      <w:divBdr>
        <w:top w:val="none" w:sz="0" w:space="0" w:color="auto"/>
        <w:left w:val="none" w:sz="0" w:space="0" w:color="auto"/>
        <w:bottom w:val="none" w:sz="0" w:space="0" w:color="auto"/>
        <w:right w:val="none" w:sz="0" w:space="0" w:color="auto"/>
      </w:divBdr>
    </w:div>
    <w:div w:id="1820151823">
      <w:bodyDiv w:val="1"/>
      <w:marLeft w:val="0"/>
      <w:marRight w:val="0"/>
      <w:marTop w:val="0"/>
      <w:marBottom w:val="0"/>
      <w:divBdr>
        <w:top w:val="none" w:sz="0" w:space="0" w:color="auto"/>
        <w:left w:val="none" w:sz="0" w:space="0" w:color="auto"/>
        <w:bottom w:val="none" w:sz="0" w:space="0" w:color="auto"/>
        <w:right w:val="none" w:sz="0" w:space="0" w:color="auto"/>
      </w:divBdr>
      <w:divsChild>
        <w:div w:id="962997921">
          <w:marLeft w:val="0"/>
          <w:marRight w:val="0"/>
          <w:marTop w:val="0"/>
          <w:marBottom w:val="0"/>
          <w:divBdr>
            <w:top w:val="none" w:sz="0" w:space="0" w:color="auto"/>
            <w:left w:val="none" w:sz="0" w:space="0" w:color="auto"/>
            <w:bottom w:val="none" w:sz="0" w:space="0" w:color="auto"/>
            <w:right w:val="none" w:sz="0" w:space="0" w:color="auto"/>
          </w:divBdr>
        </w:div>
      </w:divsChild>
    </w:div>
    <w:div w:id="1865096826">
      <w:bodyDiv w:val="1"/>
      <w:marLeft w:val="0"/>
      <w:marRight w:val="0"/>
      <w:marTop w:val="0"/>
      <w:marBottom w:val="0"/>
      <w:divBdr>
        <w:top w:val="none" w:sz="0" w:space="0" w:color="auto"/>
        <w:left w:val="none" w:sz="0" w:space="0" w:color="auto"/>
        <w:bottom w:val="none" w:sz="0" w:space="0" w:color="auto"/>
        <w:right w:val="none" w:sz="0" w:space="0" w:color="auto"/>
      </w:divBdr>
      <w:divsChild>
        <w:div w:id="751312190">
          <w:marLeft w:val="1532"/>
          <w:marRight w:val="1532"/>
          <w:marTop w:val="0"/>
          <w:marBottom w:val="0"/>
          <w:divBdr>
            <w:top w:val="none" w:sz="0" w:space="0" w:color="auto"/>
            <w:left w:val="none" w:sz="0" w:space="0" w:color="auto"/>
            <w:bottom w:val="none" w:sz="0" w:space="0" w:color="auto"/>
            <w:right w:val="none" w:sz="0" w:space="0" w:color="auto"/>
          </w:divBdr>
        </w:div>
      </w:divsChild>
    </w:div>
    <w:div w:id="21030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quod.lib.umich.edu/e/ecco/004809446.0001.000/1:1?rgn=div1;view=fulltext" TargetMode="External"/><Relationship Id="rId2" Type="http://schemas.openxmlformats.org/officeDocument/2006/relationships/hyperlink" Target="https://thehistoryofparliament.wordpress.com/2019/06/18/the-good-the-bad-and-the-wonderful-the-dramatic-parliaments-of-the-late-14th-century-part-one/" TargetMode="External"/><Relationship Id="rId1" Type="http://schemas.openxmlformats.org/officeDocument/2006/relationships/hyperlink" Target="https://www.parliament.uk/about/living-heritage/evolutionofparliament/originsofparliament/birthofparliament/overview/simondemont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A5F2-7DDF-3743-AE8D-2658A491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8759</Words>
  <Characters>49932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Gordon</dc:creator>
  <cp:keywords/>
  <dc:description/>
  <cp:lastModifiedBy>Gordon, Michael</cp:lastModifiedBy>
  <cp:revision>3</cp:revision>
  <dcterms:created xsi:type="dcterms:W3CDTF">2021-09-23T13:24:00Z</dcterms:created>
  <dcterms:modified xsi:type="dcterms:W3CDTF">2021-09-23T13:25:00Z</dcterms:modified>
</cp:coreProperties>
</file>