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9DA0" w14:textId="19CEEB1F" w:rsidR="00255F24" w:rsidRDefault="00255F24" w:rsidP="00865C3E">
      <w:pPr>
        <w:autoSpaceDE w:val="0"/>
        <w:autoSpaceDN w:val="0"/>
        <w:adjustRightInd w:val="0"/>
        <w:spacing w:after="0" w:line="240" w:lineRule="auto"/>
        <w:rPr>
          <w:rFonts w:ascii="Gill Sans MT" w:hAnsi="Gill Sans MT" w:cs="Calibri"/>
          <w:b/>
          <w:bCs/>
        </w:rPr>
      </w:pPr>
      <w:r>
        <w:rPr>
          <w:rFonts w:ascii="Gill Sans MT" w:hAnsi="Gill Sans MT" w:cs="Calibri"/>
          <w:b/>
          <w:bCs/>
        </w:rPr>
        <w:t>Research Handbook on Legal Aspects of Brexit</w:t>
      </w:r>
    </w:p>
    <w:p w14:paraId="321EB138" w14:textId="5E818A95" w:rsidR="00255F24" w:rsidRDefault="00255F24" w:rsidP="00865C3E">
      <w:pPr>
        <w:autoSpaceDE w:val="0"/>
        <w:autoSpaceDN w:val="0"/>
        <w:adjustRightInd w:val="0"/>
        <w:spacing w:after="0" w:line="240" w:lineRule="auto"/>
        <w:rPr>
          <w:rFonts w:ascii="Gill Sans MT" w:hAnsi="Gill Sans MT" w:cs="Calibri"/>
          <w:b/>
          <w:bCs/>
        </w:rPr>
      </w:pPr>
    </w:p>
    <w:p w14:paraId="071CDDAB" w14:textId="73DA1F42" w:rsidR="00865C3E" w:rsidRDefault="00255F24" w:rsidP="00865C3E">
      <w:pPr>
        <w:autoSpaceDE w:val="0"/>
        <w:autoSpaceDN w:val="0"/>
        <w:adjustRightInd w:val="0"/>
        <w:spacing w:after="0" w:line="240" w:lineRule="auto"/>
        <w:rPr>
          <w:rFonts w:ascii="Gill Sans MT" w:hAnsi="Gill Sans MT" w:cs="Calibri"/>
          <w:b/>
          <w:bCs/>
          <w:i/>
          <w:iCs/>
        </w:rPr>
      </w:pPr>
      <w:r w:rsidRPr="00E96C74">
        <w:rPr>
          <w:rFonts w:ascii="Gill Sans MT" w:hAnsi="Gill Sans MT" w:cs="Calibri"/>
          <w:b/>
          <w:bCs/>
          <w:i/>
          <w:iCs/>
        </w:rPr>
        <w:t>Part 4 – Apres Brexit: Consequences for the UK and the EU</w:t>
      </w:r>
      <w:r w:rsidR="00BE7FC5">
        <w:rPr>
          <w:rFonts w:ascii="Gill Sans MT" w:hAnsi="Gill Sans MT" w:cs="Calibri"/>
          <w:b/>
          <w:bCs/>
          <w:i/>
          <w:iCs/>
        </w:rPr>
        <w:t xml:space="preserve"> – </w:t>
      </w:r>
      <w:r w:rsidR="00865C3E" w:rsidRPr="00E96C74">
        <w:rPr>
          <w:rFonts w:ascii="Gill Sans MT" w:hAnsi="Gill Sans MT" w:cs="Calibri"/>
          <w:b/>
          <w:bCs/>
          <w:i/>
          <w:iCs/>
        </w:rPr>
        <w:t>Chapter 20</w:t>
      </w:r>
    </w:p>
    <w:p w14:paraId="35112C7F" w14:textId="77777777" w:rsidR="00E96C74" w:rsidRPr="00E96C74" w:rsidRDefault="00E96C74" w:rsidP="00E96C74">
      <w:pPr>
        <w:autoSpaceDE w:val="0"/>
        <w:autoSpaceDN w:val="0"/>
        <w:adjustRightInd w:val="0"/>
        <w:spacing w:after="0" w:line="240" w:lineRule="auto"/>
        <w:jc w:val="center"/>
        <w:rPr>
          <w:rFonts w:ascii="Gill Sans MT" w:hAnsi="Gill Sans MT" w:cs="Calibri"/>
          <w:b/>
          <w:bCs/>
          <w:i/>
          <w:iCs/>
        </w:rPr>
      </w:pPr>
    </w:p>
    <w:p w14:paraId="2C5E2321" w14:textId="77777777" w:rsidR="00865C3E" w:rsidRPr="00865C3E" w:rsidRDefault="00865C3E" w:rsidP="00E96C74">
      <w:pPr>
        <w:autoSpaceDE w:val="0"/>
        <w:autoSpaceDN w:val="0"/>
        <w:adjustRightInd w:val="0"/>
        <w:spacing w:after="0" w:line="240" w:lineRule="auto"/>
        <w:jc w:val="center"/>
        <w:rPr>
          <w:rFonts w:ascii="Gill Sans MT" w:hAnsi="Gill Sans MT" w:cs="Calibri"/>
          <w:b/>
          <w:bCs/>
        </w:rPr>
      </w:pPr>
    </w:p>
    <w:p w14:paraId="7065490D" w14:textId="1A11FD94" w:rsidR="00865C3E" w:rsidRDefault="00745DC5" w:rsidP="00E96C74">
      <w:pPr>
        <w:autoSpaceDE w:val="0"/>
        <w:autoSpaceDN w:val="0"/>
        <w:adjustRightInd w:val="0"/>
        <w:spacing w:after="0" w:line="240" w:lineRule="auto"/>
        <w:jc w:val="center"/>
        <w:rPr>
          <w:rFonts w:ascii="Gill Sans MT" w:hAnsi="Gill Sans MT" w:cs="Calibri"/>
          <w:b/>
          <w:bCs/>
        </w:rPr>
      </w:pPr>
      <w:r>
        <w:rPr>
          <w:rFonts w:ascii="Gill Sans MT" w:hAnsi="Gill Sans MT" w:cs="Calibri"/>
          <w:b/>
          <w:bCs/>
        </w:rPr>
        <w:t>‘</w:t>
      </w:r>
      <w:r w:rsidR="00865C3E" w:rsidRPr="00865C3E">
        <w:rPr>
          <w:rFonts w:ascii="Gill Sans MT" w:hAnsi="Gill Sans MT" w:cs="Calibri"/>
          <w:b/>
          <w:bCs/>
        </w:rPr>
        <w:t>The UK and parliamentary government after Brexit – A dis-United Kingdom?</w:t>
      </w:r>
      <w:r>
        <w:rPr>
          <w:rFonts w:ascii="Gill Sans MT" w:hAnsi="Gill Sans MT" w:cs="Calibri"/>
          <w:b/>
          <w:bCs/>
        </w:rPr>
        <w:t>’</w:t>
      </w:r>
    </w:p>
    <w:p w14:paraId="058BE774" w14:textId="77777777" w:rsidR="00865C3E" w:rsidRPr="00865C3E" w:rsidRDefault="00865C3E" w:rsidP="00E96C74">
      <w:pPr>
        <w:autoSpaceDE w:val="0"/>
        <w:autoSpaceDN w:val="0"/>
        <w:adjustRightInd w:val="0"/>
        <w:spacing w:after="0" w:line="240" w:lineRule="auto"/>
        <w:jc w:val="center"/>
        <w:rPr>
          <w:rFonts w:ascii="Gill Sans MT" w:hAnsi="Gill Sans MT" w:cs="Calibri"/>
          <w:b/>
          <w:bCs/>
        </w:rPr>
      </w:pPr>
    </w:p>
    <w:p w14:paraId="579C59E0" w14:textId="56B98BFB" w:rsidR="00865C3E" w:rsidRPr="00865C3E" w:rsidRDefault="00865C3E" w:rsidP="00E96C74">
      <w:pPr>
        <w:autoSpaceDE w:val="0"/>
        <w:autoSpaceDN w:val="0"/>
        <w:adjustRightInd w:val="0"/>
        <w:spacing w:after="0" w:line="240" w:lineRule="auto"/>
        <w:jc w:val="center"/>
        <w:rPr>
          <w:rFonts w:ascii="Gill Sans MT" w:eastAsia="Times New Roman" w:hAnsi="Gill Sans MT" w:cs="Times New Roman"/>
          <w:b/>
          <w:bCs/>
          <w:color w:val="000000"/>
          <w:shd w:val="clear" w:color="auto" w:fill="FFFFFF"/>
          <w:lang w:eastAsia="en-GB"/>
        </w:rPr>
      </w:pPr>
      <w:r w:rsidRPr="00865C3E">
        <w:rPr>
          <w:rFonts w:ascii="Gill Sans MT" w:hAnsi="Gill Sans MT" w:cs="Calibri"/>
          <w:b/>
          <w:bCs/>
        </w:rPr>
        <w:t>M</w:t>
      </w:r>
      <w:r w:rsidR="00745DC5">
        <w:rPr>
          <w:rFonts w:ascii="Gill Sans MT" w:hAnsi="Gill Sans MT" w:cs="Calibri"/>
          <w:b/>
          <w:bCs/>
        </w:rPr>
        <w:t>ichael</w:t>
      </w:r>
      <w:r w:rsidRPr="00865C3E">
        <w:rPr>
          <w:rFonts w:ascii="Gill Sans MT" w:hAnsi="Gill Sans MT" w:cs="Calibri"/>
          <w:b/>
          <w:bCs/>
        </w:rPr>
        <w:t xml:space="preserve"> Gordon, University of Liverpool</w:t>
      </w:r>
    </w:p>
    <w:p w14:paraId="7F9DD4E1" w14:textId="77777777" w:rsidR="00865C3E" w:rsidRPr="00865C3E" w:rsidRDefault="00865C3E" w:rsidP="00865C3E">
      <w:pPr>
        <w:spacing w:after="0" w:line="240" w:lineRule="auto"/>
        <w:rPr>
          <w:rFonts w:ascii="Gill Sans MT" w:eastAsia="Times New Roman" w:hAnsi="Gill Sans MT" w:cs="Times New Roman"/>
          <w:b/>
          <w:bCs/>
          <w:color w:val="000000"/>
          <w:shd w:val="clear" w:color="auto" w:fill="FFFFFF"/>
          <w:lang w:eastAsia="en-GB"/>
        </w:rPr>
      </w:pPr>
    </w:p>
    <w:p w14:paraId="4E5C093B" w14:textId="5FB3A2A0" w:rsidR="00D97C5E" w:rsidRPr="00D97C5E" w:rsidRDefault="00D97C5E" w:rsidP="00865C3E">
      <w:pPr>
        <w:spacing w:after="0" w:line="240" w:lineRule="auto"/>
        <w:rPr>
          <w:rFonts w:ascii="Gill Sans MT" w:eastAsia="Times New Roman" w:hAnsi="Gill Sans MT" w:cs="Times New Roman"/>
          <w:color w:val="000000"/>
          <w:u w:val="single"/>
          <w:shd w:val="clear" w:color="auto" w:fill="FFFFFF"/>
          <w:lang w:eastAsia="en-GB"/>
        </w:rPr>
      </w:pPr>
      <w:r w:rsidRPr="00D97C5E">
        <w:rPr>
          <w:rFonts w:ascii="Gill Sans MT" w:eastAsia="Times New Roman" w:hAnsi="Gill Sans MT" w:cs="Times New Roman"/>
          <w:color w:val="000000"/>
          <w:u w:val="single"/>
          <w:shd w:val="clear" w:color="auto" w:fill="FFFFFF"/>
          <w:lang w:eastAsia="en-GB"/>
        </w:rPr>
        <w:t>Intro</w:t>
      </w:r>
      <w:r w:rsidR="00543752">
        <w:rPr>
          <w:rFonts w:ascii="Gill Sans MT" w:eastAsia="Times New Roman" w:hAnsi="Gill Sans MT" w:cs="Times New Roman"/>
          <w:color w:val="000000"/>
          <w:u w:val="single"/>
          <w:shd w:val="clear" w:color="auto" w:fill="FFFFFF"/>
          <w:lang w:eastAsia="en-GB"/>
        </w:rPr>
        <w:t>duction</w:t>
      </w:r>
    </w:p>
    <w:p w14:paraId="563238E8" w14:textId="61986573" w:rsidR="00D97C5E" w:rsidRDefault="00D97C5E" w:rsidP="00865C3E">
      <w:pPr>
        <w:spacing w:after="0" w:line="240" w:lineRule="auto"/>
        <w:rPr>
          <w:rFonts w:ascii="Gill Sans MT" w:eastAsia="Times New Roman" w:hAnsi="Gill Sans MT" w:cs="Times New Roman"/>
          <w:color w:val="000000"/>
          <w:shd w:val="clear" w:color="auto" w:fill="FFFFFF"/>
          <w:lang w:eastAsia="en-GB"/>
        </w:rPr>
      </w:pPr>
    </w:p>
    <w:p w14:paraId="5E97BEB9" w14:textId="7B3F7CED" w:rsidR="004D1D0D" w:rsidRDefault="004D1D0D" w:rsidP="00836603">
      <w:pPr>
        <w:spacing w:after="0" w:line="240" w:lineRule="auto"/>
        <w:jc w:val="both"/>
        <w:rPr>
          <w:rFonts w:ascii="Gill Sans MT" w:eastAsia="Times New Roman" w:hAnsi="Gill Sans MT" w:cs="Times New Roman"/>
          <w:color w:val="000000"/>
          <w:shd w:val="clear" w:color="auto" w:fill="FFFFFF"/>
          <w:lang w:eastAsia="en-GB"/>
        </w:rPr>
      </w:pPr>
      <w:r>
        <w:rPr>
          <w:rFonts w:ascii="Gill Sans MT" w:eastAsia="Times New Roman" w:hAnsi="Gill Sans MT" w:cs="Times New Roman"/>
          <w:color w:val="000000"/>
          <w:shd w:val="clear" w:color="auto" w:fill="FFFFFF"/>
          <w:lang w:eastAsia="en-GB"/>
        </w:rPr>
        <w:t>The United Kingdom’s withdrawal from the European Union has been an immensely divisive event.  Every aspect of Brexit – the decision, the process</w:t>
      </w:r>
      <w:r w:rsidR="00A9565B">
        <w:rPr>
          <w:rFonts w:ascii="Gill Sans MT" w:eastAsia="Times New Roman" w:hAnsi="Gill Sans MT" w:cs="Times New Roman"/>
          <w:color w:val="000000"/>
          <w:shd w:val="clear" w:color="auto" w:fill="FFFFFF"/>
          <w:lang w:eastAsia="en-GB"/>
        </w:rPr>
        <w:t>,</w:t>
      </w:r>
      <w:r>
        <w:rPr>
          <w:rFonts w:ascii="Gill Sans MT" w:eastAsia="Times New Roman" w:hAnsi="Gill Sans MT" w:cs="Times New Roman"/>
          <w:color w:val="000000"/>
          <w:shd w:val="clear" w:color="auto" w:fill="FFFFFF"/>
          <w:lang w:eastAsia="en-GB"/>
        </w:rPr>
        <w:t xml:space="preserve"> and the aftermath – has been furiously contested</w:t>
      </w:r>
      <w:r w:rsidR="00A9565B">
        <w:rPr>
          <w:rFonts w:ascii="Gill Sans MT" w:eastAsia="Times New Roman" w:hAnsi="Gill Sans MT" w:cs="Times New Roman"/>
          <w:color w:val="000000"/>
          <w:shd w:val="clear" w:color="auto" w:fill="FFFFFF"/>
          <w:lang w:eastAsia="en-GB"/>
        </w:rPr>
        <w:t xml:space="preserve">.  </w:t>
      </w:r>
      <w:r w:rsidR="00836603">
        <w:rPr>
          <w:rFonts w:ascii="Gill Sans MT" w:eastAsia="Times New Roman" w:hAnsi="Gill Sans MT" w:cs="Times New Roman"/>
          <w:color w:val="000000"/>
          <w:shd w:val="clear" w:color="auto" w:fill="FFFFFF"/>
          <w:lang w:eastAsia="en-GB"/>
        </w:rPr>
        <w:t xml:space="preserve">While disagreement concerning monumental political decisions is inevitable, in relation to Brexit those disagreements have been particularly acute.  </w:t>
      </w:r>
      <w:r w:rsidR="006B2091">
        <w:rPr>
          <w:rFonts w:ascii="Gill Sans MT" w:eastAsia="Times New Roman" w:hAnsi="Gill Sans MT" w:cs="Times New Roman"/>
          <w:color w:val="000000"/>
          <w:shd w:val="clear" w:color="auto" w:fill="FFFFFF"/>
          <w:lang w:eastAsia="en-GB"/>
        </w:rPr>
        <w:t>Division over Brexit defined the nature of UK politics for a number of years, and while it took a global pandemic to push the issue down the political agenda, the cultural realignment of the people along ‘remain / leave’ lines is likely to have major consequences into the future.</w:t>
      </w:r>
    </w:p>
    <w:p w14:paraId="780F4893" w14:textId="6B12DC08" w:rsidR="00C430E4" w:rsidRDefault="00836603" w:rsidP="00C430E4">
      <w:pPr>
        <w:spacing w:after="0" w:line="240" w:lineRule="auto"/>
        <w:ind w:firstLine="720"/>
        <w:jc w:val="both"/>
        <w:rPr>
          <w:rFonts w:ascii="Gill Sans MT" w:eastAsia="Times New Roman" w:hAnsi="Gill Sans MT" w:cs="Times New Roman"/>
          <w:color w:val="000000"/>
          <w:shd w:val="clear" w:color="auto" w:fill="FFFFFF"/>
          <w:lang w:eastAsia="en-GB"/>
        </w:rPr>
      </w:pPr>
      <w:r>
        <w:rPr>
          <w:rFonts w:ascii="Gill Sans MT" w:eastAsia="Times New Roman" w:hAnsi="Gill Sans MT" w:cs="Times New Roman"/>
          <w:color w:val="000000"/>
          <w:shd w:val="clear" w:color="auto" w:fill="FFFFFF"/>
          <w:lang w:eastAsia="en-GB"/>
        </w:rPr>
        <w:t>The divisions generated by Brexit have not just been political disagreements within the UK’s constitutional system, but also political disagreements about the UK’s constitutional system.  Again, to some extent this is not new – the UK’s distinctively ‘political</w:t>
      </w:r>
      <w:r w:rsidR="00A0305E">
        <w:rPr>
          <w:rFonts w:ascii="Gill Sans MT" w:eastAsia="Times New Roman" w:hAnsi="Gill Sans MT" w:cs="Times New Roman"/>
          <w:color w:val="000000"/>
          <w:shd w:val="clear" w:color="auto" w:fill="FFFFFF"/>
          <w:lang w:eastAsia="en-GB"/>
        </w:rPr>
        <w:t>’</w:t>
      </w:r>
      <w:r>
        <w:rPr>
          <w:rFonts w:ascii="Gill Sans MT" w:eastAsia="Times New Roman" w:hAnsi="Gill Sans MT" w:cs="Times New Roman"/>
          <w:color w:val="000000"/>
          <w:shd w:val="clear" w:color="auto" w:fill="FFFFFF"/>
          <w:lang w:eastAsia="en-GB"/>
        </w:rPr>
        <w:t xml:space="preserve"> constitution</w:t>
      </w:r>
      <w:r w:rsidR="00A0305E">
        <w:rPr>
          <w:rFonts w:ascii="Gill Sans MT" w:eastAsia="Times New Roman" w:hAnsi="Gill Sans MT" w:cs="Times New Roman"/>
          <w:color w:val="000000"/>
          <w:shd w:val="clear" w:color="auto" w:fill="FFFFFF"/>
          <w:lang w:eastAsia="en-GB"/>
        </w:rPr>
        <w:t xml:space="preserve"> </w:t>
      </w:r>
      <w:r>
        <w:rPr>
          <w:rFonts w:ascii="Gill Sans MT" w:eastAsia="Times New Roman" w:hAnsi="Gill Sans MT" w:cs="Times New Roman"/>
          <w:color w:val="000000"/>
          <w:shd w:val="clear" w:color="auto" w:fill="FFFFFF"/>
          <w:lang w:eastAsia="en-GB"/>
        </w:rPr>
        <w:t xml:space="preserve">means the nature and structure of the legal and political system can (at least in theory) be continuously contested and </w:t>
      </w:r>
      <w:r w:rsidR="005B1AAC">
        <w:rPr>
          <w:rFonts w:ascii="Gill Sans MT" w:eastAsia="Times New Roman" w:hAnsi="Gill Sans MT" w:cs="Times New Roman"/>
          <w:color w:val="000000"/>
          <w:shd w:val="clear" w:color="auto" w:fill="FFFFFF"/>
          <w:lang w:eastAsia="en-GB"/>
        </w:rPr>
        <w:t>remade</w:t>
      </w:r>
      <w:r w:rsidR="00A0305E">
        <w:rPr>
          <w:rFonts w:ascii="Gill Sans MT" w:eastAsia="Times New Roman" w:hAnsi="Gill Sans MT" w:cs="Times New Roman"/>
          <w:color w:val="000000"/>
          <w:shd w:val="clear" w:color="auto" w:fill="FFFFFF"/>
          <w:lang w:eastAsia="en-GB"/>
        </w:rPr>
        <w:t xml:space="preserve">, in contrast with a more fixed </w:t>
      </w:r>
      <w:r w:rsidR="00C430E4">
        <w:rPr>
          <w:rFonts w:ascii="Gill Sans MT" w:eastAsia="Times New Roman" w:hAnsi="Gill Sans MT" w:cs="Times New Roman"/>
          <w:color w:val="000000"/>
          <w:shd w:val="clear" w:color="auto" w:fill="FFFFFF"/>
          <w:lang w:eastAsia="en-GB"/>
        </w:rPr>
        <w:t xml:space="preserve">set of </w:t>
      </w:r>
      <w:r w:rsidR="00A0305E">
        <w:rPr>
          <w:rFonts w:ascii="Gill Sans MT" w:eastAsia="Times New Roman" w:hAnsi="Gill Sans MT" w:cs="Times New Roman"/>
          <w:color w:val="000000"/>
          <w:shd w:val="clear" w:color="auto" w:fill="FFFFFF"/>
          <w:lang w:eastAsia="en-GB"/>
        </w:rPr>
        <w:t xml:space="preserve">rules </w:t>
      </w:r>
      <w:r w:rsidR="00C430E4">
        <w:rPr>
          <w:rFonts w:ascii="Gill Sans MT" w:eastAsia="Times New Roman" w:hAnsi="Gill Sans MT" w:cs="Times New Roman"/>
          <w:color w:val="000000"/>
          <w:shd w:val="clear" w:color="auto" w:fill="FFFFFF"/>
          <w:lang w:eastAsia="en-GB"/>
        </w:rPr>
        <w:t>within</w:t>
      </w:r>
      <w:r w:rsidR="00A0305E">
        <w:rPr>
          <w:rFonts w:ascii="Gill Sans MT" w:eastAsia="Times New Roman" w:hAnsi="Gill Sans MT" w:cs="Times New Roman"/>
          <w:color w:val="000000"/>
          <w:shd w:val="clear" w:color="auto" w:fill="FFFFFF"/>
          <w:lang w:eastAsia="en-GB"/>
        </w:rPr>
        <w:t xml:space="preserve"> a legally entrenched, codified, ‘higher’ constitutional text.</w:t>
      </w:r>
      <w:r w:rsidR="00345153">
        <w:rPr>
          <w:rFonts w:ascii="Gill Sans MT" w:hAnsi="Gill Sans MT" w:cs="Segoe UI"/>
          <w:shd w:val="clear" w:color="auto" w:fill="FFFFFF"/>
        </w:rPr>
        <w:t xml:space="preserve">  </w:t>
      </w:r>
      <w:r w:rsidR="008C7D0A">
        <w:rPr>
          <w:rFonts w:ascii="Gill Sans MT" w:eastAsia="Times New Roman" w:hAnsi="Gill Sans MT" w:cs="Times New Roman"/>
          <w:color w:val="000000"/>
          <w:shd w:val="clear" w:color="auto" w:fill="FFFFFF"/>
          <w:lang w:eastAsia="en-GB"/>
        </w:rPr>
        <w:t xml:space="preserve">In that sense, the UK constitution might be seen to </w:t>
      </w:r>
      <w:r w:rsidR="0017616C">
        <w:rPr>
          <w:rFonts w:ascii="Gill Sans MT" w:eastAsia="Times New Roman" w:hAnsi="Gill Sans MT" w:cs="Times New Roman"/>
          <w:color w:val="000000"/>
          <w:shd w:val="clear" w:color="auto" w:fill="FFFFFF"/>
          <w:lang w:eastAsia="en-GB"/>
        </w:rPr>
        <w:t>facilitate</w:t>
      </w:r>
      <w:r w:rsidR="008C7D0A">
        <w:rPr>
          <w:rFonts w:ascii="Gill Sans MT" w:eastAsia="Times New Roman" w:hAnsi="Gill Sans MT" w:cs="Times New Roman"/>
          <w:color w:val="000000"/>
          <w:shd w:val="clear" w:color="auto" w:fill="FFFFFF"/>
          <w:lang w:eastAsia="en-GB"/>
        </w:rPr>
        <w:t xml:space="preserve"> ongoing conflict between competing perspectives</w:t>
      </w:r>
      <w:r w:rsidR="00345153">
        <w:rPr>
          <w:rFonts w:ascii="Gill Sans MT" w:eastAsia="Times New Roman" w:hAnsi="Gill Sans MT" w:cs="Times New Roman"/>
          <w:color w:val="000000"/>
          <w:shd w:val="clear" w:color="auto" w:fill="FFFFFF"/>
          <w:lang w:eastAsia="en-GB"/>
        </w:rPr>
        <w:t xml:space="preserve"> </w:t>
      </w:r>
      <w:r w:rsidR="0017616C">
        <w:rPr>
          <w:rFonts w:ascii="Gill Sans MT" w:eastAsia="Times New Roman" w:hAnsi="Gill Sans MT" w:cs="Times New Roman"/>
          <w:color w:val="000000"/>
          <w:shd w:val="clear" w:color="auto" w:fill="FFFFFF"/>
          <w:lang w:eastAsia="en-GB"/>
        </w:rPr>
        <w:t xml:space="preserve">– </w:t>
      </w:r>
      <w:r w:rsidR="008C7D0A">
        <w:rPr>
          <w:rFonts w:ascii="Gill Sans MT" w:eastAsia="Times New Roman" w:hAnsi="Gill Sans MT" w:cs="Times New Roman"/>
          <w:color w:val="000000"/>
          <w:shd w:val="clear" w:color="auto" w:fill="FFFFFF"/>
          <w:lang w:eastAsia="en-GB"/>
        </w:rPr>
        <w:t xml:space="preserve">or </w:t>
      </w:r>
      <w:r w:rsidR="0017616C">
        <w:rPr>
          <w:rFonts w:ascii="Gill Sans MT" w:eastAsia="Times New Roman" w:hAnsi="Gill Sans MT" w:cs="Times New Roman"/>
          <w:color w:val="000000"/>
          <w:shd w:val="clear" w:color="auto" w:fill="FFFFFF"/>
          <w:lang w:eastAsia="en-GB"/>
        </w:rPr>
        <w:t>at least</w:t>
      </w:r>
      <w:r w:rsidR="008C7D0A">
        <w:rPr>
          <w:rFonts w:ascii="Gill Sans MT" w:eastAsia="Times New Roman" w:hAnsi="Gill Sans MT" w:cs="Times New Roman"/>
          <w:color w:val="000000"/>
          <w:shd w:val="clear" w:color="auto" w:fill="FFFFFF"/>
          <w:lang w:eastAsia="en-GB"/>
        </w:rPr>
        <w:t xml:space="preserve">, we might say it is a constitution which </w:t>
      </w:r>
      <w:r w:rsidR="00A94994">
        <w:rPr>
          <w:rFonts w:ascii="Gill Sans MT" w:eastAsia="Times New Roman" w:hAnsi="Gill Sans MT" w:cs="Times New Roman"/>
          <w:color w:val="000000"/>
          <w:shd w:val="clear" w:color="auto" w:fill="FFFFFF"/>
          <w:lang w:eastAsia="en-GB"/>
        </w:rPr>
        <w:t>makes little effort to</w:t>
      </w:r>
      <w:r w:rsidR="008C7D0A">
        <w:rPr>
          <w:rFonts w:ascii="Gill Sans MT" w:eastAsia="Times New Roman" w:hAnsi="Gill Sans MT" w:cs="Times New Roman"/>
          <w:color w:val="000000"/>
          <w:shd w:val="clear" w:color="auto" w:fill="FFFFFF"/>
          <w:lang w:eastAsia="en-GB"/>
        </w:rPr>
        <w:t xml:space="preserve"> try to conceal the inevitab</w:t>
      </w:r>
      <w:r w:rsidR="00A94994">
        <w:rPr>
          <w:rFonts w:ascii="Gill Sans MT" w:eastAsia="Times New Roman" w:hAnsi="Gill Sans MT" w:cs="Times New Roman"/>
          <w:color w:val="000000"/>
          <w:shd w:val="clear" w:color="auto" w:fill="FFFFFF"/>
          <w:lang w:eastAsia="en-GB"/>
        </w:rPr>
        <w:t>le disagreements upon which political systems are based</w:t>
      </w:r>
      <w:r w:rsidR="008C7D0A">
        <w:rPr>
          <w:rFonts w:ascii="Gill Sans MT" w:eastAsia="Times New Roman" w:hAnsi="Gill Sans MT" w:cs="Times New Roman"/>
          <w:color w:val="000000"/>
          <w:shd w:val="clear" w:color="auto" w:fill="FFFFFF"/>
          <w:lang w:eastAsia="en-GB"/>
        </w:rPr>
        <w:t>.</w:t>
      </w:r>
      <w:r w:rsidR="00E067E2">
        <w:rPr>
          <w:rFonts w:ascii="Gill Sans MT" w:eastAsia="Times New Roman" w:hAnsi="Gill Sans MT" w:cs="Times New Roman"/>
          <w:color w:val="000000"/>
          <w:shd w:val="clear" w:color="auto" w:fill="FFFFFF"/>
          <w:lang w:eastAsia="en-GB"/>
        </w:rPr>
        <w:t xml:space="preserve">  </w:t>
      </w:r>
      <w:r w:rsidR="00C430E4">
        <w:rPr>
          <w:rFonts w:ascii="Gill Sans MT" w:eastAsia="Times New Roman" w:hAnsi="Gill Sans MT" w:cs="Times New Roman"/>
          <w:color w:val="000000"/>
          <w:shd w:val="clear" w:color="auto" w:fill="FFFFFF"/>
          <w:lang w:eastAsia="en-GB"/>
        </w:rPr>
        <w:t>Yet</w:t>
      </w:r>
      <w:r w:rsidR="00080256">
        <w:rPr>
          <w:rFonts w:ascii="Gill Sans MT" w:eastAsia="Times New Roman" w:hAnsi="Gill Sans MT" w:cs="Times New Roman"/>
          <w:color w:val="000000"/>
          <w:shd w:val="clear" w:color="auto" w:fill="FFFFFF"/>
          <w:lang w:eastAsia="en-GB"/>
        </w:rPr>
        <w:t xml:space="preserve"> even in a constitutional system which is</w:t>
      </w:r>
      <w:r w:rsidR="00E067E2">
        <w:rPr>
          <w:rFonts w:ascii="Gill Sans MT" w:eastAsia="Times New Roman" w:hAnsi="Gill Sans MT" w:cs="Times New Roman"/>
          <w:color w:val="000000"/>
          <w:shd w:val="clear" w:color="auto" w:fill="FFFFFF"/>
          <w:lang w:eastAsia="en-GB"/>
        </w:rPr>
        <w:t xml:space="preserve"> already</w:t>
      </w:r>
      <w:r w:rsidR="00080256">
        <w:rPr>
          <w:rFonts w:ascii="Gill Sans MT" w:eastAsia="Times New Roman" w:hAnsi="Gill Sans MT" w:cs="Times New Roman"/>
          <w:color w:val="000000"/>
          <w:shd w:val="clear" w:color="auto" w:fill="FFFFFF"/>
          <w:lang w:eastAsia="en-GB"/>
        </w:rPr>
        <w:t xml:space="preserve"> particularly open </w:t>
      </w:r>
      <w:r w:rsidR="00326749">
        <w:rPr>
          <w:rFonts w:ascii="Gill Sans MT" w:eastAsia="Times New Roman" w:hAnsi="Gill Sans MT" w:cs="Times New Roman"/>
          <w:color w:val="000000"/>
          <w:shd w:val="clear" w:color="auto" w:fill="FFFFFF"/>
          <w:lang w:eastAsia="en-GB"/>
        </w:rPr>
        <w:t xml:space="preserve">(and subject) </w:t>
      </w:r>
      <w:r w:rsidR="00080256">
        <w:rPr>
          <w:rFonts w:ascii="Gill Sans MT" w:eastAsia="Times New Roman" w:hAnsi="Gill Sans MT" w:cs="Times New Roman"/>
          <w:color w:val="000000"/>
          <w:shd w:val="clear" w:color="auto" w:fill="FFFFFF"/>
          <w:lang w:eastAsia="en-GB"/>
        </w:rPr>
        <w:t xml:space="preserve">to political disagreement, </w:t>
      </w:r>
      <w:r w:rsidR="00E067E2">
        <w:rPr>
          <w:rFonts w:ascii="Gill Sans MT" w:eastAsia="Times New Roman" w:hAnsi="Gill Sans MT" w:cs="Times New Roman"/>
          <w:color w:val="000000"/>
          <w:shd w:val="clear" w:color="auto" w:fill="FFFFFF"/>
          <w:lang w:eastAsia="en-GB"/>
        </w:rPr>
        <w:t xml:space="preserve">Brexit has pushed existing boundaries, and heralded a remarkable period in which division was pervasive.  </w:t>
      </w:r>
    </w:p>
    <w:p w14:paraId="0E3318AF" w14:textId="57704971" w:rsidR="00C911E1" w:rsidRPr="00914454" w:rsidRDefault="00E067E2" w:rsidP="00C430E4">
      <w:pPr>
        <w:spacing w:after="0" w:line="240" w:lineRule="auto"/>
        <w:ind w:firstLine="720"/>
        <w:jc w:val="both"/>
        <w:rPr>
          <w:rFonts w:ascii="Gill Sans MT" w:eastAsia="Times New Roman" w:hAnsi="Gill Sans MT" w:cs="Times New Roman"/>
          <w:color w:val="000000"/>
          <w:shd w:val="clear" w:color="auto" w:fill="FFFFFF"/>
          <w:lang w:eastAsia="en-GB"/>
        </w:rPr>
      </w:pPr>
      <w:r>
        <w:rPr>
          <w:rFonts w:ascii="Gill Sans MT" w:eastAsia="Times New Roman" w:hAnsi="Gill Sans MT" w:cs="Times New Roman"/>
          <w:color w:val="000000"/>
          <w:shd w:val="clear" w:color="auto" w:fill="FFFFFF"/>
          <w:lang w:eastAsia="en-GB"/>
        </w:rPr>
        <w:t>The aim of this c</w:t>
      </w:r>
      <w:r w:rsidR="00E06528">
        <w:rPr>
          <w:rFonts w:ascii="Gill Sans MT" w:eastAsia="Times New Roman" w:hAnsi="Gill Sans MT" w:cs="Times New Roman"/>
          <w:color w:val="000000"/>
          <w:shd w:val="clear" w:color="auto" w:fill="FFFFFF"/>
          <w:lang w:eastAsia="en-GB"/>
        </w:rPr>
        <w:t xml:space="preserve">hapter </w:t>
      </w:r>
      <w:r>
        <w:rPr>
          <w:rFonts w:ascii="Gill Sans MT" w:eastAsia="Times New Roman" w:hAnsi="Gill Sans MT" w:cs="Times New Roman"/>
          <w:color w:val="000000"/>
          <w:shd w:val="clear" w:color="auto" w:fill="FFFFFF"/>
          <w:lang w:eastAsia="en-GB"/>
        </w:rPr>
        <w:t>is</w:t>
      </w:r>
      <w:r w:rsidR="00E06528">
        <w:rPr>
          <w:rFonts w:ascii="Gill Sans MT" w:eastAsia="Times New Roman" w:hAnsi="Gill Sans MT" w:cs="Times New Roman"/>
          <w:color w:val="000000"/>
          <w:shd w:val="clear" w:color="auto" w:fill="FFFFFF"/>
          <w:lang w:eastAsia="en-GB"/>
        </w:rPr>
        <w:t xml:space="preserve"> to catalogue the constitutional disagreement over Brexit within the UK, </w:t>
      </w:r>
      <w:r>
        <w:rPr>
          <w:rFonts w:ascii="Gill Sans MT" w:eastAsia="Times New Roman" w:hAnsi="Gill Sans MT" w:cs="Times New Roman"/>
          <w:color w:val="000000"/>
          <w:shd w:val="clear" w:color="auto" w:fill="FFFFFF"/>
          <w:lang w:eastAsia="en-GB"/>
        </w:rPr>
        <w:t xml:space="preserve">and </w:t>
      </w:r>
      <w:r w:rsidR="00C430E4">
        <w:rPr>
          <w:rFonts w:ascii="Gill Sans MT" w:eastAsia="Times New Roman" w:hAnsi="Gill Sans MT" w:cs="Times New Roman"/>
          <w:color w:val="000000"/>
          <w:shd w:val="clear" w:color="auto" w:fill="FFFFFF"/>
          <w:lang w:eastAsia="en-GB"/>
        </w:rPr>
        <w:t xml:space="preserve">then </w:t>
      </w:r>
      <w:r>
        <w:rPr>
          <w:rFonts w:ascii="Gill Sans MT" w:eastAsia="Times New Roman" w:hAnsi="Gill Sans MT" w:cs="Times New Roman"/>
          <w:color w:val="000000"/>
          <w:shd w:val="clear" w:color="auto" w:fill="FFFFFF"/>
          <w:lang w:eastAsia="en-GB"/>
        </w:rPr>
        <w:t>to</w:t>
      </w:r>
      <w:r w:rsidR="00E06528">
        <w:rPr>
          <w:rFonts w:ascii="Gill Sans MT" w:eastAsia="Times New Roman" w:hAnsi="Gill Sans MT" w:cs="Times New Roman"/>
          <w:color w:val="000000"/>
          <w:shd w:val="clear" w:color="auto" w:fill="FFFFFF"/>
          <w:lang w:eastAsia="en-GB"/>
        </w:rPr>
        <w:t xml:space="preserve"> reflect on consequences and implications </w:t>
      </w:r>
      <w:r w:rsidR="005F1046">
        <w:rPr>
          <w:rFonts w:ascii="Gill Sans MT" w:eastAsia="Times New Roman" w:hAnsi="Gill Sans MT" w:cs="Times New Roman"/>
          <w:color w:val="000000"/>
          <w:shd w:val="clear" w:color="auto" w:fill="FFFFFF"/>
          <w:lang w:eastAsia="en-GB"/>
        </w:rPr>
        <w:t xml:space="preserve">both </w:t>
      </w:r>
      <w:r w:rsidR="00E06528">
        <w:rPr>
          <w:rFonts w:ascii="Gill Sans MT" w:eastAsia="Times New Roman" w:hAnsi="Gill Sans MT" w:cs="Times New Roman"/>
          <w:color w:val="000000"/>
          <w:shd w:val="clear" w:color="auto" w:fill="FFFFFF"/>
          <w:lang w:eastAsia="en-GB"/>
        </w:rPr>
        <w:t xml:space="preserve">for the future of </w:t>
      </w:r>
      <w:r>
        <w:rPr>
          <w:rFonts w:ascii="Gill Sans MT" w:eastAsia="Times New Roman" w:hAnsi="Gill Sans MT" w:cs="Times New Roman"/>
          <w:color w:val="000000"/>
          <w:shd w:val="clear" w:color="auto" w:fill="FFFFFF"/>
          <w:lang w:eastAsia="en-GB"/>
        </w:rPr>
        <w:t>UK parliamentary government</w:t>
      </w:r>
      <w:r w:rsidR="00C430E4">
        <w:rPr>
          <w:rFonts w:ascii="Gill Sans MT" w:eastAsia="Times New Roman" w:hAnsi="Gill Sans MT" w:cs="Times New Roman"/>
          <w:color w:val="000000"/>
          <w:shd w:val="clear" w:color="auto" w:fill="FFFFFF"/>
          <w:lang w:eastAsia="en-GB"/>
        </w:rPr>
        <w:t>, and</w:t>
      </w:r>
      <w:r>
        <w:rPr>
          <w:rFonts w:ascii="Gill Sans MT" w:eastAsia="Times New Roman" w:hAnsi="Gill Sans MT" w:cs="Times New Roman"/>
          <w:color w:val="000000"/>
          <w:shd w:val="clear" w:color="auto" w:fill="FFFFFF"/>
          <w:lang w:eastAsia="en-GB"/>
        </w:rPr>
        <w:t xml:space="preserve"> for the future of the UK itself.  </w:t>
      </w:r>
      <w:r w:rsidR="0030342C">
        <w:rPr>
          <w:rFonts w:ascii="Gill Sans MT" w:eastAsia="Times New Roman" w:hAnsi="Gill Sans MT" w:cs="Times New Roman"/>
          <w:color w:val="000000"/>
          <w:shd w:val="clear" w:color="auto" w:fill="FFFFFF"/>
          <w:lang w:eastAsia="en-GB"/>
        </w:rPr>
        <w:t>C</w:t>
      </w:r>
      <w:r>
        <w:rPr>
          <w:rFonts w:ascii="Gill Sans MT" w:eastAsia="Times New Roman" w:hAnsi="Gill Sans MT" w:cs="Times New Roman"/>
          <w:color w:val="000000"/>
          <w:shd w:val="clear" w:color="auto" w:fill="FFFFFF"/>
          <w:lang w:eastAsia="en-GB"/>
        </w:rPr>
        <w:t>rucial</w:t>
      </w:r>
      <w:r w:rsidR="0030342C">
        <w:rPr>
          <w:rFonts w:ascii="Gill Sans MT" w:eastAsia="Times New Roman" w:hAnsi="Gill Sans MT" w:cs="Times New Roman"/>
          <w:color w:val="000000"/>
          <w:shd w:val="clear" w:color="auto" w:fill="FFFFFF"/>
          <w:lang w:eastAsia="en-GB"/>
        </w:rPr>
        <w:t>ly, we can see there were tensions over Brexit on different constitutional levels</w:t>
      </w:r>
      <w:r w:rsidR="00914454">
        <w:rPr>
          <w:rFonts w:ascii="Gill Sans MT" w:eastAsia="Times New Roman" w:hAnsi="Gill Sans MT" w:cs="Times New Roman"/>
          <w:color w:val="000000"/>
          <w:shd w:val="clear" w:color="auto" w:fill="FFFFFF"/>
          <w:lang w:eastAsia="en-GB"/>
        </w:rPr>
        <w:t xml:space="preserve">.  First, Brexit caused divisions both </w:t>
      </w:r>
      <w:r w:rsidR="00D866BB">
        <w:rPr>
          <w:rFonts w:ascii="Gill Sans MT" w:eastAsia="Times New Roman" w:hAnsi="Gill Sans MT" w:cs="Times New Roman"/>
          <w:color w:val="000000"/>
          <w:lang w:eastAsia="en-GB"/>
        </w:rPr>
        <w:t>within and between</w:t>
      </w:r>
      <w:r w:rsidR="00C911E1" w:rsidRPr="00865C3E">
        <w:rPr>
          <w:rFonts w:ascii="Gill Sans MT" w:eastAsia="Times New Roman" w:hAnsi="Gill Sans MT" w:cs="Times New Roman"/>
          <w:color w:val="000000"/>
          <w:lang w:eastAsia="en-GB"/>
        </w:rPr>
        <w:t xml:space="preserve"> the UK's central constitutional actors </w:t>
      </w:r>
      <w:r w:rsidR="00914454">
        <w:rPr>
          <w:rFonts w:ascii="Gill Sans MT" w:eastAsia="Times New Roman" w:hAnsi="Gill Sans MT" w:cs="Times New Roman"/>
          <w:color w:val="000000"/>
          <w:lang w:eastAsia="en-GB"/>
        </w:rPr>
        <w:t xml:space="preserve">and institutions, including </w:t>
      </w:r>
      <w:r w:rsidR="00C911E1" w:rsidRPr="00865C3E">
        <w:rPr>
          <w:rFonts w:ascii="Gill Sans MT" w:eastAsia="Times New Roman" w:hAnsi="Gill Sans MT" w:cs="Times New Roman"/>
          <w:color w:val="000000"/>
          <w:lang w:eastAsia="en-GB"/>
        </w:rPr>
        <w:t>the UK government</w:t>
      </w:r>
      <w:r w:rsidR="00914454">
        <w:rPr>
          <w:rFonts w:ascii="Gill Sans MT" w:eastAsia="Times New Roman" w:hAnsi="Gill Sans MT" w:cs="Times New Roman"/>
          <w:color w:val="000000"/>
          <w:lang w:eastAsia="en-GB"/>
        </w:rPr>
        <w:t xml:space="preserve">, UK </w:t>
      </w:r>
      <w:r w:rsidR="00C911E1" w:rsidRPr="00865C3E">
        <w:rPr>
          <w:rFonts w:ascii="Gill Sans MT" w:eastAsia="Times New Roman" w:hAnsi="Gill Sans MT" w:cs="Times New Roman"/>
          <w:color w:val="000000"/>
          <w:lang w:eastAsia="en-GB"/>
        </w:rPr>
        <w:t xml:space="preserve">Parliament, </w:t>
      </w:r>
      <w:r w:rsidR="00914454">
        <w:rPr>
          <w:rFonts w:ascii="Gill Sans MT" w:eastAsia="Times New Roman" w:hAnsi="Gill Sans MT" w:cs="Times New Roman"/>
          <w:color w:val="000000"/>
          <w:lang w:eastAsia="en-GB"/>
        </w:rPr>
        <w:t xml:space="preserve">the </w:t>
      </w:r>
      <w:r w:rsidR="00C911E1" w:rsidRPr="00865C3E">
        <w:rPr>
          <w:rFonts w:ascii="Gill Sans MT" w:eastAsia="Times New Roman" w:hAnsi="Gill Sans MT" w:cs="Times New Roman"/>
          <w:color w:val="000000"/>
          <w:lang w:eastAsia="en-GB"/>
        </w:rPr>
        <w:t xml:space="preserve">courts and </w:t>
      </w:r>
      <w:r w:rsidR="005F1046">
        <w:rPr>
          <w:rFonts w:ascii="Gill Sans MT" w:eastAsia="Times New Roman" w:hAnsi="Gill Sans MT" w:cs="Times New Roman"/>
          <w:color w:val="000000"/>
          <w:lang w:eastAsia="en-GB"/>
        </w:rPr>
        <w:t>‘</w:t>
      </w:r>
      <w:r w:rsidR="00C911E1" w:rsidRPr="00865C3E">
        <w:rPr>
          <w:rFonts w:ascii="Gill Sans MT" w:eastAsia="Times New Roman" w:hAnsi="Gill Sans MT" w:cs="Times New Roman"/>
          <w:color w:val="000000"/>
          <w:lang w:eastAsia="en-GB"/>
        </w:rPr>
        <w:t>the people</w:t>
      </w:r>
      <w:r w:rsidR="005F1046">
        <w:rPr>
          <w:rFonts w:ascii="Gill Sans MT" w:eastAsia="Times New Roman" w:hAnsi="Gill Sans MT" w:cs="Times New Roman"/>
          <w:color w:val="000000"/>
          <w:lang w:eastAsia="en-GB"/>
        </w:rPr>
        <w:t>’</w:t>
      </w:r>
      <w:r w:rsidR="00C911E1" w:rsidRPr="00865C3E">
        <w:rPr>
          <w:rFonts w:ascii="Gill Sans MT" w:eastAsia="Times New Roman" w:hAnsi="Gill Sans MT" w:cs="Times New Roman"/>
          <w:color w:val="000000"/>
          <w:lang w:eastAsia="en-GB"/>
        </w:rPr>
        <w:t xml:space="preserve"> </w:t>
      </w:r>
      <w:r w:rsidR="00914454">
        <w:rPr>
          <w:rFonts w:ascii="Gill Sans MT" w:eastAsia="Times New Roman" w:hAnsi="Gill Sans MT" w:cs="Times New Roman"/>
          <w:color w:val="000000"/>
          <w:lang w:eastAsia="en-GB"/>
        </w:rPr>
        <w:t xml:space="preserve">(particularly as </w:t>
      </w:r>
      <w:r w:rsidR="005F1046">
        <w:rPr>
          <w:rFonts w:ascii="Gill Sans MT" w:eastAsia="Times New Roman" w:hAnsi="Gill Sans MT" w:cs="Times New Roman"/>
          <w:color w:val="000000"/>
          <w:lang w:eastAsia="en-GB"/>
        </w:rPr>
        <w:t>manifested in</w:t>
      </w:r>
      <w:r w:rsidR="00C911E1" w:rsidRPr="00865C3E">
        <w:rPr>
          <w:rFonts w:ascii="Gill Sans MT" w:eastAsia="Times New Roman" w:hAnsi="Gill Sans MT" w:cs="Times New Roman"/>
          <w:color w:val="000000"/>
          <w:lang w:eastAsia="en-GB"/>
        </w:rPr>
        <w:t xml:space="preserve"> the referendum</w:t>
      </w:r>
      <w:r w:rsidR="00914454">
        <w:rPr>
          <w:rFonts w:ascii="Gill Sans MT" w:eastAsia="Times New Roman" w:hAnsi="Gill Sans MT" w:cs="Times New Roman"/>
          <w:color w:val="000000"/>
          <w:lang w:eastAsia="en-GB"/>
        </w:rPr>
        <w:t xml:space="preserve"> result).  Second, Brexit produced divisions </w:t>
      </w:r>
      <w:r w:rsidR="00C911E1" w:rsidRPr="00865C3E">
        <w:rPr>
          <w:rFonts w:ascii="Gill Sans MT" w:eastAsia="Times New Roman" w:hAnsi="Gill Sans MT" w:cs="Times New Roman"/>
          <w:color w:val="000000"/>
          <w:lang w:eastAsia="en-GB"/>
        </w:rPr>
        <w:t>within</w:t>
      </w:r>
      <w:r w:rsidR="00D866BB">
        <w:rPr>
          <w:rFonts w:ascii="Gill Sans MT" w:eastAsia="Times New Roman" w:hAnsi="Gill Sans MT" w:cs="Times New Roman"/>
          <w:color w:val="000000"/>
          <w:lang w:eastAsia="en-GB"/>
        </w:rPr>
        <w:t xml:space="preserve"> and between</w:t>
      </w:r>
      <w:r w:rsidR="00C911E1" w:rsidRPr="00865C3E">
        <w:rPr>
          <w:rFonts w:ascii="Gill Sans MT" w:eastAsia="Times New Roman" w:hAnsi="Gill Sans MT" w:cs="Times New Roman"/>
          <w:color w:val="000000"/>
          <w:lang w:eastAsia="en-GB"/>
        </w:rPr>
        <w:t xml:space="preserve"> the </w:t>
      </w:r>
      <w:r w:rsidR="00D866BB">
        <w:rPr>
          <w:rFonts w:ascii="Gill Sans MT" w:eastAsia="Times New Roman" w:hAnsi="Gill Sans MT" w:cs="Times New Roman"/>
          <w:color w:val="000000"/>
          <w:lang w:eastAsia="en-GB"/>
        </w:rPr>
        <w:t xml:space="preserve">nations of the </w:t>
      </w:r>
      <w:r w:rsidR="00C911E1" w:rsidRPr="00865C3E">
        <w:rPr>
          <w:rFonts w:ascii="Gill Sans MT" w:eastAsia="Times New Roman" w:hAnsi="Gill Sans MT" w:cs="Times New Roman"/>
          <w:color w:val="000000"/>
          <w:lang w:eastAsia="en-GB"/>
        </w:rPr>
        <w:t>UK more generall</w:t>
      </w:r>
      <w:r w:rsidR="00D866BB">
        <w:rPr>
          <w:rFonts w:ascii="Gill Sans MT" w:eastAsia="Times New Roman" w:hAnsi="Gill Sans MT" w:cs="Times New Roman"/>
          <w:color w:val="000000"/>
          <w:lang w:eastAsia="en-GB"/>
        </w:rPr>
        <w:t>y, most obviously manifested in splits</w:t>
      </w:r>
      <w:r w:rsidR="00C911E1" w:rsidRPr="00865C3E">
        <w:rPr>
          <w:rFonts w:ascii="Gill Sans MT" w:eastAsia="Times New Roman" w:hAnsi="Gill Sans MT" w:cs="Times New Roman"/>
          <w:color w:val="000000"/>
          <w:lang w:eastAsia="en-GB"/>
        </w:rPr>
        <w:t xml:space="preserve"> between the UK</w:t>
      </w:r>
      <w:r w:rsidR="00D866BB">
        <w:rPr>
          <w:rFonts w:ascii="Gill Sans MT" w:eastAsia="Times New Roman" w:hAnsi="Gill Sans MT" w:cs="Times New Roman"/>
          <w:color w:val="000000"/>
          <w:lang w:eastAsia="en-GB"/>
        </w:rPr>
        <w:t>’s institutions, led by the UK government,</w:t>
      </w:r>
      <w:r w:rsidR="00C911E1" w:rsidRPr="00865C3E">
        <w:rPr>
          <w:rFonts w:ascii="Gill Sans MT" w:eastAsia="Times New Roman" w:hAnsi="Gill Sans MT" w:cs="Times New Roman"/>
          <w:color w:val="000000"/>
          <w:lang w:eastAsia="en-GB"/>
        </w:rPr>
        <w:t xml:space="preserve"> and the devolved governments and legislatures</w:t>
      </w:r>
      <w:r w:rsidR="00D866BB">
        <w:rPr>
          <w:rFonts w:ascii="Gill Sans MT" w:eastAsia="Times New Roman" w:hAnsi="Gill Sans MT" w:cs="Times New Roman"/>
          <w:color w:val="000000"/>
          <w:lang w:eastAsia="en-GB"/>
        </w:rPr>
        <w:t xml:space="preserve"> in Scotland, Wales and Northern Ireland</w:t>
      </w:r>
      <w:r w:rsidR="00C911E1" w:rsidRPr="00865C3E">
        <w:rPr>
          <w:rFonts w:ascii="Gill Sans MT" w:eastAsia="Times New Roman" w:hAnsi="Gill Sans MT" w:cs="Times New Roman"/>
          <w:color w:val="000000"/>
          <w:lang w:eastAsia="en-GB"/>
        </w:rPr>
        <w:t>.  </w:t>
      </w:r>
    </w:p>
    <w:p w14:paraId="2966B5F3" w14:textId="6CB7303A" w:rsidR="00D22E42" w:rsidRDefault="004431A4" w:rsidP="00463755">
      <w:pPr>
        <w:spacing w:after="0" w:line="240" w:lineRule="auto"/>
        <w:ind w:firstLine="720"/>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D</w:t>
      </w:r>
      <w:r w:rsidR="00E63F19">
        <w:rPr>
          <w:rFonts w:ascii="Gill Sans MT" w:eastAsia="Times New Roman" w:hAnsi="Gill Sans MT" w:cs="Times New Roman"/>
          <w:color w:val="000000"/>
          <w:lang w:eastAsia="en-GB"/>
        </w:rPr>
        <w:t>rawing this distinction between the UK level disagreements and the disputes between the UK’s central and devolved institutions</w:t>
      </w:r>
      <w:r>
        <w:rPr>
          <w:rFonts w:ascii="Gill Sans MT" w:eastAsia="Times New Roman" w:hAnsi="Gill Sans MT" w:cs="Times New Roman"/>
          <w:color w:val="000000"/>
          <w:lang w:eastAsia="en-GB"/>
        </w:rPr>
        <w:t xml:space="preserve"> is not intended to suggest a degree of separation between them, or a hierarchy of importance.  On the contrary, </w:t>
      </w:r>
      <w:r w:rsidR="00C430E4">
        <w:rPr>
          <w:rFonts w:ascii="Gill Sans MT" w:eastAsia="Times New Roman" w:hAnsi="Gill Sans MT" w:cs="Times New Roman"/>
          <w:color w:val="000000"/>
          <w:lang w:eastAsia="en-GB"/>
        </w:rPr>
        <w:t>many of these</w:t>
      </w:r>
      <w:r>
        <w:rPr>
          <w:rFonts w:ascii="Gill Sans MT" w:eastAsia="Times New Roman" w:hAnsi="Gill Sans MT" w:cs="Times New Roman"/>
          <w:color w:val="000000"/>
          <w:lang w:eastAsia="en-GB"/>
        </w:rPr>
        <w:t xml:space="preserve"> variou</w:t>
      </w:r>
      <w:r w:rsidR="00C430E4">
        <w:rPr>
          <w:rFonts w:ascii="Gill Sans MT" w:eastAsia="Times New Roman" w:hAnsi="Gill Sans MT" w:cs="Times New Roman"/>
          <w:color w:val="000000"/>
          <w:lang w:eastAsia="en-GB"/>
        </w:rPr>
        <w:t xml:space="preserve">s disputes </w:t>
      </w:r>
      <w:r>
        <w:rPr>
          <w:rFonts w:ascii="Gill Sans MT" w:eastAsia="Times New Roman" w:hAnsi="Gill Sans MT" w:cs="Times New Roman"/>
          <w:color w:val="000000"/>
          <w:lang w:eastAsia="en-GB"/>
        </w:rPr>
        <w:t xml:space="preserve">have inevitably overlapped and interacted, </w:t>
      </w:r>
      <w:r w:rsidR="00C430E4">
        <w:rPr>
          <w:rFonts w:ascii="Gill Sans MT" w:eastAsia="Times New Roman" w:hAnsi="Gill Sans MT" w:cs="Times New Roman"/>
          <w:color w:val="000000"/>
          <w:lang w:eastAsia="en-GB"/>
        </w:rPr>
        <w:t xml:space="preserve">involving many of the same underlying issues.  Moreover, they </w:t>
      </w:r>
      <w:r w:rsidR="00EE4EA7">
        <w:rPr>
          <w:rFonts w:ascii="Gill Sans MT" w:eastAsia="Times New Roman" w:hAnsi="Gill Sans MT" w:cs="Times New Roman"/>
          <w:color w:val="000000"/>
          <w:lang w:eastAsia="en-GB"/>
        </w:rPr>
        <w:t>have all been significant</w:t>
      </w:r>
      <w:r w:rsidR="00C430E4">
        <w:rPr>
          <w:rFonts w:ascii="Gill Sans MT" w:eastAsia="Times New Roman" w:hAnsi="Gill Sans MT" w:cs="Times New Roman"/>
          <w:color w:val="000000"/>
          <w:lang w:eastAsia="en-GB"/>
        </w:rPr>
        <w:t>, and to varying extents have shaped the Brexit process</w:t>
      </w:r>
      <w:r w:rsidR="00EE4EA7">
        <w:rPr>
          <w:rFonts w:ascii="Gill Sans MT" w:eastAsia="Times New Roman" w:hAnsi="Gill Sans MT" w:cs="Times New Roman"/>
          <w:color w:val="000000"/>
          <w:lang w:eastAsia="en-GB"/>
        </w:rPr>
        <w:t xml:space="preserve">.  </w:t>
      </w:r>
      <w:r>
        <w:rPr>
          <w:rFonts w:ascii="Gill Sans MT" w:eastAsia="Times New Roman" w:hAnsi="Gill Sans MT" w:cs="Times New Roman"/>
          <w:color w:val="000000"/>
          <w:lang w:eastAsia="en-GB"/>
        </w:rPr>
        <w:t xml:space="preserve">Instead, </w:t>
      </w:r>
      <w:r w:rsidR="00EC74CA">
        <w:rPr>
          <w:rFonts w:ascii="Gill Sans MT" w:eastAsia="Times New Roman" w:hAnsi="Gill Sans MT" w:cs="Times New Roman"/>
          <w:color w:val="000000"/>
          <w:lang w:eastAsia="en-GB"/>
        </w:rPr>
        <w:t xml:space="preserve">then, </w:t>
      </w:r>
      <w:r w:rsidR="00EE4EA7">
        <w:rPr>
          <w:rFonts w:ascii="Gill Sans MT" w:eastAsia="Times New Roman" w:hAnsi="Gill Sans MT" w:cs="Times New Roman"/>
          <w:color w:val="000000"/>
          <w:lang w:eastAsia="en-GB"/>
        </w:rPr>
        <w:t xml:space="preserve">this distinction </w:t>
      </w:r>
      <w:r w:rsidR="00C430E4">
        <w:rPr>
          <w:rFonts w:ascii="Gill Sans MT" w:eastAsia="Times New Roman" w:hAnsi="Gill Sans MT" w:cs="Times New Roman"/>
          <w:color w:val="000000"/>
          <w:lang w:eastAsia="en-GB"/>
        </w:rPr>
        <w:t>highlights</w:t>
      </w:r>
      <w:r>
        <w:rPr>
          <w:rFonts w:ascii="Gill Sans MT" w:eastAsia="Times New Roman" w:hAnsi="Gill Sans MT" w:cs="Times New Roman"/>
          <w:color w:val="000000"/>
          <w:lang w:eastAsia="en-GB"/>
        </w:rPr>
        <w:t xml:space="preserve"> the </w:t>
      </w:r>
      <w:r w:rsidR="00C430E4">
        <w:rPr>
          <w:rFonts w:ascii="Gill Sans MT" w:eastAsia="Times New Roman" w:hAnsi="Gill Sans MT" w:cs="Times New Roman"/>
          <w:color w:val="000000"/>
          <w:lang w:eastAsia="en-GB"/>
        </w:rPr>
        <w:t xml:space="preserve">fact </w:t>
      </w:r>
      <w:r>
        <w:rPr>
          <w:rFonts w:ascii="Gill Sans MT" w:eastAsia="Times New Roman" w:hAnsi="Gill Sans MT" w:cs="Times New Roman"/>
          <w:color w:val="000000"/>
          <w:lang w:eastAsia="en-GB"/>
        </w:rPr>
        <w:t xml:space="preserve">that it </w:t>
      </w:r>
      <w:r w:rsidR="00C430E4">
        <w:rPr>
          <w:rFonts w:ascii="Gill Sans MT" w:eastAsia="Times New Roman" w:hAnsi="Gill Sans MT" w:cs="Times New Roman"/>
          <w:color w:val="000000"/>
          <w:lang w:eastAsia="en-GB"/>
        </w:rPr>
        <w:t xml:space="preserve">has been </w:t>
      </w:r>
      <w:r>
        <w:rPr>
          <w:rFonts w:ascii="Gill Sans MT" w:eastAsia="Times New Roman" w:hAnsi="Gill Sans MT" w:cs="Times New Roman"/>
          <w:color w:val="000000"/>
          <w:lang w:eastAsia="en-GB"/>
        </w:rPr>
        <w:t xml:space="preserve">the </w:t>
      </w:r>
      <w:r w:rsidR="00AF417D">
        <w:rPr>
          <w:rFonts w:ascii="Gill Sans MT" w:eastAsia="Times New Roman" w:hAnsi="Gill Sans MT" w:cs="Times New Roman"/>
          <w:color w:val="000000"/>
          <w:lang w:eastAsia="en-GB"/>
        </w:rPr>
        <w:t xml:space="preserve">combination of these </w:t>
      </w:r>
      <w:r>
        <w:rPr>
          <w:rFonts w:ascii="Gill Sans MT" w:eastAsia="Times New Roman" w:hAnsi="Gill Sans MT" w:cs="Times New Roman"/>
          <w:color w:val="000000"/>
          <w:lang w:eastAsia="en-GB"/>
        </w:rPr>
        <w:t xml:space="preserve">varied </w:t>
      </w:r>
      <w:r w:rsidR="00AF417D">
        <w:rPr>
          <w:rFonts w:ascii="Gill Sans MT" w:eastAsia="Times New Roman" w:hAnsi="Gill Sans MT" w:cs="Times New Roman"/>
          <w:color w:val="000000"/>
          <w:lang w:eastAsia="en-GB"/>
        </w:rPr>
        <w:t>tensions</w:t>
      </w:r>
      <w:r w:rsidR="00C430E4">
        <w:rPr>
          <w:rFonts w:ascii="Gill Sans MT" w:eastAsia="Times New Roman" w:hAnsi="Gill Sans MT" w:cs="Times New Roman"/>
          <w:color w:val="000000"/>
          <w:lang w:eastAsia="en-GB"/>
        </w:rPr>
        <w:t xml:space="preserve"> – t</w:t>
      </w:r>
      <w:r w:rsidR="00AF417D">
        <w:rPr>
          <w:rFonts w:ascii="Gill Sans MT" w:eastAsia="Times New Roman" w:hAnsi="Gill Sans MT" w:cs="Times New Roman"/>
          <w:color w:val="000000"/>
          <w:lang w:eastAsia="en-GB"/>
        </w:rPr>
        <w:t>he simultaneous political disagreements on different planes</w:t>
      </w:r>
      <w:r w:rsidR="00C430E4">
        <w:rPr>
          <w:rFonts w:ascii="Gill Sans MT" w:eastAsia="Times New Roman" w:hAnsi="Gill Sans MT" w:cs="Times New Roman"/>
          <w:color w:val="000000"/>
          <w:lang w:eastAsia="en-GB"/>
        </w:rPr>
        <w:t xml:space="preserve"> – </w:t>
      </w:r>
      <w:r w:rsidR="00AF417D">
        <w:rPr>
          <w:rFonts w:ascii="Gill Sans MT" w:eastAsia="Times New Roman" w:hAnsi="Gill Sans MT" w:cs="Times New Roman"/>
          <w:color w:val="000000"/>
          <w:lang w:eastAsia="en-GB"/>
        </w:rPr>
        <w:t xml:space="preserve">which </w:t>
      </w:r>
      <w:r w:rsidR="00463755">
        <w:rPr>
          <w:rFonts w:ascii="Gill Sans MT" w:eastAsia="Times New Roman" w:hAnsi="Gill Sans MT" w:cs="Times New Roman"/>
          <w:color w:val="000000"/>
          <w:lang w:eastAsia="en-GB"/>
        </w:rPr>
        <w:t xml:space="preserve">has </w:t>
      </w:r>
      <w:r w:rsidR="00AF417D">
        <w:rPr>
          <w:rFonts w:ascii="Gill Sans MT" w:eastAsia="Times New Roman" w:hAnsi="Gill Sans MT" w:cs="Times New Roman"/>
          <w:color w:val="000000"/>
          <w:lang w:eastAsia="en-GB"/>
        </w:rPr>
        <w:t xml:space="preserve">compounded the challenges </w:t>
      </w:r>
      <w:r w:rsidR="00B33ADA">
        <w:rPr>
          <w:rFonts w:ascii="Gill Sans MT" w:eastAsia="Times New Roman" w:hAnsi="Gill Sans MT" w:cs="Times New Roman"/>
          <w:color w:val="000000"/>
          <w:lang w:eastAsia="en-GB"/>
        </w:rPr>
        <w:t>posed</w:t>
      </w:r>
      <w:r w:rsidR="00AF417D">
        <w:rPr>
          <w:rFonts w:ascii="Gill Sans MT" w:eastAsia="Times New Roman" w:hAnsi="Gill Sans MT" w:cs="Times New Roman"/>
          <w:color w:val="000000"/>
          <w:lang w:eastAsia="en-GB"/>
        </w:rPr>
        <w:t xml:space="preserve"> by Brexit</w:t>
      </w:r>
      <w:r>
        <w:rPr>
          <w:rFonts w:ascii="Gill Sans MT" w:eastAsia="Times New Roman" w:hAnsi="Gill Sans MT" w:cs="Times New Roman"/>
          <w:color w:val="000000"/>
          <w:lang w:eastAsia="en-GB"/>
        </w:rPr>
        <w:t>.</w:t>
      </w:r>
    </w:p>
    <w:p w14:paraId="04A9CDC2" w14:textId="7DC5A1D6" w:rsidR="00C911E1" w:rsidRDefault="00B33ADA" w:rsidP="00982250">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b/>
        <w:t xml:space="preserve">As a result, the UK constitution </w:t>
      </w:r>
      <w:r w:rsidR="002D33E8">
        <w:rPr>
          <w:rFonts w:ascii="Gill Sans MT" w:eastAsia="Times New Roman" w:hAnsi="Gill Sans MT" w:cs="Times New Roman"/>
          <w:color w:val="000000"/>
          <w:lang w:eastAsia="en-GB"/>
        </w:rPr>
        <w:t xml:space="preserve">also </w:t>
      </w:r>
      <w:r>
        <w:rPr>
          <w:rFonts w:ascii="Gill Sans MT" w:eastAsia="Times New Roman" w:hAnsi="Gill Sans MT" w:cs="Times New Roman"/>
          <w:color w:val="000000"/>
          <w:lang w:eastAsia="en-GB"/>
        </w:rPr>
        <w:t xml:space="preserve">faces a number of problems </w:t>
      </w:r>
      <w:r w:rsidR="00ED68A8">
        <w:rPr>
          <w:rFonts w:ascii="Gill Sans MT" w:eastAsia="Times New Roman" w:hAnsi="Gill Sans MT" w:cs="Times New Roman"/>
          <w:color w:val="000000"/>
          <w:lang w:eastAsia="en-GB"/>
        </w:rPr>
        <w:t>in the wake of</w:t>
      </w:r>
      <w:r>
        <w:rPr>
          <w:rFonts w:ascii="Gill Sans MT" w:eastAsia="Times New Roman" w:hAnsi="Gill Sans MT" w:cs="Times New Roman"/>
          <w:color w:val="000000"/>
          <w:lang w:eastAsia="en-GB"/>
        </w:rPr>
        <w:t xml:space="preserve"> Brexit.  </w:t>
      </w:r>
      <w:r w:rsidR="002D33E8">
        <w:rPr>
          <w:rFonts w:ascii="Gill Sans MT" w:eastAsia="Times New Roman" w:hAnsi="Gill Sans MT" w:cs="Times New Roman"/>
          <w:color w:val="000000"/>
          <w:lang w:eastAsia="en-GB"/>
        </w:rPr>
        <w:t xml:space="preserve">First, there </w:t>
      </w:r>
      <w:r w:rsidR="00ED68A8">
        <w:rPr>
          <w:rFonts w:ascii="Gill Sans MT" w:eastAsia="Times New Roman" w:hAnsi="Gill Sans MT" w:cs="Times New Roman"/>
          <w:color w:val="000000"/>
          <w:lang w:eastAsia="en-GB"/>
        </w:rPr>
        <w:t xml:space="preserve">are the reverberations within the UK’s model of parliamentary government to address.  And second, the </w:t>
      </w:r>
      <w:r w:rsidR="00C911E1">
        <w:rPr>
          <w:rFonts w:ascii="Gill Sans MT" w:eastAsia="Times New Roman" w:hAnsi="Gill Sans MT" w:cs="Times New Roman"/>
          <w:color w:val="000000"/>
          <w:lang w:eastAsia="en-GB"/>
        </w:rPr>
        <w:t xml:space="preserve">consequences </w:t>
      </w:r>
      <w:r w:rsidR="009B05B8">
        <w:rPr>
          <w:rFonts w:ascii="Gill Sans MT" w:eastAsia="Times New Roman" w:hAnsi="Gill Sans MT" w:cs="Times New Roman"/>
          <w:color w:val="000000"/>
          <w:lang w:eastAsia="en-GB"/>
        </w:rPr>
        <w:t>of</w:t>
      </w:r>
      <w:r w:rsidR="00C911E1">
        <w:rPr>
          <w:rFonts w:ascii="Gill Sans MT" w:eastAsia="Times New Roman" w:hAnsi="Gill Sans MT" w:cs="Times New Roman"/>
          <w:color w:val="000000"/>
          <w:lang w:eastAsia="en-GB"/>
        </w:rPr>
        <w:t xml:space="preserve"> </w:t>
      </w:r>
      <w:r w:rsidR="00ED68A8">
        <w:rPr>
          <w:rFonts w:ascii="Gill Sans MT" w:eastAsia="Times New Roman" w:hAnsi="Gill Sans MT" w:cs="Times New Roman"/>
          <w:color w:val="000000"/>
          <w:lang w:eastAsia="en-GB"/>
        </w:rPr>
        <w:t>the UK’s internal divisions i</w:t>
      </w:r>
      <w:r w:rsidR="00C911E1">
        <w:rPr>
          <w:rFonts w:ascii="Gill Sans MT" w:eastAsia="Times New Roman" w:hAnsi="Gill Sans MT" w:cs="Times New Roman"/>
          <w:color w:val="000000"/>
          <w:lang w:eastAsia="en-GB"/>
        </w:rPr>
        <w:t xml:space="preserve">nclude the </w:t>
      </w:r>
      <w:r w:rsidR="009B05B8">
        <w:rPr>
          <w:rFonts w:ascii="Gill Sans MT" w:eastAsia="Times New Roman" w:hAnsi="Gill Sans MT" w:cs="Times New Roman"/>
          <w:color w:val="000000"/>
          <w:lang w:eastAsia="en-GB"/>
        </w:rPr>
        <w:t xml:space="preserve">possibility </w:t>
      </w:r>
      <w:r w:rsidR="00ED68A8">
        <w:rPr>
          <w:rFonts w:ascii="Gill Sans MT" w:eastAsia="Times New Roman" w:hAnsi="Gill Sans MT" w:cs="Times New Roman"/>
          <w:color w:val="000000"/>
          <w:lang w:eastAsia="en-GB"/>
        </w:rPr>
        <w:t>that</w:t>
      </w:r>
      <w:r w:rsidR="00C911E1">
        <w:rPr>
          <w:rFonts w:ascii="Gill Sans MT" w:eastAsia="Times New Roman" w:hAnsi="Gill Sans MT" w:cs="Times New Roman"/>
          <w:color w:val="000000"/>
          <w:lang w:eastAsia="en-GB"/>
        </w:rPr>
        <w:t xml:space="preserve"> the state in its current legal form</w:t>
      </w:r>
      <w:r w:rsidR="00ED68A8">
        <w:rPr>
          <w:rFonts w:ascii="Gill Sans MT" w:eastAsia="Times New Roman" w:hAnsi="Gill Sans MT" w:cs="Times New Roman"/>
          <w:color w:val="000000"/>
          <w:lang w:eastAsia="en-GB"/>
        </w:rPr>
        <w:t xml:space="preserve"> could fragment</w:t>
      </w:r>
      <w:r w:rsidR="00C55571">
        <w:rPr>
          <w:rFonts w:ascii="Gill Sans MT" w:eastAsia="Times New Roman" w:hAnsi="Gill Sans MT" w:cs="Times New Roman"/>
          <w:color w:val="000000"/>
          <w:lang w:eastAsia="en-GB"/>
        </w:rPr>
        <w:t xml:space="preserve"> or even disintegrate</w:t>
      </w:r>
      <w:r w:rsidR="00310E54">
        <w:rPr>
          <w:rFonts w:ascii="Gill Sans MT" w:eastAsia="Times New Roman" w:hAnsi="Gill Sans MT" w:cs="Times New Roman"/>
          <w:color w:val="000000"/>
          <w:lang w:eastAsia="en-GB"/>
        </w:rPr>
        <w:t>, as the commitment of its various constituent nations to the idea of the union has been thoroughly tested.</w:t>
      </w:r>
      <w:r w:rsidR="00982250">
        <w:rPr>
          <w:rFonts w:ascii="Gill Sans MT" w:eastAsia="Times New Roman" w:hAnsi="Gill Sans MT" w:cs="Times New Roman"/>
          <w:color w:val="000000"/>
          <w:lang w:eastAsia="en-GB"/>
        </w:rPr>
        <w:t xml:space="preserve">  As th</w:t>
      </w:r>
      <w:r w:rsidR="00D16CE1">
        <w:rPr>
          <w:rFonts w:ascii="Gill Sans MT" w:eastAsia="Times New Roman" w:hAnsi="Gill Sans MT" w:cs="Times New Roman"/>
          <w:color w:val="000000"/>
          <w:lang w:eastAsia="en-GB"/>
        </w:rPr>
        <w:t>is</w:t>
      </w:r>
      <w:r w:rsidR="00982250">
        <w:rPr>
          <w:rFonts w:ascii="Gill Sans MT" w:eastAsia="Times New Roman" w:hAnsi="Gill Sans MT" w:cs="Times New Roman"/>
          <w:color w:val="000000"/>
          <w:lang w:eastAsia="en-GB"/>
        </w:rPr>
        <w:t xml:space="preserve"> chapter will argue, these are challenges of political will as much as constitutional design.  While there are a range of options and potential outcomes, there is unlikely to be a simple constitutional fix in circumstances of </w:t>
      </w:r>
      <w:r w:rsidR="00D16CE1">
        <w:rPr>
          <w:rFonts w:ascii="Gill Sans MT" w:eastAsia="Times New Roman" w:hAnsi="Gill Sans MT" w:cs="Times New Roman"/>
          <w:color w:val="000000"/>
          <w:lang w:eastAsia="en-GB"/>
        </w:rPr>
        <w:t xml:space="preserve">deep-lying </w:t>
      </w:r>
      <w:r w:rsidR="00982250">
        <w:rPr>
          <w:rFonts w:ascii="Gill Sans MT" w:eastAsia="Times New Roman" w:hAnsi="Gill Sans MT" w:cs="Times New Roman"/>
          <w:color w:val="000000"/>
          <w:lang w:eastAsia="en-GB"/>
        </w:rPr>
        <w:t xml:space="preserve">political division, because </w:t>
      </w:r>
      <w:r w:rsidR="00A54337">
        <w:rPr>
          <w:rFonts w:ascii="Gill Sans MT" w:eastAsia="Times New Roman" w:hAnsi="Gill Sans MT" w:cs="Times New Roman"/>
          <w:color w:val="000000"/>
          <w:lang w:eastAsia="en-GB"/>
        </w:rPr>
        <w:t>the existence of fundamental disagreement</w:t>
      </w:r>
      <w:r w:rsidR="00982250">
        <w:rPr>
          <w:rFonts w:ascii="Gill Sans MT" w:eastAsia="Times New Roman" w:hAnsi="Gill Sans MT" w:cs="Times New Roman"/>
          <w:color w:val="000000"/>
          <w:lang w:eastAsia="en-GB"/>
        </w:rPr>
        <w:t xml:space="preserve"> is both a core part of the problem </w:t>
      </w:r>
      <w:r w:rsidR="00A54337">
        <w:rPr>
          <w:rFonts w:ascii="Gill Sans MT" w:eastAsia="Times New Roman" w:hAnsi="Gill Sans MT" w:cs="Times New Roman"/>
          <w:color w:val="000000"/>
          <w:lang w:eastAsia="en-GB"/>
        </w:rPr>
        <w:t>and also</w:t>
      </w:r>
      <w:r w:rsidR="00982250">
        <w:rPr>
          <w:rFonts w:ascii="Gill Sans MT" w:eastAsia="Times New Roman" w:hAnsi="Gill Sans MT" w:cs="Times New Roman"/>
          <w:color w:val="000000"/>
          <w:lang w:eastAsia="en-GB"/>
        </w:rPr>
        <w:t xml:space="preserve"> an obstacle to achieving any form of resolution.</w:t>
      </w:r>
      <w:r w:rsidR="00D16CE1">
        <w:rPr>
          <w:rFonts w:ascii="Gill Sans MT" w:eastAsia="Times New Roman" w:hAnsi="Gill Sans MT" w:cs="Times New Roman"/>
          <w:color w:val="000000"/>
          <w:lang w:eastAsia="en-GB"/>
        </w:rPr>
        <w:t xml:space="preserve">  In that sense, </w:t>
      </w:r>
      <w:r w:rsidR="00E54470">
        <w:rPr>
          <w:rFonts w:ascii="Gill Sans MT" w:eastAsia="Times New Roman" w:hAnsi="Gill Sans MT" w:cs="Times New Roman"/>
          <w:color w:val="000000"/>
          <w:lang w:eastAsia="en-GB"/>
        </w:rPr>
        <w:t xml:space="preserve">whether there is a big bang </w:t>
      </w:r>
      <w:r w:rsidR="00E54470">
        <w:rPr>
          <w:rFonts w:ascii="Gill Sans MT" w:eastAsia="Times New Roman" w:hAnsi="Gill Sans MT" w:cs="Times New Roman"/>
          <w:color w:val="000000"/>
          <w:lang w:eastAsia="en-GB"/>
        </w:rPr>
        <w:lastRenderedPageBreak/>
        <w:t>moment of break-up</w:t>
      </w:r>
      <w:r w:rsidR="00A54337">
        <w:rPr>
          <w:rFonts w:ascii="Gill Sans MT" w:eastAsia="Times New Roman" w:hAnsi="Gill Sans MT" w:cs="Times New Roman"/>
          <w:color w:val="000000"/>
          <w:lang w:eastAsia="en-GB"/>
        </w:rPr>
        <w:t xml:space="preserve"> or reform</w:t>
      </w:r>
      <w:r w:rsidR="00E54470">
        <w:rPr>
          <w:rFonts w:ascii="Gill Sans MT" w:eastAsia="Times New Roman" w:hAnsi="Gill Sans MT" w:cs="Times New Roman"/>
          <w:color w:val="000000"/>
          <w:lang w:eastAsia="en-GB"/>
        </w:rPr>
        <w:t xml:space="preserve">, or </w:t>
      </w:r>
      <w:r w:rsidR="00EC74CA">
        <w:rPr>
          <w:rFonts w:ascii="Gill Sans MT" w:eastAsia="Times New Roman" w:hAnsi="Gill Sans MT" w:cs="Times New Roman"/>
          <w:color w:val="000000"/>
          <w:lang w:eastAsia="en-GB"/>
        </w:rPr>
        <w:t xml:space="preserve">the status quo persists in the face of general dissatisfaction, </w:t>
      </w:r>
      <w:r w:rsidR="00D16CE1">
        <w:rPr>
          <w:rFonts w:ascii="Gill Sans MT" w:eastAsia="Times New Roman" w:hAnsi="Gill Sans MT" w:cs="Times New Roman"/>
          <w:color w:val="000000"/>
          <w:lang w:eastAsia="en-GB"/>
        </w:rPr>
        <w:t xml:space="preserve">the legacy of Brexit for the UK’s legal and political system is likely to be felt for </w:t>
      </w:r>
      <w:r w:rsidR="00D112DD">
        <w:rPr>
          <w:rFonts w:ascii="Gill Sans MT" w:eastAsia="Times New Roman" w:hAnsi="Gill Sans MT" w:cs="Times New Roman"/>
          <w:color w:val="000000"/>
          <w:lang w:eastAsia="en-GB"/>
        </w:rPr>
        <w:t>a considerable</w:t>
      </w:r>
      <w:r w:rsidR="00D16CE1">
        <w:rPr>
          <w:rFonts w:ascii="Gill Sans MT" w:eastAsia="Times New Roman" w:hAnsi="Gill Sans MT" w:cs="Times New Roman"/>
          <w:color w:val="000000"/>
          <w:lang w:eastAsia="en-GB"/>
        </w:rPr>
        <w:t xml:space="preserve"> time</w:t>
      </w:r>
      <w:r w:rsidR="00E54470">
        <w:rPr>
          <w:rFonts w:ascii="Gill Sans MT" w:eastAsia="Times New Roman" w:hAnsi="Gill Sans MT" w:cs="Times New Roman"/>
          <w:color w:val="000000"/>
          <w:lang w:eastAsia="en-GB"/>
        </w:rPr>
        <w:t>.</w:t>
      </w:r>
    </w:p>
    <w:p w14:paraId="53A355C1" w14:textId="2EA8140E" w:rsidR="00D112DD" w:rsidRDefault="00D112DD" w:rsidP="00982250">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b/>
        <w:t>In section one</w:t>
      </w:r>
      <w:r w:rsidR="007C7F63">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 xml:space="preserve"> th</w:t>
      </w:r>
      <w:r w:rsidR="007C7F63">
        <w:rPr>
          <w:rFonts w:ascii="Gill Sans MT" w:eastAsia="Times New Roman" w:hAnsi="Gill Sans MT" w:cs="Times New Roman"/>
          <w:color w:val="000000"/>
          <w:lang w:eastAsia="en-GB"/>
        </w:rPr>
        <w:t>is</w:t>
      </w:r>
      <w:r>
        <w:rPr>
          <w:rFonts w:ascii="Gill Sans MT" w:eastAsia="Times New Roman" w:hAnsi="Gill Sans MT" w:cs="Times New Roman"/>
          <w:color w:val="000000"/>
          <w:lang w:eastAsia="en-GB"/>
        </w:rPr>
        <w:t xml:space="preserve"> chapter examines the </w:t>
      </w:r>
      <w:r w:rsidR="007C7F63">
        <w:rPr>
          <w:rFonts w:ascii="Gill Sans MT" w:eastAsia="Times New Roman" w:hAnsi="Gill Sans MT" w:cs="Times New Roman"/>
          <w:color w:val="000000"/>
          <w:lang w:eastAsia="en-GB"/>
        </w:rPr>
        <w:t>constitutional divisions within and between the UK’s central institutions and actors.  In section two, the chapter analyses the disagreements between the devolved institutions</w:t>
      </w:r>
      <w:r w:rsidR="00A54337">
        <w:rPr>
          <w:rFonts w:ascii="Gill Sans MT" w:eastAsia="Times New Roman" w:hAnsi="Gill Sans MT" w:cs="Times New Roman"/>
          <w:color w:val="000000"/>
          <w:lang w:eastAsia="en-GB"/>
        </w:rPr>
        <w:t xml:space="preserve"> </w:t>
      </w:r>
      <w:r w:rsidR="007C7F63">
        <w:rPr>
          <w:rFonts w:ascii="Gill Sans MT" w:eastAsia="Times New Roman" w:hAnsi="Gill Sans MT" w:cs="Times New Roman"/>
          <w:color w:val="000000"/>
          <w:lang w:eastAsia="en-GB"/>
        </w:rPr>
        <w:t xml:space="preserve">and those at the UK level.  In section three, these two strands combine to evaluate the future consequences for the UK constitution after Brexit.  Ultimately, the chapter argues that there is significant uncertainty and a broad range of possibilities for the UK’s constitutional future.  While a reconciliation of the divisions over Brexit seems intensely unlikely, there are also a number of barriers to the break-up of the UK.  Yet even </w:t>
      </w:r>
      <w:r w:rsidR="00320249">
        <w:rPr>
          <w:rFonts w:ascii="Gill Sans MT" w:eastAsia="Times New Roman" w:hAnsi="Gill Sans MT" w:cs="Times New Roman"/>
          <w:color w:val="000000"/>
          <w:lang w:eastAsia="en-GB"/>
        </w:rPr>
        <w:t>in the absence of</w:t>
      </w:r>
      <w:r w:rsidR="007C7F63">
        <w:rPr>
          <w:rFonts w:ascii="Gill Sans MT" w:eastAsia="Times New Roman" w:hAnsi="Gill Sans MT" w:cs="Times New Roman"/>
          <w:color w:val="000000"/>
          <w:lang w:eastAsia="en-GB"/>
        </w:rPr>
        <w:t xml:space="preserve"> these more radical outcomes</w:t>
      </w:r>
      <w:r w:rsidR="00320249">
        <w:rPr>
          <w:rFonts w:ascii="Gill Sans MT" w:eastAsia="Times New Roman" w:hAnsi="Gill Sans MT" w:cs="Times New Roman"/>
          <w:color w:val="000000"/>
          <w:lang w:eastAsia="en-GB"/>
        </w:rPr>
        <w:t xml:space="preserve"> being realised, it is still far from clear that the current constitutional order </w:t>
      </w:r>
      <w:r w:rsidR="00A46B1B">
        <w:rPr>
          <w:rFonts w:ascii="Gill Sans MT" w:eastAsia="Times New Roman" w:hAnsi="Gill Sans MT" w:cs="Times New Roman"/>
          <w:color w:val="000000"/>
          <w:lang w:eastAsia="en-GB"/>
        </w:rPr>
        <w:t>is becoming any more</w:t>
      </w:r>
      <w:r w:rsidR="00320249">
        <w:rPr>
          <w:rFonts w:ascii="Gill Sans MT" w:eastAsia="Times New Roman" w:hAnsi="Gill Sans MT" w:cs="Times New Roman"/>
          <w:color w:val="000000"/>
          <w:lang w:eastAsia="en-GB"/>
        </w:rPr>
        <w:t xml:space="preserve"> capable of accommodating or even managing disagreements about or within a ‘dis-United Kingdom’.</w:t>
      </w:r>
      <w:r w:rsidR="00A54337">
        <w:rPr>
          <w:rFonts w:ascii="Gill Sans MT" w:eastAsia="Times New Roman" w:hAnsi="Gill Sans MT" w:cs="Times New Roman"/>
          <w:color w:val="000000"/>
          <w:lang w:eastAsia="en-GB"/>
        </w:rPr>
        <w:t xml:space="preserve">  The UK constitution (and the UK) may, for the time being, have just survived the Brexit process, but it certainly provides a lesson (if one were needed) of the </w:t>
      </w:r>
      <w:r w:rsidR="009D418F">
        <w:rPr>
          <w:rFonts w:ascii="Gill Sans MT" w:eastAsia="Times New Roman" w:hAnsi="Gill Sans MT" w:cs="Times New Roman"/>
          <w:color w:val="000000"/>
          <w:lang w:eastAsia="en-GB"/>
        </w:rPr>
        <w:t>limited capacity</w:t>
      </w:r>
      <w:r w:rsidR="00A54337">
        <w:rPr>
          <w:rFonts w:ascii="Gill Sans MT" w:eastAsia="Times New Roman" w:hAnsi="Gill Sans MT" w:cs="Times New Roman"/>
          <w:color w:val="000000"/>
          <w:lang w:eastAsia="en-GB"/>
        </w:rPr>
        <w:t xml:space="preserve"> </w:t>
      </w:r>
      <w:r w:rsidR="009D418F">
        <w:rPr>
          <w:rFonts w:ascii="Gill Sans MT" w:eastAsia="Times New Roman" w:hAnsi="Gill Sans MT" w:cs="Times New Roman"/>
          <w:color w:val="000000"/>
          <w:lang w:eastAsia="en-GB"/>
        </w:rPr>
        <w:t>that</w:t>
      </w:r>
      <w:r w:rsidR="00A54337">
        <w:rPr>
          <w:rFonts w:ascii="Gill Sans MT" w:eastAsia="Times New Roman" w:hAnsi="Gill Sans MT" w:cs="Times New Roman"/>
          <w:color w:val="000000"/>
          <w:lang w:eastAsia="en-GB"/>
        </w:rPr>
        <w:t xml:space="preserve"> constitutionalism </w:t>
      </w:r>
      <w:r w:rsidR="009D418F">
        <w:rPr>
          <w:rFonts w:ascii="Gill Sans MT" w:eastAsia="Times New Roman" w:hAnsi="Gill Sans MT" w:cs="Times New Roman"/>
          <w:color w:val="000000"/>
          <w:lang w:eastAsia="en-GB"/>
        </w:rPr>
        <w:t>has for</w:t>
      </w:r>
      <w:r w:rsidR="00A54337">
        <w:rPr>
          <w:rFonts w:ascii="Gill Sans MT" w:eastAsia="Times New Roman" w:hAnsi="Gill Sans MT" w:cs="Times New Roman"/>
          <w:color w:val="000000"/>
          <w:lang w:eastAsia="en-GB"/>
        </w:rPr>
        <w:t xml:space="preserve"> control</w:t>
      </w:r>
      <w:r w:rsidR="009D418F">
        <w:rPr>
          <w:rFonts w:ascii="Gill Sans MT" w:eastAsia="Times New Roman" w:hAnsi="Gill Sans MT" w:cs="Times New Roman"/>
          <w:color w:val="000000"/>
          <w:lang w:eastAsia="en-GB"/>
        </w:rPr>
        <w:t>ling</w:t>
      </w:r>
      <w:r w:rsidR="00A54337">
        <w:rPr>
          <w:rFonts w:ascii="Gill Sans MT" w:eastAsia="Times New Roman" w:hAnsi="Gill Sans MT" w:cs="Times New Roman"/>
          <w:color w:val="000000"/>
          <w:lang w:eastAsia="en-GB"/>
        </w:rPr>
        <w:t xml:space="preserve"> </w:t>
      </w:r>
      <w:r w:rsidR="009D418F">
        <w:rPr>
          <w:rFonts w:ascii="Gill Sans MT" w:eastAsia="Times New Roman" w:hAnsi="Gill Sans MT" w:cs="Times New Roman"/>
          <w:color w:val="000000"/>
          <w:lang w:eastAsia="en-GB"/>
        </w:rPr>
        <w:t>momentous</w:t>
      </w:r>
      <w:r w:rsidR="00A54337">
        <w:rPr>
          <w:rFonts w:ascii="Gill Sans MT" w:eastAsia="Times New Roman" w:hAnsi="Gill Sans MT" w:cs="Times New Roman"/>
          <w:color w:val="000000"/>
          <w:lang w:eastAsia="en-GB"/>
        </w:rPr>
        <w:t xml:space="preserve"> political </w:t>
      </w:r>
      <w:r w:rsidR="009D418F">
        <w:rPr>
          <w:rFonts w:ascii="Gill Sans MT" w:eastAsia="Times New Roman" w:hAnsi="Gill Sans MT" w:cs="Times New Roman"/>
          <w:color w:val="000000"/>
          <w:lang w:eastAsia="en-GB"/>
        </w:rPr>
        <w:t>disputes.</w:t>
      </w:r>
    </w:p>
    <w:p w14:paraId="272398C0" w14:textId="1BA7C5AF" w:rsidR="00D97C5E" w:rsidRDefault="00D97C5E" w:rsidP="00865C3E">
      <w:pPr>
        <w:spacing w:after="0" w:line="240" w:lineRule="auto"/>
        <w:rPr>
          <w:rFonts w:ascii="Gill Sans MT" w:eastAsia="Times New Roman" w:hAnsi="Gill Sans MT" w:cs="Times New Roman"/>
          <w:color w:val="000000"/>
          <w:lang w:eastAsia="en-GB"/>
        </w:rPr>
      </w:pPr>
    </w:p>
    <w:p w14:paraId="0E578C71" w14:textId="519AAA2A" w:rsidR="00D97C5E" w:rsidRPr="00145052" w:rsidRDefault="00D97C5E" w:rsidP="00865C3E">
      <w:pPr>
        <w:spacing w:after="0" w:line="240" w:lineRule="auto"/>
        <w:rPr>
          <w:rFonts w:ascii="Gill Sans MT" w:eastAsia="Times New Roman" w:hAnsi="Gill Sans MT" w:cs="Times New Roman"/>
          <w:color w:val="000000"/>
          <w:u w:val="single"/>
          <w:lang w:eastAsia="en-GB"/>
        </w:rPr>
      </w:pPr>
      <w:r w:rsidRPr="00145052">
        <w:rPr>
          <w:rFonts w:ascii="Gill Sans MT" w:eastAsia="Times New Roman" w:hAnsi="Gill Sans MT" w:cs="Times New Roman"/>
          <w:color w:val="000000"/>
          <w:u w:val="single"/>
          <w:lang w:eastAsia="en-GB"/>
        </w:rPr>
        <w:t xml:space="preserve">1. </w:t>
      </w:r>
      <w:r w:rsidR="00CD3602">
        <w:rPr>
          <w:rFonts w:ascii="Gill Sans MT" w:eastAsia="Times New Roman" w:hAnsi="Gill Sans MT" w:cs="Times New Roman"/>
          <w:color w:val="000000"/>
          <w:u w:val="single"/>
          <w:lang w:eastAsia="en-GB"/>
        </w:rPr>
        <w:t>Disagreements</w:t>
      </w:r>
      <w:r w:rsidRPr="00145052">
        <w:rPr>
          <w:rFonts w:ascii="Gill Sans MT" w:eastAsia="Times New Roman" w:hAnsi="Gill Sans MT" w:cs="Times New Roman"/>
          <w:color w:val="000000"/>
          <w:u w:val="single"/>
          <w:lang w:eastAsia="en-GB"/>
        </w:rPr>
        <w:t xml:space="preserve"> within and between the UK’s central constitutional institutions</w:t>
      </w:r>
      <w:r w:rsidR="005D2DF7">
        <w:rPr>
          <w:rFonts w:ascii="Gill Sans MT" w:eastAsia="Times New Roman" w:hAnsi="Gill Sans MT" w:cs="Times New Roman"/>
          <w:color w:val="000000"/>
          <w:u w:val="single"/>
          <w:lang w:eastAsia="en-GB"/>
        </w:rPr>
        <w:t xml:space="preserve"> and actors</w:t>
      </w:r>
    </w:p>
    <w:p w14:paraId="1C6CF94D" w14:textId="1EC40D22" w:rsidR="00D97C5E" w:rsidRDefault="00D97C5E" w:rsidP="00865C3E">
      <w:pPr>
        <w:spacing w:after="0" w:line="240" w:lineRule="auto"/>
        <w:rPr>
          <w:rFonts w:ascii="Gill Sans MT" w:eastAsia="Times New Roman" w:hAnsi="Gill Sans MT" w:cs="Times New Roman"/>
          <w:color w:val="000000"/>
          <w:lang w:eastAsia="en-GB"/>
        </w:rPr>
      </w:pPr>
    </w:p>
    <w:p w14:paraId="62389755" w14:textId="34D54055" w:rsidR="005D2DF7" w:rsidRDefault="005D2DF7" w:rsidP="005D2DF7">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There have been disagreements of a very fundamental kind over Brexit, affecting all of the central institutions of the UK constitution: the UK government, Parliament and the courts.  There have also been some notable internal disputes within these institutions – especially </w:t>
      </w:r>
      <w:r w:rsidR="002B1FD1">
        <w:rPr>
          <w:rFonts w:ascii="Gill Sans MT" w:eastAsia="Times New Roman" w:hAnsi="Gill Sans MT" w:cs="Times New Roman"/>
          <w:color w:val="000000"/>
          <w:lang w:eastAsia="en-GB"/>
        </w:rPr>
        <w:t>inside</w:t>
      </w:r>
      <w:r>
        <w:rPr>
          <w:rFonts w:ascii="Gill Sans MT" w:eastAsia="Times New Roman" w:hAnsi="Gill Sans MT" w:cs="Times New Roman"/>
          <w:color w:val="000000"/>
          <w:lang w:eastAsia="en-GB"/>
        </w:rPr>
        <w:t xml:space="preserve"> the governments of Theresa May and then Boris Johnson – and also an overarching rupture between the initial preferences of most political actors regarding the continuation of EU membership, and the </w:t>
      </w:r>
      <w:r w:rsidR="000D6329">
        <w:rPr>
          <w:rFonts w:ascii="Gill Sans MT" w:eastAsia="Times New Roman" w:hAnsi="Gill Sans MT" w:cs="Times New Roman"/>
          <w:color w:val="000000"/>
          <w:lang w:eastAsia="en-GB"/>
        </w:rPr>
        <w:t>choice of a majority of voters in the referendum.</w:t>
      </w:r>
    </w:p>
    <w:p w14:paraId="52618652" w14:textId="77777777" w:rsidR="005D2DF7" w:rsidRDefault="005D2DF7" w:rsidP="00865C3E">
      <w:pPr>
        <w:spacing w:after="0" w:line="240" w:lineRule="auto"/>
        <w:rPr>
          <w:rFonts w:ascii="Gill Sans MT" w:eastAsia="Times New Roman" w:hAnsi="Gill Sans MT" w:cs="Times New Roman"/>
          <w:color w:val="000000"/>
          <w:lang w:eastAsia="en-GB"/>
        </w:rPr>
      </w:pPr>
    </w:p>
    <w:p w14:paraId="2CB8AFFB" w14:textId="321ED97D" w:rsidR="00145052" w:rsidRDefault="00BB2F7C" w:rsidP="00865C3E">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(i) UK institutions </w:t>
      </w:r>
      <w:r w:rsidR="002B1FD1">
        <w:rPr>
          <w:rFonts w:ascii="Gill Sans MT" w:eastAsia="Times New Roman" w:hAnsi="Gill Sans MT" w:cs="Times New Roman"/>
          <w:color w:val="000000"/>
          <w:lang w:eastAsia="en-GB"/>
        </w:rPr>
        <w:t>and</w:t>
      </w:r>
      <w:r>
        <w:rPr>
          <w:rFonts w:ascii="Gill Sans MT" w:eastAsia="Times New Roman" w:hAnsi="Gill Sans MT" w:cs="Times New Roman"/>
          <w:color w:val="000000"/>
          <w:lang w:eastAsia="en-GB"/>
        </w:rPr>
        <w:t xml:space="preserve"> the people</w:t>
      </w:r>
    </w:p>
    <w:p w14:paraId="5188DEE9" w14:textId="28C32C44" w:rsidR="00BB2F7C" w:rsidRPr="004C2B49" w:rsidRDefault="00BB2F7C" w:rsidP="00865C3E">
      <w:pPr>
        <w:spacing w:after="0" w:line="240" w:lineRule="auto"/>
        <w:rPr>
          <w:rFonts w:ascii="Gill Sans MT" w:eastAsia="Times New Roman" w:hAnsi="Gill Sans MT" w:cs="Times New Roman"/>
          <w:lang w:eastAsia="en-GB"/>
        </w:rPr>
      </w:pPr>
    </w:p>
    <w:p w14:paraId="442E6AEF" w14:textId="16FB83CC" w:rsidR="002B1FD1" w:rsidRDefault="002B1FD1" w:rsidP="00597BE6">
      <w:pPr>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The decision to withdraw from the EU was taken at a national referendum.</w:t>
      </w:r>
      <w:r w:rsidR="00957F68">
        <w:rPr>
          <w:rStyle w:val="FootnoteReference"/>
          <w:rFonts w:ascii="Gill Sans MT" w:eastAsia="Times New Roman" w:hAnsi="Gill Sans MT" w:cs="Times New Roman"/>
          <w:lang w:eastAsia="en-GB"/>
        </w:rPr>
        <w:footnoteReference w:id="1"/>
      </w:r>
      <w:r>
        <w:rPr>
          <w:rFonts w:ascii="Gill Sans MT" w:eastAsia="Times New Roman" w:hAnsi="Gill Sans MT" w:cs="Times New Roman"/>
          <w:lang w:eastAsia="en-GB"/>
        </w:rPr>
        <w:t xml:space="preserve">  This was only the third UK wide vote of this kind, but the Brexit referendum fits with a modern (although not necessarily consistent) pattern of making major constitutional choices based on the direct will of the electorate.</w:t>
      </w:r>
      <w:r w:rsidR="00957F68">
        <w:rPr>
          <w:rStyle w:val="FootnoteReference"/>
          <w:rFonts w:ascii="Gill Sans MT" w:eastAsia="Times New Roman" w:hAnsi="Gill Sans MT" w:cs="Times New Roman"/>
          <w:lang w:eastAsia="en-GB"/>
        </w:rPr>
        <w:footnoteReference w:id="2"/>
      </w:r>
      <w:r>
        <w:rPr>
          <w:rFonts w:ascii="Gill Sans MT" w:eastAsia="Times New Roman" w:hAnsi="Gill Sans MT" w:cs="Times New Roman"/>
          <w:lang w:eastAsia="en-GB"/>
        </w:rPr>
        <w:t xml:space="preserve">  The victory for the ‘Leave’ campaign was close but still decisive – 51.9% for </w:t>
      </w:r>
      <w:r w:rsidR="009A465F">
        <w:rPr>
          <w:rFonts w:ascii="Gill Sans MT" w:eastAsia="Times New Roman" w:hAnsi="Gill Sans MT" w:cs="Times New Roman"/>
          <w:lang w:eastAsia="en-GB"/>
        </w:rPr>
        <w:t>‘l</w:t>
      </w:r>
      <w:r>
        <w:rPr>
          <w:rFonts w:ascii="Gill Sans MT" w:eastAsia="Times New Roman" w:hAnsi="Gill Sans MT" w:cs="Times New Roman"/>
          <w:lang w:eastAsia="en-GB"/>
        </w:rPr>
        <w:t>eave</w:t>
      </w:r>
      <w:r w:rsidR="009A465F">
        <w:rPr>
          <w:rFonts w:ascii="Gill Sans MT" w:eastAsia="Times New Roman" w:hAnsi="Gill Sans MT" w:cs="Times New Roman"/>
          <w:lang w:eastAsia="en-GB"/>
        </w:rPr>
        <w:t>’</w:t>
      </w:r>
      <w:r>
        <w:rPr>
          <w:rFonts w:ascii="Gill Sans MT" w:eastAsia="Times New Roman" w:hAnsi="Gill Sans MT" w:cs="Times New Roman"/>
          <w:lang w:eastAsia="en-GB"/>
        </w:rPr>
        <w:t xml:space="preserve"> vs 48.1% for </w:t>
      </w:r>
      <w:r w:rsidR="009A465F">
        <w:rPr>
          <w:rFonts w:ascii="Gill Sans MT" w:eastAsia="Times New Roman" w:hAnsi="Gill Sans MT" w:cs="Times New Roman"/>
          <w:lang w:eastAsia="en-GB"/>
        </w:rPr>
        <w:t>‘</w:t>
      </w:r>
      <w:r>
        <w:rPr>
          <w:rFonts w:ascii="Gill Sans MT" w:eastAsia="Times New Roman" w:hAnsi="Gill Sans MT" w:cs="Times New Roman"/>
          <w:lang w:eastAsia="en-GB"/>
        </w:rPr>
        <w:t>remain</w:t>
      </w:r>
      <w:r w:rsidR="009A465F">
        <w:rPr>
          <w:rFonts w:ascii="Gill Sans MT" w:eastAsia="Times New Roman" w:hAnsi="Gill Sans MT" w:cs="Times New Roman"/>
          <w:lang w:eastAsia="en-GB"/>
        </w:rPr>
        <w:t>’</w:t>
      </w:r>
      <w:r>
        <w:rPr>
          <w:rFonts w:ascii="Gill Sans MT" w:eastAsia="Times New Roman" w:hAnsi="Gill Sans MT" w:cs="Times New Roman"/>
          <w:lang w:eastAsia="en-GB"/>
        </w:rPr>
        <w:t xml:space="preserve">, a margin of 1.25 million votes, on a </w:t>
      </w:r>
      <w:r w:rsidR="00B33188">
        <w:rPr>
          <w:rFonts w:ascii="Gill Sans MT" w:eastAsia="Times New Roman" w:hAnsi="Gill Sans MT" w:cs="Times New Roman"/>
          <w:lang w:eastAsia="en-GB"/>
        </w:rPr>
        <w:t>notably high 72.2% turnout.</w:t>
      </w:r>
      <w:r w:rsidR="00957F68">
        <w:rPr>
          <w:rStyle w:val="FootnoteReference"/>
          <w:rFonts w:ascii="Gill Sans MT" w:eastAsia="Times New Roman" w:hAnsi="Gill Sans MT" w:cs="Times New Roman"/>
          <w:lang w:eastAsia="en-GB"/>
        </w:rPr>
        <w:footnoteReference w:id="3"/>
      </w:r>
      <w:r w:rsidR="006871CD">
        <w:rPr>
          <w:rFonts w:ascii="Gill Sans MT" w:eastAsia="Times New Roman" w:hAnsi="Gill Sans MT" w:cs="Times New Roman"/>
          <w:lang w:eastAsia="en-GB"/>
        </w:rPr>
        <w:t xml:space="preserve">  And while the government was not legally bound to accept the referendum result, the democratic authority of a clear referendum decision is impossible for the UK’s political institutions to ignore.  The difficulty, however, is that most members of the political establishment had been in favour of remaining in the EU – the government (eventually and half-heartedly) supported remain, as did the main opposition parties, as did most business and civil society organisations.  David Cameron, the Prime Minister who had called the referendum, offered an immediate resignation in recognition of his defeat, and he was replaced by Theresa May, who had also supported remain.  May enthusiastically pivoted to implementing the choice of a majority of the electorate, but there remained a fundamental tension at the heart of the Brexit process: a referendum had forced the political institutions to give effect to a major decision to which they had been positively opposed.</w:t>
      </w:r>
    </w:p>
    <w:p w14:paraId="03D191A0" w14:textId="79BF09F9" w:rsidR="00F86BF7" w:rsidRDefault="006871CD" w:rsidP="002753E6">
      <w:pPr>
        <w:spacing w:after="0" w:line="240" w:lineRule="auto"/>
        <w:jc w:val="both"/>
        <w:rPr>
          <w:rFonts w:ascii="Gill Sans MT" w:hAnsi="Gill Sans MT" w:cs="Segoe UI"/>
          <w:shd w:val="clear" w:color="auto" w:fill="FFFFFF"/>
        </w:rPr>
      </w:pPr>
      <w:r>
        <w:rPr>
          <w:rFonts w:ascii="Gill Sans MT" w:eastAsia="Times New Roman" w:hAnsi="Gill Sans MT" w:cs="Times New Roman"/>
          <w:lang w:eastAsia="en-GB"/>
        </w:rPr>
        <w:tab/>
      </w:r>
      <w:r w:rsidR="00597BE6">
        <w:rPr>
          <w:rFonts w:ascii="Gill Sans MT" w:eastAsia="Times New Roman" w:hAnsi="Gill Sans MT" w:cs="Times New Roman"/>
          <w:lang w:eastAsia="en-GB"/>
        </w:rPr>
        <w:t xml:space="preserve">This is an </w:t>
      </w:r>
      <w:r w:rsidR="000B157D">
        <w:rPr>
          <w:rFonts w:ascii="Gill Sans MT" w:eastAsia="Times New Roman" w:hAnsi="Gill Sans MT" w:cs="Times New Roman"/>
          <w:lang w:eastAsia="en-GB"/>
        </w:rPr>
        <w:t>inherent</w:t>
      </w:r>
      <w:r w:rsidR="00597BE6">
        <w:rPr>
          <w:rFonts w:ascii="Gill Sans MT" w:eastAsia="Times New Roman" w:hAnsi="Gill Sans MT" w:cs="Times New Roman"/>
          <w:lang w:eastAsia="en-GB"/>
        </w:rPr>
        <w:t xml:space="preserve"> risk of using referendums to settle major political questions – that the government might not get the answer that it wants.  </w:t>
      </w:r>
      <w:r w:rsidR="00597BE6" w:rsidRPr="004C2B49">
        <w:rPr>
          <w:rFonts w:ascii="Gill Sans MT" w:hAnsi="Gill Sans MT" w:cs="Segoe UI"/>
          <w:shd w:val="clear" w:color="auto" w:fill="FFFFFF"/>
        </w:rPr>
        <w:t xml:space="preserve">Disagreement </w:t>
      </w:r>
      <w:r w:rsidR="00597BE6">
        <w:rPr>
          <w:rFonts w:ascii="Gill Sans MT" w:hAnsi="Gill Sans MT" w:cs="Segoe UI"/>
          <w:shd w:val="clear" w:color="auto" w:fill="FFFFFF"/>
        </w:rPr>
        <w:t>may be</w:t>
      </w:r>
      <w:r w:rsidR="00597BE6" w:rsidRPr="004C2B49">
        <w:rPr>
          <w:rFonts w:ascii="Gill Sans MT" w:hAnsi="Gill Sans MT" w:cs="Segoe UI"/>
          <w:shd w:val="clear" w:color="auto" w:fill="FFFFFF"/>
        </w:rPr>
        <w:t xml:space="preserve"> politically inevitable, </w:t>
      </w:r>
      <w:r w:rsidR="00597BE6">
        <w:rPr>
          <w:rFonts w:ascii="Gill Sans MT" w:hAnsi="Gill Sans MT" w:cs="Segoe UI"/>
          <w:shd w:val="clear" w:color="auto" w:fill="FFFFFF"/>
        </w:rPr>
        <w:t xml:space="preserve">but it is certainly emphasised and perhaps </w:t>
      </w:r>
      <w:r w:rsidR="00597BE6" w:rsidRPr="004C2B49">
        <w:rPr>
          <w:rFonts w:ascii="Gill Sans MT" w:hAnsi="Gill Sans MT" w:cs="Segoe UI"/>
          <w:shd w:val="clear" w:color="auto" w:fill="FFFFFF"/>
        </w:rPr>
        <w:t xml:space="preserve">exacerbated by </w:t>
      </w:r>
      <w:r w:rsidR="00597BE6">
        <w:rPr>
          <w:rFonts w:ascii="Gill Sans MT" w:hAnsi="Gill Sans MT" w:cs="Segoe UI"/>
          <w:shd w:val="clear" w:color="auto" w:fill="FFFFFF"/>
        </w:rPr>
        <w:t xml:space="preserve">taking the decision </w:t>
      </w:r>
      <w:r w:rsidR="00F86BF7">
        <w:rPr>
          <w:rFonts w:ascii="Gill Sans MT" w:hAnsi="Gill Sans MT" w:cs="Segoe UI"/>
          <w:shd w:val="clear" w:color="auto" w:fill="FFFFFF"/>
        </w:rPr>
        <w:t xml:space="preserve">through </w:t>
      </w:r>
      <w:r w:rsidR="00597BE6" w:rsidRPr="004C2B49">
        <w:rPr>
          <w:rFonts w:ascii="Gill Sans MT" w:hAnsi="Gill Sans MT" w:cs="Segoe UI"/>
          <w:shd w:val="clear" w:color="auto" w:fill="FFFFFF"/>
        </w:rPr>
        <w:t>a</w:t>
      </w:r>
      <w:r w:rsidR="00F86BF7">
        <w:rPr>
          <w:rFonts w:ascii="Gill Sans MT" w:hAnsi="Gill Sans MT" w:cs="Segoe UI"/>
          <w:shd w:val="clear" w:color="auto" w:fill="FFFFFF"/>
        </w:rPr>
        <w:t xml:space="preserve"> one-off</w:t>
      </w:r>
      <w:r w:rsidR="00597BE6" w:rsidRPr="004C2B49">
        <w:rPr>
          <w:rFonts w:ascii="Gill Sans MT" w:hAnsi="Gill Sans MT" w:cs="Segoe UI"/>
          <w:shd w:val="clear" w:color="auto" w:fill="FFFFFF"/>
        </w:rPr>
        <w:t xml:space="preserve"> </w:t>
      </w:r>
      <w:r w:rsidR="00F86BF7">
        <w:rPr>
          <w:rFonts w:ascii="Gill Sans MT" w:hAnsi="Gill Sans MT" w:cs="Segoe UI"/>
          <w:shd w:val="clear" w:color="auto" w:fill="FFFFFF"/>
        </w:rPr>
        <w:t xml:space="preserve">direct democratic exercise, rather than managing disagreement through the </w:t>
      </w:r>
      <w:r w:rsidR="00597BE6" w:rsidRPr="004C2B49">
        <w:rPr>
          <w:rFonts w:ascii="Gill Sans MT" w:hAnsi="Gill Sans MT" w:cs="Segoe UI"/>
          <w:shd w:val="clear" w:color="auto" w:fill="FFFFFF"/>
        </w:rPr>
        <w:t xml:space="preserve">"normal" rolling process of elections </w:t>
      </w:r>
      <w:r w:rsidR="00F86BF7">
        <w:rPr>
          <w:rFonts w:ascii="Gill Sans MT" w:hAnsi="Gill Sans MT" w:cs="Segoe UI"/>
          <w:shd w:val="clear" w:color="auto" w:fill="FFFFFF"/>
        </w:rPr>
        <w:t>on an ongoing basis.</w:t>
      </w:r>
      <w:r w:rsidR="007C35B2">
        <w:rPr>
          <w:rFonts w:ascii="Gill Sans MT" w:hAnsi="Gill Sans MT" w:cs="Segoe UI"/>
          <w:shd w:val="clear" w:color="auto" w:fill="FFFFFF"/>
        </w:rPr>
        <w:t xml:space="preserve">  But </w:t>
      </w:r>
      <w:r w:rsidR="00345153">
        <w:rPr>
          <w:rFonts w:ascii="Gill Sans MT" w:hAnsi="Gill Sans MT" w:cs="Segoe UI"/>
          <w:shd w:val="clear" w:color="auto" w:fill="FFFFFF"/>
        </w:rPr>
        <w:t>this reveals</w:t>
      </w:r>
      <w:r w:rsidR="007C35B2">
        <w:rPr>
          <w:rFonts w:ascii="Gill Sans MT" w:hAnsi="Gill Sans MT" w:cs="Segoe UI"/>
          <w:shd w:val="clear" w:color="auto" w:fill="FFFFFF"/>
        </w:rPr>
        <w:t xml:space="preserve"> a deeper constitutional tension </w:t>
      </w:r>
      <w:r w:rsidR="000B157D">
        <w:rPr>
          <w:rFonts w:ascii="Gill Sans MT" w:hAnsi="Gill Sans MT" w:cs="Segoe UI"/>
          <w:shd w:val="clear" w:color="auto" w:fill="FFFFFF"/>
        </w:rPr>
        <w:t xml:space="preserve">in play </w:t>
      </w:r>
      <w:r w:rsidR="007C35B2">
        <w:rPr>
          <w:rFonts w:ascii="Gill Sans MT" w:hAnsi="Gill Sans MT" w:cs="Segoe UI"/>
          <w:shd w:val="clear" w:color="auto" w:fill="FFFFFF"/>
        </w:rPr>
        <w:t>– between the regular authority of the standing political institutions like the government and Parliament, and the irregular authority of a singular referendum held at a specific moment in time and treated as a generating a canonical decision.</w:t>
      </w:r>
      <w:r w:rsidR="00345153">
        <w:rPr>
          <w:rFonts w:ascii="Gill Sans MT" w:hAnsi="Gill Sans MT" w:cs="Segoe UI"/>
          <w:shd w:val="clear" w:color="auto" w:fill="FFFFFF"/>
        </w:rPr>
        <w:t xml:space="preserve">  </w:t>
      </w:r>
      <w:r w:rsidR="00C0461A">
        <w:rPr>
          <w:rFonts w:ascii="Gill Sans MT" w:hAnsi="Gill Sans MT" w:cs="Segoe UI"/>
          <w:shd w:val="clear" w:color="auto" w:fill="FFFFFF"/>
        </w:rPr>
        <w:t xml:space="preserve">Crucially, while the irregular authority of the decision to withdraw </w:t>
      </w:r>
      <w:r w:rsidR="00C0461A">
        <w:rPr>
          <w:rFonts w:ascii="Gill Sans MT" w:hAnsi="Gill Sans MT" w:cs="Segoe UI"/>
          <w:shd w:val="clear" w:color="auto" w:fill="FFFFFF"/>
        </w:rPr>
        <w:lastRenderedPageBreak/>
        <w:t xml:space="preserve">from the EU shaped the entire process, the regular authority of the established institutions was </w:t>
      </w:r>
      <w:r w:rsidR="008F1BE3">
        <w:rPr>
          <w:rFonts w:ascii="Gill Sans MT" w:hAnsi="Gill Sans MT" w:cs="Segoe UI"/>
          <w:shd w:val="clear" w:color="auto" w:fill="FFFFFF"/>
        </w:rPr>
        <w:t>essential</w:t>
      </w:r>
      <w:r w:rsidR="00C0461A">
        <w:rPr>
          <w:rFonts w:ascii="Gill Sans MT" w:hAnsi="Gill Sans MT" w:cs="Segoe UI"/>
          <w:shd w:val="clear" w:color="auto" w:fill="FFFFFF"/>
        </w:rPr>
        <w:t xml:space="preserve"> to give effect to that choice (and indeed, to make the choice possible to begin with, by proposing and authorising the holding of a referendum).</w:t>
      </w:r>
      <w:r w:rsidR="00957F68">
        <w:rPr>
          <w:rStyle w:val="FootnoteReference"/>
          <w:rFonts w:ascii="Gill Sans MT" w:hAnsi="Gill Sans MT" w:cs="Segoe UI"/>
          <w:shd w:val="clear" w:color="auto" w:fill="FFFFFF"/>
        </w:rPr>
        <w:footnoteReference w:id="4"/>
      </w:r>
    </w:p>
    <w:p w14:paraId="51F22567" w14:textId="6B3A94DE" w:rsidR="007360DF" w:rsidRDefault="007360DF" w:rsidP="007360DF">
      <w:pPr>
        <w:spacing w:after="0" w:line="240" w:lineRule="auto"/>
        <w:jc w:val="both"/>
        <w:rPr>
          <w:rFonts w:ascii="Gill Sans MT" w:hAnsi="Gill Sans MT" w:cs="Segoe UI"/>
          <w:shd w:val="clear" w:color="auto" w:fill="FFFFFF"/>
        </w:rPr>
      </w:pPr>
      <w:r>
        <w:rPr>
          <w:rFonts w:ascii="Gill Sans MT" w:hAnsi="Gill Sans MT" w:cs="Segoe UI"/>
          <w:shd w:val="clear" w:color="auto" w:fill="FFFFFF"/>
        </w:rPr>
        <w:tab/>
        <w:t xml:space="preserve">This meant the political institutions were bound by the referendum result in democratic terms, despite having largely opposed it, and </w:t>
      </w:r>
      <w:r w:rsidR="00175443">
        <w:rPr>
          <w:rFonts w:ascii="Gill Sans MT" w:hAnsi="Gill Sans MT" w:cs="Segoe UI"/>
          <w:shd w:val="clear" w:color="auto" w:fill="FFFFFF"/>
        </w:rPr>
        <w:t xml:space="preserve">were </w:t>
      </w:r>
      <w:r w:rsidR="00701E7D">
        <w:rPr>
          <w:rFonts w:ascii="Gill Sans MT" w:hAnsi="Gill Sans MT" w:cs="Segoe UI"/>
          <w:shd w:val="clear" w:color="auto" w:fill="FFFFFF"/>
        </w:rPr>
        <w:t xml:space="preserve">also </w:t>
      </w:r>
      <w:r>
        <w:rPr>
          <w:rFonts w:ascii="Gill Sans MT" w:hAnsi="Gill Sans MT" w:cs="Segoe UI"/>
          <w:shd w:val="clear" w:color="auto" w:fill="FFFFFF"/>
        </w:rPr>
        <w:t xml:space="preserve">responsible for delivering it.  But the basic decision to leave the EU also required interpretation before it could </w:t>
      </w:r>
      <w:r w:rsidR="00196633">
        <w:rPr>
          <w:rFonts w:ascii="Gill Sans MT" w:hAnsi="Gill Sans MT" w:cs="Segoe UI"/>
          <w:shd w:val="clear" w:color="auto" w:fill="FFFFFF"/>
        </w:rPr>
        <w:t xml:space="preserve">be </w:t>
      </w:r>
      <w:r>
        <w:rPr>
          <w:rFonts w:ascii="Gill Sans MT" w:hAnsi="Gill Sans MT" w:cs="Segoe UI"/>
          <w:shd w:val="clear" w:color="auto" w:fill="FFFFFF"/>
        </w:rPr>
        <w:t xml:space="preserve">implemented.  The idea of leaving the EU </w:t>
      </w:r>
      <w:r w:rsidR="00701E7D">
        <w:rPr>
          <w:rFonts w:ascii="Gill Sans MT" w:hAnsi="Gill Sans MT" w:cs="Segoe UI"/>
          <w:shd w:val="clear" w:color="auto" w:fill="FFFFFF"/>
        </w:rPr>
        <w:t>was an incredibly</w:t>
      </w:r>
      <w:r>
        <w:rPr>
          <w:rFonts w:ascii="Gill Sans MT" w:hAnsi="Gill Sans MT" w:cs="Segoe UI"/>
          <w:shd w:val="clear" w:color="auto" w:fill="FFFFFF"/>
        </w:rPr>
        <w:t xml:space="preserve"> complex</w:t>
      </w:r>
      <w:r w:rsidR="00701E7D">
        <w:rPr>
          <w:rFonts w:ascii="Gill Sans MT" w:hAnsi="Gill Sans MT" w:cs="Segoe UI"/>
          <w:shd w:val="clear" w:color="auto" w:fill="FFFFFF"/>
        </w:rPr>
        <w:t xml:space="preserve"> undertaking</w:t>
      </w:r>
      <w:r>
        <w:rPr>
          <w:rFonts w:ascii="Gill Sans MT" w:hAnsi="Gill Sans MT" w:cs="Segoe UI"/>
          <w:shd w:val="clear" w:color="auto" w:fill="FFFFFF"/>
        </w:rPr>
        <w:t xml:space="preserve">, </w:t>
      </w:r>
      <w:r w:rsidR="00AA621B">
        <w:rPr>
          <w:rFonts w:ascii="Gill Sans MT" w:hAnsi="Gill Sans MT" w:cs="Segoe UI"/>
          <w:shd w:val="clear" w:color="auto" w:fill="FFFFFF"/>
        </w:rPr>
        <w:t xml:space="preserve">given the multi-layered nature of </w:t>
      </w:r>
      <w:r w:rsidRPr="004C2B49">
        <w:rPr>
          <w:rFonts w:ascii="Gill Sans MT" w:eastAsia="Times New Roman" w:hAnsi="Gill Sans MT" w:cs="Times New Roman"/>
          <w:lang w:eastAsia="en-GB"/>
        </w:rPr>
        <w:t>membership of the EU</w:t>
      </w:r>
      <w:r>
        <w:rPr>
          <w:rFonts w:ascii="Gill Sans MT" w:eastAsia="Times New Roman" w:hAnsi="Gill Sans MT" w:cs="Times New Roman"/>
          <w:lang w:eastAsia="en-GB"/>
        </w:rPr>
        <w:t>, which has</w:t>
      </w:r>
      <w:r w:rsidRPr="004C2B49">
        <w:rPr>
          <w:rFonts w:ascii="Gill Sans MT" w:eastAsia="Times New Roman" w:hAnsi="Gill Sans MT"/>
        </w:rPr>
        <w:t xml:space="preserve"> economic, constitutional, political</w:t>
      </w:r>
      <w:r>
        <w:rPr>
          <w:rFonts w:ascii="Gill Sans MT" w:eastAsia="Times New Roman" w:hAnsi="Gill Sans MT"/>
        </w:rPr>
        <w:t xml:space="preserve">, and social dimensions, while affecting ideas of </w:t>
      </w:r>
      <w:r w:rsidRPr="004C2B49">
        <w:rPr>
          <w:rFonts w:ascii="Gill Sans MT" w:eastAsia="Times New Roman" w:hAnsi="Gill Sans MT"/>
        </w:rPr>
        <w:t>national identity</w:t>
      </w:r>
      <w:r>
        <w:rPr>
          <w:rFonts w:ascii="Gill Sans MT" w:eastAsia="Times New Roman" w:hAnsi="Gill Sans MT"/>
        </w:rPr>
        <w:t>, some of the key rights held by</w:t>
      </w:r>
      <w:r w:rsidRPr="004C2B49">
        <w:rPr>
          <w:rFonts w:ascii="Gill Sans MT" w:eastAsia="Times New Roman" w:hAnsi="Gill Sans MT"/>
        </w:rPr>
        <w:t xml:space="preserve"> citizens, </w:t>
      </w:r>
      <w:r>
        <w:rPr>
          <w:rFonts w:ascii="Gill Sans MT" w:eastAsia="Times New Roman" w:hAnsi="Gill Sans MT"/>
        </w:rPr>
        <w:t xml:space="preserve">and levels and perceptions of </w:t>
      </w:r>
      <w:r w:rsidRPr="004C2B49">
        <w:rPr>
          <w:rFonts w:ascii="Gill Sans MT" w:eastAsia="Times New Roman" w:hAnsi="Gill Sans MT"/>
        </w:rPr>
        <w:t>immigration</w:t>
      </w:r>
      <w:r>
        <w:rPr>
          <w:rFonts w:ascii="Gill Sans MT" w:eastAsia="Times New Roman" w:hAnsi="Gill Sans MT"/>
        </w:rPr>
        <w:t xml:space="preserve">, among other things.  </w:t>
      </w:r>
      <w:r w:rsidR="00AA621B">
        <w:rPr>
          <w:rFonts w:ascii="Gill Sans MT" w:eastAsia="Times New Roman" w:hAnsi="Gill Sans MT"/>
        </w:rPr>
        <w:t xml:space="preserve">As a result, </w:t>
      </w:r>
      <w:r w:rsidR="006C3EF4">
        <w:rPr>
          <w:rFonts w:ascii="Gill Sans MT" w:eastAsia="Times New Roman" w:hAnsi="Gill Sans MT"/>
        </w:rPr>
        <w:t xml:space="preserve">while constrained to </w:t>
      </w:r>
      <w:r w:rsidR="00AA621B">
        <w:rPr>
          <w:rFonts w:ascii="Gill Sans MT" w:eastAsia="Times New Roman" w:hAnsi="Gill Sans MT"/>
        </w:rPr>
        <w:t xml:space="preserve">deliver the outcome of the referendum, the UK’s government and Parliament were faced with not one decision, but </w:t>
      </w:r>
      <w:r w:rsidRPr="004C2B49">
        <w:rPr>
          <w:rFonts w:ascii="Gill Sans MT" w:eastAsia="Times New Roman" w:hAnsi="Gill Sans MT"/>
        </w:rPr>
        <w:t>many</w:t>
      </w:r>
      <w:r w:rsidR="00701E7D">
        <w:rPr>
          <w:rFonts w:ascii="Gill Sans MT" w:eastAsia="Times New Roman" w:hAnsi="Gill Sans MT"/>
        </w:rPr>
        <w:t xml:space="preserve"> </w:t>
      </w:r>
      <w:r w:rsidR="00AA621B">
        <w:rPr>
          <w:rFonts w:ascii="Gill Sans MT" w:eastAsia="Times New Roman" w:hAnsi="Gill Sans MT"/>
        </w:rPr>
        <w:t>– in place of the simplicity of ‘remain v leave’, the political institutions had to determine what kind of relationship with the EU they should seek instead of EU membership.</w:t>
      </w:r>
      <w:r w:rsidR="00957F68">
        <w:rPr>
          <w:rStyle w:val="FootnoteReference"/>
          <w:rFonts w:ascii="Gill Sans MT" w:eastAsia="Times New Roman" w:hAnsi="Gill Sans MT"/>
        </w:rPr>
        <w:footnoteReference w:id="5"/>
      </w:r>
      <w:r w:rsidR="006C3EF4">
        <w:rPr>
          <w:rFonts w:ascii="Gill Sans MT" w:eastAsia="Times New Roman" w:hAnsi="Gill Sans MT"/>
        </w:rPr>
        <w:t xml:space="preserve">  Therefore the referendum </w:t>
      </w:r>
      <w:r w:rsidR="00701E7D">
        <w:rPr>
          <w:rFonts w:ascii="Gill Sans MT" w:eastAsia="Times New Roman" w:hAnsi="Gill Sans MT"/>
        </w:rPr>
        <w:t>was</w:t>
      </w:r>
      <w:r w:rsidR="006C3EF4">
        <w:rPr>
          <w:rFonts w:ascii="Gill Sans MT" w:eastAsia="Times New Roman" w:hAnsi="Gill Sans MT"/>
        </w:rPr>
        <w:t xml:space="preserve"> not </w:t>
      </w:r>
      <w:r w:rsidR="00701E7D">
        <w:rPr>
          <w:rFonts w:ascii="Gill Sans MT" w:eastAsia="Times New Roman" w:hAnsi="Gill Sans MT"/>
        </w:rPr>
        <w:t xml:space="preserve">the conclusion of </w:t>
      </w:r>
      <w:r w:rsidR="006C3EF4">
        <w:rPr>
          <w:rFonts w:ascii="Gill Sans MT" w:eastAsia="Times New Roman" w:hAnsi="Gill Sans MT"/>
        </w:rPr>
        <w:t xml:space="preserve">a binary disagreement between remain and leave, but </w:t>
      </w:r>
      <w:r w:rsidR="00701E7D">
        <w:rPr>
          <w:rFonts w:ascii="Gill Sans MT" w:eastAsia="Times New Roman" w:hAnsi="Gill Sans MT"/>
        </w:rPr>
        <w:t xml:space="preserve">actually </w:t>
      </w:r>
      <w:r w:rsidR="006C3EF4">
        <w:rPr>
          <w:rFonts w:ascii="Gill Sans MT" w:eastAsia="Times New Roman" w:hAnsi="Gill Sans MT"/>
        </w:rPr>
        <w:t xml:space="preserve">triggered a subsequent series of disagreements which fell to the government and Parliament to resolve, </w:t>
      </w:r>
      <w:r w:rsidR="00070024">
        <w:rPr>
          <w:rFonts w:ascii="Gill Sans MT" w:eastAsia="Times New Roman" w:hAnsi="Gill Sans MT"/>
        </w:rPr>
        <w:t xml:space="preserve">subject to the constraint that in some form the UK had to leave the EU.  That the empty and circular rhetoric of ‘Brexit means Brexit’ was the leading official response </w:t>
      </w:r>
      <w:r w:rsidR="00CA66A6">
        <w:rPr>
          <w:rFonts w:ascii="Gill Sans MT" w:eastAsia="Times New Roman" w:hAnsi="Gill Sans MT"/>
        </w:rPr>
        <w:t>exposes</w:t>
      </w:r>
      <w:r w:rsidR="00070024">
        <w:rPr>
          <w:rFonts w:ascii="Gill Sans MT" w:eastAsia="Times New Roman" w:hAnsi="Gill Sans MT"/>
        </w:rPr>
        <w:t xml:space="preserve"> the struggle the government and Parliament faced in responding to the irregular authority of the referendum.</w:t>
      </w:r>
      <w:r w:rsidR="00957F68">
        <w:rPr>
          <w:rStyle w:val="FootnoteReference"/>
          <w:rFonts w:ascii="Gill Sans MT" w:eastAsia="Times New Roman" w:hAnsi="Gill Sans MT"/>
        </w:rPr>
        <w:footnoteReference w:id="6"/>
      </w:r>
    </w:p>
    <w:p w14:paraId="297762D0" w14:textId="7CB4A5A0" w:rsidR="00CA66A6" w:rsidRDefault="00CA66A6" w:rsidP="006F3FE6">
      <w:pPr>
        <w:spacing w:after="0" w:line="240" w:lineRule="auto"/>
        <w:ind w:firstLine="720"/>
        <w:jc w:val="both"/>
        <w:rPr>
          <w:rFonts w:ascii="Gill Sans MT" w:eastAsia="Times New Roman" w:hAnsi="Gill Sans MT"/>
        </w:rPr>
      </w:pPr>
      <w:r>
        <w:rPr>
          <w:rFonts w:ascii="Gill Sans MT" w:eastAsia="Times New Roman" w:hAnsi="Gill Sans MT"/>
        </w:rPr>
        <w:t xml:space="preserve">This demonstrates that the potential for disagreement over Brexit was at the core of both the people’s decision and the manner of its implementation.  However, </w:t>
      </w:r>
      <w:r w:rsidR="004D170B">
        <w:rPr>
          <w:rFonts w:ascii="Gill Sans MT" w:eastAsia="Times New Roman" w:hAnsi="Gill Sans MT"/>
        </w:rPr>
        <w:t>that</w:t>
      </w:r>
      <w:r>
        <w:rPr>
          <w:rFonts w:ascii="Gill Sans MT" w:eastAsia="Times New Roman" w:hAnsi="Gill Sans MT"/>
        </w:rPr>
        <w:t xml:space="preserve"> does not mean that the matter of EU membership </w:t>
      </w:r>
      <w:r w:rsidR="0016683C">
        <w:rPr>
          <w:rFonts w:ascii="Gill Sans MT" w:eastAsia="Times New Roman" w:hAnsi="Gill Sans MT"/>
        </w:rPr>
        <w:t>was</w:t>
      </w:r>
      <w:r>
        <w:rPr>
          <w:rFonts w:ascii="Gill Sans MT" w:eastAsia="Times New Roman" w:hAnsi="Gill Sans MT"/>
        </w:rPr>
        <w:t xml:space="preserve"> unsuitable to be addressed at a referendum, nor that referendums are somehow incompatible with the UK’s constitutional model.   </w:t>
      </w:r>
      <w:r w:rsidR="00BA3D68">
        <w:rPr>
          <w:rFonts w:ascii="Gill Sans MT" w:eastAsia="Times New Roman" w:hAnsi="Gill Sans MT"/>
        </w:rPr>
        <w:t xml:space="preserve">Rather, it reveals the particular difficulties </w:t>
      </w:r>
      <w:r w:rsidR="00860243">
        <w:rPr>
          <w:rFonts w:ascii="Gill Sans MT" w:eastAsia="Times New Roman" w:hAnsi="Gill Sans MT"/>
        </w:rPr>
        <w:t xml:space="preserve">of the political institutions </w:t>
      </w:r>
      <w:r w:rsidR="00BA3D68">
        <w:rPr>
          <w:rFonts w:ascii="Gill Sans MT" w:eastAsia="Times New Roman" w:hAnsi="Gill Sans MT"/>
        </w:rPr>
        <w:t xml:space="preserve">deploying the referendum as an ad hoc device, which is binding democratically but not legally, </w:t>
      </w:r>
      <w:r w:rsidR="00860243">
        <w:rPr>
          <w:rFonts w:ascii="Gill Sans MT" w:eastAsia="Times New Roman" w:hAnsi="Gill Sans MT"/>
        </w:rPr>
        <w:t>and</w:t>
      </w:r>
      <w:r w:rsidR="00BA3D68">
        <w:rPr>
          <w:rFonts w:ascii="Gill Sans MT" w:eastAsia="Times New Roman" w:hAnsi="Gill Sans MT"/>
        </w:rPr>
        <w:t xml:space="preserve"> </w:t>
      </w:r>
      <w:r w:rsidR="00860243">
        <w:rPr>
          <w:rFonts w:ascii="Gill Sans MT" w:eastAsia="Times New Roman" w:hAnsi="Gill Sans MT"/>
        </w:rPr>
        <w:t>unsettles</w:t>
      </w:r>
      <w:r w:rsidR="00BA3D68">
        <w:rPr>
          <w:rFonts w:ascii="Gill Sans MT" w:eastAsia="Times New Roman" w:hAnsi="Gill Sans MT"/>
        </w:rPr>
        <w:t xml:space="preserve"> the status quo </w:t>
      </w:r>
      <w:r w:rsidR="00860243">
        <w:rPr>
          <w:rFonts w:ascii="Gill Sans MT" w:eastAsia="Times New Roman" w:hAnsi="Gill Sans MT"/>
        </w:rPr>
        <w:t>while</w:t>
      </w:r>
      <w:r w:rsidR="00BA3D68">
        <w:rPr>
          <w:rFonts w:ascii="Gill Sans MT" w:eastAsia="Times New Roman" w:hAnsi="Gill Sans MT"/>
        </w:rPr>
        <w:t xml:space="preserve"> requir</w:t>
      </w:r>
      <w:r w:rsidR="00860243">
        <w:rPr>
          <w:rFonts w:ascii="Gill Sans MT" w:eastAsia="Times New Roman" w:hAnsi="Gill Sans MT"/>
        </w:rPr>
        <w:t>ing</w:t>
      </w:r>
      <w:r w:rsidR="00BA3D68">
        <w:rPr>
          <w:rFonts w:ascii="Gill Sans MT" w:eastAsia="Times New Roman" w:hAnsi="Gill Sans MT"/>
        </w:rPr>
        <w:t xml:space="preserve"> implementation by the same institutions whose preferences have been bypassed.  Of course, the referendum result was not accepted by everyone, and there were sustained and vocal campaigns to either ignore the result or hold a second referendum with a view to either reversing or elaborating on the initial choice made by the electorate.</w:t>
      </w:r>
      <w:r w:rsidR="00175443">
        <w:rPr>
          <w:rStyle w:val="FootnoteReference"/>
          <w:rFonts w:ascii="Gill Sans MT" w:eastAsia="Times New Roman" w:hAnsi="Gill Sans MT"/>
        </w:rPr>
        <w:footnoteReference w:id="7"/>
      </w:r>
      <w:r w:rsidR="00BA3D68">
        <w:rPr>
          <w:rFonts w:ascii="Gill Sans MT" w:eastAsia="Times New Roman" w:hAnsi="Gill Sans MT"/>
        </w:rPr>
        <w:t xml:space="preserve">  Yet </w:t>
      </w:r>
      <w:r w:rsidR="006F3FE6">
        <w:rPr>
          <w:rFonts w:ascii="Gill Sans MT" w:eastAsia="Times New Roman" w:hAnsi="Gill Sans MT"/>
        </w:rPr>
        <w:t>it is un</w:t>
      </w:r>
      <w:r w:rsidR="00BA3D68">
        <w:rPr>
          <w:rFonts w:ascii="Gill Sans MT" w:eastAsia="Times New Roman" w:hAnsi="Gill Sans MT"/>
        </w:rPr>
        <w:t>clear how a ‘people’s vote’ would have simplified the situation, as opposed to creating another site of irregular authority to clash with</w:t>
      </w:r>
      <w:r w:rsidR="00175443">
        <w:rPr>
          <w:rFonts w:ascii="Gill Sans MT" w:eastAsia="Times New Roman" w:hAnsi="Gill Sans MT"/>
        </w:rPr>
        <w:t xml:space="preserve"> both</w:t>
      </w:r>
      <w:r w:rsidR="00BA3D68">
        <w:rPr>
          <w:rFonts w:ascii="Gill Sans MT" w:eastAsia="Times New Roman" w:hAnsi="Gill Sans MT"/>
        </w:rPr>
        <w:t xml:space="preserve"> the first referendum result and the instincts of the majority of the political class.  </w:t>
      </w:r>
    </w:p>
    <w:p w14:paraId="31AC326A" w14:textId="35505F6E" w:rsidR="0060190B" w:rsidRDefault="006F3FE6" w:rsidP="00751D0F">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rPr>
        <w:tab/>
        <w:t>The tensions over Brexit were therefore not simply a consequence of a sharp divide between leave and remain voters, but had deeper constitutional underpinnings.</w:t>
      </w:r>
      <w:r w:rsidR="00F26DD6">
        <w:rPr>
          <w:rFonts w:ascii="Gill Sans MT" w:eastAsia="Times New Roman" w:hAnsi="Gill Sans MT"/>
        </w:rPr>
        <w:t xml:space="preserve">  Rather than treating the referendum decision as the start of a more complex process of leaving the EU, </w:t>
      </w:r>
      <w:r w:rsidR="00866148">
        <w:rPr>
          <w:rFonts w:ascii="Gill Sans MT" w:eastAsia="Times New Roman" w:hAnsi="Gill Sans MT"/>
        </w:rPr>
        <w:t>successive</w:t>
      </w:r>
      <w:r w:rsidR="00F26DD6">
        <w:rPr>
          <w:rFonts w:ascii="Gill Sans MT" w:eastAsia="Times New Roman" w:hAnsi="Gill Sans MT"/>
        </w:rPr>
        <w:t xml:space="preserve"> government</w:t>
      </w:r>
      <w:r w:rsidR="00866148">
        <w:rPr>
          <w:rFonts w:ascii="Gill Sans MT" w:eastAsia="Times New Roman" w:hAnsi="Gill Sans MT"/>
        </w:rPr>
        <w:t>s</w:t>
      </w:r>
      <w:r w:rsidR="00F26DD6">
        <w:rPr>
          <w:rFonts w:ascii="Gill Sans MT" w:eastAsia="Times New Roman" w:hAnsi="Gill Sans MT"/>
        </w:rPr>
        <w:t xml:space="preserve"> treated it as the final word and answer to every question.  This attempt by the government to take control of the mandate created by the Brexit referendum did not reconcile its irregular authority with the regular authority of the established political institutions – instead </w:t>
      </w:r>
      <w:r w:rsidR="00866148">
        <w:rPr>
          <w:rFonts w:ascii="Gill Sans MT" w:eastAsia="Times New Roman" w:hAnsi="Gill Sans MT"/>
        </w:rPr>
        <w:t>the government failed to tame the disruptive potential of the referendum decision, resulting in a major challenge to its authority (and the authority of the legislature) between the general elections of 2017 and 2019.</w:t>
      </w:r>
      <w:r w:rsidR="00751D0F">
        <w:rPr>
          <w:rFonts w:ascii="Gill Sans MT" w:eastAsia="Times New Roman" w:hAnsi="Gill Sans MT"/>
        </w:rPr>
        <w:t xml:space="preserve">  </w:t>
      </w:r>
      <w:r w:rsidR="009C1184">
        <w:rPr>
          <w:rFonts w:ascii="Gill Sans MT" w:eastAsia="Times New Roman" w:hAnsi="Gill Sans MT"/>
        </w:rPr>
        <w:t>Therefore,</w:t>
      </w:r>
      <w:r w:rsidR="00751D0F">
        <w:rPr>
          <w:rFonts w:ascii="Gill Sans MT" w:eastAsia="Times New Roman" w:hAnsi="Gill Sans MT"/>
        </w:rPr>
        <w:t xml:space="preserve"> it was not merely the fact that a referendum was held which made Brexit so divisive, but the way in which the political institutions engaged with that decision.  Ultimately, </w:t>
      </w:r>
      <w:r w:rsidR="00C62194">
        <w:rPr>
          <w:rFonts w:ascii="Gill Sans MT" w:eastAsia="Times New Roman" w:hAnsi="Gill Sans MT"/>
        </w:rPr>
        <w:t>this produced</w:t>
      </w:r>
      <w:r w:rsidR="00751D0F">
        <w:rPr>
          <w:rFonts w:ascii="Gill Sans MT" w:eastAsia="Times New Roman" w:hAnsi="Gill Sans MT"/>
        </w:rPr>
        <w:t xml:space="preserve"> </w:t>
      </w:r>
      <w:r w:rsidR="00CA66A6">
        <w:rPr>
          <w:rFonts w:ascii="Gill Sans MT" w:eastAsia="Times New Roman" w:hAnsi="Gill Sans MT"/>
        </w:rPr>
        <w:t>constitutional disagreement</w:t>
      </w:r>
      <w:r w:rsidR="00E55310">
        <w:rPr>
          <w:rFonts w:ascii="Gill Sans MT" w:eastAsia="Times New Roman" w:hAnsi="Gill Sans MT"/>
        </w:rPr>
        <w:t xml:space="preserve"> at a very fundamental level</w:t>
      </w:r>
      <w:r w:rsidR="00985D21">
        <w:rPr>
          <w:rFonts w:ascii="Gill Sans MT" w:eastAsia="Times New Roman" w:hAnsi="Gill Sans MT"/>
        </w:rPr>
        <w:t>,</w:t>
      </w:r>
      <w:r w:rsidR="00751D0F">
        <w:rPr>
          <w:rFonts w:ascii="Gill Sans MT" w:eastAsia="Times New Roman" w:hAnsi="Gill Sans MT"/>
        </w:rPr>
        <w:t xml:space="preserve"> which</w:t>
      </w:r>
      <w:r w:rsidR="00CA66A6">
        <w:rPr>
          <w:rFonts w:ascii="Gill Sans MT" w:eastAsia="Times New Roman" w:hAnsi="Gill Sans MT"/>
        </w:rPr>
        <w:t xml:space="preserve"> framed the entire process</w:t>
      </w:r>
      <w:r w:rsidR="00E55310">
        <w:rPr>
          <w:rFonts w:ascii="Gill Sans MT" w:eastAsia="Times New Roman" w:hAnsi="Gill Sans MT"/>
        </w:rPr>
        <w:t>.</w:t>
      </w:r>
    </w:p>
    <w:p w14:paraId="27FFC752" w14:textId="77777777" w:rsidR="00BB2F7C" w:rsidRDefault="00BB2F7C" w:rsidP="00865C3E">
      <w:pPr>
        <w:spacing w:after="0" w:line="240" w:lineRule="auto"/>
        <w:rPr>
          <w:rFonts w:ascii="Gill Sans MT" w:eastAsia="Times New Roman" w:hAnsi="Gill Sans MT" w:cs="Times New Roman"/>
          <w:color w:val="000000"/>
          <w:lang w:eastAsia="en-GB"/>
        </w:rPr>
      </w:pPr>
    </w:p>
    <w:p w14:paraId="12AC3FFC" w14:textId="65CC2873" w:rsidR="00BB2F7C" w:rsidRDefault="00BB2F7C" w:rsidP="00865C3E">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(ii) </w:t>
      </w:r>
      <w:r w:rsidR="002B1FD1">
        <w:rPr>
          <w:rFonts w:ascii="Gill Sans MT" w:eastAsia="Times New Roman" w:hAnsi="Gill Sans MT" w:cs="Times New Roman"/>
          <w:color w:val="000000"/>
          <w:lang w:eastAsia="en-GB"/>
        </w:rPr>
        <w:t xml:space="preserve">UK </w:t>
      </w:r>
      <w:r>
        <w:rPr>
          <w:rFonts w:ascii="Gill Sans MT" w:eastAsia="Times New Roman" w:hAnsi="Gill Sans MT" w:cs="Times New Roman"/>
          <w:color w:val="000000"/>
          <w:lang w:eastAsia="en-GB"/>
        </w:rPr>
        <w:t xml:space="preserve">Parliament </w:t>
      </w:r>
      <w:r w:rsidR="002B1FD1">
        <w:rPr>
          <w:rFonts w:ascii="Gill Sans MT" w:eastAsia="Times New Roman" w:hAnsi="Gill Sans MT" w:cs="Times New Roman"/>
          <w:color w:val="000000"/>
          <w:lang w:eastAsia="en-GB"/>
        </w:rPr>
        <w:t xml:space="preserve">and </w:t>
      </w:r>
      <w:r>
        <w:rPr>
          <w:rFonts w:ascii="Gill Sans MT" w:eastAsia="Times New Roman" w:hAnsi="Gill Sans MT" w:cs="Times New Roman"/>
          <w:color w:val="000000"/>
          <w:lang w:eastAsia="en-GB"/>
        </w:rPr>
        <w:t>government</w:t>
      </w:r>
    </w:p>
    <w:p w14:paraId="1AD4DED1" w14:textId="4EC224A4" w:rsidR="00BB2F7C" w:rsidRDefault="00BB2F7C" w:rsidP="00865C3E">
      <w:pPr>
        <w:spacing w:after="0" w:line="240" w:lineRule="auto"/>
        <w:rPr>
          <w:rFonts w:ascii="Gill Sans MT" w:eastAsia="Times New Roman" w:hAnsi="Gill Sans MT" w:cs="Times New Roman"/>
          <w:color w:val="000000"/>
          <w:lang w:eastAsia="en-GB"/>
        </w:rPr>
      </w:pPr>
    </w:p>
    <w:p w14:paraId="09048E02" w14:textId="6DFDF5FA" w:rsidR="00CA66A6" w:rsidRDefault="00CA66A6" w:rsidP="007F64E1">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Against this backdrop, delivering Brexit became a hugely contentious task for the government and Parliament, and there was an un</w:t>
      </w:r>
      <w:r w:rsidR="009C1184">
        <w:rPr>
          <w:rFonts w:ascii="Gill Sans MT" w:eastAsia="Times New Roman" w:hAnsi="Gill Sans MT" w:cs="Times New Roman"/>
          <w:color w:val="000000"/>
          <w:lang w:eastAsia="en-GB"/>
        </w:rPr>
        <w:t>u</w:t>
      </w:r>
      <w:r>
        <w:rPr>
          <w:rFonts w:ascii="Gill Sans MT" w:eastAsia="Times New Roman" w:hAnsi="Gill Sans MT" w:cs="Times New Roman"/>
          <w:color w:val="000000"/>
          <w:lang w:eastAsia="en-GB"/>
        </w:rPr>
        <w:t xml:space="preserve">sually high level of division between these two institutions during the </w:t>
      </w:r>
      <w:r>
        <w:rPr>
          <w:rFonts w:ascii="Gill Sans MT" w:eastAsia="Times New Roman" w:hAnsi="Gill Sans MT" w:cs="Times New Roman"/>
          <w:color w:val="000000"/>
          <w:lang w:eastAsia="en-GB"/>
        </w:rPr>
        <w:lastRenderedPageBreak/>
        <w:t xml:space="preserve">process.  </w:t>
      </w:r>
      <w:r w:rsidR="009C1184">
        <w:rPr>
          <w:rFonts w:ascii="Gill Sans MT" w:eastAsia="Times New Roman" w:hAnsi="Gill Sans MT" w:cs="Times New Roman"/>
          <w:color w:val="000000"/>
          <w:lang w:eastAsia="en-GB"/>
        </w:rPr>
        <w:t>In the UK’s model of parliamentary government there is normally a ‘fusion’ of power between the executive and the legislature.</w:t>
      </w:r>
      <w:r w:rsidR="009C1184">
        <w:rPr>
          <w:rStyle w:val="FootnoteReference"/>
          <w:rFonts w:ascii="Gill Sans MT" w:eastAsia="Times New Roman" w:hAnsi="Gill Sans MT" w:cs="Times New Roman"/>
          <w:color w:val="000000"/>
          <w:lang w:eastAsia="en-GB"/>
        </w:rPr>
        <w:footnoteReference w:id="8"/>
      </w:r>
      <w:r w:rsidR="009C1184">
        <w:rPr>
          <w:rFonts w:ascii="Gill Sans MT" w:eastAsia="Times New Roman" w:hAnsi="Gill Sans MT" w:cs="Times New Roman"/>
          <w:color w:val="000000"/>
          <w:lang w:eastAsia="en-GB"/>
        </w:rPr>
        <w:t xml:space="preserve">  </w:t>
      </w:r>
      <w:r w:rsidR="00151212">
        <w:rPr>
          <w:rFonts w:ascii="Gill Sans MT" w:eastAsia="Times New Roman" w:hAnsi="Gill Sans MT" w:cs="Times New Roman"/>
          <w:color w:val="000000"/>
          <w:lang w:eastAsia="en-GB"/>
        </w:rPr>
        <w:t xml:space="preserve">This </w:t>
      </w:r>
      <w:r w:rsidR="007F64E1">
        <w:rPr>
          <w:rFonts w:ascii="Gill Sans MT" w:eastAsia="Times New Roman" w:hAnsi="Gill Sans MT" w:cs="Times New Roman"/>
          <w:color w:val="000000"/>
          <w:lang w:eastAsia="en-GB"/>
        </w:rPr>
        <w:t>follows</w:t>
      </w:r>
      <w:r w:rsidR="00151212">
        <w:rPr>
          <w:rFonts w:ascii="Gill Sans MT" w:eastAsia="Times New Roman" w:hAnsi="Gill Sans MT" w:cs="Times New Roman"/>
          <w:color w:val="000000"/>
          <w:lang w:eastAsia="en-GB"/>
        </w:rPr>
        <w:t xml:space="preserve"> from the fact that any government is drawn from with</w:t>
      </w:r>
      <w:r w:rsidR="00175443">
        <w:rPr>
          <w:rFonts w:ascii="Gill Sans MT" w:eastAsia="Times New Roman" w:hAnsi="Gill Sans MT" w:cs="Times New Roman"/>
          <w:color w:val="000000"/>
          <w:lang w:eastAsia="en-GB"/>
        </w:rPr>
        <w:t>in</w:t>
      </w:r>
      <w:r w:rsidR="00151212">
        <w:rPr>
          <w:rFonts w:ascii="Gill Sans MT" w:eastAsia="Times New Roman" w:hAnsi="Gill Sans MT" w:cs="Times New Roman"/>
          <w:color w:val="000000"/>
          <w:lang w:eastAsia="en-GB"/>
        </w:rPr>
        <w:t xml:space="preserve"> Parliament, and depends on commanding a majority in the House of Commons to obtain and retain office.  The objectives of the government are therefore usually aligned with those of a majority of MPs in the House of Commons, due to the </w:t>
      </w:r>
      <w:r w:rsidR="00151212">
        <w:rPr>
          <w:rFonts w:ascii="Gill Sans MT" w:eastAsia="Times New Roman" w:hAnsi="Gill Sans MT" w:cs="Times New Roman"/>
          <w:color w:val="000000"/>
          <w:shd w:val="clear" w:color="auto" w:fill="FFFFFF"/>
          <w:lang w:eastAsia="en-GB"/>
        </w:rPr>
        <w:t>distorting effects of a first-past-the-post voting system which produces general elections which (in theory) provide a decisive winner.</w:t>
      </w:r>
      <w:r w:rsidR="00175443">
        <w:rPr>
          <w:rStyle w:val="FootnoteReference"/>
          <w:rFonts w:ascii="Gill Sans MT" w:eastAsia="Times New Roman" w:hAnsi="Gill Sans MT" w:cs="Times New Roman"/>
          <w:color w:val="000000"/>
          <w:shd w:val="clear" w:color="auto" w:fill="FFFFFF"/>
          <w:lang w:eastAsia="en-GB"/>
        </w:rPr>
        <w:footnoteReference w:id="9"/>
      </w:r>
      <w:r w:rsidR="00151212">
        <w:rPr>
          <w:rFonts w:ascii="Gill Sans MT" w:eastAsia="Times New Roman" w:hAnsi="Gill Sans MT" w:cs="Times New Roman"/>
          <w:color w:val="000000"/>
          <w:shd w:val="clear" w:color="auto" w:fill="FFFFFF"/>
          <w:lang w:eastAsia="en-GB"/>
        </w:rPr>
        <w:t xml:space="preserve">  While the government and Parliament perform different constitutional functions, and the legislature is crucially tasked with holding the executive to account, there is both an institutional and an operational unity between a government with a majority and the Parliament within which it exists.  Whether this is an ‘efficient secret’</w:t>
      </w:r>
      <w:r w:rsidR="009264A2">
        <w:rPr>
          <w:rStyle w:val="FootnoteReference"/>
          <w:rFonts w:ascii="Gill Sans MT" w:eastAsia="Times New Roman" w:hAnsi="Gill Sans MT" w:cs="Times New Roman"/>
          <w:color w:val="000000"/>
          <w:shd w:val="clear" w:color="auto" w:fill="FFFFFF"/>
          <w:lang w:eastAsia="en-GB"/>
        </w:rPr>
        <w:footnoteReference w:id="10"/>
      </w:r>
      <w:r w:rsidR="00151212">
        <w:rPr>
          <w:rFonts w:ascii="Gill Sans MT" w:eastAsia="Times New Roman" w:hAnsi="Gill Sans MT" w:cs="Times New Roman"/>
          <w:color w:val="000000"/>
          <w:shd w:val="clear" w:color="auto" w:fill="FFFFFF"/>
          <w:lang w:eastAsia="en-GB"/>
        </w:rPr>
        <w:t xml:space="preserve"> or an ‘</w:t>
      </w:r>
      <w:r>
        <w:rPr>
          <w:rFonts w:ascii="Gill Sans MT" w:eastAsia="Times New Roman" w:hAnsi="Gill Sans MT" w:cs="Times New Roman"/>
          <w:color w:val="000000"/>
          <w:lang w:eastAsia="en-GB"/>
        </w:rPr>
        <w:t>elective dictatorship</w:t>
      </w:r>
      <w:r w:rsidR="00151212">
        <w:rPr>
          <w:rFonts w:ascii="Gill Sans MT" w:eastAsia="Times New Roman" w:hAnsi="Gill Sans MT" w:cs="Times New Roman"/>
          <w:color w:val="000000"/>
          <w:lang w:eastAsia="en-GB"/>
        </w:rPr>
        <w:t>’</w:t>
      </w:r>
      <w:r w:rsidR="009264A2">
        <w:rPr>
          <w:rStyle w:val="FootnoteReference"/>
          <w:rFonts w:ascii="Gill Sans MT" w:eastAsia="Times New Roman" w:hAnsi="Gill Sans MT" w:cs="Times New Roman"/>
          <w:color w:val="000000"/>
          <w:lang w:eastAsia="en-GB"/>
        </w:rPr>
        <w:footnoteReference w:id="11"/>
      </w:r>
      <w:r w:rsidR="00151212">
        <w:rPr>
          <w:rFonts w:ascii="Gill Sans MT" w:eastAsia="Times New Roman" w:hAnsi="Gill Sans MT" w:cs="Times New Roman"/>
          <w:color w:val="000000"/>
          <w:lang w:eastAsia="en-GB"/>
        </w:rPr>
        <w:t xml:space="preserve"> </w:t>
      </w:r>
      <w:r w:rsidR="00112F14">
        <w:rPr>
          <w:rFonts w:ascii="Gill Sans MT" w:eastAsia="Times New Roman" w:hAnsi="Gill Sans MT" w:cs="Times New Roman"/>
          <w:color w:val="000000"/>
          <w:lang w:eastAsia="en-GB"/>
        </w:rPr>
        <w:t xml:space="preserve">(or neither) </w:t>
      </w:r>
      <w:r w:rsidR="00151212">
        <w:rPr>
          <w:rFonts w:ascii="Gill Sans MT" w:eastAsia="Times New Roman" w:hAnsi="Gill Sans MT" w:cs="Times New Roman"/>
          <w:color w:val="000000"/>
          <w:lang w:eastAsia="en-GB"/>
        </w:rPr>
        <w:t>is open to debate</w:t>
      </w:r>
      <w:r w:rsidR="009264A2">
        <w:rPr>
          <w:rFonts w:ascii="Gill Sans MT" w:eastAsia="Times New Roman" w:hAnsi="Gill Sans MT" w:cs="Times New Roman"/>
          <w:color w:val="000000"/>
          <w:lang w:eastAsia="en-GB"/>
        </w:rPr>
        <w:t>, but</w:t>
      </w:r>
      <w:r w:rsidR="007F64E1">
        <w:rPr>
          <w:rFonts w:ascii="Gill Sans MT" w:eastAsia="Times New Roman" w:hAnsi="Gill Sans MT" w:cs="Times New Roman"/>
          <w:color w:val="000000"/>
          <w:lang w:eastAsia="en-GB"/>
        </w:rPr>
        <w:t xml:space="preserve"> </w:t>
      </w:r>
      <w:r w:rsidR="00F910EE">
        <w:rPr>
          <w:rFonts w:ascii="Gill Sans MT" w:eastAsia="Times New Roman" w:hAnsi="Gill Sans MT" w:cs="Times New Roman"/>
          <w:color w:val="000000"/>
          <w:lang w:eastAsia="en-GB"/>
        </w:rPr>
        <w:t>the fusion between the legislature and executive significantly collapsed during (and perhaps also because of) the Brexit process.</w:t>
      </w:r>
    </w:p>
    <w:p w14:paraId="405BED3E" w14:textId="5E5FB914" w:rsidR="00F910EE" w:rsidRDefault="00F910EE" w:rsidP="007F64E1">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b/>
        <w:t xml:space="preserve">When replacing David Cameron as Prime Minister following the referendum in </w:t>
      </w:r>
      <w:r w:rsidRPr="000D433E">
        <w:rPr>
          <w:rFonts w:ascii="Gill Sans MT" w:eastAsia="Times New Roman" w:hAnsi="Gill Sans MT" w:cs="Times New Roman"/>
          <w:color w:val="000000"/>
          <w:lang w:eastAsia="en-GB"/>
        </w:rPr>
        <w:t>July</w:t>
      </w:r>
      <w:r>
        <w:rPr>
          <w:rFonts w:ascii="Gill Sans MT" w:eastAsia="Times New Roman" w:hAnsi="Gill Sans MT" w:cs="Times New Roman"/>
          <w:color w:val="000000"/>
          <w:lang w:eastAsia="en-GB"/>
        </w:rPr>
        <w:t xml:space="preserve"> 2016, Theresa May initially inherited Cameron’s Commons majority.  However, at the early general election held in </w:t>
      </w:r>
      <w:r w:rsidR="000D433E" w:rsidRPr="000D433E">
        <w:rPr>
          <w:rFonts w:ascii="Gill Sans MT" w:eastAsia="Times New Roman" w:hAnsi="Gill Sans MT" w:cs="Times New Roman"/>
          <w:color w:val="000000"/>
          <w:lang w:eastAsia="en-GB"/>
        </w:rPr>
        <w:t>June</w:t>
      </w:r>
      <w:r>
        <w:rPr>
          <w:rFonts w:ascii="Gill Sans MT" w:eastAsia="Times New Roman" w:hAnsi="Gill Sans MT" w:cs="Times New Roman"/>
          <w:color w:val="000000"/>
          <w:lang w:eastAsia="en-GB"/>
        </w:rPr>
        <w:t xml:space="preserve"> 2017, May lost her majority, and was forced to form a minority government underpinned by a ‘confidence and supply’ agreement with the Democratic Unionist Party from Northern Ireland.</w:t>
      </w:r>
      <w:r>
        <w:rPr>
          <w:rStyle w:val="FootnoteReference"/>
          <w:rFonts w:ascii="Gill Sans MT" w:eastAsia="Times New Roman" w:hAnsi="Gill Sans MT" w:cs="Times New Roman"/>
          <w:color w:val="000000"/>
          <w:lang w:eastAsia="en-GB"/>
        </w:rPr>
        <w:footnoteReference w:id="12"/>
      </w:r>
      <w:r>
        <w:rPr>
          <w:rFonts w:ascii="Gill Sans MT" w:eastAsia="Times New Roman" w:hAnsi="Gill Sans MT" w:cs="Times New Roman"/>
          <w:color w:val="000000"/>
          <w:lang w:eastAsia="en-GB"/>
        </w:rPr>
        <w:t xml:space="preserve">  This radically undermined the ability of the May government to gain the support of Parliament for a withdrawal deal negotiated with the EU – her lack of a majority left the government highly vulnerable to rebellions from within the Conservative party, from those MPs who opposed Brexit entirely, and those who opposed the version of Brexit she had negotiated as being</w:t>
      </w:r>
      <w:r w:rsidR="00A5648B">
        <w:rPr>
          <w:rFonts w:ascii="Gill Sans MT" w:eastAsia="Times New Roman" w:hAnsi="Gill Sans MT" w:cs="Times New Roman"/>
          <w:color w:val="000000"/>
          <w:lang w:eastAsia="en-GB"/>
        </w:rPr>
        <w:t xml:space="preserve"> an </w:t>
      </w:r>
      <w:r>
        <w:rPr>
          <w:rFonts w:ascii="Gill Sans MT" w:eastAsia="Times New Roman" w:hAnsi="Gill Sans MT" w:cs="Times New Roman"/>
          <w:color w:val="000000"/>
          <w:lang w:eastAsia="en-GB"/>
        </w:rPr>
        <w:t>insufficient disconnection with the EU (and the supremacy of EU law and the jurisdiction of the CJEU in particular).</w:t>
      </w:r>
      <w:r w:rsidR="00F25DA4">
        <w:rPr>
          <w:rFonts w:ascii="Gill Sans MT" w:eastAsia="Times New Roman" w:hAnsi="Gill Sans MT" w:cs="Times New Roman"/>
          <w:color w:val="000000"/>
          <w:lang w:eastAsia="en-GB"/>
        </w:rPr>
        <w:t xml:space="preserve">  Theresa May’s withdrawal deal was defeated in spectacular fashion on three occasions, including by a historic </w:t>
      </w:r>
      <w:r w:rsidR="00476674" w:rsidRPr="00476674">
        <w:rPr>
          <w:rFonts w:ascii="Gill Sans MT" w:eastAsia="Times New Roman" w:hAnsi="Gill Sans MT" w:cs="Times New Roman"/>
          <w:color w:val="000000"/>
          <w:lang w:eastAsia="en-GB"/>
        </w:rPr>
        <w:t>230</w:t>
      </w:r>
      <w:r w:rsidR="00F25DA4">
        <w:rPr>
          <w:rFonts w:ascii="Gill Sans MT" w:eastAsia="Times New Roman" w:hAnsi="Gill Sans MT" w:cs="Times New Roman"/>
          <w:color w:val="000000"/>
          <w:lang w:eastAsia="en-GB"/>
        </w:rPr>
        <w:t xml:space="preserve"> votes in </w:t>
      </w:r>
      <w:r w:rsidR="00476674" w:rsidRPr="00476674">
        <w:rPr>
          <w:rFonts w:ascii="Gill Sans MT" w:eastAsia="Times New Roman" w:hAnsi="Gill Sans MT" w:cs="Times New Roman"/>
          <w:color w:val="000000"/>
          <w:lang w:eastAsia="en-GB"/>
        </w:rPr>
        <w:t>January 2019</w:t>
      </w:r>
      <w:r w:rsidR="00F25DA4">
        <w:rPr>
          <w:rFonts w:ascii="Gill Sans MT" w:eastAsia="Times New Roman" w:hAnsi="Gill Sans MT" w:cs="Times New Roman"/>
          <w:color w:val="000000"/>
          <w:lang w:eastAsia="en-GB"/>
        </w:rPr>
        <w:t xml:space="preserve">.  </w:t>
      </w:r>
      <w:r w:rsidR="004D74E3">
        <w:rPr>
          <w:rFonts w:ascii="Gill Sans MT" w:eastAsia="Times New Roman" w:hAnsi="Gill Sans MT" w:cs="Times New Roman"/>
          <w:color w:val="000000"/>
          <w:lang w:eastAsia="en-GB"/>
        </w:rPr>
        <w:t xml:space="preserve">Subsequent attempts to renegotiate her deal made little impact, and May resigned in </w:t>
      </w:r>
      <w:r w:rsidR="00EF34C8">
        <w:rPr>
          <w:rFonts w:ascii="Gill Sans MT" w:eastAsia="Times New Roman" w:hAnsi="Gill Sans MT" w:cs="Times New Roman"/>
          <w:color w:val="000000"/>
          <w:lang w:eastAsia="en-GB"/>
        </w:rPr>
        <w:t>July 2019</w:t>
      </w:r>
      <w:r w:rsidR="004D74E3">
        <w:rPr>
          <w:rFonts w:ascii="Gill Sans MT" w:eastAsia="Times New Roman" w:hAnsi="Gill Sans MT" w:cs="Times New Roman"/>
          <w:color w:val="000000"/>
          <w:lang w:eastAsia="en-GB"/>
        </w:rPr>
        <w:t xml:space="preserve"> to be replaced as Prime Minister by Boris Johnson.</w:t>
      </w:r>
    </w:p>
    <w:p w14:paraId="7317536E" w14:textId="65FB287F" w:rsidR="004D74E3" w:rsidRDefault="004D74E3" w:rsidP="007F64E1">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b/>
        <w:t xml:space="preserve">The Johnson government had, if anything, a more precarious relationship with Parliament.  This was partly because the new Prime Minister’s strategy was to confront the legislature, accuse it of blocking the will of the people as expressed at the referendum, and manufacture </w:t>
      </w:r>
      <w:r w:rsidR="00811526">
        <w:rPr>
          <w:rFonts w:ascii="Gill Sans MT" w:eastAsia="Times New Roman" w:hAnsi="Gill Sans MT" w:cs="Times New Roman"/>
          <w:color w:val="000000"/>
          <w:lang w:eastAsia="en-GB"/>
        </w:rPr>
        <w:t xml:space="preserve">either an exit from the EU without a deal, or a general election to obtain a fresh mandate to ‘get Brexit done’.  Johnson took a number of steps which actually reduced his control over the House of Commons, including expelling </w:t>
      </w:r>
      <w:r w:rsidR="00641019" w:rsidRPr="00641019">
        <w:rPr>
          <w:rFonts w:ascii="Gill Sans MT" w:eastAsia="Times New Roman" w:hAnsi="Gill Sans MT" w:cs="Times New Roman"/>
          <w:color w:val="000000"/>
          <w:lang w:eastAsia="en-GB"/>
        </w:rPr>
        <w:t>21</w:t>
      </w:r>
      <w:r w:rsidR="00811526">
        <w:rPr>
          <w:rFonts w:ascii="Gill Sans MT" w:eastAsia="Times New Roman" w:hAnsi="Gill Sans MT" w:cs="Times New Roman"/>
          <w:color w:val="000000"/>
          <w:lang w:eastAsia="en-GB"/>
        </w:rPr>
        <w:t xml:space="preserve"> pro-remain MPs from the Conservative Party, making his government even more precarious than that of Theresa May.  Eventually Johnson was able to persuade the opposition parties to support another early general election,</w:t>
      </w:r>
      <w:r w:rsidR="00811526">
        <w:rPr>
          <w:rStyle w:val="FootnoteReference"/>
          <w:rFonts w:ascii="Gill Sans MT" w:eastAsia="Times New Roman" w:hAnsi="Gill Sans MT" w:cs="Times New Roman"/>
          <w:color w:val="000000"/>
          <w:lang w:eastAsia="en-GB"/>
        </w:rPr>
        <w:footnoteReference w:id="13"/>
      </w:r>
      <w:r w:rsidR="00811526">
        <w:rPr>
          <w:rFonts w:ascii="Gill Sans MT" w:eastAsia="Times New Roman" w:hAnsi="Gill Sans MT" w:cs="Times New Roman"/>
          <w:color w:val="000000"/>
          <w:lang w:eastAsia="en-GB"/>
        </w:rPr>
        <w:t xml:space="preserve"> and at the December 2019 election the era of minority government came to an end, when </w:t>
      </w:r>
      <w:r w:rsidR="00AE007E">
        <w:rPr>
          <w:rFonts w:ascii="Gill Sans MT" w:eastAsia="Times New Roman" w:hAnsi="Gill Sans MT" w:cs="Times New Roman"/>
          <w:color w:val="000000"/>
          <w:lang w:eastAsia="en-GB"/>
        </w:rPr>
        <w:t>Johnson won an 80</w:t>
      </w:r>
      <w:r w:rsidR="003F1253">
        <w:rPr>
          <w:rFonts w:ascii="Gill Sans MT" w:eastAsia="Times New Roman" w:hAnsi="Gill Sans MT" w:cs="Times New Roman"/>
          <w:color w:val="000000"/>
          <w:lang w:eastAsia="en-GB"/>
        </w:rPr>
        <w:t>-</w:t>
      </w:r>
      <w:r w:rsidR="00AE007E">
        <w:rPr>
          <w:rFonts w:ascii="Gill Sans MT" w:eastAsia="Times New Roman" w:hAnsi="Gill Sans MT" w:cs="Times New Roman"/>
          <w:color w:val="000000"/>
          <w:lang w:eastAsia="en-GB"/>
        </w:rPr>
        <w:t>seat majority.  His Brexit deal was duly approved by this new Parliament,</w:t>
      </w:r>
      <w:r w:rsidR="00AF293E">
        <w:rPr>
          <w:rStyle w:val="FootnoteReference"/>
          <w:rFonts w:ascii="Gill Sans MT" w:eastAsia="Times New Roman" w:hAnsi="Gill Sans MT" w:cs="Times New Roman"/>
          <w:color w:val="000000"/>
          <w:lang w:eastAsia="en-GB"/>
        </w:rPr>
        <w:footnoteReference w:id="14"/>
      </w:r>
      <w:r w:rsidR="00AE007E">
        <w:rPr>
          <w:rFonts w:ascii="Gill Sans MT" w:eastAsia="Times New Roman" w:hAnsi="Gill Sans MT" w:cs="Times New Roman"/>
          <w:color w:val="000000"/>
          <w:lang w:eastAsia="en-GB"/>
        </w:rPr>
        <w:t xml:space="preserve"> and the UK exited the </w:t>
      </w:r>
      <w:r w:rsidR="00AF293E">
        <w:rPr>
          <w:rFonts w:ascii="Gill Sans MT" w:eastAsia="Times New Roman" w:hAnsi="Gill Sans MT" w:cs="Times New Roman"/>
          <w:color w:val="000000"/>
          <w:lang w:eastAsia="en-GB"/>
        </w:rPr>
        <w:t>EU on 31 January 2020.</w:t>
      </w:r>
    </w:p>
    <w:p w14:paraId="0606DFD8" w14:textId="65D03DEA" w:rsidR="00046050" w:rsidRDefault="00132084" w:rsidP="00046050">
      <w:pPr>
        <w:spacing w:after="0" w:line="240" w:lineRule="auto"/>
        <w:ind w:firstLine="720"/>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There were a number of i</w:t>
      </w:r>
      <w:r w:rsidR="004D74E3">
        <w:rPr>
          <w:rFonts w:ascii="Gill Sans MT" w:eastAsia="Times New Roman" w:hAnsi="Gill Sans MT" w:cs="Times New Roman"/>
          <w:color w:val="000000"/>
          <w:lang w:eastAsia="en-GB"/>
        </w:rPr>
        <w:t>nnovations</w:t>
      </w:r>
      <w:r w:rsidR="00811526">
        <w:rPr>
          <w:rFonts w:ascii="Gill Sans MT" w:eastAsia="Times New Roman" w:hAnsi="Gill Sans MT" w:cs="Times New Roman"/>
          <w:color w:val="000000"/>
          <w:lang w:eastAsia="en-GB"/>
        </w:rPr>
        <w:t xml:space="preserve"> in this extraordinary perio</w:t>
      </w:r>
      <w:r>
        <w:rPr>
          <w:rFonts w:ascii="Gill Sans MT" w:eastAsia="Times New Roman" w:hAnsi="Gill Sans MT" w:cs="Times New Roman"/>
          <w:color w:val="000000"/>
          <w:lang w:eastAsia="en-GB"/>
        </w:rPr>
        <w:t xml:space="preserve">d of conflict at the heart of parliamentary government.  </w:t>
      </w:r>
      <w:r w:rsidR="00A94B1B">
        <w:rPr>
          <w:rFonts w:ascii="Gill Sans MT" w:eastAsia="Times New Roman" w:hAnsi="Gill Sans MT" w:cs="Times New Roman"/>
          <w:color w:val="000000"/>
          <w:lang w:eastAsia="en-GB"/>
        </w:rPr>
        <w:t>On two occasions Parliament enacted legislation against the wishes of the government to force extensions to the time limited process for negotiating EU exit.</w:t>
      </w:r>
      <w:r w:rsidR="00A94B1B">
        <w:rPr>
          <w:rStyle w:val="FootnoteReference"/>
          <w:rFonts w:ascii="Gill Sans MT" w:eastAsia="Times New Roman" w:hAnsi="Gill Sans MT" w:cs="Times New Roman"/>
          <w:color w:val="000000"/>
          <w:lang w:eastAsia="en-GB"/>
        </w:rPr>
        <w:footnoteReference w:id="15"/>
      </w:r>
      <w:r w:rsidR="00A94B1B">
        <w:rPr>
          <w:rFonts w:ascii="Gill Sans MT" w:eastAsia="Times New Roman" w:hAnsi="Gill Sans MT" w:cs="Times New Roman"/>
          <w:color w:val="000000"/>
          <w:lang w:eastAsia="en-GB"/>
        </w:rPr>
        <w:t xml:space="preserve">  The second such Act even prescribed the precise terms of the letter which Prime Minister Boris Johnson had to send to the EU under duress, such was the discomfort with suggestions he might ignore his legal obligations and refuse to prolong negotiations.  To enact </w:t>
      </w:r>
      <w:r w:rsidR="003F1253">
        <w:rPr>
          <w:rFonts w:ascii="Gill Sans MT" w:eastAsia="Times New Roman" w:hAnsi="Gill Sans MT" w:cs="Times New Roman"/>
          <w:color w:val="000000"/>
          <w:lang w:eastAsia="en-GB"/>
        </w:rPr>
        <w:t>this</w:t>
      </w:r>
      <w:r w:rsidR="00A94B1B">
        <w:rPr>
          <w:rFonts w:ascii="Gill Sans MT" w:eastAsia="Times New Roman" w:hAnsi="Gill Sans MT" w:cs="Times New Roman"/>
          <w:color w:val="000000"/>
          <w:lang w:eastAsia="en-GB"/>
        </w:rPr>
        <w:t xml:space="preserve"> legislation, MPs in the House of Commons had to seize control over parliamentary business from the government.  This was done in preference to removing this minority government through a no confidence vote, because of uncertainty about whether a no deal exit from the EU could happen automatically in the meantime, and also because of the unwillingness of Conservative rebels to create circumstances in which the </w:t>
      </w:r>
      <w:r w:rsidR="00A94B1B">
        <w:rPr>
          <w:rFonts w:ascii="Gill Sans MT" w:eastAsia="Times New Roman" w:hAnsi="Gill Sans MT" w:cs="Times New Roman"/>
          <w:color w:val="000000"/>
          <w:lang w:eastAsia="en-GB"/>
        </w:rPr>
        <w:lastRenderedPageBreak/>
        <w:t xml:space="preserve">opposition could form a government.  Other innovations included the House of Commons attempting a series of ‘indicative votes’ to try to find a compromise Brexit policy, which failed when all </w:t>
      </w:r>
      <w:r w:rsidR="007B05F4">
        <w:rPr>
          <w:rFonts w:ascii="Gill Sans MT" w:eastAsia="Times New Roman" w:hAnsi="Gill Sans MT" w:cs="Times New Roman"/>
          <w:color w:val="000000"/>
          <w:lang w:eastAsia="en-GB"/>
        </w:rPr>
        <w:t xml:space="preserve">four </w:t>
      </w:r>
      <w:r w:rsidR="00A94B1B">
        <w:rPr>
          <w:rFonts w:ascii="Gill Sans MT" w:eastAsia="Times New Roman" w:hAnsi="Gill Sans MT" w:cs="Times New Roman"/>
          <w:color w:val="000000"/>
          <w:lang w:eastAsia="en-GB"/>
        </w:rPr>
        <w:t>options were rejected.</w:t>
      </w:r>
    </w:p>
    <w:p w14:paraId="23A8F053" w14:textId="77777777" w:rsidR="00C67DA9" w:rsidRDefault="002602EE" w:rsidP="00001D72">
      <w:pPr>
        <w:spacing w:after="0" w:line="240" w:lineRule="auto"/>
        <w:ind w:firstLine="720"/>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But while this was a time of almost unprecedent</w:t>
      </w:r>
      <w:r w:rsidR="00064552">
        <w:rPr>
          <w:rFonts w:ascii="Gill Sans MT" w:eastAsia="Times New Roman" w:hAnsi="Gill Sans MT" w:cs="Times New Roman"/>
          <w:color w:val="000000"/>
          <w:lang w:eastAsia="en-GB"/>
        </w:rPr>
        <w:t>ed</w:t>
      </w:r>
      <w:r>
        <w:rPr>
          <w:rFonts w:ascii="Gill Sans MT" w:eastAsia="Times New Roman" w:hAnsi="Gill Sans MT" w:cs="Times New Roman"/>
          <w:color w:val="000000"/>
          <w:lang w:eastAsia="en-GB"/>
        </w:rPr>
        <w:t xml:space="preserve"> division between the legislature and the executive, completion of the Brexit process ultimately required </w:t>
      </w:r>
      <w:r w:rsidR="00BB2F7C">
        <w:rPr>
          <w:rFonts w:ascii="Gill Sans MT" w:eastAsia="Times New Roman" w:hAnsi="Gill Sans MT" w:cs="Times New Roman"/>
          <w:color w:val="000000"/>
          <w:lang w:eastAsia="en-GB"/>
        </w:rPr>
        <w:t>joint decisions reflecting</w:t>
      </w:r>
      <w:r>
        <w:rPr>
          <w:rFonts w:ascii="Gill Sans MT" w:eastAsia="Times New Roman" w:hAnsi="Gill Sans MT" w:cs="Times New Roman"/>
          <w:color w:val="000000"/>
          <w:lang w:eastAsia="en-GB"/>
        </w:rPr>
        <w:t xml:space="preserve"> the ordinary</w:t>
      </w:r>
      <w:r w:rsidR="00BB2F7C">
        <w:rPr>
          <w:rFonts w:ascii="Gill Sans MT" w:eastAsia="Times New Roman" w:hAnsi="Gill Sans MT" w:cs="Times New Roman"/>
          <w:color w:val="000000"/>
          <w:lang w:eastAsia="en-GB"/>
        </w:rPr>
        <w:t xml:space="preserve"> fusion of powers underpinning the operation of parliamentary government in the U</w:t>
      </w:r>
      <w:r>
        <w:rPr>
          <w:rFonts w:ascii="Gill Sans MT" w:eastAsia="Times New Roman" w:hAnsi="Gill Sans MT" w:cs="Times New Roman"/>
          <w:color w:val="000000"/>
          <w:lang w:eastAsia="en-GB"/>
        </w:rPr>
        <w:t>K.</w:t>
      </w:r>
      <w:r w:rsidR="00B83F66">
        <w:rPr>
          <w:rFonts w:ascii="Gill Sans MT" w:eastAsia="Times New Roman" w:hAnsi="Gill Sans MT" w:cs="Times New Roman"/>
          <w:color w:val="000000"/>
          <w:lang w:eastAsia="en-GB"/>
        </w:rPr>
        <w:t xml:space="preserve">  The EU (Notification of Withdrawal) Act 2017 was enacted to authorise the start of exit negotiations by the government, and </w:t>
      </w:r>
      <w:r w:rsidR="00BB2F7C">
        <w:rPr>
          <w:rFonts w:ascii="Gill Sans MT" w:eastAsia="Times New Roman" w:hAnsi="Gill Sans MT" w:cs="Times New Roman"/>
          <w:color w:val="000000"/>
          <w:lang w:eastAsia="en-GB"/>
        </w:rPr>
        <w:t xml:space="preserve">shaped the </w:t>
      </w:r>
      <w:r w:rsidR="00B83F66">
        <w:rPr>
          <w:rFonts w:ascii="Gill Sans MT" w:eastAsia="Times New Roman" w:hAnsi="Gill Sans MT" w:cs="Times New Roman"/>
          <w:color w:val="000000"/>
          <w:lang w:eastAsia="en-GB"/>
        </w:rPr>
        <w:t xml:space="preserve">Brexit </w:t>
      </w:r>
      <w:r w:rsidR="00BB2F7C">
        <w:rPr>
          <w:rFonts w:ascii="Gill Sans MT" w:eastAsia="Times New Roman" w:hAnsi="Gill Sans MT" w:cs="Times New Roman"/>
          <w:color w:val="000000"/>
          <w:lang w:eastAsia="en-GB"/>
        </w:rPr>
        <w:t>process</w:t>
      </w:r>
      <w:r w:rsidR="00B83F66">
        <w:rPr>
          <w:rFonts w:ascii="Gill Sans MT" w:eastAsia="Times New Roman" w:hAnsi="Gill Sans MT" w:cs="Times New Roman"/>
          <w:color w:val="000000"/>
          <w:lang w:eastAsia="en-GB"/>
        </w:rPr>
        <w:t xml:space="preserve"> </w:t>
      </w:r>
      <w:r w:rsidR="00046050">
        <w:rPr>
          <w:rFonts w:ascii="Gill Sans MT" w:eastAsia="Times New Roman" w:hAnsi="Gill Sans MT" w:cs="Times New Roman"/>
          <w:color w:val="000000"/>
          <w:lang w:eastAsia="en-GB"/>
        </w:rPr>
        <w:t xml:space="preserve">by effectively providing a </w:t>
      </w:r>
      <w:r w:rsidR="00010746">
        <w:rPr>
          <w:rFonts w:ascii="Gill Sans MT" w:eastAsia="Times New Roman" w:hAnsi="Gill Sans MT" w:cs="Times New Roman"/>
          <w:color w:val="000000"/>
          <w:lang w:eastAsia="en-GB"/>
        </w:rPr>
        <w:t xml:space="preserve">cross-party </w:t>
      </w:r>
      <w:r w:rsidR="00046050">
        <w:rPr>
          <w:rFonts w:ascii="Gill Sans MT" w:eastAsia="Times New Roman" w:hAnsi="Gill Sans MT" w:cs="Times New Roman"/>
          <w:color w:val="000000"/>
          <w:lang w:eastAsia="en-GB"/>
        </w:rPr>
        <w:t>parliamentary ratification of the ‘leave’ vote.  Further legi</w:t>
      </w:r>
      <w:r w:rsidR="008374B1">
        <w:rPr>
          <w:rFonts w:ascii="Gill Sans MT" w:eastAsia="Times New Roman" w:hAnsi="Gill Sans MT" w:cs="Times New Roman"/>
          <w:color w:val="000000"/>
          <w:lang w:eastAsia="en-GB"/>
        </w:rPr>
        <w:t xml:space="preserve">slation </w:t>
      </w:r>
      <w:r w:rsidR="00046050">
        <w:rPr>
          <w:rFonts w:ascii="Gill Sans MT" w:eastAsia="Times New Roman" w:hAnsi="Gill Sans MT" w:cs="Times New Roman"/>
          <w:color w:val="000000"/>
          <w:lang w:eastAsia="en-GB"/>
        </w:rPr>
        <w:t>passed</w:t>
      </w:r>
      <w:r w:rsidR="008374B1">
        <w:rPr>
          <w:rFonts w:ascii="Gill Sans MT" w:eastAsia="Times New Roman" w:hAnsi="Gill Sans MT" w:cs="Times New Roman"/>
          <w:color w:val="000000"/>
          <w:lang w:eastAsia="en-GB"/>
        </w:rPr>
        <w:t xml:space="preserve"> under </w:t>
      </w:r>
      <w:r w:rsidR="00046050">
        <w:rPr>
          <w:rFonts w:ascii="Gill Sans MT" w:eastAsia="Times New Roman" w:hAnsi="Gill Sans MT" w:cs="Times New Roman"/>
          <w:color w:val="000000"/>
          <w:lang w:eastAsia="en-GB"/>
        </w:rPr>
        <w:t xml:space="preserve">Theresa </w:t>
      </w:r>
      <w:r w:rsidR="008374B1">
        <w:rPr>
          <w:rFonts w:ascii="Gill Sans MT" w:eastAsia="Times New Roman" w:hAnsi="Gill Sans MT" w:cs="Times New Roman"/>
          <w:color w:val="000000"/>
          <w:lang w:eastAsia="en-GB"/>
        </w:rPr>
        <w:t xml:space="preserve">May </w:t>
      </w:r>
      <w:r w:rsidR="00046050">
        <w:rPr>
          <w:rFonts w:ascii="Gill Sans MT" w:eastAsia="Times New Roman" w:hAnsi="Gill Sans MT" w:cs="Times New Roman"/>
          <w:color w:val="000000"/>
          <w:lang w:eastAsia="en-GB"/>
        </w:rPr>
        <w:t xml:space="preserve">to prepare the UK’s statute book for the withdrawal of directly effective EU law was more contentious, but the EU (Withdrawal) Act 2018 again </w:t>
      </w:r>
      <w:r w:rsidR="00C67DA9">
        <w:rPr>
          <w:rFonts w:ascii="Gill Sans MT" w:eastAsia="Times New Roman" w:hAnsi="Gill Sans MT" w:cs="Times New Roman"/>
          <w:color w:val="000000"/>
          <w:lang w:eastAsia="en-GB"/>
        </w:rPr>
        <w:t xml:space="preserve">was </w:t>
      </w:r>
      <w:r w:rsidR="00046050">
        <w:rPr>
          <w:rFonts w:ascii="Gill Sans MT" w:eastAsia="Times New Roman" w:hAnsi="Gill Sans MT" w:cs="Times New Roman"/>
          <w:color w:val="000000"/>
          <w:lang w:eastAsia="en-GB"/>
        </w:rPr>
        <w:t xml:space="preserve">ultimately passed after concessions were extracted from the government.  One key </w:t>
      </w:r>
      <w:r w:rsidR="008374B1">
        <w:rPr>
          <w:rFonts w:ascii="Gill Sans MT" w:eastAsia="Times New Roman" w:hAnsi="Gill Sans MT" w:cs="Times New Roman"/>
          <w:color w:val="000000"/>
          <w:lang w:eastAsia="en-GB"/>
        </w:rPr>
        <w:t xml:space="preserve">concession </w:t>
      </w:r>
      <w:r w:rsidR="00046050">
        <w:rPr>
          <w:rFonts w:ascii="Gill Sans MT" w:eastAsia="Times New Roman" w:hAnsi="Gill Sans MT" w:cs="Times New Roman"/>
          <w:color w:val="000000"/>
          <w:lang w:eastAsia="en-GB"/>
        </w:rPr>
        <w:t>was the inclusion of a provision for the House of Commons to have a ‘</w:t>
      </w:r>
      <w:r w:rsidR="008374B1">
        <w:rPr>
          <w:rFonts w:ascii="Gill Sans MT" w:eastAsia="Times New Roman" w:hAnsi="Gill Sans MT" w:cs="Times New Roman"/>
          <w:color w:val="000000"/>
          <w:lang w:eastAsia="en-GB"/>
        </w:rPr>
        <w:t>meaningful vote</w:t>
      </w:r>
      <w:r w:rsidR="00046050">
        <w:rPr>
          <w:rFonts w:ascii="Gill Sans MT" w:eastAsia="Times New Roman" w:hAnsi="Gill Sans MT" w:cs="Times New Roman"/>
          <w:color w:val="000000"/>
          <w:lang w:eastAsia="en-GB"/>
        </w:rPr>
        <w:t>’ (as it became known in political discourse) giving it the power to approve or reject any exit treaty concluded between the government and the EU</w:t>
      </w:r>
      <w:r w:rsidR="00064552">
        <w:rPr>
          <w:rFonts w:ascii="Gill Sans MT" w:eastAsia="Times New Roman" w:hAnsi="Gill Sans MT" w:cs="Times New Roman"/>
          <w:color w:val="000000"/>
          <w:lang w:eastAsia="en-GB"/>
        </w:rPr>
        <w:t xml:space="preserve"> (but, crucially, not the power to veto a ‘no deal’ Brexit)</w:t>
      </w:r>
      <w:r w:rsidR="00046050">
        <w:rPr>
          <w:rFonts w:ascii="Gill Sans MT" w:eastAsia="Times New Roman" w:hAnsi="Gill Sans MT" w:cs="Times New Roman"/>
          <w:color w:val="000000"/>
          <w:lang w:eastAsia="en-GB"/>
        </w:rPr>
        <w:t>.</w:t>
      </w:r>
      <w:r w:rsidR="00B83F66">
        <w:rPr>
          <w:rStyle w:val="FootnoteReference"/>
          <w:rFonts w:ascii="Gill Sans MT" w:eastAsia="Times New Roman" w:hAnsi="Gill Sans MT" w:cs="Times New Roman"/>
          <w:color w:val="000000"/>
          <w:lang w:eastAsia="en-GB"/>
        </w:rPr>
        <w:footnoteReference w:id="16"/>
      </w:r>
      <w:r w:rsidR="00F02EEC">
        <w:rPr>
          <w:rFonts w:ascii="Gill Sans MT" w:eastAsia="Times New Roman" w:hAnsi="Gill Sans MT" w:cs="Times New Roman"/>
          <w:color w:val="000000"/>
          <w:lang w:eastAsia="en-GB"/>
        </w:rPr>
        <w:t xml:space="preserve">  This provision gave significant leverage to rebel MPs during the long period of minority government, but was ultimately dispensed with by the EU (Withdrawal Agreement) Act 2020, the legislation passed to implement Boris Johnson’s </w:t>
      </w:r>
      <w:r w:rsidR="00064552">
        <w:rPr>
          <w:rFonts w:ascii="Gill Sans MT" w:eastAsia="Times New Roman" w:hAnsi="Gill Sans MT" w:cs="Times New Roman"/>
          <w:color w:val="000000"/>
          <w:lang w:eastAsia="en-GB"/>
        </w:rPr>
        <w:t>renegotiated W</w:t>
      </w:r>
      <w:r w:rsidR="00F02EEC">
        <w:rPr>
          <w:rFonts w:ascii="Gill Sans MT" w:eastAsia="Times New Roman" w:hAnsi="Gill Sans MT" w:cs="Times New Roman"/>
          <w:color w:val="000000"/>
          <w:lang w:eastAsia="en-GB"/>
        </w:rPr>
        <w:t xml:space="preserve">ithdrawal </w:t>
      </w:r>
      <w:r w:rsidR="00064552">
        <w:rPr>
          <w:rFonts w:ascii="Gill Sans MT" w:eastAsia="Times New Roman" w:hAnsi="Gill Sans MT" w:cs="Times New Roman"/>
          <w:color w:val="000000"/>
          <w:lang w:eastAsia="en-GB"/>
        </w:rPr>
        <w:t>A</w:t>
      </w:r>
      <w:r w:rsidR="00F02EEC">
        <w:rPr>
          <w:rFonts w:ascii="Gill Sans MT" w:eastAsia="Times New Roman" w:hAnsi="Gill Sans MT" w:cs="Times New Roman"/>
          <w:color w:val="000000"/>
          <w:lang w:eastAsia="en-GB"/>
        </w:rPr>
        <w:t>greement.</w:t>
      </w:r>
    </w:p>
    <w:p w14:paraId="5F2921DD" w14:textId="3FFA8FBF" w:rsidR="00070024" w:rsidRDefault="00F02EEC" w:rsidP="00001D72">
      <w:pPr>
        <w:spacing w:after="0" w:line="240" w:lineRule="auto"/>
        <w:ind w:firstLine="720"/>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While the unprecedented events of 2017 to 2019 therefore define our experience of the Brexit process to a substantial extent, the conclusion to it was largely orthodox – a government with a majority persuaded Parliament to enact legislation (in this case, </w:t>
      </w:r>
      <w:r w:rsidR="00064552">
        <w:rPr>
          <w:rFonts w:ascii="Gill Sans MT" w:eastAsia="Times New Roman" w:hAnsi="Gill Sans MT" w:cs="Times New Roman"/>
          <w:color w:val="000000"/>
          <w:lang w:eastAsia="en-GB"/>
        </w:rPr>
        <w:t>pushed</w:t>
      </w:r>
      <w:r>
        <w:rPr>
          <w:rFonts w:ascii="Gill Sans MT" w:eastAsia="Times New Roman" w:hAnsi="Gill Sans MT" w:cs="Times New Roman"/>
          <w:color w:val="000000"/>
          <w:lang w:eastAsia="en-GB"/>
        </w:rPr>
        <w:t xml:space="preserve"> through </w:t>
      </w:r>
      <w:r w:rsidR="00C67DA9">
        <w:rPr>
          <w:rFonts w:ascii="Gill Sans MT" w:eastAsia="Times New Roman" w:hAnsi="Gill Sans MT" w:cs="Times New Roman"/>
          <w:color w:val="000000"/>
          <w:lang w:eastAsia="en-GB"/>
        </w:rPr>
        <w:t xml:space="preserve">in </w:t>
      </w:r>
      <w:r w:rsidR="00064552">
        <w:rPr>
          <w:rFonts w:ascii="Gill Sans MT" w:eastAsia="Times New Roman" w:hAnsi="Gill Sans MT" w:cs="Times New Roman"/>
          <w:color w:val="000000"/>
          <w:lang w:eastAsia="en-GB"/>
        </w:rPr>
        <w:t>just over one month</w:t>
      </w:r>
      <w:r>
        <w:rPr>
          <w:rFonts w:ascii="Gill Sans MT" w:eastAsia="Times New Roman" w:hAnsi="Gill Sans MT" w:cs="Times New Roman"/>
          <w:color w:val="000000"/>
          <w:lang w:eastAsia="en-GB"/>
        </w:rPr>
        <w:t>) to give effect to its policy choice.</w:t>
      </w:r>
      <w:r w:rsidR="00E80EA7">
        <w:rPr>
          <w:rFonts w:ascii="Gill Sans MT" w:eastAsia="Times New Roman" w:hAnsi="Gill Sans MT" w:cs="Times New Roman"/>
          <w:color w:val="000000"/>
          <w:lang w:eastAsia="en-GB"/>
        </w:rPr>
        <w:t xml:space="preserve">  This did not eliminate political disagreement, by now deeply entrenched around strong affective voter identities of ‘remainers’ and ‘leavers’.</w:t>
      </w:r>
      <w:r w:rsidR="00064552">
        <w:rPr>
          <w:rStyle w:val="FootnoteReference"/>
          <w:rFonts w:ascii="Gill Sans MT" w:eastAsia="Times New Roman" w:hAnsi="Gill Sans MT" w:cs="Times New Roman"/>
          <w:color w:val="000000"/>
          <w:lang w:eastAsia="en-GB"/>
        </w:rPr>
        <w:footnoteReference w:id="17"/>
      </w:r>
      <w:r w:rsidR="00E80EA7">
        <w:rPr>
          <w:rFonts w:ascii="Gill Sans MT" w:eastAsia="Times New Roman" w:hAnsi="Gill Sans MT" w:cs="Times New Roman"/>
          <w:color w:val="000000"/>
          <w:lang w:eastAsia="en-GB"/>
        </w:rPr>
        <w:t xml:space="preserve">  But it did show that while pervasive, disagreement was not infinite, </w:t>
      </w:r>
      <w:r w:rsidR="00001D72">
        <w:rPr>
          <w:rFonts w:ascii="Gill Sans MT" w:eastAsia="Times New Roman" w:hAnsi="Gill Sans MT" w:cs="Times New Roman"/>
          <w:color w:val="000000"/>
          <w:lang w:eastAsia="en-GB"/>
        </w:rPr>
        <w:t>with a form of constitutional resolution (even if still contentious and incomplete)</w:t>
      </w:r>
      <w:r w:rsidR="002F543B">
        <w:rPr>
          <w:rStyle w:val="FootnoteReference"/>
          <w:rFonts w:ascii="Gill Sans MT" w:eastAsia="Times New Roman" w:hAnsi="Gill Sans MT" w:cs="Times New Roman"/>
          <w:color w:val="000000"/>
          <w:lang w:eastAsia="en-GB"/>
        </w:rPr>
        <w:footnoteReference w:id="18"/>
      </w:r>
      <w:r w:rsidR="00001D72">
        <w:rPr>
          <w:rFonts w:ascii="Gill Sans MT" w:eastAsia="Times New Roman" w:hAnsi="Gill Sans MT" w:cs="Times New Roman"/>
          <w:color w:val="000000"/>
          <w:lang w:eastAsia="en-GB"/>
        </w:rPr>
        <w:t xml:space="preserve"> prompted </w:t>
      </w:r>
      <w:r w:rsidR="00147347">
        <w:rPr>
          <w:rFonts w:ascii="Gill Sans MT" w:eastAsia="Times New Roman" w:hAnsi="Gill Sans MT" w:cs="Times New Roman"/>
          <w:color w:val="000000"/>
          <w:lang w:eastAsia="en-GB"/>
        </w:rPr>
        <w:t xml:space="preserve">only </w:t>
      </w:r>
      <w:r w:rsidR="00E80EA7">
        <w:rPr>
          <w:rFonts w:ascii="Gill Sans MT" w:eastAsia="Times New Roman" w:hAnsi="Gill Sans MT" w:cs="Times New Roman"/>
          <w:color w:val="000000"/>
          <w:lang w:eastAsia="en-GB"/>
        </w:rPr>
        <w:t>after a further intervention by the electorate, this time through a general election.</w:t>
      </w:r>
    </w:p>
    <w:p w14:paraId="3103B5B6" w14:textId="765ED26B" w:rsidR="00BB2F7C" w:rsidRDefault="00BB2F7C" w:rsidP="00865C3E">
      <w:pPr>
        <w:spacing w:after="0" w:line="240" w:lineRule="auto"/>
        <w:rPr>
          <w:rFonts w:ascii="Gill Sans MT" w:eastAsia="Times New Roman" w:hAnsi="Gill Sans MT" w:cs="Times New Roman"/>
          <w:color w:val="000000"/>
          <w:lang w:eastAsia="en-GB"/>
        </w:rPr>
      </w:pPr>
    </w:p>
    <w:p w14:paraId="2EBB5027" w14:textId="3D3F20DD" w:rsidR="00BB2F7C" w:rsidRDefault="00BB2F7C" w:rsidP="00865C3E">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(iii) </w:t>
      </w:r>
      <w:r w:rsidR="002B1FD1">
        <w:rPr>
          <w:rFonts w:ascii="Gill Sans MT" w:eastAsia="Times New Roman" w:hAnsi="Gill Sans MT" w:cs="Times New Roman"/>
          <w:color w:val="000000"/>
          <w:lang w:eastAsia="en-GB"/>
        </w:rPr>
        <w:t>UK g</w:t>
      </w:r>
      <w:r>
        <w:rPr>
          <w:rFonts w:ascii="Gill Sans MT" w:eastAsia="Times New Roman" w:hAnsi="Gill Sans MT" w:cs="Times New Roman"/>
          <w:color w:val="000000"/>
          <w:lang w:eastAsia="en-GB"/>
        </w:rPr>
        <w:t xml:space="preserve">overnment </w:t>
      </w:r>
      <w:r w:rsidR="002B1FD1">
        <w:rPr>
          <w:rFonts w:ascii="Gill Sans MT" w:eastAsia="Times New Roman" w:hAnsi="Gill Sans MT" w:cs="Times New Roman"/>
          <w:color w:val="000000"/>
          <w:lang w:eastAsia="en-GB"/>
        </w:rPr>
        <w:t xml:space="preserve">and the </w:t>
      </w:r>
      <w:r>
        <w:rPr>
          <w:rFonts w:ascii="Gill Sans MT" w:eastAsia="Times New Roman" w:hAnsi="Gill Sans MT" w:cs="Times New Roman"/>
          <w:color w:val="000000"/>
          <w:lang w:eastAsia="en-GB"/>
        </w:rPr>
        <w:t>courts</w:t>
      </w:r>
    </w:p>
    <w:p w14:paraId="5CE1A174" w14:textId="162EB0CA" w:rsidR="00BB2F7C" w:rsidRDefault="00BB2F7C" w:rsidP="00865C3E">
      <w:pPr>
        <w:spacing w:after="0" w:line="240" w:lineRule="auto"/>
        <w:rPr>
          <w:rFonts w:ascii="Gill Sans MT" w:eastAsia="Times New Roman" w:hAnsi="Gill Sans MT" w:cs="Times New Roman"/>
          <w:color w:val="000000"/>
          <w:lang w:eastAsia="en-GB"/>
        </w:rPr>
      </w:pPr>
    </w:p>
    <w:p w14:paraId="0E3F072E" w14:textId="77777777" w:rsidR="000A297F" w:rsidRDefault="00736FD9" w:rsidP="0006265C">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Just as persistent tensions between the government and Parliament came to define the Brexit process, so too did a number of high-profile legal disputes based on challenges to government policy and decision-making relating to withdrawal from the EU.  Th</w:t>
      </w:r>
      <w:r w:rsidR="0006265C">
        <w:rPr>
          <w:rFonts w:ascii="Gill Sans MT" w:eastAsia="Times New Roman" w:hAnsi="Gill Sans MT" w:cs="Times New Roman"/>
          <w:color w:val="000000"/>
          <w:lang w:eastAsia="en-GB"/>
        </w:rPr>
        <w:t xml:space="preserve">is series of litigation </w:t>
      </w:r>
      <w:r>
        <w:rPr>
          <w:rFonts w:ascii="Gill Sans MT" w:eastAsia="Times New Roman" w:hAnsi="Gill Sans MT" w:cs="Times New Roman"/>
          <w:color w:val="000000"/>
          <w:lang w:eastAsia="en-GB"/>
        </w:rPr>
        <w:t>raised fundamental questions about the jurisdiction of the courts to hear challenges to sensitive political decisions by judicial review.  In particular, the Brexit process</w:t>
      </w:r>
      <w:r w:rsidRPr="00736FD9">
        <w:rPr>
          <w:rFonts w:ascii="Gill Sans MT" w:eastAsia="Times New Roman" w:hAnsi="Gill Sans MT" w:cs="Times New Roman"/>
          <w:color w:val="000000"/>
          <w:lang w:eastAsia="en-GB"/>
        </w:rPr>
        <w:t xml:space="preserve"> </w:t>
      </w:r>
      <w:r>
        <w:rPr>
          <w:rFonts w:ascii="Gill Sans MT" w:eastAsia="Times New Roman" w:hAnsi="Gill Sans MT" w:cs="Times New Roman"/>
          <w:color w:val="000000"/>
          <w:lang w:eastAsia="en-GB"/>
        </w:rPr>
        <w:t>was bookended by the two Miller cases, which concerned the use of royal prerogative powers</w:t>
      </w:r>
      <w:r w:rsidR="001A4456">
        <w:rPr>
          <w:rFonts w:ascii="Gill Sans MT" w:eastAsia="Times New Roman" w:hAnsi="Gill Sans MT" w:cs="Times New Roman"/>
          <w:color w:val="000000"/>
          <w:lang w:eastAsia="en-GB"/>
        </w:rPr>
        <w:t xml:space="preserve"> exercised in practice by the executive.  </w:t>
      </w:r>
      <w:r>
        <w:rPr>
          <w:rFonts w:ascii="Gill Sans MT" w:eastAsia="Times New Roman" w:hAnsi="Gill Sans MT" w:cs="Times New Roman"/>
          <w:color w:val="000000"/>
          <w:lang w:eastAsia="en-GB"/>
        </w:rPr>
        <w:t xml:space="preserve"> </w:t>
      </w:r>
      <w:r w:rsidR="001A4456" w:rsidRPr="00736FD9">
        <w:rPr>
          <w:rFonts w:ascii="Gill Sans MT" w:eastAsia="Times New Roman" w:hAnsi="Gill Sans MT" w:cs="Times New Roman"/>
          <w:i/>
          <w:iCs/>
          <w:color w:val="000000"/>
          <w:lang w:eastAsia="en-GB"/>
        </w:rPr>
        <w:t xml:space="preserve">Miller </w:t>
      </w:r>
      <w:r w:rsidR="0006265C">
        <w:rPr>
          <w:rFonts w:ascii="Gill Sans MT" w:eastAsia="Times New Roman" w:hAnsi="Gill Sans MT" w:cs="Times New Roman"/>
          <w:i/>
          <w:iCs/>
          <w:color w:val="000000"/>
          <w:lang w:eastAsia="en-GB"/>
        </w:rPr>
        <w:t>(No.</w:t>
      </w:r>
      <w:r w:rsidR="001A4456">
        <w:rPr>
          <w:rFonts w:ascii="Gill Sans MT" w:eastAsia="Times New Roman" w:hAnsi="Gill Sans MT" w:cs="Times New Roman"/>
          <w:i/>
          <w:iCs/>
          <w:color w:val="000000"/>
          <w:lang w:eastAsia="en-GB"/>
        </w:rPr>
        <w:t>1</w:t>
      </w:r>
      <w:r w:rsidR="0006265C">
        <w:rPr>
          <w:rFonts w:ascii="Gill Sans MT" w:eastAsia="Times New Roman" w:hAnsi="Gill Sans MT" w:cs="Times New Roman"/>
          <w:i/>
          <w:iCs/>
          <w:color w:val="000000"/>
          <w:lang w:eastAsia="en-GB"/>
        </w:rPr>
        <w:t>)</w:t>
      </w:r>
      <w:r w:rsidR="001A4456">
        <w:rPr>
          <w:rFonts w:ascii="Gill Sans MT" w:eastAsia="Times New Roman" w:hAnsi="Gill Sans MT" w:cs="Times New Roman"/>
          <w:i/>
          <w:iCs/>
          <w:color w:val="000000"/>
          <w:lang w:eastAsia="en-GB"/>
        </w:rPr>
        <w:t xml:space="preserve"> </w:t>
      </w:r>
      <w:r w:rsidR="001A4456">
        <w:rPr>
          <w:rFonts w:ascii="Gill Sans MT" w:eastAsia="Times New Roman" w:hAnsi="Gill Sans MT" w:cs="Times New Roman"/>
          <w:color w:val="000000"/>
          <w:lang w:eastAsia="en-GB"/>
        </w:rPr>
        <w:t>(brought against Theresa May’s government) concerned the power to</w:t>
      </w:r>
      <w:r>
        <w:rPr>
          <w:rFonts w:ascii="Gill Sans MT" w:eastAsia="Times New Roman" w:hAnsi="Gill Sans MT" w:cs="Times New Roman"/>
          <w:color w:val="000000"/>
          <w:lang w:eastAsia="en-GB"/>
        </w:rPr>
        <w:t xml:space="preserve"> notify the EU of the UK’s intention to leave</w:t>
      </w:r>
      <w:r w:rsidR="001A4456">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 xml:space="preserve"> and therefore begin exit negotiations</w:t>
      </w:r>
      <w:r w:rsidR="007C7686">
        <w:rPr>
          <w:rFonts w:ascii="Gill Sans MT" w:eastAsia="Times New Roman" w:hAnsi="Gill Sans MT" w:cs="Times New Roman"/>
          <w:color w:val="000000"/>
          <w:lang w:eastAsia="en-GB"/>
        </w:rPr>
        <w:t>.</w:t>
      </w:r>
      <w:r w:rsidR="001A4456">
        <w:rPr>
          <w:rStyle w:val="FootnoteReference"/>
          <w:rFonts w:ascii="Gill Sans MT" w:eastAsia="Times New Roman" w:hAnsi="Gill Sans MT" w:cs="Times New Roman"/>
          <w:color w:val="000000"/>
          <w:lang w:eastAsia="en-GB"/>
        </w:rPr>
        <w:footnoteReference w:id="19"/>
      </w:r>
      <w:r w:rsidR="001A4456">
        <w:rPr>
          <w:rFonts w:ascii="Gill Sans MT" w:eastAsia="Times New Roman" w:hAnsi="Gill Sans MT" w:cs="Times New Roman"/>
          <w:color w:val="000000"/>
          <w:lang w:eastAsia="en-GB"/>
        </w:rPr>
        <w:t xml:space="preserve"> </w:t>
      </w:r>
      <w:r w:rsidR="007C7686">
        <w:rPr>
          <w:rFonts w:ascii="Gill Sans MT" w:eastAsia="Times New Roman" w:hAnsi="Gill Sans MT" w:cs="Times New Roman"/>
          <w:color w:val="000000"/>
          <w:lang w:eastAsia="en-GB"/>
        </w:rPr>
        <w:t xml:space="preserve"> </w:t>
      </w:r>
      <w:r w:rsidR="001A4456" w:rsidRPr="001A4456">
        <w:rPr>
          <w:rFonts w:ascii="Gill Sans MT" w:eastAsia="Times New Roman" w:hAnsi="Gill Sans MT" w:cs="Times New Roman"/>
          <w:i/>
          <w:iCs/>
          <w:color w:val="000000"/>
          <w:lang w:eastAsia="en-GB"/>
        </w:rPr>
        <w:t xml:space="preserve">Cherry / Miller </w:t>
      </w:r>
      <w:r w:rsidR="0006265C">
        <w:rPr>
          <w:rFonts w:ascii="Gill Sans MT" w:eastAsia="Times New Roman" w:hAnsi="Gill Sans MT" w:cs="Times New Roman"/>
          <w:i/>
          <w:iCs/>
          <w:color w:val="000000"/>
          <w:lang w:eastAsia="en-GB"/>
        </w:rPr>
        <w:t>(No.</w:t>
      </w:r>
      <w:r w:rsidR="001A4456" w:rsidRPr="001A4456">
        <w:rPr>
          <w:rFonts w:ascii="Gill Sans MT" w:eastAsia="Times New Roman" w:hAnsi="Gill Sans MT" w:cs="Times New Roman"/>
          <w:i/>
          <w:iCs/>
          <w:color w:val="000000"/>
          <w:lang w:eastAsia="en-GB"/>
        </w:rPr>
        <w:t>2</w:t>
      </w:r>
      <w:r w:rsidR="0006265C">
        <w:rPr>
          <w:rFonts w:ascii="Gill Sans MT" w:eastAsia="Times New Roman" w:hAnsi="Gill Sans MT" w:cs="Times New Roman"/>
          <w:i/>
          <w:iCs/>
          <w:color w:val="000000"/>
          <w:lang w:eastAsia="en-GB"/>
        </w:rPr>
        <w:t>)</w:t>
      </w:r>
      <w:r w:rsidR="001A4456" w:rsidRPr="001A4456">
        <w:rPr>
          <w:rFonts w:ascii="Gill Sans MT" w:eastAsia="Times New Roman" w:hAnsi="Gill Sans MT" w:cs="Times New Roman"/>
          <w:i/>
          <w:iCs/>
          <w:color w:val="000000"/>
          <w:lang w:eastAsia="en-GB"/>
        </w:rPr>
        <w:t xml:space="preserve"> </w:t>
      </w:r>
      <w:r w:rsidR="001A4456">
        <w:rPr>
          <w:rFonts w:ascii="Gill Sans MT" w:eastAsia="Times New Roman" w:hAnsi="Gill Sans MT" w:cs="Times New Roman"/>
          <w:color w:val="000000"/>
          <w:lang w:eastAsia="en-GB"/>
        </w:rPr>
        <w:t>(brought against Boris Johnson’s government) concerned the power to prorogue Parliament for five weeks in an attempt to prevent it from obstructing the government’s plan.</w:t>
      </w:r>
      <w:r w:rsidR="001A4456">
        <w:rPr>
          <w:rStyle w:val="FootnoteReference"/>
          <w:rFonts w:ascii="Gill Sans MT" w:eastAsia="Times New Roman" w:hAnsi="Gill Sans MT" w:cs="Times New Roman"/>
          <w:color w:val="000000"/>
          <w:lang w:eastAsia="en-GB"/>
        </w:rPr>
        <w:footnoteReference w:id="20"/>
      </w:r>
      <w:r w:rsidR="001A4456">
        <w:rPr>
          <w:rFonts w:ascii="Gill Sans MT" w:eastAsia="Times New Roman" w:hAnsi="Gill Sans MT" w:cs="Times New Roman"/>
          <w:color w:val="000000"/>
          <w:lang w:eastAsia="en-GB"/>
        </w:rPr>
        <w:t xml:space="preserve">  Both cases generated questions about whether, in hearing these challenges, the courts were simply fulfilling a formal legal function in ensuring the government acted lawfully, or </w:t>
      </w:r>
      <w:r w:rsidR="007C7686">
        <w:rPr>
          <w:rFonts w:ascii="Gill Sans MT" w:eastAsia="Times New Roman" w:hAnsi="Gill Sans MT" w:cs="Times New Roman"/>
          <w:color w:val="000000"/>
          <w:lang w:eastAsia="en-GB"/>
        </w:rPr>
        <w:t xml:space="preserve">if </w:t>
      </w:r>
      <w:r w:rsidR="001A4456">
        <w:rPr>
          <w:rFonts w:ascii="Gill Sans MT" w:eastAsia="Times New Roman" w:hAnsi="Gill Sans MT" w:cs="Times New Roman"/>
          <w:color w:val="000000"/>
          <w:lang w:eastAsia="en-GB"/>
        </w:rPr>
        <w:t xml:space="preserve">the courts were being used creatively by litigants to create new barriers to the completion of Brexit.  </w:t>
      </w:r>
    </w:p>
    <w:p w14:paraId="3E18BCD8" w14:textId="77777777" w:rsidR="00BE7E94" w:rsidRDefault="001A4456" w:rsidP="00852FE2">
      <w:pPr>
        <w:spacing w:after="0" w:line="240" w:lineRule="auto"/>
        <w:ind w:firstLine="720"/>
        <w:jc w:val="both"/>
        <w:rPr>
          <w:rFonts w:ascii="Gill Sans MT" w:hAnsi="Gill Sans MT"/>
        </w:rPr>
      </w:pPr>
      <w:r>
        <w:rPr>
          <w:rFonts w:ascii="Gill Sans MT" w:eastAsia="Times New Roman" w:hAnsi="Gill Sans MT" w:cs="Times New Roman"/>
          <w:color w:val="000000"/>
          <w:lang w:eastAsia="en-GB"/>
        </w:rPr>
        <w:t xml:space="preserve">The Divisional Court judges who decided the first </w:t>
      </w:r>
      <w:r w:rsidRPr="001A4456">
        <w:rPr>
          <w:rFonts w:ascii="Gill Sans MT" w:eastAsia="Times New Roman" w:hAnsi="Gill Sans MT" w:cs="Times New Roman"/>
          <w:i/>
          <w:iCs/>
          <w:color w:val="000000"/>
          <w:lang w:eastAsia="en-GB"/>
        </w:rPr>
        <w:t>Miller</w:t>
      </w:r>
      <w:r>
        <w:rPr>
          <w:rFonts w:ascii="Gill Sans MT" w:eastAsia="Times New Roman" w:hAnsi="Gill Sans MT" w:cs="Times New Roman"/>
          <w:color w:val="000000"/>
          <w:lang w:eastAsia="en-GB"/>
        </w:rPr>
        <w:t xml:space="preserve"> case </w:t>
      </w:r>
      <w:r w:rsidR="000A297F">
        <w:rPr>
          <w:rFonts w:ascii="Gill Sans MT" w:eastAsia="Times New Roman" w:hAnsi="Gill Sans MT" w:cs="Times New Roman"/>
          <w:color w:val="000000"/>
          <w:lang w:eastAsia="en-GB"/>
        </w:rPr>
        <w:t>were</w:t>
      </w:r>
      <w:r>
        <w:rPr>
          <w:rFonts w:ascii="Gill Sans MT" w:eastAsia="Times New Roman" w:hAnsi="Gill Sans MT" w:cs="Times New Roman"/>
          <w:color w:val="000000"/>
          <w:lang w:eastAsia="en-GB"/>
        </w:rPr>
        <w:t xml:space="preserve"> accused by the Daily Mail of acting as ‘Enemies of the People’, prompting a majority of the Supreme Court to defend its role</w:t>
      </w:r>
      <w:r w:rsidR="00EB02BC">
        <w:rPr>
          <w:rFonts w:ascii="Gill Sans MT" w:eastAsia="Times New Roman" w:hAnsi="Gill Sans MT" w:cs="Times New Roman"/>
          <w:color w:val="000000"/>
          <w:lang w:eastAsia="en-GB"/>
        </w:rPr>
        <w:t>: the case had ‘nothing to do’ with ‘political issues’ such as ‘the wisdom of the decision to withdraw from the European Union’ or ‘the terms of withdrawal’</w:t>
      </w:r>
      <w:r>
        <w:rPr>
          <w:rFonts w:ascii="Gill Sans MT" w:eastAsia="Times New Roman" w:hAnsi="Gill Sans MT" w:cs="Times New Roman"/>
          <w:color w:val="000000"/>
          <w:lang w:eastAsia="en-GB"/>
        </w:rPr>
        <w:t>.</w:t>
      </w:r>
      <w:r w:rsidR="00EB02BC">
        <w:rPr>
          <w:rStyle w:val="FootnoteReference"/>
          <w:rFonts w:ascii="Gill Sans MT" w:eastAsia="Times New Roman" w:hAnsi="Gill Sans MT" w:cs="Times New Roman"/>
          <w:color w:val="000000"/>
          <w:lang w:eastAsia="en-GB"/>
        </w:rPr>
        <w:footnoteReference w:id="21"/>
      </w:r>
      <w:r>
        <w:rPr>
          <w:rFonts w:ascii="Gill Sans MT" w:eastAsia="Times New Roman" w:hAnsi="Gill Sans MT" w:cs="Times New Roman"/>
          <w:color w:val="000000"/>
          <w:lang w:eastAsia="en-GB"/>
        </w:rPr>
        <w:t xml:space="preserve">  </w:t>
      </w:r>
      <w:r w:rsidR="00EB02BC">
        <w:rPr>
          <w:rFonts w:ascii="Gill Sans MT" w:eastAsia="Times New Roman" w:hAnsi="Gill Sans MT" w:cs="Times New Roman"/>
          <w:color w:val="000000"/>
          <w:lang w:eastAsia="en-GB"/>
        </w:rPr>
        <w:t xml:space="preserve">The duty of judges was ‘to decide issues of </w:t>
      </w:r>
      <w:r w:rsidR="00EB02BC">
        <w:rPr>
          <w:rFonts w:ascii="Gill Sans MT" w:eastAsia="Times New Roman" w:hAnsi="Gill Sans MT" w:cs="Times New Roman"/>
          <w:color w:val="000000"/>
          <w:lang w:eastAsia="en-GB"/>
        </w:rPr>
        <w:lastRenderedPageBreak/>
        <w:t>law which are brought before them by individuals and entities exercising their rights of access to the courts in a democratic society’.</w:t>
      </w:r>
      <w:r w:rsidR="00EB02BC">
        <w:rPr>
          <w:rStyle w:val="FootnoteReference"/>
          <w:rFonts w:ascii="Gill Sans MT" w:eastAsia="Times New Roman" w:hAnsi="Gill Sans MT" w:cs="Times New Roman"/>
          <w:color w:val="000000"/>
          <w:lang w:eastAsia="en-GB"/>
        </w:rPr>
        <w:footnoteReference w:id="22"/>
      </w:r>
      <w:r w:rsidR="00EB02BC">
        <w:rPr>
          <w:rFonts w:ascii="Gill Sans MT" w:eastAsia="Times New Roman" w:hAnsi="Gill Sans MT" w:cs="Times New Roman"/>
          <w:color w:val="000000"/>
          <w:lang w:eastAsia="en-GB"/>
        </w:rPr>
        <w:t xml:space="preserve">  </w:t>
      </w:r>
      <w:r w:rsidR="000409AD">
        <w:rPr>
          <w:rFonts w:ascii="Gill Sans MT" w:eastAsia="Times New Roman" w:hAnsi="Gill Sans MT" w:cs="Times New Roman"/>
          <w:color w:val="000000"/>
          <w:lang w:eastAsia="en-GB"/>
        </w:rPr>
        <w:t xml:space="preserve">This defence had shifted somewhat by the time of </w:t>
      </w:r>
      <w:r w:rsidR="000409AD">
        <w:rPr>
          <w:rFonts w:ascii="Gill Sans MT" w:eastAsia="Times New Roman" w:hAnsi="Gill Sans MT" w:cs="Times New Roman"/>
          <w:i/>
          <w:iCs/>
          <w:color w:val="000000"/>
          <w:lang w:eastAsia="en-GB"/>
        </w:rPr>
        <w:t xml:space="preserve">Miller </w:t>
      </w:r>
      <w:r w:rsidR="00013A40">
        <w:rPr>
          <w:rFonts w:ascii="Gill Sans MT" w:eastAsia="Times New Roman" w:hAnsi="Gill Sans MT" w:cs="Times New Roman"/>
          <w:i/>
          <w:iCs/>
          <w:color w:val="000000"/>
          <w:lang w:eastAsia="en-GB"/>
        </w:rPr>
        <w:t>(No.</w:t>
      </w:r>
      <w:r w:rsidR="000409AD">
        <w:rPr>
          <w:rFonts w:ascii="Gill Sans MT" w:eastAsia="Times New Roman" w:hAnsi="Gill Sans MT" w:cs="Times New Roman"/>
          <w:i/>
          <w:iCs/>
          <w:color w:val="000000"/>
          <w:lang w:eastAsia="en-GB"/>
        </w:rPr>
        <w:t>2</w:t>
      </w:r>
      <w:r w:rsidR="00013A40">
        <w:rPr>
          <w:rFonts w:ascii="Gill Sans MT" w:eastAsia="Times New Roman" w:hAnsi="Gill Sans MT" w:cs="Times New Roman"/>
          <w:i/>
          <w:iCs/>
          <w:color w:val="000000"/>
          <w:lang w:eastAsia="en-GB"/>
        </w:rPr>
        <w:t>)</w:t>
      </w:r>
      <w:r w:rsidR="00013A40">
        <w:rPr>
          <w:rFonts w:ascii="Gill Sans MT" w:eastAsia="Times New Roman" w:hAnsi="Gill Sans MT" w:cs="Times New Roman"/>
          <w:color w:val="000000"/>
          <w:lang w:eastAsia="en-GB"/>
        </w:rPr>
        <w:t xml:space="preserve">, with the unanimous Supreme Court this time acknowledging that ‘most of the constitutional cases in our history have been concerned with politics’, in the sense that ‘almost all important decisions made by the executive have a political hue to </w:t>
      </w:r>
      <w:r w:rsidR="00013A40" w:rsidRPr="005E1523">
        <w:rPr>
          <w:rFonts w:ascii="Gill Sans MT" w:eastAsia="Times New Roman" w:hAnsi="Gill Sans MT" w:cs="Times New Roman"/>
          <w:color w:val="000000"/>
          <w:lang w:eastAsia="en-GB"/>
        </w:rPr>
        <w:t>them’.</w:t>
      </w:r>
      <w:r w:rsidR="00852FE2" w:rsidRPr="005E1523">
        <w:rPr>
          <w:rStyle w:val="FootnoteReference"/>
          <w:rFonts w:ascii="Gill Sans MT" w:eastAsia="Times New Roman" w:hAnsi="Gill Sans MT" w:cs="Times New Roman"/>
          <w:color w:val="000000"/>
          <w:lang w:eastAsia="en-GB"/>
        </w:rPr>
        <w:footnoteReference w:id="23"/>
      </w:r>
      <w:r w:rsidR="00852FE2" w:rsidRPr="005E1523">
        <w:rPr>
          <w:rFonts w:ascii="Gill Sans MT" w:eastAsia="Times New Roman" w:hAnsi="Gill Sans MT" w:cs="Times New Roman"/>
          <w:color w:val="000000"/>
          <w:lang w:eastAsia="en-GB"/>
        </w:rPr>
        <w:t xml:space="preserve">  Nevertheless, the </w:t>
      </w:r>
      <w:r w:rsidR="005E1523" w:rsidRPr="005E1523">
        <w:rPr>
          <w:rFonts w:ascii="Gill Sans MT" w:eastAsia="Times New Roman" w:hAnsi="Gill Sans MT" w:cs="Times New Roman"/>
          <w:color w:val="000000"/>
          <w:lang w:eastAsia="en-GB"/>
        </w:rPr>
        <w:t>basic</w:t>
      </w:r>
      <w:r w:rsidR="00852FE2" w:rsidRPr="005E1523">
        <w:rPr>
          <w:rFonts w:ascii="Gill Sans MT" w:eastAsia="Times New Roman" w:hAnsi="Gill Sans MT" w:cs="Times New Roman"/>
          <w:color w:val="000000"/>
          <w:lang w:eastAsia="en-GB"/>
        </w:rPr>
        <w:t xml:space="preserve"> distinction between political </w:t>
      </w:r>
      <w:r w:rsidR="005E1523" w:rsidRPr="005E1523">
        <w:rPr>
          <w:rFonts w:ascii="Gill Sans MT" w:eastAsia="Times New Roman" w:hAnsi="Gill Sans MT" w:cs="Times New Roman"/>
          <w:color w:val="000000"/>
          <w:lang w:eastAsia="en-GB"/>
        </w:rPr>
        <w:t>questions</w:t>
      </w:r>
      <w:r w:rsidR="00852FE2" w:rsidRPr="005E1523">
        <w:rPr>
          <w:rFonts w:ascii="Gill Sans MT" w:eastAsia="Times New Roman" w:hAnsi="Gill Sans MT" w:cs="Times New Roman"/>
          <w:color w:val="000000"/>
          <w:lang w:eastAsia="en-GB"/>
        </w:rPr>
        <w:t xml:space="preserve"> (</w:t>
      </w:r>
      <w:r w:rsidR="005E1523" w:rsidRPr="005E1523">
        <w:rPr>
          <w:rFonts w:ascii="Gill Sans MT" w:eastAsia="Times New Roman" w:hAnsi="Gill Sans MT" w:cs="Times New Roman"/>
          <w:color w:val="000000"/>
          <w:lang w:eastAsia="en-GB"/>
        </w:rPr>
        <w:t>which the courts ‘cannot</w:t>
      </w:r>
      <w:r w:rsidR="00852FE2" w:rsidRPr="005E1523">
        <w:rPr>
          <w:rFonts w:ascii="Gill Sans MT" w:eastAsia="Times New Roman" w:hAnsi="Gill Sans MT" w:cs="Times New Roman"/>
          <w:color w:val="000000"/>
          <w:lang w:eastAsia="en-GB"/>
        </w:rPr>
        <w:t xml:space="preserve"> </w:t>
      </w:r>
      <w:r w:rsidR="005E1523" w:rsidRPr="005E1523">
        <w:rPr>
          <w:rFonts w:ascii="Gill Sans MT" w:eastAsia="Times New Roman" w:hAnsi="Gill Sans MT" w:cs="Times New Roman"/>
          <w:color w:val="000000"/>
          <w:lang w:eastAsia="en-GB"/>
        </w:rPr>
        <w:t>decide’)</w:t>
      </w:r>
      <w:r w:rsidR="005E1523" w:rsidRPr="005E1523">
        <w:rPr>
          <w:rFonts w:ascii="Gill Sans MT" w:hAnsi="Gill Sans MT"/>
        </w:rPr>
        <w:t xml:space="preserve"> and questions of law (which ‘[u]nder the separation of powers, it is the function of the courts to determine’) was </w:t>
      </w:r>
      <w:r w:rsidR="005E1523">
        <w:rPr>
          <w:rFonts w:ascii="Gill Sans MT" w:hAnsi="Gill Sans MT"/>
        </w:rPr>
        <w:t>sustained at a formal level.</w:t>
      </w:r>
      <w:r w:rsidR="005E1523">
        <w:rPr>
          <w:rStyle w:val="FootnoteReference"/>
          <w:rFonts w:ascii="Gill Sans MT" w:hAnsi="Gill Sans MT"/>
        </w:rPr>
        <w:footnoteReference w:id="24"/>
      </w:r>
      <w:r w:rsidR="00216F10">
        <w:rPr>
          <w:rFonts w:ascii="Gill Sans MT" w:hAnsi="Gill Sans MT"/>
        </w:rPr>
        <w:t xml:space="preserve">  </w:t>
      </w:r>
    </w:p>
    <w:p w14:paraId="47A979BE" w14:textId="77777777" w:rsidR="001D56A8" w:rsidRDefault="00216F10" w:rsidP="00631529">
      <w:pPr>
        <w:spacing w:after="0" w:line="240" w:lineRule="auto"/>
        <w:ind w:firstLine="720"/>
        <w:jc w:val="both"/>
        <w:rPr>
          <w:rFonts w:ascii="Gill Sans MT" w:hAnsi="Gill Sans MT"/>
        </w:rPr>
      </w:pPr>
      <w:r>
        <w:rPr>
          <w:rFonts w:ascii="Gill Sans MT" w:hAnsi="Gill Sans MT"/>
        </w:rPr>
        <w:t xml:space="preserve">Of course, the fact that the Supreme Court had to issue these protestations reveals the extent to which these cases were viewed (by the judges and more widely) as contentious.  The reiteration of a basic distinction between law and politics also conceals some of the complexity here – first, there was some disagreement even among the judges, with Lord Reed (in a minority in </w:t>
      </w:r>
      <w:r>
        <w:rPr>
          <w:rFonts w:ascii="Gill Sans MT" w:hAnsi="Gill Sans MT"/>
          <w:i/>
          <w:iCs/>
        </w:rPr>
        <w:t>Miller No.1)</w:t>
      </w:r>
      <w:r>
        <w:rPr>
          <w:rFonts w:ascii="Gill Sans MT" w:hAnsi="Gill Sans MT"/>
        </w:rPr>
        <w:t xml:space="preserve"> raising concerns about the risks of ‘the legalisation of political issues’, and a Divisional Court composed of the Lord Chief Justice, Master of the Rolls and President of the Queen’s Bench Division </w:t>
      </w:r>
      <w:r w:rsidR="00C81DD6">
        <w:rPr>
          <w:rFonts w:ascii="Gill Sans MT" w:hAnsi="Gill Sans MT"/>
        </w:rPr>
        <w:t>first holding</w:t>
      </w:r>
      <w:r>
        <w:rPr>
          <w:rFonts w:ascii="Gill Sans MT" w:hAnsi="Gill Sans MT"/>
        </w:rPr>
        <w:t xml:space="preserve"> in </w:t>
      </w:r>
      <w:r>
        <w:rPr>
          <w:rFonts w:ascii="Gill Sans MT" w:hAnsi="Gill Sans MT"/>
          <w:i/>
          <w:iCs/>
        </w:rPr>
        <w:t xml:space="preserve">Cherry / Miller No.2 </w:t>
      </w:r>
      <w:r>
        <w:rPr>
          <w:rFonts w:ascii="Gill Sans MT" w:hAnsi="Gill Sans MT"/>
        </w:rPr>
        <w:t xml:space="preserve">that </w:t>
      </w:r>
      <w:r w:rsidR="00C81DD6">
        <w:rPr>
          <w:rFonts w:ascii="Gill Sans MT" w:hAnsi="Gill Sans MT"/>
        </w:rPr>
        <w:t>a decision over the length of prorogation was ‘purely political’ and there was ‘no legal measure’ against which the court could assess it.</w:t>
      </w:r>
      <w:r w:rsidR="00C81DD6">
        <w:rPr>
          <w:rStyle w:val="FootnoteReference"/>
          <w:rFonts w:ascii="Gill Sans MT" w:hAnsi="Gill Sans MT"/>
        </w:rPr>
        <w:footnoteReference w:id="25"/>
      </w:r>
      <w:r w:rsidR="00BE7E94">
        <w:rPr>
          <w:rFonts w:ascii="Gill Sans MT" w:hAnsi="Gill Sans MT"/>
        </w:rPr>
        <w:t xml:space="preserve">  </w:t>
      </w:r>
    </w:p>
    <w:p w14:paraId="427FF4F4" w14:textId="77777777" w:rsidR="001D56A8" w:rsidRDefault="00BE7E94" w:rsidP="00631529">
      <w:pPr>
        <w:spacing w:after="0" w:line="240" w:lineRule="auto"/>
        <w:ind w:firstLine="720"/>
        <w:jc w:val="both"/>
        <w:rPr>
          <w:rFonts w:ascii="Gill Sans MT" w:eastAsia="Times New Roman" w:hAnsi="Gill Sans MT" w:cs="Times New Roman"/>
          <w:color w:val="000000"/>
          <w:lang w:eastAsia="en-GB"/>
        </w:rPr>
      </w:pPr>
      <w:r>
        <w:rPr>
          <w:rFonts w:ascii="Gill Sans MT" w:hAnsi="Gill Sans MT"/>
        </w:rPr>
        <w:t xml:space="preserve">Second, the issue here is </w:t>
      </w:r>
      <w:r w:rsidR="006802AD">
        <w:rPr>
          <w:rFonts w:ascii="Gill Sans MT" w:hAnsi="Gill Sans MT"/>
        </w:rPr>
        <w:t xml:space="preserve">much </w:t>
      </w:r>
      <w:r>
        <w:rPr>
          <w:rFonts w:ascii="Gill Sans MT" w:hAnsi="Gill Sans MT"/>
        </w:rPr>
        <w:t xml:space="preserve">more nuanced than whether the courts should </w:t>
      </w:r>
      <w:r w:rsidR="006802AD">
        <w:rPr>
          <w:rFonts w:ascii="Gill Sans MT" w:hAnsi="Gill Sans MT"/>
        </w:rPr>
        <w:t>make</w:t>
      </w:r>
      <w:r>
        <w:rPr>
          <w:rFonts w:ascii="Gill Sans MT" w:hAnsi="Gill Sans MT"/>
        </w:rPr>
        <w:t xml:space="preserve"> political decisions</w:t>
      </w:r>
      <w:r w:rsidR="006802AD">
        <w:rPr>
          <w:rFonts w:ascii="Gill Sans MT" w:hAnsi="Gill Sans MT"/>
        </w:rPr>
        <w:t xml:space="preserve"> (which obviously they should not),</w:t>
      </w:r>
      <w:r>
        <w:rPr>
          <w:rFonts w:ascii="Gill Sans MT" w:hAnsi="Gill Sans MT"/>
        </w:rPr>
        <w:t xml:space="preserve"> but instead the extent to which political considerations might influence the determination of legal questions.</w:t>
      </w:r>
      <w:r w:rsidR="00AB6014">
        <w:rPr>
          <w:rFonts w:ascii="Gill Sans MT" w:hAnsi="Gill Sans MT"/>
        </w:rPr>
        <w:t xml:space="preserve">  And in that sense, both of the </w:t>
      </w:r>
      <w:r w:rsidR="00AB6014">
        <w:rPr>
          <w:rFonts w:ascii="Gill Sans MT" w:hAnsi="Gill Sans MT"/>
          <w:i/>
          <w:iCs/>
        </w:rPr>
        <w:t xml:space="preserve">Miller </w:t>
      </w:r>
      <w:r w:rsidR="00AB6014">
        <w:rPr>
          <w:rFonts w:ascii="Gill Sans MT" w:hAnsi="Gill Sans MT"/>
        </w:rPr>
        <w:t xml:space="preserve">decisions show signs of being shaped decisively by wider political context – </w:t>
      </w:r>
      <w:r w:rsidR="006C5F79">
        <w:rPr>
          <w:rFonts w:ascii="Gill Sans MT" w:hAnsi="Gill Sans MT"/>
        </w:rPr>
        <w:t xml:space="preserve">the intervention in </w:t>
      </w:r>
      <w:r w:rsidR="00AB6014">
        <w:rPr>
          <w:rFonts w:ascii="Gill Sans MT" w:hAnsi="Gill Sans MT"/>
          <w:i/>
          <w:iCs/>
        </w:rPr>
        <w:t xml:space="preserve">Miller (No.1) </w:t>
      </w:r>
      <w:r w:rsidR="006C5F79">
        <w:rPr>
          <w:rFonts w:ascii="Gill Sans MT" w:hAnsi="Gill Sans MT"/>
        </w:rPr>
        <w:t xml:space="preserve">flowed from </w:t>
      </w:r>
      <w:r w:rsidR="00AB6014">
        <w:rPr>
          <w:rFonts w:ascii="Gill Sans MT" w:hAnsi="Gill Sans MT"/>
        </w:rPr>
        <w:t xml:space="preserve">the majority’s </w:t>
      </w:r>
      <w:r w:rsidR="006C5F79">
        <w:rPr>
          <w:rFonts w:ascii="Gill Sans MT" w:hAnsi="Gill Sans MT"/>
        </w:rPr>
        <w:t xml:space="preserve">broad </w:t>
      </w:r>
      <w:r w:rsidR="00AB6014">
        <w:rPr>
          <w:rFonts w:ascii="Gill Sans MT" w:hAnsi="Gill Sans MT"/>
        </w:rPr>
        <w:t>sense that withdrawal from the EU was ‘such a far-reaching change’ to the UK’s constitutional arrangements,</w:t>
      </w:r>
      <w:r w:rsidR="006C5F79">
        <w:rPr>
          <w:rStyle w:val="FootnoteReference"/>
          <w:rFonts w:ascii="Gill Sans MT" w:hAnsi="Gill Sans MT"/>
        </w:rPr>
        <w:footnoteReference w:id="26"/>
      </w:r>
      <w:r w:rsidR="00AB6014">
        <w:rPr>
          <w:rFonts w:ascii="Gill Sans MT" w:hAnsi="Gill Sans MT"/>
        </w:rPr>
        <w:t xml:space="preserve"> and </w:t>
      </w:r>
      <w:r w:rsidR="00AB6014">
        <w:rPr>
          <w:rFonts w:ascii="Gill Sans MT" w:hAnsi="Gill Sans MT"/>
          <w:i/>
          <w:iCs/>
        </w:rPr>
        <w:t xml:space="preserve">Cherry / Miller (No.2) </w:t>
      </w:r>
      <w:r w:rsidR="00AB6014">
        <w:rPr>
          <w:rFonts w:ascii="Gill Sans MT" w:hAnsi="Gill Sans MT"/>
        </w:rPr>
        <w:t xml:space="preserve">was explicitly described as </w:t>
      </w:r>
      <w:r w:rsidR="006C5F79">
        <w:rPr>
          <w:rFonts w:ascii="Gill Sans MT" w:hAnsi="Gill Sans MT"/>
        </w:rPr>
        <w:t>‘</w:t>
      </w:r>
      <w:r w:rsidR="00175B50">
        <w:rPr>
          <w:rFonts w:ascii="Gill Sans MT" w:hAnsi="Gill Sans MT"/>
        </w:rPr>
        <w:t>a</w:t>
      </w:r>
      <w:r w:rsidR="006C5F79">
        <w:rPr>
          <w:rFonts w:ascii="Gill Sans MT" w:hAnsi="Gill Sans MT"/>
        </w:rPr>
        <w:t xml:space="preserve"> “one-off”’ in circumstances which ‘are unlikely ever to arise again’.</w:t>
      </w:r>
      <w:r w:rsidR="006C5F79">
        <w:rPr>
          <w:rStyle w:val="FootnoteReference"/>
          <w:rFonts w:ascii="Gill Sans MT" w:hAnsi="Gill Sans MT"/>
        </w:rPr>
        <w:footnoteReference w:id="27"/>
      </w:r>
      <w:r w:rsidR="006802AD">
        <w:rPr>
          <w:rFonts w:ascii="Gill Sans MT" w:eastAsia="Times New Roman" w:hAnsi="Gill Sans MT" w:cs="Times New Roman"/>
          <w:color w:val="000000"/>
          <w:lang w:eastAsia="en-GB"/>
        </w:rPr>
        <w:t xml:space="preserve">  </w:t>
      </w:r>
    </w:p>
    <w:p w14:paraId="05F00B9E" w14:textId="4BB038CD" w:rsidR="006802AD" w:rsidRDefault="006802AD" w:rsidP="00631529">
      <w:pPr>
        <w:spacing w:after="0" w:line="240" w:lineRule="auto"/>
        <w:ind w:firstLine="720"/>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Th</w:t>
      </w:r>
      <w:r w:rsidR="00631529">
        <w:rPr>
          <w:rFonts w:ascii="Gill Sans MT" w:eastAsia="Times New Roman" w:hAnsi="Gill Sans MT" w:cs="Times New Roman"/>
          <w:color w:val="000000"/>
          <w:lang w:eastAsia="en-GB"/>
        </w:rPr>
        <w:t>ird, th</w:t>
      </w:r>
      <w:r>
        <w:rPr>
          <w:rFonts w:ascii="Gill Sans MT" w:eastAsia="Times New Roman" w:hAnsi="Gill Sans MT" w:cs="Times New Roman"/>
          <w:color w:val="000000"/>
          <w:lang w:eastAsia="en-GB"/>
        </w:rPr>
        <w:t xml:space="preserve">ere is </w:t>
      </w:r>
      <w:r w:rsidR="00631529">
        <w:rPr>
          <w:rFonts w:ascii="Gill Sans MT" w:eastAsia="Times New Roman" w:hAnsi="Gill Sans MT" w:cs="Times New Roman"/>
          <w:color w:val="000000"/>
          <w:lang w:eastAsia="en-GB"/>
        </w:rPr>
        <w:t>also tension</w:t>
      </w:r>
      <w:r>
        <w:rPr>
          <w:rFonts w:ascii="Gill Sans MT" w:eastAsia="Times New Roman" w:hAnsi="Gill Sans MT" w:cs="Times New Roman"/>
          <w:color w:val="000000"/>
          <w:lang w:eastAsia="en-GB"/>
        </w:rPr>
        <w:t xml:space="preserve"> between the formal</w:t>
      </w:r>
      <w:r w:rsidR="00631529">
        <w:rPr>
          <w:rFonts w:ascii="Gill Sans MT" w:eastAsia="Times New Roman" w:hAnsi="Gill Sans MT" w:cs="Times New Roman"/>
          <w:color w:val="000000"/>
          <w:lang w:eastAsia="en-GB"/>
        </w:rPr>
        <w:t>ist</w:t>
      </w:r>
      <w:r>
        <w:rPr>
          <w:rFonts w:ascii="Gill Sans MT" w:eastAsia="Times New Roman" w:hAnsi="Gill Sans MT" w:cs="Times New Roman"/>
          <w:color w:val="000000"/>
          <w:lang w:eastAsia="en-GB"/>
        </w:rPr>
        <w:t xml:space="preserve"> proclamations that a purely legal perspective was being taken</w:t>
      </w:r>
      <w:r w:rsidR="00631529">
        <w:rPr>
          <w:rFonts w:ascii="Gill Sans MT" w:eastAsia="Times New Roman" w:hAnsi="Gill Sans MT" w:cs="Times New Roman"/>
          <w:color w:val="000000"/>
          <w:lang w:eastAsia="en-GB"/>
        </w:rPr>
        <w:t xml:space="preserve"> by the judges</w:t>
      </w:r>
      <w:r>
        <w:rPr>
          <w:rFonts w:ascii="Gill Sans MT" w:eastAsia="Times New Roman" w:hAnsi="Gill Sans MT" w:cs="Times New Roman"/>
          <w:color w:val="000000"/>
          <w:lang w:eastAsia="en-GB"/>
        </w:rPr>
        <w:t xml:space="preserve">, and the </w:t>
      </w:r>
      <w:r w:rsidR="000409AD">
        <w:rPr>
          <w:rFonts w:ascii="Gill Sans MT" w:eastAsia="Times New Roman" w:hAnsi="Gill Sans MT" w:cs="Times New Roman"/>
          <w:color w:val="000000"/>
          <w:lang w:eastAsia="en-GB"/>
        </w:rPr>
        <w:t>expansive approach</w:t>
      </w:r>
      <w:r w:rsidR="00631529">
        <w:rPr>
          <w:rFonts w:ascii="Gill Sans MT" w:eastAsia="Times New Roman" w:hAnsi="Gill Sans MT" w:cs="Times New Roman"/>
          <w:color w:val="000000"/>
          <w:lang w:eastAsia="en-GB"/>
        </w:rPr>
        <w:t xml:space="preserve"> actually</w:t>
      </w:r>
      <w:r w:rsidR="000409AD">
        <w:rPr>
          <w:rFonts w:ascii="Gill Sans MT" w:eastAsia="Times New Roman" w:hAnsi="Gill Sans MT" w:cs="Times New Roman"/>
          <w:color w:val="000000"/>
          <w:lang w:eastAsia="en-GB"/>
        </w:rPr>
        <w:t xml:space="preserve"> </w:t>
      </w:r>
      <w:r>
        <w:rPr>
          <w:rFonts w:ascii="Gill Sans MT" w:eastAsia="Times New Roman" w:hAnsi="Gill Sans MT" w:cs="Times New Roman"/>
          <w:color w:val="000000"/>
          <w:lang w:eastAsia="en-GB"/>
        </w:rPr>
        <w:t xml:space="preserve">employed in </w:t>
      </w:r>
      <w:r w:rsidR="00631529">
        <w:rPr>
          <w:rFonts w:ascii="Gill Sans MT" w:eastAsia="Times New Roman" w:hAnsi="Gill Sans MT" w:cs="Times New Roman"/>
          <w:color w:val="000000"/>
          <w:lang w:eastAsia="en-GB"/>
        </w:rPr>
        <w:t>substance in both cases, drawing</w:t>
      </w:r>
      <w:r w:rsidR="000409AD">
        <w:rPr>
          <w:rFonts w:ascii="Gill Sans MT" w:eastAsia="Times New Roman" w:hAnsi="Gill Sans MT" w:cs="Times New Roman"/>
          <w:color w:val="000000"/>
          <w:lang w:eastAsia="en-GB"/>
        </w:rPr>
        <w:t xml:space="preserve"> on quite vague and contestable constitutional principles</w:t>
      </w:r>
      <w:r w:rsidR="00631529">
        <w:rPr>
          <w:rFonts w:ascii="Gill Sans MT" w:eastAsia="Times New Roman" w:hAnsi="Gill Sans MT" w:cs="Times New Roman"/>
          <w:color w:val="000000"/>
          <w:lang w:eastAsia="en-GB"/>
        </w:rPr>
        <w:t xml:space="preserve">.  In </w:t>
      </w:r>
      <w:r w:rsidR="00631529">
        <w:rPr>
          <w:rFonts w:ascii="Gill Sans MT" w:eastAsia="Times New Roman" w:hAnsi="Gill Sans MT" w:cs="Times New Roman"/>
          <w:i/>
          <w:iCs/>
          <w:color w:val="000000"/>
          <w:lang w:eastAsia="en-GB"/>
        </w:rPr>
        <w:t xml:space="preserve">Cherry / Miller (No.2) </w:t>
      </w:r>
      <w:r w:rsidR="00631529">
        <w:rPr>
          <w:rFonts w:ascii="Gill Sans MT" w:eastAsia="Times New Roman" w:hAnsi="Gill Sans MT" w:cs="Times New Roman"/>
          <w:color w:val="000000"/>
          <w:lang w:eastAsia="en-GB"/>
        </w:rPr>
        <w:t>this included a legalised idea of ‘parliamentary accountability’,</w:t>
      </w:r>
      <w:r w:rsidR="00631529">
        <w:rPr>
          <w:rStyle w:val="FootnoteReference"/>
          <w:rFonts w:ascii="Gill Sans MT" w:eastAsia="Times New Roman" w:hAnsi="Gill Sans MT" w:cs="Times New Roman"/>
          <w:color w:val="000000"/>
          <w:lang w:eastAsia="en-GB"/>
        </w:rPr>
        <w:footnoteReference w:id="28"/>
      </w:r>
      <w:r w:rsidR="00631529">
        <w:rPr>
          <w:rFonts w:ascii="Gill Sans MT" w:eastAsia="Times New Roman" w:hAnsi="Gill Sans MT" w:cs="Times New Roman"/>
          <w:color w:val="000000"/>
          <w:lang w:eastAsia="en-GB"/>
        </w:rPr>
        <w:t xml:space="preserve"> and in </w:t>
      </w:r>
      <w:r w:rsidR="00631529">
        <w:rPr>
          <w:rFonts w:ascii="Gill Sans MT" w:eastAsia="Times New Roman" w:hAnsi="Gill Sans MT" w:cs="Times New Roman"/>
          <w:i/>
          <w:iCs/>
          <w:color w:val="000000"/>
          <w:lang w:eastAsia="en-GB"/>
        </w:rPr>
        <w:t>Miller (No.1)</w:t>
      </w:r>
      <w:r w:rsidR="00631529">
        <w:rPr>
          <w:rFonts w:ascii="Gill Sans MT" w:eastAsia="Times New Roman" w:hAnsi="Gill Sans MT" w:cs="Times New Roman"/>
          <w:color w:val="000000"/>
          <w:lang w:eastAsia="en-GB"/>
        </w:rPr>
        <w:t xml:space="preserve"> a principle concerning the process of changing the UK constitution which despite being ‘long-standing and fundamental’ is never actually named or properly substantiated.</w:t>
      </w:r>
      <w:r w:rsidR="00631529">
        <w:rPr>
          <w:rStyle w:val="FootnoteReference"/>
          <w:rFonts w:ascii="Gill Sans MT" w:eastAsia="Times New Roman" w:hAnsi="Gill Sans MT" w:cs="Times New Roman"/>
          <w:color w:val="000000"/>
          <w:lang w:eastAsia="en-GB"/>
        </w:rPr>
        <w:footnoteReference w:id="29"/>
      </w:r>
    </w:p>
    <w:p w14:paraId="6FA2F7AD" w14:textId="010254E0" w:rsidR="00572AD1" w:rsidRDefault="00010746" w:rsidP="00CA6632">
      <w:pPr>
        <w:spacing w:after="0" w:line="240" w:lineRule="auto"/>
        <w:ind w:firstLine="720"/>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There has been some</w:t>
      </w:r>
      <w:r w:rsidR="00736FD9">
        <w:rPr>
          <w:rFonts w:ascii="Gill Sans MT" w:eastAsia="Times New Roman" w:hAnsi="Gill Sans MT" w:cs="Times New Roman"/>
          <w:color w:val="000000"/>
          <w:lang w:eastAsia="en-GB"/>
        </w:rPr>
        <w:t xml:space="preserve"> </w:t>
      </w:r>
      <w:r w:rsidR="00BB2F7C">
        <w:rPr>
          <w:rFonts w:ascii="Gill Sans MT" w:eastAsia="Times New Roman" w:hAnsi="Gill Sans MT" w:cs="Times New Roman"/>
          <w:color w:val="000000"/>
          <w:lang w:eastAsia="en-GB"/>
        </w:rPr>
        <w:t>fallout</w:t>
      </w:r>
      <w:r>
        <w:rPr>
          <w:rFonts w:ascii="Gill Sans MT" w:eastAsia="Times New Roman" w:hAnsi="Gill Sans MT" w:cs="Times New Roman"/>
          <w:color w:val="000000"/>
          <w:lang w:eastAsia="en-GB"/>
        </w:rPr>
        <w:t xml:space="preserve"> from these decisions</w:t>
      </w:r>
      <w:r w:rsidR="00736FD9">
        <w:rPr>
          <w:rFonts w:ascii="Gill Sans MT" w:eastAsia="Times New Roman" w:hAnsi="Gill Sans MT" w:cs="Times New Roman"/>
          <w:color w:val="000000"/>
          <w:lang w:eastAsia="en-GB"/>
        </w:rPr>
        <w:t>,</w:t>
      </w:r>
      <w:r w:rsidR="00BB2F7C">
        <w:rPr>
          <w:rFonts w:ascii="Gill Sans MT" w:eastAsia="Times New Roman" w:hAnsi="Gill Sans MT" w:cs="Times New Roman"/>
          <w:color w:val="000000"/>
          <w:lang w:eastAsia="en-GB"/>
        </w:rPr>
        <w:t xml:space="preserve"> </w:t>
      </w:r>
      <w:r w:rsidR="000409AD">
        <w:rPr>
          <w:rFonts w:ascii="Gill Sans MT" w:eastAsia="Times New Roman" w:hAnsi="Gill Sans MT" w:cs="Times New Roman"/>
          <w:color w:val="000000"/>
          <w:lang w:eastAsia="en-GB"/>
        </w:rPr>
        <w:t>including prompting the Johnson government to launch a review of administrative law following the 2019 general election.</w:t>
      </w:r>
      <w:r>
        <w:rPr>
          <w:rStyle w:val="FootnoteReference"/>
          <w:rFonts w:ascii="Gill Sans MT" w:eastAsia="Times New Roman" w:hAnsi="Gill Sans MT" w:cs="Times New Roman"/>
          <w:color w:val="000000"/>
          <w:lang w:eastAsia="en-GB"/>
        </w:rPr>
        <w:footnoteReference w:id="30"/>
      </w:r>
      <w:r w:rsidR="000409AD">
        <w:rPr>
          <w:rFonts w:ascii="Gill Sans MT" w:eastAsia="Times New Roman" w:hAnsi="Gill Sans MT" w:cs="Times New Roman"/>
          <w:color w:val="000000"/>
          <w:lang w:eastAsia="en-GB"/>
        </w:rPr>
        <w:t xml:space="preserve">  But for all the </w:t>
      </w:r>
      <w:r>
        <w:rPr>
          <w:rFonts w:ascii="Gill Sans MT" w:eastAsia="Times New Roman" w:hAnsi="Gill Sans MT" w:cs="Times New Roman"/>
          <w:color w:val="000000"/>
          <w:lang w:eastAsia="en-GB"/>
        </w:rPr>
        <w:t>heat</w:t>
      </w:r>
      <w:r w:rsidR="000409AD">
        <w:rPr>
          <w:rFonts w:ascii="Gill Sans MT" w:eastAsia="Times New Roman" w:hAnsi="Gill Sans MT" w:cs="Times New Roman"/>
          <w:color w:val="000000"/>
          <w:lang w:eastAsia="en-GB"/>
        </w:rPr>
        <w:t xml:space="preserve"> generated, </w:t>
      </w:r>
      <w:r>
        <w:rPr>
          <w:rFonts w:ascii="Gill Sans MT" w:eastAsia="Times New Roman" w:hAnsi="Gill Sans MT" w:cs="Times New Roman"/>
          <w:color w:val="000000"/>
          <w:lang w:eastAsia="en-GB"/>
        </w:rPr>
        <w:t xml:space="preserve">the </w:t>
      </w:r>
      <w:r w:rsidR="00736FD9">
        <w:rPr>
          <w:rFonts w:ascii="Gill Sans MT" w:eastAsia="Times New Roman" w:hAnsi="Gill Sans MT" w:cs="Times New Roman"/>
          <w:color w:val="000000"/>
          <w:lang w:eastAsia="en-GB"/>
        </w:rPr>
        <w:t xml:space="preserve">practical </w:t>
      </w:r>
      <w:r w:rsidR="00BB2F7C">
        <w:rPr>
          <w:rFonts w:ascii="Gill Sans MT" w:eastAsia="Times New Roman" w:hAnsi="Gill Sans MT" w:cs="Times New Roman"/>
          <w:color w:val="000000"/>
          <w:lang w:eastAsia="en-GB"/>
        </w:rPr>
        <w:t>consequences</w:t>
      </w:r>
      <w:r w:rsidR="00736FD9">
        <w:rPr>
          <w:rFonts w:ascii="Gill Sans MT" w:eastAsia="Times New Roman" w:hAnsi="Gill Sans MT" w:cs="Times New Roman"/>
          <w:color w:val="000000"/>
          <w:lang w:eastAsia="en-GB"/>
        </w:rPr>
        <w:t xml:space="preserve"> for </w:t>
      </w:r>
      <w:r>
        <w:rPr>
          <w:rFonts w:ascii="Gill Sans MT" w:eastAsia="Times New Roman" w:hAnsi="Gill Sans MT" w:cs="Times New Roman"/>
          <w:color w:val="000000"/>
          <w:lang w:eastAsia="en-GB"/>
        </w:rPr>
        <w:t>the Brexit process were limited</w:t>
      </w:r>
      <w:r w:rsidR="00736FD9">
        <w:rPr>
          <w:rFonts w:ascii="Gill Sans MT" w:eastAsia="Times New Roman" w:hAnsi="Gill Sans MT" w:cs="Times New Roman"/>
          <w:color w:val="000000"/>
          <w:lang w:eastAsia="en-GB"/>
        </w:rPr>
        <w:t xml:space="preserve"> – in </w:t>
      </w:r>
      <w:r w:rsidR="00736FD9" w:rsidRPr="00010746">
        <w:rPr>
          <w:rFonts w:ascii="Gill Sans MT" w:eastAsia="Times New Roman" w:hAnsi="Gill Sans MT" w:cs="Times New Roman"/>
          <w:i/>
          <w:iCs/>
          <w:color w:val="000000"/>
          <w:lang w:eastAsia="en-GB"/>
        </w:rPr>
        <w:t xml:space="preserve">Miller </w:t>
      </w:r>
      <w:r>
        <w:rPr>
          <w:rFonts w:ascii="Gill Sans MT" w:eastAsia="Times New Roman" w:hAnsi="Gill Sans MT" w:cs="Times New Roman"/>
          <w:i/>
          <w:iCs/>
          <w:color w:val="000000"/>
          <w:lang w:eastAsia="en-GB"/>
        </w:rPr>
        <w:t>(No.</w:t>
      </w:r>
      <w:r w:rsidR="00736FD9" w:rsidRPr="00010746">
        <w:rPr>
          <w:rFonts w:ascii="Gill Sans MT" w:eastAsia="Times New Roman" w:hAnsi="Gill Sans MT" w:cs="Times New Roman"/>
          <w:i/>
          <w:iCs/>
          <w:color w:val="000000"/>
          <w:lang w:eastAsia="en-GB"/>
        </w:rPr>
        <w:t>1</w:t>
      </w:r>
      <w:r>
        <w:rPr>
          <w:rFonts w:ascii="Gill Sans MT" w:eastAsia="Times New Roman" w:hAnsi="Gill Sans MT" w:cs="Times New Roman"/>
          <w:i/>
          <w:iCs/>
          <w:color w:val="000000"/>
          <w:lang w:eastAsia="en-GB"/>
        </w:rPr>
        <w:t>)</w:t>
      </w:r>
      <w:r w:rsidR="00736FD9">
        <w:rPr>
          <w:rFonts w:ascii="Gill Sans MT" w:eastAsia="Times New Roman" w:hAnsi="Gill Sans MT" w:cs="Times New Roman"/>
          <w:color w:val="000000"/>
          <w:lang w:eastAsia="en-GB"/>
        </w:rPr>
        <w:t xml:space="preserve"> Parliament</w:t>
      </w:r>
      <w:r>
        <w:rPr>
          <w:rFonts w:ascii="Gill Sans MT" w:eastAsia="Times New Roman" w:hAnsi="Gill Sans MT" w:cs="Times New Roman"/>
          <w:color w:val="000000"/>
          <w:lang w:eastAsia="en-GB"/>
        </w:rPr>
        <w:t xml:space="preserve"> promptly</w:t>
      </w:r>
      <w:r w:rsidR="00736FD9">
        <w:rPr>
          <w:rFonts w:ascii="Gill Sans MT" w:eastAsia="Times New Roman" w:hAnsi="Gill Sans MT" w:cs="Times New Roman"/>
          <w:color w:val="000000"/>
          <w:lang w:eastAsia="en-GB"/>
        </w:rPr>
        <w:t xml:space="preserve"> passed the </w:t>
      </w:r>
      <w:r>
        <w:rPr>
          <w:rFonts w:ascii="Gill Sans MT" w:eastAsia="Times New Roman" w:hAnsi="Gill Sans MT" w:cs="Times New Roman"/>
          <w:color w:val="000000"/>
          <w:lang w:eastAsia="en-GB"/>
        </w:rPr>
        <w:t>EU (Notification of Withdrawal) Act 2017</w:t>
      </w:r>
      <w:r w:rsidR="00736FD9">
        <w:rPr>
          <w:rFonts w:ascii="Gill Sans MT" w:eastAsia="Times New Roman" w:hAnsi="Gill Sans MT" w:cs="Times New Roman"/>
          <w:color w:val="000000"/>
          <w:lang w:eastAsia="en-GB"/>
        </w:rPr>
        <w:t xml:space="preserve"> </w:t>
      </w:r>
      <w:r w:rsidR="0001798F">
        <w:rPr>
          <w:rFonts w:ascii="Gill Sans MT" w:eastAsia="Times New Roman" w:hAnsi="Gill Sans MT" w:cs="Times New Roman"/>
          <w:color w:val="000000"/>
          <w:lang w:eastAsia="en-GB"/>
        </w:rPr>
        <w:t xml:space="preserve">to authorise the government to begin negotiations </w:t>
      </w:r>
      <w:r w:rsidR="00736FD9">
        <w:rPr>
          <w:rFonts w:ascii="Gill Sans MT" w:eastAsia="Times New Roman" w:hAnsi="Gill Sans MT" w:cs="Times New Roman"/>
          <w:color w:val="000000"/>
          <w:lang w:eastAsia="en-GB"/>
        </w:rPr>
        <w:t xml:space="preserve">without </w:t>
      </w:r>
      <w:r>
        <w:rPr>
          <w:rFonts w:ascii="Gill Sans MT" w:eastAsia="Times New Roman" w:hAnsi="Gill Sans MT" w:cs="Times New Roman"/>
          <w:color w:val="000000"/>
          <w:lang w:eastAsia="en-GB"/>
        </w:rPr>
        <w:t xml:space="preserve">imposing any constraints on </w:t>
      </w:r>
      <w:r w:rsidR="0001798F">
        <w:rPr>
          <w:rFonts w:ascii="Gill Sans MT" w:eastAsia="Times New Roman" w:hAnsi="Gill Sans MT" w:cs="Times New Roman"/>
          <w:color w:val="000000"/>
          <w:lang w:eastAsia="en-GB"/>
        </w:rPr>
        <w:t>that</w:t>
      </w:r>
      <w:r>
        <w:rPr>
          <w:rFonts w:ascii="Gill Sans MT" w:eastAsia="Times New Roman" w:hAnsi="Gill Sans MT" w:cs="Times New Roman"/>
          <w:color w:val="000000"/>
          <w:lang w:eastAsia="en-GB"/>
        </w:rPr>
        <w:t xml:space="preserve"> power</w:t>
      </w:r>
      <w:r w:rsidR="00736FD9">
        <w:rPr>
          <w:rFonts w:ascii="Gill Sans MT" w:eastAsia="Times New Roman" w:hAnsi="Gill Sans MT" w:cs="Times New Roman"/>
          <w:color w:val="000000"/>
          <w:lang w:eastAsia="en-GB"/>
        </w:rPr>
        <w:t xml:space="preserve">, and in </w:t>
      </w:r>
      <w:r>
        <w:rPr>
          <w:rFonts w:ascii="Gill Sans MT" w:eastAsia="Times New Roman" w:hAnsi="Gill Sans MT" w:cs="Times New Roman"/>
          <w:i/>
          <w:iCs/>
          <w:color w:val="000000"/>
          <w:lang w:eastAsia="en-GB"/>
        </w:rPr>
        <w:t xml:space="preserve">Cherry / </w:t>
      </w:r>
      <w:r w:rsidR="00736FD9" w:rsidRPr="00010746">
        <w:rPr>
          <w:rFonts w:ascii="Gill Sans MT" w:eastAsia="Times New Roman" w:hAnsi="Gill Sans MT" w:cs="Times New Roman"/>
          <w:i/>
          <w:iCs/>
          <w:color w:val="000000"/>
          <w:lang w:eastAsia="en-GB"/>
        </w:rPr>
        <w:t xml:space="preserve">Miller </w:t>
      </w:r>
      <w:r>
        <w:rPr>
          <w:rFonts w:ascii="Gill Sans MT" w:eastAsia="Times New Roman" w:hAnsi="Gill Sans MT" w:cs="Times New Roman"/>
          <w:i/>
          <w:iCs/>
          <w:color w:val="000000"/>
          <w:lang w:eastAsia="en-GB"/>
        </w:rPr>
        <w:t>(No.</w:t>
      </w:r>
      <w:r w:rsidR="00736FD9" w:rsidRPr="00010746">
        <w:rPr>
          <w:rFonts w:ascii="Gill Sans MT" w:eastAsia="Times New Roman" w:hAnsi="Gill Sans MT" w:cs="Times New Roman"/>
          <w:i/>
          <w:iCs/>
          <w:color w:val="000000"/>
          <w:lang w:eastAsia="en-GB"/>
        </w:rPr>
        <w:t>2</w:t>
      </w:r>
      <w:r>
        <w:rPr>
          <w:rFonts w:ascii="Gill Sans MT" w:eastAsia="Times New Roman" w:hAnsi="Gill Sans MT" w:cs="Times New Roman"/>
          <w:i/>
          <w:iCs/>
          <w:color w:val="000000"/>
          <w:lang w:eastAsia="en-GB"/>
        </w:rPr>
        <w:t>)</w:t>
      </w:r>
      <w:r w:rsidR="00736FD9">
        <w:rPr>
          <w:rFonts w:ascii="Gill Sans MT" w:eastAsia="Times New Roman" w:hAnsi="Gill Sans MT" w:cs="Times New Roman"/>
          <w:color w:val="000000"/>
          <w:lang w:eastAsia="en-GB"/>
        </w:rPr>
        <w:t xml:space="preserve"> Parliament had already legislated to obstruct a ‘no deal’ Brexit before it was prorogued.</w:t>
      </w:r>
      <w:r>
        <w:rPr>
          <w:rStyle w:val="FootnoteReference"/>
          <w:rFonts w:ascii="Gill Sans MT" w:eastAsia="Times New Roman" w:hAnsi="Gill Sans MT" w:cs="Times New Roman"/>
          <w:color w:val="000000"/>
          <w:lang w:eastAsia="en-GB"/>
        </w:rPr>
        <w:footnoteReference w:id="31"/>
      </w:r>
      <w:r w:rsidR="0001798F">
        <w:rPr>
          <w:rFonts w:ascii="Gill Sans MT" w:eastAsia="Times New Roman" w:hAnsi="Gill Sans MT" w:cs="Times New Roman"/>
          <w:color w:val="000000"/>
          <w:lang w:eastAsia="en-GB"/>
        </w:rPr>
        <w:t xml:space="preserve">  </w:t>
      </w:r>
      <w:r w:rsidR="00DB5774">
        <w:rPr>
          <w:rFonts w:ascii="Gill Sans MT" w:eastAsia="Times New Roman" w:hAnsi="Gill Sans MT" w:cs="Times New Roman"/>
          <w:color w:val="000000"/>
          <w:lang w:eastAsia="en-GB"/>
        </w:rPr>
        <w:t>Beyond these headline</w:t>
      </w:r>
      <w:r w:rsidR="001D56A8">
        <w:rPr>
          <w:rFonts w:ascii="Gill Sans MT" w:eastAsia="Times New Roman" w:hAnsi="Gill Sans MT" w:cs="Times New Roman"/>
          <w:color w:val="000000"/>
          <w:lang w:eastAsia="en-GB"/>
        </w:rPr>
        <w:t>-</w:t>
      </w:r>
      <w:r w:rsidR="00DB5774">
        <w:rPr>
          <w:rFonts w:ascii="Gill Sans MT" w:eastAsia="Times New Roman" w:hAnsi="Gill Sans MT" w:cs="Times New Roman"/>
          <w:color w:val="000000"/>
          <w:lang w:eastAsia="en-GB"/>
        </w:rPr>
        <w:t>grabb</w:t>
      </w:r>
      <w:r w:rsidR="001D56A8">
        <w:rPr>
          <w:rFonts w:ascii="Gill Sans MT" w:eastAsia="Times New Roman" w:hAnsi="Gill Sans MT" w:cs="Times New Roman"/>
          <w:color w:val="000000"/>
          <w:lang w:eastAsia="en-GB"/>
        </w:rPr>
        <w:t>ing decisions</w:t>
      </w:r>
      <w:r w:rsidR="00DB5774">
        <w:rPr>
          <w:rFonts w:ascii="Gill Sans MT" w:eastAsia="Times New Roman" w:hAnsi="Gill Sans MT" w:cs="Times New Roman"/>
          <w:color w:val="000000"/>
          <w:lang w:eastAsia="en-GB"/>
        </w:rPr>
        <w:t xml:space="preserve">, there were many other cases </w:t>
      </w:r>
      <w:r w:rsidR="001D56A8">
        <w:rPr>
          <w:rFonts w:ascii="Gill Sans MT" w:eastAsia="Times New Roman" w:hAnsi="Gill Sans MT" w:cs="Times New Roman"/>
          <w:color w:val="000000"/>
          <w:lang w:eastAsia="en-GB"/>
        </w:rPr>
        <w:t xml:space="preserve">also brought </w:t>
      </w:r>
      <w:r w:rsidR="00DB5774">
        <w:rPr>
          <w:rFonts w:ascii="Gill Sans MT" w:eastAsia="Times New Roman" w:hAnsi="Gill Sans MT" w:cs="Times New Roman"/>
          <w:color w:val="000000"/>
          <w:lang w:eastAsia="en-GB"/>
        </w:rPr>
        <w:t xml:space="preserve">in this period, which </w:t>
      </w:r>
      <w:r w:rsidR="007C2B75">
        <w:rPr>
          <w:rFonts w:ascii="Gill Sans MT" w:eastAsia="Times New Roman" w:hAnsi="Gill Sans MT" w:cs="Times New Roman"/>
          <w:color w:val="000000"/>
          <w:lang w:eastAsia="en-GB"/>
        </w:rPr>
        <w:t>M</w:t>
      </w:r>
      <w:r w:rsidR="00DB5774">
        <w:rPr>
          <w:rFonts w:ascii="Gill Sans MT" w:eastAsia="Times New Roman" w:hAnsi="Gill Sans MT" w:cs="Times New Roman"/>
          <w:color w:val="000000"/>
          <w:lang w:eastAsia="en-GB"/>
        </w:rPr>
        <w:t xml:space="preserve">cCorkindale </w:t>
      </w:r>
      <w:r w:rsidR="007C2B75">
        <w:rPr>
          <w:rFonts w:ascii="Gill Sans MT" w:eastAsia="Times New Roman" w:hAnsi="Gill Sans MT" w:cs="Times New Roman"/>
          <w:color w:val="000000"/>
          <w:lang w:eastAsia="en-GB"/>
        </w:rPr>
        <w:t xml:space="preserve">and </w:t>
      </w:r>
      <w:r w:rsidR="007C2B75">
        <w:rPr>
          <w:rFonts w:ascii="Gill Sans MT" w:eastAsia="Times New Roman" w:hAnsi="Gill Sans MT" w:cs="Times New Roman"/>
          <w:color w:val="000000"/>
          <w:lang w:eastAsia="en-GB"/>
        </w:rPr>
        <w:t xml:space="preserve">McHarg </w:t>
      </w:r>
      <w:r w:rsidR="00DB5774">
        <w:rPr>
          <w:rFonts w:ascii="Gill Sans MT" w:eastAsia="Times New Roman" w:hAnsi="Gill Sans MT" w:cs="Times New Roman"/>
          <w:color w:val="000000"/>
          <w:lang w:eastAsia="en-GB"/>
        </w:rPr>
        <w:t>have described as a period of ‘hyper-litigation’</w:t>
      </w:r>
      <w:r w:rsidR="00CA6632">
        <w:rPr>
          <w:rFonts w:ascii="Gill Sans MT" w:eastAsia="Times New Roman" w:hAnsi="Gill Sans MT" w:cs="Times New Roman"/>
          <w:color w:val="000000"/>
          <w:lang w:eastAsia="en-GB"/>
        </w:rPr>
        <w:t>.</w:t>
      </w:r>
      <w:r w:rsidR="00CA6632" w:rsidRPr="00CA6632">
        <w:rPr>
          <w:rStyle w:val="FootnoteReference"/>
          <w:rFonts w:ascii="Gill Sans MT" w:eastAsia="Times New Roman" w:hAnsi="Gill Sans MT" w:cs="Times New Roman"/>
          <w:color w:val="000000"/>
          <w:lang w:eastAsia="en-GB"/>
        </w:rPr>
        <w:t xml:space="preserve"> </w:t>
      </w:r>
      <w:r w:rsidR="00CA6632">
        <w:rPr>
          <w:rStyle w:val="FootnoteReference"/>
          <w:rFonts w:ascii="Gill Sans MT" w:eastAsia="Times New Roman" w:hAnsi="Gill Sans MT" w:cs="Times New Roman"/>
          <w:color w:val="000000"/>
          <w:lang w:eastAsia="en-GB"/>
        </w:rPr>
        <w:footnoteReference w:id="32"/>
      </w:r>
      <w:r w:rsidR="00E25CCD">
        <w:rPr>
          <w:rFonts w:ascii="Gill Sans MT" w:eastAsia="Times New Roman" w:hAnsi="Gill Sans MT" w:cs="Times New Roman"/>
          <w:color w:val="000000"/>
          <w:lang w:eastAsia="en-GB"/>
        </w:rPr>
        <w:t xml:space="preserve"> </w:t>
      </w:r>
      <w:r w:rsidR="00CA6632">
        <w:rPr>
          <w:rFonts w:ascii="Gill Sans MT" w:eastAsia="Times New Roman" w:hAnsi="Gill Sans MT" w:cs="Times New Roman"/>
          <w:color w:val="000000"/>
          <w:lang w:eastAsia="en-GB"/>
        </w:rPr>
        <w:t xml:space="preserve">Yet as McCorkindale </w:t>
      </w:r>
      <w:r w:rsidR="007C2B75">
        <w:rPr>
          <w:rFonts w:ascii="Gill Sans MT" w:eastAsia="Times New Roman" w:hAnsi="Gill Sans MT" w:cs="Times New Roman"/>
          <w:color w:val="000000"/>
          <w:lang w:eastAsia="en-GB"/>
        </w:rPr>
        <w:t xml:space="preserve">and </w:t>
      </w:r>
      <w:r w:rsidR="007C2B75">
        <w:rPr>
          <w:rFonts w:ascii="Gill Sans MT" w:eastAsia="Times New Roman" w:hAnsi="Gill Sans MT" w:cs="Times New Roman"/>
          <w:color w:val="000000"/>
          <w:lang w:eastAsia="en-GB"/>
        </w:rPr>
        <w:t xml:space="preserve">McHarg </w:t>
      </w:r>
      <w:r w:rsidR="007C2B75">
        <w:rPr>
          <w:rFonts w:ascii="Gill Sans MT" w:eastAsia="Times New Roman" w:hAnsi="Gill Sans MT" w:cs="Times New Roman"/>
          <w:color w:val="000000"/>
          <w:lang w:eastAsia="en-GB"/>
        </w:rPr>
        <w:t>show</w:t>
      </w:r>
      <w:r w:rsidR="00CA6632">
        <w:rPr>
          <w:rFonts w:ascii="Gill Sans MT" w:eastAsia="Times New Roman" w:hAnsi="Gill Sans MT" w:cs="Times New Roman"/>
          <w:color w:val="000000"/>
          <w:lang w:eastAsia="en-GB"/>
        </w:rPr>
        <w:t>, t</w:t>
      </w:r>
      <w:r w:rsidR="00E25CCD">
        <w:rPr>
          <w:rFonts w:ascii="Gill Sans MT" w:eastAsia="Times New Roman" w:hAnsi="Gill Sans MT" w:cs="Times New Roman"/>
          <w:color w:val="000000"/>
          <w:lang w:eastAsia="en-GB"/>
        </w:rPr>
        <w:t>he vast majority of these cases were unsuccessful.</w:t>
      </w:r>
      <w:r w:rsidR="00CA6632">
        <w:rPr>
          <w:rStyle w:val="FootnoteReference"/>
          <w:rFonts w:ascii="Gill Sans MT" w:eastAsia="Times New Roman" w:hAnsi="Gill Sans MT" w:cs="Times New Roman"/>
          <w:color w:val="000000"/>
          <w:lang w:eastAsia="en-GB"/>
        </w:rPr>
        <w:footnoteReference w:id="33"/>
      </w:r>
      <w:r w:rsidR="00E25CCD">
        <w:rPr>
          <w:rFonts w:ascii="Gill Sans MT" w:eastAsia="Times New Roman" w:hAnsi="Gill Sans MT" w:cs="Times New Roman"/>
          <w:color w:val="000000"/>
          <w:lang w:eastAsia="en-GB"/>
        </w:rPr>
        <w:t xml:space="preserve">  A prominent example is </w:t>
      </w:r>
      <w:r w:rsidR="00E25CCD">
        <w:rPr>
          <w:rFonts w:ascii="Gill Sans MT" w:eastAsia="Times New Roman" w:hAnsi="Gill Sans MT" w:cs="Times New Roman"/>
          <w:i/>
          <w:iCs/>
          <w:color w:val="000000"/>
          <w:lang w:eastAsia="en-GB"/>
        </w:rPr>
        <w:t>Wilson v Prime Minister</w:t>
      </w:r>
      <w:r w:rsidR="00E25CCD">
        <w:rPr>
          <w:rFonts w:ascii="Gill Sans MT" w:eastAsia="Times New Roman" w:hAnsi="Gill Sans MT" w:cs="Times New Roman"/>
          <w:color w:val="000000"/>
          <w:lang w:eastAsia="en-GB"/>
        </w:rPr>
        <w:t>, in which the Court of Appeal rejected the argument that the decision to begin exit negotiation</w:t>
      </w:r>
      <w:r w:rsidR="001D56A8">
        <w:rPr>
          <w:rFonts w:ascii="Gill Sans MT" w:eastAsia="Times New Roman" w:hAnsi="Gill Sans MT" w:cs="Times New Roman"/>
          <w:color w:val="000000"/>
          <w:lang w:eastAsia="en-GB"/>
        </w:rPr>
        <w:t>s</w:t>
      </w:r>
      <w:r w:rsidR="00E25CCD">
        <w:rPr>
          <w:rFonts w:ascii="Gill Sans MT" w:eastAsia="Times New Roman" w:hAnsi="Gill Sans MT" w:cs="Times New Roman"/>
          <w:color w:val="000000"/>
          <w:lang w:eastAsia="en-GB"/>
        </w:rPr>
        <w:t xml:space="preserve"> was unlawful because the referendum decision was based on </w:t>
      </w:r>
      <w:r w:rsidR="00E25CCD">
        <w:rPr>
          <w:rFonts w:ascii="Gill Sans MT" w:eastAsia="Times New Roman" w:hAnsi="Gill Sans MT" w:cs="Times New Roman"/>
          <w:color w:val="000000"/>
          <w:lang w:eastAsia="en-GB"/>
        </w:rPr>
        <w:lastRenderedPageBreak/>
        <w:t xml:space="preserve">corrupt and illegal practices, on the basis that </w:t>
      </w:r>
      <w:r w:rsidR="001D56A8">
        <w:rPr>
          <w:rFonts w:ascii="Gill Sans MT" w:eastAsia="Times New Roman" w:hAnsi="Gill Sans MT" w:cs="Times New Roman"/>
          <w:color w:val="000000"/>
          <w:lang w:eastAsia="en-GB"/>
        </w:rPr>
        <w:t xml:space="preserve">judicial </w:t>
      </w:r>
      <w:r w:rsidR="00E25CCD">
        <w:rPr>
          <w:rFonts w:ascii="Gill Sans MT" w:eastAsia="Times New Roman" w:hAnsi="Gill Sans MT" w:cs="Times New Roman"/>
          <w:color w:val="000000"/>
          <w:lang w:eastAsia="en-GB"/>
        </w:rPr>
        <w:t>intervention would have been ‘a constitutionally inappropriate and unlawful intervention in the due democratic process’.</w:t>
      </w:r>
      <w:r w:rsidR="00E25CCD">
        <w:rPr>
          <w:rStyle w:val="FootnoteReference"/>
          <w:rFonts w:ascii="Gill Sans MT" w:eastAsia="Times New Roman" w:hAnsi="Gill Sans MT" w:cs="Times New Roman"/>
          <w:color w:val="000000"/>
          <w:lang w:eastAsia="en-GB"/>
        </w:rPr>
        <w:footnoteReference w:id="34"/>
      </w:r>
      <w:r w:rsidR="00CA6632">
        <w:rPr>
          <w:rFonts w:ascii="Gill Sans MT" w:eastAsia="Times New Roman" w:hAnsi="Gill Sans MT" w:cs="Times New Roman"/>
          <w:color w:val="000000"/>
          <w:lang w:eastAsia="en-GB"/>
        </w:rPr>
        <w:t xml:space="preserve">  </w:t>
      </w:r>
    </w:p>
    <w:p w14:paraId="6A90C44A" w14:textId="1585CD10" w:rsidR="00CA6632" w:rsidRPr="00E25CCD" w:rsidRDefault="00572AD1" w:rsidP="00CA6632">
      <w:pPr>
        <w:spacing w:after="0" w:line="240" w:lineRule="auto"/>
        <w:ind w:firstLine="720"/>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E</w:t>
      </w:r>
      <w:r w:rsidR="00CA6632">
        <w:rPr>
          <w:rFonts w:ascii="Gill Sans MT" w:eastAsia="Times New Roman" w:hAnsi="Gill Sans MT" w:cs="Times New Roman"/>
          <w:color w:val="000000"/>
          <w:lang w:eastAsia="en-GB"/>
        </w:rPr>
        <w:t xml:space="preserve">ven where there were </w:t>
      </w:r>
      <w:r>
        <w:rPr>
          <w:rFonts w:ascii="Gill Sans MT" w:eastAsia="Times New Roman" w:hAnsi="Gill Sans MT" w:cs="Times New Roman"/>
          <w:color w:val="000000"/>
          <w:lang w:eastAsia="en-GB"/>
        </w:rPr>
        <w:t xml:space="preserve">further </w:t>
      </w:r>
      <w:r w:rsidR="00CA6632">
        <w:rPr>
          <w:rFonts w:ascii="Gill Sans MT" w:eastAsia="Times New Roman" w:hAnsi="Gill Sans MT" w:cs="Times New Roman"/>
          <w:color w:val="000000"/>
          <w:lang w:eastAsia="en-GB"/>
        </w:rPr>
        <w:t xml:space="preserve">victories against the government, they tended to be </w:t>
      </w:r>
      <w:r>
        <w:rPr>
          <w:rFonts w:ascii="Gill Sans MT" w:eastAsia="Times New Roman" w:hAnsi="Gill Sans MT" w:cs="Times New Roman"/>
          <w:color w:val="000000"/>
          <w:lang w:eastAsia="en-GB"/>
        </w:rPr>
        <w:t>symbolic</w:t>
      </w:r>
      <w:r w:rsidR="00CA6632">
        <w:rPr>
          <w:rFonts w:ascii="Gill Sans MT" w:eastAsia="Times New Roman" w:hAnsi="Gill Sans MT" w:cs="Times New Roman"/>
          <w:color w:val="000000"/>
          <w:lang w:eastAsia="en-GB"/>
        </w:rPr>
        <w:t xml:space="preserve"> rather than impactful.  For example, in the </w:t>
      </w:r>
      <w:r w:rsidR="00CA6632" w:rsidRPr="00E47EFD">
        <w:rPr>
          <w:rFonts w:ascii="Gill Sans MT" w:eastAsia="Times New Roman" w:hAnsi="Gill Sans MT" w:cs="Times New Roman"/>
          <w:i/>
          <w:iCs/>
          <w:color w:val="000000"/>
          <w:lang w:eastAsia="en-GB"/>
        </w:rPr>
        <w:t>Wightman</w:t>
      </w:r>
      <w:r w:rsidR="00CA6632">
        <w:rPr>
          <w:rFonts w:ascii="Gill Sans MT" w:eastAsia="Times New Roman" w:hAnsi="Gill Sans MT" w:cs="Times New Roman"/>
          <w:color w:val="000000"/>
          <w:lang w:eastAsia="en-GB"/>
        </w:rPr>
        <w:t xml:space="preserve"> case</w:t>
      </w:r>
      <w:r>
        <w:rPr>
          <w:rFonts w:ascii="Gill Sans MT" w:eastAsia="Times New Roman" w:hAnsi="Gill Sans MT" w:cs="Times New Roman"/>
          <w:color w:val="000000"/>
          <w:lang w:eastAsia="en-GB"/>
        </w:rPr>
        <w:t xml:space="preserve">, the Inner House of the Court of Session made a preliminary reference to the CJEU concerning the possibility of notification of withdrawal being revoked by the UK, a matter on which Article 50 TEU was silent.  This, the court held, was not an academic issue despite the fact that the government’s stated position was that the notification would not be withdrawn, </w:t>
      </w:r>
      <w:r w:rsidRPr="00572AD1">
        <w:rPr>
          <w:rFonts w:ascii="Gill Sans MT" w:eastAsia="Times New Roman" w:hAnsi="Gill Sans MT" w:cs="Times New Roman"/>
          <w:color w:val="000000"/>
          <w:lang w:eastAsia="en-GB"/>
        </w:rPr>
        <w:t>because it might ‘</w:t>
      </w:r>
      <w:r w:rsidRPr="00572AD1">
        <w:rPr>
          <w:rFonts w:ascii="Gill Sans MT" w:hAnsi="Gill Sans MT"/>
        </w:rPr>
        <w:t>be relevant to the way in which some Members of Parliament cast their votes on a matter of fundamental importance to the future of the United Kingdom</w:t>
      </w:r>
      <w:r>
        <w:rPr>
          <w:rFonts w:ascii="Gill Sans MT" w:hAnsi="Gill Sans MT"/>
        </w:rPr>
        <w:t>’.</w:t>
      </w:r>
      <w:r>
        <w:rPr>
          <w:rStyle w:val="FootnoteReference"/>
          <w:rFonts w:ascii="Gill Sans MT" w:hAnsi="Gill Sans MT"/>
        </w:rPr>
        <w:footnoteReference w:id="35"/>
      </w:r>
      <w:r w:rsidR="009A3DFE">
        <w:rPr>
          <w:rFonts w:ascii="Gill Sans MT" w:hAnsi="Gill Sans MT"/>
        </w:rPr>
        <w:t xml:space="preserve">  While the CJEU then decided that unilateral revocation of the Article 50 notice was possible under EU law,</w:t>
      </w:r>
      <w:r w:rsidR="009A3DFE">
        <w:rPr>
          <w:rStyle w:val="FootnoteReference"/>
          <w:rFonts w:ascii="Gill Sans MT" w:hAnsi="Gill Sans MT"/>
        </w:rPr>
        <w:footnoteReference w:id="36"/>
      </w:r>
      <w:r w:rsidR="009A3DFE">
        <w:rPr>
          <w:rFonts w:ascii="Gill Sans MT" w:hAnsi="Gill Sans MT"/>
        </w:rPr>
        <w:t xml:space="preserve"> this made no substantive difference to the Brexit process, given the UK government had no interest in availing itself of that option.</w:t>
      </w:r>
      <w:r w:rsidR="00773FE1">
        <w:rPr>
          <w:rFonts w:ascii="Gill Sans MT" w:hAnsi="Gill Sans MT"/>
        </w:rPr>
        <w:t xml:space="preserve">  Yet </w:t>
      </w:r>
      <w:r w:rsidR="00773FE1" w:rsidRPr="00773FE1">
        <w:rPr>
          <w:rFonts w:ascii="Gill Sans MT" w:hAnsi="Gill Sans MT"/>
          <w:i/>
          <w:iCs/>
        </w:rPr>
        <w:t>Wightman</w:t>
      </w:r>
      <w:r w:rsidR="00773FE1">
        <w:rPr>
          <w:rFonts w:ascii="Gill Sans MT" w:hAnsi="Gill Sans MT"/>
        </w:rPr>
        <w:t xml:space="preserve"> did illustrate a further </w:t>
      </w:r>
      <w:r w:rsidR="00F55AFA">
        <w:rPr>
          <w:rFonts w:ascii="Gill Sans MT" w:hAnsi="Gill Sans MT"/>
        </w:rPr>
        <w:t xml:space="preserve">layer of complexity in this </w:t>
      </w:r>
      <w:r w:rsidR="00215838">
        <w:rPr>
          <w:rFonts w:ascii="Gill Sans MT" w:hAnsi="Gill Sans MT"/>
        </w:rPr>
        <w:t>period</w:t>
      </w:r>
      <w:r w:rsidR="00F55AFA">
        <w:rPr>
          <w:rFonts w:ascii="Gill Sans MT" w:hAnsi="Gill Sans MT"/>
        </w:rPr>
        <w:t xml:space="preserve"> of disagreement – as in the </w:t>
      </w:r>
      <w:r w:rsidR="00F55AFA" w:rsidRPr="00F55AFA">
        <w:rPr>
          <w:rFonts w:ascii="Gill Sans MT" w:hAnsi="Gill Sans MT"/>
          <w:i/>
          <w:iCs/>
        </w:rPr>
        <w:t>Cherry</w:t>
      </w:r>
      <w:r w:rsidR="00F55AFA">
        <w:rPr>
          <w:rFonts w:ascii="Gill Sans MT" w:hAnsi="Gill Sans MT"/>
        </w:rPr>
        <w:t xml:space="preserve"> case, it featured elected Members of the UK and Scottish Parliaments attempting to shape the constitutional process through the courts when they were unsuccessful in doing so in their legislatures.</w:t>
      </w:r>
      <w:r w:rsidR="00215838">
        <w:rPr>
          <w:rFonts w:ascii="Gill Sans MT" w:hAnsi="Gill Sans MT"/>
        </w:rPr>
        <w:t xml:space="preserve">  This raises further questions about the ways in which law and politics interacted in this period.</w:t>
      </w:r>
    </w:p>
    <w:p w14:paraId="21AFCE99" w14:textId="77777777" w:rsidR="00736FD9" w:rsidRDefault="00736FD9" w:rsidP="00865C3E">
      <w:pPr>
        <w:spacing w:after="0" w:line="240" w:lineRule="auto"/>
        <w:rPr>
          <w:rFonts w:ascii="Gill Sans MT" w:eastAsia="Times New Roman" w:hAnsi="Gill Sans MT" w:cs="Times New Roman"/>
          <w:color w:val="000000"/>
          <w:lang w:eastAsia="en-GB"/>
        </w:rPr>
      </w:pPr>
    </w:p>
    <w:p w14:paraId="74E5CD35" w14:textId="4A8C972F" w:rsidR="0050796F" w:rsidRDefault="0050796F" w:rsidP="00865C3E">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(iv) </w:t>
      </w:r>
      <w:r w:rsidR="002B1FD1">
        <w:rPr>
          <w:rFonts w:ascii="Gill Sans MT" w:eastAsia="Times New Roman" w:hAnsi="Gill Sans MT" w:cs="Times New Roman"/>
          <w:color w:val="000000"/>
          <w:lang w:eastAsia="en-GB"/>
        </w:rPr>
        <w:t>Internal to the UK</w:t>
      </w:r>
      <w:r>
        <w:rPr>
          <w:rFonts w:ascii="Gill Sans MT" w:eastAsia="Times New Roman" w:hAnsi="Gill Sans MT" w:cs="Times New Roman"/>
          <w:color w:val="000000"/>
          <w:lang w:eastAsia="en-GB"/>
        </w:rPr>
        <w:t xml:space="preserve"> government</w:t>
      </w:r>
    </w:p>
    <w:p w14:paraId="281E3563" w14:textId="29F2ED6F" w:rsidR="0050796F" w:rsidRDefault="0050796F" w:rsidP="00865C3E">
      <w:pPr>
        <w:spacing w:after="0" w:line="240" w:lineRule="auto"/>
        <w:rPr>
          <w:rFonts w:ascii="Gill Sans MT" w:eastAsia="Times New Roman" w:hAnsi="Gill Sans MT" w:cs="Times New Roman"/>
          <w:color w:val="000000"/>
          <w:lang w:eastAsia="en-GB"/>
        </w:rPr>
      </w:pPr>
    </w:p>
    <w:p w14:paraId="4A867795" w14:textId="29019F97" w:rsidR="00196825" w:rsidRDefault="00196825" w:rsidP="006840E5">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 final arena in which division and disagreement were rife was within the UK government itself.  The standard position as a matter of constitutional convention is that, as part of the doctrine of ministerial responsibility, members of the government must take collective responsibility for policy.  This requires ministers to agree to support official government unanimously policy or to resign, while ensuring that internal disagreements are kept confidential.</w:t>
      </w:r>
      <w:r>
        <w:rPr>
          <w:rStyle w:val="FootnoteReference"/>
          <w:rFonts w:ascii="Gill Sans MT" w:eastAsia="Times New Roman" w:hAnsi="Gill Sans MT" w:cs="Times New Roman"/>
          <w:color w:val="000000"/>
          <w:lang w:eastAsia="en-GB"/>
        </w:rPr>
        <w:footnoteReference w:id="37"/>
      </w:r>
      <w:r w:rsidR="00A61959">
        <w:rPr>
          <w:rFonts w:ascii="Gill Sans MT" w:eastAsia="Times New Roman" w:hAnsi="Gill Sans MT" w:cs="Times New Roman"/>
          <w:color w:val="000000"/>
          <w:lang w:eastAsia="en-GB"/>
        </w:rPr>
        <w:t xml:space="preserve">  Both of these elements of collective responsibility were strained to an extraordinary degree during the Brexit process.  There was a steady flow of resignations from Theresa May’s government on both sides of the Brexit divide – remain supporting MPs such as </w:t>
      </w:r>
      <w:r w:rsidR="00A96453">
        <w:rPr>
          <w:rFonts w:ascii="Gill Sans MT" w:eastAsia="Times New Roman" w:hAnsi="Gill Sans MT" w:cs="Times New Roman"/>
          <w:color w:val="000000"/>
          <w:lang w:eastAsia="en-GB"/>
        </w:rPr>
        <w:t>Philip Lee, Jo Johnson and Sam Gyimah</w:t>
      </w:r>
      <w:r w:rsidR="00A61959">
        <w:rPr>
          <w:rFonts w:ascii="Gill Sans MT" w:eastAsia="Times New Roman" w:hAnsi="Gill Sans MT" w:cs="Times New Roman"/>
          <w:color w:val="000000"/>
          <w:lang w:eastAsia="en-GB"/>
        </w:rPr>
        <w:t xml:space="preserve"> who felt the government’s line in the withdrawal negotiations was too </w:t>
      </w:r>
      <w:r w:rsidR="006F1320">
        <w:rPr>
          <w:rFonts w:ascii="Gill Sans MT" w:eastAsia="Times New Roman" w:hAnsi="Gill Sans MT" w:cs="Times New Roman"/>
          <w:color w:val="000000"/>
          <w:lang w:eastAsia="en-GB"/>
        </w:rPr>
        <w:t>‘</w:t>
      </w:r>
      <w:r w:rsidR="00A61959">
        <w:rPr>
          <w:rFonts w:ascii="Gill Sans MT" w:eastAsia="Times New Roman" w:hAnsi="Gill Sans MT" w:cs="Times New Roman"/>
          <w:color w:val="000000"/>
          <w:lang w:eastAsia="en-GB"/>
        </w:rPr>
        <w:t>hard</w:t>
      </w:r>
      <w:r w:rsidR="006F1320">
        <w:rPr>
          <w:rFonts w:ascii="Gill Sans MT" w:eastAsia="Times New Roman" w:hAnsi="Gill Sans MT" w:cs="Times New Roman"/>
          <w:color w:val="000000"/>
          <w:lang w:eastAsia="en-GB"/>
        </w:rPr>
        <w:t>’</w:t>
      </w:r>
      <w:r w:rsidR="00A61959">
        <w:rPr>
          <w:rFonts w:ascii="Gill Sans MT" w:eastAsia="Times New Roman" w:hAnsi="Gill Sans MT" w:cs="Times New Roman"/>
          <w:color w:val="000000"/>
          <w:lang w:eastAsia="en-GB"/>
        </w:rPr>
        <w:t xml:space="preserve">, and leave supporting MPs such as </w:t>
      </w:r>
      <w:r w:rsidR="00A96453">
        <w:rPr>
          <w:rFonts w:ascii="Gill Sans MT" w:eastAsia="Times New Roman" w:hAnsi="Gill Sans MT" w:cs="Times New Roman"/>
          <w:color w:val="000000"/>
          <w:lang w:eastAsia="en-GB"/>
        </w:rPr>
        <w:t>Esther McVey, Steve Baker and Andrea Leadsom</w:t>
      </w:r>
      <w:r w:rsidR="00A61959">
        <w:rPr>
          <w:rFonts w:ascii="Gill Sans MT" w:eastAsia="Times New Roman" w:hAnsi="Gill Sans MT" w:cs="Times New Roman"/>
          <w:color w:val="000000"/>
          <w:lang w:eastAsia="en-GB"/>
        </w:rPr>
        <w:t xml:space="preserve"> who felt the line was too </w:t>
      </w:r>
      <w:r w:rsidR="006F1320">
        <w:rPr>
          <w:rFonts w:ascii="Gill Sans MT" w:eastAsia="Times New Roman" w:hAnsi="Gill Sans MT" w:cs="Times New Roman"/>
          <w:color w:val="000000"/>
          <w:lang w:eastAsia="en-GB"/>
        </w:rPr>
        <w:t>‘</w:t>
      </w:r>
      <w:r w:rsidR="00A61959">
        <w:rPr>
          <w:rFonts w:ascii="Gill Sans MT" w:eastAsia="Times New Roman" w:hAnsi="Gill Sans MT" w:cs="Times New Roman"/>
          <w:color w:val="000000"/>
          <w:lang w:eastAsia="en-GB"/>
        </w:rPr>
        <w:t>soft</w:t>
      </w:r>
      <w:r w:rsidR="006F1320">
        <w:rPr>
          <w:rFonts w:ascii="Gill Sans MT" w:eastAsia="Times New Roman" w:hAnsi="Gill Sans MT" w:cs="Times New Roman"/>
          <w:color w:val="000000"/>
          <w:lang w:eastAsia="en-GB"/>
        </w:rPr>
        <w:t>’</w:t>
      </w:r>
      <w:r w:rsidR="00A61959">
        <w:rPr>
          <w:rFonts w:ascii="Gill Sans MT" w:eastAsia="Times New Roman" w:hAnsi="Gill Sans MT" w:cs="Times New Roman"/>
          <w:color w:val="000000"/>
          <w:lang w:eastAsia="en-GB"/>
        </w:rPr>
        <w:t xml:space="preserve">.  Other senior ministers – most notably </w:t>
      </w:r>
      <w:r w:rsidR="006F1320">
        <w:rPr>
          <w:rFonts w:ascii="Gill Sans MT" w:eastAsia="Times New Roman" w:hAnsi="Gill Sans MT" w:cs="Times New Roman"/>
          <w:color w:val="000000"/>
          <w:lang w:eastAsia="en-GB"/>
        </w:rPr>
        <w:t xml:space="preserve">the </w:t>
      </w:r>
      <w:r w:rsidR="00A61959">
        <w:rPr>
          <w:rFonts w:ascii="Gill Sans MT" w:eastAsia="Times New Roman" w:hAnsi="Gill Sans MT" w:cs="Times New Roman"/>
          <w:color w:val="000000"/>
          <w:lang w:eastAsia="en-GB"/>
        </w:rPr>
        <w:t xml:space="preserve">then Foreign Secretary and future Prime Minister Boris Johnson – remained in government for a considerable period while also publicly </w:t>
      </w:r>
      <w:r w:rsidR="00356FA7">
        <w:rPr>
          <w:rFonts w:ascii="Gill Sans MT" w:eastAsia="Times New Roman" w:hAnsi="Gill Sans MT" w:cs="Times New Roman"/>
          <w:color w:val="000000"/>
          <w:lang w:eastAsia="en-GB"/>
        </w:rPr>
        <w:t>challenging</w:t>
      </w:r>
      <w:r w:rsidR="00A61959">
        <w:rPr>
          <w:rFonts w:ascii="Gill Sans MT" w:eastAsia="Times New Roman" w:hAnsi="Gill Sans MT" w:cs="Times New Roman"/>
          <w:color w:val="000000"/>
          <w:lang w:eastAsia="en-GB"/>
        </w:rPr>
        <w:t xml:space="preserve"> government policy</w:t>
      </w:r>
      <w:r w:rsidR="00356FA7">
        <w:rPr>
          <w:rFonts w:ascii="Gill Sans MT" w:eastAsia="Times New Roman" w:hAnsi="Gill Sans MT" w:cs="Times New Roman"/>
          <w:color w:val="000000"/>
          <w:lang w:eastAsia="en-GB"/>
        </w:rPr>
        <w:t>,</w:t>
      </w:r>
      <w:r w:rsidR="006F1320">
        <w:rPr>
          <w:rFonts w:ascii="Gill Sans MT" w:eastAsia="Times New Roman" w:hAnsi="Gill Sans MT" w:cs="Times New Roman"/>
          <w:color w:val="000000"/>
          <w:lang w:eastAsia="en-GB"/>
        </w:rPr>
        <w:t xml:space="preserve"> with</w:t>
      </w:r>
      <w:r w:rsidR="00356FA7">
        <w:rPr>
          <w:rFonts w:ascii="Gill Sans MT" w:eastAsia="Times New Roman" w:hAnsi="Gill Sans MT" w:cs="Times New Roman"/>
          <w:color w:val="000000"/>
          <w:lang w:eastAsia="en-GB"/>
        </w:rPr>
        <w:t xml:space="preserve"> </w:t>
      </w:r>
      <w:r w:rsidR="006F1320">
        <w:rPr>
          <w:rFonts w:ascii="Gill Sans MT" w:eastAsia="Times New Roman" w:hAnsi="Gill Sans MT" w:cs="Times New Roman"/>
          <w:color w:val="000000"/>
          <w:lang w:eastAsia="en-GB"/>
        </w:rPr>
        <w:t>Johnson</w:t>
      </w:r>
      <w:r w:rsidR="00356FA7">
        <w:rPr>
          <w:rFonts w:ascii="Gill Sans MT" w:eastAsia="Times New Roman" w:hAnsi="Gill Sans MT" w:cs="Times New Roman"/>
          <w:color w:val="000000"/>
          <w:lang w:eastAsia="en-GB"/>
        </w:rPr>
        <w:t xml:space="preserve"> eventually resigning over the issue in July 2018</w:t>
      </w:r>
      <w:r w:rsidR="00A61959">
        <w:rPr>
          <w:rFonts w:ascii="Gill Sans MT" w:eastAsia="Times New Roman" w:hAnsi="Gill Sans MT" w:cs="Times New Roman"/>
          <w:color w:val="000000"/>
          <w:lang w:eastAsia="en-GB"/>
        </w:rPr>
        <w:t>.  Two Secretaries of State with direct responsibility for Exiting the EU – David Davis and his successor Dominic Raab – also resigned in protest at policies they had played a leading role in developing.</w:t>
      </w:r>
    </w:p>
    <w:p w14:paraId="1DCE891E" w14:textId="6451DF59" w:rsidR="00356FA7" w:rsidRDefault="00356FA7" w:rsidP="006840E5">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b/>
        <w:t xml:space="preserve">These resignations inevitably weakened the authority of Theresa May as Prime Minister, and she was also subject to votes of no confidence among Conservative Party MPs in December 2018 and within the House of Commons itself in January 2019.  </w:t>
      </w:r>
      <w:r w:rsidR="0081654D">
        <w:rPr>
          <w:rFonts w:ascii="Gill Sans MT" w:eastAsia="Times New Roman" w:hAnsi="Gill Sans MT" w:cs="Times New Roman"/>
          <w:color w:val="000000"/>
          <w:lang w:eastAsia="en-GB"/>
        </w:rPr>
        <w:t>May</w:t>
      </w:r>
      <w:r>
        <w:rPr>
          <w:rFonts w:ascii="Gill Sans MT" w:eastAsia="Times New Roman" w:hAnsi="Gill Sans MT" w:cs="Times New Roman"/>
          <w:color w:val="000000"/>
          <w:lang w:eastAsia="en-GB"/>
        </w:rPr>
        <w:t xml:space="preserve"> won</w:t>
      </w:r>
      <w:r w:rsidR="0081654D">
        <w:rPr>
          <w:rFonts w:ascii="Gill Sans MT" w:eastAsia="Times New Roman" w:hAnsi="Gill Sans MT" w:cs="Times New Roman"/>
          <w:color w:val="000000"/>
          <w:lang w:eastAsia="en-GB"/>
        </w:rPr>
        <w:t xml:space="preserve"> both</w:t>
      </w:r>
      <w:r>
        <w:rPr>
          <w:rFonts w:ascii="Gill Sans MT" w:eastAsia="Times New Roman" w:hAnsi="Gill Sans MT" w:cs="Times New Roman"/>
          <w:color w:val="000000"/>
          <w:lang w:eastAsia="en-GB"/>
        </w:rPr>
        <w:t xml:space="preserve">, but </w:t>
      </w:r>
      <w:r w:rsidR="0081654D">
        <w:rPr>
          <w:rFonts w:ascii="Gill Sans MT" w:eastAsia="Times New Roman" w:hAnsi="Gill Sans MT" w:cs="Times New Roman"/>
          <w:color w:val="000000"/>
          <w:lang w:eastAsia="en-GB"/>
        </w:rPr>
        <w:t xml:space="preserve">this </w:t>
      </w:r>
      <w:r>
        <w:rPr>
          <w:rFonts w:ascii="Gill Sans MT" w:eastAsia="Times New Roman" w:hAnsi="Gill Sans MT" w:cs="Times New Roman"/>
          <w:color w:val="000000"/>
          <w:lang w:eastAsia="en-GB"/>
        </w:rPr>
        <w:t>did little to change the underlying precarity of her government, given she had no majority in the Commons for the withdrawal agreement reached with the EU.</w:t>
      </w:r>
      <w:r w:rsidR="00730F49">
        <w:rPr>
          <w:rFonts w:ascii="Gill Sans MT" w:eastAsia="Times New Roman" w:hAnsi="Gill Sans MT" w:cs="Times New Roman"/>
          <w:color w:val="000000"/>
          <w:lang w:eastAsia="en-GB"/>
        </w:rPr>
        <w:t xml:space="preserve">  </w:t>
      </w:r>
      <w:r w:rsidR="00074C65">
        <w:rPr>
          <w:rFonts w:ascii="Gill Sans MT" w:eastAsia="Times New Roman" w:hAnsi="Gill Sans MT" w:cs="Times New Roman"/>
          <w:color w:val="000000"/>
          <w:lang w:eastAsia="en-GB"/>
        </w:rPr>
        <w:t xml:space="preserve">The weakness of the government in the 2017-2019 period was also evident in the successful House of Commons vote ordering May’s Attorney General, Geoffrey Cox, to disclose in full his legal advice on the impact of the ‘backstop’ arrangements which would operate at the border between Northern Ireland and the Republic of Ireland in the event that no final treaty with the EU could be agreed, despite the fact this would normally be subject to confidentiality rules.  </w:t>
      </w:r>
      <w:r w:rsidR="00D131C1">
        <w:rPr>
          <w:rFonts w:ascii="Gill Sans MT" w:eastAsia="Times New Roman" w:hAnsi="Gill Sans MT" w:cs="Times New Roman"/>
          <w:color w:val="000000"/>
          <w:lang w:eastAsia="en-GB"/>
        </w:rPr>
        <w:t>The fact that this advice indicated there would be no legal exit from these backstop arrangements was crucial in undermining support for May’s withdrawal deal, and eventually her government.</w:t>
      </w:r>
      <w:r w:rsidR="00D131C1">
        <w:rPr>
          <w:rStyle w:val="FootnoteReference"/>
          <w:rFonts w:ascii="Gill Sans MT" w:eastAsia="Times New Roman" w:hAnsi="Gill Sans MT" w:cs="Times New Roman"/>
          <w:color w:val="000000"/>
          <w:lang w:eastAsia="en-GB"/>
        </w:rPr>
        <w:footnoteReference w:id="38"/>
      </w:r>
      <w:r w:rsidR="00870D30" w:rsidRPr="00870D30">
        <w:rPr>
          <w:rFonts w:ascii="Gill Sans MT" w:eastAsia="Times New Roman" w:hAnsi="Gill Sans MT" w:cs="Times New Roman"/>
          <w:color w:val="000000"/>
          <w:lang w:eastAsia="en-GB"/>
        </w:rPr>
        <w:t xml:space="preserve"> </w:t>
      </w:r>
      <w:r w:rsidR="00870D30">
        <w:rPr>
          <w:rFonts w:ascii="Gill Sans MT" w:eastAsia="Times New Roman" w:hAnsi="Gill Sans MT" w:cs="Times New Roman"/>
          <w:color w:val="000000"/>
          <w:lang w:eastAsia="en-GB"/>
        </w:rPr>
        <w:t xml:space="preserve"> Even when May was succeeded by Boris Johnson, collective responsibility was still strained, with Amber Rudd and Jo Johnson (again) resigning in opposition to the government’s no deal Brexit policy in September 2019.  </w:t>
      </w:r>
    </w:p>
    <w:p w14:paraId="56DF0C44" w14:textId="2D064D45" w:rsidR="0050796F" w:rsidRDefault="0027304E" w:rsidP="0035191D">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lastRenderedPageBreak/>
        <w:tab/>
        <w:t xml:space="preserve">The scale </w:t>
      </w:r>
      <w:r w:rsidR="004F7023">
        <w:rPr>
          <w:rFonts w:ascii="Gill Sans MT" w:eastAsia="Times New Roman" w:hAnsi="Gill Sans MT" w:cs="Times New Roman"/>
          <w:color w:val="000000"/>
          <w:lang w:eastAsia="en-GB"/>
        </w:rPr>
        <w:t xml:space="preserve">of this unwillingness to accept collective responsibility for Brexit policy reflects the intense divisions over the issue within government.  In part, the challenges in sustaining a unanimous government flowed from the decision of May’s predecessor, David Cameron, to suspend collective responsibility in advance of the 2016 referendum, allowing cabinet ministers to campaign in favour of ‘leave’ (and against the government’s ‘remain’ position) without resigning from office.  Once collective responsibility was suspended in relation to this matter, it was difficult for his successors to re-impose it – especially given the centrality of the issue in UK politics, and the strongly held views on both sides.  </w:t>
      </w:r>
      <w:r w:rsidR="000964B6">
        <w:rPr>
          <w:rFonts w:ascii="Gill Sans MT" w:eastAsia="Times New Roman" w:hAnsi="Gill Sans MT" w:cs="Times New Roman"/>
          <w:color w:val="000000"/>
          <w:lang w:eastAsia="en-GB"/>
        </w:rPr>
        <w:t xml:space="preserve">The inability of May in particular to </w:t>
      </w:r>
      <w:r w:rsidR="002A505E">
        <w:rPr>
          <w:rFonts w:ascii="Gill Sans MT" w:eastAsia="Times New Roman" w:hAnsi="Gill Sans MT" w:cs="Times New Roman"/>
          <w:color w:val="000000"/>
          <w:lang w:eastAsia="en-GB"/>
        </w:rPr>
        <w:t xml:space="preserve">maintain unity in government was also a consequence of </w:t>
      </w:r>
      <w:r w:rsidR="0063579F">
        <w:rPr>
          <w:rFonts w:ascii="Gill Sans MT" w:eastAsia="Times New Roman" w:hAnsi="Gill Sans MT" w:cs="Times New Roman"/>
          <w:color w:val="000000"/>
          <w:lang w:eastAsia="en-GB"/>
        </w:rPr>
        <w:t>the</w:t>
      </w:r>
      <w:r w:rsidR="002A505E">
        <w:rPr>
          <w:rFonts w:ascii="Gill Sans MT" w:eastAsia="Times New Roman" w:hAnsi="Gill Sans MT" w:cs="Times New Roman"/>
          <w:color w:val="000000"/>
          <w:lang w:eastAsia="en-GB"/>
        </w:rPr>
        <w:t xml:space="preserve"> third element of collective responsibility</w:t>
      </w:r>
      <w:r w:rsidR="0063579F">
        <w:rPr>
          <w:rFonts w:ascii="Gill Sans MT" w:eastAsia="Times New Roman" w:hAnsi="Gill Sans MT" w:cs="Times New Roman"/>
          <w:color w:val="000000"/>
          <w:lang w:eastAsia="en-GB"/>
        </w:rPr>
        <w:t>,</w:t>
      </w:r>
      <w:r w:rsidR="002A505E">
        <w:rPr>
          <w:rFonts w:ascii="Gill Sans MT" w:eastAsia="Times New Roman" w:hAnsi="Gill Sans MT" w:cs="Times New Roman"/>
          <w:color w:val="000000"/>
          <w:lang w:eastAsia="en-GB"/>
        </w:rPr>
        <w:t xml:space="preserve"> which underpins unanimity and confidentiality – the idea that the government must collectively retain the confidence of the Commons to remain in office.</w:t>
      </w:r>
      <w:r w:rsidR="002A505E">
        <w:rPr>
          <w:rStyle w:val="FootnoteReference"/>
          <w:rFonts w:ascii="Gill Sans MT" w:eastAsia="Times New Roman" w:hAnsi="Gill Sans MT" w:cs="Times New Roman"/>
          <w:color w:val="000000"/>
          <w:lang w:eastAsia="en-GB"/>
        </w:rPr>
        <w:footnoteReference w:id="39"/>
      </w:r>
      <w:r w:rsidR="00ED1516">
        <w:rPr>
          <w:rFonts w:ascii="Gill Sans MT" w:eastAsia="Times New Roman" w:hAnsi="Gill Sans MT" w:cs="Times New Roman"/>
          <w:color w:val="000000"/>
          <w:lang w:eastAsia="en-GB"/>
        </w:rPr>
        <w:t xml:space="preserve">  The fact that May had no overall majority, and only held the confidence of the Commons with the support of the DUP, meant her ability to enforce the unanimity and confidentiality principles was similarly tenuous.</w:t>
      </w:r>
    </w:p>
    <w:p w14:paraId="7D9000BD" w14:textId="607D2B9E" w:rsidR="0050796F" w:rsidRDefault="0035191D" w:rsidP="000E72AA">
      <w:pPr>
        <w:spacing w:after="0" w:line="240" w:lineRule="auto"/>
        <w:ind w:firstLine="720"/>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This internal division in government also manifested in other ways.  There was criticism of the civil service, especially those in key Brexit policy roles such as Olly Robbins, Theresa May’s EU adviser.  Robbins was the object of hostility of leave supporters, leading to the Cabinet Secretary Mark Sedwill writing a letter to </w:t>
      </w:r>
      <w:r>
        <w:rPr>
          <w:rFonts w:ascii="Gill Sans MT" w:eastAsia="Times New Roman" w:hAnsi="Gill Sans MT" w:cs="Times New Roman"/>
          <w:i/>
          <w:iCs/>
          <w:color w:val="000000"/>
          <w:lang w:eastAsia="en-GB"/>
        </w:rPr>
        <w:t xml:space="preserve">The Times </w:t>
      </w:r>
      <w:r>
        <w:rPr>
          <w:rFonts w:ascii="Gill Sans MT" w:eastAsia="Times New Roman" w:hAnsi="Gill Sans MT" w:cs="Times New Roman"/>
          <w:color w:val="000000"/>
          <w:lang w:eastAsia="en-GB"/>
        </w:rPr>
        <w:t>(apparently a semi-official source of the constitution) in defence of him and other civil servants.</w:t>
      </w:r>
      <w:r>
        <w:rPr>
          <w:rStyle w:val="FootnoteReference"/>
          <w:rFonts w:ascii="Gill Sans MT" w:eastAsia="Times New Roman" w:hAnsi="Gill Sans MT" w:cs="Times New Roman"/>
          <w:color w:val="000000"/>
          <w:lang w:eastAsia="en-GB"/>
        </w:rPr>
        <w:footnoteReference w:id="40"/>
      </w:r>
      <w:r>
        <w:rPr>
          <w:rFonts w:ascii="Gill Sans MT" w:eastAsia="Times New Roman" w:hAnsi="Gill Sans MT" w:cs="Times New Roman"/>
          <w:color w:val="000000"/>
          <w:lang w:eastAsia="en-GB"/>
        </w:rPr>
        <w:t xml:space="preserve">  These political divisions were also replicated in the Conservative Party leadership elections held in 2016 and 2019, and in the official opposition, with </w:t>
      </w:r>
      <w:r w:rsidR="003C0AF9">
        <w:rPr>
          <w:rFonts w:ascii="Gill Sans MT" w:eastAsia="Times New Roman" w:hAnsi="Gill Sans MT" w:cs="Times New Roman"/>
          <w:color w:val="000000"/>
          <w:lang w:eastAsia="en-GB"/>
        </w:rPr>
        <w:t>a series of resignations from the Labour frontbench at key moments in the Brexit process under both Jeremy Corbyn and Keir Starmer.</w:t>
      </w:r>
      <w:r w:rsidR="003C0AF9">
        <w:rPr>
          <w:rStyle w:val="FootnoteReference"/>
          <w:rFonts w:ascii="Gill Sans MT" w:eastAsia="Times New Roman" w:hAnsi="Gill Sans MT" w:cs="Times New Roman"/>
          <w:color w:val="000000"/>
          <w:lang w:eastAsia="en-GB"/>
        </w:rPr>
        <w:footnoteReference w:id="41"/>
      </w:r>
      <w:r w:rsidR="00986687">
        <w:rPr>
          <w:rFonts w:ascii="Gill Sans MT" w:eastAsia="Times New Roman" w:hAnsi="Gill Sans MT" w:cs="Times New Roman"/>
          <w:color w:val="000000"/>
          <w:lang w:eastAsia="en-GB"/>
        </w:rPr>
        <w:t xml:space="preserve">  Just as the formal institutions of the UK constitution struggled to manage the disagreements over Brexit, with rules, relationships and authority </w:t>
      </w:r>
      <w:r w:rsidR="006A5FB0">
        <w:rPr>
          <w:rFonts w:ascii="Gill Sans MT" w:eastAsia="Times New Roman" w:hAnsi="Gill Sans MT" w:cs="Times New Roman"/>
          <w:color w:val="000000"/>
          <w:lang w:eastAsia="en-GB"/>
        </w:rPr>
        <w:t xml:space="preserve">stretched in novel and significant ways, </w:t>
      </w:r>
      <w:r w:rsidR="00986687">
        <w:rPr>
          <w:rFonts w:ascii="Gill Sans MT" w:eastAsia="Times New Roman" w:hAnsi="Gill Sans MT" w:cs="Times New Roman"/>
          <w:color w:val="000000"/>
          <w:lang w:eastAsia="en-GB"/>
        </w:rPr>
        <w:t xml:space="preserve">so too did the political organisations </w:t>
      </w:r>
      <w:r w:rsidR="006A5FB0">
        <w:rPr>
          <w:rFonts w:ascii="Gill Sans MT" w:eastAsia="Times New Roman" w:hAnsi="Gill Sans MT" w:cs="Times New Roman"/>
          <w:color w:val="000000"/>
          <w:lang w:eastAsia="en-GB"/>
        </w:rPr>
        <w:t>which dominate those institutions and establish the context in which they operate.</w:t>
      </w:r>
    </w:p>
    <w:p w14:paraId="0772C15F" w14:textId="77777777" w:rsidR="00145052" w:rsidRPr="00145052" w:rsidRDefault="00145052" w:rsidP="000E72AA">
      <w:pPr>
        <w:spacing w:after="0" w:line="240" w:lineRule="auto"/>
        <w:rPr>
          <w:rFonts w:ascii="Gill Sans MT" w:eastAsia="Times New Roman" w:hAnsi="Gill Sans MT" w:cs="Times New Roman"/>
          <w:color w:val="000000"/>
          <w:lang w:eastAsia="en-GB"/>
        </w:rPr>
      </w:pPr>
    </w:p>
    <w:p w14:paraId="17CC1E0C" w14:textId="40477274" w:rsidR="00D97C5E" w:rsidRPr="00145052" w:rsidRDefault="00D97C5E" w:rsidP="000E72AA">
      <w:pPr>
        <w:spacing w:after="0" w:line="240" w:lineRule="auto"/>
        <w:rPr>
          <w:rFonts w:ascii="Gill Sans MT" w:eastAsia="Times New Roman" w:hAnsi="Gill Sans MT" w:cs="Times New Roman"/>
          <w:color w:val="000000"/>
          <w:u w:val="single"/>
          <w:lang w:eastAsia="en-GB"/>
        </w:rPr>
      </w:pPr>
      <w:r w:rsidRPr="00145052">
        <w:rPr>
          <w:rFonts w:ascii="Gill Sans MT" w:eastAsia="Times New Roman" w:hAnsi="Gill Sans MT" w:cs="Times New Roman"/>
          <w:color w:val="000000"/>
          <w:u w:val="single"/>
          <w:lang w:eastAsia="en-GB"/>
        </w:rPr>
        <w:t xml:space="preserve">2. </w:t>
      </w:r>
      <w:r w:rsidR="00CD3602">
        <w:rPr>
          <w:rFonts w:ascii="Gill Sans MT" w:eastAsia="Times New Roman" w:hAnsi="Gill Sans MT" w:cs="Times New Roman"/>
          <w:color w:val="000000"/>
          <w:u w:val="single"/>
          <w:lang w:eastAsia="en-GB"/>
        </w:rPr>
        <w:t>Disagreements</w:t>
      </w:r>
      <w:r w:rsidRPr="00145052">
        <w:rPr>
          <w:rFonts w:ascii="Gill Sans MT" w:eastAsia="Times New Roman" w:hAnsi="Gill Sans MT" w:cs="Times New Roman"/>
          <w:color w:val="000000"/>
          <w:u w:val="single"/>
          <w:lang w:eastAsia="en-GB"/>
        </w:rPr>
        <w:t xml:space="preserve"> within the UK’s devolution system</w:t>
      </w:r>
    </w:p>
    <w:p w14:paraId="04E7BFC1" w14:textId="77777777" w:rsidR="000E72AA" w:rsidRDefault="000E72AA" w:rsidP="000E72AA">
      <w:pPr>
        <w:tabs>
          <w:tab w:val="left" w:pos="5385"/>
        </w:tabs>
        <w:spacing w:after="0"/>
        <w:rPr>
          <w:rFonts w:ascii="Gill Sans MT" w:eastAsia="Times New Roman" w:hAnsi="Gill Sans MT" w:cs="Times New Roman"/>
          <w:color w:val="000000"/>
          <w:shd w:val="clear" w:color="auto" w:fill="FFFFFF"/>
          <w:lang w:eastAsia="en-GB"/>
        </w:rPr>
      </w:pPr>
    </w:p>
    <w:p w14:paraId="6D79005A" w14:textId="1C32C241" w:rsidR="00151212" w:rsidRDefault="000C3C75" w:rsidP="001F0F49">
      <w:pPr>
        <w:tabs>
          <w:tab w:val="left" w:pos="5385"/>
        </w:tabs>
        <w:spacing w:after="0"/>
        <w:jc w:val="both"/>
        <w:rPr>
          <w:rFonts w:ascii="Gill Sans MT" w:hAnsi="Gill Sans MT"/>
        </w:rPr>
      </w:pPr>
      <w:r>
        <w:rPr>
          <w:rFonts w:ascii="Gill Sans MT" w:eastAsia="Times New Roman" w:hAnsi="Gill Sans MT" w:cs="Times New Roman"/>
          <w:color w:val="000000"/>
          <w:shd w:val="clear" w:color="auto" w:fill="FFFFFF"/>
          <w:lang w:eastAsia="en-GB"/>
        </w:rPr>
        <w:t xml:space="preserve">In addition to the pervasive </w:t>
      </w:r>
      <w:r w:rsidR="00B07809">
        <w:rPr>
          <w:rFonts w:ascii="Gill Sans MT" w:eastAsia="Times New Roman" w:hAnsi="Gill Sans MT" w:cs="Times New Roman"/>
          <w:color w:val="000000"/>
          <w:shd w:val="clear" w:color="auto" w:fill="FFFFFF"/>
          <w:lang w:eastAsia="en-GB"/>
        </w:rPr>
        <w:t>divisions</w:t>
      </w:r>
      <w:r>
        <w:rPr>
          <w:rFonts w:ascii="Gill Sans MT" w:eastAsia="Times New Roman" w:hAnsi="Gill Sans MT" w:cs="Times New Roman"/>
          <w:color w:val="000000"/>
          <w:shd w:val="clear" w:color="auto" w:fill="FFFFFF"/>
          <w:lang w:eastAsia="en-GB"/>
        </w:rPr>
        <w:t xml:space="preserve"> at the </w:t>
      </w:r>
      <w:r w:rsidR="00B07809">
        <w:rPr>
          <w:rFonts w:ascii="Gill Sans MT" w:eastAsia="Times New Roman" w:hAnsi="Gill Sans MT" w:cs="Times New Roman"/>
          <w:color w:val="000000"/>
          <w:shd w:val="clear" w:color="auto" w:fill="FFFFFF"/>
          <w:lang w:eastAsia="en-GB"/>
        </w:rPr>
        <w:t xml:space="preserve">centre of the UK’s constitutional system, a key feature of the Brexit process was the existence of profound disagreements </w:t>
      </w:r>
      <w:r w:rsidR="00D65DD0">
        <w:rPr>
          <w:rFonts w:ascii="Gill Sans MT" w:eastAsia="Times New Roman" w:hAnsi="Gill Sans MT" w:cs="Times New Roman"/>
          <w:color w:val="000000"/>
          <w:shd w:val="clear" w:color="auto" w:fill="FFFFFF"/>
          <w:lang w:eastAsia="en-GB"/>
        </w:rPr>
        <w:t>with</w:t>
      </w:r>
      <w:r w:rsidR="00B07809">
        <w:rPr>
          <w:rFonts w:ascii="Gill Sans MT" w:eastAsia="Times New Roman" w:hAnsi="Gill Sans MT" w:cs="Times New Roman"/>
          <w:color w:val="000000"/>
          <w:shd w:val="clear" w:color="auto" w:fill="FFFFFF"/>
          <w:lang w:eastAsia="en-GB"/>
        </w:rPr>
        <w:t xml:space="preserve"> the devolved institutions in Scotland, Wales and Northern Ireland.  The UK’s modern devolution system was established relatively recently, in 1997 under New Labour,</w:t>
      </w:r>
      <w:r w:rsidR="00C62BAA">
        <w:rPr>
          <w:rStyle w:val="FootnoteReference"/>
          <w:rFonts w:ascii="Gill Sans MT" w:eastAsia="Times New Roman" w:hAnsi="Gill Sans MT" w:cs="Times New Roman"/>
          <w:color w:val="000000"/>
          <w:shd w:val="clear" w:color="auto" w:fill="FFFFFF"/>
          <w:lang w:eastAsia="en-GB"/>
        </w:rPr>
        <w:footnoteReference w:id="42"/>
      </w:r>
      <w:r w:rsidR="00B07809">
        <w:rPr>
          <w:rFonts w:ascii="Gill Sans MT" w:eastAsia="Times New Roman" w:hAnsi="Gill Sans MT" w:cs="Times New Roman"/>
          <w:color w:val="000000"/>
          <w:shd w:val="clear" w:color="auto" w:fill="FFFFFF"/>
          <w:lang w:eastAsia="en-GB"/>
        </w:rPr>
        <w:t xml:space="preserve"> and Brexit arguably offered the first major challenge to the settlement as a whole.</w:t>
      </w:r>
      <w:r w:rsidR="00B07809">
        <w:rPr>
          <w:rStyle w:val="FootnoteReference"/>
          <w:rFonts w:ascii="Gill Sans MT" w:eastAsia="Times New Roman" w:hAnsi="Gill Sans MT" w:cs="Times New Roman"/>
          <w:color w:val="000000"/>
          <w:shd w:val="clear" w:color="auto" w:fill="FFFFFF"/>
          <w:lang w:eastAsia="en-GB"/>
        </w:rPr>
        <w:footnoteReference w:id="43"/>
      </w:r>
      <w:r w:rsidR="00B07809">
        <w:rPr>
          <w:rFonts w:ascii="Gill Sans MT" w:eastAsia="Times New Roman" w:hAnsi="Gill Sans MT" w:cs="Times New Roman"/>
          <w:color w:val="000000"/>
          <w:shd w:val="clear" w:color="auto" w:fill="FFFFFF"/>
          <w:lang w:eastAsia="en-GB"/>
        </w:rPr>
        <w:t xml:space="preserve"> </w:t>
      </w:r>
      <w:r w:rsidR="00614469">
        <w:rPr>
          <w:rFonts w:ascii="Gill Sans MT" w:eastAsia="Times New Roman" w:hAnsi="Gill Sans MT" w:cs="Times New Roman"/>
          <w:color w:val="000000"/>
          <w:shd w:val="clear" w:color="auto" w:fill="FFFFFF"/>
          <w:lang w:eastAsia="en-GB"/>
        </w:rPr>
        <w:t xml:space="preserve"> </w:t>
      </w:r>
      <w:r w:rsidR="00A43DCE">
        <w:rPr>
          <w:rFonts w:ascii="Gill Sans MT" w:eastAsia="Times New Roman" w:hAnsi="Gill Sans MT" w:cs="Times New Roman"/>
          <w:color w:val="000000"/>
          <w:shd w:val="clear" w:color="auto" w:fill="FFFFFF"/>
          <w:lang w:eastAsia="en-GB"/>
        </w:rPr>
        <w:t xml:space="preserve">There were divisions between the different nations evident in the overall referendum result, as well as disagreements over the need for the consent of the devolved institutions during the Brexit process, and </w:t>
      </w:r>
      <w:r w:rsidR="00D65DD0">
        <w:rPr>
          <w:rFonts w:ascii="Gill Sans MT" w:eastAsia="Times New Roman" w:hAnsi="Gill Sans MT" w:cs="Times New Roman"/>
          <w:color w:val="000000"/>
          <w:shd w:val="clear" w:color="auto" w:fill="FFFFFF"/>
          <w:lang w:eastAsia="en-GB"/>
        </w:rPr>
        <w:t>with respect to</w:t>
      </w:r>
      <w:r w:rsidR="00A43DCE">
        <w:rPr>
          <w:rFonts w:ascii="Gill Sans MT" w:eastAsia="Times New Roman" w:hAnsi="Gill Sans MT" w:cs="Times New Roman"/>
          <w:color w:val="000000"/>
          <w:shd w:val="clear" w:color="auto" w:fill="FFFFFF"/>
          <w:lang w:eastAsia="en-GB"/>
        </w:rPr>
        <w:t xml:space="preserve"> the level of government to which powers should be returned from the EU.</w:t>
      </w:r>
    </w:p>
    <w:p w14:paraId="4D5C6DB6" w14:textId="7EAF784A" w:rsidR="00D97C5E" w:rsidRDefault="00D97C5E" w:rsidP="00865C3E">
      <w:pPr>
        <w:spacing w:after="0" w:line="240" w:lineRule="auto"/>
        <w:rPr>
          <w:rFonts w:ascii="Gill Sans MT" w:eastAsia="Times New Roman" w:hAnsi="Gill Sans MT" w:cs="Times New Roman"/>
          <w:color w:val="000000"/>
          <w:lang w:eastAsia="en-GB"/>
        </w:rPr>
      </w:pPr>
    </w:p>
    <w:p w14:paraId="05062C56" w14:textId="01845A3A" w:rsidR="00145052" w:rsidRDefault="00423CE6" w:rsidP="00865C3E">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(i) Leave voting nations – Remain voting nations in the referendum</w:t>
      </w:r>
    </w:p>
    <w:p w14:paraId="53DBA757" w14:textId="63BDDB2B" w:rsidR="00423CE6" w:rsidRDefault="00423CE6" w:rsidP="00865C3E">
      <w:pPr>
        <w:spacing w:after="0" w:line="240" w:lineRule="auto"/>
        <w:rPr>
          <w:rFonts w:ascii="Gill Sans MT" w:eastAsia="Times New Roman" w:hAnsi="Gill Sans MT" w:cs="Times New Roman"/>
          <w:color w:val="000000"/>
          <w:lang w:eastAsia="en-GB"/>
        </w:rPr>
      </w:pPr>
    </w:p>
    <w:p w14:paraId="6D7ABA3F" w14:textId="3FA40CD1" w:rsidR="00EE14F2" w:rsidRDefault="00A37463" w:rsidP="00EE14F2">
      <w:pPr>
        <w:spacing w:after="0" w:line="240" w:lineRule="auto"/>
        <w:jc w:val="both"/>
        <w:rPr>
          <w:rFonts w:ascii="Gill Sans MT" w:hAnsi="Gill Sans MT" w:cs="Segoe UI"/>
          <w:shd w:val="clear" w:color="auto" w:fill="FFFFFF"/>
        </w:rPr>
      </w:pPr>
      <w:r>
        <w:rPr>
          <w:rFonts w:ascii="Gill Sans MT" w:eastAsia="Times New Roman" w:hAnsi="Gill Sans MT" w:cs="Times New Roman"/>
          <w:color w:val="000000"/>
          <w:lang w:eastAsia="en-GB"/>
        </w:rPr>
        <w:t xml:space="preserve">The basic constitutional framework of the </w:t>
      </w:r>
      <w:r w:rsidR="00614469">
        <w:rPr>
          <w:rFonts w:ascii="Gill Sans MT" w:eastAsia="Times New Roman" w:hAnsi="Gill Sans MT" w:cs="Times New Roman"/>
          <w:color w:val="000000"/>
          <w:shd w:val="clear" w:color="auto" w:fill="FFFFFF"/>
          <w:lang w:eastAsia="en-GB"/>
        </w:rPr>
        <w:t xml:space="preserve">UK </w:t>
      </w:r>
      <w:r>
        <w:rPr>
          <w:rFonts w:ascii="Gill Sans MT" w:eastAsia="Times New Roman" w:hAnsi="Gill Sans MT" w:cs="Times New Roman"/>
          <w:color w:val="000000"/>
          <w:shd w:val="clear" w:color="auto" w:fill="FFFFFF"/>
          <w:lang w:eastAsia="en-GB"/>
        </w:rPr>
        <w:t>is one in which</w:t>
      </w:r>
      <w:r w:rsidR="00614469">
        <w:rPr>
          <w:rFonts w:ascii="Gill Sans MT" w:eastAsia="Times New Roman" w:hAnsi="Gill Sans MT" w:cs="Times New Roman"/>
          <w:color w:val="000000"/>
          <w:shd w:val="clear" w:color="auto" w:fill="FFFFFF"/>
          <w:lang w:eastAsia="en-GB"/>
        </w:rPr>
        <w:t xml:space="preserve"> </w:t>
      </w:r>
      <w:r w:rsidR="00614469" w:rsidRPr="0060190B">
        <w:rPr>
          <w:rFonts w:ascii="Gill Sans MT" w:hAnsi="Gill Sans MT" w:cs="Segoe UI"/>
          <w:shd w:val="clear" w:color="auto" w:fill="FFFFFF"/>
        </w:rPr>
        <w:t>powerful central institutions</w:t>
      </w:r>
      <w:r w:rsidR="00614469">
        <w:rPr>
          <w:rFonts w:ascii="Gill Sans MT" w:hAnsi="Gill Sans MT" w:cs="Segoe UI"/>
          <w:shd w:val="clear" w:color="auto" w:fill="FFFFFF"/>
        </w:rPr>
        <w:t xml:space="preserve"> dictate to relatively weak local authorities, and </w:t>
      </w:r>
      <w:r>
        <w:rPr>
          <w:rFonts w:ascii="Gill Sans MT" w:hAnsi="Gill Sans MT" w:cs="Segoe UI"/>
          <w:shd w:val="clear" w:color="auto" w:fill="FFFFFF"/>
        </w:rPr>
        <w:t xml:space="preserve">the key competition to the centre </w:t>
      </w:r>
      <w:r w:rsidR="00075CB7">
        <w:rPr>
          <w:rFonts w:ascii="Gill Sans MT" w:hAnsi="Gill Sans MT" w:cs="Segoe UI"/>
          <w:shd w:val="clear" w:color="auto" w:fill="FFFFFF"/>
        </w:rPr>
        <w:t xml:space="preserve">now </w:t>
      </w:r>
      <w:r>
        <w:rPr>
          <w:rFonts w:ascii="Gill Sans MT" w:hAnsi="Gill Sans MT" w:cs="Segoe UI"/>
          <w:shd w:val="clear" w:color="auto" w:fill="FFFFFF"/>
        </w:rPr>
        <w:t>comes from an</w:t>
      </w:r>
      <w:r w:rsidR="00614469" w:rsidRPr="0060190B">
        <w:rPr>
          <w:rFonts w:ascii="Gill Sans MT" w:hAnsi="Gill Sans MT" w:cs="Segoe UI"/>
          <w:shd w:val="clear" w:color="auto" w:fill="FFFFFF"/>
        </w:rPr>
        <w:t xml:space="preserve"> asymmetrical </w:t>
      </w:r>
      <w:r w:rsidR="00614469">
        <w:rPr>
          <w:rFonts w:ascii="Gill Sans MT" w:hAnsi="Gill Sans MT" w:cs="Segoe UI"/>
          <w:shd w:val="clear" w:color="auto" w:fill="FFFFFF"/>
        </w:rPr>
        <w:t xml:space="preserve">devolution system which </w:t>
      </w:r>
      <w:r>
        <w:rPr>
          <w:rFonts w:ascii="Gill Sans MT" w:hAnsi="Gill Sans MT" w:cs="Segoe UI"/>
          <w:shd w:val="clear" w:color="auto" w:fill="FFFFFF"/>
        </w:rPr>
        <w:t>operates only</w:t>
      </w:r>
      <w:r w:rsidR="00614469">
        <w:rPr>
          <w:rFonts w:ascii="Gill Sans MT" w:hAnsi="Gill Sans MT" w:cs="Segoe UI"/>
          <w:shd w:val="clear" w:color="auto" w:fill="FFFFFF"/>
        </w:rPr>
        <w:t xml:space="preserve"> in particular</w:t>
      </w:r>
      <w:r>
        <w:rPr>
          <w:rFonts w:ascii="Gill Sans MT" w:hAnsi="Gill Sans MT" w:cs="Segoe UI"/>
          <w:shd w:val="clear" w:color="auto" w:fill="FFFFFF"/>
        </w:rPr>
        <w:t xml:space="preserve"> constituent nations, </w:t>
      </w:r>
      <w:r w:rsidR="00075CB7">
        <w:rPr>
          <w:rFonts w:ascii="Gill Sans MT" w:hAnsi="Gill Sans MT" w:cs="Segoe UI"/>
          <w:shd w:val="clear" w:color="auto" w:fill="FFFFFF"/>
        </w:rPr>
        <w:t>possessing</w:t>
      </w:r>
      <w:r>
        <w:rPr>
          <w:rFonts w:ascii="Gill Sans MT" w:hAnsi="Gill Sans MT" w:cs="Segoe UI"/>
          <w:shd w:val="clear" w:color="auto" w:fill="FFFFFF"/>
        </w:rPr>
        <w:t xml:space="preserve"> varying levels of power</w:t>
      </w:r>
      <w:r w:rsidR="00614469">
        <w:rPr>
          <w:rFonts w:ascii="Gill Sans MT" w:hAnsi="Gill Sans MT" w:cs="Segoe UI"/>
          <w:shd w:val="clear" w:color="auto" w:fill="FFFFFF"/>
        </w:rPr>
        <w:t>.</w:t>
      </w:r>
      <w:r w:rsidR="00442721">
        <w:rPr>
          <w:rFonts w:ascii="Gill Sans MT" w:hAnsi="Gill Sans MT" w:cs="Segoe UI"/>
          <w:shd w:val="clear" w:color="auto" w:fill="FFFFFF"/>
        </w:rPr>
        <w:t xml:space="preserve">  International relations, </w:t>
      </w:r>
      <w:r w:rsidR="00EE14F2">
        <w:rPr>
          <w:rFonts w:ascii="Gill Sans MT" w:hAnsi="Gill Sans MT" w:cs="Segoe UI"/>
          <w:shd w:val="clear" w:color="auto" w:fill="FFFFFF"/>
        </w:rPr>
        <w:t xml:space="preserve">specifically </w:t>
      </w:r>
      <w:r w:rsidR="00442721">
        <w:rPr>
          <w:rFonts w:ascii="Gill Sans MT" w:hAnsi="Gill Sans MT" w:cs="Segoe UI"/>
          <w:shd w:val="clear" w:color="auto" w:fill="FFFFFF"/>
        </w:rPr>
        <w:t xml:space="preserve">including the relationship with the EU, are </w:t>
      </w:r>
      <w:r w:rsidR="00EE14F2">
        <w:rPr>
          <w:rFonts w:ascii="Gill Sans MT" w:hAnsi="Gill Sans MT" w:cs="Segoe UI"/>
          <w:shd w:val="clear" w:color="auto" w:fill="FFFFFF"/>
        </w:rPr>
        <w:t>explicitly</w:t>
      </w:r>
      <w:r w:rsidR="00442721">
        <w:rPr>
          <w:rFonts w:ascii="Gill Sans MT" w:hAnsi="Gill Sans MT" w:cs="Segoe UI"/>
          <w:shd w:val="clear" w:color="auto" w:fill="FFFFFF"/>
        </w:rPr>
        <w:t xml:space="preserve"> identified as matters reserved to the UK level consistently across all three devolution </w:t>
      </w:r>
      <w:r w:rsidR="00442721">
        <w:rPr>
          <w:rFonts w:ascii="Gill Sans MT" w:hAnsi="Gill Sans MT" w:cs="Segoe UI"/>
          <w:shd w:val="clear" w:color="auto" w:fill="FFFFFF"/>
        </w:rPr>
        <w:lastRenderedPageBreak/>
        <w:t>statutes.</w:t>
      </w:r>
      <w:r w:rsidR="00442721">
        <w:rPr>
          <w:rStyle w:val="FootnoteReference"/>
          <w:rFonts w:ascii="Gill Sans MT" w:hAnsi="Gill Sans MT" w:cs="Segoe UI"/>
          <w:shd w:val="clear" w:color="auto" w:fill="FFFFFF"/>
        </w:rPr>
        <w:footnoteReference w:id="44"/>
      </w:r>
      <w:r w:rsidR="00EE14F2">
        <w:rPr>
          <w:rFonts w:ascii="Gill Sans MT" w:hAnsi="Gill Sans MT" w:cs="Segoe UI"/>
          <w:shd w:val="clear" w:color="auto" w:fill="FFFFFF"/>
        </w:rPr>
        <w:t xml:space="preserve">  The basic expectation, therefore, was that the UK institutions would be the </w:t>
      </w:r>
      <w:r w:rsidR="008448C0">
        <w:rPr>
          <w:rFonts w:ascii="Gill Sans MT" w:hAnsi="Gill Sans MT" w:cs="Segoe UI"/>
          <w:shd w:val="clear" w:color="auto" w:fill="FFFFFF"/>
        </w:rPr>
        <w:t>primary</w:t>
      </w:r>
      <w:r w:rsidR="00EE14F2">
        <w:rPr>
          <w:rFonts w:ascii="Gill Sans MT" w:hAnsi="Gill Sans MT" w:cs="Segoe UI"/>
          <w:shd w:val="clear" w:color="auto" w:fill="FFFFFF"/>
        </w:rPr>
        <w:t xml:space="preserve"> decision-makers regarding whether and how to exit the EU.</w:t>
      </w:r>
    </w:p>
    <w:p w14:paraId="6EEA308D" w14:textId="0FC51EBB" w:rsidR="00781892" w:rsidRDefault="00EE14F2" w:rsidP="006E5C31">
      <w:pPr>
        <w:spacing w:after="0" w:line="240" w:lineRule="auto"/>
        <w:ind w:firstLine="720"/>
        <w:jc w:val="both"/>
        <w:rPr>
          <w:rFonts w:ascii="Gill Sans MT" w:eastAsia="Times New Roman" w:hAnsi="Gill Sans MT" w:cs="Times New Roman"/>
          <w:color w:val="000000"/>
          <w:lang w:eastAsia="en-GB"/>
        </w:rPr>
      </w:pPr>
      <w:r>
        <w:rPr>
          <w:rFonts w:ascii="Gill Sans MT" w:hAnsi="Gill Sans MT" w:cs="Segoe UI"/>
          <w:shd w:val="clear" w:color="auto" w:fill="FFFFFF"/>
        </w:rPr>
        <w:t xml:space="preserve">The referendum </w:t>
      </w:r>
      <w:r w:rsidR="0078045C">
        <w:rPr>
          <w:rFonts w:ascii="Gill Sans MT" w:hAnsi="Gill Sans MT" w:cs="Segoe UI"/>
          <w:shd w:val="clear" w:color="auto" w:fill="FFFFFF"/>
        </w:rPr>
        <w:t>reflected this position.  It was enacted at UK level, following</w:t>
      </w:r>
      <w:r w:rsidR="0016099E">
        <w:rPr>
          <w:rFonts w:ascii="Gill Sans MT" w:hAnsi="Gill Sans MT" w:cs="Segoe UI"/>
          <w:shd w:val="clear" w:color="auto" w:fill="FFFFFF"/>
        </w:rPr>
        <w:t xml:space="preserve"> a manifesto commitment </w:t>
      </w:r>
      <w:r w:rsidR="0078045C">
        <w:rPr>
          <w:rFonts w:ascii="Gill Sans MT" w:hAnsi="Gill Sans MT" w:cs="Segoe UI"/>
          <w:shd w:val="clear" w:color="auto" w:fill="FFFFFF"/>
        </w:rPr>
        <w:t xml:space="preserve">from </w:t>
      </w:r>
      <w:r w:rsidR="0016099E">
        <w:rPr>
          <w:rFonts w:ascii="Gill Sans MT" w:hAnsi="Gill Sans MT" w:cs="Segoe UI"/>
          <w:shd w:val="clear" w:color="auto" w:fill="FFFFFF"/>
        </w:rPr>
        <w:t xml:space="preserve">the </w:t>
      </w:r>
      <w:r w:rsidR="0078045C">
        <w:rPr>
          <w:rFonts w:ascii="Gill Sans MT" w:hAnsi="Gill Sans MT" w:cs="Segoe UI"/>
          <w:shd w:val="clear" w:color="auto" w:fill="FFFFFF"/>
        </w:rPr>
        <w:t xml:space="preserve">UK government, </w:t>
      </w:r>
      <w:r w:rsidR="0016099E">
        <w:rPr>
          <w:rFonts w:ascii="Gill Sans MT" w:hAnsi="Gill Sans MT" w:cs="Segoe UI"/>
          <w:shd w:val="clear" w:color="auto" w:fill="FFFFFF"/>
        </w:rPr>
        <w:t>with</w:t>
      </w:r>
      <w:r w:rsidR="0078045C">
        <w:rPr>
          <w:rFonts w:ascii="Gill Sans MT" w:hAnsi="Gill Sans MT" w:cs="Segoe UI"/>
          <w:shd w:val="clear" w:color="auto" w:fill="FFFFFF"/>
        </w:rPr>
        <w:t xml:space="preserve"> the </w:t>
      </w:r>
      <w:r w:rsidR="0016099E">
        <w:rPr>
          <w:rFonts w:ascii="Gill Sans MT" w:hAnsi="Gill Sans MT" w:cs="Segoe UI"/>
          <w:shd w:val="clear" w:color="auto" w:fill="FFFFFF"/>
        </w:rPr>
        <w:t xml:space="preserve">result </w:t>
      </w:r>
      <w:r w:rsidR="0078045C">
        <w:rPr>
          <w:rFonts w:ascii="Gill Sans MT" w:hAnsi="Gill Sans MT" w:cs="Segoe UI"/>
          <w:shd w:val="clear" w:color="auto" w:fill="FFFFFF"/>
        </w:rPr>
        <w:t>based on a s</w:t>
      </w:r>
      <w:r w:rsidR="00614469">
        <w:rPr>
          <w:rFonts w:ascii="Gill Sans MT" w:eastAsia="Times New Roman" w:hAnsi="Gill Sans MT" w:cs="Times New Roman"/>
          <w:color w:val="000000"/>
          <w:lang w:eastAsia="en-GB"/>
        </w:rPr>
        <w:t>imple majority decision</w:t>
      </w:r>
      <w:r w:rsidR="009A57BD">
        <w:rPr>
          <w:rFonts w:ascii="Gill Sans MT" w:eastAsia="Times New Roman" w:hAnsi="Gill Sans MT" w:cs="Times New Roman"/>
          <w:color w:val="000000"/>
          <w:lang w:eastAsia="en-GB"/>
        </w:rPr>
        <w:t xml:space="preserve"> at UK level overall.  </w:t>
      </w:r>
      <w:r w:rsidR="00BD0C51">
        <w:rPr>
          <w:rFonts w:ascii="Gill Sans MT" w:eastAsia="Times New Roman" w:hAnsi="Gill Sans MT" w:cs="Times New Roman"/>
          <w:color w:val="000000"/>
          <w:lang w:eastAsia="en-GB"/>
        </w:rPr>
        <w:t>It did not require positive assent</w:t>
      </w:r>
      <w:r w:rsidR="0016099E">
        <w:rPr>
          <w:rFonts w:ascii="Gill Sans MT" w:eastAsia="Times New Roman" w:hAnsi="Gill Sans MT" w:cs="Times New Roman"/>
          <w:color w:val="000000"/>
          <w:lang w:eastAsia="en-GB"/>
        </w:rPr>
        <w:t xml:space="preserve"> for Brexit</w:t>
      </w:r>
      <w:r w:rsidR="00BD0C51">
        <w:rPr>
          <w:rFonts w:ascii="Gill Sans MT" w:eastAsia="Times New Roman" w:hAnsi="Gill Sans MT" w:cs="Times New Roman"/>
          <w:color w:val="000000"/>
          <w:lang w:eastAsia="en-GB"/>
        </w:rPr>
        <w:t xml:space="preserve"> in each of the four constituent nations of the UK</w:t>
      </w:r>
      <w:r w:rsidR="0016099E">
        <w:rPr>
          <w:rFonts w:ascii="Gill Sans MT" w:eastAsia="Times New Roman" w:hAnsi="Gill Sans MT" w:cs="Times New Roman"/>
          <w:color w:val="000000"/>
          <w:lang w:eastAsia="en-GB"/>
        </w:rPr>
        <w:t>, nor any other kind of supermajority or turnout condition to be satisfied</w:t>
      </w:r>
      <w:r w:rsidR="00BD0C51">
        <w:rPr>
          <w:rFonts w:ascii="Gill Sans MT" w:eastAsia="Times New Roman" w:hAnsi="Gill Sans MT" w:cs="Times New Roman"/>
          <w:color w:val="000000"/>
          <w:lang w:eastAsia="en-GB"/>
        </w:rPr>
        <w:t xml:space="preserve">.  </w:t>
      </w:r>
      <w:r w:rsidR="0016099E">
        <w:rPr>
          <w:rFonts w:ascii="Gill Sans MT" w:eastAsia="Times New Roman" w:hAnsi="Gill Sans MT" w:cs="Times New Roman"/>
          <w:color w:val="000000"/>
          <w:lang w:eastAsia="en-GB"/>
        </w:rPr>
        <w:t>The final outcome reflected this, with d</w:t>
      </w:r>
      <w:r w:rsidR="00614469">
        <w:rPr>
          <w:rFonts w:ascii="Gill Sans MT" w:eastAsia="Times New Roman" w:hAnsi="Gill Sans MT" w:cs="Times New Roman"/>
          <w:color w:val="000000"/>
          <w:lang w:eastAsia="en-GB"/>
        </w:rPr>
        <w:t>ifferent results</w:t>
      </w:r>
      <w:r w:rsidR="0016099E">
        <w:rPr>
          <w:rFonts w:ascii="Gill Sans MT" w:eastAsia="Times New Roman" w:hAnsi="Gill Sans MT" w:cs="Times New Roman"/>
          <w:color w:val="000000"/>
          <w:lang w:eastAsia="en-GB"/>
        </w:rPr>
        <w:t xml:space="preserve"> </w:t>
      </w:r>
      <w:r w:rsidR="00614469">
        <w:rPr>
          <w:rFonts w:ascii="Gill Sans MT" w:eastAsia="Times New Roman" w:hAnsi="Gill Sans MT" w:cs="Times New Roman"/>
          <w:color w:val="000000"/>
          <w:lang w:eastAsia="en-GB"/>
        </w:rPr>
        <w:t>in different nations – in Scotland and Northern Ireland a majority voted for remain, in Wales and England a majority voted for leave.</w:t>
      </w:r>
      <w:r w:rsidR="00B16E1F">
        <w:rPr>
          <w:rStyle w:val="FootnoteReference"/>
          <w:rFonts w:ascii="Gill Sans MT" w:eastAsia="Times New Roman" w:hAnsi="Gill Sans MT" w:cs="Times New Roman"/>
          <w:color w:val="000000"/>
          <w:lang w:eastAsia="en-GB"/>
        </w:rPr>
        <w:footnoteReference w:id="45"/>
      </w:r>
      <w:r w:rsidR="006B1177">
        <w:rPr>
          <w:rFonts w:ascii="Gill Sans MT" w:eastAsia="Times New Roman" w:hAnsi="Gill Sans MT" w:cs="Times New Roman"/>
          <w:color w:val="000000"/>
          <w:lang w:eastAsia="en-GB"/>
        </w:rPr>
        <w:t xml:space="preserve">  </w:t>
      </w:r>
      <w:r w:rsidR="006E5C31">
        <w:rPr>
          <w:rFonts w:ascii="Gill Sans MT" w:eastAsia="Times New Roman" w:hAnsi="Gill Sans MT" w:cs="Times New Roman"/>
          <w:color w:val="000000"/>
          <w:lang w:eastAsia="en-GB"/>
        </w:rPr>
        <w:t>While this left the four nations evenly divided, the lack of a cross-UK unanimity requirement was</w:t>
      </w:r>
      <w:r w:rsidR="006E5C31">
        <w:rPr>
          <w:rFonts w:ascii="Gill Sans MT" w:hAnsi="Gill Sans MT" w:cs="Segoe UI"/>
          <w:shd w:val="clear" w:color="auto" w:fill="FFFFFF"/>
        </w:rPr>
        <w:t xml:space="preserve"> </w:t>
      </w:r>
      <w:r w:rsidR="009A57BD">
        <w:rPr>
          <w:rFonts w:ascii="Gill Sans MT" w:eastAsia="Times New Roman" w:hAnsi="Gill Sans MT" w:cs="Times New Roman"/>
          <w:color w:val="000000"/>
          <w:lang w:eastAsia="en-GB"/>
        </w:rPr>
        <w:t>generally consistent with UK practice</w:t>
      </w:r>
      <w:r w:rsidR="0018402C">
        <w:rPr>
          <w:rFonts w:ascii="Gill Sans MT" w:eastAsia="Times New Roman" w:hAnsi="Gill Sans MT" w:cs="Times New Roman"/>
          <w:color w:val="000000"/>
          <w:lang w:eastAsia="en-GB"/>
        </w:rPr>
        <w:t xml:space="preserve">, </w:t>
      </w:r>
      <w:r w:rsidR="009A57BD">
        <w:rPr>
          <w:rFonts w:ascii="Gill Sans MT" w:eastAsia="Times New Roman" w:hAnsi="Gill Sans MT" w:cs="Times New Roman"/>
          <w:color w:val="000000"/>
          <w:lang w:eastAsia="en-GB"/>
        </w:rPr>
        <w:t xml:space="preserve">although </w:t>
      </w:r>
      <w:r w:rsidR="0018402C">
        <w:rPr>
          <w:rFonts w:ascii="Gill Sans MT" w:eastAsia="Times New Roman" w:hAnsi="Gill Sans MT" w:cs="Times New Roman"/>
          <w:color w:val="000000"/>
          <w:lang w:eastAsia="en-GB"/>
        </w:rPr>
        <w:t xml:space="preserve">the </w:t>
      </w:r>
      <w:r w:rsidR="009A57BD">
        <w:rPr>
          <w:rFonts w:ascii="Gill Sans MT" w:eastAsia="Times New Roman" w:hAnsi="Gill Sans MT" w:cs="Times New Roman"/>
          <w:color w:val="000000"/>
          <w:lang w:eastAsia="en-GB"/>
        </w:rPr>
        <w:t xml:space="preserve">previous referendum on EU membership in 1975 was </w:t>
      </w:r>
      <w:r w:rsidR="00FA6974">
        <w:rPr>
          <w:rFonts w:ascii="Gill Sans MT" w:eastAsia="Times New Roman" w:hAnsi="Gill Sans MT" w:cs="Times New Roman"/>
          <w:color w:val="000000"/>
          <w:lang w:eastAsia="en-GB"/>
        </w:rPr>
        <w:t xml:space="preserve">held </w:t>
      </w:r>
      <w:r w:rsidR="009A57BD">
        <w:rPr>
          <w:rFonts w:ascii="Gill Sans MT" w:eastAsia="Times New Roman" w:hAnsi="Gill Sans MT" w:cs="Times New Roman"/>
          <w:color w:val="000000"/>
          <w:lang w:eastAsia="en-GB"/>
        </w:rPr>
        <w:t>prior to the introduction of the modern devolution system</w:t>
      </w:r>
      <w:r w:rsidR="0018402C">
        <w:rPr>
          <w:rFonts w:ascii="Gill Sans MT" w:eastAsia="Times New Roman" w:hAnsi="Gill Sans MT" w:cs="Times New Roman"/>
          <w:color w:val="000000"/>
          <w:lang w:eastAsia="en-GB"/>
        </w:rPr>
        <w:t>.</w:t>
      </w:r>
      <w:r w:rsidR="00FA6974">
        <w:rPr>
          <w:rFonts w:ascii="Gill Sans MT" w:eastAsia="Times New Roman" w:hAnsi="Gill Sans MT" w:cs="Times New Roman"/>
          <w:color w:val="000000"/>
          <w:lang w:eastAsia="en-GB"/>
        </w:rPr>
        <w:t xml:space="preserve"> </w:t>
      </w:r>
      <w:r w:rsidR="003A211C">
        <w:rPr>
          <w:rFonts w:ascii="Gill Sans MT" w:eastAsia="Times New Roman" w:hAnsi="Gill Sans MT" w:cs="Times New Roman"/>
          <w:color w:val="000000"/>
          <w:lang w:eastAsia="en-GB"/>
        </w:rPr>
        <w:t xml:space="preserve"> </w:t>
      </w:r>
      <w:r w:rsidR="00FA6974">
        <w:rPr>
          <w:rFonts w:ascii="Gill Sans MT" w:eastAsia="Times New Roman" w:hAnsi="Gill Sans MT" w:cs="Times New Roman"/>
          <w:color w:val="000000"/>
          <w:lang w:eastAsia="en-GB"/>
        </w:rPr>
        <w:t>Only in the 1979 devolution referendums held in Scotland and Wales was a minimum support threshold required,</w:t>
      </w:r>
      <w:r w:rsidR="00FA6974">
        <w:rPr>
          <w:rStyle w:val="FootnoteReference"/>
          <w:rFonts w:ascii="Gill Sans MT" w:eastAsia="Times New Roman" w:hAnsi="Gill Sans MT" w:cs="Times New Roman"/>
          <w:color w:val="000000"/>
          <w:lang w:eastAsia="en-GB"/>
        </w:rPr>
        <w:footnoteReference w:id="46"/>
      </w:r>
      <w:r w:rsidR="00FA6974">
        <w:rPr>
          <w:rFonts w:ascii="Gill Sans MT" w:eastAsia="Times New Roman" w:hAnsi="Gill Sans MT" w:cs="Times New Roman"/>
          <w:color w:val="000000"/>
          <w:lang w:eastAsia="en-GB"/>
        </w:rPr>
        <w:t xml:space="preserve"> which operated to prevent a Scottish Assembly being established despite the fact that a simple majority of those voting were in favour of its creation.  </w:t>
      </w:r>
      <w:r w:rsidR="00C42D79">
        <w:rPr>
          <w:rFonts w:ascii="Gill Sans MT" w:eastAsia="Times New Roman" w:hAnsi="Gill Sans MT" w:cs="Times New Roman"/>
          <w:color w:val="000000"/>
          <w:lang w:eastAsia="en-GB"/>
        </w:rPr>
        <w:t>Yet while a democratically objectionable provision of this kind was avoided in the 2016 referendum, England’s domination of the UK in population terms (amounting to approximately 84% of the UK electorate</w:t>
      </w:r>
      <w:r w:rsidR="00670221">
        <w:rPr>
          <w:rFonts w:ascii="Gill Sans MT" w:eastAsia="Times New Roman" w:hAnsi="Gill Sans MT" w:cs="Times New Roman"/>
          <w:color w:val="000000"/>
          <w:lang w:eastAsia="en-GB"/>
        </w:rPr>
        <w:t xml:space="preserve"> </w:t>
      </w:r>
      <w:r w:rsidR="00C42D79">
        <w:rPr>
          <w:rFonts w:ascii="Gill Sans MT" w:eastAsia="Times New Roman" w:hAnsi="Gill Sans MT" w:cs="Times New Roman"/>
          <w:color w:val="000000"/>
          <w:lang w:eastAsia="en-GB"/>
        </w:rPr>
        <w:t>as of 2019)</w:t>
      </w:r>
      <w:r w:rsidR="00C42D79">
        <w:rPr>
          <w:rStyle w:val="FootnoteReference"/>
          <w:rFonts w:ascii="Gill Sans MT" w:eastAsia="Times New Roman" w:hAnsi="Gill Sans MT" w:cs="Times New Roman"/>
          <w:color w:val="000000"/>
          <w:lang w:eastAsia="en-GB"/>
        </w:rPr>
        <w:footnoteReference w:id="47"/>
      </w:r>
      <w:r w:rsidR="00B16E1F">
        <w:rPr>
          <w:rFonts w:ascii="Gill Sans MT" w:eastAsia="Times New Roman" w:hAnsi="Gill Sans MT" w:cs="Times New Roman"/>
          <w:color w:val="000000"/>
          <w:lang w:eastAsia="en-GB"/>
        </w:rPr>
        <w:t xml:space="preserve"> meant that the </w:t>
      </w:r>
      <w:r w:rsidR="00445170">
        <w:rPr>
          <w:rFonts w:ascii="Gill Sans MT" w:eastAsia="Times New Roman" w:hAnsi="Gill Sans MT" w:cs="Times New Roman"/>
          <w:color w:val="000000"/>
          <w:lang w:eastAsia="en-GB"/>
        </w:rPr>
        <w:t xml:space="preserve">distribution of </w:t>
      </w:r>
      <w:r w:rsidR="000C4E43">
        <w:rPr>
          <w:rFonts w:ascii="Gill Sans MT" w:eastAsia="Times New Roman" w:hAnsi="Gill Sans MT" w:cs="Times New Roman"/>
          <w:color w:val="000000"/>
          <w:lang w:eastAsia="en-GB"/>
        </w:rPr>
        <w:t xml:space="preserve">English </w:t>
      </w:r>
      <w:r w:rsidR="00B16E1F">
        <w:rPr>
          <w:rFonts w:ascii="Gill Sans MT" w:eastAsia="Times New Roman" w:hAnsi="Gill Sans MT" w:cs="Times New Roman"/>
          <w:color w:val="000000"/>
          <w:lang w:eastAsia="en-GB"/>
        </w:rPr>
        <w:t>vote</w:t>
      </w:r>
      <w:r w:rsidR="00445170">
        <w:rPr>
          <w:rFonts w:ascii="Gill Sans MT" w:eastAsia="Times New Roman" w:hAnsi="Gill Sans MT" w:cs="Times New Roman"/>
          <w:color w:val="000000"/>
          <w:lang w:eastAsia="en-GB"/>
        </w:rPr>
        <w:t>s</w:t>
      </w:r>
      <w:r w:rsidR="00B16E1F">
        <w:rPr>
          <w:rFonts w:ascii="Gill Sans MT" w:eastAsia="Times New Roman" w:hAnsi="Gill Sans MT" w:cs="Times New Roman"/>
          <w:color w:val="000000"/>
          <w:lang w:eastAsia="en-GB"/>
        </w:rPr>
        <w:t xml:space="preserve"> would </w:t>
      </w:r>
      <w:r w:rsidR="00445170">
        <w:rPr>
          <w:rFonts w:ascii="Gill Sans MT" w:eastAsia="Times New Roman" w:hAnsi="Gill Sans MT" w:cs="Times New Roman"/>
          <w:color w:val="000000"/>
          <w:lang w:eastAsia="en-GB"/>
        </w:rPr>
        <w:t>decisively shape the final result.</w:t>
      </w:r>
      <w:r w:rsidR="00781892">
        <w:rPr>
          <w:rFonts w:ascii="Gill Sans MT" w:eastAsia="Times New Roman" w:hAnsi="Gill Sans MT" w:cs="Times New Roman"/>
          <w:color w:val="000000"/>
          <w:lang w:eastAsia="en-GB"/>
        </w:rPr>
        <w:t xml:space="preserve">  </w:t>
      </w:r>
    </w:p>
    <w:p w14:paraId="46638522" w14:textId="0B20E61B" w:rsidR="009A57BD" w:rsidRDefault="00781892" w:rsidP="006E5C31">
      <w:pPr>
        <w:spacing w:after="0" w:line="240" w:lineRule="auto"/>
        <w:ind w:firstLine="720"/>
        <w:jc w:val="both"/>
        <w:rPr>
          <w:rFonts w:ascii="Gill Sans MT" w:hAnsi="Gill Sans MT" w:cs="Segoe UI"/>
          <w:shd w:val="clear" w:color="auto" w:fill="FFFFFF"/>
        </w:rPr>
      </w:pPr>
      <w:r>
        <w:rPr>
          <w:rFonts w:ascii="Gill Sans MT" w:eastAsia="Times New Roman" w:hAnsi="Gill Sans MT" w:cs="Times New Roman"/>
          <w:color w:val="000000"/>
          <w:lang w:eastAsia="en-GB"/>
        </w:rPr>
        <w:t>While from legal and a constitutional perspective it is unsurprising that the referendum was based on the cumulative result across the UK population overall, given the nature of UK membership of the EU and the status of this matter within the devolution settlement, in political terms an inclusive approach to implementing the result would have been necessary to quell arguments that this was being imposed on Scotland and Northern Ireland in particular.  Instead, however, these initial national divisions were exacerbated in the Brexit process</w:t>
      </w:r>
      <w:r w:rsidR="0012168F">
        <w:rPr>
          <w:rFonts w:ascii="Gill Sans MT" w:eastAsia="Times New Roman" w:hAnsi="Gill Sans MT" w:cs="Times New Roman"/>
          <w:color w:val="000000"/>
          <w:lang w:eastAsia="en-GB"/>
        </w:rPr>
        <w:t>, and also reflected in ongoing policy disagreements between the respective governments concerning the devolved preferences for a ‘soft’ rather than a ‘hard’ Brexit, based on greater continuing alignment with the EU, membership of the single market and participation in the customs union.</w:t>
      </w:r>
      <w:r w:rsidR="0012168F">
        <w:rPr>
          <w:rStyle w:val="FootnoteReference"/>
          <w:rFonts w:ascii="Gill Sans MT" w:eastAsia="Times New Roman" w:hAnsi="Gill Sans MT" w:cs="Times New Roman"/>
          <w:color w:val="000000"/>
          <w:lang w:eastAsia="en-GB"/>
        </w:rPr>
        <w:footnoteReference w:id="48"/>
      </w:r>
    </w:p>
    <w:p w14:paraId="1C12592E" w14:textId="06F3FCC7" w:rsidR="00423CE6" w:rsidRDefault="00423CE6" w:rsidP="00865C3E">
      <w:pPr>
        <w:spacing w:after="0" w:line="240" w:lineRule="auto"/>
        <w:rPr>
          <w:rFonts w:ascii="Gill Sans MT" w:eastAsia="Times New Roman" w:hAnsi="Gill Sans MT" w:cs="Times New Roman"/>
          <w:color w:val="000000"/>
          <w:lang w:eastAsia="en-GB"/>
        </w:rPr>
      </w:pPr>
    </w:p>
    <w:p w14:paraId="65C5564F" w14:textId="5B3ED215" w:rsidR="00423CE6" w:rsidRDefault="00423CE6" w:rsidP="00865C3E">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(ii) Devolved institutions</w:t>
      </w:r>
      <w:r w:rsidR="00B6372A">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 xml:space="preserve"> lack of consent to withdrawal arrangements</w:t>
      </w:r>
    </w:p>
    <w:p w14:paraId="33B7B4DD" w14:textId="29A25F7F" w:rsidR="00423CE6" w:rsidRDefault="00423CE6" w:rsidP="00865C3E">
      <w:pPr>
        <w:spacing w:after="0" w:line="240" w:lineRule="auto"/>
        <w:rPr>
          <w:rFonts w:ascii="Gill Sans MT" w:eastAsia="Times New Roman" w:hAnsi="Gill Sans MT" w:cs="Times New Roman"/>
          <w:color w:val="000000"/>
          <w:lang w:eastAsia="en-GB"/>
        </w:rPr>
      </w:pPr>
    </w:p>
    <w:p w14:paraId="55883994" w14:textId="39946435" w:rsidR="00614469" w:rsidRDefault="00E72DE6" w:rsidP="006B7EB0">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Just as the</w:t>
      </w:r>
      <w:r w:rsidR="006B7EB0">
        <w:rPr>
          <w:rFonts w:ascii="Gill Sans MT" w:eastAsia="Times New Roman" w:hAnsi="Gill Sans MT" w:cs="Times New Roman"/>
          <w:color w:val="000000"/>
          <w:lang w:eastAsia="en-GB"/>
        </w:rPr>
        <w:t xml:space="preserve"> specific approval of the voters in each distinct nation of the UK was not required in favour of Brexit, so too was the consent of the devolved institutions in Scotland, Wales and Northern Ireland not required to commence or conclude the process</w:t>
      </w:r>
      <w:r w:rsidR="00E54666">
        <w:rPr>
          <w:rFonts w:ascii="Gill Sans MT" w:eastAsia="Times New Roman" w:hAnsi="Gill Sans MT" w:cs="Times New Roman"/>
          <w:color w:val="000000"/>
          <w:lang w:eastAsia="en-GB"/>
        </w:rPr>
        <w:t xml:space="preserve"> of negotiating Brexit</w:t>
      </w:r>
      <w:r w:rsidR="006B7EB0">
        <w:rPr>
          <w:rFonts w:ascii="Gill Sans MT" w:eastAsia="Times New Roman" w:hAnsi="Gill Sans MT" w:cs="Times New Roman"/>
          <w:color w:val="000000"/>
          <w:lang w:eastAsia="en-GB"/>
        </w:rPr>
        <w:t xml:space="preserve">.  </w:t>
      </w:r>
      <w:r w:rsidR="00356266">
        <w:rPr>
          <w:rFonts w:ascii="Gill Sans MT" w:eastAsia="Times New Roman" w:hAnsi="Gill Sans MT" w:cs="Times New Roman"/>
          <w:color w:val="000000"/>
          <w:lang w:eastAsia="en-GB"/>
        </w:rPr>
        <w:t>The new</w:t>
      </w:r>
      <w:r w:rsidR="006B7EB0">
        <w:rPr>
          <w:rFonts w:ascii="Gill Sans MT" w:eastAsia="Times New Roman" w:hAnsi="Gill Sans MT" w:cs="Times New Roman"/>
          <w:color w:val="000000"/>
          <w:lang w:eastAsia="en-GB"/>
        </w:rPr>
        <w:t xml:space="preserve"> arrangements </w:t>
      </w:r>
      <w:r w:rsidR="00356266">
        <w:rPr>
          <w:rFonts w:ascii="Gill Sans MT" w:eastAsia="Times New Roman" w:hAnsi="Gill Sans MT" w:cs="Times New Roman"/>
          <w:color w:val="000000"/>
          <w:lang w:eastAsia="en-GB"/>
        </w:rPr>
        <w:t xml:space="preserve">introduced </w:t>
      </w:r>
      <w:r w:rsidR="006B7EB0">
        <w:rPr>
          <w:rFonts w:ascii="Gill Sans MT" w:eastAsia="Times New Roman" w:hAnsi="Gill Sans MT" w:cs="Times New Roman"/>
          <w:color w:val="000000"/>
          <w:lang w:eastAsia="en-GB"/>
        </w:rPr>
        <w:t xml:space="preserve">within the UK in consequence of the withdrawal of EU law from the domestic legal system were also not subject to </w:t>
      </w:r>
      <w:r w:rsidR="00356266">
        <w:rPr>
          <w:rFonts w:ascii="Gill Sans MT" w:eastAsia="Times New Roman" w:hAnsi="Gill Sans MT" w:cs="Times New Roman"/>
          <w:color w:val="000000"/>
          <w:lang w:eastAsia="en-GB"/>
        </w:rPr>
        <w:t>a</w:t>
      </w:r>
      <w:r w:rsidR="006B7EB0">
        <w:rPr>
          <w:rFonts w:ascii="Gill Sans MT" w:eastAsia="Times New Roman" w:hAnsi="Gill Sans MT" w:cs="Times New Roman"/>
          <w:color w:val="000000"/>
          <w:lang w:eastAsia="en-GB"/>
        </w:rPr>
        <w:t xml:space="preserve"> legal requirement of devolved consent.  This is because the devolution system was constructed through an exercise of legislative sovereignty by the UK Parliament, which explicitly retained its sovereign legal power to alter that system, or </w:t>
      </w:r>
      <w:r w:rsidR="00F01FD3">
        <w:rPr>
          <w:rFonts w:ascii="Gill Sans MT" w:eastAsia="Times New Roman" w:hAnsi="Gill Sans MT" w:cs="Times New Roman"/>
          <w:color w:val="000000"/>
          <w:lang w:eastAsia="en-GB"/>
        </w:rPr>
        <w:t xml:space="preserve">to </w:t>
      </w:r>
      <w:r w:rsidR="006B7EB0">
        <w:rPr>
          <w:rFonts w:ascii="Gill Sans MT" w:eastAsia="Times New Roman" w:hAnsi="Gill Sans MT" w:cs="Times New Roman"/>
          <w:color w:val="000000"/>
          <w:lang w:eastAsia="en-GB"/>
        </w:rPr>
        <w:t>enact legislation in areas of devolved competence.</w:t>
      </w:r>
      <w:r w:rsidR="00F01FD3">
        <w:rPr>
          <w:rStyle w:val="FootnoteReference"/>
          <w:rFonts w:ascii="Gill Sans MT" w:eastAsia="Times New Roman" w:hAnsi="Gill Sans MT" w:cs="Times New Roman"/>
          <w:color w:val="000000"/>
          <w:lang w:eastAsia="en-GB"/>
        </w:rPr>
        <w:footnoteReference w:id="49"/>
      </w:r>
      <w:r w:rsidR="006B7EB0">
        <w:rPr>
          <w:rFonts w:ascii="Gill Sans MT" w:eastAsia="Times New Roman" w:hAnsi="Gill Sans MT" w:cs="Times New Roman"/>
          <w:color w:val="000000"/>
          <w:lang w:eastAsia="en-GB"/>
        </w:rPr>
        <w:t xml:space="preserve">  However, by constitutional convention – the so-called ‘Sewel convention’– any such UK legislation would ‘normally’ be subject to consent of the relevant devolved legislature(s),</w:t>
      </w:r>
      <w:r w:rsidR="006B37BB">
        <w:rPr>
          <w:rStyle w:val="FootnoteReference"/>
          <w:rFonts w:ascii="Gill Sans MT" w:eastAsia="Times New Roman" w:hAnsi="Gill Sans MT" w:cs="Times New Roman"/>
          <w:color w:val="000000"/>
          <w:lang w:eastAsia="en-GB"/>
        </w:rPr>
        <w:footnoteReference w:id="50"/>
      </w:r>
      <w:r w:rsidR="006B37BB">
        <w:rPr>
          <w:rFonts w:ascii="Gill Sans MT" w:eastAsia="Times New Roman" w:hAnsi="Gill Sans MT" w:cs="Times New Roman"/>
          <w:color w:val="000000"/>
          <w:lang w:eastAsia="en-GB"/>
        </w:rPr>
        <w:t xml:space="preserve"> </w:t>
      </w:r>
      <w:r w:rsidR="006B7EB0">
        <w:rPr>
          <w:rFonts w:ascii="Gill Sans MT" w:eastAsia="Times New Roman" w:hAnsi="Gill Sans MT" w:cs="Times New Roman"/>
          <w:color w:val="000000"/>
          <w:lang w:eastAsia="en-GB"/>
        </w:rPr>
        <w:t xml:space="preserve"> </w:t>
      </w:r>
      <w:r w:rsidR="006B7EB0">
        <w:rPr>
          <w:rFonts w:ascii="Gill Sans MT" w:eastAsia="Times New Roman" w:hAnsi="Gill Sans MT" w:cs="Times New Roman"/>
          <w:color w:val="000000"/>
          <w:lang w:eastAsia="en-GB"/>
        </w:rPr>
        <w:lastRenderedPageBreak/>
        <w:t>something which became a relatively stable part of the domestic law-making process.</w:t>
      </w:r>
      <w:r w:rsidR="006B7EB0">
        <w:rPr>
          <w:rStyle w:val="FootnoteReference"/>
          <w:rFonts w:ascii="Gill Sans MT" w:eastAsia="Times New Roman" w:hAnsi="Gill Sans MT" w:cs="Times New Roman"/>
          <w:color w:val="000000"/>
          <w:lang w:eastAsia="en-GB"/>
        </w:rPr>
        <w:footnoteReference w:id="51"/>
      </w:r>
      <w:r w:rsidR="006B7EB0">
        <w:rPr>
          <w:rFonts w:ascii="Gill Sans MT" w:eastAsia="Times New Roman" w:hAnsi="Gill Sans MT" w:cs="Times New Roman"/>
          <w:color w:val="000000"/>
          <w:lang w:eastAsia="en-GB"/>
        </w:rPr>
        <w:t xml:space="preserve">  </w:t>
      </w:r>
      <w:r w:rsidR="00C4452E">
        <w:rPr>
          <w:rFonts w:ascii="Gill Sans MT" w:eastAsia="Times New Roman" w:hAnsi="Gill Sans MT" w:cs="Times New Roman"/>
          <w:color w:val="000000"/>
          <w:lang w:eastAsia="en-GB"/>
        </w:rPr>
        <w:t>However, t</w:t>
      </w:r>
      <w:r w:rsidR="006B7EB0">
        <w:rPr>
          <w:rFonts w:ascii="Gill Sans MT" w:eastAsia="Times New Roman" w:hAnsi="Gill Sans MT" w:cs="Times New Roman"/>
          <w:color w:val="000000"/>
          <w:lang w:eastAsia="en-GB"/>
        </w:rPr>
        <w:t xml:space="preserve">hese settled conventions </w:t>
      </w:r>
      <w:r w:rsidR="00C4452E">
        <w:rPr>
          <w:rFonts w:ascii="Gill Sans MT" w:eastAsia="Times New Roman" w:hAnsi="Gill Sans MT" w:cs="Times New Roman"/>
          <w:color w:val="000000"/>
          <w:lang w:eastAsia="en-GB"/>
        </w:rPr>
        <w:t>became</w:t>
      </w:r>
      <w:r w:rsidR="006B7EB0">
        <w:rPr>
          <w:rFonts w:ascii="Gill Sans MT" w:eastAsia="Times New Roman" w:hAnsi="Gill Sans MT" w:cs="Times New Roman"/>
          <w:color w:val="000000"/>
          <w:lang w:eastAsia="en-GB"/>
        </w:rPr>
        <w:t xml:space="preserve"> </w:t>
      </w:r>
      <w:r w:rsidR="00C4452E">
        <w:rPr>
          <w:rFonts w:ascii="Gill Sans MT" w:eastAsia="Times New Roman" w:hAnsi="Gill Sans MT" w:cs="Times New Roman"/>
          <w:color w:val="000000"/>
          <w:lang w:eastAsia="en-GB"/>
        </w:rPr>
        <w:t>re-contested as a result of Brexit in two ways.</w:t>
      </w:r>
    </w:p>
    <w:p w14:paraId="58FCFE39" w14:textId="168FEE79" w:rsidR="00E72DE6" w:rsidRPr="00C4452E" w:rsidRDefault="00C4452E" w:rsidP="00C4452E">
      <w:pPr>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ab/>
        <w:t xml:space="preserve">First, whether the consent of the devolved institutions was required </w:t>
      </w:r>
      <w:r w:rsidR="00356266">
        <w:rPr>
          <w:rFonts w:ascii="Gill Sans MT" w:eastAsia="Times New Roman" w:hAnsi="Gill Sans MT" w:cs="Times New Roman"/>
          <w:color w:val="000000"/>
          <w:lang w:eastAsia="en-GB"/>
        </w:rPr>
        <w:t>was subject to litigation</w:t>
      </w:r>
      <w:r>
        <w:rPr>
          <w:rFonts w:ascii="Gill Sans MT" w:eastAsia="Times New Roman" w:hAnsi="Gill Sans MT" w:cs="Times New Roman"/>
          <w:color w:val="000000"/>
          <w:lang w:eastAsia="en-GB"/>
        </w:rPr>
        <w:t xml:space="preserve">.  Devolved consent was not required for the </w:t>
      </w:r>
      <w:r w:rsidR="00E72DE6">
        <w:rPr>
          <w:rFonts w:ascii="Gill Sans MT" w:eastAsia="Times New Roman" w:hAnsi="Gill Sans MT" w:cs="Times New Roman"/>
          <w:color w:val="000000"/>
          <w:lang w:eastAsia="en-GB"/>
        </w:rPr>
        <w:t xml:space="preserve">EU (Referendum) Act 2015, because relations with the EU are a matter reserved to the UK level, </w:t>
      </w:r>
      <w:r w:rsidR="00356266">
        <w:rPr>
          <w:rFonts w:ascii="Gill Sans MT" w:eastAsia="Times New Roman" w:hAnsi="Gill Sans MT" w:cs="Times New Roman"/>
          <w:color w:val="000000"/>
          <w:lang w:eastAsia="en-GB"/>
        </w:rPr>
        <w:t>but also since a</w:t>
      </w:r>
      <w:r w:rsidR="00E72DE6">
        <w:rPr>
          <w:rFonts w:ascii="Gill Sans MT" w:eastAsia="Times New Roman" w:hAnsi="Gill Sans MT" w:cs="Times New Roman"/>
          <w:color w:val="000000"/>
          <w:lang w:eastAsia="en-GB"/>
        </w:rPr>
        <w:t xml:space="preserve"> legally ‘advisory’ referendum would have no binding or direct effect on existing devolution arrangements.</w:t>
      </w:r>
      <w:r>
        <w:rPr>
          <w:rFonts w:ascii="Gill Sans MT" w:eastAsia="Times New Roman" w:hAnsi="Gill Sans MT" w:cs="Times New Roman"/>
          <w:color w:val="000000"/>
          <w:lang w:eastAsia="en-GB"/>
        </w:rPr>
        <w:t xml:space="preserve">  Yet as part of the </w:t>
      </w:r>
      <w:r>
        <w:rPr>
          <w:rFonts w:ascii="Gill Sans MT" w:eastAsia="Times New Roman" w:hAnsi="Gill Sans MT" w:cs="Times New Roman"/>
          <w:i/>
          <w:iCs/>
          <w:color w:val="000000"/>
          <w:lang w:eastAsia="en-GB"/>
        </w:rPr>
        <w:t xml:space="preserve">Miller (No.1) </w:t>
      </w:r>
      <w:r>
        <w:rPr>
          <w:rFonts w:ascii="Gill Sans MT" w:eastAsia="Times New Roman" w:hAnsi="Gill Sans MT" w:cs="Times New Roman"/>
          <w:color w:val="000000"/>
          <w:lang w:eastAsia="en-GB"/>
        </w:rPr>
        <w:t>litigation, the devolved governments argued that if (as the Supreme Court ultimately held) new primary legislation was required to authorise</w:t>
      </w:r>
      <w:r w:rsidR="00B67ECC">
        <w:rPr>
          <w:rFonts w:ascii="Gill Sans MT" w:eastAsia="Times New Roman" w:hAnsi="Gill Sans MT" w:cs="Times New Roman"/>
          <w:color w:val="000000"/>
          <w:lang w:eastAsia="en-GB"/>
        </w:rPr>
        <w:t xml:space="preserve"> </w:t>
      </w:r>
      <w:r>
        <w:rPr>
          <w:rFonts w:ascii="Gill Sans MT" w:eastAsia="Times New Roman" w:hAnsi="Gill Sans MT" w:cs="Times New Roman"/>
          <w:color w:val="000000"/>
          <w:lang w:eastAsia="en-GB"/>
        </w:rPr>
        <w:t>notification of the start of Brexit negotiations under Article 50 TEU, then devolved consent to that legislation was also required</w:t>
      </w:r>
      <w:r w:rsidR="00781E9D">
        <w:rPr>
          <w:rFonts w:ascii="Gill Sans MT" w:eastAsia="Times New Roman" w:hAnsi="Gill Sans MT" w:cs="Times New Roman"/>
          <w:color w:val="000000"/>
          <w:lang w:eastAsia="en-GB"/>
        </w:rPr>
        <w:t>.  The basis for this argument was that the possibility of automatic exit from the EU after two years of negotiations would have a direct impact on the devolution settlement, which (among other things) included specific prohibitions on legislating in contravention of EU law, with the potential for Brexit to alter (or negate) the impact of these provisions on devolved competence.</w:t>
      </w:r>
      <w:r>
        <w:rPr>
          <w:rFonts w:ascii="Gill Sans MT" w:eastAsia="Times New Roman" w:hAnsi="Gill Sans MT" w:cs="Times New Roman"/>
          <w:color w:val="000000"/>
          <w:lang w:eastAsia="en-GB"/>
        </w:rPr>
        <w:t xml:space="preserve">  </w:t>
      </w:r>
      <w:r w:rsidR="00781E9D">
        <w:rPr>
          <w:rFonts w:ascii="Gill Sans MT" w:eastAsia="Times New Roman" w:hAnsi="Gill Sans MT" w:cs="Times New Roman"/>
          <w:color w:val="000000"/>
          <w:lang w:eastAsia="en-GB"/>
        </w:rPr>
        <w:t xml:space="preserve">At this point, following the enactment of the Scotland Act 2016, the Sewel convention had also been ‘recognised’ in statute, and the devolved governments argued </w:t>
      </w:r>
      <w:r w:rsidR="00C41D60">
        <w:rPr>
          <w:rFonts w:ascii="Gill Sans MT" w:eastAsia="Times New Roman" w:hAnsi="Gill Sans MT" w:cs="Times New Roman"/>
          <w:color w:val="000000"/>
          <w:lang w:eastAsia="en-GB"/>
        </w:rPr>
        <w:t>this made it open for the courts to enforce.</w:t>
      </w:r>
      <w:r w:rsidR="00B67ECC">
        <w:rPr>
          <w:rStyle w:val="FootnoteReference"/>
          <w:rFonts w:ascii="Gill Sans MT" w:eastAsia="Times New Roman" w:hAnsi="Gill Sans MT" w:cs="Times New Roman"/>
          <w:color w:val="000000"/>
          <w:lang w:eastAsia="en-GB"/>
        </w:rPr>
        <w:footnoteReference w:id="52"/>
      </w:r>
      <w:r w:rsidR="00C41D60">
        <w:rPr>
          <w:rFonts w:ascii="Gill Sans MT" w:eastAsia="Times New Roman" w:hAnsi="Gill Sans MT" w:cs="Times New Roman"/>
          <w:color w:val="000000"/>
          <w:lang w:eastAsia="en-GB"/>
        </w:rPr>
        <w:t xml:space="preserve">  However, the Supreme Court unanimously rejected this argument, holding that this remained a ‘political convention’ which it was not for the courts to </w:t>
      </w:r>
      <w:r w:rsidR="00B67ECC" w:rsidRPr="00B67ECC">
        <w:rPr>
          <w:rFonts w:ascii="Gill Sans MT" w:eastAsia="Times New Roman" w:hAnsi="Gill Sans MT" w:cs="Times New Roman"/>
          <w:color w:val="000000"/>
          <w:lang w:eastAsia="en-GB"/>
        </w:rPr>
        <w:t>adjudicate or enforce</w:t>
      </w:r>
      <w:r w:rsidR="006B7353">
        <w:rPr>
          <w:rFonts w:ascii="Gill Sans MT" w:eastAsia="Times New Roman" w:hAnsi="Gill Sans MT" w:cs="Times New Roman"/>
          <w:color w:val="000000"/>
          <w:lang w:eastAsia="en-GB"/>
        </w:rPr>
        <w:t>.</w:t>
      </w:r>
      <w:r w:rsidR="006B7353">
        <w:rPr>
          <w:rStyle w:val="FootnoteReference"/>
          <w:rFonts w:ascii="Gill Sans MT" w:eastAsia="Times New Roman" w:hAnsi="Gill Sans MT" w:cs="Times New Roman"/>
          <w:color w:val="000000"/>
          <w:lang w:eastAsia="en-GB"/>
        </w:rPr>
        <w:footnoteReference w:id="53"/>
      </w:r>
      <w:r w:rsidR="00C41D60">
        <w:rPr>
          <w:rFonts w:ascii="Gill Sans MT" w:eastAsia="Times New Roman" w:hAnsi="Gill Sans MT" w:cs="Times New Roman"/>
          <w:color w:val="000000"/>
          <w:lang w:eastAsia="en-GB"/>
        </w:rPr>
        <w:t xml:space="preserve">  While that </w:t>
      </w:r>
      <w:r w:rsidR="00415E12">
        <w:rPr>
          <w:rFonts w:ascii="Gill Sans MT" w:eastAsia="Times New Roman" w:hAnsi="Gill Sans MT" w:cs="Times New Roman"/>
          <w:color w:val="000000"/>
          <w:lang w:eastAsia="en-GB"/>
        </w:rPr>
        <w:t>seems</w:t>
      </w:r>
      <w:r w:rsidR="004A1340">
        <w:rPr>
          <w:rFonts w:ascii="Gill Sans MT" w:eastAsia="Times New Roman" w:hAnsi="Gill Sans MT" w:cs="Times New Roman"/>
          <w:color w:val="000000"/>
          <w:lang w:eastAsia="en-GB"/>
        </w:rPr>
        <w:t xml:space="preserve"> like</w:t>
      </w:r>
      <w:r w:rsidR="00C41D60">
        <w:rPr>
          <w:rFonts w:ascii="Gill Sans MT" w:eastAsia="Times New Roman" w:hAnsi="Gill Sans MT" w:cs="Times New Roman"/>
          <w:color w:val="000000"/>
          <w:lang w:eastAsia="en-GB"/>
        </w:rPr>
        <w:t xml:space="preserve"> the right answer as a matter of statutory interpretation, the </w:t>
      </w:r>
      <w:r w:rsidR="00E54666">
        <w:rPr>
          <w:rFonts w:ascii="Gill Sans MT" w:eastAsia="Times New Roman" w:hAnsi="Gill Sans MT" w:cs="Times New Roman"/>
          <w:color w:val="000000"/>
          <w:lang w:eastAsia="en-GB"/>
        </w:rPr>
        <w:t>wider</w:t>
      </w:r>
      <w:r w:rsidR="00C41D60">
        <w:rPr>
          <w:rFonts w:ascii="Gill Sans MT" w:eastAsia="Times New Roman" w:hAnsi="Gill Sans MT" w:cs="Times New Roman"/>
          <w:color w:val="000000"/>
          <w:lang w:eastAsia="en-GB"/>
        </w:rPr>
        <w:t xml:space="preserve"> effect of this litigation was therefore to </w:t>
      </w:r>
      <w:r w:rsidR="00E54666">
        <w:rPr>
          <w:rFonts w:ascii="Gill Sans MT" w:eastAsia="Times New Roman" w:hAnsi="Gill Sans MT" w:cs="Times New Roman"/>
          <w:color w:val="000000"/>
          <w:lang w:eastAsia="en-GB"/>
        </w:rPr>
        <w:t>confirm</w:t>
      </w:r>
      <w:r w:rsidR="008C49B4">
        <w:rPr>
          <w:rFonts w:ascii="Gill Sans MT" w:eastAsia="Times New Roman" w:hAnsi="Gill Sans MT" w:cs="Times New Roman"/>
          <w:color w:val="000000"/>
          <w:lang w:eastAsia="en-GB"/>
        </w:rPr>
        <w:t xml:space="preserve"> a limited</w:t>
      </w:r>
      <w:r w:rsidR="00C41D60">
        <w:rPr>
          <w:rFonts w:ascii="Gill Sans MT" w:eastAsia="Times New Roman" w:hAnsi="Gill Sans MT" w:cs="Times New Roman"/>
          <w:color w:val="000000"/>
          <w:lang w:eastAsia="en-GB"/>
        </w:rPr>
        <w:t xml:space="preserve"> role </w:t>
      </w:r>
      <w:r w:rsidR="008C49B4">
        <w:rPr>
          <w:rFonts w:ascii="Gill Sans MT" w:eastAsia="Times New Roman" w:hAnsi="Gill Sans MT" w:cs="Times New Roman"/>
          <w:color w:val="000000"/>
          <w:lang w:eastAsia="en-GB"/>
        </w:rPr>
        <w:t>for</w:t>
      </w:r>
      <w:r w:rsidR="00C41D60">
        <w:rPr>
          <w:rFonts w:ascii="Gill Sans MT" w:eastAsia="Times New Roman" w:hAnsi="Gill Sans MT" w:cs="Times New Roman"/>
          <w:color w:val="000000"/>
          <w:lang w:eastAsia="en-GB"/>
        </w:rPr>
        <w:t xml:space="preserve"> the devolved institutions in the Brexit process from the outset.</w:t>
      </w:r>
    </w:p>
    <w:p w14:paraId="3F1AD58F" w14:textId="2CBA6913" w:rsidR="00000EF7" w:rsidRDefault="002D4580" w:rsidP="00000EF7">
      <w:pPr>
        <w:spacing w:after="0" w:line="240" w:lineRule="auto"/>
        <w:ind w:firstLine="720"/>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 xml:space="preserve">Second, </w:t>
      </w:r>
      <w:r w:rsidR="00F01FD3">
        <w:rPr>
          <w:rFonts w:ascii="Gill Sans MT" w:eastAsia="Times New Roman" w:hAnsi="Gill Sans MT" w:cs="Times New Roman"/>
          <w:color w:val="000000"/>
          <w:lang w:eastAsia="en-GB"/>
        </w:rPr>
        <w:t>there were elements of the Brexit process in which it was accepted the Sewel convention was applicable, and yet when</w:t>
      </w:r>
      <w:r>
        <w:rPr>
          <w:rFonts w:ascii="Gill Sans MT" w:eastAsia="Times New Roman" w:hAnsi="Gill Sans MT" w:cs="Times New Roman"/>
          <w:color w:val="000000"/>
          <w:lang w:eastAsia="en-GB"/>
        </w:rPr>
        <w:t xml:space="preserve"> consent </w:t>
      </w:r>
      <w:r w:rsidR="00F01FD3">
        <w:rPr>
          <w:rFonts w:ascii="Gill Sans MT" w:eastAsia="Times New Roman" w:hAnsi="Gill Sans MT" w:cs="Times New Roman"/>
          <w:color w:val="000000"/>
          <w:lang w:eastAsia="en-GB"/>
        </w:rPr>
        <w:t xml:space="preserve">was withheld by some of the devolved institutions, the UK decided to proceed with its legislative plans regardless.  This was the case in relation to the EU (Withdrawal) Act 2018, which directly amended all three devolution statutes and (as discussed below) established the arrangements for distributing powers returning from the EU which would naturally fall within the areas of competence of the devolved legislatures.  A number of concessions were negotiated between the Welsh government and the UK government concerning the structure of these powers, which meant the Welsh Parliament eventually passed a legislative consent motion in favour of the Bill (albeit with little enthusiasm).  The Scottish Parliament, in contrast, voted against a legislative consent motion, and </w:t>
      </w:r>
      <w:r w:rsidR="003653A8">
        <w:rPr>
          <w:rFonts w:ascii="Gill Sans MT" w:eastAsia="Times New Roman" w:hAnsi="Gill Sans MT" w:cs="Times New Roman"/>
          <w:color w:val="000000"/>
          <w:lang w:eastAsia="en-GB"/>
        </w:rPr>
        <w:t xml:space="preserve">the Northern Ireland Assembly could not vote as </w:t>
      </w:r>
      <w:r w:rsidR="00A37B5A">
        <w:rPr>
          <w:rFonts w:ascii="Gill Sans MT" w:eastAsia="Times New Roman" w:hAnsi="Gill Sans MT" w:cs="Times New Roman"/>
          <w:color w:val="000000"/>
          <w:lang w:eastAsia="en-GB"/>
        </w:rPr>
        <w:t>there was no functioning executive for three years between 2017 and 2020.  Y</w:t>
      </w:r>
      <w:r w:rsidR="00F01FD3">
        <w:rPr>
          <w:rFonts w:ascii="Gill Sans MT" w:eastAsia="Times New Roman" w:hAnsi="Gill Sans MT" w:cs="Times New Roman"/>
          <w:color w:val="000000"/>
          <w:lang w:eastAsia="en-GB"/>
        </w:rPr>
        <w:t>et the UK Parliament enacted the legislation despite this</w:t>
      </w:r>
      <w:r w:rsidR="00000EF7">
        <w:rPr>
          <w:rFonts w:ascii="Gill Sans MT" w:eastAsia="Times New Roman" w:hAnsi="Gill Sans MT" w:cs="Times New Roman"/>
          <w:color w:val="000000"/>
          <w:lang w:eastAsia="en-GB"/>
        </w:rPr>
        <w:t xml:space="preserve">, with the UK government arguing that the circumstances of Brexit were ‘not normal’ and that this was therefore an exception to the operation of the convention.  Subsequently, other key pieces of Brexit legislation have also been passed without the consent of all the devolved institutions – the EU (Withdrawal Agreement) Act 2020 was rejected by all three devolved legislatures, the UK Internal Market Act 2020 was rejected by the Scottish Parliament and the Senedd Cymru, and the EU (Future Relationship) Act 2020 was rejected by the Scottish Parliament, while no formal consent votes were held in Wales or </w:t>
      </w:r>
      <w:r w:rsidR="00000EF7" w:rsidRPr="00000EF7">
        <w:rPr>
          <w:rFonts w:ascii="Gill Sans MT" w:eastAsia="Times New Roman" w:hAnsi="Gill Sans MT" w:cs="Times New Roman"/>
          <w:lang w:eastAsia="en-GB"/>
        </w:rPr>
        <w:t xml:space="preserve">Northern Ireland.  </w:t>
      </w:r>
    </w:p>
    <w:p w14:paraId="710E5D64" w14:textId="4D20D257" w:rsidR="002D4580" w:rsidRPr="00000EF7" w:rsidRDefault="00000EF7" w:rsidP="00000EF7">
      <w:pPr>
        <w:spacing w:after="0" w:line="240" w:lineRule="auto"/>
        <w:ind w:firstLine="720"/>
        <w:jc w:val="both"/>
        <w:rPr>
          <w:rFonts w:ascii="Gill Sans MT" w:eastAsia="Times New Roman" w:hAnsi="Gill Sans MT" w:cs="Times New Roman"/>
          <w:lang w:eastAsia="en-GB"/>
        </w:rPr>
      </w:pPr>
      <w:r w:rsidRPr="00000EF7">
        <w:rPr>
          <w:rFonts w:ascii="Gill Sans MT" w:eastAsia="Times New Roman" w:hAnsi="Gill Sans MT" w:cs="Times New Roman"/>
          <w:lang w:eastAsia="en-GB"/>
        </w:rPr>
        <w:t>The UK government continue</w:t>
      </w:r>
      <w:r w:rsidR="00F30C7A">
        <w:rPr>
          <w:rFonts w:ascii="Gill Sans MT" w:eastAsia="Times New Roman" w:hAnsi="Gill Sans MT" w:cs="Times New Roman"/>
          <w:lang w:eastAsia="en-GB"/>
        </w:rPr>
        <w:t>d</w:t>
      </w:r>
      <w:r w:rsidRPr="00000EF7">
        <w:rPr>
          <w:rFonts w:ascii="Gill Sans MT" w:eastAsia="Times New Roman" w:hAnsi="Gill Sans MT" w:cs="Times New Roman"/>
          <w:lang w:eastAsia="en-GB"/>
        </w:rPr>
        <w:t xml:space="preserve"> to use the justification that the ‘</w:t>
      </w:r>
      <w:r w:rsidRPr="00000EF7">
        <w:rPr>
          <w:rFonts w:ascii="Gill Sans MT" w:hAnsi="Gill Sans MT" w:cs="Arial"/>
          <w:shd w:val="clear" w:color="auto" w:fill="FFFFFF"/>
        </w:rPr>
        <w:t>circumstances of EU exit and the imperative of implementing the 2016 referendum constituted circumstances that were not normal</w:t>
      </w:r>
      <w:r>
        <w:rPr>
          <w:rFonts w:ascii="Gill Sans MT" w:hAnsi="Gill Sans MT" w:cs="Arial"/>
          <w:shd w:val="clear" w:color="auto" w:fill="FFFFFF"/>
        </w:rPr>
        <w:t>’.</w:t>
      </w:r>
      <w:r w:rsidR="00A37B5A">
        <w:rPr>
          <w:rStyle w:val="FootnoteReference"/>
          <w:rFonts w:ascii="Gill Sans MT" w:hAnsi="Gill Sans MT" w:cs="Arial"/>
          <w:shd w:val="clear" w:color="auto" w:fill="FFFFFF"/>
        </w:rPr>
        <w:footnoteReference w:id="54"/>
      </w:r>
      <w:r w:rsidR="003E4BAC">
        <w:rPr>
          <w:rFonts w:ascii="Gill Sans MT" w:hAnsi="Gill Sans MT" w:cs="Arial"/>
          <w:shd w:val="clear" w:color="auto" w:fill="FFFFFF"/>
        </w:rPr>
        <w:t xml:space="preserve">  In contrast, the Scottish government argu</w:t>
      </w:r>
      <w:r w:rsidR="00F30C7A">
        <w:rPr>
          <w:rFonts w:ascii="Gill Sans MT" w:hAnsi="Gill Sans MT" w:cs="Arial"/>
          <w:shd w:val="clear" w:color="auto" w:fill="FFFFFF"/>
        </w:rPr>
        <w:t>ed</w:t>
      </w:r>
      <w:r w:rsidR="003E4BAC">
        <w:rPr>
          <w:rFonts w:ascii="Gill Sans MT" w:hAnsi="Gill Sans MT" w:cs="Arial"/>
          <w:shd w:val="clear" w:color="auto" w:fill="FFFFFF"/>
        </w:rPr>
        <w:t xml:space="preserve"> that ‘overriding the Sewel convention was not justified’, and shows that the UK </w:t>
      </w:r>
      <w:r w:rsidR="003E4BAC" w:rsidRPr="003E4BAC">
        <w:rPr>
          <w:rFonts w:ascii="Gill Sans MT" w:hAnsi="Gill Sans MT" w:cs="Arial"/>
          <w:shd w:val="clear" w:color="auto" w:fill="FFFFFF"/>
        </w:rPr>
        <w:t>government is ‘</w:t>
      </w:r>
      <w:r w:rsidR="003E4BAC" w:rsidRPr="003E4BAC">
        <w:rPr>
          <w:rFonts w:ascii="Gill Sans MT" w:hAnsi="Gill Sans MT"/>
          <w:shd w:val="clear" w:color="auto" w:fill="FFFFFF"/>
        </w:rPr>
        <w:t>willing to reshape the devolution settlement, unilaterally and in the most fundamental way, setting aside any rules of the </w:t>
      </w:r>
      <w:r w:rsidR="003E4BAC" w:rsidRPr="003E4BAC">
        <w:rPr>
          <w:rFonts w:ascii="Gill Sans MT" w:hAnsi="Gill Sans MT"/>
        </w:rPr>
        <w:t>UK</w:t>
      </w:r>
      <w:r w:rsidR="003E4BAC" w:rsidRPr="003E4BAC">
        <w:rPr>
          <w:rFonts w:ascii="Gill Sans MT" w:hAnsi="Gill Sans MT"/>
          <w:shd w:val="clear" w:color="auto" w:fill="FFFFFF"/>
        </w:rPr>
        <w:t> constitutional system that it finds inconvenient’.</w:t>
      </w:r>
      <w:r w:rsidR="003E4BAC" w:rsidRPr="003E4BAC">
        <w:rPr>
          <w:rStyle w:val="FootnoteReference"/>
          <w:rFonts w:ascii="Gill Sans MT" w:hAnsi="Gill Sans MT"/>
          <w:shd w:val="clear" w:color="auto" w:fill="FFFFFF"/>
        </w:rPr>
        <w:footnoteReference w:id="55"/>
      </w:r>
      <w:r w:rsidR="001F136A">
        <w:rPr>
          <w:rFonts w:ascii="Gill Sans MT" w:hAnsi="Gill Sans MT"/>
          <w:shd w:val="clear" w:color="auto" w:fill="FFFFFF"/>
        </w:rPr>
        <w:t xml:space="preserve">  The</w:t>
      </w:r>
      <w:r w:rsidR="00F001B2">
        <w:rPr>
          <w:rFonts w:ascii="Gill Sans MT" w:hAnsi="Gill Sans MT"/>
          <w:shd w:val="clear" w:color="auto" w:fill="FFFFFF"/>
        </w:rPr>
        <w:t xml:space="preserve"> legitimacy and functionality of the convention has not been entirely destroyed, as further legislative consent motions have been granted in Scotland</w:t>
      </w:r>
      <w:r w:rsidR="00846B9A">
        <w:rPr>
          <w:rFonts w:ascii="Gill Sans MT" w:hAnsi="Gill Sans MT"/>
          <w:shd w:val="clear" w:color="auto" w:fill="FFFFFF"/>
        </w:rPr>
        <w:t xml:space="preserve"> and </w:t>
      </w:r>
      <w:r w:rsidR="00E4395E">
        <w:rPr>
          <w:rFonts w:ascii="Gill Sans MT" w:hAnsi="Gill Sans MT"/>
          <w:shd w:val="clear" w:color="auto" w:fill="FFFFFF"/>
        </w:rPr>
        <w:t xml:space="preserve">Wales </w:t>
      </w:r>
      <w:r w:rsidR="00F001B2">
        <w:rPr>
          <w:rFonts w:ascii="Gill Sans MT" w:hAnsi="Gill Sans MT"/>
          <w:shd w:val="clear" w:color="auto" w:fill="FFFFFF"/>
        </w:rPr>
        <w:t>on subsequent matters after Brexit.</w:t>
      </w:r>
      <w:r w:rsidR="00F001B2">
        <w:rPr>
          <w:rStyle w:val="FootnoteReference"/>
          <w:rFonts w:ascii="Gill Sans MT" w:hAnsi="Gill Sans MT"/>
          <w:shd w:val="clear" w:color="auto" w:fill="FFFFFF"/>
        </w:rPr>
        <w:footnoteReference w:id="56"/>
      </w:r>
      <w:r w:rsidR="00F001B2">
        <w:rPr>
          <w:rFonts w:ascii="Gill Sans MT" w:hAnsi="Gill Sans MT"/>
          <w:shd w:val="clear" w:color="auto" w:fill="FFFFFF"/>
        </w:rPr>
        <w:t xml:space="preserve">  But </w:t>
      </w:r>
      <w:r w:rsidR="00F30C7A">
        <w:rPr>
          <w:rFonts w:ascii="Gill Sans MT" w:hAnsi="Gill Sans MT"/>
          <w:shd w:val="clear" w:color="auto" w:fill="FFFFFF"/>
        </w:rPr>
        <w:t>the use of UK sovereignty to settle these</w:t>
      </w:r>
      <w:r w:rsidR="00F001B2">
        <w:rPr>
          <w:rFonts w:ascii="Gill Sans MT" w:hAnsi="Gill Sans MT"/>
          <w:shd w:val="clear" w:color="auto" w:fill="FFFFFF"/>
        </w:rPr>
        <w:t xml:space="preserve"> profound </w:t>
      </w:r>
      <w:r w:rsidR="00F001B2">
        <w:rPr>
          <w:rFonts w:ascii="Gill Sans MT" w:hAnsi="Gill Sans MT"/>
          <w:shd w:val="clear" w:color="auto" w:fill="FFFFFF"/>
        </w:rPr>
        <w:lastRenderedPageBreak/>
        <w:t>disagreement</w:t>
      </w:r>
      <w:r w:rsidR="00D6210E">
        <w:rPr>
          <w:rFonts w:ascii="Gill Sans MT" w:hAnsi="Gill Sans MT"/>
          <w:shd w:val="clear" w:color="auto" w:fill="FFFFFF"/>
        </w:rPr>
        <w:t>s</w:t>
      </w:r>
      <w:r w:rsidR="00F001B2">
        <w:rPr>
          <w:rFonts w:ascii="Gill Sans MT" w:hAnsi="Gill Sans MT"/>
          <w:shd w:val="clear" w:color="auto" w:fill="FFFFFF"/>
        </w:rPr>
        <w:t xml:space="preserve"> about the </w:t>
      </w:r>
      <w:r w:rsidR="00F30C7A">
        <w:rPr>
          <w:rFonts w:ascii="Gill Sans MT" w:hAnsi="Gill Sans MT"/>
          <w:shd w:val="clear" w:color="auto" w:fill="FFFFFF"/>
        </w:rPr>
        <w:t xml:space="preserve">existence or </w:t>
      </w:r>
      <w:r w:rsidR="00F001B2">
        <w:rPr>
          <w:rFonts w:ascii="Gill Sans MT" w:hAnsi="Gill Sans MT"/>
          <w:shd w:val="clear" w:color="auto" w:fill="FFFFFF"/>
        </w:rPr>
        <w:t>extent of limits to the Sewel convention</w:t>
      </w:r>
      <w:r w:rsidR="00F30C7A">
        <w:rPr>
          <w:rFonts w:ascii="Gill Sans MT" w:hAnsi="Gill Sans MT"/>
          <w:shd w:val="clear" w:color="auto" w:fill="FFFFFF"/>
        </w:rPr>
        <w:t xml:space="preserve"> has damaged</w:t>
      </w:r>
      <w:r w:rsidR="00F001B2">
        <w:rPr>
          <w:rFonts w:ascii="Gill Sans MT" w:hAnsi="Gill Sans MT"/>
          <w:shd w:val="clear" w:color="auto" w:fill="FFFFFF"/>
        </w:rPr>
        <w:t xml:space="preserve"> the </w:t>
      </w:r>
      <w:r w:rsidR="00F30C7A">
        <w:rPr>
          <w:rFonts w:ascii="Gill Sans MT" w:hAnsi="Gill Sans MT"/>
          <w:shd w:val="clear" w:color="auto" w:fill="FFFFFF"/>
        </w:rPr>
        <w:t>ideal of cooperation</w:t>
      </w:r>
      <w:r w:rsidR="00F001B2">
        <w:rPr>
          <w:rFonts w:ascii="Gill Sans MT" w:hAnsi="Gill Sans MT"/>
          <w:shd w:val="clear" w:color="auto" w:fill="FFFFFF"/>
        </w:rPr>
        <w:t xml:space="preserve"> </w:t>
      </w:r>
      <w:r w:rsidR="00F30C7A">
        <w:rPr>
          <w:rFonts w:ascii="Gill Sans MT" w:hAnsi="Gill Sans MT"/>
          <w:shd w:val="clear" w:color="auto" w:fill="FFFFFF"/>
        </w:rPr>
        <w:t>necessary to make devolution effective.</w:t>
      </w:r>
    </w:p>
    <w:p w14:paraId="0369856C" w14:textId="0230228E" w:rsidR="00423CE6" w:rsidRDefault="00423CE6" w:rsidP="00865C3E">
      <w:pPr>
        <w:spacing w:after="0" w:line="240" w:lineRule="auto"/>
        <w:rPr>
          <w:rFonts w:ascii="Gill Sans MT" w:eastAsia="Times New Roman" w:hAnsi="Gill Sans MT" w:cs="Times New Roman"/>
          <w:color w:val="000000"/>
          <w:lang w:eastAsia="en-GB"/>
        </w:rPr>
      </w:pPr>
    </w:p>
    <w:p w14:paraId="0BAA5C68" w14:textId="3436809C" w:rsidR="00423CE6" w:rsidRDefault="00423CE6" w:rsidP="00865C3E">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t>
      </w:r>
      <w:r w:rsidR="00930F73">
        <w:rPr>
          <w:rFonts w:ascii="Gill Sans MT" w:eastAsia="Times New Roman" w:hAnsi="Gill Sans MT" w:cs="Times New Roman"/>
          <w:color w:val="000000"/>
          <w:lang w:eastAsia="en-GB"/>
        </w:rPr>
        <w:t>iii</w:t>
      </w:r>
      <w:r>
        <w:rPr>
          <w:rFonts w:ascii="Gill Sans MT" w:eastAsia="Times New Roman" w:hAnsi="Gill Sans MT" w:cs="Times New Roman"/>
          <w:color w:val="000000"/>
          <w:lang w:eastAsia="en-GB"/>
        </w:rPr>
        <w:t xml:space="preserve">) Repatriation of powers </w:t>
      </w:r>
      <w:r w:rsidR="00BA17D9">
        <w:rPr>
          <w:rFonts w:ascii="Gill Sans MT" w:eastAsia="Times New Roman" w:hAnsi="Gill Sans MT" w:cs="Times New Roman"/>
          <w:color w:val="000000"/>
          <w:lang w:eastAsia="en-GB"/>
        </w:rPr>
        <w:t>cutting into devolved competences</w:t>
      </w:r>
    </w:p>
    <w:p w14:paraId="08EB1F91" w14:textId="081E0D25" w:rsidR="00614469" w:rsidRDefault="00614469" w:rsidP="00865C3E">
      <w:pPr>
        <w:spacing w:after="0" w:line="240" w:lineRule="auto"/>
        <w:rPr>
          <w:rFonts w:ascii="Gill Sans MT" w:eastAsia="Times New Roman" w:hAnsi="Gill Sans MT" w:cs="Times New Roman"/>
          <w:color w:val="000000"/>
          <w:lang w:eastAsia="en-GB"/>
        </w:rPr>
      </w:pPr>
    </w:p>
    <w:p w14:paraId="4947C1FA" w14:textId="7781AD47" w:rsidR="00363BA8" w:rsidRDefault="00363BA8" w:rsidP="00EB6684">
      <w:pPr>
        <w:shd w:val="clear" w:color="auto" w:fill="FFFFFF"/>
        <w:spacing w:after="0" w:line="240" w:lineRule="auto"/>
        <w:jc w:val="both"/>
        <w:rPr>
          <w:rFonts w:ascii="Gill Sans MT" w:eastAsia="Times New Roman" w:hAnsi="Gill Sans MT" w:cs="Segoe UI"/>
          <w:lang w:eastAsia="en-GB"/>
        </w:rPr>
      </w:pPr>
      <w:r>
        <w:rPr>
          <w:rFonts w:ascii="Gill Sans MT" w:eastAsia="Times New Roman" w:hAnsi="Gill Sans MT" w:cs="Segoe UI"/>
          <w:lang w:eastAsia="en-GB"/>
        </w:rPr>
        <w:t xml:space="preserve">Just as consent to law-making related to Brexit was </w:t>
      </w:r>
      <w:r w:rsidR="00296AEA">
        <w:rPr>
          <w:rFonts w:ascii="Gill Sans MT" w:eastAsia="Times New Roman" w:hAnsi="Gill Sans MT" w:cs="Segoe UI"/>
          <w:lang w:eastAsia="en-GB"/>
        </w:rPr>
        <w:t xml:space="preserve">the subject of intense </w:t>
      </w:r>
      <w:r w:rsidR="00867A4D">
        <w:rPr>
          <w:rFonts w:ascii="Gill Sans MT" w:eastAsia="Times New Roman" w:hAnsi="Gill Sans MT" w:cs="Segoe UI"/>
          <w:lang w:eastAsia="en-GB"/>
        </w:rPr>
        <w:t>disagreement</w:t>
      </w:r>
      <w:r w:rsidR="00296AEA">
        <w:rPr>
          <w:rFonts w:ascii="Gill Sans MT" w:eastAsia="Times New Roman" w:hAnsi="Gill Sans MT" w:cs="Segoe UI"/>
          <w:lang w:eastAsia="en-GB"/>
        </w:rPr>
        <w:t xml:space="preserve"> between the UK and the devolved governments</w:t>
      </w:r>
      <w:r>
        <w:rPr>
          <w:rFonts w:ascii="Gill Sans MT" w:eastAsia="Times New Roman" w:hAnsi="Gill Sans MT" w:cs="Segoe UI"/>
          <w:lang w:eastAsia="en-GB"/>
        </w:rPr>
        <w:t>, so too was the substance of the legislation enacted.  A particular</w:t>
      </w:r>
      <w:r w:rsidR="00296AEA">
        <w:rPr>
          <w:rFonts w:ascii="Gill Sans MT" w:eastAsia="Times New Roman" w:hAnsi="Gill Sans MT" w:cs="Segoe UI"/>
          <w:lang w:eastAsia="en-GB"/>
        </w:rPr>
        <w:t xml:space="preserve"> </w:t>
      </w:r>
      <w:r>
        <w:rPr>
          <w:rFonts w:ascii="Gill Sans MT" w:eastAsia="Times New Roman" w:hAnsi="Gill Sans MT" w:cs="Segoe UI"/>
          <w:lang w:eastAsia="en-GB"/>
        </w:rPr>
        <w:t>issue concerned the arrangements for the repatriation of powers to the UK from the EU, and how those powers would be distributed between the devolved institutions and the centre</w:t>
      </w:r>
      <w:r w:rsidR="00A67E4D">
        <w:rPr>
          <w:rFonts w:ascii="Gill Sans MT" w:eastAsia="Times New Roman" w:hAnsi="Gill Sans MT" w:cs="Segoe UI"/>
          <w:lang w:eastAsia="en-GB"/>
        </w:rPr>
        <w:t xml:space="preserve">.  This was </w:t>
      </w:r>
      <w:r w:rsidR="00296AEA">
        <w:rPr>
          <w:rFonts w:ascii="Gill Sans MT" w:eastAsia="Times New Roman" w:hAnsi="Gill Sans MT" w:cs="Segoe UI"/>
          <w:lang w:eastAsia="en-GB"/>
        </w:rPr>
        <w:t xml:space="preserve">a key challenge given many powers previously exercised by the EU fell within </w:t>
      </w:r>
      <w:r w:rsidR="00ED106E">
        <w:rPr>
          <w:rFonts w:ascii="Gill Sans MT" w:eastAsia="Times New Roman" w:hAnsi="Gill Sans MT" w:cs="Segoe UI"/>
          <w:lang w:eastAsia="en-GB"/>
        </w:rPr>
        <w:t xml:space="preserve">broad </w:t>
      </w:r>
      <w:r w:rsidR="00A67E4D">
        <w:rPr>
          <w:rFonts w:ascii="Gill Sans MT" w:eastAsia="Times New Roman" w:hAnsi="Gill Sans MT" w:cs="Segoe UI"/>
          <w:lang w:eastAsia="en-GB"/>
        </w:rPr>
        <w:t>existing areas of devolved competence</w:t>
      </w:r>
      <w:r w:rsidR="00296AEA">
        <w:rPr>
          <w:rFonts w:ascii="Gill Sans MT" w:eastAsia="Times New Roman" w:hAnsi="Gill Sans MT" w:cs="Segoe UI"/>
          <w:lang w:eastAsia="en-GB"/>
        </w:rPr>
        <w:t xml:space="preserve">, </w:t>
      </w:r>
      <w:r w:rsidR="00ED106E">
        <w:rPr>
          <w:rFonts w:ascii="Gill Sans MT" w:eastAsia="Times New Roman" w:hAnsi="Gill Sans MT" w:cs="Segoe UI"/>
          <w:lang w:eastAsia="en-GB"/>
        </w:rPr>
        <w:t>including topics such</w:t>
      </w:r>
      <w:r w:rsidR="00296AEA">
        <w:rPr>
          <w:rFonts w:ascii="Gill Sans MT" w:eastAsia="Times New Roman" w:hAnsi="Gill Sans MT" w:cs="Segoe UI"/>
          <w:lang w:eastAsia="en-GB"/>
        </w:rPr>
        <w:t xml:space="preserve"> as agriculture, fisheries, and </w:t>
      </w:r>
      <w:r w:rsidR="00ED106E">
        <w:rPr>
          <w:rFonts w:ascii="Gill Sans MT" w:eastAsia="Times New Roman" w:hAnsi="Gill Sans MT" w:cs="Segoe UI"/>
          <w:lang w:eastAsia="en-GB"/>
        </w:rPr>
        <w:t>the environment.</w:t>
      </w:r>
      <w:r w:rsidR="00867A4D">
        <w:rPr>
          <w:rFonts w:ascii="Gill Sans MT" w:eastAsia="Times New Roman" w:hAnsi="Gill Sans MT" w:cs="Segoe UI"/>
          <w:lang w:eastAsia="en-GB"/>
        </w:rPr>
        <w:t xml:space="preserve">  The UK government’s original proposal in the EU Withdrawal Bill was for the devolved legislatures to be expressly prohibited in statute from amending the law in these areas – ‘retained EU law’ would be a new source of domestic rules which the UK Parliament, but not the devolved legislatures, could modify over time, ensuring continued consistency in the application of the rules across the UK.</w:t>
      </w:r>
      <w:r w:rsidR="00867A4D">
        <w:rPr>
          <w:rStyle w:val="FootnoteReference"/>
          <w:rFonts w:ascii="Gill Sans MT" w:eastAsia="Times New Roman" w:hAnsi="Gill Sans MT" w:cs="Segoe UI"/>
          <w:lang w:eastAsia="en-GB"/>
        </w:rPr>
        <w:footnoteReference w:id="57"/>
      </w:r>
      <w:r w:rsidR="00867A4D">
        <w:rPr>
          <w:rFonts w:ascii="Gill Sans MT" w:eastAsia="Times New Roman" w:hAnsi="Gill Sans MT" w:cs="Segoe UI"/>
          <w:lang w:eastAsia="en-GB"/>
        </w:rPr>
        <w:t xml:space="preserve">  However, this position was strongly criticised, and as part of the package of concessions agreed to obtain consent for the Bill from the Welsh government, the final legislation was altered.  Instead, </w:t>
      </w:r>
      <w:r w:rsidR="0012168F">
        <w:rPr>
          <w:rFonts w:ascii="Gill Sans MT" w:eastAsia="Times New Roman" w:hAnsi="Gill Sans MT" w:cs="Segoe UI"/>
          <w:lang w:eastAsia="en-GB"/>
        </w:rPr>
        <w:t>the EU (Withdrawal) Act 2018 gives the UK government a time</w:t>
      </w:r>
      <w:r w:rsidR="00EB6684">
        <w:rPr>
          <w:rFonts w:ascii="Gill Sans MT" w:eastAsia="Times New Roman" w:hAnsi="Gill Sans MT" w:cs="Segoe UI"/>
          <w:lang w:eastAsia="en-GB"/>
        </w:rPr>
        <w:t>-</w:t>
      </w:r>
      <w:r w:rsidR="0012168F">
        <w:rPr>
          <w:rFonts w:ascii="Gill Sans MT" w:eastAsia="Times New Roman" w:hAnsi="Gill Sans MT" w:cs="Segoe UI"/>
          <w:lang w:eastAsia="en-GB"/>
        </w:rPr>
        <w:t>limited power</w:t>
      </w:r>
      <w:r w:rsidR="00EB6684">
        <w:rPr>
          <w:rFonts w:ascii="Gill Sans MT" w:eastAsia="Times New Roman" w:hAnsi="Gill Sans MT" w:cs="Segoe UI"/>
          <w:lang w:eastAsia="en-GB"/>
        </w:rPr>
        <w:t xml:space="preserve"> to make Regulations freezing retained EU law on a particular topic, such that it </w:t>
      </w:r>
      <w:r w:rsidR="000E28C0">
        <w:rPr>
          <w:rFonts w:ascii="Gill Sans MT" w:eastAsia="Times New Roman" w:hAnsi="Gill Sans MT" w:cs="Segoe UI"/>
          <w:lang w:eastAsia="en-GB"/>
        </w:rPr>
        <w:t>could not then</w:t>
      </w:r>
      <w:r w:rsidR="00EB6684">
        <w:rPr>
          <w:rFonts w:ascii="Gill Sans MT" w:eastAsia="Times New Roman" w:hAnsi="Gill Sans MT" w:cs="Segoe UI"/>
          <w:lang w:eastAsia="en-GB"/>
        </w:rPr>
        <w:t xml:space="preserve"> be altered by devolved legislation.</w:t>
      </w:r>
      <w:r w:rsidR="00EB6684">
        <w:rPr>
          <w:rStyle w:val="FootnoteReference"/>
          <w:rFonts w:ascii="Gill Sans MT" w:eastAsia="Times New Roman" w:hAnsi="Gill Sans MT" w:cs="Segoe UI"/>
          <w:lang w:eastAsia="en-GB"/>
        </w:rPr>
        <w:footnoteReference w:id="58"/>
      </w:r>
      <w:r w:rsidR="00EB6684">
        <w:rPr>
          <w:rFonts w:ascii="Gill Sans MT" w:eastAsia="Times New Roman" w:hAnsi="Gill Sans MT" w:cs="Segoe UI"/>
          <w:lang w:eastAsia="en-GB"/>
        </w:rPr>
        <w:t xml:space="preserve">  Regulations of this kind can only be made in the two years after exit day – that is, before 31 January 2022 – and once made will expire automatically after five years.</w:t>
      </w:r>
    </w:p>
    <w:p w14:paraId="1A42BCA3" w14:textId="6E9E0733" w:rsidR="00EB6684" w:rsidRDefault="00EB6684" w:rsidP="00EB6684">
      <w:pPr>
        <w:shd w:val="clear" w:color="auto" w:fill="FFFFFF"/>
        <w:spacing w:after="0" w:line="240" w:lineRule="auto"/>
        <w:jc w:val="both"/>
        <w:rPr>
          <w:rFonts w:ascii="Gill Sans MT" w:eastAsia="Times New Roman" w:hAnsi="Gill Sans MT" w:cs="Segoe UI"/>
          <w:lang w:eastAsia="en-GB"/>
        </w:rPr>
      </w:pPr>
      <w:r>
        <w:rPr>
          <w:rFonts w:ascii="Gill Sans MT" w:eastAsia="Times New Roman" w:hAnsi="Gill Sans MT" w:cs="Segoe UI"/>
          <w:lang w:eastAsia="en-GB"/>
        </w:rPr>
        <w:tab/>
      </w:r>
      <w:r w:rsidR="00D95B47">
        <w:rPr>
          <w:rFonts w:ascii="Gill Sans MT" w:eastAsia="Times New Roman" w:hAnsi="Gill Sans MT" w:cs="Segoe UI"/>
          <w:lang w:eastAsia="en-GB"/>
        </w:rPr>
        <w:t>The existence of these potential powers to constrain law-making by the devolved legislatures in areas of devolved competence represents, in principle, a challenge to the authority of devolution.  Yet in practice these powers have not (yet) been used at all as of August 2021.</w:t>
      </w:r>
      <w:r w:rsidR="00D95B47">
        <w:rPr>
          <w:rStyle w:val="FootnoteReference"/>
          <w:rFonts w:ascii="Gill Sans MT" w:eastAsia="Times New Roman" w:hAnsi="Gill Sans MT" w:cs="Segoe UI"/>
          <w:lang w:eastAsia="en-GB"/>
        </w:rPr>
        <w:footnoteReference w:id="59"/>
      </w:r>
      <w:r w:rsidR="00D95B47">
        <w:rPr>
          <w:rFonts w:ascii="Gill Sans MT" w:eastAsia="Times New Roman" w:hAnsi="Gill Sans MT" w:cs="Segoe UI"/>
          <w:lang w:eastAsia="en-GB"/>
        </w:rPr>
        <w:t xml:space="preserve">  Instead, the focus has been on the agreement of ‘common frameworks’ with the devolved institutions.  These frameworks covered 15</w:t>
      </w:r>
      <w:r w:rsidR="00C11075">
        <w:rPr>
          <w:rFonts w:ascii="Gill Sans MT" w:eastAsia="Times New Roman" w:hAnsi="Gill Sans MT" w:cs="Segoe UI"/>
          <w:lang w:eastAsia="en-GB"/>
        </w:rPr>
        <w:t>4</w:t>
      </w:r>
      <w:r w:rsidR="00D95B47">
        <w:rPr>
          <w:rFonts w:ascii="Gill Sans MT" w:eastAsia="Times New Roman" w:hAnsi="Gill Sans MT" w:cs="Segoe UI"/>
          <w:lang w:eastAsia="en-GB"/>
        </w:rPr>
        <w:t xml:space="preserve"> potential areas in which powers returning from the EU cut across devolved competences, and include legislative and non-legislative solutions</w:t>
      </w:r>
      <w:r w:rsidR="00C11075">
        <w:rPr>
          <w:rFonts w:ascii="Gill Sans MT" w:eastAsia="Times New Roman" w:hAnsi="Gill Sans MT" w:cs="Segoe UI"/>
          <w:lang w:eastAsia="en-GB"/>
        </w:rPr>
        <w:t>, although in a significant majority of areas (115) it has been determined that no further action is required</w:t>
      </w:r>
      <w:r w:rsidR="00D95B47">
        <w:rPr>
          <w:rFonts w:ascii="Gill Sans MT" w:eastAsia="Times New Roman" w:hAnsi="Gill Sans MT" w:cs="Segoe UI"/>
          <w:lang w:eastAsia="en-GB"/>
        </w:rPr>
        <w:t>.</w:t>
      </w:r>
      <w:r w:rsidR="00C11075">
        <w:rPr>
          <w:rStyle w:val="FootnoteReference"/>
          <w:rFonts w:ascii="Gill Sans MT" w:eastAsia="Times New Roman" w:hAnsi="Gill Sans MT" w:cs="Segoe UI"/>
          <w:lang w:eastAsia="en-GB"/>
        </w:rPr>
        <w:footnoteReference w:id="60"/>
      </w:r>
      <w:r w:rsidR="00D95B47">
        <w:rPr>
          <w:rFonts w:ascii="Gill Sans MT" w:eastAsia="Times New Roman" w:hAnsi="Gill Sans MT" w:cs="Segoe UI"/>
          <w:lang w:eastAsia="en-GB"/>
        </w:rPr>
        <w:t xml:space="preserve">  </w:t>
      </w:r>
      <w:r w:rsidR="00E15A5E">
        <w:rPr>
          <w:rFonts w:ascii="Gill Sans MT" w:eastAsia="Times New Roman" w:hAnsi="Gill Sans MT" w:cs="Segoe UI"/>
          <w:lang w:eastAsia="en-GB"/>
        </w:rPr>
        <w:t>It may be that the legal constraints could still yet be deployed by the UK government, or indeed that the</w:t>
      </w:r>
      <w:r w:rsidR="002E5D5C">
        <w:rPr>
          <w:rFonts w:ascii="Gill Sans MT" w:eastAsia="Times New Roman" w:hAnsi="Gill Sans MT" w:cs="Segoe UI"/>
          <w:lang w:eastAsia="en-GB"/>
        </w:rPr>
        <w:t xml:space="preserve"> possibility of their imposition</w:t>
      </w:r>
      <w:r w:rsidR="00E15A5E">
        <w:rPr>
          <w:rFonts w:ascii="Gill Sans MT" w:eastAsia="Times New Roman" w:hAnsi="Gill Sans MT" w:cs="Segoe UI"/>
          <w:lang w:eastAsia="en-GB"/>
        </w:rPr>
        <w:t xml:space="preserve"> ha</w:t>
      </w:r>
      <w:r w:rsidR="002E5D5C">
        <w:rPr>
          <w:rFonts w:ascii="Gill Sans MT" w:eastAsia="Times New Roman" w:hAnsi="Gill Sans MT" w:cs="Segoe UI"/>
          <w:lang w:eastAsia="en-GB"/>
        </w:rPr>
        <w:t>s</w:t>
      </w:r>
      <w:r w:rsidR="00E15A5E">
        <w:rPr>
          <w:rFonts w:ascii="Gill Sans MT" w:eastAsia="Times New Roman" w:hAnsi="Gill Sans MT" w:cs="Segoe UI"/>
          <w:lang w:eastAsia="en-GB"/>
        </w:rPr>
        <w:t xml:space="preserve"> shaped the political negotiation of common frameworks.  Yet the fact that these extremely contentious limits on devolved competence were enacted and may never have been required illustrates both the confrontational approach of the UK government to devolved negotiations over Brexit, and also an apparently deep-rooted desire to guarantee the possibility of central control of this process regardless of the ideals which </w:t>
      </w:r>
      <w:r w:rsidR="00E625EA">
        <w:rPr>
          <w:rFonts w:ascii="Gill Sans MT" w:eastAsia="Times New Roman" w:hAnsi="Gill Sans MT" w:cs="Segoe UI"/>
          <w:lang w:eastAsia="en-GB"/>
        </w:rPr>
        <w:t xml:space="preserve">should </w:t>
      </w:r>
      <w:r w:rsidR="00E15A5E">
        <w:rPr>
          <w:rFonts w:ascii="Gill Sans MT" w:eastAsia="Times New Roman" w:hAnsi="Gill Sans MT" w:cs="Segoe UI"/>
          <w:lang w:eastAsia="en-GB"/>
        </w:rPr>
        <w:t>underpin the devolution system.</w:t>
      </w:r>
    </w:p>
    <w:p w14:paraId="3AE2B727" w14:textId="7F1C4210" w:rsidR="00E15A5E" w:rsidRDefault="004A36D6" w:rsidP="00EB6684">
      <w:pPr>
        <w:shd w:val="clear" w:color="auto" w:fill="FFFFFF"/>
        <w:spacing w:after="0" w:line="240" w:lineRule="auto"/>
        <w:jc w:val="both"/>
        <w:rPr>
          <w:rFonts w:ascii="Gill Sans MT" w:eastAsia="Times New Roman" w:hAnsi="Gill Sans MT" w:cs="Segoe UI"/>
          <w:lang w:eastAsia="en-GB"/>
        </w:rPr>
      </w:pPr>
      <w:r>
        <w:rPr>
          <w:rFonts w:ascii="Gill Sans MT" w:eastAsia="Times New Roman" w:hAnsi="Gill Sans MT" w:cs="Segoe UI"/>
          <w:lang w:eastAsia="en-GB"/>
        </w:rPr>
        <w:tab/>
        <w:t>The urge for the UK government to maintain central control despite the consequences for devolved relations has manifested in other areas</w:t>
      </w:r>
      <w:r w:rsidR="00E15A5E">
        <w:rPr>
          <w:rFonts w:ascii="Gill Sans MT" w:eastAsia="Times New Roman" w:hAnsi="Gill Sans MT" w:cs="Segoe UI"/>
          <w:lang w:eastAsia="en-GB"/>
        </w:rPr>
        <w:tab/>
      </w:r>
      <w:r>
        <w:rPr>
          <w:rFonts w:ascii="Gill Sans MT" w:eastAsia="Times New Roman" w:hAnsi="Gill Sans MT" w:cs="Segoe UI"/>
          <w:lang w:eastAsia="en-GB"/>
        </w:rPr>
        <w:t xml:space="preserve">.  The enactment of the UK Internal Market Act 2020 to replicate some functions previously performed by EU law has proven especially controversial.  The Act establishes two market access principles of mutual recognition and non-discrimination, </w:t>
      </w:r>
      <w:r w:rsidR="00502316">
        <w:rPr>
          <w:rFonts w:ascii="Gill Sans MT" w:eastAsia="Times New Roman" w:hAnsi="Gill Sans MT" w:cs="Segoe UI"/>
          <w:lang w:eastAsia="en-GB"/>
        </w:rPr>
        <w:t>defined</w:t>
      </w:r>
      <w:r>
        <w:rPr>
          <w:rFonts w:ascii="Gill Sans MT" w:eastAsia="Times New Roman" w:hAnsi="Gill Sans MT" w:cs="Segoe UI"/>
          <w:lang w:eastAsia="en-GB"/>
        </w:rPr>
        <w:t xml:space="preserve"> </w:t>
      </w:r>
      <w:r w:rsidR="00502316">
        <w:rPr>
          <w:rFonts w:ascii="Gill Sans MT" w:eastAsia="Times New Roman" w:hAnsi="Gill Sans MT" w:cs="Segoe UI"/>
          <w:lang w:eastAsia="en-GB"/>
        </w:rPr>
        <w:t xml:space="preserve">in </w:t>
      </w:r>
      <w:r>
        <w:rPr>
          <w:rFonts w:ascii="Gill Sans MT" w:eastAsia="Times New Roman" w:hAnsi="Gill Sans MT" w:cs="Segoe UI"/>
          <w:lang w:eastAsia="en-GB"/>
        </w:rPr>
        <w:t xml:space="preserve">broader </w:t>
      </w:r>
      <w:r w:rsidR="00502316">
        <w:rPr>
          <w:rFonts w:ascii="Gill Sans MT" w:eastAsia="Times New Roman" w:hAnsi="Gill Sans MT" w:cs="Segoe UI"/>
          <w:lang w:eastAsia="en-GB"/>
        </w:rPr>
        <w:t>terms</w:t>
      </w:r>
      <w:r>
        <w:rPr>
          <w:rFonts w:ascii="Gill Sans MT" w:eastAsia="Times New Roman" w:hAnsi="Gill Sans MT" w:cs="Segoe UI"/>
          <w:lang w:eastAsia="en-GB"/>
        </w:rPr>
        <w:t xml:space="preserve"> tha</w:t>
      </w:r>
      <w:r w:rsidR="00502316">
        <w:rPr>
          <w:rFonts w:ascii="Gill Sans MT" w:eastAsia="Times New Roman" w:hAnsi="Gill Sans MT" w:cs="Segoe UI"/>
          <w:lang w:eastAsia="en-GB"/>
        </w:rPr>
        <w:t>n</w:t>
      </w:r>
      <w:r>
        <w:rPr>
          <w:rFonts w:ascii="Gill Sans MT" w:eastAsia="Times New Roman" w:hAnsi="Gill Sans MT" w:cs="Segoe UI"/>
          <w:lang w:eastAsia="en-GB"/>
        </w:rPr>
        <w:t xml:space="preserve"> the equivalent EU law principles.  The operation of these principles may in practice restrict the ability of the devolved legislatures to enact future statutes which require businesses to comply with higher standards in Scotland or Wales, if the equivalent standards in England (by far the largest market in terms of GDP) are lower, because the English producers will have guaranteed market access regardless.</w:t>
      </w:r>
      <w:r w:rsidR="00F46B37">
        <w:rPr>
          <w:rStyle w:val="FootnoteReference"/>
          <w:rFonts w:ascii="Gill Sans MT" w:eastAsia="Times New Roman" w:hAnsi="Gill Sans MT" w:cs="Segoe UI"/>
          <w:lang w:eastAsia="en-GB"/>
        </w:rPr>
        <w:footnoteReference w:id="61"/>
      </w:r>
      <w:r w:rsidR="00991B28">
        <w:rPr>
          <w:rFonts w:ascii="Gill Sans MT" w:eastAsia="Times New Roman" w:hAnsi="Gill Sans MT" w:cs="Segoe UI"/>
          <w:lang w:eastAsia="en-GB"/>
        </w:rPr>
        <w:t xml:space="preserve">  This legislation was (quite ambitiously) challenged by judicial review by the Welsh government, although permission was denied on the basis that the claim was premature, unless or </w:t>
      </w:r>
      <w:r w:rsidR="00991B28">
        <w:rPr>
          <w:rFonts w:ascii="Gill Sans MT" w:eastAsia="Times New Roman" w:hAnsi="Gill Sans MT" w:cs="Segoe UI"/>
          <w:lang w:eastAsia="en-GB"/>
        </w:rPr>
        <w:lastRenderedPageBreak/>
        <w:t>until devolved legislation which is undermined by the Internal Market Act has been enacted.</w:t>
      </w:r>
      <w:r w:rsidR="00991B28">
        <w:rPr>
          <w:rStyle w:val="FootnoteReference"/>
          <w:rFonts w:ascii="Gill Sans MT" w:eastAsia="Times New Roman" w:hAnsi="Gill Sans MT" w:cs="Segoe UI"/>
          <w:lang w:eastAsia="en-GB"/>
        </w:rPr>
        <w:footnoteReference w:id="62"/>
      </w:r>
      <w:r w:rsidR="00991B28">
        <w:rPr>
          <w:rFonts w:ascii="Gill Sans MT" w:eastAsia="Times New Roman" w:hAnsi="Gill Sans MT" w:cs="Segoe UI"/>
          <w:lang w:eastAsia="en-GB"/>
        </w:rPr>
        <w:t xml:space="preserve"> </w:t>
      </w:r>
      <w:r w:rsidR="00F51D13">
        <w:rPr>
          <w:rFonts w:ascii="Gill Sans MT" w:eastAsia="Times New Roman" w:hAnsi="Gill Sans MT" w:cs="Segoe UI"/>
          <w:lang w:eastAsia="en-GB"/>
        </w:rPr>
        <w:t xml:space="preserve"> The difficulties in making a successful legal argument against the Internal Market Act were shown, however, in an earlier Supreme Court decision, on a reference concerning a Scottish Bill designed to ensure continuity with EU law in Scotland after Brexit.  The Supreme Court held that so far as this was inconsistent with the EU (Withdrawal) Act 2018, the fact of UK parliamentary sovereignty meant that Scottish Continuity Bill could not lawfully establish competing rules or arrangements concerning the retention of EU law.</w:t>
      </w:r>
      <w:r w:rsidR="00F51D13">
        <w:rPr>
          <w:rStyle w:val="FootnoteReference"/>
          <w:rFonts w:ascii="Gill Sans MT" w:eastAsia="Times New Roman" w:hAnsi="Gill Sans MT" w:cs="Segoe UI"/>
          <w:lang w:eastAsia="en-GB"/>
        </w:rPr>
        <w:footnoteReference w:id="63"/>
      </w:r>
    </w:p>
    <w:p w14:paraId="11FE662F" w14:textId="5632ED58" w:rsidR="00145052" w:rsidRDefault="00B9694F" w:rsidP="001B7FEF">
      <w:pPr>
        <w:shd w:val="clear" w:color="auto" w:fill="FFFFFF"/>
        <w:spacing w:after="0" w:line="240" w:lineRule="auto"/>
        <w:jc w:val="both"/>
        <w:rPr>
          <w:rFonts w:ascii="Gill Sans MT" w:eastAsia="Times New Roman" w:hAnsi="Gill Sans MT" w:cs="Times New Roman"/>
          <w:color w:val="000000"/>
          <w:lang w:eastAsia="en-GB"/>
        </w:rPr>
      </w:pPr>
      <w:r>
        <w:rPr>
          <w:rFonts w:ascii="Gill Sans MT" w:eastAsia="Times New Roman" w:hAnsi="Gill Sans MT" w:cs="Segoe UI"/>
          <w:lang w:eastAsia="en-GB"/>
        </w:rPr>
        <w:tab/>
        <w:t xml:space="preserve">The position of Northern Ireland in relation to the new UK internal market is even more complex, and has been even more contested.  The Withdrawal Agreement contains a specific Protocol on Northern Ireland, given the tensions associated with creating a new </w:t>
      </w:r>
      <w:r w:rsidR="00F206D5">
        <w:rPr>
          <w:rFonts w:ascii="Gill Sans MT" w:eastAsia="Times New Roman" w:hAnsi="Gill Sans MT" w:cs="Segoe UI"/>
          <w:lang w:eastAsia="en-GB"/>
        </w:rPr>
        <w:t xml:space="preserve">land </w:t>
      </w:r>
      <w:r>
        <w:rPr>
          <w:rFonts w:ascii="Gill Sans MT" w:eastAsia="Times New Roman" w:hAnsi="Gill Sans MT" w:cs="Segoe UI"/>
          <w:lang w:eastAsia="en-GB"/>
        </w:rPr>
        <w:t>border after Brexit with the Republic of Ireland, an EU member state.  To facilitate this, in relation to the movement of goods</w:t>
      </w:r>
      <w:r w:rsidR="0021146B">
        <w:rPr>
          <w:rFonts w:ascii="Gill Sans MT" w:eastAsia="Times New Roman" w:hAnsi="Gill Sans MT" w:cs="Segoe UI"/>
          <w:lang w:eastAsia="en-GB"/>
        </w:rPr>
        <w:t xml:space="preserve"> in particular</w:t>
      </w:r>
      <w:r>
        <w:rPr>
          <w:rFonts w:ascii="Gill Sans MT" w:eastAsia="Times New Roman" w:hAnsi="Gill Sans MT" w:cs="Segoe UI"/>
          <w:lang w:eastAsia="en-GB"/>
        </w:rPr>
        <w:t xml:space="preserve">, many elements of EU law remain binding in Northern Ireland, distinguishing it (and potentially formally dividing it) from the rest of the UK.  </w:t>
      </w:r>
      <w:r w:rsidR="00DA75E5">
        <w:rPr>
          <w:rFonts w:ascii="Gill Sans MT" w:eastAsia="Times New Roman" w:hAnsi="Gill Sans MT" w:cs="Segoe UI"/>
          <w:lang w:eastAsia="en-GB"/>
        </w:rPr>
        <w:t>Disagreement about how to resolve the position of Northern Ireland has been one of the most difficult and contentious components of the Brexit process, and this remains the case, with the UK government expressing</w:t>
      </w:r>
      <w:r w:rsidR="0021146B">
        <w:rPr>
          <w:rFonts w:ascii="Gill Sans MT" w:eastAsia="Times New Roman" w:hAnsi="Gill Sans MT" w:cs="Segoe UI"/>
          <w:lang w:eastAsia="en-GB"/>
        </w:rPr>
        <w:t xml:space="preserve"> continuing</w:t>
      </w:r>
      <w:r w:rsidR="00DA75E5">
        <w:rPr>
          <w:rFonts w:ascii="Gill Sans MT" w:eastAsia="Times New Roman" w:hAnsi="Gill Sans MT" w:cs="Segoe UI"/>
          <w:lang w:eastAsia="en-GB"/>
        </w:rPr>
        <w:t xml:space="preserve"> dissatisfaction with the terms of </w:t>
      </w:r>
      <w:r w:rsidR="0021146B">
        <w:rPr>
          <w:rFonts w:ascii="Gill Sans MT" w:eastAsia="Times New Roman" w:hAnsi="Gill Sans MT" w:cs="Segoe UI"/>
          <w:lang w:eastAsia="en-GB"/>
        </w:rPr>
        <w:t>its own agreed</w:t>
      </w:r>
      <w:r w:rsidR="00DA75E5">
        <w:rPr>
          <w:rFonts w:ascii="Gill Sans MT" w:eastAsia="Times New Roman" w:hAnsi="Gill Sans MT" w:cs="Segoe UI"/>
          <w:lang w:eastAsia="en-GB"/>
        </w:rPr>
        <w:t xml:space="preserve"> exit deal, and making (likely futile) attempts to push the EU to renegotiate.</w:t>
      </w:r>
      <w:r w:rsidR="00F206D5">
        <w:rPr>
          <w:rStyle w:val="FootnoteReference"/>
          <w:rFonts w:ascii="Gill Sans MT" w:eastAsia="Times New Roman" w:hAnsi="Gill Sans MT" w:cs="Segoe UI"/>
          <w:lang w:eastAsia="en-GB"/>
        </w:rPr>
        <w:footnoteReference w:id="64"/>
      </w:r>
      <w:r w:rsidR="00DA75E5">
        <w:rPr>
          <w:rFonts w:ascii="Gill Sans MT" w:eastAsia="Times New Roman" w:hAnsi="Gill Sans MT" w:cs="Segoe UI"/>
          <w:lang w:eastAsia="en-GB"/>
        </w:rPr>
        <w:t xml:space="preserve">  From a devolution perspective, a key means of attempting to manage the disagreement between unionists and nationalists in Northern Ireland over the terms of the Protocol was to include provisions establishing a ‘democratic consent process’ to give future opportunities (every four years from late 2024 onwards) for the Northern Ireland Assembly to vote to exit </w:t>
      </w:r>
      <w:r w:rsidR="0021146B">
        <w:rPr>
          <w:rFonts w:ascii="Gill Sans MT" w:eastAsia="Times New Roman" w:hAnsi="Gill Sans MT" w:cs="Segoe UI"/>
          <w:lang w:eastAsia="en-GB"/>
        </w:rPr>
        <w:t xml:space="preserve">or maintain </w:t>
      </w:r>
      <w:r w:rsidR="00DA75E5">
        <w:rPr>
          <w:rFonts w:ascii="Gill Sans MT" w:eastAsia="Times New Roman" w:hAnsi="Gill Sans MT" w:cs="Segoe UI"/>
          <w:lang w:eastAsia="en-GB"/>
        </w:rPr>
        <w:t>these arrangements.</w:t>
      </w:r>
      <w:r w:rsidR="00DA75E5">
        <w:rPr>
          <w:rStyle w:val="FootnoteReference"/>
          <w:rFonts w:ascii="Gill Sans MT" w:eastAsia="Times New Roman" w:hAnsi="Gill Sans MT" w:cs="Segoe UI"/>
          <w:lang w:eastAsia="en-GB"/>
        </w:rPr>
        <w:footnoteReference w:id="65"/>
      </w:r>
      <w:r w:rsidR="0021146B">
        <w:rPr>
          <w:rFonts w:ascii="Gill Sans MT" w:eastAsia="Times New Roman" w:hAnsi="Gill Sans MT" w:cs="Segoe UI"/>
          <w:lang w:eastAsia="en-GB"/>
        </w:rPr>
        <w:t xml:space="preserve">  Whether this formalisation of consent will be sufficient to dispel division in the interim remains unclear, as do the practical consequences of a vote to exit the Protocol, given the </w:t>
      </w:r>
      <w:r w:rsidR="00740C13">
        <w:rPr>
          <w:rFonts w:ascii="Gill Sans MT" w:eastAsia="Times New Roman" w:hAnsi="Gill Sans MT" w:cs="Segoe UI"/>
          <w:lang w:eastAsia="en-GB"/>
        </w:rPr>
        <w:t xml:space="preserve">inherent difficulty of Northern Ireland </w:t>
      </w:r>
      <w:r w:rsidR="001B7FEF">
        <w:rPr>
          <w:rFonts w:ascii="Gill Sans MT" w:eastAsia="Times New Roman" w:hAnsi="Gill Sans MT" w:cs="Segoe UI"/>
          <w:lang w:eastAsia="en-GB"/>
        </w:rPr>
        <w:t>deviating from</w:t>
      </w:r>
      <w:r w:rsidR="00740C13">
        <w:rPr>
          <w:rFonts w:ascii="Gill Sans MT" w:eastAsia="Times New Roman" w:hAnsi="Gill Sans MT" w:cs="Segoe UI"/>
          <w:lang w:eastAsia="en-GB"/>
        </w:rPr>
        <w:t xml:space="preserve"> EU single market rules </w:t>
      </w:r>
      <w:r w:rsidR="001B7FEF">
        <w:rPr>
          <w:rFonts w:ascii="Gill Sans MT" w:eastAsia="Times New Roman" w:hAnsi="Gill Sans MT" w:cs="Segoe UI"/>
          <w:lang w:eastAsia="en-GB"/>
        </w:rPr>
        <w:t xml:space="preserve">in light of its close connection with the Republic of Ireland.  Perhaps as much as any other issue, this demonstrates the extent to which seemingly irresolvable disagreements were, and remain, inherent to the constitutional process of </w:t>
      </w:r>
      <w:r w:rsidR="0086775E">
        <w:rPr>
          <w:rFonts w:ascii="Gill Sans MT" w:eastAsia="Times New Roman" w:hAnsi="Gill Sans MT" w:cs="Segoe UI"/>
          <w:lang w:eastAsia="en-GB"/>
        </w:rPr>
        <w:t xml:space="preserve">UK </w:t>
      </w:r>
      <w:r w:rsidR="001B7FEF">
        <w:rPr>
          <w:rFonts w:ascii="Gill Sans MT" w:eastAsia="Times New Roman" w:hAnsi="Gill Sans MT" w:cs="Segoe UI"/>
          <w:lang w:eastAsia="en-GB"/>
        </w:rPr>
        <w:t>exit</w:t>
      </w:r>
      <w:r w:rsidR="0086775E">
        <w:rPr>
          <w:rFonts w:ascii="Gill Sans MT" w:eastAsia="Times New Roman" w:hAnsi="Gill Sans MT" w:cs="Segoe UI"/>
          <w:lang w:eastAsia="en-GB"/>
        </w:rPr>
        <w:t xml:space="preserve"> from</w:t>
      </w:r>
      <w:r w:rsidR="001B7FEF">
        <w:rPr>
          <w:rFonts w:ascii="Gill Sans MT" w:eastAsia="Times New Roman" w:hAnsi="Gill Sans MT" w:cs="Segoe UI"/>
          <w:lang w:eastAsia="en-GB"/>
        </w:rPr>
        <w:t xml:space="preserve"> the EU.</w:t>
      </w:r>
    </w:p>
    <w:p w14:paraId="6F458416" w14:textId="77777777" w:rsidR="00145052" w:rsidRPr="00145052" w:rsidRDefault="00145052" w:rsidP="00865C3E">
      <w:pPr>
        <w:spacing w:after="0" w:line="240" w:lineRule="auto"/>
        <w:rPr>
          <w:rFonts w:ascii="Gill Sans MT" w:eastAsia="Times New Roman" w:hAnsi="Gill Sans MT" w:cs="Times New Roman"/>
          <w:color w:val="000000"/>
          <w:lang w:eastAsia="en-GB"/>
        </w:rPr>
      </w:pPr>
    </w:p>
    <w:p w14:paraId="3B74B4A6" w14:textId="4A386FC3" w:rsidR="00D97C5E" w:rsidRDefault="00D97C5E" w:rsidP="00865C3E">
      <w:pPr>
        <w:spacing w:after="0" w:line="240" w:lineRule="auto"/>
        <w:rPr>
          <w:rFonts w:ascii="Gill Sans MT" w:eastAsia="Times New Roman" w:hAnsi="Gill Sans MT" w:cs="Times New Roman"/>
          <w:color w:val="000000"/>
          <w:u w:val="single"/>
          <w:lang w:eastAsia="en-GB"/>
        </w:rPr>
      </w:pPr>
      <w:r w:rsidRPr="00145052">
        <w:rPr>
          <w:rFonts w:ascii="Gill Sans MT" w:eastAsia="Times New Roman" w:hAnsi="Gill Sans MT" w:cs="Times New Roman"/>
          <w:color w:val="000000"/>
          <w:u w:val="single"/>
          <w:lang w:eastAsia="en-GB"/>
        </w:rPr>
        <w:t xml:space="preserve">3. </w:t>
      </w:r>
      <w:r w:rsidR="00E6206E">
        <w:rPr>
          <w:rFonts w:ascii="Gill Sans MT" w:eastAsia="Times New Roman" w:hAnsi="Gill Sans MT" w:cs="Times New Roman"/>
          <w:color w:val="000000"/>
          <w:u w:val="single"/>
          <w:lang w:eastAsia="en-GB"/>
        </w:rPr>
        <w:t>C</w:t>
      </w:r>
      <w:r w:rsidRPr="00145052">
        <w:rPr>
          <w:rFonts w:ascii="Gill Sans MT" w:eastAsia="Times New Roman" w:hAnsi="Gill Sans MT" w:cs="Times New Roman"/>
          <w:color w:val="000000"/>
          <w:u w:val="single"/>
          <w:lang w:eastAsia="en-GB"/>
        </w:rPr>
        <w:t>onsequences for the future of the UK</w:t>
      </w:r>
    </w:p>
    <w:p w14:paraId="05F9C663" w14:textId="77777777" w:rsidR="00A90E6E" w:rsidRDefault="00A90E6E" w:rsidP="00A90E6E">
      <w:pPr>
        <w:spacing w:after="0"/>
        <w:rPr>
          <w:rFonts w:ascii="Gill Sans MT" w:hAnsi="Gill Sans MT"/>
        </w:rPr>
      </w:pPr>
    </w:p>
    <w:p w14:paraId="660107A0" w14:textId="7F4BD66F" w:rsidR="009C3BD8" w:rsidRPr="00145052" w:rsidRDefault="004F5269" w:rsidP="00450738">
      <w:pPr>
        <w:spacing w:after="0"/>
        <w:jc w:val="both"/>
        <w:rPr>
          <w:rFonts w:ascii="Gill Sans MT" w:eastAsia="Times New Roman" w:hAnsi="Gill Sans MT" w:cs="Times New Roman"/>
          <w:color w:val="000000"/>
          <w:u w:val="single"/>
          <w:lang w:eastAsia="en-GB"/>
        </w:rPr>
      </w:pPr>
      <w:r>
        <w:rPr>
          <w:rFonts w:ascii="Gill Sans MT" w:hAnsi="Gill Sans MT"/>
        </w:rPr>
        <w:t xml:space="preserve">The depth and breadth of the divisions, disagreements and disputes generated by </w:t>
      </w:r>
      <w:r w:rsidR="00A90E6E">
        <w:rPr>
          <w:rFonts w:ascii="Gill Sans MT" w:hAnsi="Gill Sans MT"/>
        </w:rPr>
        <w:t>Brexit</w:t>
      </w:r>
      <w:r w:rsidR="00E625EA">
        <w:rPr>
          <w:rFonts w:ascii="Gill Sans MT" w:hAnsi="Gill Sans MT"/>
        </w:rPr>
        <w:t>,</w:t>
      </w:r>
      <w:r w:rsidR="00092C4D">
        <w:rPr>
          <w:rFonts w:ascii="Gill Sans MT" w:hAnsi="Gill Sans MT"/>
        </w:rPr>
        <w:t xml:space="preserve"> operating on multiple constitutional levels</w:t>
      </w:r>
      <w:r w:rsidR="00E625EA">
        <w:rPr>
          <w:rFonts w:ascii="Gill Sans MT" w:hAnsi="Gill Sans MT"/>
        </w:rPr>
        <w:t>,</w:t>
      </w:r>
      <w:r w:rsidR="00A90E6E">
        <w:rPr>
          <w:rFonts w:ascii="Gill Sans MT" w:hAnsi="Gill Sans MT"/>
        </w:rPr>
        <w:t xml:space="preserve"> </w:t>
      </w:r>
      <w:r>
        <w:rPr>
          <w:rFonts w:ascii="Gill Sans MT" w:hAnsi="Gill Sans MT"/>
        </w:rPr>
        <w:t xml:space="preserve">is therefore clear.  </w:t>
      </w:r>
      <w:r w:rsidR="00092C4D">
        <w:rPr>
          <w:rFonts w:ascii="Gill Sans MT" w:hAnsi="Gill Sans MT"/>
        </w:rPr>
        <w:t>In a period of such change and uncertainty, the consequences for the future of the UK, and its model of parliamentary government, are difficult to predict.  Yet the scale of the impact suggests that Brexit will inevitably have significant implications for what has been a dis-United Kingdom.  In this section I will focus on three themes emerging in the aftermath of Brexit.</w:t>
      </w:r>
    </w:p>
    <w:p w14:paraId="040C1579" w14:textId="35B8463D" w:rsidR="00145052" w:rsidRDefault="00145052" w:rsidP="00BB235D">
      <w:pPr>
        <w:spacing w:after="0"/>
        <w:rPr>
          <w:rFonts w:ascii="Gill Sans MT" w:hAnsi="Gill Sans MT"/>
          <w:u w:val="single"/>
        </w:rPr>
      </w:pPr>
    </w:p>
    <w:p w14:paraId="796B6361" w14:textId="6C9F10AE" w:rsidR="00BB235D" w:rsidRDefault="00BB235D" w:rsidP="00BB235D">
      <w:pPr>
        <w:spacing w:after="0"/>
        <w:rPr>
          <w:rFonts w:ascii="Gill Sans MT" w:hAnsi="Gill Sans MT"/>
        </w:rPr>
      </w:pPr>
      <w:r>
        <w:rPr>
          <w:rFonts w:ascii="Gill Sans MT" w:hAnsi="Gill Sans MT"/>
        </w:rPr>
        <w:t xml:space="preserve">(i) </w:t>
      </w:r>
      <w:r w:rsidR="005B7DA3">
        <w:rPr>
          <w:rFonts w:ascii="Gill Sans MT" w:hAnsi="Gill Sans MT"/>
        </w:rPr>
        <w:t>Back to constitutional normality with a vengeance</w:t>
      </w:r>
    </w:p>
    <w:p w14:paraId="07FC76D3" w14:textId="4A044828" w:rsidR="00BB235D" w:rsidRDefault="00BB235D" w:rsidP="00BB235D">
      <w:pPr>
        <w:spacing w:after="0"/>
        <w:rPr>
          <w:rFonts w:ascii="Gill Sans MT" w:hAnsi="Gill Sans MT"/>
        </w:rPr>
      </w:pPr>
    </w:p>
    <w:p w14:paraId="073FF3E9" w14:textId="26C51F59" w:rsidR="009B695E" w:rsidRDefault="0023145C" w:rsidP="009B695E">
      <w:pPr>
        <w:spacing w:after="0"/>
        <w:jc w:val="both"/>
        <w:rPr>
          <w:rFonts w:ascii="Gill Sans MT" w:hAnsi="Gill Sans MT"/>
        </w:rPr>
      </w:pPr>
      <w:r>
        <w:rPr>
          <w:rFonts w:ascii="Gill Sans MT" w:hAnsi="Gill Sans MT"/>
        </w:rPr>
        <w:t>The institutional divisions which were a key feature of the 2017-2019 period have dissipated since the completion of Brexit.  The</w:t>
      </w:r>
      <w:r w:rsidR="00714B40">
        <w:rPr>
          <w:rFonts w:ascii="Gill Sans MT" w:hAnsi="Gill Sans MT"/>
        </w:rPr>
        <w:t xml:space="preserve"> broader</w:t>
      </w:r>
      <w:r>
        <w:rPr>
          <w:rFonts w:ascii="Gill Sans MT" w:hAnsi="Gill Sans MT"/>
        </w:rPr>
        <w:t xml:space="preserve"> legacy of this period, in which the UK constitution </w:t>
      </w:r>
      <w:r w:rsidR="00714B40">
        <w:rPr>
          <w:rFonts w:ascii="Gill Sans MT" w:hAnsi="Gill Sans MT"/>
        </w:rPr>
        <w:t>was</w:t>
      </w:r>
      <w:r>
        <w:rPr>
          <w:rFonts w:ascii="Gill Sans MT" w:hAnsi="Gill Sans MT"/>
        </w:rPr>
        <w:t xml:space="preserve"> </w:t>
      </w:r>
      <w:r w:rsidR="00F24813">
        <w:rPr>
          <w:rFonts w:ascii="Gill Sans MT" w:hAnsi="Gill Sans MT"/>
        </w:rPr>
        <w:t xml:space="preserve">critically </w:t>
      </w:r>
      <w:r>
        <w:rPr>
          <w:rFonts w:ascii="Gill Sans MT" w:hAnsi="Gill Sans MT"/>
        </w:rPr>
        <w:t>overloaded</w:t>
      </w:r>
      <w:r w:rsidR="00714B40">
        <w:rPr>
          <w:rFonts w:ascii="Gill Sans MT" w:hAnsi="Gill Sans MT"/>
        </w:rPr>
        <w:t xml:space="preserve">, will take longer to ascertain.  It does seem clear that the consequences will be varied.  </w:t>
      </w:r>
      <w:r w:rsidR="00BB235D">
        <w:rPr>
          <w:rFonts w:ascii="Gill Sans MT" w:hAnsi="Gill Sans MT"/>
        </w:rPr>
        <w:t xml:space="preserve">Some power </w:t>
      </w:r>
      <w:r w:rsidR="00714B40">
        <w:rPr>
          <w:rFonts w:ascii="Gill Sans MT" w:hAnsi="Gill Sans MT"/>
        </w:rPr>
        <w:t xml:space="preserve">has been </w:t>
      </w:r>
      <w:r w:rsidR="00BB235D">
        <w:rPr>
          <w:rFonts w:ascii="Gill Sans MT" w:hAnsi="Gill Sans MT"/>
        </w:rPr>
        <w:t>strengthen</w:t>
      </w:r>
      <w:r w:rsidR="002D33E8">
        <w:rPr>
          <w:rFonts w:ascii="Gill Sans MT" w:hAnsi="Gill Sans MT"/>
        </w:rPr>
        <w:t>ed</w:t>
      </w:r>
      <w:r w:rsidR="00714B40">
        <w:rPr>
          <w:rFonts w:ascii="Gill Sans MT" w:hAnsi="Gill Sans MT"/>
        </w:rPr>
        <w:t xml:space="preserve"> – in particular that of the</w:t>
      </w:r>
      <w:r w:rsidR="009B695E">
        <w:rPr>
          <w:rFonts w:ascii="Gill Sans MT" w:hAnsi="Gill Sans MT"/>
        </w:rPr>
        <w:t xml:space="preserve"> UK</w:t>
      </w:r>
      <w:r w:rsidR="00714B40">
        <w:rPr>
          <w:rFonts w:ascii="Gill Sans MT" w:hAnsi="Gill Sans MT"/>
        </w:rPr>
        <w:t xml:space="preserve"> government, which now has a clear majority in Parliament</w:t>
      </w:r>
      <w:r w:rsidR="00F24813">
        <w:rPr>
          <w:rFonts w:ascii="Gill Sans MT" w:hAnsi="Gill Sans MT"/>
        </w:rPr>
        <w:t xml:space="preserve">, and policy responsibility </w:t>
      </w:r>
      <w:r w:rsidR="009B695E">
        <w:rPr>
          <w:rFonts w:ascii="Gill Sans MT" w:hAnsi="Gill Sans MT"/>
        </w:rPr>
        <w:t>for</w:t>
      </w:r>
      <w:r w:rsidR="00F24813">
        <w:rPr>
          <w:rFonts w:ascii="Gill Sans MT" w:hAnsi="Gill Sans MT"/>
        </w:rPr>
        <w:t xml:space="preserve"> determin</w:t>
      </w:r>
      <w:r w:rsidR="009B695E">
        <w:rPr>
          <w:rFonts w:ascii="Gill Sans MT" w:hAnsi="Gill Sans MT"/>
        </w:rPr>
        <w:t>ing</w:t>
      </w:r>
      <w:r w:rsidR="00F24813">
        <w:rPr>
          <w:rFonts w:ascii="Gill Sans MT" w:hAnsi="Gill Sans MT"/>
        </w:rPr>
        <w:t xml:space="preserve"> the </w:t>
      </w:r>
      <w:r w:rsidR="009B695E">
        <w:rPr>
          <w:rFonts w:ascii="Gill Sans MT" w:hAnsi="Gill Sans MT"/>
        </w:rPr>
        <w:t>content</w:t>
      </w:r>
      <w:r w:rsidR="00F24813">
        <w:rPr>
          <w:rFonts w:ascii="Gill Sans MT" w:hAnsi="Gill Sans MT"/>
        </w:rPr>
        <w:t xml:space="preserve"> of ‘retained EU law’</w:t>
      </w:r>
      <w:r w:rsidR="00714B40">
        <w:rPr>
          <w:rFonts w:ascii="Gill Sans MT" w:hAnsi="Gill Sans MT"/>
        </w:rPr>
        <w:t>.  O</w:t>
      </w:r>
      <w:r w:rsidR="00BB235D">
        <w:rPr>
          <w:rFonts w:ascii="Gill Sans MT" w:hAnsi="Gill Sans MT"/>
        </w:rPr>
        <w:t xml:space="preserve">ther power </w:t>
      </w:r>
      <w:r w:rsidR="00714B40">
        <w:rPr>
          <w:rFonts w:ascii="Gill Sans MT" w:hAnsi="Gill Sans MT"/>
        </w:rPr>
        <w:t xml:space="preserve">has been </w:t>
      </w:r>
      <w:r w:rsidR="00BB235D">
        <w:rPr>
          <w:rFonts w:ascii="Gill Sans MT" w:hAnsi="Gill Sans MT"/>
        </w:rPr>
        <w:t>fractured</w:t>
      </w:r>
      <w:r w:rsidR="00714B40">
        <w:rPr>
          <w:rFonts w:ascii="Gill Sans MT" w:hAnsi="Gill Sans MT"/>
        </w:rPr>
        <w:t xml:space="preserve"> – many of the cross-party Brexit rebels in the House of Commons lost their seats, and faced with a government with a strong hold on the confidence of the lower house, </w:t>
      </w:r>
      <w:r w:rsidR="00714B40">
        <w:rPr>
          <w:rFonts w:ascii="Gill Sans MT" w:hAnsi="Gill Sans MT"/>
        </w:rPr>
        <w:lastRenderedPageBreak/>
        <w:t xml:space="preserve">and a more conventional Speaker implementing the Standing Orders, the means and opportunities to challenge the government </w:t>
      </w:r>
      <w:r w:rsidR="00F24813">
        <w:rPr>
          <w:rFonts w:ascii="Gill Sans MT" w:hAnsi="Gill Sans MT"/>
        </w:rPr>
        <w:t xml:space="preserve">in Parliament </w:t>
      </w:r>
      <w:r w:rsidR="00714B40">
        <w:rPr>
          <w:rFonts w:ascii="Gill Sans MT" w:hAnsi="Gill Sans MT"/>
        </w:rPr>
        <w:t xml:space="preserve">are diminished.  The power of the courts is also under active scrutiny, and the Supreme Court has experienced a rapid turnover of judges, in particular under the leadership of a new President.  The significance of the referendum decision has also faded, given its mandate has been </w:t>
      </w:r>
      <w:r w:rsidR="00F763E2">
        <w:rPr>
          <w:rFonts w:ascii="Gill Sans MT" w:hAnsi="Gill Sans MT"/>
        </w:rPr>
        <w:t>fulfilled.</w:t>
      </w:r>
    </w:p>
    <w:p w14:paraId="5674F1C2" w14:textId="0548B40F" w:rsidR="00F763E2" w:rsidRDefault="009B695E" w:rsidP="00036B19">
      <w:pPr>
        <w:spacing w:after="0"/>
        <w:ind w:firstLine="720"/>
        <w:jc w:val="both"/>
        <w:rPr>
          <w:rFonts w:ascii="Gill Sans MT" w:hAnsi="Gill Sans MT"/>
        </w:rPr>
      </w:pPr>
      <w:r>
        <w:rPr>
          <w:rFonts w:ascii="Gill Sans MT" w:hAnsi="Gill Sans MT"/>
        </w:rPr>
        <w:t>I</w:t>
      </w:r>
      <w:r w:rsidR="00F763E2">
        <w:rPr>
          <w:rFonts w:ascii="Gill Sans MT" w:hAnsi="Gill Sans MT"/>
        </w:rPr>
        <w:t xml:space="preserve">s this </w:t>
      </w:r>
      <w:r>
        <w:rPr>
          <w:rFonts w:ascii="Gill Sans MT" w:hAnsi="Gill Sans MT"/>
        </w:rPr>
        <w:t>a return</w:t>
      </w:r>
      <w:r w:rsidR="00F763E2">
        <w:rPr>
          <w:rFonts w:ascii="Gill Sans MT" w:hAnsi="Gill Sans MT"/>
        </w:rPr>
        <w:t xml:space="preserve"> to </w:t>
      </w:r>
      <w:r>
        <w:rPr>
          <w:rFonts w:ascii="Gill Sans MT" w:hAnsi="Gill Sans MT"/>
        </w:rPr>
        <w:t xml:space="preserve">constitutional </w:t>
      </w:r>
      <w:r w:rsidR="00F763E2">
        <w:rPr>
          <w:rFonts w:ascii="Gill Sans MT" w:hAnsi="Gill Sans MT"/>
        </w:rPr>
        <w:t>normal</w:t>
      </w:r>
      <w:r>
        <w:rPr>
          <w:rFonts w:ascii="Gill Sans MT" w:hAnsi="Gill Sans MT"/>
        </w:rPr>
        <w:t>ity</w:t>
      </w:r>
      <w:r w:rsidR="00F763E2">
        <w:rPr>
          <w:rFonts w:ascii="Gill Sans MT" w:hAnsi="Gill Sans MT"/>
        </w:rPr>
        <w:t xml:space="preserve">? </w:t>
      </w:r>
      <w:r>
        <w:rPr>
          <w:rFonts w:ascii="Gill Sans MT" w:hAnsi="Gill Sans MT"/>
        </w:rPr>
        <w:t xml:space="preserve"> I</w:t>
      </w:r>
      <w:r w:rsidR="00F763E2">
        <w:rPr>
          <w:rFonts w:ascii="Gill Sans MT" w:hAnsi="Gill Sans MT"/>
        </w:rPr>
        <w:t xml:space="preserve">n some ways </w:t>
      </w:r>
      <w:r>
        <w:rPr>
          <w:rFonts w:ascii="Gill Sans MT" w:hAnsi="Gill Sans MT"/>
        </w:rPr>
        <w:t xml:space="preserve">it is – a </w:t>
      </w:r>
      <w:r w:rsidR="00F763E2">
        <w:rPr>
          <w:rFonts w:ascii="Gill Sans MT" w:hAnsi="Gill Sans MT"/>
        </w:rPr>
        <w:t xml:space="preserve">majority government commanding confidence of the Commons, led by </w:t>
      </w:r>
      <w:r w:rsidR="00266ABD">
        <w:rPr>
          <w:rFonts w:ascii="Gill Sans MT" w:hAnsi="Gill Sans MT"/>
        </w:rPr>
        <w:t xml:space="preserve">a </w:t>
      </w:r>
      <w:r w:rsidR="00F763E2">
        <w:rPr>
          <w:rFonts w:ascii="Gill Sans MT" w:hAnsi="Gill Sans MT"/>
        </w:rPr>
        <w:t xml:space="preserve">PM with authority to ensure collective responsibility in Cabinet.  Brexit was a product of exceptional circumstances, a perfect storm of political tensions where the constitution overloaded and then stalled in responding to a complex problem under the time pressure imposed by Article 50 TEU.  </w:t>
      </w:r>
      <w:r w:rsidR="004671DA">
        <w:rPr>
          <w:rFonts w:ascii="Gill Sans MT" w:hAnsi="Gill Sans MT"/>
        </w:rPr>
        <w:t xml:space="preserve">This was </w:t>
      </w:r>
      <w:r w:rsidR="00036B19">
        <w:rPr>
          <w:rFonts w:ascii="Gill Sans MT" w:hAnsi="Gill Sans MT"/>
        </w:rPr>
        <w:t>a challenge to the constitution</w:t>
      </w:r>
      <w:r w:rsidR="0087450A">
        <w:rPr>
          <w:rFonts w:ascii="Gill Sans MT" w:hAnsi="Gill Sans MT"/>
        </w:rPr>
        <w:t xml:space="preserve">, but </w:t>
      </w:r>
      <w:r w:rsidR="00036B19">
        <w:rPr>
          <w:rFonts w:ascii="Gill Sans MT" w:hAnsi="Gill Sans MT"/>
        </w:rPr>
        <w:t>also</w:t>
      </w:r>
      <w:r w:rsidR="00D05665">
        <w:rPr>
          <w:rFonts w:ascii="Gill Sans MT" w:hAnsi="Gill Sans MT"/>
        </w:rPr>
        <w:t xml:space="preserve"> an indication of the limited ability of </w:t>
      </w:r>
      <w:r w:rsidR="00685E20">
        <w:rPr>
          <w:rFonts w:ascii="Gill Sans MT" w:hAnsi="Gill Sans MT"/>
        </w:rPr>
        <w:t>constitution</w:t>
      </w:r>
      <w:r w:rsidR="0087450A">
        <w:rPr>
          <w:rFonts w:ascii="Gill Sans MT" w:hAnsi="Gill Sans MT"/>
        </w:rPr>
        <w:t>s</w:t>
      </w:r>
      <w:r w:rsidR="00D05665">
        <w:rPr>
          <w:rFonts w:ascii="Gill Sans MT" w:hAnsi="Gill Sans MT"/>
        </w:rPr>
        <w:t xml:space="preserve"> to control generational political disputes</w:t>
      </w:r>
      <w:r>
        <w:rPr>
          <w:rFonts w:ascii="Gill Sans MT" w:hAnsi="Gill Sans MT"/>
        </w:rPr>
        <w:t xml:space="preserve"> or eliminate disagreement</w:t>
      </w:r>
      <w:r w:rsidR="00D05665">
        <w:rPr>
          <w:rFonts w:ascii="Gill Sans MT" w:hAnsi="Gill Sans MT"/>
        </w:rPr>
        <w:t xml:space="preserve">. </w:t>
      </w:r>
      <w:r w:rsidR="0087450A">
        <w:rPr>
          <w:rFonts w:ascii="Gill Sans MT" w:hAnsi="Gill Sans MT"/>
        </w:rPr>
        <w:t xml:space="preserve"> This does</w:t>
      </w:r>
      <w:r w:rsidR="00D05665">
        <w:rPr>
          <w:rFonts w:ascii="Gill Sans MT" w:hAnsi="Gill Sans MT"/>
        </w:rPr>
        <w:t xml:space="preserve"> not to </w:t>
      </w:r>
      <w:r w:rsidR="0087450A">
        <w:rPr>
          <w:rFonts w:ascii="Gill Sans MT" w:hAnsi="Gill Sans MT"/>
        </w:rPr>
        <w:t>mean that</w:t>
      </w:r>
      <w:r w:rsidR="00D05665">
        <w:rPr>
          <w:rFonts w:ascii="Gill Sans MT" w:hAnsi="Gill Sans MT"/>
        </w:rPr>
        <w:t xml:space="preserve"> reform post-Brexit is unnecessary, but </w:t>
      </w:r>
      <w:r w:rsidR="0087450A">
        <w:rPr>
          <w:rFonts w:ascii="Gill Sans MT" w:hAnsi="Gill Sans MT"/>
        </w:rPr>
        <w:t>rhetoric about constitutional crisis may misdiagnose the problems</w:t>
      </w:r>
      <w:r w:rsidR="00D05665">
        <w:rPr>
          <w:rFonts w:ascii="Gill Sans MT" w:hAnsi="Gill Sans MT"/>
        </w:rPr>
        <w:t>.</w:t>
      </w:r>
      <w:r w:rsidR="005C71D2">
        <w:rPr>
          <w:rFonts w:ascii="Gill Sans MT" w:hAnsi="Gill Sans MT"/>
        </w:rPr>
        <w:t xml:space="preserve">  The disagreement over Brexit was acute and paradoxical – to some extent it was exacerbated by the power of the central institutions (</w:t>
      </w:r>
      <w:r w:rsidR="00036B19">
        <w:rPr>
          <w:rFonts w:ascii="Gill Sans MT" w:hAnsi="Gill Sans MT"/>
        </w:rPr>
        <w:t>to call this referendum and consistently overrule the</w:t>
      </w:r>
      <w:r w:rsidR="005C71D2">
        <w:rPr>
          <w:rFonts w:ascii="Gill Sans MT" w:hAnsi="Gill Sans MT"/>
        </w:rPr>
        <w:t xml:space="preserve"> devol</w:t>
      </w:r>
      <w:r w:rsidR="00036B19">
        <w:rPr>
          <w:rFonts w:ascii="Gill Sans MT" w:hAnsi="Gill Sans MT"/>
        </w:rPr>
        <w:t>ved institutions</w:t>
      </w:r>
      <w:r w:rsidR="007B55E6">
        <w:rPr>
          <w:rFonts w:ascii="Gill Sans MT" w:hAnsi="Gill Sans MT"/>
        </w:rPr>
        <w:t>), to some extent it was exacerbated by the weakness of the centre (in grappling with a minority government responding to a contrary referendum result and an unyielding legislature)</w:t>
      </w:r>
      <w:r w:rsidR="00036B19">
        <w:rPr>
          <w:rFonts w:ascii="Gill Sans MT" w:hAnsi="Gill Sans MT"/>
        </w:rPr>
        <w:t>.  P</w:t>
      </w:r>
      <w:r w:rsidR="00BB6819">
        <w:rPr>
          <w:rFonts w:ascii="Gill Sans MT" w:hAnsi="Gill Sans MT"/>
        </w:rPr>
        <w:t>roposals for reform must reflect this complexity</w:t>
      </w:r>
      <w:r w:rsidR="000137B7">
        <w:rPr>
          <w:rFonts w:ascii="Gill Sans MT" w:hAnsi="Gill Sans MT"/>
        </w:rPr>
        <w:t>, rather than providing generic and reductive alternatives</w:t>
      </w:r>
      <w:r w:rsidR="00036B19">
        <w:rPr>
          <w:rFonts w:ascii="Gill Sans MT" w:hAnsi="Gill Sans MT"/>
        </w:rPr>
        <w:t>, or attempting to reverse engineer a different result to the referendum.</w:t>
      </w:r>
    </w:p>
    <w:p w14:paraId="70EAF964" w14:textId="3491D95D" w:rsidR="002D33E8" w:rsidRDefault="004671DA" w:rsidP="00BE09AA">
      <w:pPr>
        <w:spacing w:after="0"/>
        <w:ind w:firstLine="720"/>
        <w:jc w:val="both"/>
        <w:rPr>
          <w:rFonts w:ascii="Gill Sans MT" w:hAnsi="Gill Sans MT"/>
        </w:rPr>
      </w:pPr>
      <w:r>
        <w:rPr>
          <w:rFonts w:ascii="Gill Sans MT" w:hAnsi="Gill Sans MT"/>
        </w:rPr>
        <w:t>Yet i</w:t>
      </w:r>
      <w:r w:rsidR="007B55E6" w:rsidRPr="00BE09AA">
        <w:rPr>
          <w:rFonts w:ascii="Gill Sans MT" w:hAnsi="Gill Sans MT"/>
        </w:rPr>
        <w:t>f this has been a return to greater constitutional normality</w:t>
      </w:r>
      <w:r w:rsidR="00DD2709" w:rsidRPr="00BE09AA">
        <w:rPr>
          <w:rFonts w:ascii="Gill Sans MT" w:hAnsi="Gill Sans MT"/>
        </w:rPr>
        <w:t xml:space="preserve"> (although the impact of the coronavirus pandemic has meant an altered conception of what is normal)</w:t>
      </w:r>
      <w:r w:rsidR="007B55E6" w:rsidRPr="00BE09AA">
        <w:rPr>
          <w:rFonts w:ascii="Gill Sans MT" w:hAnsi="Gill Sans MT"/>
        </w:rPr>
        <w:t xml:space="preserve"> </w:t>
      </w:r>
      <w:r w:rsidR="00DD2709" w:rsidRPr="00BE09AA">
        <w:rPr>
          <w:rFonts w:ascii="Gill Sans MT" w:hAnsi="Gill Sans MT"/>
        </w:rPr>
        <w:t xml:space="preserve">there have still been significant </w:t>
      </w:r>
      <w:r w:rsidR="007B55E6" w:rsidRPr="00BE09AA">
        <w:rPr>
          <w:rFonts w:ascii="Gill Sans MT" w:hAnsi="Gill Sans MT"/>
        </w:rPr>
        <w:t xml:space="preserve">political </w:t>
      </w:r>
      <w:r w:rsidR="00266ABD">
        <w:rPr>
          <w:rFonts w:ascii="Gill Sans MT" w:hAnsi="Gill Sans MT"/>
        </w:rPr>
        <w:t>consequences</w:t>
      </w:r>
      <w:r w:rsidR="005B7DA3">
        <w:rPr>
          <w:rFonts w:ascii="Gill Sans MT" w:hAnsi="Gill Sans MT"/>
        </w:rPr>
        <w:t xml:space="preserve">: </w:t>
      </w:r>
      <w:r w:rsidR="007B55E6" w:rsidRPr="00BE09AA">
        <w:rPr>
          <w:rFonts w:ascii="Gill Sans MT" w:hAnsi="Gill Sans MT"/>
        </w:rPr>
        <w:t xml:space="preserve">the ability of the Conservative Party to win </w:t>
      </w:r>
      <w:r w:rsidR="00BE09AA">
        <w:rPr>
          <w:rFonts w:ascii="Gill Sans MT" w:hAnsi="Gill Sans MT"/>
        </w:rPr>
        <w:t>significant backing from Brexit supporters</w:t>
      </w:r>
      <w:r w:rsidR="007B55E6" w:rsidRPr="00BE09AA">
        <w:rPr>
          <w:rFonts w:ascii="Gill Sans MT" w:hAnsi="Gill Sans MT"/>
        </w:rPr>
        <w:t xml:space="preserve"> in </w:t>
      </w:r>
      <w:r w:rsidR="00BE09AA">
        <w:rPr>
          <w:rFonts w:ascii="Gill Sans MT" w:hAnsi="Gill Sans MT"/>
        </w:rPr>
        <w:t xml:space="preserve">parts of </w:t>
      </w:r>
      <w:r w:rsidR="007B55E6" w:rsidRPr="00BE09AA">
        <w:rPr>
          <w:rFonts w:ascii="Gill Sans MT" w:hAnsi="Gill Sans MT"/>
        </w:rPr>
        <w:t xml:space="preserve">northern </w:t>
      </w:r>
      <w:r w:rsidR="00BE09AA">
        <w:rPr>
          <w:rFonts w:ascii="Gill Sans MT" w:hAnsi="Gill Sans MT"/>
        </w:rPr>
        <w:t>England</w:t>
      </w:r>
      <w:r w:rsidR="007B55E6" w:rsidRPr="00BE09AA">
        <w:rPr>
          <w:rFonts w:ascii="Gill Sans MT" w:hAnsi="Gill Sans MT"/>
        </w:rPr>
        <w:t xml:space="preserve"> </w:t>
      </w:r>
      <w:r w:rsidR="00377D4B" w:rsidRPr="00BE09AA">
        <w:rPr>
          <w:rFonts w:ascii="Gill Sans MT" w:hAnsi="Gill Sans MT"/>
        </w:rPr>
        <w:t>in 2019</w:t>
      </w:r>
      <w:r w:rsidR="007B55E6" w:rsidRPr="00BE09AA">
        <w:rPr>
          <w:rFonts w:ascii="Gill Sans MT" w:hAnsi="Gill Sans MT"/>
        </w:rPr>
        <w:t xml:space="preserve">, the strengthening </w:t>
      </w:r>
      <w:r w:rsidR="00377D4B" w:rsidRPr="00BE09AA">
        <w:rPr>
          <w:rFonts w:ascii="Gill Sans MT" w:hAnsi="Gill Sans MT"/>
        </w:rPr>
        <w:t>of incumbent devolved governments in Scotland and Wales in the 2021 devolved elections, the continuing splits in the DUP in Northern Ireland over the Protocol</w:t>
      </w:r>
      <w:r w:rsidR="00266ABD">
        <w:rPr>
          <w:rFonts w:ascii="Gill Sans MT" w:hAnsi="Gill Sans MT"/>
        </w:rPr>
        <w:t xml:space="preserve"> making devolved government there precarious</w:t>
      </w:r>
      <w:r w:rsidR="00377D4B" w:rsidRPr="00BE09AA">
        <w:rPr>
          <w:rFonts w:ascii="Gill Sans MT" w:hAnsi="Gill Sans MT"/>
        </w:rPr>
        <w:t>.</w:t>
      </w:r>
      <w:r w:rsidR="00377D4B" w:rsidRPr="007103BE">
        <w:rPr>
          <w:rFonts w:ascii="Gill Sans MT" w:hAnsi="Gill Sans MT"/>
          <w:b/>
          <w:bCs/>
        </w:rPr>
        <w:t xml:space="preserve">  </w:t>
      </w:r>
      <w:r w:rsidR="00377D4B">
        <w:rPr>
          <w:rFonts w:ascii="Gill Sans MT" w:hAnsi="Gill Sans MT"/>
        </w:rPr>
        <w:t xml:space="preserve">At </w:t>
      </w:r>
      <w:r w:rsidR="00BE09AA">
        <w:rPr>
          <w:rFonts w:ascii="Gill Sans MT" w:hAnsi="Gill Sans MT"/>
        </w:rPr>
        <w:t xml:space="preserve">the </w:t>
      </w:r>
      <w:r w:rsidR="00377D4B">
        <w:rPr>
          <w:rFonts w:ascii="Gill Sans MT" w:hAnsi="Gill Sans MT"/>
        </w:rPr>
        <w:t xml:space="preserve">UK level </w:t>
      </w:r>
      <w:r w:rsidR="00BE09AA">
        <w:rPr>
          <w:rFonts w:ascii="Gill Sans MT" w:hAnsi="Gill Sans MT"/>
        </w:rPr>
        <w:t>reform is planned</w:t>
      </w:r>
      <w:r w:rsidR="00377D4B">
        <w:rPr>
          <w:rFonts w:ascii="Gill Sans MT" w:hAnsi="Gill Sans MT"/>
        </w:rPr>
        <w:t xml:space="preserve"> to </w:t>
      </w:r>
      <w:r w:rsidR="00BE09AA">
        <w:rPr>
          <w:rFonts w:ascii="Gill Sans MT" w:hAnsi="Gill Sans MT"/>
        </w:rPr>
        <w:t xml:space="preserve">the </w:t>
      </w:r>
      <w:r w:rsidR="00377D4B">
        <w:rPr>
          <w:rFonts w:ascii="Gill Sans MT" w:hAnsi="Gill Sans MT"/>
        </w:rPr>
        <w:t xml:space="preserve">process for calling elections after </w:t>
      </w:r>
      <w:r w:rsidR="00266ABD">
        <w:rPr>
          <w:rFonts w:ascii="Gill Sans MT" w:hAnsi="Gill Sans MT"/>
        </w:rPr>
        <w:t xml:space="preserve">the </w:t>
      </w:r>
      <w:r w:rsidR="00377D4B">
        <w:rPr>
          <w:rFonts w:ascii="Gill Sans MT" w:hAnsi="Gill Sans MT"/>
        </w:rPr>
        <w:t xml:space="preserve">Brexit stalemates, empowering </w:t>
      </w:r>
      <w:r>
        <w:rPr>
          <w:rFonts w:ascii="Gill Sans MT" w:hAnsi="Gill Sans MT"/>
        </w:rPr>
        <w:t>the Prime Minister</w:t>
      </w:r>
      <w:r w:rsidR="00377D4B">
        <w:rPr>
          <w:rFonts w:ascii="Gill Sans MT" w:hAnsi="Gill Sans MT"/>
        </w:rPr>
        <w:t xml:space="preserve"> at the expense of </w:t>
      </w:r>
      <w:r>
        <w:rPr>
          <w:rFonts w:ascii="Gill Sans MT" w:hAnsi="Gill Sans MT"/>
        </w:rPr>
        <w:t>Parliament</w:t>
      </w:r>
      <w:r w:rsidR="00377D4B">
        <w:rPr>
          <w:rFonts w:ascii="Gill Sans MT" w:hAnsi="Gill Sans MT"/>
        </w:rPr>
        <w:t>,</w:t>
      </w:r>
      <w:r w:rsidR="00BE09AA">
        <w:rPr>
          <w:rStyle w:val="FootnoteReference"/>
          <w:rFonts w:ascii="Gill Sans MT" w:hAnsi="Gill Sans MT"/>
        </w:rPr>
        <w:footnoteReference w:id="66"/>
      </w:r>
      <w:r w:rsidR="00377D4B">
        <w:rPr>
          <w:rFonts w:ascii="Gill Sans MT" w:hAnsi="Gill Sans MT"/>
        </w:rPr>
        <w:t xml:space="preserve"> and</w:t>
      </w:r>
      <w:r>
        <w:rPr>
          <w:rFonts w:ascii="Gill Sans MT" w:hAnsi="Gill Sans MT"/>
        </w:rPr>
        <w:t xml:space="preserve"> also</w:t>
      </w:r>
      <w:r w:rsidR="00377D4B">
        <w:rPr>
          <w:rFonts w:ascii="Gill Sans MT" w:hAnsi="Gill Sans MT"/>
        </w:rPr>
        <w:t xml:space="preserve"> to the power of the courts, although </w:t>
      </w:r>
      <w:r w:rsidR="00A83A13">
        <w:rPr>
          <w:rFonts w:ascii="Gill Sans MT" w:hAnsi="Gill Sans MT"/>
        </w:rPr>
        <w:t xml:space="preserve">seemingly </w:t>
      </w:r>
      <w:r w:rsidR="00377D4B">
        <w:rPr>
          <w:rFonts w:ascii="Gill Sans MT" w:hAnsi="Gill Sans MT"/>
        </w:rPr>
        <w:t>relatively narrow in scope</w:t>
      </w:r>
      <w:r w:rsidR="00A83A13">
        <w:rPr>
          <w:rFonts w:ascii="Gill Sans MT" w:hAnsi="Gill Sans MT"/>
        </w:rPr>
        <w:t xml:space="preserve"> and effects.</w:t>
      </w:r>
      <w:r w:rsidR="00BE09AA">
        <w:rPr>
          <w:rStyle w:val="FootnoteReference"/>
          <w:rFonts w:ascii="Gill Sans MT" w:hAnsi="Gill Sans MT"/>
        </w:rPr>
        <w:footnoteReference w:id="67"/>
      </w:r>
      <w:r w:rsidR="008C306B">
        <w:rPr>
          <w:rFonts w:ascii="Gill Sans MT" w:hAnsi="Gill Sans MT"/>
        </w:rPr>
        <w:t xml:space="preserve">  </w:t>
      </w:r>
      <w:r w:rsidR="005D7692">
        <w:rPr>
          <w:rFonts w:ascii="Gill Sans MT" w:hAnsi="Gill Sans MT"/>
        </w:rPr>
        <w:t xml:space="preserve">From </w:t>
      </w:r>
      <w:r w:rsidR="003662ED">
        <w:rPr>
          <w:rFonts w:ascii="Gill Sans MT" w:hAnsi="Gill Sans MT"/>
        </w:rPr>
        <w:t>this</w:t>
      </w:r>
      <w:r w:rsidR="005D7692">
        <w:rPr>
          <w:rFonts w:ascii="Gill Sans MT" w:hAnsi="Gill Sans MT"/>
        </w:rPr>
        <w:t xml:space="preserve"> perspective </w:t>
      </w:r>
      <w:r w:rsidR="003662ED">
        <w:rPr>
          <w:rFonts w:ascii="Gill Sans MT" w:hAnsi="Gill Sans MT"/>
        </w:rPr>
        <w:t>the legacy of the Brexit process</w:t>
      </w:r>
      <w:r w:rsidR="009203AB">
        <w:rPr>
          <w:rFonts w:ascii="Gill Sans MT" w:hAnsi="Gill Sans MT"/>
        </w:rPr>
        <w:t xml:space="preserve"> reinforces the idea that</w:t>
      </w:r>
      <w:r w:rsidR="00036B19">
        <w:rPr>
          <w:rFonts w:ascii="Gill Sans MT" w:hAnsi="Gill Sans MT"/>
        </w:rPr>
        <w:t xml:space="preserve"> the operation of the UK’s parliamentary system of government is a function of the politics of the moment, defined by the results of one referendum and two general election</w:t>
      </w:r>
      <w:r w:rsidR="00266ABD">
        <w:rPr>
          <w:rFonts w:ascii="Gill Sans MT" w:hAnsi="Gill Sans MT"/>
        </w:rPr>
        <w:t xml:space="preserve">s, showing </w:t>
      </w:r>
      <w:r w:rsidR="00036B19">
        <w:rPr>
          <w:rFonts w:ascii="Gill Sans MT" w:hAnsi="Gill Sans MT"/>
        </w:rPr>
        <w:t xml:space="preserve">the </w:t>
      </w:r>
      <w:r w:rsidR="009203AB">
        <w:rPr>
          <w:rFonts w:ascii="Gill Sans MT" w:hAnsi="Gill Sans MT"/>
        </w:rPr>
        <w:t>institutional divisions</w:t>
      </w:r>
      <w:r w:rsidR="00036B19">
        <w:rPr>
          <w:rFonts w:ascii="Gill Sans MT" w:hAnsi="Gill Sans MT"/>
        </w:rPr>
        <w:t xml:space="preserve"> exhibited </w:t>
      </w:r>
      <w:r w:rsidR="009203AB">
        <w:rPr>
          <w:rFonts w:ascii="Gill Sans MT" w:hAnsi="Gill Sans MT"/>
        </w:rPr>
        <w:t xml:space="preserve">especially </w:t>
      </w:r>
      <w:r w:rsidR="00036B19">
        <w:rPr>
          <w:rFonts w:ascii="Gill Sans MT" w:hAnsi="Gill Sans MT"/>
        </w:rPr>
        <w:t xml:space="preserve">between 2017 and 2019 can disappear as decisively as </w:t>
      </w:r>
      <w:r w:rsidR="009203AB">
        <w:rPr>
          <w:rFonts w:ascii="Gill Sans MT" w:hAnsi="Gill Sans MT"/>
        </w:rPr>
        <w:t>they</w:t>
      </w:r>
      <w:r w:rsidR="00036B19">
        <w:rPr>
          <w:rFonts w:ascii="Gill Sans MT" w:hAnsi="Gill Sans MT"/>
        </w:rPr>
        <w:t xml:space="preserve"> emerged.</w:t>
      </w:r>
      <w:r w:rsidR="009203AB">
        <w:rPr>
          <w:rFonts w:ascii="Gill Sans MT" w:hAnsi="Gill Sans MT"/>
        </w:rPr>
        <w:t xml:space="preserve">  However, a return to the prior status quo at the UK level is only likely to exacerbate tensions with the devolved institutions, given the </w:t>
      </w:r>
      <w:r w:rsidR="005B7DA3">
        <w:rPr>
          <w:rFonts w:ascii="Gill Sans MT" w:hAnsi="Gill Sans MT"/>
        </w:rPr>
        <w:t>detrimental impacts of Brexit on</w:t>
      </w:r>
      <w:r w:rsidR="009203AB">
        <w:rPr>
          <w:rFonts w:ascii="Gill Sans MT" w:hAnsi="Gill Sans MT"/>
        </w:rPr>
        <w:t xml:space="preserve"> the devolution settlement.</w:t>
      </w:r>
    </w:p>
    <w:p w14:paraId="0BFE02D1" w14:textId="020D26E8" w:rsidR="00BB235D" w:rsidRDefault="00BB235D" w:rsidP="00BB235D">
      <w:pPr>
        <w:spacing w:after="0"/>
        <w:rPr>
          <w:rFonts w:ascii="Gill Sans MT" w:hAnsi="Gill Sans MT"/>
        </w:rPr>
      </w:pPr>
    </w:p>
    <w:p w14:paraId="4D9A45FB" w14:textId="2FC1007D" w:rsidR="00912339" w:rsidRDefault="00912339" w:rsidP="00BB235D">
      <w:pPr>
        <w:spacing w:after="0"/>
        <w:rPr>
          <w:rFonts w:ascii="Gill Sans MT" w:hAnsi="Gill Sans MT"/>
        </w:rPr>
      </w:pPr>
      <w:r>
        <w:rPr>
          <w:rFonts w:ascii="Gill Sans MT" w:hAnsi="Gill Sans MT"/>
        </w:rPr>
        <w:t>(ii) Realignment</w:t>
      </w:r>
      <w:r w:rsidR="005B7DA3">
        <w:rPr>
          <w:rFonts w:ascii="Gill Sans MT" w:hAnsi="Gill Sans MT"/>
        </w:rPr>
        <w:t xml:space="preserve"> </w:t>
      </w:r>
      <w:r>
        <w:rPr>
          <w:rFonts w:ascii="Gill Sans MT" w:hAnsi="Gill Sans MT"/>
        </w:rPr>
        <w:t>of the state</w:t>
      </w:r>
    </w:p>
    <w:p w14:paraId="32D673F9" w14:textId="682BE621" w:rsidR="00912339" w:rsidRDefault="00912339" w:rsidP="00BB235D">
      <w:pPr>
        <w:spacing w:after="0"/>
        <w:rPr>
          <w:rFonts w:ascii="Gill Sans MT" w:hAnsi="Gill Sans MT"/>
        </w:rPr>
      </w:pPr>
    </w:p>
    <w:p w14:paraId="1D3737F7" w14:textId="08F63B7E" w:rsidR="005B7DA3" w:rsidRDefault="00600495" w:rsidP="007404E0">
      <w:pPr>
        <w:spacing w:after="0"/>
        <w:jc w:val="both"/>
        <w:rPr>
          <w:rFonts w:ascii="Gill Sans MT" w:hAnsi="Gill Sans MT"/>
        </w:rPr>
      </w:pPr>
      <w:r>
        <w:rPr>
          <w:rFonts w:ascii="Gill Sans MT" w:hAnsi="Gill Sans MT"/>
        </w:rPr>
        <w:t>The tensions between the UK and the devolved institutions during the Brexit process have reignited debates about the future viability of the state in its current form.  In Scotland, the SNP government argues that Brexit has been a material change of circumstances which justifie</w:t>
      </w:r>
      <w:r w:rsidR="00A72BB8">
        <w:rPr>
          <w:rFonts w:ascii="Gill Sans MT" w:hAnsi="Gill Sans MT"/>
        </w:rPr>
        <w:t>s</w:t>
      </w:r>
      <w:r>
        <w:rPr>
          <w:rFonts w:ascii="Gill Sans MT" w:hAnsi="Gill Sans MT"/>
        </w:rPr>
        <w:t xml:space="preserve"> an urgent second independence referendum since the first in 2014.</w:t>
      </w:r>
      <w:r>
        <w:rPr>
          <w:rStyle w:val="FootnoteReference"/>
          <w:rFonts w:ascii="Gill Sans MT" w:hAnsi="Gill Sans MT"/>
        </w:rPr>
        <w:footnoteReference w:id="68"/>
      </w:r>
      <w:r>
        <w:rPr>
          <w:rFonts w:ascii="Gill Sans MT" w:hAnsi="Gill Sans MT"/>
        </w:rPr>
        <w:t xml:space="preserve">  In Northern Ireland, the changed relationship with the Republic of Ireland </w:t>
      </w:r>
      <w:r w:rsidR="007404E0">
        <w:rPr>
          <w:rFonts w:ascii="Gill Sans MT" w:hAnsi="Gill Sans MT"/>
        </w:rPr>
        <w:t xml:space="preserve">(and indeed, with the rest of Great Britain by virtue of the Withdrawal Agreement Protocol) </w:t>
      </w:r>
      <w:r>
        <w:rPr>
          <w:rFonts w:ascii="Gill Sans MT" w:hAnsi="Gill Sans MT"/>
        </w:rPr>
        <w:t>may shift opinions on the desirability of reunification, with the potential for a border poll to be held</w:t>
      </w:r>
      <w:r w:rsidR="007404E0">
        <w:rPr>
          <w:rFonts w:ascii="Gill Sans MT" w:hAnsi="Gill Sans MT"/>
        </w:rPr>
        <w:t xml:space="preserve"> under the existing devolution settlement.</w:t>
      </w:r>
      <w:r w:rsidR="007404E0">
        <w:rPr>
          <w:rStyle w:val="FootnoteReference"/>
          <w:rFonts w:ascii="Gill Sans MT" w:hAnsi="Gill Sans MT"/>
        </w:rPr>
        <w:footnoteReference w:id="69"/>
      </w:r>
      <w:r w:rsidR="007404E0">
        <w:rPr>
          <w:rFonts w:ascii="Gill Sans MT" w:hAnsi="Gill Sans MT"/>
        </w:rPr>
        <w:t xml:space="preserve">  And in Wales, the Labour government now promotes the idea of shared sovereignty within the UK, using this rhetoric in support of a vision of the union which sees greater power and autonomy passed to governments and </w:t>
      </w:r>
      <w:r w:rsidR="007404E0">
        <w:rPr>
          <w:rFonts w:ascii="Gill Sans MT" w:hAnsi="Gill Sans MT"/>
        </w:rPr>
        <w:lastRenderedPageBreak/>
        <w:t>legislatures within the constituent nations.</w:t>
      </w:r>
      <w:r w:rsidR="007404E0">
        <w:rPr>
          <w:rStyle w:val="FootnoteReference"/>
          <w:rFonts w:ascii="Gill Sans MT" w:hAnsi="Gill Sans MT"/>
        </w:rPr>
        <w:footnoteReference w:id="70"/>
      </w:r>
      <w:r w:rsidR="007404E0">
        <w:rPr>
          <w:rFonts w:ascii="Gill Sans MT" w:hAnsi="Gill Sans MT"/>
        </w:rPr>
        <w:t xml:space="preserve">  To varying degrees, therefore, the devolved institutions reject the current devolution arrangements, with the possible dissipation of the UK a much more real prospect than prior to withdrawal from the EU.</w:t>
      </w:r>
    </w:p>
    <w:p w14:paraId="05B26576" w14:textId="7EFB0CA0" w:rsidR="004B5155" w:rsidRDefault="007404E0" w:rsidP="00BE1554">
      <w:pPr>
        <w:spacing w:after="0"/>
        <w:jc w:val="both"/>
        <w:rPr>
          <w:rFonts w:ascii="Gill Sans MT" w:hAnsi="Gill Sans MT"/>
        </w:rPr>
      </w:pPr>
      <w:r>
        <w:rPr>
          <w:rFonts w:ascii="Gill Sans MT" w:hAnsi="Gill Sans MT"/>
        </w:rPr>
        <w:tab/>
      </w:r>
      <w:r w:rsidR="0080249D">
        <w:rPr>
          <w:rFonts w:ascii="Gill Sans MT" w:hAnsi="Gill Sans MT"/>
        </w:rPr>
        <w:t xml:space="preserve">However, there are </w:t>
      </w:r>
      <w:r w:rsidR="00BE1554">
        <w:rPr>
          <w:rFonts w:ascii="Gill Sans MT" w:hAnsi="Gill Sans MT"/>
        </w:rPr>
        <w:t>some significant</w:t>
      </w:r>
      <w:r w:rsidR="0080249D">
        <w:rPr>
          <w:rFonts w:ascii="Gill Sans MT" w:hAnsi="Gill Sans MT"/>
        </w:rPr>
        <w:t xml:space="preserve"> barriers</w:t>
      </w:r>
      <w:r w:rsidR="00BE1554">
        <w:rPr>
          <w:rFonts w:ascii="Gill Sans MT" w:hAnsi="Gill Sans MT"/>
        </w:rPr>
        <w:t xml:space="preserve"> to the break</w:t>
      </w:r>
      <w:r w:rsidR="00A72BB8">
        <w:rPr>
          <w:rFonts w:ascii="Gill Sans MT" w:hAnsi="Gill Sans MT"/>
        </w:rPr>
        <w:t>-</w:t>
      </w:r>
      <w:r w:rsidR="00BE1554">
        <w:rPr>
          <w:rFonts w:ascii="Gill Sans MT" w:hAnsi="Gill Sans MT"/>
        </w:rPr>
        <w:t>up of the UK.  One is the very nature of de</w:t>
      </w:r>
      <w:r w:rsidR="004B5155">
        <w:rPr>
          <w:rFonts w:ascii="Gill Sans MT" w:hAnsi="Gill Sans MT"/>
        </w:rPr>
        <w:t>volution as a legal structure</w:t>
      </w:r>
      <w:r w:rsidR="00BE1554">
        <w:rPr>
          <w:rFonts w:ascii="Gill Sans MT" w:hAnsi="Gill Sans MT"/>
        </w:rPr>
        <w:t>.  The system is based on the</w:t>
      </w:r>
      <w:r w:rsidR="004B5155">
        <w:rPr>
          <w:rFonts w:ascii="Gill Sans MT" w:hAnsi="Gill Sans MT"/>
        </w:rPr>
        <w:t xml:space="preserve"> sovereignty of UK P</w:t>
      </w:r>
      <w:r w:rsidR="00BE1554">
        <w:rPr>
          <w:rFonts w:ascii="Gill Sans MT" w:hAnsi="Gill Sans MT"/>
        </w:rPr>
        <w:t>arliament</w:t>
      </w:r>
      <w:r w:rsidR="004B5155">
        <w:rPr>
          <w:rFonts w:ascii="Gill Sans MT" w:hAnsi="Gill Sans MT"/>
        </w:rPr>
        <w:t xml:space="preserve"> not that of the devolved institutions</w:t>
      </w:r>
      <w:r w:rsidR="00BE1554">
        <w:rPr>
          <w:rFonts w:ascii="Gill Sans MT" w:hAnsi="Gill Sans MT"/>
        </w:rPr>
        <w:t xml:space="preserve">, and this means in effect there are legal limits on independence.  In Scotland, authority to hold the 2014 independence referendum was explicitly negotiated with, and </w:t>
      </w:r>
      <w:r w:rsidR="0070554A">
        <w:rPr>
          <w:rFonts w:ascii="Gill Sans MT" w:hAnsi="Gill Sans MT"/>
        </w:rPr>
        <w:t>conferred</w:t>
      </w:r>
      <w:r w:rsidR="00BE1554">
        <w:rPr>
          <w:rFonts w:ascii="Gill Sans MT" w:hAnsi="Gill Sans MT"/>
        </w:rPr>
        <w:t xml:space="preserve"> by, the UK government.</w:t>
      </w:r>
      <w:r w:rsidR="00C53A98">
        <w:rPr>
          <w:rStyle w:val="FootnoteReference"/>
          <w:rFonts w:ascii="Gill Sans MT" w:hAnsi="Gill Sans MT"/>
        </w:rPr>
        <w:footnoteReference w:id="71"/>
      </w:r>
      <w:r w:rsidR="00BE1554">
        <w:rPr>
          <w:rFonts w:ascii="Gill Sans MT" w:hAnsi="Gill Sans MT"/>
        </w:rPr>
        <w:t xml:space="preserve">  There are debates about whether a consultative referendum could be called unilaterally by Act of the Scottish Parliament, although the Inner House of the Court of Session has appeared to suggest this would be a legislative long shot.</w:t>
      </w:r>
      <w:r w:rsidR="00BE1554">
        <w:rPr>
          <w:rStyle w:val="FootnoteReference"/>
          <w:rFonts w:ascii="Gill Sans MT" w:hAnsi="Gill Sans MT"/>
        </w:rPr>
        <w:footnoteReference w:id="72"/>
      </w:r>
      <w:r w:rsidR="00BE1554">
        <w:rPr>
          <w:rFonts w:ascii="Gill Sans MT" w:hAnsi="Gill Sans MT"/>
        </w:rPr>
        <w:t xml:space="preserve"> </w:t>
      </w:r>
      <w:r w:rsidR="004B5155">
        <w:rPr>
          <w:rFonts w:ascii="Gill Sans MT" w:hAnsi="Gill Sans MT"/>
        </w:rPr>
        <w:t xml:space="preserve"> </w:t>
      </w:r>
      <w:r w:rsidR="00BE1554">
        <w:rPr>
          <w:rFonts w:ascii="Gill Sans MT" w:hAnsi="Gill Sans MT"/>
        </w:rPr>
        <w:t>In Northern Ireland the standing power to hold a referendum on reunification is vested in the UK Secretary of State, yet the Northern Ireland Court of Appeal has held there is no legal requirement to publish a policy on when that discretion might be exercised.</w:t>
      </w:r>
      <w:r w:rsidR="00BE1554">
        <w:rPr>
          <w:rStyle w:val="FootnoteReference"/>
          <w:rFonts w:ascii="Gill Sans MT" w:hAnsi="Gill Sans MT"/>
        </w:rPr>
        <w:footnoteReference w:id="73"/>
      </w:r>
    </w:p>
    <w:p w14:paraId="4BFD0F38" w14:textId="3E8DCF7A" w:rsidR="007404E0" w:rsidRDefault="00C53A98" w:rsidP="000C2FA9">
      <w:pPr>
        <w:spacing w:after="0"/>
        <w:jc w:val="both"/>
        <w:rPr>
          <w:rFonts w:ascii="Gill Sans MT" w:hAnsi="Gill Sans MT"/>
        </w:rPr>
      </w:pPr>
      <w:r>
        <w:rPr>
          <w:rFonts w:ascii="Gill Sans MT" w:hAnsi="Gill Sans MT"/>
        </w:rPr>
        <w:tab/>
        <w:t xml:space="preserve">There is much uncertainty, but any shifts here would require </w:t>
      </w:r>
      <w:r w:rsidR="004B5155">
        <w:rPr>
          <w:rFonts w:ascii="Gill Sans MT" w:hAnsi="Gill Sans MT"/>
        </w:rPr>
        <w:t>political rather than legal solution</w:t>
      </w:r>
      <w:r>
        <w:rPr>
          <w:rFonts w:ascii="Gill Sans MT" w:hAnsi="Gill Sans MT"/>
        </w:rPr>
        <w:t xml:space="preserve">s.  Yet this seems unlikely when the current UK government is </w:t>
      </w:r>
      <w:r w:rsidR="007C5D6E">
        <w:rPr>
          <w:rFonts w:ascii="Gill Sans MT" w:hAnsi="Gill Sans MT"/>
        </w:rPr>
        <w:t>pursuing</w:t>
      </w:r>
      <w:r w:rsidR="007404E0">
        <w:rPr>
          <w:rFonts w:ascii="Gill Sans MT" w:hAnsi="Gill Sans MT"/>
        </w:rPr>
        <w:t xml:space="preserve"> a strategy of</w:t>
      </w:r>
      <w:r w:rsidR="007404E0">
        <w:rPr>
          <w:rFonts w:ascii="Gill Sans MT" w:hAnsi="Gill Sans MT"/>
        </w:rPr>
        <w:t xml:space="preserve"> </w:t>
      </w:r>
      <w:r>
        <w:rPr>
          <w:rFonts w:ascii="Gill Sans MT" w:hAnsi="Gill Sans MT"/>
        </w:rPr>
        <w:t>‘</w:t>
      </w:r>
      <w:r w:rsidR="007404E0">
        <w:rPr>
          <w:rFonts w:ascii="Gill Sans MT" w:hAnsi="Gill Sans MT"/>
        </w:rPr>
        <w:t>muscular</w:t>
      </w:r>
      <w:r>
        <w:rPr>
          <w:rFonts w:ascii="Gill Sans MT" w:hAnsi="Gill Sans MT"/>
        </w:rPr>
        <w:t>’</w:t>
      </w:r>
      <w:r w:rsidR="007404E0">
        <w:rPr>
          <w:rFonts w:ascii="Gill Sans MT" w:hAnsi="Gill Sans MT"/>
        </w:rPr>
        <w:t xml:space="preserve"> or tone deaf unionism</w:t>
      </w:r>
      <w:r>
        <w:rPr>
          <w:rFonts w:ascii="Gill Sans MT" w:hAnsi="Gill Sans MT"/>
        </w:rPr>
        <w:t>, whether by ruling out authorising a second independence referendum in Scotland (despite pro-independence parties winning a majority of seats in the 2021 Scottish Parliament elections) or creating powers to fund major development projects in the</w:t>
      </w:r>
      <w:r w:rsidR="000D3EF1">
        <w:rPr>
          <w:rFonts w:ascii="Gill Sans MT" w:hAnsi="Gill Sans MT"/>
        </w:rPr>
        <w:t xml:space="preserve">se </w:t>
      </w:r>
      <w:r>
        <w:rPr>
          <w:rFonts w:ascii="Gill Sans MT" w:hAnsi="Gill Sans MT"/>
        </w:rPr>
        <w:t>nations while bypassing the devolved institutions.</w:t>
      </w:r>
      <w:r>
        <w:rPr>
          <w:rStyle w:val="FootnoteReference"/>
          <w:rFonts w:ascii="Gill Sans MT" w:hAnsi="Gill Sans MT"/>
        </w:rPr>
        <w:footnoteReference w:id="74"/>
      </w:r>
      <w:r>
        <w:rPr>
          <w:rFonts w:ascii="Gill Sans MT" w:hAnsi="Gill Sans MT"/>
        </w:rPr>
        <w:t xml:space="preserve">  The UK government is </w:t>
      </w:r>
      <w:r w:rsidR="0080249D">
        <w:rPr>
          <w:rFonts w:ascii="Gill Sans MT" w:hAnsi="Gill Sans MT"/>
        </w:rPr>
        <w:t xml:space="preserve">gesturing </w:t>
      </w:r>
      <w:r>
        <w:rPr>
          <w:rFonts w:ascii="Gill Sans MT" w:hAnsi="Gill Sans MT"/>
        </w:rPr>
        <w:t xml:space="preserve">(albeit pretty slowly) </w:t>
      </w:r>
      <w:r w:rsidR="0080249D">
        <w:rPr>
          <w:rFonts w:ascii="Gill Sans MT" w:hAnsi="Gill Sans MT"/>
        </w:rPr>
        <w:t>at modest reforms</w:t>
      </w:r>
      <w:r>
        <w:rPr>
          <w:rFonts w:ascii="Gill Sans MT" w:hAnsi="Gill Sans MT"/>
        </w:rPr>
        <w:t xml:space="preserve"> to the </w:t>
      </w:r>
      <w:r w:rsidR="0080249D">
        <w:rPr>
          <w:rFonts w:ascii="Gill Sans MT" w:eastAsia="Times New Roman" w:hAnsi="Gill Sans MT" w:cs="Times New Roman"/>
          <w:color w:val="000000"/>
          <w:lang w:eastAsia="en-GB"/>
        </w:rPr>
        <w:t>machinery</w:t>
      </w:r>
      <w:r>
        <w:rPr>
          <w:rFonts w:ascii="Gill Sans MT" w:eastAsia="Times New Roman" w:hAnsi="Gill Sans MT" w:cs="Times New Roman"/>
          <w:color w:val="000000"/>
          <w:lang w:eastAsia="en-GB"/>
        </w:rPr>
        <w:t xml:space="preserve"> for intergovernmental engagement, but still stopping short of proposing a model of decision-making which places the devolved institutions on an equal footing to those of the UK.</w:t>
      </w:r>
      <w:r>
        <w:rPr>
          <w:rStyle w:val="FootnoteReference"/>
          <w:rFonts w:ascii="Gill Sans MT" w:eastAsia="Times New Roman" w:hAnsi="Gill Sans MT" w:cs="Times New Roman"/>
          <w:color w:val="000000"/>
          <w:lang w:eastAsia="en-GB"/>
        </w:rPr>
        <w:footnoteReference w:id="75"/>
      </w:r>
      <w:r w:rsidR="000C2FA9">
        <w:rPr>
          <w:rFonts w:ascii="Gill Sans MT" w:eastAsia="Times New Roman" w:hAnsi="Gill Sans MT" w:cs="Times New Roman"/>
          <w:color w:val="000000"/>
          <w:lang w:eastAsia="en-GB"/>
        </w:rPr>
        <w:t xml:space="preserve">  The devolution settlement may therefore provide the basis for continued division </w:t>
      </w:r>
      <w:r w:rsidR="0070554A">
        <w:rPr>
          <w:rFonts w:ascii="Gill Sans MT" w:eastAsia="Times New Roman" w:hAnsi="Gill Sans MT" w:cs="Times New Roman"/>
          <w:color w:val="000000"/>
          <w:lang w:eastAsia="en-GB"/>
        </w:rPr>
        <w:t>between</w:t>
      </w:r>
      <w:r w:rsidR="000C2FA9">
        <w:rPr>
          <w:rFonts w:ascii="Gill Sans MT" w:eastAsia="Times New Roman" w:hAnsi="Gill Sans MT" w:cs="Times New Roman"/>
          <w:color w:val="000000"/>
          <w:lang w:eastAsia="en-GB"/>
        </w:rPr>
        <w:t xml:space="preserve"> the </w:t>
      </w:r>
      <w:r w:rsidR="0070554A">
        <w:rPr>
          <w:rFonts w:ascii="Gill Sans MT" w:eastAsia="Times New Roman" w:hAnsi="Gill Sans MT" w:cs="Times New Roman"/>
          <w:color w:val="000000"/>
          <w:lang w:eastAsia="en-GB"/>
        </w:rPr>
        <w:t>institutions of government in the UK, Scotland, Wales and Northern Ireland</w:t>
      </w:r>
      <w:r w:rsidR="000C2FA9">
        <w:rPr>
          <w:rFonts w:ascii="Gill Sans MT" w:eastAsia="Times New Roman" w:hAnsi="Gill Sans MT" w:cs="Times New Roman"/>
          <w:color w:val="000000"/>
          <w:lang w:eastAsia="en-GB"/>
        </w:rPr>
        <w:t xml:space="preserve">, while also failing to </w:t>
      </w:r>
      <w:r w:rsidR="0070554A">
        <w:rPr>
          <w:rFonts w:ascii="Gill Sans MT" w:eastAsia="Times New Roman" w:hAnsi="Gill Sans MT" w:cs="Times New Roman"/>
          <w:color w:val="000000"/>
          <w:lang w:eastAsia="en-GB"/>
        </w:rPr>
        <w:t>offer</w:t>
      </w:r>
      <w:r w:rsidR="000C2FA9">
        <w:rPr>
          <w:rFonts w:ascii="Gill Sans MT" w:eastAsia="Times New Roman" w:hAnsi="Gill Sans MT" w:cs="Times New Roman"/>
          <w:color w:val="000000"/>
          <w:lang w:eastAsia="en-GB"/>
        </w:rPr>
        <w:t xml:space="preserve"> a framework which meet</w:t>
      </w:r>
      <w:r w:rsidR="0070554A">
        <w:rPr>
          <w:rFonts w:ascii="Gill Sans MT" w:eastAsia="Times New Roman" w:hAnsi="Gill Sans MT" w:cs="Times New Roman"/>
          <w:color w:val="000000"/>
          <w:lang w:eastAsia="en-GB"/>
        </w:rPr>
        <w:t>s</w:t>
      </w:r>
      <w:r w:rsidR="000C2FA9">
        <w:rPr>
          <w:rFonts w:ascii="Gill Sans MT" w:eastAsia="Times New Roman" w:hAnsi="Gill Sans MT" w:cs="Times New Roman"/>
          <w:color w:val="000000"/>
          <w:lang w:eastAsia="en-GB"/>
        </w:rPr>
        <w:t xml:space="preserve"> the aspirations of many in the devolved nations for their post-Brexit governance.</w:t>
      </w:r>
    </w:p>
    <w:p w14:paraId="2F297B7D" w14:textId="6573242E" w:rsidR="004B5155" w:rsidRDefault="004B5155" w:rsidP="00BB235D">
      <w:pPr>
        <w:spacing w:after="0"/>
        <w:rPr>
          <w:rFonts w:ascii="Gill Sans MT" w:hAnsi="Gill Sans MT"/>
        </w:rPr>
      </w:pPr>
    </w:p>
    <w:p w14:paraId="55E9068C" w14:textId="46594675" w:rsidR="00D97C5E" w:rsidRDefault="004B5155" w:rsidP="00865C3E">
      <w:pPr>
        <w:spacing w:after="0"/>
        <w:rPr>
          <w:rFonts w:ascii="Gill Sans MT" w:hAnsi="Gill Sans MT"/>
        </w:rPr>
      </w:pPr>
      <w:r>
        <w:rPr>
          <w:rFonts w:ascii="Gill Sans MT" w:hAnsi="Gill Sans MT"/>
        </w:rPr>
        <w:t>(iii)</w:t>
      </w:r>
      <w:r w:rsidR="00C26086">
        <w:rPr>
          <w:rFonts w:ascii="Gill Sans MT" w:hAnsi="Gill Sans MT"/>
        </w:rPr>
        <w:t xml:space="preserve"> Constitutional restructuring</w:t>
      </w:r>
    </w:p>
    <w:p w14:paraId="6218D2E6" w14:textId="6D5FB64A" w:rsidR="004B5155" w:rsidRDefault="004B5155" w:rsidP="00865C3E">
      <w:pPr>
        <w:spacing w:after="0"/>
        <w:rPr>
          <w:rFonts w:ascii="Gill Sans MT" w:hAnsi="Gill Sans MT"/>
        </w:rPr>
      </w:pPr>
    </w:p>
    <w:p w14:paraId="0BE134F0" w14:textId="274A56D8" w:rsidR="004B5155" w:rsidRDefault="0099042F" w:rsidP="000226CA">
      <w:pPr>
        <w:spacing w:after="0"/>
        <w:jc w:val="both"/>
        <w:rPr>
          <w:rFonts w:ascii="Gill Sans MT" w:hAnsi="Gill Sans MT"/>
        </w:rPr>
      </w:pPr>
      <w:r>
        <w:rPr>
          <w:rFonts w:ascii="Gill Sans MT" w:hAnsi="Gill Sans MT"/>
        </w:rPr>
        <w:t>A final consequence of Brexit may be renewed attention for constitutional reform to the UK’s internal arrangements in general.  The most elaborate proposals for a major restructuring of the UK constitution would involve codification of constitutional rules and federalisation of the devolution settlement.</w:t>
      </w:r>
      <w:r>
        <w:rPr>
          <w:rStyle w:val="FootnoteReference"/>
          <w:rFonts w:ascii="Gill Sans MT" w:hAnsi="Gill Sans MT"/>
        </w:rPr>
        <w:footnoteReference w:id="76"/>
      </w:r>
      <w:r>
        <w:rPr>
          <w:rFonts w:ascii="Gill Sans MT" w:hAnsi="Gill Sans MT"/>
        </w:rPr>
        <w:t xml:space="preserve">  Whether such things would have </w:t>
      </w:r>
      <w:r w:rsidR="00050645">
        <w:rPr>
          <w:rFonts w:ascii="Gill Sans MT" w:hAnsi="Gill Sans MT"/>
        </w:rPr>
        <w:t>prevented Brexit, or ensured a less divisive withdrawal process, is doubtful.  Yet even putting scepticism aside, any such major reform s</w:t>
      </w:r>
      <w:r w:rsidR="004B5155">
        <w:rPr>
          <w:rFonts w:ascii="Gill Sans MT" w:hAnsi="Gill Sans MT"/>
        </w:rPr>
        <w:t>eems very unlikely for now</w:t>
      </w:r>
      <w:r w:rsidR="00E90550">
        <w:rPr>
          <w:rFonts w:ascii="Gill Sans MT" w:hAnsi="Gill Sans MT"/>
        </w:rPr>
        <w:t xml:space="preserve"> – </w:t>
      </w:r>
      <w:r w:rsidR="00050645">
        <w:rPr>
          <w:rFonts w:ascii="Gill Sans MT" w:hAnsi="Gill Sans MT"/>
        </w:rPr>
        <w:t xml:space="preserve">there is clearly </w:t>
      </w:r>
      <w:r w:rsidR="00E90550">
        <w:rPr>
          <w:rFonts w:ascii="Gill Sans MT" w:hAnsi="Gill Sans MT"/>
        </w:rPr>
        <w:t xml:space="preserve">no political will </w:t>
      </w:r>
      <w:r w:rsidR="00050645">
        <w:rPr>
          <w:rFonts w:ascii="Gill Sans MT" w:hAnsi="Gill Sans MT"/>
        </w:rPr>
        <w:t>for this under the current</w:t>
      </w:r>
      <w:r w:rsidR="00E90550">
        <w:rPr>
          <w:rFonts w:ascii="Gill Sans MT" w:hAnsi="Gill Sans MT"/>
        </w:rPr>
        <w:t xml:space="preserve"> UK</w:t>
      </w:r>
      <w:r w:rsidR="00050645">
        <w:rPr>
          <w:rFonts w:ascii="Gill Sans MT" w:hAnsi="Gill Sans MT"/>
        </w:rPr>
        <w:t xml:space="preserve"> government</w:t>
      </w:r>
      <w:r w:rsidR="00E90550">
        <w:rPr>
          <w:rFonts w:ascii="Gill Sans MT" w:hAnsi="Gill Sans MT"/>
        </w:rPr>
        <w:t xml:space="preserve">, and </w:t>
      </w:r>
      <w:r w:rsidR="00050645">
        <w:rPr>
          <w:rFonts w:ascii="Gill Sans MT" w:hAnsi="Gill Sans MT"/>
        </w:rPr>
        <w:t xml:space="preserve">it is difficult to see how a federal model would satisfy </w:t>
      </w:r>
      <w:r w:rsidR="000226CA">
        <w:rPr>
          <w:rFonts w:ascii="Gill Sans MT" w:hAnsi="Gill Sans MT"/>
        </w:rPr>
        <w:t>pro-independence parties</w:t>
      </w:r>
      <w:r w:rsidR="00050645">
        <w:rPr>
          <w:rFonts w:ascii="Gill Sans MT" w:hAnsi="Gill Sans MT"/>
        </w:rPr>
        <w:t xml:space="preserve"> in Scotland, bypass divisions between unionists and nationalists in Northern Ireland, or </w:t>
      </w:r>
      <w:r w:rsidR="000226CA">
        <w:rPr>
          <w:rFonts w:ascii="Gill Sans MT" w:hAnsi="Gill Sans MT"/>
        </w:rPr>
        <w:t>cope with</w:t>
      </w:r>
      <w:r w:rsidR="00050645">
        <w:rPr>
          <w:rFonts w:ascii="Gill Sans MT" w:hAnsi="Gill Sans MT"/>
        </w:rPr>
        <w:t xml:space="preserve"> the absence of national government in </w:t>
      </w:r>
      <w:r w:rsidR="00E90550">
        <w:rPr>
          <w:rFonts w:ascii="Gill Sans MT" w:hAnsi="Gill Sans MT"/>
        </w:rPr>
        <w:t>England</w:t>
      </w:r>
      <w:r w:rsidR="000226CA">
        <w:rPr>
          <w:rFonts w:ascii="Gill Sans MT" w:hAnsi="Gill Sans MT"/>
        </w:rPr>
        <w:t xml:space="preserve">.  It is perhaps no </w:t>
      </w:r>
      <w:r w:rsidR="00E90550">
        <w:rPr>
          <w:rFonts w:ascii="Gill Sans MT" w:hAnsi="Gill Sans MT"/>
        </w:rPr>
        <w:t xml:space="preserve">surprise </w:t>
      </w:r>
      <w:r w:rsidR="000226CA">
        <w:rPr>
          <w:rFonts w:ascii="Gill Sans MT" w:hAnsi="Gill Sans MT"/>
        </w:rPr>
        <w:t xml:space="preserve">that the </w:t>
      </w:r>
      <w:r w:rsidR="00E90550">
        <w:rPr>
          <w:rFonts w:ascii="Gill Sans MT" w:hAnsi="Gill Sans MT"/>
        </w:rPr>
        <w:t>Welsh Labour unionist gov</w:t>
      </w:r>
      <w:r w:rsidR="000226CA">
        <w:rPr>
          <w:rFonts w:ascii="Gill Sans MT" w:hAnsi="Gill Sans MT"/>
        </w:rPr>
        <w:t>ernment</w:t>
      </w:r>
      <w:r w:rsidR="00E90550">
        <w:rPr>
          <w:rFonts w:ascii="Gill Sans MT" w:hAnsi="Gill Sans MT"/>
        </w:rPr>
        <w:t xml:space="preserve"> is</w:t>
      </w:r>
      <w:r w:rsidR="000226CA">
        <w:rPr>
          <w:rFonts w:ascii="Gill Sans MT" w:hAnsi="Gill Sans MT"/>
        </w:rPr>
        <w:t xml:space="preserve"> the clearest</w:t>
      </w:r>
      <w:r w:rsidR="00E90550">
        <w:rPr>
          <w:rFonts w:ascii="Gill Sans MT" w:hAnsi="Gill Sans MT"/>
        </w:rPr>
        <w:t xml:space="preserve"> advocate, given the comparative weaknesses of Welsh devolution even after the Wales Act 2017</w:t>
      </w:r>
      <w:r w:rsidR="000226CA">
        <w:rPr>
          <w:rFonts w:ascii="Gill Sans MT" w:hAnsi="Gill Sans MT"/>
        </w:rPr>
        <w:t>.</w:t>
      </w:r>
    </w:p>
    <w:p w14:paraId="78110EB7" w14:textId="464902F1" w:rsidR="00E90550" w:rsidRDefault="00B72ABB" w:rsidP="00722C52">
      <w:pPr>
        <w:spacing w:after="0"/>
        <w:ind w:firstLine="720"/>
        <w:jc w:val="both"/>
        <w:rPr>
          <w:rFonts w:ascii="Gill Sans MT" w:hAnsi="Gill Sans MT"/>
        </w:rPr>
      </w:pPr>
      <w:r>
        <w:rPr>
          <w:rFonts w:ascii="Gill Sans MT" w:hAnsi="Gill Sans MT"/>
        </w:rPr>
        <w:t xml:space="preserve">There might be scope for </w:t>
      </w:r>
      <w:r w:rsidR="00EA17B7">
        <w:rPr>
          <w:rFonts w:ascii="Gill Sans MT" w:hAnsi="Gill Sans MT"/>
        </w:rPr>
        <w:t>more</w:t>
      </w:r>
      <w:r>
        <w:rPr>
          <w:rFonts w:ascii="Gill Sans MT" w:hAnsi="Gill Sans MT"/>
        </w:rPr>
        <w:t xml:space="preserve"> m</w:t>
      </w:r>
      <w:r w:rsidR="00E90550">
        <w:rPr>
          <w:rFonts w:ascii="Gill Sans MT" w:hAnsi="Gill Sans MT"/>
        </w:rPr>
        <w:t>odest reform</w:t>
      </w:r>
      <w:r>
        <w:rPr>
          <w:rFonts w:ascii="Gill Sans MT" w:hAnsi="Gill Sans MT"/>
        </w:rPr>
        <w:t>.  The long</w:t>
      </w:r>
      <w:r w:rsidR="00540C48">
        <w:rPr>
          <w:rFonts w:ascii="Gill Sans MT" w:hAnsi="Gill Sans MT"/>
        </w:rPr>
        <w:t>-</w:t>
      </w:r>
      <w:r>
        <w:rPr>
          <w:rFonts w:ascii="Gill Sans MT" w:hAnsi="Gill Sans MT"/>
        </w:rPr>
        <w:t xml:space="preserve">delayed </w:t>
      </w:r>
      <w:r w:rsidR="00E90550">
        <w:rPr>
          <w:rFonts w:ascii="Gill Sans MT" w:hAnsi="Gill Sans MT"/>
        </w:rPr>
        <w:t xml:space="preserve">Dunlop </w:t>
      </w:r>
      <w:r w:rsidR="00082AE7">
        <w:rPr>
          <w:rFonts w:ascii="Gill Sans MT" w:hAnsi="Gill Sans MT"/>
        </w:rPr>
        <w:t xml:space="preserve">review of UK (produced in 2019 but published in 2021) recommended a new UK Intergovernmental Council to replace the existing Joint Ministerial Committee structures, with a clear dispute handling process – yet Lord Dunlop did not favour formalising such a Council in statute, and emphasised that this approach to intergovernmental relations would still be about working towards consensus, rather than </w:t>
      </w:r>
      <w:r w:rsidR="00082AE7">
        <w:rPr>
          <w:rFonts w:ascii="Gill Sans MT" w:hAnsi="Gill Sans MT"/>
        </w:rPr>
        <w:lastRenderedPageBreak/>
        <w:t>introducing firm guarantees for devolved consent.</w:t>
      </w:r>
      <w:r w:rsidR="00082AE7">
        <w:rPr>
          <w:rStyle w:val="FootnoteReference"/>
          <w:rFonts w:ascii="Gill Sans MT" w:hAnsi="Gill Sans MT"/>
        </w:rPr>
        <w:footnoteReference w:id="77"/>
      </w:r>
      <w:r w:rsidR="00540C48">
        <w:rPr>
          <w:rFonts w:ascii="Gill Sans MT" w:hAnsi="Gill Sans MT"/>
        </w:rPr>
        <w:t xml:space="preserve">  A further option would be to pursue House of Lords reform, using the upper chamber to provide specific </w:t>
      </w:r>
      <w:r w:rsidR="00E90550">
        <w:rPr>
          <w:rFonts w:ascii="Gill Sans MT" w:hAnsi="Gill Sans MT"/>
        </w:rPr>
        <w:t>regional representation</w:t>
      </w:r>
      <w:r w:rsidR="00540C48">
        <w:rPr>
          <w:rFonts w:ascii="Gill Sans MT" w:hAnsi="Gill Sans MT"/>
        </w:rPr>
        <w:t>.</w:t>
      </w:r>
      <w:r w:rsidR="00540C48">
        <w:rPr>
          <w:rStyle w:val="FootnoteReference"/>
          <w:rFonts w:ascii="Gill Sans MT" w:hAnsi="Gill Sans MT"/>
        </w:rPr>
        <w:footnoteReference w:id="78"/>
      </w:r>
      <w:r w:rsidR="00722C52">
        <w:rPr>
          <w:rFonts w:ascii="Gill Sans MT" w:hAnsi="Gill Sans MT"/>
        </w:rPr>
        <w:t xml:space="preserve">  Also possible, and yet also unlikely, would be </w:t>
      </w:r>
      <w:r w:rsidR="000E4D6D">
        <w:rPr>
          <w:rFonts w:ascii="Gill Sans MT" w:hAnsi="Gill Sans MT"/>
        </w:rPr>
        <w:t>more comprehensive devolution for Englan</w:t>
      </w:r>
      <w:r w:rsidR="00722C52">
        <w:rPr>
          <w:rFonts w:ascii="Gill Sans MT" w:hAnsi="Gill Sans MT"/>
        </w:rPr>
        <w:t xml:space="preserve">d.  However, the abandonment of the </w:t>
      </w:r>
      <w:r w:rsidR="00D572BA">
        <w:rPr>
          <w:rFonts w:ascii="Gill Sans MT" w:hAnsi="Gill Sans MT"/>
        </w:rPr>
        <w:t>‘</w:t>
      </w:r>
      <w:r w:rsidR="00722C52">
        <w:rPr>
          <w:rFonts w:ascii="Gill Sans MT" w:hAnsi="Gill Sans MT"/>
        </w:rPr>
        <w:t>English Votes for English Laws</w:t>
      </w:r>
      <w:r w:rsidR="00D572BA">
        <w:rPr>
          <w:rFonts w:ascii="Gill Sans MT" w:hAnsi="Gill Sans MT"/>
        </w:rPr>
        <w:t>’</w:t>
      </w:r>
      <w:r w:rsidR="00722C52">
        <w:rPr>
          <w:rFonts w:ascii="Gill Sans MT" w:hAnsi="Gill Sans MT"/>
        </w:rPr>
        <w:t xml:space="preserve"> procedure within the UK Parliament is more likely to be taken as a sign that the ‘English Question’ is unresolvable, rather than prompt</w:t>
      </w:r>
      <w:r w:rsidR="00D572BA">
        <w:rPr>
          <w:rFonts w:ascii="Gill Sans MT" w:hAnsi="Gill Sans MT"/>
        </w:rPr>
        <w:t>ing new</w:t>
      </w:r>
      <w:r w:rsidR="00722C52">
        <w:rPr>
          <w:rFonts w:ascii="Gill Sans MT" w:hAnsi="Gill Sans MT"/>
        </w:rPr>
        <w:t xml:space="preserve"> ambitious attempts to fill the devolution gap in England.  There has been media speculation about renaming or reconstituti</w:t>
      </w:r>
      <w:r w:rsidR="00407493">
        <w:rPr>
          <w:rFonts w:ascii="Gill Sans MT" w:hAnsi="Gill Sans MT"/>
        </w:rPr>
        <w:t>ng</w:t>
      </w:r>
      <w:r w:rsidR="00722C52">
        <w:rPr>
          <w:rFonts w:ascii="Gill Sans MT" w:hAnsi="Gill Sans MT"/>
        </w:rPr>
        <w:t xml:space="preserve"> the UK Supreme Court, with the intention of downgrading it </w:t>
      </w:r>
      <w:r w:rsidR="00407493">
        <w:rPr>
          <w:rFonts w:ascii="Gill Sans MT" w:hAnsi="Gill Sans MT"/>
        </w:rPr>
        <w:t>following its</w:t>
      </w:r>
      <w:r w:rsidR="00722C52">
        <w:rPr>
          <w:rFonts w:ascii="Gill Sans MT" w:hAnsi="Gill Sans MT"/>
        </w:rPr>
        <w:t xml:space="preserve"> conspicuous</w:t>
      </w:r>
      <w:r w:rsidR="00BF3C10">
        <w:rPr>
          <w:rFonts w:ascii="Gill Sans MT" w:hAnsi="Gill Sans MT"/>
        </w:rPr>
        <w:t xml:space="preserve"> </w:t>
      </w:r>
      <w:r w:rsidR="00722C52">
        <w:rPr>
          <w:rFonts w:ascii="Gill Sans MT" w:hAnsi="Gill Sans MT"/>
        </w:rPr>
        <w:t>interventions during the Brexit process.</w:t>
      </w:r>
      <w:r w:rsidR="00407493">
        <w:rPr>
          <w:rStyle w:val="FootnoteReference"/>
          <w:rFonts w:ascii="Gill Sans MT" w:hAnsi="Gill Sans MT"/>
        </w:rPr>
        <w:footnoteReference w:id="79"/>
      </w:r>
      <w:r w:rsidR="00722C52">
        <w:rPr>
          <w:rFonts w:ascii="Gill Sans MT" w:hAnsi="Gill Sans MT"/>
        </w:rPr>
        <w:t xml:space="preserve"> </w:t>
      </w:r>
      <w:r w:rsidR="008737C3">
        <w:rPr>
          <w:rFonts w:ascii="Gill Sans MT" w:hAnsi="Gill Sans MT"/>
        </w:rPr>
        <w:t xml:space="preserve"> But whether this or reform to the Human Rights Act 1998 (currently the subject of another technical review)</w:t>
      </w:r>
      <w:r w:rsidR="008737C3">
        <w:rPr>
          <w:rStyle w:val="FootnoteReference"/>
          <w:rFonts w:ascii="Gill Sans MT" w:hAnsi="Gill Sans MT"/>
        </w:rPr>
        <w:footnoteReference w:id="80"/>
      </w:r>
      <w:r w:rsidR="008737C3">
        <w:rPr>
          <w:rFonts w:ascii="Gill Sans MT" w:hAnsi="Gill Sans MT"/>
        </w:rPr>
        <w:t xml:space="preserve"> would substantially alter judicial power is very much open to debate.</w:t>
      </w:r>
    </w:p>
    <w:p w14:paraId="5AB4EDDC" w14:textId="3D01327C" w:rsidR="000A4361" w:rsidRDefault="00407493" w:rsidP="00EE5E65">
      <w:pPr>
        <w:spacing w:after="0"/>
        <w:ind w:firstLine="720"/>
        <w:jc w:val="both"/>
        <w:rPr>
          <w:rFonts w:ascii="Gill Sans MT" w:hAnsi="Gill Sans MT"/>
        </w:rPr>
      </w:pPr>
      <w:r>
        <w:rPr>
          <w:rFonts w:ascii="Gill Sans MT" w:hAnsi="Gill Sans MT"/>
        </w:rPr>
        <w:t>So</w:t>
      </w:r>
      <w:r w:rsidR="00832F2B">
        <w:rPr>
          <w:rFonts w:ascii="Gill Sans MT" w:hAnsi="Gill Sans MT"/>
        </w:rPr>
        <w:t xml:space="preserve"> under the </w:t>
      </w:r>
      <w:r w:rsidR="00D572BA">
        <w:rPr>
          <w:rFonts w:ascii="Gill Sans MT" w:hAnsi="Gill Sans MT"/>
        </w:rPr>
        <w:t>Johnson</w:t>
      </w:r>
      <w:r w:rsidR="00832F2B">
        <w:rPr>
          <w:rFonts w:ascii="Gill Sans MT" w:hAnsi="Gill Sans MT"/>
        </w:rPr>
        <w:t xml:space="preserve"> government</w:t>
      </w:r>
      <w:r w:rsidR="00E10BF8">
        <w:rPr>
          <w:rFonts w:ascii="Gill Sans MT" w:hAnsi="Gill Sans MT"/>
        </w:rPr>
        <w:t>, constitutional</w:t>
      </w:r>
      <w:r w:rsidR="00832F2B">
        <w:rPr>
          <w:rFonts w:ascii="Gill Sans MT" w:hAnsi="Gill Sans MT"/>
        </w:rPr>
        <w:t xml:space="preserve"> reform </w:t>
      </w:r>
      <w:r w:rsidR="00DA742A">
        <w:rPr>
          <w:rFonts w:ascii="Gill Sans MT" w:hAnsi="Gill Sans MT"/>
        </w:rPr>
        <w:t>does not seem likely to be extensive,</w:t>
      </w:r>
      <w:r w:rsidR="00832F2B">
        <w:rPr>
          <w:rFonts w:ascii="Gill Sans MT" w:hAnsi="Gill Sans MT"/>
        </w:rPr>
        <w:t xml:space="preserve"> and </w:t>
      </w:r>
      <w:r w:rsidR="00DA742A">
        <w:rPr>
          <w:rFonts w:ascii="Gill Sans MT" w:hAnsi="Gill Sans MT"/>
        </w:rPr>
        <w:t xml:space="preserve">is </w:t>
      </w:r>
      <w:r w:rsidR="00832F2B">
        <w:rPr>
          <w:rFonts w:ascii="Gill Sans MT" w:hAnsi="Gill Sans MT"/>
        </w:rPr>
        <w:t>certainly focused on other priorities than</w:t>
      </w:r>
      <w:r w:rsidR="00E90550">
        <w:rPr>
          <w:rFonts w:ascii="Gill Sans MT" w:hAnsi="Gill Sans MT"/>
        </w:rPr>
        <w:t xml:space="preserve"> UK disunity</w:t>
      </w:r>
      <w:r w:rsidR="00EE5E65">
        <w:rPr>
          <w:rFonts w:ascii="Gill Sans MT" w:hAnsi="Gill Sans MT"/>
        </w:rPr>
        <w:t>.</w:t>
      </w:r>
      <w:r w:rsidR="005213C7">
        <w:rPr>
          <w:rFonts w:ascii="Gill Sans MT" w:hAnsi="Gill Sans MT"/>
        </w:rPr>
        <w:t xml:space="preserve"> </w:t>
      </w:r>
      <w:r w:rsidR="00EE5E65">
        <w:rPr>
          <w:rFonts w:ascii="Gill Sans MT" w:hAnsi="Gill Sans MT"/>
        </w:rPr>
        <w:t xml:space="preserve"> For</w:t>
      </w:r>
      <w:r w:rsidR="005213C7">
        <w:rPr>
          <w:rFonts w:ascii="Gill Sans MT" w:hAnsi="Gill Sans MT"/>
        </w:rPr>
        <w:t xml:space="preserve"> while Johnson</w:t>
      </w:r>
      <w:r w:rsidR="00E10BF8">
        <w:rPr>
          <w:rFonts w:ascii="Gill Sans MT" w:hAnsi="Gill Sans MT"/>
        </w:rPr>
        <w:t>’s</w:t>
      </w:r>
      <w:r w:rsidR="005213C7">
        <w:rPr>
          <w:rFonts w:ascii="Gill Sans MT" w:hAnsi="Gill Sans MT"/>
        </w:rPr>
        <w:t xml:space="preserve"> government, like May’s before it, was initially frustrated by divisions, </w:t>
      </w:r>
      <w:r w:rsidR="00E10BF8">
        <w:rPr>
          <w:rFonts w:ascii="Gill Sans MT" w:hAnsi="Gill Sans MT"/>
        </w:rPr>
        <w:t>it eventually</w:t>
      </w:r>
      <w:r w:rsidR="005213C7">
        <w:rPr>
          <w:rFonts w:ascii="Gill Sans MT" w:hAnsi="Gill Sans MT"/>
        </w:rPr>
        <w:t xml:space="preserve"> </w:t>
      </w:r>
      <w:r w:rsidR="00E10BF8">
        <w:rPr>
          <w:rFonts w:ascii="Gill Sans MT" w:hAnsi="Gill Sans MT"/>
        </w:rPr>
        <w:t xml:space="preserve">exploited and </w:t>
      </w:r>
      <w:r w:rsidR="005213C7">
        <w:rPr>
          <w:rFonts w:ascii="Gill Sans MT" w:hAnsi="Gill Sans MT"/>
        </w:rPr>
        <w:t xml:space="preserve">profited from </w:t>
      </w:r>
      <w:r w:rsidR="00E10BF8">
        <w:rPr>
          <w:rFonts w:ascii="Gill Sans MT" w:hAnsi="Gill Sans MT"/>
        </w:rPr>
        <w:t>them, gaining</w:t>
      </w:r>
      <w:r w:rsidR="005213C7">
        <w:rPr>
          <w:rFonts w:ascii="Gill Sans MT" w:hAnsi="Gill Sans MT"/>
        </w:rPr>
        <w:t xml:space="preserve"> a decisive electoral mandate to complete the Brexit process.  </w:t>
      </w:r>
      <w:r w:rsidR="00E10BF8">
        <w:rPr>
          <w:rFonts w:ascii="Gill Sans MT" w:hAnsi="Gill Sans MT"/>
        </w:rPr>
        <w:t>R</w:t>
      </w:r>
      <w:r w:rsidR="005213C7">
        <w:rPr>
          <w:rFonts w:ascii="Gill Sans MT" w:hAnsi="Gill Sans MT"/>
        </w:rPr>
        <w:t xml:space="preserve">eforms which </w:t>
      </w:r>
      <w:r w:rsidR="00E10BF8">
        <w:rPr>
          <w:rFonts w:ascii="Gill Sans MT" w:hAnsi="Gill Sans MT"/>
        </w:rPr>
        <w:t>displace</w:t>
      </w:r>
      <w:r w:rsidR="005213C7">
        <w:rPr>
          <w:rFonts w:ascii="Gill Sans MT" w:hAnsi="Gill Sans MT"/>
        </w:rPr>
        <w:t xml:space="preserve"> some of those prior obstacles</w:t>
      </w:r>
      <w:r w:rsidR="00E90550">
        <w:rPr>
          <w:rFonts w:ascii="Gill Sans MT" w:hAnsi="Gill Sans MT"/>
        </w:rPr>
        <w:t xml:space="preserve"> </w:t>
      </w:r>
      <w:r w:rsidR="00E10BF8">
        <w:rPr>
          <w:rFonts w:ascii="Gill Sans MT" w:hAnsi="Gill Sans MT"/>
        </w:rPr>
        <w:t xml:space="preserve">are therefore </w:t>
      </w:r>
      <w:r w:rsidR="00E90550">
        <w:rPr>
          <w:rFonts w:ascii="Gill Sans MT" w:hAnsi="Gill Sans MT"/>
        </w:rPr>
        <w:t>likely to proceed</w:t>
      </w:r>
      <w:r w:rsidR="005213C7">
        <w:rPr>
          <w:rFonts w:ascii="Gill Sans MT" w:hAnsi="Gill Sans MT"/>
        </w:rPr>
        <w:t xml:space="preserve">, such as </w:t>
      </w:r>
      <w:r w:rsidR="005213C7">
        <w:rPr>
          <w:rFonts w:ascii="Gill Sans MT" w:hAnsi="Gill Sans MT"/>
        </w:rPr>
        <w:t xml:space="preserve">such as repeal </w:t>
      </w:r>
      <w:r w:rsidR="005213C7">
        <w:rPr>
          <w:rFonts w:ascii="Gill Sans MT" w:hAnsi="Gill Sans MT"/>
        </w:rPr>
        <w:t xml:space="preserve">of the </w:t>
      </w:r>
      <w:r w:rsidR="005213C7">
        <w:rPr>
          <w:rFonts w:ascii="Gill Sans MT" w:hAnsi="Gill Sans MT"/>
        </w:rPr>
        <w:t>F</w:t>
      </w:r>
      <w:r w:rsidR="005213C7">
        <w:rPr>
          <w:rFonts w:ascii="Gill Sans MT" w:hAnsi="Gill Sans MT"/>
        </w:rPr>
        <w:t xml:space="preserve">ixed-term </w:t>
      </w:r>
      <w:r w:rsidR="005213C7">
        <w:rPr>
          <w:rFonts w:ascii="Gill Sans MT" w:hAnsi="Gill Sans MT"/>
        </w:rPr>
        <w:t>P</w:t>
      </w:r>
      <w:r w:rsidR="005213C7">
        <w:rPr>
          <w:rFonts w:ascii="Gill Sans MT" w:hAnsi="Gill Sans MT"/>
        </w:rPr>
        <w:t xml:space="preserve">arliaments </w:t>
      </w:r>
      <w:r w:rsidR="005213C7">
        <w:rPr>
          <w:rFonts w:ascii="Gill Sans MT" w:hAnsi="Gill Sans MT"/>
        </w:rPr>
        <w:t>A</w:t>
      </w:r>
      <w:r w:rsidR="005213C7">
        <w:rPr>
          <w:rFonts w:ascii="Gill Sans MT" w:hAnsi="Gill Sans MT"/>
        </w:rPr>
        <w:t xml:space="preserve">ct 2011.  But this is </w:t>
      </w:r>
      <w:r w:rsidR="00E10BF8">
        <w:rPr>
          <w:rFonts w:ascii="Gill Sans MT" w:hAnsi="Gill Sans MT"/>
        </w:rPr>
        <w:t>focused on</w:t>
      </w:r>
      <w:r w:rsidR="005213C7">
        <w:rPr>
          <w:rFonts w:ascii="Gill Sans MT" w:hAnsi="Gill Sans MT"/>
        </w:rPr>
        <w:t xml:space="preserve"> consolidating the gains of the 2019 election, </w:t>
      </w:r>
      <w:r w:rsidR="00E10BF8">
        <w:rPr>
          <w:rFonts w:ascii="Gill Sans MT" w:hAnsi="Gill Sans MT"/>
        </w:rPr>
        <w:t>which is a very different aim to</w:t>
      </w:r>
      <w:r w:rsidR="00E90550">
        <w:rPr>
          <w:rFonts w:ascii="Gill Sans MT" w:hAnsi="Gill Sans MT"/>
        </w:rPr>
        <w:t xml:space="preserve"> healing constitutional divisions</w:t>
      </w:r>
      <w:r w:rsidR="005213C7">
        <w:rPr>
          <w:rFonts w:ascii="Gill Sans MT" w:hAnsi="Gill Sans MT"/>
        </w:rPr>
        <w:t xml:space="preserve">.  </w:t>
      </w:r>
    </w:p>
    <w:p w14:paraId="0E22F1D4" w14:textId="2FBD99AA" w:rsidR="00E90550" w:rsidRDefault="00E10BF8" w:rsidP="00EE5E65">
      <w:pPr>
        <w:spacing w:after="0"/>
        <w:ind w:firstLine="720"/>
        <w:jc w:val="both"/>
        <w:rPr>
          <w:rFonts w:ascii="Gill Sans MT" w:hAnsi="Gill Sans MT"/>
        </w:rPr>
      </w:pPr>
      <w:r>
        <w:rPr>
          <w:rFonts w:ascii="Gill Sans MT" w:hAnsi="Gill Sans MT"/>
        </w:rPr>
        <w:t>I</w:t>
      </w:r>
      <w:r>
        <w:rPr>
          <w:rFonts w:ascii="Gill Sans MT" w:hAnsi="Gill Sans MT"/>
        </w:rPr>
        <w:t>n the</w:t>
      </w:r>
      <w:r w:rsidR="000A4361">
        <w:rPr>
          <w:rFonts w:ascii="Gill Sans MT" w:hAnsi="Gill Sans MT"/>
        </w:rPr>
        <w:t xml:space="preserve"> general</w:t>
      </w:r>
      <w:r>
        <w:rPr>
          <w:rFonts w:ascii="Gill Sans MT" w:hAnsi="Gill Sans MT"/>
        </w:rPr>
        <w:t xml:space="preserve"> absence of </w:t>
      </w:r>
      <w:r w:rsidR="000A4361">
        <w:rPr>
          <w:rFonts w:ascii="Gill Sans MT" w:hAnsi="Gill Sans MT"/>
        </w:rPr>
        <w:t>explicit</w:t>
      </w:r>
      <w:r>
        <w:rPr>
          <w:rFonts w:ascii="Gill Sans MT" w:hAnsi="Gill Sans MT"/>
        </w:rPr>
        <w:t xml:space="preserve"> reform</w:t>
      </w:r>
      <w:r w:rsidR="000A4361">
        <w:rPr>
          <w:rFonts w:ascii="Gill Sans MT" w:hAnsi="Gill Sans MT"/>
        </w:rPr>
        <w:t>s</w:t>
      </w:r>
      <w:r>
        <w:rPr>
          <w:rFonts w:ascii="Gill Sans MT" w:hAnsi="Gill Sans MT"/>
        </w:rPr>
        <w:t xml:space="preserve"> </w:t>
      </w:r>
      <w:r w:rsidR="000A4361">
        <w:rPr>
          <w:rFonts w:ascii="Gill Sans MT" w:hAnsi="Gill Sans MT"/>
        </w:rPr>
        <w:t>there are</w:t>
      </w:r>
      <w:r w:rsidR="005213C7">
        <w:rPr>
          <w:rFonts w:ascii="Gill Sans MT" w:hAnsi="Gill Sans MT"/>
        </w:rPr>
        <w:t xml:space="preserve"> </w:t>
      </w:r>
      <w:r w:rsidR="00EE5E65">
        <w:rPr>
          <w:rFonts w:ascii="Gill Sans MT" w:hAnsi="Gill Sans MT"/>
        </w:rPr>
        <w:t xml:space="preserve">two </w:t>
      </w:r>
      <w:r w:rsidR="000A4361">
        <w:rPr>
          <w:rFonts w:ascii="Gill Sans MT" w:hAnsi="Gill Sans MT"/>
        </w:rPr>
        <w:t xml:space="preserve">more obscure </w:t>
      </w:r>
      <w:r w:rsidR="00EE5E65">
        <w:rPr>
          <w:rFonts w:ascii="Gill Sans MT" w:hAnsi="Gill Sans MT"/>
        </w:rPr>
        <w:t xml:space="preserve">issues to </w:t>
      </w:r>
      <w:r>
        <w:rPr>
          <w:rFonts w:ascii="Gill Sans MT" w:hAnsi="Gill Sans MT"/>
        </w:rPr>
        <w:t>monitor</w:t>
      </w:r>
      <w:r w:rsidR="00EE5E65">
        <w:rPr>
          <w:rFonts w:ascii="Gill Sans MT" w:hAnsi="Gill Sans MT"/>
        </w:rPr>
        <w:t xml:space="preserve">.  First, </w:t>
      </w:r>
      <w:r w:rsidR="00E90550">
        <w:rPr>
          <w:rFonts w:ascii="Gill Sans MT" w:hAnsi="Gill Sans MT"/>
        </w:rPr>
        <w:t xml:space="preserve">how existing powers </w:t>
      </w:r>
      <w:r w:rsidR="00EE5E65">
        <w:rPr>
          <w:rFonts w:ascii="Gill Sans MT" w:hAnsi="Gill Sans MT"/>
        </w:rPr>
        <w:t>relating to retained EU law and the development of the UK’s internal market</w:t>
      </w:r>
      <w:r w:rsidR="000A4361">
        <w:rPr>
          <w:rFonts w:ascii="Gill Sans MT" w:hAnsi="Gill Sans MT"/>
        </w:rPr>
        <w:t xml:space="preserve"> are</w:t>
      </w:r>
      <w:r w:rsidR="00E90550">
        <w:rPr>
          <w:rFonts w:ascii="Gill Sans MT" w:hAnsi="Gill Sans MT"/>
        </w:rPr>
        <w:t xml:space="preserve"> used</w:t>
      </w:r>
      <w:r w:rsidR="000A4361">
        <w:rPr>
          <w:rFonts w:ascii="Gill Sans MT" w:hAnsi="Gill Sans MT"/>
        </w:rPr>
        <w:t>.  T</w:t>
      </w:r>
      <w:r w:rsidR="00EE5E65">
        <w:rPr>
          <w:rFonts w:ascii="Gill Sans MT" w:hAnsi="Gill Sans MT"/>
        </w:rPr>
        <w:t xml:space="preserve">hose </w:t>
      </w:r>
      <w:r w:rsidR="00E90550">
        <w:rPr>
          <w:rFonts w:ascii="Gill Sans MT" w:hAnsi="Gill Sans MT"/>
        </w:rPr>
        <w:t xml:space="preserve">frameworks which arrogate power to UK government are </w:t>
      </w:r>
      <w:r w:rsidR="00EE5E65">
        <w:rPr>
          <w:rFonts w:ascii="Gill Sans MT" w:hAnsi="Gill Sans MT"/>
        </w:rPr>
        <w:t>already a</w:t>
      </w:r>
      <w:r w:rsidR="00E90550">
        <w:rPr>
          <w:rFonts w:ascii="Gill Sans MT" w:hAnsi="Gill Sans MT"/>
        </w:rPr>
        <w:t xml:space="preserve"> source of tension, but </w:t>
      </w:r>
      <w:r w:rsidR="00EE5E65">
        <w:rPr>
          <w:rFonts w:ascii="Gill Sans MT" w:hAnsi="Gill Sans MT"/>
        </w:rPr>
        <w:t xml:space="preserve">there is </w:t>
      </w:r>
      <w:r w:rsidR="00E90550">
        <w:rPr>
          <w:rFonts w:ascii="Gill Sans MT" w:hAnsi="Gill Sans MT"/>
        </w:rPr>
        <w:t>scope for those tensions to be</w:t>
      </w:r>
      <w:r w:rsidR="00EE5E65">
        <w:rPr>
          <w:rFonts w:ascii="Gill Sans MT" w:hAnsi="Gill Sans MT"/>
        </w:rPr>
        <w:t xml:space="preserve"> either</w:t>
      </w:r>
      <w:r w:rsidR="00E90550">
        <w:rPr>
          <w:rFonts w:ascii="Gill Sans MT" w:hAnsi="Gill Sans MT"/>
        </w:rPr>
        <w:t xml:space="preserve"> minimised or exacerbated depending on how powers are deployed</w:t>
      </w:r>
      <w:r w:rsidR="00EE5E65">
        <w:rPr>
          <w:rFonts w:ascii="Gill Sans MT" w:hAnsi="Gill Sans MT"/>
        </w:rPr>
        <w:t xml:space="preserve">.  Second, </w:t>
      </w:r>
      <w:r>
        <w:rPr>
          <w:rFonts w:ascii="Gill Sans MT" w:hAnsi="Gill Sans MT"/>
        </w:rPr>
        <w:t>whether</w:t>
      </w:r>
      <w:r w:rsidR="005213C7">
        <w:rPr>
          <w:rFonts w:ascii="Gill Sans MT" w:hAnsi="Gill Sans MT"/>
        </w:rPr>
        <w:t xml:space="preserve"> there any deeper </w:t>
      </w:r>
      <w:r w:rsidR="00E90550">
        <w:rPr>
          <w:rFonts w:ascii="Gill Sans MT" w:hAnsi="Gill Sans MT"/>
        </w:rPr>
        <w:t xml:space="preserve">shifts </w:t>
      </w:r>
      <w:r w:rsidR="00EE5E65">
        <w:rPr>
          <w:rFonts w:ascii="Gill Sans MT" w:hAnsi="Gill Sans MT"/>
        </w:rPr>
        <w:t>in practices of parliamentary accountability – for example, regarding the</w:t>
      </w:r>
      <w:r w:rsidR="00E90550">
        <w:rPr>
          <w:rFonts w:ascii="Gill Sans MT" w:hAnsi="Gill Sans MT"/>
        </w:rPr>
        <w:t xml:space="preserve"> </w:t>
      </w:r>
      <w:r w:rsidR="00EE5E65">
        <w:rPr>
          <w:rFonts w:ascii="Gill Sans MT" w:hAnsi="Gill Sans MT"/>
        </w:rPr>
        <w:t>effectiveness</w:t>
      </w:r>
      <w:r w:rsidR="00E90550">
        <w:rPr>
          <w:rFonts w:ascii="Gill Sans MT" w:hAnsi="Gill Sans MT"/>
        </w:rPr>
        <w:t xml:space="preserve"> of Select Committees</w:t>
      </w:r>
      <w:r w:rsidR="00EE5E65">
        <w:rPr>
          <w:rFonts w:ascii="Gill Sans MT" w:hAnsi="Gill Sans MT"/>
        </w:rPr>
        <w:t>, or the r</w:t>
      </w:r>
      <w:r w:rsidR="00E90550">
        <w:rPr>
          <w:rFonts w:ascii="Gill Sans MT" w:hAnsi="Gill Sans MT"/>
        </w:rPr>
        <w:t>ebelliousness of backbenchers</w:t>
      </w:r>
      <w:r w:rsidR="00EE5E65">
        <w:rPr>
          <w:rFonts w:ascii="Gill Sans MT" w:hAnsi="Gill Sans MT"/>
        </w:rPr>
        <w:t xml:space="preserve"> – which might be sustainable.  </w:t>
      </w:r>
    </w:p>
    <w:p w14:paraId="1F510696" w14:textId="25E10FEA" w:rsidR="004903BF" w:rsidRDefault="00D572BA" w:rsidP="00EE5E65">
      <w:pPr>
        <w:spacing w:after="0"/>
        <w:ind w:firstLine="720"/>
        <w:jc w:val="both"/>
        <w:rPr>
          <w:rFonts w:ascii="Gill Sans MT" w:hAnsi="Gill Sans MT"/>
        </w:rPr>
      </w:pPr>
      <w:r>
        <w:rPr>
          <w:rFonts w:ascii="Gill Sans MT" w:hAnsi="Gill Sans MT"/>
        </w:rPr>
        <w:t>However, u</w:t>
      </w:r>
      <w:r w:rsidR="00EE5E65">
        <w:rPr>
          <w:rFonts w:ascii="Gill Sans MT" w:hAnsi="Gill Sans MT"/>
        </w:rPr>
        <w:t xml:space="preserve">ltimately the idea of </w:t>
      </w:r>
      <w:r>
        <w:rPr>
          <w:rFonts w:ascii="Gill Sans MT" w:hAnsi="Gill Sans MT"/>
        </w:rPr>
        <w:t xml:space="preserve">grand </w:t>
      </w:r>
      <w:r w:rsidR="00EE5E65">
        <w:rPr>
          <w:rFonts w:ascii="Gill Sans MT" w:hAnsi="Gill Sans MT"/>
        </w:rPr>
        <w:t>constitutional restructuring post-Brexit is shaped by a crucial irony: the</w:t>
      </w:r>
      <w:r w:rsidR="00B325BF">
        <w:rPr>
          <w:rFonts w:ascii="Gill Sans MT" w:hAnsi="Gill Sans MT"/>
        </w:rPr>
        <w:t xml:space="preserve"> divisive nature of Brexit</w:t>
      </w:r>
      <w:r w:rsidR="00EE5E65">
        <w:rPr>
          <w:rFonts w:ascii="Gill Sans MT" w:hAnsi="Gill Sans MT"/>
        </w:rPr>
        <w:t xml:space="preserve"> reveals</w:t>
      </w:r>
      <w:r w:rsidR="00B325BF">
        <w:rPr>
          <w:rFonts w:ascii="Gill Sans MT" w:hAnsi="Gill Sans MT"/>
        </w:rPr>
        <w:t xml:space="preserve"> many avenues for potential constitutional improvement, but </w:t>
      </w:r>
      <w:r w:rsidR="00E10BF8">
        <w:rPr>
          <w:rFonts w:ascii="Gill Sans MT" w:hAnsi="Gill Sans MT"/>
        </w:rPr>
        <w:t xml:space="preserve">it </w:t>
      </w:r>
      <w:r w:rsidR="00EE5E65">
        <w:rPr>
          <w:rFonts w:ascii="Gill Sans MT" w:hAnsi="Gill Sans MT"/>
        </w:rPr>
        <w:t xml:space="preserve">has </w:t>
      </w:r>
      <w:r w:rsidR="00B325BF">
        <w:rPr>
          <w:rFonts w:ascii="Gill Sans MT" w:hAnsi="Gill Sans MT"/>
        </w:rPr>
        <w:t>simultaneously sapped energy for any major reform programme, given the likelihood of that too being defined by</w:t>
      </w:r>
      <w:r>
        <w:rPr>
          <w:rFonts w:ascii="Gill Sans MT" w:hAnsi="Gill Sans MT"/>
        </w:rPr>
        <w:t xml:space="preserve"> new and continuing</w:t>
      </w:r>
      <w:r w:rsidR="00B325BF">
        <w:rPr>
          <w:rFonts w:ascii="Gill Sans MT" w:hAnsi="Gill Sans MT"/>
        </w:rPr>
        <w:t xml:space="preserve"> unresolvable disagreement</w:t>
      </w:r>
      <w:r>
        <w:rPr>
          <w:rFonts w:ascii="Gill Sans MT" w:hAnsi="Gill Sans MT"/>
        </w:rPr>
        <w:t>s</w:t>
      </w:r>
      <w:r w:rsidR="00B325BF">
        <w:rPr>
          <w:rFonts w:ascii="Gill Sans MT" w:hAnsi="Gill Sans MT"/>
        </w:rPr>
        <w:t>.</w:t>
      </w:r>
    </w:p>
    <w:p w14:paraId="158FDE48" w14:textId="4B4F24FC" w:rsidR="004903BF" w:rsidRDefault="004903BF" w:rsidP="00865C3E">
      <w:pPr>
        <w:spacing w:after="0"/>
        <w:rPr>
          <w:rFonts w:ascii="Gill Sans MT" w:hAnsi="Gill Sans MT"/>
        </w:rPr>
      </w:pPr>
    </w:p>
    <w:p w14:paraId="364AA433" w14:textId="017BA30F" w:rsidR="004903BF" w:rsidRDefault="00AA4220" w:rsidP="00865C3E">
      <w:pPr>
        <w:spacing w:after="0"/>
        <w:rPr>
          <w:rFonts w:ascii="Gill Sans MT" w:hAnsi="Gill Sans MT"/>
        </w:rPr>
      </w:pPr>
      <w:r w:rsidRPr="00B325BF">
        <w:rPr>
          <w:rFonts w:ascii="Gill Sans MT" w:hAnsi="Gill Sans MT"/>
          <w:u w:val="single"/>
        </w:rPr>
        <w:t>Conclusion</w:t>
      </w:r>
    </w:p>
    <w:p w14:paraId="2D921A5F" w14:textId="590A8833" w:rsidR="0033626D" w:rsidRDefault="0033626D" w:rsidP="00865C3E">
      <w:pPr>
        <w:spacing w:after="0"/>
        <w:rPr>
          <w:rFonts w:ascii="Gill Sans MT" w:hAnsi="Gill Sans MT"/>
        </w:rPr>
      </w:pPr>
    </w:p>
    <w:p w14:paraId="0417F6A1" w14:textId="0FD0AD57" w:rsidR="0033626D" w:rsidRDefault="0033626D" w:rsidP="00D65FAF">
      <w:pPr>
        <w:spacing w:after="0"/>
        <w:jc w:val="both"/>
        <w:rPr>
          <w:rFonts w:ascii="Gill Sans MT" w:hAnsi="Gill Sans MT"/>
        </w:rPr>
      </w:pPr>
      <w:r>
        <w:rPr>
          <w:rFonts w:ascii="Gill Sans MT" w:hAnsi="Gill Sans MT"/>
        </w:rPr>
        <w:t>Just as EU membership reshaped the UK constitution, so too has Brexit.  The acute divisions exhibited during the Brexit process were in part a consequence of the changes the UK has experienced since 1972</w:t>
      </w:r>
      <w:r w:rsidR="00D65FAF">
        <w:rPr>
          <w:rFonts w:ascii="Gill Sans MT" w:hAnsi="Gill Sans MT"/>
        </w:rPr>
        <w:t>,</w:t>
      </w:r>
      <w:r>
        <w:rPr>
          <w:rFonts w:ascii="Gill Sans MT" w:hAnsi="Gill Sans MT"/>
        </w:rPr>
        <w:t xml:space="preserve"> shifting from a unitary to a more complex devolved state, with a greater role for the judiciary and a legislature with the potential to be more assertive.</w:t>
      </w:r>
      <w:r w:rsidR="00D65FAF">
        <w:rPr>
          <w:rFonts w:ascii="Gill Sans MT" w:hAnsi="Gill Sans MT"/>
        </w:rPr>
        <w:t xml:space="preserve">  In many ways, it was inevitable that a decision of the magnitude of exiting the EU would prompt severe political disagreements.  But while these disagreements occurred on a number of constitutional levels, they also were a product of fundamental political circumstances: the weakness of the government, the difficulty of the task, the pressure of limited time, and a referendum result which confounded their expectations.</w:t>
      </w:r>
    </w:p>
    <w:p w14:paraId="617D94F3" w14:textId="1055F824" w:rsidR="0033626D" w:rsidRDefault="00D65FAF" w:rsidP="00EA4A60">
      <w:pPr>
        <w:spacing w:after="0"/>
        <w:jc w:val="both"/>
        <w:rPr>
          <w:rFonts w:ascii="Gill Sans MT" w:hAnsi="Gill Sans MT"/>
        </w:rPr>
      </w:pPr>
      <w:r>
        <w:rPr>
          <w:rFonts w:ascii="Gill Sans MT" w:hAnsi="Gill Sans MT"/>
        </w:rPr>
        <w:tab/>
        <w:t xml:space="preserve">The consequences for the UK’s constitutional future are incredibly difficult to predict – they could range from the break-up of the state through separation referendums in Scotland and Northern Ireland, to </w:t>
      </w:r>
      <w:r w:rsidR="00972758">
        <w:rPr>
          <w:rFonts w:ascii="Gill Sans MT" w:hAnsi="Gill Sans MT"/>
        </w:rPr>
        <w:t xml:space="preserve">greater formalisation of constitutional norms, including those which frame the devolution </w:t>
      </w:r>
      <w:r w:rsidR="00972758">
        <w:rPr>
          <w:rFonts w:ascii="Gill Sans MT" w:hAnsi="Gill Sans MT"/>
        </w:rPr>
        <w:lastRenderedPageBreak/>
        <w:t xml:space="preserve">settlement.  </w:t>
      </w:r>
      <w:r>
        <w:rPr>
          <w:rFonts w:ascii="Gill Sans MT" w:hAnsi="Gill Sans MT"/>
        </w:rPr>
        <w:t xml:space="preserve">At present, in the aftermath of </w:t>
      </w:r>
      <w:r w:rsidR="00762587">
        <w:rPr>
          <w:rFonts w:ascii="Gill Sans MT" w:hAnsi="Gill Sans MT"/>
        </w:rPr>
        <w:t xml:space="preserve">Brexit-induced </w:t>
      </w:r>
      <w:r>
        <w:rPr>
          <w:rFonts w:ascii="Gill Sans MT" w:hAnsi="Gill Sans MT"/>
        </w:rPr>
        <w:t xml:space="preserve">constitutional overload, it appears that we have regressed to the mean: a </w:t>
      </w:r>
      <w:r w:rsidR="00972758">
        <w:rPr>
          <w:rFonts w:ascii="Gill Sans MT" w:hAnsi="Gill Sans MT"/>
        </w:rPr>
        <w:t xml:space="preserve">UK </w:t>
      </w:r>
      <w:r>
        <w:rPr>
          <w:rFonts w:ascii="Gill Sans MT" w:hAnsi="Gill Sans MT"/>
        </w:rPr>
        <w:t xml:space="preserve">government with a majority </w:t>
      </w:r>
      <w:r w:rsidR="00972758">
        <w:rPr>
          <w:rFonts w:ascii="Gill Sans MT" w:hAnsi="Gill Sans MT"/>
        </w:rPr>
        <w:t xml:space="preserve">in Parliament </w:t>
      </w:r>
      <w:r>
        <w:rPr>
          <w:rFonts w:ascii="Gill Sans MT" w:hAnsi="Gill Sans MT"/>
        </w:rPr>
        <w:t>pursuing only reforms which serve its interests.</w:t>
      </w:r>
      <w:r w:rsidR="00972758">
        <w:rPr>
          <w:rFonts w:ascii="Gill Sans MT" w:hAnsi="Gill Sans MT"/>
        </w:rPr>
        <w:t xml:space="preserve">  </w:t>
      </w:r>
      <w:r w:rsidR="00762587">
        <w:rPr>
          <w:rFonts w:ascii="Gill Sans MT" w:hAnsi="Gill Sans MT"/>
        </w:rPr>
        <w:t xml:space="preserve">This </w:t>
      </w:r>
      <w:r w:rsidR="00EA4A60">
        <w:rPr>
          <w:rFonts w:ascii="Gill Sans MT" w:hAnsi="Gill Sans MT"/>
        </w:rPr>
        <w:t xml:space="preserve">starkly </w:t>
      </w:r>
      <w:r w:rsidR="00762587">
        <w:rPr>
          <w:rFonts w:ascii="Gill Sans MT" w:hAnsi="Gill Sans MT"/>
        </w:rPr>
        <w:t>unitary vision of the constitution</w:t>
      </w:r>
      <w:r w:rsidR="00972758">
        <w:rPr>
          <w:rFonts w:ascii="Gill Sans MT" w:hAnsi="Gill Sans MT"/>
        </w:rPr>
        <w:t xml:space="preserve"> seems</w:t>
      </w:r>
      <w:r w:rsidR="00860021">
        <w:rPr>
          <w:rFonts w:ascii="Gill Sans MT" w:hAnsi="Gill Sans MT"/>
        </w:rPr>
        <w:t>, if anything,</w:t>
      </w:r>
      <w:r w:rsidR="00972758">
        <w:rPr>
          <w:rFonts w:ascii="Gill Sans MT" w:hAnsi="Gill Sans MT"/>
        </w:rPr>
        <w:t xml:space="preserve"> </w:t>
      </w:r>
      <w:r w:rsidR="00EA4A60">
        <w:rPr>
          <w:rFonts w:ascii="Gill Sans MT" w:hAnsi="Gill Sans MT"/>
        </w:rPr>
        <w:t>more likely to exacerbate than remedy the deep political divisions which brought that government into power in a dis-United Kingdom.</w:t>
      </w:r>
    </w:p>
    <w:p w14:paraId="7E9DC282" w14:textId="77777777" w:rsidR="0033626D" w:rsidRDefault="0033626D" w:rsidP="00865C3E">
      <w:pPr>
        <w:spacing w:after="0"/>
        <w:rPr>
          <w:rFonts w:ascii="Gill Sans MT" w:hAnsi="Gill Sans MT"/>
        </w:rPr>
      </w:pPr>
    </w:p>
    <w:p w14:paraId="077532EF" w14:textId="77777777" w:rsidR="00751D0F" w:rsidRPr="001355DF" w:rsidRDefault="00751D0F" w:rsidP="001355DF">
      <w:pPr>
        <w:tabs>
          <w:tab w:val="left" w:pos="5385"/>
        </w:tabs>
        <w:rPr>
          <w:rFonts w:ascii="Gill Sans MT" w:hAnsi="Gill Sans MT"/>
        </w:rPr>
      </w:pPr>
    </w:p>
    <w:sectPr w:rsidR="00751D0F" w:rsidRPr="001355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ACAD" w14:textId="77777777" w:rsidR="003C2A49" w:rsidRDefault="003C2A49" w:rsidP="00957F68">
      <w:pPr>
        <w:spacing w:after="0" w:line="240" w:lineRule="auto"/>
      </w:pPr>
      <w:r>
        <w:separator/>
      </w:r>
    </w:p>
  </w:endnote>
  <w:endnote w:type="continuationSeparator" w:id="0">
    <w:p w14:paraId="537F32BD" w14:textId="77777777" w:rsidR="003C2A49" w:rsidRDefault="003C2A49" w:rsidP="0095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dvOT635f2c37">
    <w:altName w:val="Cambria"/>
    <w:panose1 w:val="00000000000000000000"/>
    <w:charset w:val="00"/>
    <w:family w:val="roman"/>
    <w:notTrueType/>
    <w:pitch w:val="default"/>
    <w:sig w:usb0="00000003" w:usb1="00000000" w:usb2="00000000" w:usb3="00000000" w:csb0="00000001" w:csb1="00000000"/>
  </w:font>
  <w:font w:name="AdvOTa14f9db0.I">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07683"/>
      <w:docPartObj>
        <w:docPartGallery w:val="Page Numbers (Bottom of Page)"/>
        <w:docPartUnique/>
      </w:docPartObj>
    </w:sdtPr>
    <w:sdtEndPr>
      <w:rPr>
        <w:noProof/>
      </w:rPr>
    </w:sdtEndPr>
    <w:sdtContent>
      <w:p w14:paraId="03B106F4" w14:textId="5CEDE0E8" w:rsidR="00175443" w:rsidRDefault="00175443">
        <w:pPr>
          <w:pStyle w:val="Footer"/>
          <w:jc w:val="center"/>
        </w:pPr>
        <w:r w:rsidRPr="00175443">
          <w:rPr>
            <w:rFonts w:ascii="Gill Sans MT" w:hAnsi="Gill Sans MT"/>
          </w:rPr>
          <w:fldChar w:fldCharType="begin"/>
        </w:r>
        <w:r w:rsidRPr="00175443">
          <w:rPr>
            <w:rFonts w:ascii="Gill Sans MT" w:hAnsi="Gill Sans MT"/>
          </w:rPr>
          <w:instrText xml:space="preserve"> PAGE   \* MERGEFORMAT </w:instrText>
        </w:r>
        <w:r w:rsidRPr="00175443">
          <w:rPr>
            <w:rFonts w:ascii="Gill Sans MT" w:hAnsi="Gill Sans MT"/>
          </w:rPr>
          <w:fldChar w:fldCharType="separate"/>
        </w:r>
        <w:r w:rsidRPr="00175443">
          <w:rPr>
            <w:rFonts w:ascii="Gill Sans MT" w:hAnsi="Gill Sans MT"/>
            <w:noProof/>
          </w:rPr>
          <w:t>2</w:t>
        </w:r>
        <w:r w:rsidRPr="00175443">
          <w:rPr>
            <w:rFonts w:ascii="Gill Sans MT" w:hAnsi="Gill Sans MT"/>
            <w:noProof/>
          </w:rPr>
          <w:fldChar w:fldCharType="end"/>
        </w:r>
      </w:p>
    </w:sdtContent>
  </w:sdt>
  <w:p w14:paraId="19444C69" w14:textId="77777777" w:rsidR="00175443" w:rsidRDefault="0017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3978" w14:textId="77777777" w:rsidR="003C2A49" w:rsidRDefault="003C2A49" w:rsidP="00957F68">
      <w:pPr>
        <w:spacing w:after="0" w:line="240" w:lineRule="auto"/>
      </w:pPr>
      <w:r>
        <w:separator/>
      </w:r>
    </w:p>
  </w:footnote>
  <w:footnote w:type="continuationSeparator" w:id="0">
    <w:p w14:paraId="3E6ABE76" w14:textId="77777777" w:rsidR="003C2A49" w:rsidRDefault="003C2A49" w:rsidP="00957F68">
      <w:pPr>
        <w:spacing w:after="0" w:line="240" w:lineRule="auto"/>
      </w:pPr>
      <w:r>
        <w:continuationSeparator/>
      </w:r>
    </w:p>
  </w:footnote>
  <w:footnote w:id="1">
    <w:p w14:paraId="49FBDE3C" w14:textId="4A684B7E" w:rsidR="00957F68" w:rsidRPr="00BE7FC5" w:rsidRDefault="00957F68">
      <w:pPr>
        <w:pStyle w:val="FootnoteText"/>
        <w:rPr>
          <w:rFonts w:ascii="Gill Sans MT" w:hAnsi="Gill Sans MT"/>
        </w:rPr>
      </w:pPr>
      <w:r w:rsidRPr="00BE7FC5">
        <w:rPr>
          <w:rStyle w:val="FootnoteReference"/>
          <w:rFonts w:ascii="Gill Sans MT" w:hAnsi="Gill Sans MT"/>
        </w:rPr>
        <w:footnoteRef/>
      </w:r>
      <w:r w:rsidRPr="00BE7FC5">
        <w:rPr>
          <w:rFonts w:ascii="Gill Sans MT" w:hAnsi="Gill Sans MT"/>
        </w:rPr>
        <w:t xml:space="preserve"> European Union (Referendum) Act 2015.</w:t>
      </w:r>
    </w:p>
  </w:footnote>
  <w:footnote w:id="2">
    <w:p w14:paraId="1858D48D" w14:textId="639CD353" w:rsidR="00957F68" w:rsidRPr="00BE7FC5" w:rsidRDefault="00957F68">
      <w:pPr>
        <w:pStyle w:val="FootnoteText"/>
        <w:rPr>
          <w:rFonts w:ascii="Gill Sans MT" w:hAnsi="Gill Sans MT"/>
        </w:rPr>
      </w:pPr>
      <w:r w:rsidRPr="00BE7FC5">
        <w:rPr>
          <w:rStyle w:val="FootnoteReference"/>
          <w:rFonts w:ascii="Gill Sans MT" w:hAnsi="Gill Sans MT"/>
        </w:rPr>
        <w:footnoteRef/>
      </w:r>
      <w:r w:rsidRPr="00BE7FC5">
        <w:rPr>
          <w:rFonts w:ascii="Gill Sans MT" w:hAnsi="Gill Sans MT"/>
        </w:rPr>
        <w:t xml:space="preserve"> See eg</w:t>
      </w:r>
      <w:r w:rsidR="00175443" w:rsidRPr="00BE7FC5">
        <w:rPr>
          <w:rFonts w:ascii="Gill Sans MT" w:hAnsi="Gill Sans MT"/>
        </w:rPr>
        <w:t xml:space="preserve"> L Trueblood, ‘</w:t>
      </w:r>
      <w:r w:rsidR="00BE7FC5" w:rsidRPr="00BE7FC5">
        <w:rPr>
          <w:rFonts w:ascii="Gill Sans MT" w:hAnsi="Gill Sans MT" w:cs="Times New Roman"/>
          <w:szCs w:val="24"/>
        </w:rPr>
        <w:t>Referendums and New Labour’s Constitutional Reforms</w:t>
      </w:r>
      <w:r w:rsidR="00BE7FC5" w:rsidRPr="00BE7FC5">
        <w:rPr>
          <w:rFonts w:ascii="Gill Sans MT" w:hAnsi="Gill Sans MT" w:cs="Times New Roman"/>
          <w:szCs w:val="24"/>
        </w:rPr>
        <w:t xml:space="preserve">’ </w:t>
      </w:r>
      <w:r w:rsidR="00175443" w:rsidRPr="00BE7FC5">
        <w:rPr>
          <w:rFonts w:ascii="Gill Sans MT" w:hAnsi="Gill Sans MT"/>
        </w:rPr>
        <w:t xml:space="preserve">in M Gordon and A Tucker (eds), </w:t>
      </w:r>
      <w:r w:rsidR="00175443" w:rsidRPr="00BE7FC5">
        <w:rPr>
          <w:rFonts w:ascii="Gill Sans MT" w:hAnsi="Gill Sans MT"/>
          <w:i/>
          <w:iCs/>
        </w:rPr>
        <w:t xml:space="preserve">The New Labour Constitution: Twenty Years On </w:t>
      </w:r>
      <w:r w:rsidR="00175443" w:rsidRPr="00BE7FC5">
        <w:rPr>
          <w:rFonts w:ascii="Gill Sans MT" w:hAnsi="Gill Sans MT"/>
        </w:rPr>
        <w:t>(Hart, 2022).</w:t>
      </w:r>
    </w:p>
  </w:footnote>
  <w:footnote w:id="3">
    <w:p w14:paraId="1AB69414" w14:textId="4BC4FFEF" w:rsidR="00957F68" w:rsidRPr="00BE7FC5" w:rsidRDefault="00957F68">
      <w:pPr>
        <w:pStyle w:val="FootnoteText"/>
        <w:rPr>
          <w:rFonts w:ascii="Gill Sans MT" w:hAnsi="Gill Sans MT"/>
        </w:rPr>
      </w:pPr>
      <w:r w:rsidRPr="00BE7FC5">
        <w:rPr>
          <w:rStyle w:val="FootnoteReference"/>
          <w:rFonts w:ascii="Gill Sans MT" w:hAnsi="Gill Sans MT"/>
        </w:rPr>
        <w:footnoteRef/>
      </w:r>
      <w:r w:rsidRPr="00BE7FC5">
        <w:rPr>
          <w:rFonts w:ascii="Gill Sans MT" w:hAnsi="Gill Sans MT"/>
        </w:rPr>
        <w:t xml:space="preserve"> </w:t>
      </w:r>
      <w:r w:rsidR="00BE7FC5" w:rsidRPr="00BE7FC5">
        <w:rPr>
          <w:rFonts w:ascii="Gill Sans MT" w:hAnsi="Gill Sans MT"/>
        </w:rPr>
        <w:t xml:space="preserve">See </w:t>
      </w:r>
      <w:r w:rsidR="00BE7FC5" w:rsidRPr="00BE7FC5">
        <w:rPr>
          <w:rFonts w:ascii="Gill Sans MT" w:hAnsi="Gill Sans MT"/>
        </w:rPr>
        <w:t>https://www.electoralcommission.org.uk/who-we-are-and-what-we-do/elections-and-referendums/past-elections-and-referendums/eu-referendum/results-and-turnout-eu-referendum</w:t>
      </w:r>
      <w:r w:rsidR="00BE7FC5" w:rsidRPr="00BE7FC5">
        <w:rPr>
          <w:rFonts w:ascii="Gill Sans MT" w:hAnsi="Gill Sans MT"/>
        </w:rPr>
        <w:t>.</w:t>
      </w:r>
    </w:p>
  </w:footnote>
  <w:footnote w:id="4">
    <w:p w14:paraId="4C709371" w14:textId="5C0932C5" w:rsidR="00957F68" w:rsidRPr="003B58BC" w:rsidRDefault="00957F68">
      <w:pPr>
        <w:pStyle w:val="FootnoteText"/>
        <w:rPr>
          <w:rFonts w:ascii="Gill Sans MT" w:hAnsi="Gill Sans MT"/>
        </w:rPr>
      </w:pPr>
      <w:r w:rsidRPr="003B58BC">
        <w:rPr>
          <w:rStyle w:val="FootnoteReference"/>
          <w:rFonts w:ascii="Gill Sans MT" w:hAnsi="Gill Sans MT"/>
        </w:rPr>
        <w:footnoteRef/>
      </w:r>
      <w:r w:rsidRPr="003B58BC">
        <w:rPr>
          <w:rFonts w:ascii="Gill Sans MT" w:hAnsi="Gill Sans MT"/>
        </w:rPr>
        <w:t xml:space="preserve"> </w:t>
      </w:r>
      <w:r w:rsidR="00410B84" w:rsidRPr="003B58BC">
        <w:rPr>
          <w:rFonts w:ascii="Gill Sans MT" w:hAnsi="Gill Sans MT"/>
        </w:rPr>
        <w:t xml:space="preserve">See </w:t>
      </w:r>
      <w:r w:rsidRPr="003B58BC">
        <w:rPr>
          <w:rFonts w:ascii="Gill Sans MT" w:hAnsi="Gill Sans MT"/>
        </w:rPr>
        <w:t>M Gordon, ‘Referendums in the UK Constitution: Sovereignty, Authority and Democracy After Brexit’</w:t>
      </w:r>
      <w:r w:rsidR="00BE7FC5" w:rsidRPr="003B58BC">
        <w:rPr>
          <w:rFonts w:ascii="Gill Sans MT" w:hAnsi="Gill Sans MT"/>
        </w:rPr>
        <w:t xml:space="preserve"> (2020) </w:t>
      </w:r>
      <w:r w:rsidR="00E61F98" w:rsidRPr="003B58BC">
        <w:rPr>
          <w:rFonts w:ascii="Gill Sans MT" w:hAnsi="Gill Sans MT"/>
        </w:rPr>
        <w:t xml:space="preserve">16 </w:t>
      </w:r>
      <w:r w:rsidR="00BE7FC5" w:rsidRPr="003B58BC">
        <w:rPr>
          <w:rFonts w:ascii="Gill Sans MT" w:hAnsi="Gill Sans MT"/>
          <w:i/>
          <w:iCs/>
        </w:rPr>
        <w:t xml:space="preserve">EuConst </w:t>
      </w:r>
      <w:r w:rsidR="00E61F98" w:rsidRPr="003B58BC">
        <w:rPr>
          <w:rFonts w:ascii="Gill Sans MT" w:hAnsi="Gill Sans MT"/>
        </w:rPr>
        <w:t>213-248</w:t>
      </w:r>
      <w:r w:rsidR="006818DA" w:rsidRPr="003B58BC">
        <w:rPr>
          <w:rFonts w:ascii="Gill Sans MT" w:hAnsi="Gill Sans MT"/>
        </w:rPr>
        <w:t>, 234-235.</w:t>
      </w:r>
    </w:p>
  </w:footnote>
  <w:footnote w:id="5">
    <w:p w14:paraId="26E2F6CD" w14:textId="1D493917" w:rsidR="00957F68" w:rsidRPr="003B58BC" w:rsidRDefault="00957F68">
      <w:pPr>
        <w:pStyle w:val="FootnoteText"/>
        <w:rPr>
          <w:rFonts w:ascii="Gill Sans MT" w:hAnsi="Gill Sans MT"/>
        </w:rPr>
      </w:pPr>
      <w:r w:rsidRPr="003B58BC">
        <w:rPr>
          <w:rStyle w:val="FootnoteReference"/>
          <w:rFonts w:ascii="Gill Sans MT" w:hAnsi="Gill Sans MT"/>
        </w:rPr>
        <w:footnoteRef/>
      </w:r>
      <w:r w:rsidRPr="003B58BC">
        <w:rPr>
          <w:rFonts w:ascii="Gill Sans MT" w:hAnsi="Gill Sans MT"/>
        </w:rPr>
        <w:t xml:space="preserve"> </w:t>
      </w:r>
      <w:r w:rsidR="00524E06" w:rsidRPr="003B58BC">
        <w:rPr>
          <w:rFonts w:ascii="Gill Sans MT" w:hAnsi="Gill Sans MT"/>
        </w:rPr>
        <w:t xml:space="preserve">See eg J Owen, A Stojanovic and J Rutter, </w:t>
      </w:r>
      <w:r w:rsidR="00524E06" w:rsidRPr="003B58BC">
        <w:rPr>
          <w:rFonts w:ascii="Gill Sans MT" w:hAnsi="Gill Sans MT"/>
          <w:i/>
          <w:iCs/>
        </w:rPr>
        <w:t xml:space="preserve">Trade After Brexit: Options for the UK’s Relationship with the EU </w:t>
      </w:r>
      <w:r w:rsidR="00524E06" w:rsidRPr="003B58BC">
        <w:rPr>
          <w:rFonts w:ascii="Gill Sans MT" w:hAnsi="Gill Sans MT"/>
        </w:rPr>
        <w:t>(Institute for Government, 2017).</w:t>
      </w:r>
    </w:p>
  </w:footnote>
  <w:footnote w:id="6">
    <w:p w14:paraId="2B93D028" w14:textId="58CFAB6B" w:rsidR="00957F68" w:rsidRPr="003B58BC" w:rsidRDefault="00957F68">
      <w:pPr>
        <w:pStyle w:val="FootnoteText"/>
        <w:rPr>
          <w:rFonts w:ascii="Gill Sans MT" w:hAnsi="Gill Sans MT"/>
        </w:rPr>
      </w:pPr>
      <w:r w:rsidRPr="003B58BC">
        <w:rPr>
          <w:rStyle w:val="FootnoteReference"/>
          <w:rFonts w:ascii="Gill Sans MT" w:hAnsi="Gill Sans MT"/>
        </w:rPr>
        <w:footnoteRef/>
      </w:r>
      <w:r w:rsidRPr="003B58BC">
        <w:rPr>
          <w:rFonts w:ascii="Gill Sans MT" w:hAnsi="Gill Sans MT"/>
        </w:rPr>
        <w:t xml:space="preserve"> </w:t>
      </w:r>
      <w:r w:rsidR="0066423E" w:rsidRPr="003B58BC">
        <w:rPr>
          <w:rFonts w:ascii="Gill Sans MT" w:hAnsi="Gill Sans MT"/>
        </w:rPr>
        <w:t xml:space="preserve">See eg </w:t>
      </w:r>
      <w:r w:rsidR="004972D6" w:rsidRPr="003B58BC">
        <w:rPr>
          <w:rFonts w:ascii="Gill Sans MT" w:hAnsi="Gill Sans MT"/>
        </w:rPr>
        <w:t xml:space="preserve">M Mardell, </w:t>
      </w:r>
      <w:r w:rsidR="0066423E" w:rsidRPr="003B58BC">
        <w:rPr>
          <w:rFonts w:ascii="Gill Sans MT" w:hAnsi="Gill Sans MT"/>
        </w:rPr>
        <w:t>‘What does “</w:t>
      </w:r>
      <w:r w:rsidRPr="003B58BC">
        <w:rPr>
          <w:rFonts w:ascii="Gill Sans MT" w:hAnsi="Gill Sans MT"/>
        </w:rPr>
        <w:t>Brexit mean</w:t>
      </w:r>
      <w:r w:rsidR="0066423E" w:rsidRPr="003B58BC">
        <w:rPr>
          <w:rFonts w:ascii="Gill Sans MT" w:hAnsi="Gill Sans MT"/>
        </w:rPr>
        <w:t>s</w:t>
      </w:r>
      <w:r w:rsidRPr="003B58BC">
        <w:rPr>
          <w:rFonts w:ascii="Gill Sans MT" w:hAnsi="Gill Sans MT"/>
        </w:rPr>
        <w:t xml:space="preserve"> Brexit</w:t>
      </w:r>
      <w:r w:rsidR="0066423E" w:rsidRPr="003B58BC">
        <w:rPr>
          <w:rFonts w:ascii="Gill Sans MT" w:hAnsi="Gill Sans MT"/>
        </w:rPr>
        <w:t xml:space="preserve">” mean?’, </w:t>
      </w:r>
      <w:r w:rsidR="0066423E" w:rsidRPr="003B58BC">
        <w:rPr>
          <w:rFonts w:ascii="Gill Sans MT" w:hAnsi="Gill Sans MT"/>
          <w:i/>
          <w:iCs/>
        </w:rPr>
        <w:t xml:space="preserve">BBC News </w:t>
      </w:r>
      <w:r w:rsidR="0066423E" w:rsidRPr="003B58BC">
        <w:rPr>
          <w:rFonts w:ascii="Gill Sans MT" w:hAnsi="Gill Sans MT"/>
        </w:rPr>
        <w:t xml:space="preserve">(14 July 2016): </w:t>
      </w:r>
      <w:r w:rsidR="0066423E" w:rsidRPr="003B58BC">
        <w:rPr>
          <w:rFonts w:ascii="Gill Sans MT" w:hAnsi="Gill Sans MT"/>
        </w:rPr>
        <w:t>https://www.bbc.co.uk/news/uk-politics-36782922</w:t>
      </w:r>
      <w:r w:rsidR="0066423E" w:rsidRPr="003B58BC">
        <w:rPr>
          <w:rFonts w:ascii="Gill Sans MT" w:hAnsi="Gill Sans MT"/>
        </w:rPr>
        <w:t>.</w:t>
      </w:r>
    </w:p>
  </w:footnote>
  <w:footnote w:id="7">
    <w:p w14:paraId="51FC3837" w14:textId="0617C609" w:rsidR="00175443" w:rsidRPr="003B58BC" w:rsidRDefault="00175443">
      <w:pPr>
        <w:pStyle w:val="FootnoteText"/>
        <w:rPr>
          <w:rFonts w:ascii="Gill Sans MT" w:hAnsi="Gill Sans MT"/>
        </w:rPr>
      </w:pPr>
      <w:r w:rsidRPr="003B58BC">
        <w:rPr>
          <w:rStyle w:val="FootnoteReference"/>
          <w:rFonts w:ascii="Gill Sans MT" w:hAnsi="Gill Sans MT"/>
        </w:rPr>
        <w:footnoteRef/>
      </w:r>
      <w:r w:rsidRPr="003B58BC">
        <w:rPr>
          <w:rFonts w:ascii="Gill Sans MT" w:hAnsi="Gill Sans MT"/>
        </w:rPr>
        <w:t xml:space="preserve"> </w:t>
      </w:r>
      <w:r w:rsidR="004972D6" w:rsidRPr="003B58BC">
        <w:rPr>
          <w:rFonts w:ascii="Gill Sans MT" w:hAnsi="Gill Sans MT"/>
        </w:rPr>
        <w:t xml:space="preserve">For an overview, see H Mance, ‘How the People’s Vote fell apart’, </w:t>
      </w:r>
      <w:r w:rsidR="004972D6" w:rsidRPr="003B58BC">
        <w:rPr>
          <w:rFonts w:ascii="Gill Sans MT" w:hAnsi="Gill Sans MT"/>
          <w:i/>
          <w:iCs/>
        </w:rPr>
        <w:t xml:space="preserve">Financial Times </w:t>
      </w:r>
      <w:r w:rsidR="004972D6" w:rsidRPr="003B58BC">
        <w:rPr>
          <w:rFonts w:ascii="Gill Sans MT" w:hAnsi="Gill Sans MT"/>
        </w:rPr>
        <w:t xml:space="preserve">(7 August 2020): </w:t>
      </w:r>
      <w:r w:rsidR="004972D6" w:rsidRPr="003B58BC">
        <w:rPr>
          <w:rFonts w:ascii="Gill Sans MT" w:hAnsi="Gill Sans MT"/>
        </w:rPr>
        <w:t>https://www.ft.com/content/e02992f6-cf9e-46b3-8d45-325fb183302f</w:t>
      </w:r>
      <w:r w:rsidR="004972D6" w:rsidRPr="003B58BC">
        <w:rPr>
          <w:rFonts w:ascii="Gill Sans MT" w:hAnsi="Gill Sans MT"/>
        </w:rPr>
        <w:t>.</w:t>
      </w:r>
    </w:p>
  </w:footnote>
  <w:footnote w:id="8">
    <w:p w14:paraId="06361683" w14:textId="7A81B9E6" w:rsidR="009C1184" w:rsidRPr="004A1CF3" w:rsidRDefault="009C1184">
      <w:pPr>
        <w:pStyle w:val="FootnoteText"/>
        <w:rPr>
          <w:rFonts w:ascii="Gill Sans MT" w:hAnsi="Gill Sans MT"/>
        </w:rPr>
      </w:pPr>
      <w:r w:rsidRPr="004A1CF3">
        <w:rPr>
          <w:rStyle w:val="FootnoteReference"/>
          <w:rFonts w:ascii="Gill Sans MT" w:hAnsi="Gill Sans MT"/>
        </w:rPr>
        <w:footnoteRef/>
      </w:r>
      <w:r w:rsidRPr="004A1CF3">
        <w:rPr>
          <w:rFonts w:ascii="Gill Sans MT" w:hAnsi="Gill Sans MT"/>
        </w:rPr>
        <w:t xml:space="preserve"> </w:t>
      </w:r>
      <w:r w:rsidR="00CC6B02" w:rsidRPr="004A1CF3">
        <w:rPr>
          <w:rFonts w:ascii="Gill Sans MT" w:hAnsi="Gill Sans MT"/>
        </w:rPr>
        <w:t xml:space="preserve">See </w:t>
      </w:r>
      <w:r w:rsidR="00CC6B02" w:rsidRPr="004A1CF3">
        <w:rPr>
          <w:rFonts w:ascii="Gill Sans MT" w:hAnsi="Gill Sans MT"/>
        </w:rPr>
        <w:t>W Bagehot</w:t>
      </w:r>
      <w:r w:rsidR="00CC6B02" w:rsidRPr="004A1CF3">
        <w:rPr>
          <w:rFonts w:ascii="Gill Sans MT" w:hAnsi="Gill Sans MT"/>
        </w:rPr>
        <w:t>’s classic 1867 text</w:t>
      </w:r>
      <w:r w:rsidR="00CC6B02" w:rsidRPr="004A1CF3">
        <w:rPr>
          <w:rFonts w:ascii="Gill Sans MT" w:hAnsi="Gill Sans MT"/>
        </w:rPr>
        <w:t xml:space="preserve">, </w:t>
      </w:r>
      <w:r w:rsidR="00CC6B02" w:rsidRPr="004A1CF3">
        <w:rPr>
          <w:rFonts w:ascii="Gill Sans MT" w:hAnsi="Gill Sans MT"/>
          <w:i/>
        </w:rPr>
        <w:t>The English Constitution</w:t>
      </w:r>
      <w:r w:rsidR="00CC6B02" w:rsidRPr="004A1CF3">
        <w:rPr>
          <w:rFonts w:ascii="Gill Sans MT" w:hAnsi="Gill Sans MT"/>
        </w:rPr>
        <w:t xml:space="preserve"> (</w:t>
      </w:r>
      <w:r w:rsidR="00CC6B02" w:rsidRPr="004A1CF3">
        <w:rPr>
          <w:rFonts w:ascii="Gill Sans MT" w:hAnsi="Gill Sans MT"/>
        </w:rPr>
        <w:t>OUP</w:t>
      </w:r>
      <w:r w:rsidR="00CC6B02" w:rsidRPr="004A1CF3">
        <w:rPr>
          <w:rFonts w:ascii="Gill Sans MT" w:hAnsi="Gill Sans MT"/>
        </w:rPr>
        <w:t>, 2001) 11.</w:t>
      </w:r>
    </w:p>
  </w:footnote>
  <w:footnote w:id="9">
    <w:p w14:paraId="3928BF61" w14:textId="0D6F8464" w:rsidR="00175443" w:rsidRPr="004A1CF3" w:rsidRDefault="00175443">
      <w:pPr>
        <w:pStyle w:val="FootnoteText"/>
        <w:rPr>
          <w:rFonts w:ascii="Gill Sans MT" w:hAnsi="Gill Sans MT"/>
        </w:rPr>
      </w:pPr>
      <w:r w:rsidRPr="004A1CF3">
        <w:rPr>
          <w:rStyle w:val="FootnoteReference"/>
          <w:rFonts w:ascii="Gill Sans MT" w:hAnsi="Gill Sans MT"/>
        </w:rPr>
        <w:footnoteRef/>
      </w:r>
      <w:r w:rsidRPr="004A1CF3">
        <w:rPr>
          <w:rFonts w:ascii="Gill Sans MT" w:hAnsi="Gill Sans MT"/>
        </w:rPr>
        <w:t xml:space="preserve"> </w:t>
      </w:r>
      <w:r w:rsidR="008B19F5" w:rsidRPr="004A1CF3">
        <w:rPr>
          <w:rFonts w:ascii="Gill Sans MT" w:hAnsi="Gill Sans MT"/>
        </w:rPr>
        <w:t xml:space="preserve">See eg </w:t>
      </w:r>
      <w:r w:rsidRPr="004A1CF3">
        <w:rPr>
          <w:rFonts w:ascii="Gill Sans MT" w:hAnsi="Gill Sans MT"/>
        </w:rPr>
        <w:t>J Curtice</w:t>
      </w:r>
      <w:r w:rsidR="008B19F5" w:rsidRPr="004A1CF3">
        <w:rPr>
          <w:rFonts w:ascii="Gill Sans MT" w:hAnsi="Gill Sans MT"/>
        </w:rPr>
        <w:t xml:space="preserve">, ‘A Return to Normality at Last? How the Electoral System Worked in 2019’ (2020) 73(1) </w:t>
      </w:r>
      <w:r w:rsidR="008B19F5" w:rsidRPr="004A1CF3">
        <w:rPr>
          <w:rFonts w:ascii="Gill Sans MT" w:hAnsi="Gill Sans MT"/>
          <w:i/>
          <w:iCs/>
        </w:rPr>
        <w:t>Parliamentary Affairs</w:t>
      </w:r>
      <w:r w:rsidRPr="004A1CF3">
        <w:rPr>
          <w:rFonts w:ascii="Gill Sans MT" w:hAnsi="Gill Sans MT"/>
        </w:rPr>
        <w:t xml:space="preserve"> </w:t>
      </w:r>
      <w:r w:rsidR="008B19F5" w:rsidRPr="004A1CF3">
        <w:rPr>
          <w:rFonts w:ascii="Gill Sans MT" w:hAnsi="Gill Sans MT"/>
        </w:rPr>
        <w:t>29-47.</w:t>
      </w:r>
    </w:p>
  </w:footnote>
  <w:footnote w:id="10">
    <w:p w14:paraId="205342E3" w14:textId="6FF125EC" w:rsidR="009264A2" w:rsidRPr="004A1CF3" w:rsidRDefault="009264A2">
      <w:pPr>
        <w:pStyle w:val="FootnoteText"/>
        <w:rPr>
          <w:rFonts w:ascii="Gill Sans MT" w:hAnsi="Gill Sans MT"/>
        </w:rPr>
      </w:pPr>
      <w:r w:rsidRPr="004A1CF3">
        <w:rPr>
          <w:rStyle w:val="FootnoteReference"/>
          <w:rFonts w:ascii="Gill Sans MT" w:hAnsi="Gill Sans MT"/>
        </w:rPr>
        <w:footnoteRef/>
      </w:r>
      <w:r w:rsidRPr="004A1CF3">
        <w:rPr>
          <w:rFonts w:ascii="Gill Sans MT" w:hAnsi="Gill Sans MT"/>
        </w:rPr>
        <w:t xml:space="preserve"> </w:t>
      </w:r>
      <w:r w:rsidR="006234BE" w:rsidRPr="004A1CF3">
        <w:rPr>
          <w:rFonts w:ascii="Gill Sans MT" w:hAnsi="Gill Sans MT"/>
        </w:rPr>
        <w:t>Bagehot (n.8).</w:t>
      </w:r>
    </w:p>
  </w:footnote>
  <w:footnote w:id="11">
    <w:p w14:paraId="59EA5FF8" w14:textId="0531F6D4" w:rsidR="009264A2" w:rsidRPr="004A1CF3" w:rsidRDefault="009264A2">
      <w:pPr>
        <w:pStyle w:val="FootnoteText"/>
        <w:rPr>
          <w:rFonts w:ascii="Gill Sans MT" w:hAnsi="Gill Sans MT"/>
        </w:rPr>
      </w:pPr>
      <w:r w:rsidRPr="004A1CF3">
        <w:rPr>
          <w:rStyle w:val="FootnoteReference"/>
          <w:rFonts w:ascii="Gill Sans MT" w:hAnsi="Gill Sans MT"/>
        </w:rPr>
        <w:footnoteRef/>
      </w:r>
      <w:r w:rsidRPr="004A1CF3">
        <w:rPr>
          <w:rFonts w:ascii="Gill Sans MT" w:hAnsi="Gill Sans MT"/>
        </w:rPr>
        <w:t xml:space="preserve"> </w:t>
      </w:r>
      <w:r w:rsidR="006234BE" w:rsidRPr="004A1CF3">
        <w:rPr>
          <w:rFonts w:ascii="Gill Sans MT" w:hAnsi="Gill Sans MT"/>
        </w:rPr>
        <w:t>Lord H</w:t>
      </w:r>
      <w:r w:rsidRPr="004A1CF3">
        <w:rPr>
          <w:rFonts w:ascii="Gill Sans MT" w:hAnsi="Gill Sans MT"/>
        </w:rPr>
        <w:t>ailsham</w:t>
      </w:r>
      <w:r w:rsidR="006234BE" w:rsidRPr="004A1CF3">
        <w:rPr>
          <w:rFonts w:ascii="Gill Sans MT" w:hAnsi="Gill Sans MT"/>
        </w:rPr>
        <w:t xml:space="preserve">, </w:t>
      </w:r>
      <w:r w:rsidR="006234BE" w:rsidRPr="004A1CF3">
        <w:rPr>
          <w:rFonts w:ascii="Gill Sans MT" w:hAnsi="Gill Sans MT"/>
          <w:i/>
        </w:rPr>
        <w:t>The Dilemma of Democracy: Diagnosis and Prescription</w:t>
      </w:r>
      <w:r w:rsidR="006234BE" w:rsidRPr="004A1CF3">
        <w:rPr>
          <w:rFonts w:ascii="Gill Sans MT" w:hAnsi="Gill Sans MT"/>
        </w:rPr>
        <w:t xml:space="preserve"> (Collins, 1978).</w:t>
      </w:r>
    </w:p>
  </w:footnote>
  <w:footnote w:id="12">
    <w:p w14:paraId="47BD58F4" w14:textId="71C601D2" w:rsidR="00F910EE" w:rsidRPr="004A1CF3" w:rsidRDefault="00F910EE">
      <w:pPr>
        <w:pStyle w:val="FootnoteText"/>
        <w:rPr>
          <w:rFonts w:ascii="Gill Sans MT" w:hAnsi="Gill Sans MT"/>
        </w:rPr>
      </w:pPr>
      <w:r w:rsidRPr="004A1CF3">
        <w:rPr>
          <w:rStyle w:val="FootnoteReference"/>
          <w:rFonts w:ascii="Gill Sans MT" w:hAnsi="Gill Sans MT"/>
        </w:rPr>
        <w:footnoteRef/>
      </w:r>
      <w:r w:rsidRPr="004A1CF3">
        <w:rPr>
          <w:rFonts w:ascii="Gill Sans MT" w:hAnsi="Gill Sans MT"/>
        </w:rPr>
        <w:t xml:space="preserve"> </w:t>
      </w:r>
      <w:r w:rsidR="0091386A" w:rsidRPr="004A1CF3">
        <w:rPr>
          <w:rFonts w:ascii="Gill Sans MT" w:hAnsi="Gill Sans MT"/>
        </w:rPr>
        <w:t>Conservative–</w:t>
      </w:r>
      <w:r w:rsidRPr="004A1CF3">
        <w:rPr>
          <w:rFonts w:ascii="Gill Sans MT" w:hAnsi="Gill Sans MT"/>
        </w:rPr>
        <w:t>DUP confidence and supply agreement</w:t>
      </w:r>
      <w:r w:rsidR="00260E18" w:rsidRPr="004A1CF3">
        <w:rPr>
          <w:rFonts w:ascii="Gill Sans MT" w:hAnsi="Gill Sans MT"/>
        </w:rPr>
        <w:t xml:space="preserve"> (June 2017)</w:t>
      </w:r>
      <w:r w:rsidR="0091386A" w:rsidRPr="004A1CF3">
        <w:rPr>
          <w:rFonts w:ascii="Gill Sans MT" w:hAnsi="Gill Sans MT"/>
        </w:rPr>
        <w:t>:</w:t>
      </w:r>
      <w:r w:rsidR="00260E18" w:rsidRPr="004A1CF3">
        <w:rPr>
          <w:rFonts w:ascii="Gill Sans MT" w:hAnsi="Gill Sans MT"/>
        </w:rPr>
        <w:t xml:space="preserve"> </w:t>
      </w:r>
      <w:r w:rsidR="00260E18" w:rsidRPr="004A1CF3">
        <w:rPr>
          <w:rFonts w:ascii="Gill Sans MT" w:hAnsi="Gill Sans MT"/>
        </w:rPr>
        <w:t>https://www.gov.uk/government/publications/conservative-and-dup-agreement-and-uk-government-financial-support-for-northern-ireland</w:t>
      </w:r>
    </w:p>
  </w:footnote>
  <w:footnote w:id="13">
    <w:p w14:paraId="6708EE2A" w14:textId="183CD277" w:rsidR="00811526" w:rsidRPr="004A1CF3" w:rsidRDefault="00811526">
      <w:pPr>
        <w:pStyle w:val="FootnoteText"/>
        <w:rPr>
          <w:rFonts w:ascii="Gill Sans MT" w:hAnsi="Gill Sans MT"/>
        </w:rPr>
      </w:pPr>
      <w:r w:rsidRPr="004A1CF3">
        <w:rPr>
          <w:rStyle w:val="FootnoteReference"/>
          <w:rFonts w:ascii="Gill Sans MT" w:hAnsi="Gill Sans MT"/>
        </w:rPr>
        <w:footnoteRef/>
      </w:r>
      <w:r w:rsidRPr="004A1CF3">
        <w:rPr>
          <w:rFonts w:ascii="Gill Sans MT" w:hAnsi="Gill Sans MT"/>
        </w:rPr>
        <w:t xml:space="preserve"> Early Parliamentary General Election Act 2019.</w:t>
      </w:r>
    </w:p>
  </w:footnote>
  <w:footnote w:id="14">
    <w:p w14:paraId="5DD314E8" w14:textId="3625CFCB" w:rsidR="00AF293E" w:rsidRPr="004A1CF3" w:rsidRDefault="00AF293E">
      <w:pPr>
        <w:pStyle w:val="FootnoteText"/>
        <w:rPr>
          <w:rFonts w:ascii="Gill Sans MT" w:hAnsi="Gill Sans MT"/>
        </w:rPr>
      </w:pPr>
      <w:r w:rsidRPr="004A1CF3">
        <w:rPr>
          <w:rStyle w:val="FootnoteReference"/>
          <w:rFonts w:ascii="Gill Sans MT" w:hAnsi="Gill Sans MT"/>
        </w:rPr>
        <w:footnoteRef/>
      </w:r>
      <w:r w:rsidRPr="004A1CF3">
        <w:rPr>
          <w:rFonts w:ascii="Gill Sans MT" w:hAnsi="Gill Sans MT"/>
        </w:rPr>
        <w:t xml:space="preserve"> EU (Withdrawal Agreement) Act 2020.</w:t>
      </w:r>
    </w:p>
  </w:footnote>
  <w:footnote w:id="15">
    <w:p w14:paraId="0345E60A" w14:textId="1D2C4381" w:rsidR="00A94B1B" w:rsidRDefault="00A94B1B">
      <w:pPr>
        <w:pStyle w:val="FootnoteText"/>
      </w:pPr>
      <w:r w:rsidRPr="004A1CF3">
        <w:rPr>
          <w:rStyle w:val="FootnoteReference"/>
          <w:rFonts w:ascii="Gill Sans MT" w:hAnsi="Gill Sans MT"/>
        </w:rPr>
        <w:footnoteRef/>
      </w:r>
      <w:r w:rsidRPr="004A1CF3">
        <w:rPr>
          <w:rFonts w:ascii="Gill Sans MT" w:hAnsi="Gill Sans MT"/>
        </w:rPr>
        <w:t xml:space="preserve"> </w:t>
      </w:r>
      <w:r w:rsidR="00476674" w:rsidRPr="004A1CF3">
        <w:rPr>
          <w:rFonts w:ascii="Gill Sans MT" w:hAnsi="Gill Sans MT"/>
        </w:rPr>
        <w:t>EU (Withdrawal) Act</w:t>
      </w:r>
      <w:r w:rsidR="0091386A" w:rsidRPr="004A1CF3">
        <w:rPr>
          <w:rFonts w:ascii="Gill Sans MT" w:hAnsi="Gill Sans MT"/>
        </w:rPr>
        <w:t xml:space="preserve"> 2019.</w:t>
      </w:r>
    </w:p>
  </w:footnote>
  <w:footnote w:id="16">
    <w:p w14:paraId="02BF4D6B" w14:textId="7B9A5103" w:rsidR="00B83F66" w:rsidRPr="00AC16EB" w:rsidRDefault="00B83F66">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EU (Withdrawal) Act 2018, s.1</w:t>
      </w:r>
      <w:r w:rsidR="00064552" w:rsidRPr="00AC16EB">
        <w:rPr>
          <w:rFonts w:ascii="Gill Sans MT" w:hAnsi="Gill Sans MT"/>
        </w:rPr>
        <w:t>3</w:t>
      </w:r>
      <w:r w:rsidRPr="00AC16EB">
        <w:rPr>
          <w:rFonts w:ascii="Gill Sans MT" w:hAnsi="Gill Sans MT"/>
        </w:rPr>
        <w:t>.</w:t>
      </w:r>
    </w:p>
  </w:footnote>
  <w:footnote w:id="17">
    <w:p w14:paraId="345B4AA0" w14:textId="016C16E3" w:rsidR="00064552" w:rsidRPr="00AC16EB" w:rsidRDefault="00064552">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See eg </w:t>
      </w:r>
      <w:r w:rsidR="00EC146F" w:rsidRPr="00AC16EB">
        <w:rPr>
          <w:rFonts w:ascii="Gill Sans MT" w:hAnsi="Gill Sans MT"/>
        </w:rPr>
        <w:t xml:space="preserve">B </w:t>
      </w:r>
      <w:r w:rsidRPr="00AC16EB">
        <w:rPr>
          <w:rFonts w:ascii="Gill Sans MT" w:hAnsi="Gill Sans MT"/>
        </w:rPr>
        <w:t>Duffy</w:t>
      </w:r>
      <w:r w:rsidR="00AC16EB">
        <w:rPr>
          <w:rFonts w:ascii="Gill Sans MT" w:hAnsi="Gill Sans MT"/>
        </w:rPr>
        <w:t>,</w:t>
      </w:r>
      <w:r w:rsidRPr="00AC16EB">
        <w:rPr>
          <w:rFonts w:ascii="Gill Sans MT" w:hAnsi="Gill Sans MT"/>
        </w:rPr>
        <w:t xml:space="preserve"> </w:t>
      </w:r>
      <w:r w:rsidR="00EC146F" w:rsidRPr="00AC16EB">
        <w:rPr>
          <w:rFonts w:ascii="Gill Sans MT" w:hAnsi="Gill Sans MT"/>
        </w:rPr>
        <w:t xml:space="preserve">‘Is Britain Really a </w:t>
      </w:r>
      <w:r w:rsidRPr="00AC16EB">
        <w:rPr>
          <w:rFonts w:ascii="Gill Sans MT" w:hAnsi="Gill Sans MT"/>
        </w:rPr>
        <w:t xml:space="preserve">Divided </w:t>
      </w:r>
      <w:r w:rsidR="00EC146F" w:rsidRPr="00AC16EB">
        <w:rPr>
          <w:rFonts w:ascii="Gill Sans MT" w:hAnsi="Gill Sans MT"/>
        </w:rPr>
        <w:t xml:space="preserve">Nation?’ (2020) 11(3) </w:t>
      </w:r>
      <w:r w:rsidR="00EC146F" w:rsidRPr="00AC16EB">
        <w:rPr>
          <w:rFonts w:ascii="Gill Sans MT" w:hAnsi="Gill Sans MT"/>
          <w:i/>
          <w:iCs/>
        </w:rPr>
        <w:t xml:space="preserve">Political Insight </w:t>
      </w:r>
      <w:r w:rsidR="00EC146F" w:rsidRPr="00AC16EB">
        <w:rPr>
          <w:rFonts w:ascii="Gill Sans MT" w:hAnsi="Gill Sans MT"/>
        </w:rPr>
        <w:t>22-25.</w:t>
      </w:r>
    </w:p>
  </w:footnote>
  <w:footnote w:id="18">
    <w:p w14:paraId="669AA3A4" w14:textId="30121BCE" w:rsidR="002F543B" w:rsidRPr="00AC16EB" w:rsidRDefault="002F543B">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The incompleteness is evident from the fact this was simply an agreement for withdrawal – the terms of a future </w:t>
      </w:r>
      <w:r w:rsidR="00152E30" w:rsidRPr="00AC16EB">
        <w:rPr>
          <w:rFonts w:ascii="Gill Sans MT" w:hAnsi="Gill Sans MT"/>
        </w:rPr>
        <w:t>‘Trade and Cooperation Ag</w:t>
      </w:r>
      <w:r w:rsidRPr="00AC16EB">
        <w:rPr>
          <w:rFonts w:ascii="Gill Sans MT" w:hAnsi="Gill Sans MT"/>
        </w:rPr>
        <w:t>r</w:t>
      </w:r>
      <w:r w:rsidR="00152E30" w:rsidRPr="00AC16EB">
        <w:rPr>
          <w:rFonts w:ascii="Gill Sans MT" w:hAnsi="Gill Sans MT"/>
        </w:rPr>
        <w:t>eement’</w:t>
      </w:r>
      <w:r w:rsidRPr="00AC16EB">
        <w:rPr>
          <w:rFonts w:ascii="Gill Sans MT" w:hAnsi="Gill Sans MT"/>
        </w:rPr>
        <w:t xml:space="preserve"> w</w:t>
      </w:r>
      <w:r w:rsidR="00152E30" w:rsidRPr="00AC16EB">
        <w:rPr>
          <w:rFonts w:ascii="Gill Sans MT" w:hAnsi="Gill Sans MT"/>
        </w:rPr>
        <w:t xml:space="preserve">ere </w:t>
      </w:r>
      <w:r w:rsidRPr="00AC16EB">
        <w:rPr>
          <w:rFonts w:ascii="Gill Sans MT" w:hAnsi="Gill Sans MT"/>
        </w:rPr>
        <w:t>not concluded until December 2020,</w:t>
      </w:r>
      <w:r w:rsidR="00CF0002" w:rsidRPr="00AC16EB">
        <w:rPr>
          <w:rFonts w:ascii="Gill Sans MT" w:hAnsi="Gill Sans MT"/>
        </w:rPr>
        <w:t xml:space="preserve"> at the end of an 11</w:t>
      </w:r>
      <w:r w:rsidR="00AC16EB" w:rsidRPr="00AC16EB">
        <w:rPr>
          <w:rFonts w:ascii="Gill Sans MT" w:hAnsi="Gill Sans MT"/>
        </w:rPr>
        <w:t>-</w:t>
      </w:r>
      <w:r w:rsidR="00CF0002" w:rsidRPr="00AC16EB">
        <w:rPr>
          <w:rFonts w:ascii="Gill Sans MT" w:hAnsi="Gill Sans MT"/>
        </w:rPr>
        <w:t>month transition period, and</w:t>
      </w:r>
      <w:r w:rsidRPr="00AC16EB">
        <w:rPr>
          <w:rFonts w:ascii="Gill Sans MT" w:hAnsi="Gill Sans MT"/>
        </w:rPr>
        <w:t xml:space="preserve"> implemented by the EU (Future Relationship) Act 2020</w:t>
      </w:r>
      <w:r w:rsidR="00147347" w:rsidRPr="00AC16EB">
        <w:rPr>
          <w:rFonts w:ascii="Gill Sans MT" w:hAnsi="Gill Sans MT"/>
        </w:rPr>
        <w:t>.  Aspects of the Withdrawal Agreement are still politically contested, especially the Northern Ireland Protocol.</w:t>
      </w:r>
    </w:p>
  </w:footnote>
  <w:footnote w:id="19">
    <w:p w14:paraId="3BDF8AF7" w14:textId="58CB7E09" w:rsidR="001A4456" w:rsidRPr="00AC16EB" w:rsidRDefault="001A4456" w:rsidP="001A4456">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w:t>
      </w:r>
      <w:r w:rsidR="00EB02BC" w:rsidRPr="00AC16EB">
        <w:rPr>
          <w:rFonts w:ascii="Gill Sans MT" w:hAnsi="Gill Sans MT"/>
        </w:rPr>
        <w:t>[2017] UKSC 5.</w:t>
      </w:r>
    </w:p>
  </w:footnote>
  <w:footnote w:id="20">
    <w:p w14:paraId="07BC5032" w14:textId="5B8EBE5A" w:rsidR="001A4456" w:rsidRPr="00AC16EB" w:rsidRDefault="001A4456">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w:t>
      </w:r>
      <w:r w:rsidR="00EB02BC" w:rsidRPr="00AC16EB">
        <w:rPr>
          <w:rFonts w:ascii="Gill Sans MT" w:hAnsi="Gill Sans MT"/>
        </w:rPr>
        <w:t>[2019] UKSC 41.</w:t>
      </w:r>
    </w:p>
  </w:footnote>
  <w:footnote w:id="21">
    <w:p w14:paraId="6F18140E" w14:textId="30F87EA7" w:rsidR="00EB02BC" w:rsidRDefault="00EB02BC">
      <w:pPr>
        <w:pStyle w:val="FootnoteText"/>
      </w:pPr>
      <w:r w:rsidRPr="00AC16EB">
        <w:rPr>
          <w:rStyle w:val="FootnoteReference"/>
          <w:rFonts w:ascii="Gill Sans MT" w:hAnsi="Gill Sans MT"/>
        </w:rPr>
        <w:footnoteRef/>
      </w:r>
      <w:r w:rsidRPr="00AC16EB">
        <w:rPr>
          <w:rFonts w:ascii="Gill Sans MT" w:hAnsi="Gill Sans MT"/>
        </w:rPr>
        <w:t xml:space="preserve"> [2017] UKSC 5, [3].</w:t>
      </w:r>
    </w:p>
  </w:footnote>
  <w:footnote w:id="22">
    <w:p w14:paraId="5F9E83FF" w14:textId="6C8E7A58" w:rsidR="00EB02BC" w:rsidRPr="00AC16EB" w:rsidRDefault="00EB02BC">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Ibid, [3].</w:t>
      </w:r>
    </w:p>
  </w:footnote>
  <w:footnote w:id="23">
    <w:p w14:paraId="69370BB5" w14:textId="4B4F9E98" w:rsidR="00852FE2" w:rsidRPr="00AC16EB" w:rsidRDefault="00852FE2">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[2019] UKSC 41, [31].</w:t>
      </w:r>
    </w:p>
  </w:footnote>
  <w:footnote w:id="24">
    <w:p w14:paraId="36A16D1C" w14:textId="609597D4" w:rsidR="005E1523" w:rsidRPr="00AC16EB" w:rsidRDefault="005E1523">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Ibid, [31], [36].</w:t>
      </w:r>
    </w:p>
  </w:footnote>
  <w:footnote w:id="25">
    <w:p w14:paraId="58B3D7B3" w14:textId="3DC8D97D" w:rsidR="00C81DD6" w:rsidRPr="00AC16EB" w:rsidRDefault="00C81DD6">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[2019] EWHC 2381 (QB), [56].</w:t>
      </w:r>
    </w:p>
  </w:footnote>
  <w:footnote w:id="26">
    <w:p w14:paraId="2F23BEA7" w14:textId="46D2F04F" w:rsidR="006C5F79" w:rsidRPr="00AC16EB" w:rsidRDefault="006C5F79">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[2017] UKSC 5, [81].</w:t>
      </w:r>
    </w:p>
  </w:footnote>
  <w:footnote w:id="27">
    <w:p w14:paraId="658233F2" w14:textId="5B00C125" w:rsidR="006C5F79" w:rsidRPr="00AC16EB" w:rsidRDefault="006C5F79">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[2019] UKSC 41, [1].</w:t>
      </w:r>
    </w:p>
  </w:footnote>
  <w:footnote w:id="28">
    <w:p w14:paraId="3027489E" w14:textId="568A33A2" w:rsidR="00631529" w:rsidRPr="00AC16EB" w:rsidRDefault="00631529">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Ibid [46]-[48].</w:t>
      </w:r>
    </w:p>
  </w:footnote>
  <w:footnote w:id="29">
    <w:p w14:paraId="5FD6F88A" w14:textId="5BFAAB42" w:rsidR="00631529" w:rsidRPr="00AC16EB" w:rsidRDefault="00631529">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[2017] UKSC 5, [81].</w:t>
      </w:r>
    </w:p>
  </w:footnote>
  <w:footnote w:id="30">
    <w:p w14:paraId="268A7D7D" w14:textId="2D4D86F6" w:rsidR="00010746" w:rsidRPr="00AC16EB" w:rsidRDefault="00010746">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See the report of the </w:t>
      </w:r>
      <w:r w:rsidRPr="00AC16EB">
        <w:rPr>
          <w:rFonts w:ascii="Gill Sans MT" w:hAnsi="Gill Sans MT"/>
          <w:i/>
          <w:iCs/>
        </w:rPr>
        <w:t xml:space="preserve">Independent Review of Administrative Law </w:t>
      </w:r>
      <w:r w:rsidRPr="00AC16EB">
        <w:rPr>
          <w:rFonts w:ascii="Gill Sans MT" w:hAnsi="Gill Sans MT"/>
        </w:rPr>
        <w:t xml:space="preserve">(2021, </w:t>
      </w:r>
      <w:hyperlink r:id="rId1" w:history="1">
        <w:r w:rsidRPr="00AC16EB">
          <w:rPr>
            <w:rStyle w:val="Hyperlink"/>
            <w:rFonts w:ascii="Gill Sans MT" w:hAnsi="Gill Sans MT"/>
          </w:rPr>
          <w:t>https://www.gov.uk/government/consultations/judicial-review-reform</w:t>
        </w:r>
      </w:hyperlink>
      <w:r w:rsidRPr="00AC16EB">
        <w:rPr>
          <w:rFonts w:ascii="Gill Sans MT" w:hAnsi="Gill Sans MT"/>
        </w:rPr>
        <w:t>) and the subsequent Judicial Review and Courts Bill.</w:t>
      </w:r>
    </w:p>
  </w:footnote>
  <w:footnote w:id="31">
    <w:p w14:paraId="11147ED1" w14:textId="5DEBFD19" w:rsidR="00010746" w:rsidRPr="00AC16EB" w:rsidRDefault="00010746">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w:t>
      </w:r>
      <w:r w:rsidR="00335BCA" w:rsidRPr="00AC16EB">
        <w:rPr>
          <w:rFonts w:ascii="Gill Sans MT" w:hAnsi="Gill Sans MT"/>
        </w:rPr>
        <w:t>European Union (Withdrawal)(No.2) Act 2019.</w:t>
      </w:r>
    </w:p>
  </w:footnote>
  <w:footnote w:id="32">
    <w:p w14:paraId="5BE3FFA7" w14:textId="4DDCE906" w:rsidR="00CA6632" w:rsidRPr="00AC16EB" w:rsidRDefault="00CA6632" w:rsidP="00CA6632">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C McCorkindale</w:t>
      </w:r>
      <w:r w:rsidR="00ED00B4">
        <w:rPr>
          <w:rFonts w:ascii="Gill Sans MT" w:hAnsi="Gill Sans MT"/>
        </w:rPr>
        <w:t xml:space="preserve"> and </w:t>
      </w:r>
      <w:r w:rsidR="00ED00B4" w:rsidRPr="00AC16EB">
        <w:rPr>
          <w:rFonts w:ascii="Gill Sans MT" w:hAnsi="Gill Sans MT"/>
        </w:rPr>
        <w:t>A McHarg</w:t>
      </w:r>
      <w:r w:rsidRPr="00AC16EB">
        <w:rPr>
          <w:rFonts w:ascii="Gill Sans MT" w:hAnsi="Gill Sans MT"/>
        </w:rPr>
        <w:t xml:space="preserve">, ‘Litigating Brexit’ in </w:t>
      </w:r>
      <w:r w:rsidR="00AC16EB">
        <w:rPr>
          <w:rFonts w:ascii="Gill Sans MT" w:hAnsi="Gill Sans MT"/>
        </w:rPr>
        <w:t xml:space="preserve">O Doyle, A McHarg and J Murkens (eds), </w:t>
      </w:r>
      <w:r w:rsidR="00AC16EB" w:rsidRPr="00AC16EB">
        <w:rPr>
          <w:rFonts w:ascii="Gill Sans MT" w:hAnsi="Gill Sans MT"/>
          <w:i/>
          <w:iCs/>
        </w:rPr>
        <w:t>The Brexit Challenge for Ireland and the United Kingdom</w:t>
      </w:r>
      <w:r w:rsidR="00AC16EB">
        <w:rPr>
          <w:rFonts w:ascii="Gill Sans MT" w:hAnsi="Gill Sans MT"/>
        </w:rPr>
        <w:t xml:space="preserve"> (CUP, 2021)</w:t>
      </w:r>
      <w:r w:rsidRPr="00AC16EB">
        <w:rPr>
          <w:rFonts w:ascii="Gill Sans MT" w:hAnsi="Gill Sans MT"/>
        </w:rPr>
        <w:t>.</w:t>
      </w:r>
    </w:p>
  </w:footnote>
  <w:footnote w:id="33">
    <w:p w14:paraId="3C678530" w14:textId="2E277573" w:rsidR="00CA6632" w:rsidRPr="00AC16EB" w:rsidRDefault="00CA6632">
      <w:pPr>
        <w:pStyle w:val="FootnoteText"/>
        <w:rPr>
          <w:rFonts w:ascii="Gill Sans MT" w:hAnsi="Gill Sans MT"/>
        </w:rPr>
      </w:pPr>
      <w:r w:rsidRPr="00AC16EB">
        <w:rPr>
          <w:rStyle w:val="FootnoteReference"/>
          <w:rFonts w:ascii="Gill Sans MT" w:hAnsi="Gill Sans MT"/>
        </w:rPr>
        <w:footnoteRef/>
      </w:r>
      <w:r w:rsidRPr="00AC16EB">
        <w:rPr>
          <w:rFonts w:ascii="Gill Sans MT" w:hAnsi="Gill Sans MT"/>
        </w:rPr>
        <w:t xml:space="preserve"> Ibid.</w:t>
      </w:r>
    </w:p>
  </w:footnote>
  <w:footnote w:id="34">
    <w:p w14:paraId="28F75AD4" w14:textId="353B2417" w:rsidR="00E25CCD" w:rsidRPr="00CA60D2" w:rsidRDefault="00E25CCD">
      <w:pPr>
        <w:pStyle w:val="FootnoteText"/>
        <w:rPr>
          <w:rFonts w:ascii="Gill Sans MT" w:hAnsi="Gill Sans MT"/>
        </w:rPr>
      </w:pPr>
      <w:r w:rsidRPr="00CA60D2">
        <w:rPr>
          <w:rStyle w:val="FootnoteReference"/>
          <w:rFonts w:ascii="Gill Sans MT" w:hAnsi="Gill Sans MT"/>
        </w:rPr>
        <w:footnoteRef/>
      </w:r>
      <w:r w:rsidRPr="00CA60D2">
        <w:rPr>
          <w:rFonts w:ascii="Gill Sans MT" w:hAnsi="Gill Sans MT"/>
        </w:rPr>
        <w:t xml:space="preserve"> [2019] EWCA Civ 304, [49].</w:t>
      </w:r>
    </w:p>
  </w:footnote>
  <w:footnote w:id="35">
    <w:p w14:paraId="48C6B22A" w14:textId="1D66F3CD" w:rsidR="00572AD1" w:rsidRPr="00CA60D2" w:rsidRDefault="00572AD1">
      <w:pPr>
        <w:pStyle w:val="FootnoteText"/>
        <w:rPr>
          <w:rFonts w:ascii="Gill Sans MT" w:hAnsi="Gill Sans MT"/>
        </w:rPr>
      </w:pPr>
      <w:r w:rsidRPr="00CA60D2">
        <w:rPr>
          <w:rStyle w:val="FootnoteReference"/>
          <w:rFonts w:ascii="Gill Sans MT" w:hAnsi="Gill Sans MT"/>
        </w:rPr>
        <w:footnoteRef/>
      </w:r>
      <w:r w:rsidRPr="00CA60D2">
        <w:rPr>
          <w:rFonts w:ascii="Gill Sans MT" w:hAnsi="Gill Sans MT"/>
        </w:rPr>
        <w:t xml:space="preserve"> [2018] CSIH 62, [58].</w:t>
      </w:r>
    </w:p>
  </w:footnote>
  <w:footnote w:id="36">
    <w:p w14:paraId="5C5EBB77" w14:textId="27C190D9" w:rsidR="009A3DFE" w:rsidRPr="00CA60D2" w:rsidRDefault="009A3DFE">
      <w:pPr>
        <w:pStyle w:val="FootnoteText"/>
        <w:rPr>
          <w:rFonts w:ascii="Gill Sans MT" w:hAnsi="Gill Sans MT"/>
        </w:rPr>
      </w:pPr>
      <w:r w:rsidRPr="00CA60D2">
        <w:rPr>
          <w:rStyle w:val="FootnoteReference"/>
          <w:rFonts w:ascii="Gill Sans MT" w:hAnsi="Gill Sans MT"/>
        </w:rPr>
        <w:footnoteRef/>
      </w:r>
      <w:r w:rsidRPr="00CA60D2">
        <w:rPr>
          <w:rFonts w:ascii="Gill Sans MT" w:hAnsi="Gill Sans MT"/>
        </w:rPr>
        <w:t xml:space="preserve"> Case C-621/18.</w:t>
      </w:r>
    </w:p>
  </w:footnote>
  <w:footnote w:id="37">
    <w:p w14:paraId="58A773E9" w14:textId="162E86A8" w:rsidR="00196825" w:rsidRPr="00CA60D2" w:rsidRDefault="00196825">
      <w:pPr>
        <w:pStyle w:val="FootnoteText"/>
        <w:rPr>
          <w:rFonts w:ascii="Gill Sans MT" w:hAnsi="Gill Sans MT"/>
        </w:rPr>
      </w:pPr>
      <w:r w:rsidRPr="00CA60D2">
        <w:rPr>
          <w:rStyle w:val="FootnoteReference"/>
          <w:rFonts w:ascii="Gill Sans MT" w:hAnsi="Gill Sans MT"/>
        </w:rPr>
        <w:footnoteRef/>
      </w:r>
      <w:r w:rsidRPr="00CA60D2">
        <w:rPr>
          <w:rFonts w:ascii="Gill Sans MT" w:hAnsi="Gill Sans MT"/>
        </w:rPr>
        <w:t xml:space="preserve"> Ministerial Code (2019), para</w:t>
      </w:r>
      <w:r w:rsidR="00C05F24" w:rsidRPr="00CA60D2">
        <w:rPr>
          <w:rFonts w:ascii="Gill Sans MT" w:hAnsi="Gill Sans MT"/>
        </w:rPr>
        <w:t xml:space="preserve"> </w:t>
      </w:r>
      <w:r w:rsidR="0013711F">
        <w:rPr>
          <w:rFonts w:ascii="Gill Sans MT" w:hAnsi="Gill Sans MT"/>
        </w:rPr>
        <w:t>2.1</w:t>
      </w:r>
      <w:r w:rsidRPr="00CA60D2">
        <w:rPr>
          <w:rFonts w:ascii="Gill Sans MT" w:hAnsi="Gill Sans MT"/>
        </w:rPr>
        <w:t>.</w:t>
      </w:r>
    </w:p>
  </w:footnote>
  <w:footnote w:id="38">
    <w:p w14:paraId="771E0B89" w14:textId="31FCDCB8" w:rsidR="00D131C1" w:rsidRPr="00CA60D2" w:rsidRDefault="00D131C1">
      <w:pPr>
        <w:pStyle w:val="FootnoteText"/>
        <w:rPr>
          <w:rFonts w:ascii="Gill Sans MT" w:hAnsi="Gill Sans MT"/>
        </w:rPr>
      </w:pPr>
      <w:r w:rsidRPr="00CA60D2">
        <w:rPr>
          <w:rStyle w:val="FootnoteReference"/>
          <w:rFonts w:ascii="Gill Sans MT" w:hAnsi="Gill Sans MT"/>
        </w:rPr>
        <w:footnoteRef/>
      </w:r>
      <w:r w:rsidRPr="00CA60D2">
        <w:rPr>
          <w:rFonts w:ascii="Gill Sans MT" w:hAnsi="Gill Sans MT"/>
        </w:rPr>
        <w:t xml:space="preserve"> See https://www.gov.uk/government/publications/exiting-the-eu-publication-of-legal-advice.</w:t>
      </w:r>
    </w:p>
  </w:footnote>
  <w:footnote w:id="39">
    <w:p w14:paraId="75495106" w14:textId="5ABE767B" w:rsidR="002A505E" w:rsidRPr="00F877FE" w:rsidRDefault="002A505E">
      <w:pPr>
        <w:pStyle w:val="FootnoteText"/>
        <w:rPr>
          <w:rFonts w:ascii="Gill Sans MT" w:hAnsi="Gill Sans MT"/>
        </w:rPr>
      </w:pPr>
      <w:r w:rsidRPr="00F877FE">
        <w:rPr>
          <w:rStyle w:val="FootnoteReference"/>
          <w:rFonts w:ascii="Gill Sans MT" w:hAnsi="Gill Sans MT"/>
        </w:rPr>
        <w:footnoteRef/>
      </w:r>
      <w:r w:rsidRPr="00F877FE">
        <w:rPr>
          <w:rFonts w:ascii="Gill Sans MT" w:hAnsi="Gill Sans MT"/>
        </w:rPr>
        <w:t xml:space="preserve"> </w:t>
      </w:r>
      <w:r w:rsidR="00A601F5">
        <w:rPr>
          <w:rFonts w:ascii="Gill Sans MT" w:hAnsi="Gill Sans MT"/>
        </w:rPr>
        <w:t xml:space="preserve">See G </w:t>
      </w:r>
      <w:r w:rsidRPr="00F877FE">
        <w:rPr>
          <w:rFonts w:ascii="Gill Sans MT" w:hAnsi="Gill Sans MT"/>
        </w:rPr>
        <w:t>Marshall</w:t>
      </w:r>
      <w:r w:rsidR="00A601F5">
        <w:rPr>
          <w:rFonts w:ascii="Gill Sans MT" w:hAnsi="Gill Sans MT"/>
        </w:rPr>
        <w:t xml:space="preserve">, </w:t>
      </w:r>
      <w:r w:rsidR="00A601F5">
        <w:rPr>
          <w:rFonts w:ascii="Gill Sans MT" w:hAnsi="Gill Sans MT"/>
          <w:i/>
          <w:iCs/>
        </w:rPr>
        <w:t>Constitutional Conventions</w:t>
      </w:r>
      <w:r w:rsidR="00953B13">
        <w:rPr>
          <w:rFonts w:ascii="Gill Sans MT" w:hAnsi="Gill Sans MT"/>
          <w:i/>
          <w:iCs/>
        </w:rPr>
        <w:t>: The Rules and Forms of Political Accountability</w:t>
      </w:r>
      <w:r w:rsidR="00A601F5">
        <w:rPr>
          <w:rFonts w:ascii="Gill Sans MT" w:hAnsi="Gill Sans MT"/>
          <w:i/>
          <w:iCs/>
        </w:rPr>
        <w:t xml:space="preserve"> </w:t>
      </w:r>
      <w:r w:rsidR="00A601F5">
        <w:rPr>
          <w:rFonts w:ascii="Gill Sans MT" w:hAnsi="Gill Sans MT"/>
        </w:rPr>
        <w:t>(</w:t>
      </w:r>
      <w:r w:rsidR="00953B13">
        <w:rPr>
          <w:rFonts w:ascii="Gill Sans MT" w:hAnsi="Gill Sans MT"/>
        </w:rPr>
        <w:t xml:space="preserve">OUP, </w:t>
      </w:r>
      <w:r w:rsidR="00A601F5">
        <w:rPr>
          <w:rFonts w:ascii="Gill Sans MT" w:hAnsi="Gill Sans MT"/>
        </w:rPr>
        <w:t>1984) 55-56.</w:t>
      </w:r>
    </w:p>
  </w:footnote>
  <w:footnote w:id="40">
    <w:p w14:paraId="19A9966D" w14:textId="6B6C3E06" w:rsidR="0035191D" w:rsidRPr="00F877FE" w:rsidRDefault="0035191D">
      <w:pPr>
        <w:pStyle w:val="FootnoteText"/>
        <w:rPr>
          <w:rFonts w:ascii="Gill Sans MT" w:hAnsi="Gill Sans MT"/>
        </w:rPr>
      </w:pPr>
      <w:r w:rsidRPr="00F877FE">
        <w:rPr>
          <w:rStyle w:val="FootnoteReference"/>
          <w:rFonts w:ascii="Gill Sans MT" w:hAnsi="Gill Sans MT"/>
        </w:rPr>
        <w:footnoteRef/>
      </w:r>
      <w:r w:rsidRPr="00F877FE">
        <w:rPr>
          <w:rFonts w:ascii="Gill Sans MT" w:hAnsi="Gill Sans MT"/>
        </w:rPr>
        <w:t xml:space="preserve"> </w:t>
      </w:r>
      <w:r w:rsidR="00F877FE" w:rsidRPr="00F877FE">
        <w:rPr>
          <w:rFonts w:ascii="Gill Sans MT" w:hAnsi="Gill Sans MT"/>
        </w:rPr>
        <w:t xml:space="preserve">See </w:t>
      </w:r>
      <w:r w:rsidRPr="00F877FE">
        <w:rPr>
          <w:rFonts w:ascii="Gill Sans MT" w:hAnsi="Gill Sans MT"/>
        </w:rPr>
        <w:t>https://www.civilserviceworld.com/professions/article/civil-service-chief-sedwill-slams-brexiteer-sniping-at-olly-robbins</w:t>
      </w:r>
    </w:p>
  </w:footnote>
  <w:footnote w:id="41">
    <w:p w14:paraId="1544ADEC" w14:textId="4B2B8A93" w:rsidR="003C0AF9" w:rsidRPr="00F877FE" w:rsidRDefault="003C0AF9">
      <w:pPr>
        <w:pStyle w:val="FootnoteText"/>
        <w:rPr>
          <w:rFonts w:ascii="Gill Sans MT" w:hAnsi="Gill Sans MT"/>
        </w:rPr>
      </w:pPr>
      <w:r w:rsidRPr="00F877FE">
        <w:rPr>
          <w:rStyle w:val="FootnoteReference"/>
          <w:rFonts w:ascii="Gill Sans MT" w:hAnsi="Gill Sans MT"/>
        </w:rPr>
        <w:footnoteRef/>
      </w:r>
      <w:r w:rsidRPr="00F877FE">
        <w:rPr>
          <w:rFonts w:ascii="Gill Sans MT" w:hAnsi="Gill Sans MT"/>
        </w:rPr>
        <w:t xml:space="preserve"> See eg R Hayton, ‘Brexit and Party Change: The Conservatives and Labour at Westminster’ (2021) </w:t>
      </w:r>
      <w:r w:rsidRPr="00F877FE">
        <w:rPr>
          <w:rFonts w:ascii="Gill Sans MT" w:hAnsi="Gill Sans MT"/>
          <w:i/>
          <w:iCs/>
        </w:rPr>
        <w:t xml:space="preserve">International Political Science Review </w:t>
      </w:r>
      <w:r w:rsidRPr="00F877FE">
        <w:rPr>
          <w:rFonts w:ascii="Gill Sans MT" w:hAnsi="Gill Sans MT"/>
        </w:rPr>
        <w:t>1-14.</w:t>
      </w:r>
    </w:p>
  </w:footnote>
  <w:footnote w:id="42">
    <w:p w14:paraId="0F79093E" w14:textId="42F17A48" w:rsidR="00C62BAA" w:rsidRPr="00F877FE" w:rsidRDefault="00C62BAA">
      <w:pPr>
        <w:pStyle w:val="FootnoteText"/>
        <w:rPr>
          <w:rFonts w:ascii="Gill Sans MT" w:hAnsi="Gill Sans MT"/>
        </w:rPr>
      </w:pPr>
      <w:r w:rsidRPr="00F877FE">
        <w:rPr>
          <w:rStyle w:val="FootnoteReference"/>
          <w:rFonts w:ascii="Gill Sans MT" w:hAnsi="Gill Sans MT"/>
        </w:rPr>
        <w:footnoteRef/>
      </w:r>
      <w:r w:rsidRPr="00F877FE">
        <w:rPr>
          <w:rFonts w:ascii="Gill Sans MT" w:hAnsi="Gill Sans MT"/>
        </w:rPr>
        <w:t xml:space="preserve"> Although there have also been various periods where devolved government was in operation in Northern Ireland, dating to the Government of Ireland Act 1920.</w:t>
      </w:r>
    </w:p>
  </w:footnote>
  <w:footnote w:id="43">
    <w:p w14:paraId="16C02806" w14:textId="1A330CF0" w:rsidR="00B07809" w:rsidRDefault="00B07809">
      <w:pPr>
        <w:pStyle w:val="FootnoteText"/>
      </w:pPr>
      <w:r w:rsidRPr="00F877FE">
        <w:rPr>
          <w:rStyle w:val="FootnoteReference"/>
          <w:rFonts w:ascii="Gill Sans MT" w:hAnsi="Gill Sans MT"/>
        </w:rPr>
        <w:footnoteRef/>
      </w:r>
      <w:r w:rsidRPr="00F877FE">
        <w:rPr>
          <w:rFonts w:ascii="Gill Sans MT" w:hAnsi="Gill Sans MT"/>
        </w:rPr>
        <w:t xml:space="preserve"> The Scottish independence referendum held in 2014 was clearly also a major event, made possible by the existence of the devolved institutions, but its impact was focused on the relationship between Scotland and the UK, rather than the UK and the devolution system in general.</w:t>
      </w:r>
    </w:p>
  </w:footnote>
  <w:footnote w:id="44">
    <w:p w14:paraId="0B06A494" w14:textId="4C31A79E" w:rsidR="00442721" w:rsidRPr="00EC4055" w:rsidRDefault="00442721">
      <w:pPr>
        <w:pStyle w:val="FootnoteText"/>
        <w:rPr>
          <w:rFonts w:ascii="Gill Sans MT" w:hAnsi="Gill Sans MT"/>
        </w:rPr>
      </w:pPr>
      <w:r w:rsidRPr="00EC4055">
        <w:rPr>
          <w:rStyle w:val="FootnoteReference"/>
          <w:rFonts w:ascii="Gill Sans MT" w:hAnsi="Gill Sans MT"/>
        </w:rPr>
        <w:footnoteRef/>
      </w:r>
      <w:r w:rsidRPr="00EC4055">
        <w:rPr>
          <w:rFonts w:ascii="Gill Sans MT" w:hAnsi="Gill Sans MT"/>
        </w:rPr>
        <w:t xml:space="preserve"> Scotland Act 1998, Schedule 5, para 7(1); Government of Wales Act 2006, Schedule 7A, para 10(2); Northern Ireland Act 1998, Schedule 2, para 3.  In the case of Northern Ireland, these are technically referred to as ‘excepted matters’.</w:t>
      </w:r>
    </w:p>
  </w:footnote>
  <w:footnote w:id="45">
    <w:p w14:paraId="6B3CE215" w14:textId="3DB7E029" w:rsidR="00B16E1F" w:rsidRPr="00EC4055" w:rsidRDefault="00B16E1F" w:rsidP="00B16E1F">
      <w:pPr>
        <w:pStyle w:val="FootnoteText"/>
        <w:rPr>
          <w:rFonts w:ascii="Gill Sans MT" w:hAnsi="Gill Sans MT"/>
        </w:rPr>
      </w:pPr>
      <w:r w:rsidRPr="00EC4055">
        <w:rPr>
          <w:rStyle w:val="FootnoteReference"/>
          <w:rFonts w:ascii="Gill Sans MT" w:hAnsi="Gill Sans MT"/>
        </w:rPr>
        <w:footnoteRef/>
      </w:r>
      <w:r w:rsidRPr="00EC4055">
        <w:rPr>
          <w:rFonts w:ascii="Gill Sans MT" w:hAnsi="Gill Sans MT"/>
        </w:rPr>
        <w:t xml:space="preserve"> 62% for remain in Scotland and 55.8% for remain in Northern Ireland, contrasted with 53.4% for leave in England and 52.5% for leave in Wales; see https://www.bbc.co.uk/news/politics/eu_referendum/results.</w:t>
      </w:r>
    </w:p>
  </w:footnote>
  <w:footnote w:id="46">
    <w:p w14:paraId="5FBFC221" w14:textId="671A8C14" w:rsidR="00FA6974" w:rsidRPr="00EC4055" w:rsidRDefault="00FA6974">
      <w:pPr>
        <w:pStyle w:val="FootnoteText"/>
        <w:rPr>
          <w:rFonts w:ascii="Gill Sans MT" w:hAnsi="Gill Sans MT"/>
        </w:rPr>
      </w:pPr>
      <w:r w:rsidRPr="00EC4055">
        <w:rPr>
          <w:rStyle w:val="FootnoteReference"/>
          <w:rFonts w:ascii="Gill Sans MT" w:hAnsi="Gill Sans MT"/>
        </w:rPr>
        <w:footnoteRef/>
      </w:r>
      <w:r w:rsidRPr="00EC4055">
        <w:rPr>
          <w:rFonts w:ascii="Gill Sans MT" w:hAnsi="Gill Sans MT"/>
        </w:rPr>
        <w:t xml:space="preserve"> At least 40% of the eligible voting population were required to vote in favour; Scotland Act 1978, s.</w:t>
      </w:r>
      <w:r w:rsidR="00F35E79" w:rsidRPr="00EC4055">
        <w:rPr>
          <w:rFonts w:ascii="Gill Sans MT" w:hAnsi="Gill Sans MT"/>
        </w:rPr>
        <w:t>85(2).</w:t>
      </w:r>
    </w:p>
  </w:footnote>
  <w:footnote w:id="47">
    <w:p w14:paraId="52C4F73B" w14:textId="247830E7" w:rsidR="00C42D79" w:rsidRPr="00EC4055" w:rsidRDefault="00C42D79">
      <w:pPr>
        <w:pStyle w:val="FootnoteText"/>
        <w:rPr>
          <w:rFonts w:ascii="Gill Sans MT" w:hAnsi="Gill Sans MT"/>
        </w:rPr>
      </w:pPr>
      <w:r w:rsidRPr="00EC4055">
        <w:rPr>
          <w:rStyle w:val="FootnoteReference"/>
          <w:rFonts w:ascii="Gill Sans MT" w:hAnsi="Gill Sans MT"/>
        </w:rPr>
        <w:footnoteRef/>
      </w:r>
      <w:r w:rsidRPr="00EC4055">
        <w:rPr>
          <w:rFonts w:ascii="Gill Sans MT" w:hAnsi="Gill Sans MT"/>
        </w:rPr>
        <w:t xml:space="preserve"> The total UK population is 66.8 million; of that, England’s population is 56.3 million, Scotland’s is 5.5 million, Wales is 3.2 million, and Northern Ireland is 1.9 million.  See</w:t>
      </w:r>
      <w:r w:rsidR="00B16E1F" w:rsidRPr="00EC4055">
        <w:rPr>
          <w:rFonts w:ascii="Gill Sans MT" w:hAnsi="Gill Sans MT"/>
        </w:rPr>
        <w:t xml:space="preserve"> </w:t>
      </w:r>
      <w:r w:rsidRPr="00EC4055">
        <w:rPr>
          <w:rFonts w:ascii="Gill Sans MT" w:hAnsi="Gill Sans MT"/>
        </w:rPr>
        <w:t>https://www.ons.gov.uk/peoplepopulationandcommunity/populationandmigration/populationestimates/articles/overviewoftheukpopulation/january2021.</w:t>
      </w:r>
    </w:p>
  </w:footnote>
  <w:footnote w:id="48">
    <w:p w14:paraId="08285801" w14:textId="19CE361A" w:rsidR="0012168F" w:rsidRPr="00EC4055" w:rsidRDefault="0012168F">
      <w:pPr>
        <w:pStyle w:val="FootnoteText"/>
        <w:rPr>
          <w:rFonts w:ascii="Gill Sans MT" w:hAnsi="Gill Sans MT"/>
        </w:rPr>
      </w:pPr>
      <w:r w:rsidRPr="00EC4055">
        <w:rPr>
          <w:rStyle w:val="FootnoteReference"/>
          <w:rFonts w:ascii="Gill Sans MT" w:hAnsi="Gill Sans MT"/>
        </w:rPr>
        <w:footnoteRef/>
      </w:r>
      <w:r w:rsidRPr="00EC4055">
        <w:rPr>
          <w:rFonts w:ascii="Gill Sans MT" w:hAnsi="Gill Sans MT"/>
        </w:rPr>
        <w:t xml:space="preserve"> See eg Scottish Government, </w:t>
      </w:r>
      <w:r w:rsidRPr="00EC4055">
        <w:rPr>
          <w:rFonts w:ascii="Gill Sans MT" w:hAnsi="Gill Sans MT"/>
          <w:i/>
          <w:iCs/>
        </w:rPr>
        <w:t xml:space="preserve">Scotland’s Place in Europe </w:t>
      </w:r>
      <w:r w:rsidRPr="00EC4055">
        <w:rPr>
          <w:rFonts w:ascii="Gill Sans MT" w:hAnsi="Gill Sans MT"/>
        </w:rPr>
        <w:t xml:space="preserve">(20 December 2016); Welsh Government, </w:t>
      </w:r>
      <w:r w:rsidRPr="00EC4055">
        <w:rPr>
          <w:rFonts w:ascii="Gill Sans MT" w:hAnsi="Gill Sans MT"/>
          <w:i/>
          <w:iCs/>
        </w:rPr>
        <w:t xml:space="preserve">Securing Wales’ Future </w:t>
      </w:r>
      <w:r w:rsidRPr="00EC4055">
        <w:rPr>
          <w:rFonts w:ascii="Gill Sans MT" w:hAnsi="Gill Sans MT"/>
        </w:rPr>
        <w:t>(23 January 2017).</w:t>
      </w:r>
    </w:p>
  </w:footnote>
  <w:footnote w:id="49">
    <w:p w14:paraId="526871E0" w14:textId="063E6183" w:rsidR="00F01FD3" w:rsidRPr="00620E83" w:rsidRDefault="00F01FD3">
      <w:pPr>
        <w:pStyle w:val="FootnoteText"/>
        <w:rPr>
          <w:rFonts w:ascii="Gill Sans MT" w:hAnsi="Gill Sans MT"/>
        </w:rPr>
      </w:pPr>
      <w:r w:rsidRPr="00620E83">
        <w:rPr>
          <w:rStyle w:val="FootnoteReference"/>
          <w:rFonts w:ascii="Gill Sans MT" w:hAnsi="Gill Sans MT"/>
        </w:rPr>
        <w:footnoteRef/>
      </w:r>
      <w:r w:rsidRPr="00620E83">
        <w:rPr>
          <w:rFonts w:ascii="Gill Sans MT" w:hAnsi="Gill Sans MT"/>
        </w:rPr>
        <w:t xml:space="preserve"> </w:t>
      </w:r>
      <w:r w:rsidR="00EC4055" w:rsidRPr="00620E83">
        <w:rPr>
          <w:rFonts w:ascii="Gill Sans MT" w:hAnsi="Gill Sans MT"/>
        </w:rPr>
        <w:t>Scotland Act 1998 s 28(7); Northern Ireland Act 1998 s 5(6); Government of Wales Act 2006 s 107(5).</w:t>
      </w:r>
    </w:p>
  </w:footnote>
  <w:footnote w:id="50">
    <w:p w14:paraId="1CE3FEC9" w14:textId="77777777" w:rsidR="006B37BB" w:rsidRPr="00620E83" w:rsidRDefault="006B37BB" w:rsidP="006B37BB">
      <w:pPr>
        <w:autoSpaceDE w:val="0"/>
        <w:autoSpaceDN w:val="0"/>
        <w:adjustRightInd w:val="0"/>
        <w:spacing w:after="0" w:line="240" w:lineRule="auto"/>
        <w:rPr>
          <w:rFonts w:ascii="Gill Sans MT" w:hAnsi="Gill Sans MT" w:cs="AdvOT635f2c37"/>
          <w:sz w:val="20"/>
          <w:szCs w:val="20"/>
        </w:rPr>
      </w:pPr>
      <w:r w:rsidRPr="00620E83">
        <w:rPr>
          <w:rStyle w:val="FootnoteReference"/>
          <w:rFonts w:ascii="Gill Sans MT" w:hAnsi="Gill Sans MT"/>
          <w:sz w:val="20"/>
          <w:szCs w:val="20"/>
        </w:rPr>
        <w:footnoteRef/>
      </w:r>
      <w:r w:rsidRPr="00620E83">
        <w:rPr>
          <w:rFonts w:ascii="Gill Sans MT" w:hAnsi="Gill Sans MT"/>
          <w:sz w:val="20"/>
          <w:szCs w:val="20"/>
        </w:rPr>
        <w:t xml:space="preserve"> </w:t>
      </w:r>
      <w:r w:rsidRPr="00236642">
        <w:rPr>
          <w:rFonts w:ascii="Gill Sans MT" w:hAnsi="Gill Sans MT" w:cs="AdvOTa14f9db0.I"/>
          <w:i/>
          <w:iCs/>
          <w:sz w:val="20"/>
          <w:szCs w:val="20"/>
        </w:rPr>
        <w:t>Devolution: Memorandum of Understanding and Supplementary Agreements</w:t>
      </w:r>
      <w:r w:rsidRPr="00620E83">
        <w:rPr>
          <w:rFonts w:ascii="Gill Sans MT" w:hAnsi="Gill Sans MT" w:cs="AdvOTa14f9db0.I"/>
          <w:sz w:val="20"/>
          <w:szCs w:val="20"/>
        </w:rPr>
        <w:t xml:space="preserve"> </w:t>
      </w:r>
      <w:r w:rsidRPr="00620E83">
        <w:rPr>
          <w:rFonts w:ascii="Gill Sans MT" w:hAnsi="Gill Sans MT" w:cs="AdvOT635f2c37"/>
          <w:sz w:val="20"/>
          <w:szCs w:val="20"/>
        </w:rPr>
        <w:t>(October 2013)</w:t>
      </w:r>
    </w:p>
    <w:p w14:paraId="71B23304" w14:textId="77777777" w:rsidR="006B37BB" w:rsidRPr="00620E83" w:rsidRDefault="006B37BB" w:rsidP="006B37BB">
      <w:pPr>
        <w:pStyle w:val="FootnoteText"/>
        <w:rPr>
          <w:rFonts w:ascii="Gill Sans MT" w:hAnsi="Gill Sans MT"/>
        </w:rPr>
      </w:pPr>
      <w:r>
        <w:rPr>
          <w:rFonts w:ascii="Gill Sans MT" w:hAnsi="Gill Sans MT" w:cs="AdvOT635f2c37"/>
        </w:rPr>
        <w:t xml:space="preserve">para </w:t>
      </w:r>
      <w:r w:rsidRPr="00620E83">
        <w:rPr>
          <w:rFonts w:ascii="Gill Sans MT" w:hAnsi="Gill Sans MT" w:cs="AdvOT635f2c37"/>
        </w:rPr>
        <w:t>14</w:t>
      </w:r>
      <w:r>
        <w:rPr>
          <w:rFonts w:ascii="Gill Sans MT" w:hAnsi="Gill Sans MT" w:cs="AdvOT635f2c37"/>
        </w:rPr>
        <w:t xml:space="preserve">; </w:t>
      </w:r>
      <w:r>
        <w:rPr>
          <w:rFonts w:ascii="Gill Sans MT" w:hAnsi="Gill Sans MT"/>
        </w:rPr>
        <w:t>Department for Constitutional Affairs, ‘Devolution Guidance Note 10 – Post-Devolution Primary Legislation Affecting the Scottish Parliament’</w:t>
      </w:r>
      <w:r>
        <w:rPr>
          <w:rFonts w:ascii="Gill Sans MT" w:hAnsi="Gill Sans MT"/>
          <w:i/>
        </w:rPr>
        <w:t xml:space="preserve"> </w:t>
      </w:r>
      <w:r>
        <w:rPr>
          <w:rFonts w:ascii="Gill Sans MT" w:hAnsi="Gill Sans MT"/>
        </w:rPr>
        <w:t>(November 2005), para 4.3.</w:t>
      </w:r>
    </w:p>
  </w:footnote>
  <w:footnote w:id="51">
    <w:p w14:paraId="5D605CCC" w14:textId="4BCC15CB" w:rsidR="006B7EB0" w:rsidRPr="006B37BB" w:rsidRDefault="006B7EB0">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See </w:t>
      </w:r>
      <w:r w:rsidR="006B37BB" w:rsidRPr="006B37BB">
        <w:rPr>
          <w:rFonts w:ascii="Gill Sans MT" w:hAnsi="Gill Sans MT"/>
        </w:rPr>
        <w:t xml:space="preserve">eg the statistics showing regular use of LCMs compiled by the Institute for Government; </w:t>
      </w:r>
      <w:r w:rsidR="006B37BB" w:rsidRPr="006B37BB">
        <w:rPr>
          <w:rFonts w:ascii="Gill Sans MT" w:hAnsi="Gill Sans MT"/>
        </w:rPr>
        <w:t>‘Sewel Convention’ (</w:t>
      </w:r>
      <w:r w:rsidR="006B37BB" w:rsidRPr="006B37BB">
        <w:rPr>
          <w:rFonts w:ascii="Gill Sans MT" w:hAnsi="Gill Sans MT"/>
        </w:rPr>
        <w:t>8</w:t>
      </w:r>
      <w:r w:rsidR="006B37BB" w:rsidRPr="006B37BB">
        <w:rPr>
          <w:rFonts w:ascii="Gill Sans MT" w:hAnsi="Gill Sans MT"/>
        </w:rPr>
        <w:t xml:space="preserve"> </w:t>
      </w:r>
      <w:r w:rsidR="006B37BB" w:rsidRPr="006B37BB">
        <w:rPr>
          <w:rFonts w:ascii="Gill Sans MT" w:hAnsi="Gill Sans MT"/>
        </w:rPr>
        <w:t>December</w:t>
      </w:r>
      <w:r w:rsidR="006B37BB" w:rsidRPr="006B37BB">
        <w:rPr>
          <w:rFonts w:ascii="Gill Sans MT" w:hAnsi="Gill Sans MT"/>
        </w:rPr>
        <w:t xml:space="preserve"> 20</w:t>
      </w:r>
      <w:r w:rsidR="006B37BB" w:rsidRPr="006B37BB">
        <w:rPr>
          <w:rFonts w:ascii="Gill Sans MT" w:hAnsi="Gill Sans MT"/>
        </w:rPr>
        <w:t>20</w:t>
      </w:r>
      <w:r w:rsidR="006B37BB" w:rsidRPr="006B37BB">
        <w:rPr>
          <w:rFonts w:ascii="Gill Sans MT" w:hAnsi="Gill Sans MT"/>
        </w:rPr>
        <w:t xml:space="preserve">): </w:t>
      </w:r>
      <w:hyperlink r:id="rId2" w:history="1">
        <w:r w:rsidR="006B37BB" w:rsidRPr="006B37BB">
          <w:rPr>
            <w:rStyle w:val="Hyperlink"/>
            <w:rFonts w:ascii="Gill Sans MT" w:hAnsi="Gill Sans MT"/>
          </w:rPr>
          <w:t>https://www.instituteforgovernment.org.uk/exp</w:t>
        </w:r>
        <w:r w:rsidR="006B37BB" w:rsidRPr="006B37BB">
          <w:rPr>
            <w:rStyle w:val="Hyperlink"/>
            <w:rFonts w:ascii="Gill Sans MT" w:hAnsi="Gill Sans MT"/>
          </w:rPr>
          <w:t>l</w:t>
        </w:r>
        <w:r w:rsidR="006B37BB" w:rsidRPr="006B37BB">
          <w:rPr>
            <w:rStyle w:val="Hyperlink"/>
            <w:rFonts w:ascii="Gill Sans MT" w:hAnsi="Gill Sans MT"/>
          </w:rPr>
          <w:t>ainers/se</w:t>
        </w:r>
        <w:r w:rsidR="006B37BB" w:rsidRPr="006B37BB">
          <w:rPr>
            <w:rStyle w:val="Hyperlink"/>
            <w:rFonts w:ascii="Gill Sans MT" w:hAnsi="Gill Sans MT"/>
          </w:rPr>
          <w:t>w</w:t>
        </w:r>
        <w:r w:rsidR="006B37BB" w:rsidRPr="006B37BB">
          <w:rPr>
            <w:rStyle w:val="Hyperlink"/>
            <w:rFonts w:ascii="Gill Sans MT" w:hAnsi="Gill Sans MT"/>
          </w:rPr>
          <w:t>el-convention</w:t>
        </w:r>
      </w:hyperlink>
      <w:r w:rsidR="006B37BB" w:rsidRPr="006B37BB">
        <w:rPr>
          <w:rFonts w:ascii="Gill Sans MT" w:hAnsi="Gill Sans MT"/>
        </w:rPr>
        <w:t>.</w:t>
      </w:r>
    </w:p>
  </w:footnote>
  <w:footnote w:id="52">
    <w:p w14:paraId="56D7AF0B" w14:textId="06934382" w:rsidR="00B67ECC" w:rsidRPr="006B37BB" w:rsidRDefault="00B67ECC">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Scotland Act 2016, s.2.</w:t>
      </w:r>
    </w:p>
  </w:footnote>
  <w:footnote w:id="53">
    <w:p w14:paraId="5A3E6B3D" w14:textId="1797342E" w:rsidR="006B7353" w:rsidRPr="006B37BB" w:rsidRDefault="006B7353">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[2017] UKSC 5, [</w:t>
      </w:r>
      <w:r w:rsidR="00B67ECC" w:rsidRPr="006B37BB">
        <w:rPr>
          <w:rFonts w:ascii="Gill Sans MT" w:hAnsi="Gill Sans MT"/>
        </w:rPr>
        <w:t>144</w:t>
      </w:r>
      <w:r w:rsidRPr="006B37BB">
        <w:rPr>
          <w:rFonts w:ascii="Gill Sans MT" w:hAnsi="Gill Sans MT"/>
        </w:rPr>
        <w:t>]</w:t>
      </w:r>
      <w:r w:rsidR="00B67ECC" w:rsidRPr="006B37BB">
        <w:rPr>
          <w:rFonts w:ascii="Gill Sans MT" w:hAnsi="Gill Sans MT"/>
        </w:rPr>
        <w:t>-[151]</w:t>
      </w:r>
      <w:r w:rsidRPr="006B37BB">
        <w:rPr>
          <w:rFonts w:ascii="Gill Sans MT" w:hAnsi="Gill Sans MT"/>
        </w:rPr>
        <w:t>.</w:t>
      </w:r>
    </w:p>
  </w:footnote>
  <w:footnote w:id="54">
    <w:p w14:paraId="36C9EC2D" w14:textId="3EDD8857" w:rsidR="00A37B5A" w:rsidRPr="006B37BB" w:rsidRDefault="00A37B5A">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Cabinet Office, Written Statement, </w:t>
      </w:r>
      <w:r w:rsidRPr="006B37BB">
        <w:rPr>
          <w:rFonts w:ascii="Gill Sans MT" w:hAnsi="Gill Sans MT"/>
          <w:i/>
          <w:iCs/>
        </w:rPr>
        <w:t xml:space="preserve">Hansard, </w:t>
      </w:r>
      <w:r w:rsidRPr="006B37BB">
        <w:rPr>
          <w:rFonts w:ascii="Gill Sans MT" w:hAnsi="Gill Sans MT"/>
        </w:rPr>
        <w:t>Vol.687</w:t>
      </w:r>
      <w:r w:rsidRPr="006B37BB">
        <w:rPr>
          <w:rFonts w:ascii="Gill Sans MT" w:hAnsi="Gill Sans MT"/>
          <w:i/>
          <w:iCs/>
        </w:rPr>
        <w:t xml:space="preserve"> </w:t>
      </w:r>
      <w:r w:rsidRPr="006B37BB">
        <w:rPr>
          <w:rFonts w:ascii="Gill Sans MT" w:hAnsi="Gill Sans MT"/>
        </w:rPr>
        <w:t>(HCWS730, 21 January 2021).</w:t>
      </w:r>
    </w:p>
  </w:footnote>
  <w:footnote w:id="55">
    <w:p w14:paraId="6833330A" w14:textId="27782BB7" w:rsidR="003E4BAC" w:rsidRPr="006B37BB" w:rsidRDefault="003E4BAC">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Scottish Government, </w:t>
      </w:r>
      <w:r w:rsidRPr="006B37BB">
        <w:rPr>
          <w:rFonts w:ascii="Gill Sans MT" w:hAnsi="Gill Sans MT"/>
          <w:i/>
          <w:iCs/>
        </w:rPr>
        <w:t xml:space="preserve">After Brexit: The UK Internal Market Act and Devolution </w:t>
      </w:r>
      <w:r w:rsidRPr="006B37BB">
        <w:rPr>
          <w:rFonts w:ascii="Gill Sans MT" w:hAnsi="Gill Sans MT"/>
        </w:rPr>
        <w:t>(8 March 2021) [53].</w:t>
      </w:r>
    </w:p>
  </w:footnote>
  <w:footnote w:id="56">
    <w:p w14:paraId="0F266673" w14:textId="06517636" w:rsidR="00F001B2" w:rsidRPr="006B37BB" w:rsidRDefault="00F001B2">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For example, on the Trade (Disclosure of Information) Bill in December 2020 and the Counter-Terrorism and Sentencing Bill in January 2021.</w:t>
      </w:r>
    </w:p>
  </w:footnote>
  <w:footnote w:id="57">
    <w:p w14:paraId="1AD8A159" w14:textId="7E44DC8F" w:rsidR="00867A4D" w:rsidRPr="006B37BB" w:rsidRDefault="00867A4D">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EU (Withdrawal) Bill, clause 11.</w:t>
      </w:r>
    </w:p>
  </w:footnote>
  <w:footnote w:id="58">
    <w:p w14:paraId="2933D55D" w14:textId="4A38B40C" w:rsidR="00EB6684" w:rsidRPr="006B37BB" w:rsidRDefault="00EB6684">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EU (Withdrawal) Act 2018, s.12.</w:t>
      </w:r>
    </w:p>
  </w:footnote>
  <w:footnote w:id="59">
    <w:p w14:paraId="009C9B94" w14:textId="07BB4521" w:rsidR="00D95B47" w:rsidRPr="006B37BB" w:rsidRDefault="00D95B47" w:rsidP="00C11075">
      <w:pPr>
        <w:shd w:val="clear" w:color="auto" w:fill="FFFFFF"/>
        <w:spacing w:after="0" w:line="240" w:lineRule="auto"/>
        <w:textAlignment w:val="baseline"/>
        <w:outlineLvl w:val="0"/>
        <w:rPr>
          <w:rFonts w:ascii="Gill Sans MT" w:eastAsia="Times New Roman" w:hAnsi="Gill Sans MT" w:cs="Arial"/>
          <w:color w:val="0B0C0C"/>
          <w:kern w:val="36"/>
          <w:sz w:val="20"/>
          <w:szCs w:val="20"/>
          <w:lang w:eastAsia="en-GB"/>
        </w:rPr>
      </w:pPr>
      <w:r w:rsidRPr="006B37BB">
        <w:rPr>
          <w:rStyle w:val="FootnoteReference"/>
          <w:rFonts w:ascii="Gill Sans MT" w:hAnsi="Gill Sans MT"/>
          <w:sz w:val="20"/>
          <w:szCs w:val="20"/>
        </w:rPr>
        <w:footnoteRef/>
      </w:r>
      <w:r w:rsidRPr="006B37BB">
        <w:rPr>
          <w:rFonts w:ascii="Gill Sans MT" w:hAnsi="Gill Sans MT"/>
          <w:sz w:val="20"/>
          <w:szCs w:val="20"/>
        </w:rPr>
        <w:t xml:space="preserve"> </w:t>
      </w:r>
      <w:r w:rsidR="00E15A5E" w:rsidRPr="006B37BB">
        <w:rPr>
          <w:rFonts w:ascii="Gill Sans MT" w:hAnsi="Gill Sans MT"/>
          <w:sz w:val="20"/>
          <w:szCs w:val="20"/>
        </w:rPr>
        <w:t xml:space="preserve">Cabinet Office, </w:t>
      </w:r>
      <w:r w:rsidR="00E15A5E" w:rsidRPr="006B37BB">
        <w:rPr>
          <w:rFonts w:ascii="Gill Sans MT" w:eastAsia="Times New Roman" w:hAnsi="Gill Sans MT" w:cs="Arial"/>
          <w:i/>
          <w:iCs/>
          <w:color w:val="0B0C0C"/>
          <w:kern w:val="36"/>
          <w:sz w:val="20"/>
          <w:szCs w:val="20"/>
          <w:lang w:eastAsia="en-GB"/>
        </w:rPr>
        <w:t>The European Union (Withdrawal) Act and Common Frameworks</w:t>
      </w:r>
      <w:r w:rsidR="00E15A5E" w:rsidRPr="006B37BB">
        <w:rPr>
          <w:rFonts w:ascii="Gill Sans MT" w:eastAsia="Times New Roman" w:hAnsi="Gill Sans MT" w:cs="Arial"/>
          <w:color w:val="0B0C0C"/>
          <w:kern w:val="36"/>
          <w:sz w:val="20"/>
          <w:szCs w:val="20"/>
          <w:lang w:eastAsia="en-GB"/>
        </w:rPr>
        <w:t xml:space="preserve">: </w:t>
      </w:r>
      <w:r w:rsidR="00E15A5E" w:rsidRPr="006B37BB">
        <w:rPr>
          <w:rFonts w:ascii="Gill Sans MT" w:eastAsia="Times New Roman" w:hAnsi="Gill Sans MT" w:cs="Arial"/>
          <w:i/>
          <w:iCs/>
          <w:color w:val="0B0C0C"/>
          <w:kern w:val="36"/>
          <w:sz w:val="20"/>
          <w:szCs w:val="20"/>
          <w:lang w:eastAsia="en-GB"/>
        </w:rPr>
        <w:t>26 December 2020 to 25 March 2021</w:t>
      </w:r>
      <w:r w:rsidR="00E15A5E" w:rsidRPr="006B37BB">
        <w:rPr>
          <w:rFonts w:ascii="Gill Sans MT" w:eastAsia="Times New Roman" w:hAnsi="Gill Sans MT" w:cs="Arial"/>
          <w:color w:val="0B0C0C"/>
          <w:kern w:val="36"/>
          <w:sz w:val="20"/>
          <w:szCs w:val="20"/>
          <w:lang w:eastAsia="en-GB"/>
        </w:rPr>
        <w:t xml:space="preserve"> (11</w:t>
      </w:r>
      <w:r w:rsidR="00E15A5E" w:rsidRPr="006B37BB">
        <w:rPr>
          <w:rFonts w:ascii="Gill Sans MT" w:eastAsia="Times New Roman" w:hAnsi="Gill Sans MT" w:cs="Arial"/>
          <w:color w:val="0B0C0C"/>
          <w:kern w:val="36"/>
          <w:sz w:val="20"/>
          <w:szCs w:val="20"/>
          <w:vertAlign w:val="superscript"/>
          <w:lang w:eastAsia="en-GB"/>
        </w:rPr>
        <w:t>th</w:t>
      </w:r>
      <w:r w:rsidR="00E15A5E" w:rsidRPr="006B37BB">
        <w:rPr>
          <w:rFonts w:ascii="Gill Sans MT" w:eastAsia="Times New Roman" w:hAnsi="Gill Sans MT" w:cs="Arial"/>
          <w:color w:val="0B0C0C"/>
          <w:kern w:val="36"/>
          <w:sz w:val="20"/>
          <w:szCs w:val="20"/>
          <w:lang w:eastAsia="en-GB"/>
        </w:rPr>
        <w:t xml:space="preserve"> statutory report, 20 May 2021) para 1.46.</w:t>
      </w:r>
    </w:p>
  </w:footnote>
  <w:footnote w:id="60">
    <w:p w14:paraId="79FD1487" w14:textId="418BE1C8" w:rsidR="00C11075" w:rsidRPr="006B37BB" w:rsidRDefault="00C11075">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w:t>
      </w:r>
      <w:r w:rsidRPr="006B37BB">
        <w:rPr>
          <w:rFonts w:ascii="Gill Sans MT" w:hAnsi="Gill Sans MT"/>
          <w:i/>
          <w:iCs/>
        </w:rPr>
        <w:t>Frameworks Analysis</w:t>
      </w:r>
      <w:r w:rsidRPr="006B37BB">
        <w:rPr>
          <w:rFonts w:ascii="Gill Sans MT" w:hAnsi="Gill Sans MT"/>
        </w:rPr>
        <w:t xml:space="preserve"> (2020): https://assets.publishing.service.gov.uk/government/uploads/system/uploads/attachment_data/file/919729/Frameworks-Analysis-2020.pdf.</w:t>
      </w:r>
    </w:p>
  </w:footnote>
  <w:footnote w:id="61">
    <w:p w14:paraId="1AA2B5F8" w14:textId="6CC4282E" w:rsidR="00F46B37" w:rsidRPr="006B37BB" w:rsidRDefault="00F46B37">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See eg S Weatherill, ‘Will the United Kingdom Survive the United Kingdom Internal Market Act?’ (</w:t>
      </w:r>
      <w:r w:rsidRPr="006B37BB">
        <w:rPr>
          <w:rFonts w:ascii="Gill Sans MT" w:hAnsi="Gill Sans MT"/>
          <w:i/>
          <w:iCs/>
        </w:rPr>
        <w:t>UK in a Changing EU</w:t>
      </w:r>
      <w:r w:rsidRPr="006B37BB">
        <w:rPr>
          <w:rFonts w:ascii="Gill Sans MT" w:hAnsi="Gill Sans MT"/>
        </w:rPr>
        <w:t>, Working Paper 03/2021).</w:t>
      </w:r>
    </w:p>
  </w:footnote>
  <w:footnote w:id="62">
    <w:p w14:paraId="4A383A2E" w14:textId="770181BD" w:rsidR="00991B28" w:rsidRPr="006B37BB" w:rsidRDefault="00991B28">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w:t>
      </w:r>
      <w:r w:rsidRPr="006B37BB">
        <w:rPr>
          <w:rFonts w:ascii="Gill Sans MT" w:hAnsi="Gill Sans MT"/>
          <w:i/>
          <w:iCs/>
        </w:rPr>
        <w:t xml:space="preserve">Counsel General for Wales v </w:t>
      </w:r>
      <w:r w:rsidRPr="006B37BB">
        <w:rPr>
          <w:rFonts w:ascii="Gill Sans MT" w:hAnsi="Gill Sans MT"/>
          <w:i/>
          <w:iCs/>
          <w:color w:val="000000"/>
        </w:rPr>
        <w:t xml:space="preserve">Secretary of State for Business, Energy and Industrial Strategy </w:t>
      </w:r>
      <w:r w:rsidRPr="006B37BB">
        <w:rPr>
          <w:rFonts w:ascii="Gill Sans MT" w:hAnsi="Gill Sans MT"/>
          <w:color w:val="000000"/>
        </w:rPr>
        <w:t>[2021] EWHC 950 (Admin), [32].</w:t>
      </w:r>
    </w:p>
  </w:footnote>
  <w:footnote w:id="63">
    <w:p w14:paraId="60DEA3E5" w14:textId="36E512D2" w:rsidR="00F51D13" w:rsidRPr="006B37BB" w:rsidRDefault="00F51D13" w:rsidP="00F51D13">
      <w:pPr>
        <w:pStyle w:val="FET"/>
        <w:spacing w:line="240" w:lineRule="auto"/>
        <w:rPr>
          <w:rFonts w:ascii="Gill Sans MT" w:hAnsi="Gill Sans MT"/>
          <w:bCs/>
          <w:sz w:val="20"/>
          <w:szCs w:val="20"/>
        </w:rPr>
      </w:pPr>
      <w:r w:rsidRPr="006B37BB">
        <w:rPr>
          <w:rStyle w:val="FootnoteReference"/>
          <w:rFonts w:ascii="Gill Sans MT" w:hAnsi="Gill Sans MT"/>
          <w:sz w:val="20"/>
          <w:szCs w:val="20"/>
        </w:rPr>
        <w:footnoteRef/>
      </w:r>
      <w:r w:rsidRPr="006B37BB">
        <w:rPr>
          <w:rFonts w:ascii="Gill Sans MT" w:hAnsi="Gill Sans MT"/>
          <w:sz w:val="20"/>
          <w:szCs w:val="20"/>
        </w:rPr>
        <w:t xml:space="preserve"> </w:t>
      </w:r>
      <w:r w:rsidRPr="006B37BB">
        <w:rPr>
          <w:rFonts w:ascii="Gill Sans MT" w:hAnsi="Gill Sans MT"/>
          <w:bCs/>
          <w:i/>
          <w:sz w:val="20"/>
          <w:szCs w:val="20"/>
          <w:lang w:val="en-GB"/>
        </w:rPr>
        <w:t xml:space="preserve">The UK Withdrawal from the European Union (Legal Continuity) (Scotland) Bill—Reference by the Attorney General and the Advocate General for Scotland </w:t>
      </w:r>
      <w:r w:rsidRPr="006B37BB">
        <w:rPr>
          <w:rFonts w:ascii="Gill Sans MT" w:hAnsi="Gill Sans MT"/>
          <w:bCs/>
          <w:sz w:val="20"/>
          <w:szCs w:val="20"/>
          <w:lang w:val="en-GB"/>
        </w:rPr>
        <w:t>[2018] UKSC 64.</w:t>
      </w:r>
    </w:p>
  </w:footnote>
  <w:footnote w:id="64">
    <w:p w14:paraId="2D1F1094" w14:textId="40410B4E" w:rsidR="00F206D5" w:rsidRPr="006B37BB" w:rsidRDefault="00F206D5">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Lord Frost, Statement on Northern Ireland Protocol, </w:t>
      </w:r>
      <w:r w:rsidRPr="006B37BB">
        <w:rPr>
          <w:rFonts w:ascii="Gill Sans MT" w:hAnsi="Gill Sans MT"/>
          <w:i/>
          <w:iCs/>
        </w:rPr>
        <w:t>Hansard</w:t>
      </w:r>
      <w:r w:rsidRPr="006B37BB">
        <w:rPr>
          <w:rFonts w:ascii="Gill Sans MT" w:hAnsi="Gill Sans MT"/>
        </w:rPr>
        <w:t>, HL Deb Vol.814 cols.258-260 (21 July 2021).</w:t>
      </w:r>
    </w:p>
  </w:footnote>
  <w:footnote w:id="65">
    <w:p w14:paraId="0F4B984C" w14:textId="55DA1B54" w:rsidR="00DA75E5" w:rsidRPr="00DA75E5" w:rsidRDefault="00DA75E5" w:rsidP="00DA75E5">
      <w:pPr>
        <w:spacing w:after="0" w:line="240" w:lineRule="auto"/>
        <w:rPr>
          <w:rFonts w:ascii="Gill Sans MT" w:eastAsia="Times New Roman" w:hAnsi="Gill Sans MT" w:cs="Times New Roman"/>
          <w:color w:val="000000"/>
          <w:sz w:val="20"/>
          <w:szCs w:val="20"/>
          <w:lang w:eastAsia="en-GB"/>
        </w:rPr>
      </w:pPr>
      <w:r w:rsidRPr="006B37BB">
        <w:rPr>
          <w:rStyle w:val="FootnoteReference"/>
          <w:rFonts w:ascii="Gill Sans MT" w:hAnsi="Gill Sans MT"/>
          <w:sz w:val="20"/>
          <w:szCs w:val="20"/>
        </w:rPr>
        <w:footnoteRef/>
      </w:r>
      <w:r w:rsidRPr="006B37BB">
        <w:rPr>
          <w:rFonts w:ascii="Gill Sans MT" w:hAnsi="Gill Sans MT"/>
          <w:sz w:val="20"/>
          <w:szCs w:val="20"/>
        </w:rPr>
        <w:t xml:space="preserve"> The Protocol on </w:t>
      </w:r>
      <w:r w:rsidRPr="006B37BB">
        <w:rPr>
          <w:rFonts w:ascii="Gill Sans MT" w:eastAsia="Times New Roman" w:hAnsi="Gill Sans MT" w:cs="Times New Roman"/>
          <w:color w:val="000000"/>
          <w:sz w:val="20"/>
          <w:szCs w:val="20"/>
          <w:lang w:eastAsia="en-GB"/>
        </w:rPr>
        <w:t xml:space="preserve">Ireland/Northern Ireland (Democratic </w:t>
      </w:r>
      <w:r w:rsidRPr="006B37BB">
        <w:rPr>
          <w:rFonts w:ascii="Gill Sans MT" w:hAnsi="Gill Sans MT" w:cs="Arial"/>
          <w:color w:val="000000"/>
          <w:sz w:val="20"/>
          <w:szCs w:val="20"/>
        </w:rPr>
        <w:t>Consent Process) (EU Exit) Regulations 2020</w:t>
      </w:r>
      <w:r w:rsidR="006B37BB">
        <w:rPr>
          <w:rFonts w:ascii="Gill Sans MT" w:hAnsi="Gill Sans MT" w:cs="Arial"/>
          <w:color w:val="000000"/>
          <w:sz w:val="20"/>
          <w:szCs w:val="20"/>
        </w:rPr>
        <w:t>;</w:t>
      </w:r>
      <w:r w:rsidRPr="006B37BB">
        <w:rPr>
          <w:rFonts w:ascii="Gill Sans MT" w:hAnsi="Gill Sans MT" w:cs="Arial"/>
          <w:color w:val="000000"/>
          <w:sz w:val="20"/>
          <w:szCs w:val="20"/>
        </w:rPr>
        <w:t xml:space="preserve"> Northern Ireland Act 1998, Schedule 6A.</w:t>
      </w:r>
    </w:p>
  </w:footnote>
  <w:footnote w:id="66">
    <w:p w14:paraId="46231A45" w14:textId="1A7330CF" w:rsidR="00BE09AA" w:rsidRPr="006B37BB" w:rsidRDefault="00BE09AA">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Dissolution and Calling of Parliament Bill.</w:t>
      </w:r>
    </w:p>
  </w:footnote>
  <w:footnote w:id="67">
    <w:p w14:paraId="182D7005" w14:textId="51089164" w:rsidR="00BE09AA" w:rsidRPr="006B37BB" w:rsidRDefault="00BE09AA">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Judicial Review and Courts Bill.</w:t>
      </w:r>
    </w:p>
  </w:footnote>
  <w:footnote w:id="68">
    <w:p w14:paraId="05837090" w14:textId="12B87075" w:rsidR="00600495" w:rsidRPr="006B37BB" w:rsidRDefault="00600495">
      <w:pPr>
        <w:pStyle w:val="FootnoteText"/>
        <w:rPr>
          <w:rFonts w:ascii="Gill Sans MT" w:hAnsi="Gill Sans MT"/>
        </w:rPr>
      </w:pPr>
      <w:r w:rsidRPr="006B37BB">
        <w:rPr>
          <w:rStyle w:val="FootnoteReference"/>
          <w:rFonts w:ascii="Gill Sans MT" w:hAnsi="Gill Sans MT"/>
        </w:rPr>
        <w:footnoteRef/>
      </w:r>
      <w:r w:rsidRPr="006B37BB">
        <w:rPr>
          <w:rFonts w:ascii="Gill Sans MT" w:hAnsi="Gill Sans MT"/>
        </w:rPr>
        <w:t xml:space="preserve"> </w:t>
      </w:r>
      <w:r w:rsidR="006B37BB">
        <w:rPr>
          <w:rFonts w:ascii="Gill Sans MT" w:hAnsi="Gill Sans MT"/>
        </w:rPr>
        <w:t xml:space="preserve">Scottish Government, </w:t>
      </w:r>
      <w:r w:rsidR="006B37BB">
        <w:rPr>
          <w:rFonts w:ascii="Gill Sans MT" w:hAnsi="Gill Sans MT"/>
          <w:i/>
          <w:iCs/>
        </w:rPr>
        <w:t xml:space="preserve">Scotland’s Right to Choose: Putting Scotland’s Future in Scotland’s Hands </w:t>
      </w:r>
      <w:r w:rsidR="006B37BB">
        <w:rPr>
          <w:rFonts w:ascii="Gill Sans MT" w:hAnsi="Gill Sans MT"/>
        </w:rPr>
        <w:t>(December 2019).</w:t>
      </w:r>
    </w:p>
  </w:footnote>
  <w:footnote w:id="69">
    <w:p w14:paraId="50439311" w14:textId="6BD93242" w:rsidR="007404E0" w:rsidRDefault="007404E0">
      <w:pPr>
        <w:pStyle w:val="FootnoteText"/>
      </w:pPr>
      <w:r w:rsidRPr="006B37BB">
        <w:rPr>
          <w:rStyle w:val="FootnoteReference"/>
          <w:rFonts w:ascii="Gill Sans MT" w:hAnsi="Gill Sans MT"/>
        </w:rPr>
        <w:footnoteRef/>
      </w:r>
      <w:r w:rsidRPr="006B37BB">
        <w:rPr>
          <w:rFonts w:ascii="Gill Sans MT" w:hAnsi="Gill Sans MT"/>
        </w:rPr>
        <w:t xml:space="preserve"> Northern Ireland Act 1998, s.1.</w:t>
      </w:r>
    </w:p>
  </w:footnote>
  <w:footnote w:id="70">
    <w:p w14:paraId="479F7116" w14:textId="0552F909" w:rsidR="007404E0" w:rsidRPr="0070554A" w:rsidRDefault="007404E0">
      <w:pPr>
        <w:pStyle w:val="FootnoteText"/>
        <w:rPr>
          <w:rFonts w:ascii="Gill Sans MT" w:hAnsi="Gill Sans MT"/>
        </w:rPr>
      </w:pPr>
      <w:r w:rsidRPr="0070554A">
        <w:rPr>
          <w:rStyle w:val="FootnoteReference"/>
          <w:rFonts w:ascii="Gill Sans MT" w:hAnsi="Gill Sans MT"/>
        </w:rPr>
        <w:footnoteRef/>
      </w:r>
      <w:r w:rsidRPr="0070554A">
        <w:rPr>
          <w:rFonts w:ascii="Gill Sans MT" w:hAnsi="Gill Sans MT"/>
        </w:rPr>
        <w:t xml:space="preserve"> </w:t>
      </w:r>
      <w:r w:rsidR="006559B4" w:rsidRPr="0070554A">
        <w:rPr>
          <w:rFonts w:ascii="Gill Sans MT" w:hAnsi="Gill Sans MT"/>
        </w:rPr>
        <w:t xml:space="preserve">Welsh Government, </w:t>
      </w:r>
      <w:r w:rsidR="006559B4" w:rsidRPr="0070554A">
        <w:rPr>
          <w:rFonts w:ascii="Gill Sans MT" w:hAnsi="Gill Sans MT"/>
          <w:i/>
          <w:iCs/>
        </w:rPr>
        <w:t xml:space="preserve">Reforming Our Union: Shared Governance in the UK </w:t>
      </w:r>
      <w:r w:rsidR="006559B4" w:rsidRPr="0070554A">
        <w:rPr>
          <w:rFonts w:ascii="Gill Sans MT" w:hAnsi="Gill Sans MT"/>
        </w:rPr>
        <w:t>(October 2019).</w:t>
      </w:r>
      <w:r w:rsidR="006559B4" w:rsidRPr="0070554A">
        <w:rPr>
          <w:rFonts w:ascii="Gill Sans MT" w:hAnsi="Gill Sans MT"/>
          <w:i/>
          <w:iCs/>
        </w:rPr>
        <w:t xml:space="preserve"> </w:t>
      </w:r>
    </w:p>
  </w:footnote>
  <w:footnote w:id="71">
    <w:p w14:paraId="0D88BB1D" w14:textId="27AE41EB" w:rsidR="00C53A98" w:rsidRPr="0070554A" w:rsidRDefault="00C53A98">
      <w:pPr>
        <w:pStyle w:val="FootnoteText"/>
        <w:rPr>
          <w:rFonts w:ascii="Gill Sans MT" w:hAnsi="Gill Sans MT"/>
        </w:rPr>
      </w:pPr>
      <w:r w:rsidRPr="0070554A">
        <w:rPr>
          <w:rStyle w:val="FootnoteReference"/>
          <w:rFonts w:ascii="Gill Sans MT" w:hAnsi="Gill Sans MT"/>
        </w:rPr>
        <w:footnoteRef/>
      </w:r>
      <w:r w:rsidRPr="0070554A">
        <w:rPr>
          <w:rFonts w:ascii="Gill Sans MT" w:hAnsi="Gill Sans MT"/>
        </w:rPr>
        <w:t xml:space="preserve"> </w:t>
      </w:r>
      <w:r w:rsidR="0070554A" w:rsidRPr="0070554A">
        <w:rPr>
          <w:rFonts w:ascii="Gill Sans MT" w:hAnsi="Gill Sans MT"/>
        </w:rPr>
        <w:t xml:space="preserve">The </w:t>
      </w:r>
      <w:r w:rsidR="0070554A" w:rsidRPr="0070554A">
        <w:rPr>
          <w:rFonts w:ascii="Gill Sans MT" w:hAnsi="Gill Sans MT"/>
        </w:rPr>
        <w:t>Scotland Act 1998 (Modification of Schedule 5) Order 2013/242</w:t>
      </w:r>
      <w:r w:rsidR="0070554A" w:rsidRPr="0070554A">
        <w:rPr>
          <w:rFonts w:ascii="Gill Sans MT" w:hAnsi="Gill Sans MT"/>
        </w:rPr>
        <w:t>.</w:t>
      </w:r>
    </w:p>
  </w:footnote>
  <w:footnote w:id="72">
    <w:p w14:paraId="6830723B" w14:textId="2A0B5C7F" w:rsidR="00BE1554" w:rsidRPr="0070554A" w:rsidRDefault="00BE1554">
      <w:pPr>
        <w:pStyle w:val="FootnoteText"/>
        <w:rPr>
          <w:rFonts w:ascii="Gill Sans MT" w:hAnsi="Gill Sans MT"/>
        </w:rPr>
      </w:pPr>
      <w:r w:rsidRPr="0070554A">
        <w:rPr>
          <w:rStyle w:val="FootnoteReference"/>
          <w:rFonts w:ascii="Gill Sans MT" w:hAnsi="Gill Sans MT"/>
        </w:rPr>
        <w:footnoteRef/>
      </w:r>
      <w:r w:rsidRPr="0070554A">
        <w:rPr>
          <w:rFonts w:ascii="Gill Sans MT" w:hAnsi="Gill Sans MT"/>
        </w:rPr>
        <w:t xml:space="preserve"> </w:t>
      </w:r>
      <w:r w:rsidR="006559B4" w:rsidRPr="0070554A">
        <w:rPr>
          <w:rFonts w:ascii="Gill Sans MT" w:hAnsi="Gill Sans MT"/>
          <w:i/>
          <w:iCs/>
          <w:color w:val="000000"/>
        </w:rPr>
        <w:t xml:space="preserve">Keatings v Advocate General </w:t>
      </w:r>
      <w:r w:rsidR="006559B4" w:rsidRPr="0070554A">
        <w:rPr>
          <w:rFonts w:ascii="Gill Sans MT" w:hAnsi="Gill Sans MT"/>
          <w:color w:val="000000"/>
        </w:rPr>
        <w:t>[2021] CSIH 25</w:t>
      </w:r>
      <w:r w:rsidR="006559B4" w:rsidRPr="0070554A">
        <w:rPr>
          <w:rFonts w:ascii="Gill Sans MT" w:hAnsi="Gill Sans MT"/>
          <w:color w:val="000000"/>
        </w:rPr>
        <w:t>, [63]-[66]</w:t>
      </w:r>
    </w:p>
  </w:footnote>
  <w:footnote w:id="73">
    <w:p w14:paraId="38E80E9B" w14:textId="2AA50C02" w:rsidR="00BE1554" w:rsidRPr="0070554A" w:rsidRDefault="00BE1554">
      <w:pPr>
        <w:pStyle w:val="FootnoteText"/>
        <w:rPr>
          <w:rFonts w:ascii="Gill Sans MT" w:hAnsi="Gill Sans MT"/>
        </w:rPr>
      </w:pPr>
      <w:r w:rsidRPr="0070554A">
        <w:rPr>
          <w:rStyle w:val="FootnoteReference"/>
          <w:rFonts w:ascii="Gill Sans MT" w:hAnsi="Gill Sans MT"/>
        </w:rPr>
        <w:footnoteRef/>
      </w:r>
      <w:r w:rsidRPr="0070554A">
        <w:rPr>
          <w:rFonts w:ascii="Gill Sans MT" w:hAnsi="Gill Sans MT"/>
        </w:rPr>
        <w:t xml:space="preserve"> </w:t>
      </w:r>
      <w:r w:rsidR="006559B4" w:rsidRPr="0070554A">
        <w:rPr>
          <w:rFonts w:ascii="Gill Sans MT" w:hAnsi="Gill Sans MT"/>
          <w:i/>
          <w:iCs/>
        </w:rPr>
        <w:t>Raymond McCord’s Application: Border Poll</w:t>
      </w:r>
      <w:r w:rsidR="006559B4" w:rsidRPr="0070554A">
        <w:rPr>
          <w:rFonts w:ascii="Gill Sans MT" w:hAnsi="Gill Sans MT"/>
        </w:rPr>
        <w:t xml:space="preserve"> [2020] NICA 23</w:t>
      </w:r>
      <w:r w:rsidR="006559B4" w:rsidRPr="0070554A">
        <w:rPr>
          <w:rFonts w:ascii="Gill Sans MT" w:hAnsi="Gill Sans MT"/>
        </w:rPr>
        <w:t>.</w:t>
      </w:r>
    </w:p>
  </w:footnote>
  <w:footnote w:id="74">
    <w:p w14:paraId="226BB2A4" w14:textId="646E90E8" w:rsidR="00C53A98" w:rsidRPr="0070554A" w:rsidRDefault="00C53A98">
      <w:pPr>
        <w:pStyle w:val="FootnoteText"/>
        <w:rPr>
          <w:rFonts w:ascii="Gill Sans MT" w:hAnsi="Gill Sans MT"/>
        </w:rPr>
      </w:pPr>
      <w:r w:rsidRPr="0070554A">
        <w:rPr>
          <w:rStyle w:val="FootnoteReference"/>
          <w:rFonts w:ascii="Gill Sans MT" w:hAnsi="Gill Sans MT"/>
        </w:rPr>
        <w:footnoteRef/>
      </w:r>
      <w:r w:rsidRPr="0070554A">
        <w:rPr>
          <w:rFonts w:ascii="Gill Sans MT" w:hAnsi="Gill Sans MT"/>
        </w:rPr>
        <w:t xml:space="preserve"> </w:t>
      </w:r>
      <w:r w:rsidRPr="0070554A">
        <w:rPr>
          <w:rFonts w:ascii="Gill Sans MT" w:hAnsi="Gill Sans MT"/>
        </w:rPr>
        <w:t>UK Internal Markets Act 2020</w:t>
      </w:r>
      <w:r w:rsidRPr="0070554A">
        <w:rPr>
          <w:rFonts w:ascii="Gill Sans MT" w:hAnsi="Gill Sans MT"/>
        </w:rPr>
        <w:t>, s.50.</w:t>
      </w:r>
    </w:p>
  </w:footnote>
  <w:footnote w:id="75">
    <w:p w14:paraId="5B003CE1" w14:textId="4608EF33" w:rsidR="00C53A98" w:rsidRPr="0070554A" w:rsidRDefault="00C53A98">
      <w:pPr>
        <w:pStyle w:val="FootnoteText"/>
        <w:rPr>
          <w:rFonts w:ascii="Gill Sans MT" w:hAnsi="Gill Sans MT"/>
        </w:rPr>
      </w:pPr>
      <w:r w:rsidRPr="0070554A">
        <w:rPr>
          <w:rStyle w:val="FootnoteReference"/>
          <w:rFonts w:ascii="Gill Sans MT" w:hAnsi="Gill Sans MT"/>
        </w:rPr>
        <w:footnoteRef/>
      </w:r>
      <w:r w:rsidR="0070554A">
        <w:rPr>
          <w:rFonts w:ascii="Gill Sans MT" w:hAnsi="Gill Sans MT"/>
        </w:rPr>
        <w:t xml:space="preserve"> </w:t>
      </w:r>
      <w:r w:rsidR="0070554A" w:rsidRPr="0070554A">
        <w:rPr>
          <w:rFonts w:ascii="Gill Sans MT" w:hAnsi="Gill Sans MT"/>
          <w:i/>
          <w:iCs/>
        </w:rPr>
        <w:t>Progress Update on the Review of Intergovernmental Arrangements</w:t>
      </w:r>
      <w:r w:rsidR="0070554A">
        <w:rPr>
          <w:rFonts w:ascii="Gill Sans MT" w:hAnsi="Gill Sans MT"/>
        </w:rPr>
        <w:t xml:space="preserve"> (2021): </w:t>
      </w:r>
      <w:r w:rsidRPr="0070554A">
        <w:rPr>
          <w:rFonts w:ascii="Gill Sans MT" w:hAnsi="Gill Sans MT"/>
        </w:rPr>
        <w:t>h</w:t>
      </w:r>
      <w:r w:rsidRPr="0070554A">
        <w:rPr>
          <w:rFonts w:ascii="Gill Sans MT" w:eastAsia="Times New Roman" w:hAnsi="Gill Sans MT" w:cs="Times New Roman"/>
          <w:color w:val="000000"/>
          <w:lang w:eastAsia="en-GB"/>
        </w:rPr>
        <w:t>ttps://assets.publishing.service.gov.uk/government/uploads/system/uploads/attachment_data/file/972983/Progress_update_on_the_review_of_intergovernmental_relations.pdf</w:t>
      </w:r>
    </w:p>
  </w:footnote>
  <w:footnote w:id="76">
    <w:p w14:paraId="2DD2F30A" w14:textId="0AD825F1" w:rsidR="0099042F" w:rsidRPr="005871DA" w:rsidRDefault="0099042F">
      <w:pPr>
        <w:pStyle w:val="FootnoteText"/>
        <w:rPr>
          <w:rFonts w:ascii="Gill Sans MT" w:hAnsi="Gill Sans MT"/>
        </w:rPr>
      </w:pPr>
      <w:r w:rsidRPr="0070554A">
        <w:rPr>
          <w:rStyle w:val="FootnoteReference"/>
          <w:rFonts w:ascii="Gill Sans MT" w:hAnsi="Gill Sans MT"/>
        </w:rPr>
        <w:footnoteRef/>
      </w:r>
      <w:r w:rsidRPr="0070554A">
        <w:rPr>
          <w:rFonts w:ascii="Gill Sans MT" w:hAnsi="Gill Sans MT"/>
        </w:rPr>
        <w:t xml:space="preserve"> See eg </w:t>
      </w:r>
      <w:r w:rsidR="005D3F83" w:rsidRPr="0070554A">
        <w:rPr>
          <w:rFonts w:ascii="Gill Sans MT" w:hAnsi="Gill Sans MT"/>
        </w:rPr>
        <w:t xml:space="preserve">V </w:t>
      </w:r>
      <w:r w:rsidRPr="0070554A">
        <w:rPr>
          <w:rFonts w:ascii="Gill Sans MT" w:hAnsi="Gill Sans MT"/>
        </w:rPr>
        <w:t xml:space="preserve">Bogdanor, </w:t>
      </w:r>
      <w:r w:rsidR="005871DA">
        <w:rPr>
          <w:rFonts w:ascii="Gill Sans MT" w:hAnsi="Gill Sans MT"/>
          <w:i/>
          <w:iCs/>
        </w:rPr>
        <w:t xml:space="preserve">Brexit and </w:t>
      </w:r>
      <w:r w:rsidRPr="005871DA">
        <w:rPr>
          <w:rFonts w:ascii="Gill Sans MT" w:hAnsi="Gill Sans MT"/>
          <w:i/>
          <w:iCs/>
        </w:rPr>
        <w:t>Our Unprotected Constitutio</w:t>
      </w:r>
      <w:r w:rsidR="005871DA">
        <w:rPr>
          <w:rFonts w:ascii="Gill Sans MT" w:hAnsi="Gill Sans MT"/>
          <w:i/>
          <w:iCs/>
        </w:rPr>
        <w:t xml:space="preserve">n </w:t>
      </w:r>
      <w:r w:rsidR="005871DA">
        <w:rPr>
          <w:rFonts w:ascii="Gill Sans MT" w:hAnsi="Gill Sans MT"/>
        </w:rPr>
        <w:t>(Constitution Society, 2018).</w:t>
      </w:r>
    </w:p>
  </w:footnote>
  <w:footnote w:id="77">
    <w:p w14:paraId="0F561406" w14:textId="7EA7DDD8" w:rsidR="00082AE7" w:rsidRPr="005D3F83" w:rsidRDefault="00082AE7">
      <w:pPr>
        <w:pStyle w:val="FootnoteText"/>
        <w:rPr>
          <w:rFonts w:ascii="Gill Sans MT" w:hAnsi="Gill Sans MT"/>
        </w:rPr>
      </w:pPr>
      <w:r w:rsidRPr="005D3F83">
        <w:rPr>
          <w:rStyle w:val="FootnoteReference"/>
          <w:rFonts w:ascii="Gill Sans MT" w:hAnsi="Gill Sans MT"/>
        </w:rPr>
        <w:footnoteRef/>
      </w:r>
      <w:r w:rsidRPr="005D3F83">
        <w:rPr>
          <w:rFonts w:ascii="Gill Sans MT" w:hAnsi="Gill Sans MT"/>
        </w:rPr>
        <w:t xml:space="preserve"> Lord Dunlop, </w:t>
      </w:r>
      <w:r w:rsidRPr="005D3F83">
        <w:rPr>
          <w:rFonts w:ascii="Gill Sans MT" w:hAnsi="Gill Sans MT"/>
          <w:i/>
          <w:iCs/>
        </w:rPr>
        <w:t xml:space="preserve">Review of UK Government Union Capability </w:t>
      </w:r>
      <w:r w:rsidRPr="005D3F83">
        <w:rPr>
          <w:rFonts w:ascii="Gill Sans MT" w:hAnsi="Gill Sans MT"/>
        </w:rPr>
        <w:t>(November 2019) esp ch.4.</w:t>
      </w:r>
    </w:p>
  </w:footnote>
  <w:footnote w:id="78">
    <w:p w14:paraId="7CDEBB45" w14:textId="4FD10519" w:rsidR="00540C48" w:rsidRPr="005D3F83" w:rsidRDefault="00540C48">
      <w:pPr>
        <w:pStyle w:val="FootnoteText"/>
        <w:rPr>
          <w:rFonts w:ascii="Gill Sans MT" w:hAnsi="Gill Sans MT"/>
        </w:rPr>
      </w:pPr>
      <w:r w:rsidRPr="005D3F83">
        <w:rPr>
          <w:rStyle w:val="FootnoteReference"/>
          <w:rFonts w:ascii="Gill Sans MT" w:hAnsi="Gill Sans MT"/>
        </w:rPr>
        <w:footnoteRef/>
      </w:r>
      <w:r w:rsidRPr="005D3F83">
        <w:rPr>
          <w:rFonts w:ascii="Gill Sans MT" w:hAnsi="Gill Sans MT"/>
        </w:rPr>
        <w:t xml:space="preserve"> See eg Labour proposals for a Senate of the Nations and Regions under Ed Miliband: </w:t>
      </w:r>
      <w:r w:rsidRPr="005D3F83">
        <w:rPr>
          <w:rFonts w:ascii="Gill Sans MT" w:hAnsi="Gill Sans MT"/>
        </w:rPr>
        <w:t>https://www.bbc.co.uk/news/uk-politics-29857849</w:t>
      </w:r>
      <w:r w:rsidRPr="005D3F83">
        <w:rPr>
          <w:rFonts w:ascii="Gill Sans MT" w:hAnsi="Gill Sans MT"/>
        </w:rPr>
        <w:t>.</w:t>
      </w:r>
    </w:p>
  </w:footnote>
  <w:footnote w:id="79">
    <w:p w14:paraId="18DC9903" w14:textId="7E56D9D5" w:rsidR="00407493" w:rsidRPr="005D3F83" w:rsidRDefault="00407493">
      <w:pPr>
        <w:pStyle w:val="FootnoteText"/>
        <w:rPr>
          <w:rFonts w:ascii="Gill Sans MT" w:hAnsi="Gill Sans MT"/>
        </w:rPr>
      </w:pPr>
      <w:r w:rsidRPr="005D3F83">
        <w:rPr>
          <w:rStyle w:val="FootnoteReference"/>
          <w:rFonts w:ascii="Gill Sans MT" w:hAnsi="Gill Sans MT"/>
        </w:rPr>
        <w:footnoteRef/>
      </w:r>
      <w:r w:rsidRPr="005D3F83">
        <w:rPr>
          <w:rFonts w:ascii="Gill Sans MT" w:hAnsi="Gill Sans MT"/>
        </w:rPr>
        <w:t xml:space="preserve"> </w:t>
      </w:r>
      <w:r w:rsidR="005564D3" w:rsidRPr="005D3F83">
        <w:rPr>
          <w:rFonts w:ascii="Gill Sans MT" w:hAnsi="Gill Sans MT"/>
        </w:rPr>
        <w:t xml:space="preserve">‘Supreme Court to be overhauled to curtail its constitutional powers’, </w:t>
      </w:r>
      <w:r w:rsidR="005564D3" w:rsidRPr="005D3F83">
        <w:rPr>
          <w:rFonts w:ascii="Gill Sans MT" w:hAnsi="Gill Sans MT"/>
          <w:i/>
          <w:iCs/>
        </w:rPr>
        <w:t>Sunday Telegraph</w:t>
      </w:r>
      <w:r w:rsidR="005564D3" w:rsidRPr="005D3F83">
        <w:rPr>
          <w:rFonts w:ascii="Gill Sans MT" w:hAnsi="Gill Sans MT"/>
        </w:rPr>
        <w:t xml:space="preserve"> (14 November 2020): </w:t>
      </w:r>
      <w:hyperlink r:id="rId3" w:history="1">
        <w:r w:rsidR="005564D3" w:rsidRPr="005D3F83">
          <w:rPr>
            <w:rStyle w:val="Hyperlink"/>
            <w:rFonts w:ascii="Gill Sans MT" w:hAnsi="Gill Sans MT"/>
          </w:rPr>
          <w:t>https://www.telegraph.co.uk/politics/2020/11/14/britains-supreme-court-faces-overhaul-concerns-us-style-election/</w:t>
        </w:r>
      </w:hyperlink>
      <w:r w:rsidR="005564D3" w:rsidRPr="005D3F83">
        <w:rPr>
          <w:rFonts w:ascii="Gill Sans MT" w:hAnsi="Gill Sans MT"/>
        </w:rPr>
        <w:t>.</w:t>
      </w:r>
    </w:p>
  </w:footnote>
  <w:footnote w:id="80">
    <w:p w14:paraId="099F28B5" w14:textId="32B2D0B3" w:rsidR="008737C3" w:rsidRPr="005D3F83" w:rsidRDefault="008737C3">
      <w:pPr>
        <w:pStyle w:val="FootnoteText"/>
        <w:rPr>
          <w:rFonts w:ascii="Gill Sans MT" w:hAnsi="Gill Sans MT"/>
          <w:i/>
          <w:iCs/>
        </w:rPr>
      </w:pPr>
      <w:r w:rsidRPr="005D3F83">
        <w:rPr>
          <w:rStyle w:val="FootnoteReference"/>
          <w:rFonts w:ascii="Gill Sans MT" w:hAnsi="Gill Sans MT"/>
        </w:rPr>
        <w:footnoteRef/>
      </w:r>
      <w:r w:rsidRPr="005D3F83">
        <w:rPr>
          <w:rFonts w:ascii="Gill Sans MT" w:hAnsi="Gill Sans MT"/>
        </w:rPr>
        <w:t xml:space="preserve"> The Independent Human Rights Act Review commenced in December 2020,</w:t>
      </w:r>
      <w:r w:rsidR="00E24376" w:rsidRPr="005D3F83">
        <w:rPr>
          <w:rFonts w:ascii="Gill Sans MT" w:hAnsi="Gill Sans MT"/>
        </w:rPr>
        <w:t xml:space="preserve"> </w:t>
      </w:r>
      <w:r w:rsidR="003D7B66">
        <w:rPr>
          <w:rFonts w:ascii="Gill Sans MT" w:hAnsi="Gill Sans MT"/>
        </w:rPr>
        <w:t>with a</w:t>
      </w:r>
      <w:r w:rsidRPr="005D3F83">
        <w:rPr>
          <w:rFonts w:ascii="Gill Sans MT" w:hAnsi="Gill Sans MT"/>
        </w:rPr>
        <w:t xml:space="preserve"> report</w:t>
      </w:r>
      <w:r w:rsidR="003D7B66">
        <w:rPr>
          <w:rFonts w:ascii="Gill Sans MT" w:hAnsi="Gill Sans MT"/>
        </w:rPr>
        <w:t xml:space="preserve"> due</w:t>
      </w:r>
      <w:r w:rsidRPr="005D3F83">
        <w:rPr>
          <w:rFonts w:ascii="Gill Sans MT" w:hAnsi="Gill Sans MT"/>
        </w:rPr>
        <w:t xml:space="preserve"> in summer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F39"/>
    <w:multiLevelType w:val="hybridMultilevel"/>
    <w:tmpl w:val="54E0805E"/>
    <w:lvl w:ilvl="0" w:tplc="A8BEF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3E"/>
    <w:rsid w:val="00000EF7"/>
    <w:rsid w:val="00001D72"/>
    <w:rsid w:val="000105E6"/>
    <w:rsid w:val="00010746"/>
    <w:rsid w:val="000137B7"/>
    <w:rsid w:val="00013A40"/>
    <w:rsid w:val="0001798F"/>
    <w:rsid w:val="000226CA"/>
    <w:rsid w:val="00036B19"/>
    <w:rsid w:val="000409AD"/>
    <w:rsid w:val="00046050"/>
    <w:rsid w:val="00050645"/>
    <w:rsid w:val="00053B62"/>
    <w:rsid w:val="0006265C"/>
    <w:rsid w:val="00064552"/>
    <w:rsid w:val="00070024"/>
    <w:rsid w:val="00074C65"/>
    <w:rsid w:val="00075CB7"/>
    <w:rsid w:val="00077920"/>
    <w:rsid w:val="00080256"/>
    <w:rsid w:val="00082AE7"/>
    <w:rsid w:val="00087DA0"/>
    <w:rsid w:val="00092C4D"/>
    <w:rsid w:val="000945A2"/>
    <w:rsid w:val="000964B6"/>
    <w:rsid w:val="000A297F"/>
    <w:rsid w:val="000A4361"/>
    <w:rsid w:val="000B0EE0"/>
    <w:rsid w:val="000B157D"/>
    <w:rsid w:val="000C2FA9"/>
    <w:rsid w:val="000C3C75"/>
    <w:rsid w:val="000C4E43"/>
    <w:rsid w:val="000D3EF1"/>
    <w:rsid w:val="000D433E"/>
    <w:rsid w:val="000D6329"/>
    <w:rsid w:val="000E28C0"/>
    <w:rsid w:val="000E4D6D"/>
    <w:rsid w:val="000E72AA"/>
    <w:rsid w:val="00112F14"/>
    <w:rsid w:val="0012168F"/>
    <w:rsid w:val="00132084"/>
    <w:rsid w:val="001355DF"/>
    <w:rsid w:val="0013711F"/>
    <w:rsid w:val="00145052"/>
    <w:rsid w:val="00147347"/>
    <w:rsid w:val="00151212"/>
    <w:rsid w:val="00152E30"/>
    <w:rsid w:val="0016099E"/>
    <w:rsid w:val="0016683C"/>
    <w:rsid w:val="00175443"/>
    <w:rsid w:val="00175B50"/>
    <w:rsid w:val="0017616C"/>
    <w:rsid w:val="0018402C"/>
    <w:rsid w:val="00196633"/>
    <w:rsid w:val="00196825"/>
    <w:rsid w:val="001A4456"/>
    <w:rsid w:val="001B7FEF"/>
    <w:rsid w:val="001D56A8"/>
    <w:rsid w:val="001F0F49"/>
    <w:rsid w:val="001F136A"/>
    <w:rsid w:val="0021146B"/>
    <w:rsid w:val="00215838"/>
    <w:rsid w:val="00216F10"/>
    <w:rsid w:val="0022215A"/>
    <w:rsid w:val="0023145C"/>
    <w:rsid w:val="00236642"/>
    <w:rsid w:val="00255F24"/>
    <w:rsid w:val="0025718B"/>
    <w:rsid w:val="002602EE"/>
    <w:rsid w:val="00260E18"/>
    <w:rsid w:val="00266ABD"/>
    <w:rsid w:val="00267013"/>
    <w:rsid w:val="0027304E"/>
    <w:rsid w:val="002753E6"/>
    <w:rsid w:val="00296AEA"/>
    <w:rsid w:val="002A505E"/>
    <w:rsid w:val="002B1FD1"/>
    <w:rsid w:val="002D02A2"/>
    <w:rsid w:val="002D33E8"/>
    <w:rsid w:val="002D4580"/>
    <w:rsid w:val="002E5D5C"/>
    <w:rsid w:val="002F543B"/>
    <w:rsid w:val="0030342C"/>
    <w:rsid w:val="00310E54"/>
    <w:rsid w:val="00320249"/>
    <w:rsid w:val="00326749"/>
    <w:rsid w:val="00335BCA"/>
    <w:rsid w:val="0033626D"/>
    <w:rsid w:val="00345153"/>
    <w:rsid w:val="0035191D"/>
    <w:rsid w:val="003561AF"/>
    <w:rsid w:val="00356266"/>
    <w:rsid w:val="00356FA7"/>
    <w:rsid w:val="00363BA8"/>
    <w:rsid w:val="003653A8"/>
    <w:rsid w:val="003662ED"/>
    <w:rsid w:val="0037307C"/>
    <w:rsid w:val="00377D4B"/>
    <w:rsid w:val="003A211C"/>
    <w:rsid w:val="003B2E91"/>
    <w:rsid w:val="003B58BC"/>
    <w:rsid w:val="003C0AF9"/>
    <w:rsid w:val="003C2A49"/>
    <w:rsid w:val="003D7B66"/>
    <w:rsid w:val="003E4BAC"/>
    <w:rsid w:val="003F1253"/>
    <w:rsid w:val="003F5ABB"/>
    <w:rsid w:val="00407493"/>
    <w:rsid w:val="00410B84"/>
    <w:rsid w:val="00415E12"/>
    <w:rsid w:val="00423CE6"/>
    <w:rsid w:val="00442721"/>
    <w:rsid w:val="004431A4"/>
    <w:rsid w:val="00445170"/>
    <w:rsid w:val="00450738"/>
    <w:rsid w:val="00463755"/>
    <w:rsid w:val="004671DA"/>
    <w:rsid w:val="00476674"/>
    <w:rsid w:val="004903BF"/>
    <w:rsid w:val="004972D6"/>
    <w:rsid w:val="004A1340"/>
    <w:rsid w:val="004A1CF3"/>
    <w:rsid w:val="004A36D6"/>
    <w:rsid w:val="004B3EEE"/>
    <w:rsid w:val="004B5155"/>
    <w:rsid w:val="004C2B49"/>
    <w:rsid w:val="004D170B"/>
    <w:rsid w:val="004D1D0D"/>
    <w:rsid w:val="004D74E3"/>
    <w:rsid w:val="004E22D3"/>
    <w:rsid w:val="004E3A84"/>
    <w:rsid w:val="004F5269"/>
    <w:rsid w:val="004F7023"/>
    <w:rsid w:val="00502316"/>
    <w:rsid w:val="00506194"/>
    <w:rsid w:val="0050796F"/>
    <w:rsid w:val="005213C7"/>
    <w:rsid w:val="00524E06"/>
    <w:rsid w:val="00540C48"/>
    <w:rsid w:val="00543752"/>
    <w:rsid w:val="00555BB9"/>
    <w:rsid w:val="005564D3"/>
    <w:rsid w:val="00572AD1"/>
    <w:rsid w:val="005871DA"/>
    <w:rsid w:val="00597BE6"/>
    <w:rsid w:val="005A3330"/>
    <w:rsid w:val="005B1AAC"/>
    <w:rsid w:val="005B7DA3"/>
    <w:rsid w:val="005C71D2"/>
    <w:rsid w:val="005D2DF7"/>
    <w:rsid w:val="005D37DA"/>
    <w:rsid w:val="005D3F83"/>
    <w:rsid w:val="005D7692"/>
    <w:rsid w:val="005E1523"/>
    <w:rsid w:val="005F1046"/>
    <w:rsid w:val="00600495"/>
    <w:rsid w:val="0060190B"/>
    <w:rsid w:val="00603607"/>
    <w:rsid w:val="006044CE"/>
    <w:rsid w:val="00614469"/>
    <w:rsid w:val="00620E83"/>
    <w:rsid w:val="006234BE"/>
    <w:rsid w:val="00631529"/>
    <w:rsid w:val="0063579F"/>
    <w:rsid w:val="00641019"/>
    <w:rsid w:val="00643684"/>
    <w:rsid w:val="006559B4"/>
    <w:rsid w:val="0066423E"/>
    <w:rsid w:val="00670221"/>
    <w:rsid w:val="006802AD"/>
    <w:rsid w:val="006818DA"/>
    <w:rsid w:val="006840E5"/>
    <w:rsid w:val="00685E20"/>
    <w:rsid w:val="006871CD"/>
    <w:rsid w:val="006A5FB0"/>
    <w:rsid w:val="006B1177"/>
    <w:rsid w:val="006B2091"/>
    <w:rsid w:val="006B37BB"/>
    <w:rsid w:val="006B7353"/>
    <w:rsid w:val="006B7EB0"/>
    <w:rsid w:val="006C3EF4"/>
    <w:rsid w:val="006C5F79"/>
    <w:rsid w:val="006E5C31"/>
    <w:rsid w:val="006E661D"/>
    <w:rsid w:val="006F1320"/>
    <w:rsid w:val="006F3FE6"/>
    <w:rsid w:val="00701E7D"/>
    <w:rsid w:val="00703CE8"/>
    <w:rsid w:val="0070554A"/>
    <w:rsid w:val="007103BE"/>
    <w:rsid w:val="00714B40"/>
    <w:rsid w:val="00722C52"/>
    <w:rsid w:val="00730F49"/>
    <w:rsid w:val="007360DF"/>
    <w:rsid w:val="00736FD9"/>
    <w:rsid w:val="007404E0"/>
    <w:rsid w:val="00740C13"/>
    <w:rsid w:val="00745DC5"/>
    <w:rsid w:val="00751D0F"/>
    <w:rsid w:val="00762587"/>
    <w:rsid w:val="00773FE1"/>
    <w:rsid w:val="0078045C"/>
    <w:rsid w:val="00781892"/>
    <w:rsid w:val="00781E9D"/>
    <w:rsid w:val="00790748"/>
    <w:rsid w:val="007B05F4"/>
    <w:rsid w:val="007B55E6"/>
    <w:rsid w:val="007C2B75"/>
    <w:rsid w:val="007C35B2"/>
    <w:rsid w:val="007C5D6E"/>
    <w:rsid w:val="007C7686"/>
    <w:rsid w:val="007C7F63"/>
    <w:rsid w:val="007F64E1"/>
    <w:rsid w:val="0080249D"/>
    <w:rsid w:val="00811526"/>
    <w:rsid w:val="0081654D"/>
    <w:rsid w:val="0082230E"/>
    <w:rsid w:val="00832F2B"/>
    <w:rsid w:val="00836603"/>
    <w:rsid w:val="008374B1"/>
    <w:rsid w:val="008448C0"/>
    <w:rsid w:val="00846B9A"/>
    <w:rsid w:val="00847706"/>
    <w:rsid w:val="00852FE2"/>
    <w:rsid w:val="00860021"/>
    <w:rsid w:val="00860243"/>
    <w:rsid w:val="00865C3E"/>
    <w:rsid w:val="00866148"/>
    <w:rsid w:val="0086775E"/>
    <w:rsid w:val="00867A4D"/>
    <w:rsid w:val="00870D30"/>
    <w:rsid w:val="008737C3"/>
    <w:rsid w:val="0087450A"/>
    <w:rsid w:val="008B19F5"/>
    <w:rsid w:val="008B7036"/>
    <w:rsid w:val="008C306B"/>
    <w:rsid w:val="008C49B4"/>
    <w:rsid w:val="008C7D0A"/>
    <w:rsid w:val="008F1BE3"/>
    <w:rsid w:val="008F66F9"/>
    <w:rsid w:val="00912339"/>
    <w:rsid w:val="0091386A"/>
    <w:rsid w:val="00914454"/>
    <w:rsid w:val="009203AB"/>
    <w:rsid w:val="009257DA"/>
    <w:rsid w:val="009264A2"/>
    <w:rsid w:val="00930F73"/>
    <w:rsid w:val="00953B13"/>
    <w:rsid w:val="009554D5"/>
    <w:rsid w:val="00957F68"/>
    <w:rsid w:val="00964F68"/>
    <w:rsid w:val="00972758"/>
    <w:rsid w:val="00982250"/>
    <w:rsid w:val="00985D21"/>
    <w:rsid w:val="00986687"/>
    <w:rsid w:val="0099042F"/>
    <w:rsid w:val="00991B28"/>
    <w:rsid w:val="009A3DFE"/>
    <w:rsid w:val="009A465F"/>
    <w:rsid w:val="009A57BD"/>
    <w:rsid w:val="009B05B8"/>
    <w:rsid w:val="009B6760"/>
    <w:rsid w:val="009B695E"/>
    <w:rsid w:val="009C1184"/>
    <w:rsid w:val="009C35F0"/>
    <w:rsid w:val="009C3BD8"/>
    <w:rsid w:val="009D418F"/>
    <w:rsid w:val="009E2483"/>
    <w:rsid w:val="00A0305E"/>
    <w:rsid w:val="00A24841"/>
    <w:rsid w:val="00A37463"/>
    <w:rsid w:val="00A37B5A"/>
    <w:rsid w:val="00A43DCE"/>
    <w:rsid w:val="00A46B1B"/>
    <w:rsid w:val="00A54337"/>
    <w:rsid w:val="00A5648B"/>
    <w:rsid w:val="00A601F5"/>
    <w:rsid w:val="00A61959"/>
    <w:rsid w:val="00A67E4D"/>
    <w:rsid w:val="00A72BB8"/>
    <w:rsid w:val="00A83A13"/>
    <w:rsid w:val="00A90E6E"/>
    <w:rsid w:val="00A94994"/>
    <w:rsid w:val="00A94B1B"/>
    <w:rsid w:val="00A9565B"/>
    <w:rsid w:val="00A96453"/>
    <w:rsid w:val="00AA3629"/>
    <w:rsid w:val="00AA4220"/>
    <w:rsid w:val="00AA5753"/>
    <w:rsid w:val="00AA621B"/>
    <w:rsid w:val="00AB6014"/>
    <w:rsid w:val="00AC16EB"/>
    <w:rsid w:val="00AE007E"/>
    <w:rsid w:val="00AE5F14"/>
    <w:rsid w:val="00AF293E"/>
    <w:rsid w:val="00AF417D"/>
    <w:rsid w:val="00B06D12"/>
    <w:rsid w:val="00B07809"/>
    <w:rsid w:val="00B16E1F"/>
    <w:rsid w:val="00B325BF"/>
    <w:rsid w:val="00B33188"/>
    <w:rsid w:val="00B33ADA"/>
    <w:rsid w:val="00B6372A"/>
    <w:rsid w:val="00B67ECC"/>
    <w:rsid w:val="00B72ABB"/>
    <w:rsid w:val="00B83F66"/>
    <w:rsid w:val="00B9694F"/>
    <w:rsid w:val="00BA17D9"/>
    <w:rsid w:val="00BA3D68"/>
    <w:rsid w:val="00BA4E0B"/>
    <w:rsid w:val="00BB235D"/>
    <w:rsid w:val="00BB2F7C"/>
    <w:rsid w:val="00BB6819"/>
    <w:rsid w:val="00BD0C51"/>
    <w:rsid w:val="00BE09AA"/>
    <w:rsid w:val="00BE1554"/>
    <w:rsid w:val="00BE7E94"/>
    <w:rsid w:val="00BE7FC5"/>
    <w:rsid w:val="00BF3C10"/>
    <w:rsid w:val="00C0461A"/>
    <w:rsid w:val="00C05F24"/>
    <w:rsid w:val="00C11075"/>
    <w:rsid w:val="00C1418B"/>
    <w:rsid w:val="00C15AF4"/>
    <w:rsid w:val="00C26086"/>
    <w:rsid w:val="00C41D60"/>
    <w:rsid w:val="00C42D79"/>
    <w:rsid w:val="00C430E4"/>
    <w:rsid w:val="00C4452E"/>
    <w:rsid w:val="00C53A98"/>
    <w:rsid w:val="00C55571"/>
    <w:rsid w:val="00C62194"/>
    <w:rsid w:val="00C62BAA"/>
    <w:rsid w:val="00C67DA9"/>
    <w:rsid w:val="00C81DD6"/>
    <w:rsid w:val="00C911E1"/>
    <w:rsid w:val="00CA60D2"/>
    <w:rsid w:val="00CA6632"/>
    <w:rsid w:val="00CA66A6"/>
    <w:rsid w:val="00CC6B02"/>
    <w:rsid w:val="00CD3602"/>
    <w:rsid w:val="00CF0002"/>
    <w:rsid w:val="00D05665"/>
    <w:rsid w:val="00D112DD"/>
    <w:rsid w:val="00D131C1"/>
    <w:rsid w:val="00D16CE1"/>
    <w:rsid w:val="00D22E42"/>
    <w:rsid w:val="00D572BA"/>
    <w:rsid w:val="00D6210E"/>
    <w:rsid w:val="00D65DD0"/>
    <w:rsid w:val="00D65FAF"/>
    <w:rsid w:val="00D866BB"/>
    <w:rsid w:val="00D95B47"/>
    <w:rsid w:val="00D97C5E"/>
    <w:rsid w:val="00DA742A"/>
    <w:rsid w:val="00DA75E5"/>
    <w:rsid w:val="00DB5774"/>
    <w:rsid w:val="00DD2709"/>
    <w:rsid w:val="00E06528"/>
    <w:rsid w:val="00E067E2"/>
    <w:rsid w:val="00E10BF8"/>
    <w:rsid w:val="00E15A5E"/>
    <w:rsid w:val="00E24376"/>
    <w:rsid w:val="00E25CCD"/>
    <w:rsid w:val="00E4395E"/>
    <w:rsid w:val="00E47EFD"/>
    <w:rsid w:val="00E54470"/>
    <w:rsid w:val="00E54666"/>
    <w:rsid w:val="00E55310"/>
    <w:rsid w:val="00E61F98"/>
    <w:rsid w:val="00E6206E"/>
    <w:rsid w:val="00E625EA"/>
    <w:rsid w:val="00E63F19"/>
    <w:rsid w:val="00E72DE6"/>
    <w:rsid w:val="00E80EA7"/>
    <w:rsid w:val="00E90550"/>
    <w:rsid w:val="00E96C74"/>
    <w:rsid w:val="00EA17B7"/>
    <w:rsid w:val="00EA4A60"/>
    <w:rsid w:val="00EB02BC"/>
    <w:rsid w:val="00EB6684"/>
    <w:rsid w:val="00EC146F"/>
    <w:rsid w:val="00EC4055"/>
    <w:rsid w:val="00EC730C"/>
    <w:rsid w:val="00EC74CA"/>
    <w:rsid w:val="00ED00B4"/>
    <w:rsid w:val="00ED106E"/>
    <w:rsid w:val="00ED1516"/>
    <w:rsid w:val="00ED2177"/>
    <w:rsid w:val="00ED68A8"/>
    <w:rsid w:val="00EE05FB"/>
    <w:rsid w:val="00EE14F2"/>
    <w:rsid w:val="00EE4EA7"/>
    <w:rsid w:val="00EE5E65"/>
    <w:rsid w:val="00EF1151"/>
    <w:rsid w:val="00EF34C8"/>
    <w:rsid w:val="00F001B2"/>
    <w:rsid w:val="00F01FD3"/>
    <w:rsid w:val="00F02EEC"/>
    <w:rsid w:val="00F072BE"/>
    <w:rsid w:val="00F206D5"/>
    <w:rsid w:val="00F24813"/>
    <w:rsid w:val="00F25DA4"/>
    <w:rsid w:val="00F26DD6"/>
    <w:rsid w:val="00F30C7A"/>
    <w:rsid w:val="00F35E79"/>
    <w:rsid w:val="00F46B37"/>
    <w:rsid w:val="00F4776F"/>
    <w:rsid w:val="00F51D13"/>
    <w:rsid w:val="00F55AFA"/>
    <w:rsid w:val="00F763E2"/>
    <w:rsid w:val="00F86BF7"/>
    <w:rsid w:val="00F877FE"/>
    <w:rsid w:val="00F910EE"/>
    <w:rsid w:val="00FA6974"/>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848F"/>
  <w15:chartTrackingRefBased/>
  <w15:docId w15:val="{E3A79E91-6D71-42CF-897C-B7F1FF8F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5A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F0"/>
    <w:pPr>
      <w:ind w:left="720"/>
      <w:contextualSpacing/>
    </w:pPr>
  </w:style>
  <w:style w:type="paragraph" w:styleId="NormalWeb">
    <w:name w:val="Normal (Web)"/>
    <w:basedOn w:val="Normal"/>
    <w:uiPriority w:val="99"/>
    <w:semiHidden/>
    <w:unhideWhenUsed/>
    <w:rsid w:val="001355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957F68"/>
    <w:pPr>
      <w:spacing w:after="0" w:line="240" w:lineRule="auto"/>
    </w:pPr>
    <w:rPr>
      <w:sz w:val="20"/>
      <w:szCs w:val="20"/>
    </w:rPr>
  </w:style>
  <w:style w:type="character" w:customStyle="1" w:styleId="FootnoteTextChar">
    <w:name w:val="Footnote Text Char"/>
    <w:basedOn w:val="DefaultParagraphFont"/>
    <w:link w:val="FootnoteText"/>
    <w:semiHidden/>
    <w:rsid w:val="00957F68"/>
    <w:rPr>
      <w:sz w:val="20"/>
      <w:szCs w:val="20"/>
    </w:rPr>
  </w:style>
  <w:style w:type="character" w:styleId="FootnoteReference">
    <w:name w:val="footnote reference"/>
    <w:basedOn w:val="DefaultParagraphFont"/>
    <w:uiPriority w:val="99"/>
    <w:semiHidden/>
    <w:unhideWhenUsed/>
    <w:rsid w:val="00957F68"/>
    <w:rPr>
      <w:vertAlign w:val="superscript"/>
    </w:rPr>
  </w:style>
  <w:style w:type="paragraph" w:styleId="Header">
    <w:name w:val="header"/>
    <w:basedOn w:val="Normal"/>
    <w:link w:val="HeaderChar"/>
    <w:uiPriority w:val="99"/>
    <w:unhideWhenUsed/>
    <w:rsid w:val="00175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443"/>
  </w:style>
  <w:style w:type="paragraph" w:styleId="Footer">
    <w:name w:val="footer"/>
    <w:basedOn w:val="Normal"/>
    <w:link w:val="FooterChar"/>
    <w:uiPriority w:val="99"/>
    <w:unhideWhenUsed/>
    <w:rsid w:val="00175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443"/>
  </w:style>
  <w:style w:type="character" w:styleId="Hyperlink">
    <w:name w:val="Hyperlink"/>
    <w:basedOn w:val="DefaultParagraphFont"/>
    <w:uiPriority w:val="99"/>
    <w:unhideWhenUsed/>
    <w:rsid w:val="00010746"/>
    <w:rPr>
      <w:color w:val="0563C1" w:themeColor="hyperlink"/>
      <w:u w:val="single"/>
    </w:rPr>
  </w:style>
  <w:style w:type="character" w:styleId="UnresolvedMention">
    <w:name w:val="Unresolved Mention"/>
    <w:basedOn w:val="DefaultParagraphFont"/>
    <w:uiPriority w:val="99"/>
    <w:semiHidden/>
    <w:unhideWhenUsed/>
    <w:rsid w:val="00010746"/>
    <w:rPr>
      <w:color w:val="605E5C"/>
      <w:shd w:val="clear" w:color="auto" w:fill="E1DFDD"/>
    </w:rPr>
  </w:style>
  <w:style w:type="character" w:customStyle="1" w:styleId="Heading1Char">
    <w:name w:val="Heading 1 Char"/>
    <w:basedOn w:val="DefaultParagraphFont"/>
    <w:link w:val="Heading1"/>
    <w:uiPriority w:val="9"/>
    <w:rsid w:val="00E15A5E"/>
    <w:rPr>
      <w:rFonts w:ascii="Times New Roman" w:eastAsia="Times New Roman" w:hAnsi="Times New Roman" w:cs="Times New Roman"/>
      <w:b/>
      <w:bCs/>
      <w:kern w:val="36"/>
      <w:sz w:val="48"/>
      <w:szCs w:val="48"/>
      <w:lang w:eastAsia="en-GB"/>
    </w:rPr>
  </w:style>
  <w:style w:type="paragraph" w:customStyle="1" w:styleId="FET">
    <w:name w:val="FET"/>
    <w:basedOn w:val="Normal"/>
    <w:rsid w:val="00F51D13"/>
    <w:pPr>
      <w:spacing w:after="0" w:line="400" w:lineRule="exact"/>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B3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9110">
      <w:bodyDiv w:val="1"/>
      <w:marLeft w:val="0"/>
      <w:marRight w:val="0"/>
      <w:marTop w:val="0"/>
      <w:marBottom w:val="0"/>
      <w:divBdr>
        <w:top w:val="none" w:sz="0" w:space="0" w:color="auto"/>
        <w:left w:val="none" w:sz="0" w:space="0" w:color="auto"/>
        <w:bottom w:val="none" w:sz="0" w:space="0" w:color="auto"/>
        <w:right w:val="none" w:sz="0" w:space="0" w:color="auto"/>
      </w:divBdr>
      <w:divsChild>
        <w:div w:id="2021203498">
          <w:marLeft w:val="0"/>
          <w:marRight w:val="0"/>
          <w:marTop w:val="0"/>
          <w:marBottom w:val="0"/>
          <w:divBdr>
            <w:top w:val="none" w:sz="0" w:space="0" w:color="auto"/>
            <w:left w:val="none" w:sz="0" w:space="0" w:color="auto"/>
            <w:bottom w:val="none" w:sz="0" w:space="0" w:color="auto"/>
            <w:right w:val="none" w:sz="0" w:space="0" w:color="auto"/>
          </w:divBdr>
        </w:div>
        <w:div w:id="1089427792">
          <w:marLeft w:val="0"/>
          <w:marRight w:val="0"/>
          <w:marTop w:val="0"/>
          <w:marBottom w:val="0"/>
          <w:divBdr>
            <w:top w:val="none" w:sz="0" w:space="0" w:color="auto"/>
            <w:left w:val="none" w:sz="0" w:space="0" w:color="auto"/>
            <w:bottom w:val="none" w:sz="0" w:space="0" w:color="auto"/>
            <w:right w:val="none" w:sz="0" w:space="0" w:color="auto"/>
          </w:divBdr>
        </w:div>
      </w:divsChild>
    </w:div>
    <w:div w:id="424233856">
      <w:bodyDiv w:val="1"/>
      <w:marLeft w:val="0"/>
      <w:marRight w:val="0"/>
      <w:marTop w:val="0"/>
      <w:marBottom w:val="0"/>
      <w:divBdr>
        <w:top w:val="none" w:sz="0" w:space="0" w:color="auto"/>
        <w:left w:val="none" w:sz="0" w:space="0" w:color="auto"/>
        <w:bottom w:val="none" w:sz="0" w:space="0" w:color="auto"/>
        <w:right w:val="none" w:sz="0" w:space="0" w:color="auto"/>
      </w:divBdr>
    </w:div>
    <w:div w:id="764957239">
      <w:bodyDiv w:val="1"/>
      <w:marLeft w:val="0"/>
      <w:marRight w:val="0"/>
      <w:marTop w:val="0"/>
      <w:marBottom w:val="0"/>
      <w:divBdr>
        <w:top w:val="none" w:sz="0" w:space="0" w:color="auto"/>
        <w:left w:val="none" w:sz="0" w:space="0" w:color="auto"/>
        <w:bottom w:val="none" w:sz="0" w:space="0" w:color="auto"/>
        <w:right w:val="none" w:sz="0" w:space="0" w:color="auto"/>
      </w:divBdr>
    </w:div>
    <w:div w:id="804473309">
      <w:bodyDiv w:val="1"/>
      <w:marLeft w:val="0"/>
      <w:marRight w:val="0"/>
      <w:marTop w:val="0"/>
      <w:marBottom w:val="0"/>
      <w:divBdr>
        <w:top w:val="none" w:sz="0" w:space="0" w:color="auto"/>
        <w:left w:val="none" w:sz="0" w:space="0" w:color="auto"/>
        <w:bottom w:val="none" w:sz="0" w:space="0" w:color="auto"/>
        <w:right w:val="none" w:sz="0" w:space="0" w:color="auto"/>
      </w:divBdr>
    </w:div>
    <w:div w:id="902594218">
      <w:bodyDiv w:val="1"/>
      <w:marLeft w:val="0"/>
      <w:marRight w:val="0"/>
      <w:marTop w:val="0"/>
      <w:marBottom w:val="0"/>
      <w:divBdr>
        <w:top w:val="none" w:sz="0" w:space="0" w:color="auto"/>
        <w:left w:val="none" w:sz="0" w:space="0" w:color="auto"/>
        <w:bottom w:val="none" w:sz="0" w:space="0" w:color="auto"/>
        <w:right w:val="none" w:sz="0" w:space="0" w:color="auto"/>
      </w:divBdr>
    </w:div>
    <w:div w:id="985083344">
      <w:bodyDiv w:val="1"/>
      <w:marLeft w:val="0"/>
      <w:marRight w:val="0"/>
      <w:marTop w:val="0"/>
      <w:marBottom w:val="0"/>
      <w:divBdr>
        <w:top w:val="none" w:sz="0" w:space="0" w:color="auto"/>
        <w:left w:val="none" w:sz="0" w:space="0" w:color="auto"/>
        <w:bottom w:val="none" w:sz="0" w:space="0" w:color="auto"/>
        <w:right w:val="none" w:sz="0" w:space="0" w:color="auto"/>
      </w:divBdr>
    </w:div>
    <w:div w:id="1120416902">
      <w:bodyDiv w:val="1"/>
      <w:marLeft w:val="0"/>
      <w:marRight w:val="0"/>
      <w:marTop w:val="0"/>
      <w:marBottom w:val="0"/>
      <w:divBdr>
        <w:top w:val="none" w:sz="0" w:space="0" w:color="auto"/>
        <w:left w:val="none" w:sz="0" w:space="0" w:color="auto"/>
        <w:bottom w:val="none" w:sz="0" w:space="0" w:color="auto"/>
        <w:right w:val="none" w:sz="0" w:space="0" w:color="auto"/>
      </w:divBdr>
    </w:div>
    <w:div w:id="1135100219">
      <w:bodyDiv w:val="1"/>
      <w:marLeft w:val="0"/>
      <w:marRight w:val="0"/>
      <w:marTop w:val="0"/>
      <w:marBottom w:val="0"/>
      <w:divBdr>
        <w:top w:val="none" w:sz="0" w:space="0" w:color="auto"/>
        <w:left w:val="none" w:sz="0" w:space="0" w:color="auto"/>
        <w:bottom w:val="none" w:sz="0" w:space="0" w:color="auto"/>
        <w:right w:val="none" w:sz="0" w:space="0" w:color="auto"/>
      </w:divBdr>
    </w:div>
    <w:div w:id="1330981624">
      <w:bodyDiv w:val="1"/>
      <w:marLeft w:val="0"/>
      <w:marRight w:val="0"/>
      <w:marTop w:val="0"/>
      <w:marBottom w:val="0"/>
      <w:divBdr>
        <w:top w:val="none" w:sz="0" w:space="0" w:color="auto"/>
        <w:left w:val="none" w:sz="0" w:space="0" w:color="auto"/>
        <w:bottom w:val="none" w:sz="0" w:space="0" w:color="auto"/>
        <w:right w:val="none" w:sz="0" w:space="0" w:color="auto"/>
      </w:divBdr>
    </w:div>
    <w:div w:id="1414936612">
      <w:bodyDiv w:val="1"/>
      <w:marLeft w:val="0"/>
      <w:marRight w:val="0"/>
      <w:marTop w:val="0"/>
      <w:marBottom w:val="0"/>
      <w:divBdr>
        <w:top w:val="none" w:sz="0" w:space="0" w:color="auto"/>
        <w:left w:val="none" w:sz="0" w:space="0" w:color="auto"/>
        <w:bottom w:val="none" w:sz="0" w:space="0" w:color="auto"/>
        <w:right w:val="none" w:sz="0" w:space="0" w:color="auto"/>
      </w:divBdr>
    </w:div>
    <w:div w:id="1495491339">
      <w:bodyDiv w:val="1"/>
      <w:marLeft w:val="0"/>
      <w:marRight w:val="0"/>
      <w:marTop w:val="0"/>
      <w:marBottom w:val="0"/>
      <w:divBdr>
        <w:top w:val="none" w:sz="0" w:space="0" w:color="auto"/>
        <w:left w:val="none" w:sz="0" w:space="0" w:color="auto"/>
        <w:bottom w:val="none" w:sz="0" w:space="0" w:color="auto"/>
        <w:right w:val="none" w:sz="0" w:space="0" w:color="auto"/>
      </w:divBdr>
    </w:div>
    <w:div w:id="1541942726">
      <w:bodyDiv w:val="1"/>
      <w:marLeft w:val="0"/>
      <w:marRight w:val="0"/>
      <w:marTop w:val="0"/>
      <w:marBottom w:val="0"/>
      <w:divBdr>
        <w:top w:val="none" w:sz="0" w:space="0" w:color="auto"/>
        <w:left w:val="none" w:sz="0" w:space="0" w:color="auto"/>
        <w:bottom w:val="none" w:sz="0" w:space="0" w:color="auto"/>
        <w:right w:val="none" w:sz="0" w:space="0" w:color="auto"/>
      </w:divBdr>
      <w:divsChild>
        <w:div w:id="838038196">
          <w:marLeft w:val="0"/>
          <w:marRight w:val="0"/>
          <w:marTop w:val="0"/>
          <w:marBottom w:val="0"/>
          <w:divBdr>
            <w:top w:val="none" w:sz="0" w:space="0" w:color="auto"/>
            <w:left w:val="none" w:sz="0" w:space="0" w:color="auto"/>
            <w:bottom w:val="none" w:sz="0" w:space="0" w:color="auto"/>
            <w:right w:val="none" w:sz="0" w:space="0" w:color="auto"/>
          </w:divBdr>
        </w:div>
        <w:div w:id="477889996">
          <w:marLeft w:val="0"/>
          <w:marRight w:val="0"/>
          <w:marTop w:val="0"/>
          <w:marBottom w:val="0"/>
          <w:divBdr>
            <w:top w:val="none" w:sz="0" w:space="0" w:color="auto"/>
            <w:left w:val="none" w:sz="0" w:space="0" w:color="auto"/>
            <w:bottom w:val="none" w:sz="0" w:space="0" w:color="auto"/>
            <w:right w:val="none" w:sz="0" w:space="0" w:color="auto"/>
          </w:divBdr>
        </w:div>
      </w:divsChild>
    </w:div>
    <w:div w:id="17705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elegraph.co.uk/politics/2020/11/14/britains-supreme-court-faces-overhaul-concerns-us-style-election/" TargetMode="External"/><Relationship Id="rId2" Type="http://schemas.openxmlformats.org/officeDocument/2006/relationships/hyperlink" Target="https://www.instituteforgovernment.org.uk/explainers/sewel-convention" TargetMode="External"/><Relationship Id="rId1" Type="http://schemas.openxmlformats.org/officeDocument/2006/relationships/hyperlink" Target="https://www.gov.uk/government/consultations/judicial-review-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FA72-B8DB-42B9-8EC4-D8C86DAD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16</Pages>
  <Words>8944</Words>
  <Characters>50984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Michael</dc:creator>
  <cp:keywords/>
  <dc:description/>
  <cp:lastModifiedBy>Gordon, Michael</cp:lastModifiedBy>
  <cp:revision>19</cp:revision>
  <dcterms:created xsi:type="dcterms:W3CDTF">2021-08-09T23:38:00Z</dcterms:created>
  <dcterms:modified xsi:type="dcterms:W3CDTF">2021-08-10T09:49:00Z</dcterms:modified>
</cp:coreProperties>
</file>