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894E" w14:textId="77777777" w:rsidR="003E5DD1" w:rsidRDefault="003E5DD1" w:rsidP="003E5DD1">
      <w:pPr>
        <w:pStyle w:val="NormalWeb"/>
        <w:shd w:val="clear" w:color="auto" w:fill="FFFFFF"/>
        <w:spacing w:before="0" w:beforeAutospacing="0"/>
        <w:outlineLvl w:val="2"/>
        <w:rPr>
          <w:rFonts w:ascii="Lato" w:hAnsi="Lato"/>
          <w:color w:val="C4590A"/>
          <w:sz w:val="36"/>
          <w:szCs w:val="36"/>
        </w:rPr>
      </w:pPr>
      <w:r>
        <w:rPr>
          <w:rFonts w:ascii="Lato" w:hAnsi="Lato"/>
          <w:color w:val="C4590A"/>
          <w:sz w:val="36"/>
          <w:szCs w:val="36"/>
        </w:rPr>
        <w:t>Glucose regulation in children with primary adrenal insufficiency: preliminary data.</w:t>
      </w:r>
    </w:p>
    <w:p w14:paraId="7FAA3DDD" w14:textId="77777777" w:rsidR="003E5DD1" w:rsidRDefault="003E5DD1" w:rsidP="003E5DD1">
      <w:pPr>
        <w:pStyle w:val="NormalWeb"/>
        <w:shd w:val="clear" w:color="auto" w:fill="FFFFFF"/>
        <w:spacing w:before="0" w:beforeAutospacing="0"/>
        <w:outlineLvl w:val="3"/>
        <w:rPr>
          <w:rFonts w:ascii="Lato" w:hAnsi="Lato"/>
          <w:color w:val="F7791E"/>
          <w:sz w:val="19"/>
          <w:szCs w:val="19"/>
        </w:rPr>
      </w:pPr>
      <w:r>
        <w:rPr>
          <w:rFonts w:ascii="Lato" w:hAnsi="Lato"/>
          <w:color w:val="F7791E"/>
          <w:sz w:val="19"/>
          <w:szCs w:val="19"/>
          <w:u w:val="single"/>
        </w:rPr>
        <w:t>Julie Park</w:t>
      </w:r>
      <w:r>
        <w:rPr>
          <w:rFonts w:ascii="Lato" w:hAnsi="Lato"/>
          <w:color w:val="F7791E"/>
          <w:sz w:val="14"/>
          <w:szCs w:val="14"/>
          <w:vertAlign w:val="superscript"/>
        </w:rPr>
        <w:t>1</w:t>
      </w:r>
      <w:r>
        <w:rPr>
          <w:rFonts w:ascii="Lato" w:hAnsi="Lato"/>
          <w:color w:val="F7791E"/>
          <w:sz w:val="19"/>
          <w:szCs w:val="19"/>
        </w:rPr>
        <w:t>, Daniel Hawcutt</w:t>
      </w:r>
      <w:r>
        <w:rPr>
          <w:rFonts w:ascii="Lato" w:hAnsi="Lato"/>
          <w:color w:val="F7791E"/>
          <w:sz w:val="14"/>
          <w:szCs w:val="14"/>
          <w:vertAlign w:val="superscript"/>
        </w:rPr>
        <w:t>1</w:t>
      </w:r>
      <w:r>
        <w:rPr>
          <w:rFonts w:ascii="Lato" w:hAnsi="Lato"/>
          <w:color w:val="F7791E"/>
          <w:sz w:val="19"/>
          <w:szCs w:val="19"/>
        </w:rPr>
        <w:t>, Helen Shantsila</w:t>
      </w:r>
      <w:r>
        <w:rPr>
          <w:rFonts w:ascii="Lato" w:hAnsi="Lato"/>
          <w:color w:val="F7791E"/>
          <w:sz w:val="14"/>
          <w:szCs w:val="14"/>
          <w:vertAlign w:val="superscript"/>
        </w:rPr>
        <w:t>2</w:t>
      </w:r>
      <w:proofErr w:type="gramStart"/>
      <w:r>
        <w:rPr>
          <w:rFonts w:ascii="Lato" w:hAnsi="Lato"/>
          <w:color w:val="F7791E"/>
          <w:sz w:val="14"/>
          <w:szCs w:val="14"/>
          <w:vertAlign w:val="superscript"/>
        </w:rPr>
        <w:t>,3</w:t>
      </w:r>
      <w:proofErr w:type="gramEnd"/>
      <w:r>
        <w:rPr>
          <w:rFonts w:ascii="Lato" w:hAnsi="Lato"/>
          <w:color w:val="F7791E"/>
          <w:sz w:val="19"/>
          <w:szCs w:val="19"/>
        </w:rPr>
        <w:t>, Gregory Lip</w:t>
      </w:r>
      <w:r>
        <w:rPr>
          <w:rFonts w:ascii="Lato" w:hAnsi="Lato"/>
          <w:color w:val="F7791E"/>
          <w:sz w:val="14"/>
          <w:szCs w:val="14"/>
          <w:vertAlign w:val="superscript"/>
        </w:rPr>
        <w:t>4,2</w:t>
      </w:r>
      <w:r>
        <w:rPr>
          <w:rFonts w:ascii="Lato" w:hAnsi="Lato"/>
          <w:color w:val="F7791E"/>
          <w:sz w:val="19"/>
          <w:szCs w:val="19"/>
        </w:rPr>
        <w:t> &amp; Joanne Blair</w:t>
      </w:r>
      <w:r>
        <w:rPr>
          <w:rFonts w:ascii="Lato" w:hAnsi="Lato"/>
          <w:color w:val="F7791E"/>
          <w:sz w:val="14"/>
          <w:szCs w:val="14"/>
          <w:vertAlign w:val="superscript"/>
        </w:rPr>
        <w:t>1</w:t>
      </w:r>
    </w:p>
    <w:p w14:paraId="411440E5" w14:textId="77777777" w:rsidR="003E5DD1" w:rsidRPr="003E5DD1" w:rsidRDefault="003E5DD1" w:rsidP="003E5DD1">
      <w:pPr>
        <w:shd w:val="clear" w:color="auto" w:fill="FFFFFF"/>
        <w:spacing w:after="100" w:afterAutospacing="1" w:line="240" w:lineRule="auto"/>
        <w:rPr>
          <w:rFonts w:ascii="Lato" w:eastAsia="Times New Roman" w:hAnsi="Lato" w:cs="Times New Roman"/>
          <w:color w:val="212529"/>
          <w:sz w:val="24"/>
          <w:szCs w:val="24"/>
          <w:lang w:eastAsia="en-GB"/>
        </w:rPr>
      </w:pPr>
      <w:bookmarkStart w:id="0" w:name="_GoBack"/>
      <w:bookmarkEnd w:id="0"/>
      <w:r w:rsidRPr="003E5DD1">
        <w:rPr>
          <w:rFonts w:ascii="Lato" w:eastAsia="Times New Roman" w:hAnsi="Lato" w:cs="Times New Roman"/>
          <w:b/>
          <w:bCs/>
          <w:color w:val="212529"/>
          <w:sz w:val="24"/>
          <w:szCs w:val="24"/>
          <w:lang w:eastAsia="en-GB"/>
        </w:rPr>
        <w:t>Background:</w:t>
      </w:r>
      <w:r w:rsidRPr="003E5DD1">
        <w:rPr>
          <w:rFonts w:ascii="Lato" w:eastAsia="Times New Roman" w:hAnsi="Lato" w:cs="Times New Roman"/>
          <w:color w:val="212529"/>
          <w:sz w:val="24"/>
          <w:szCs w:val="24"/>
          <w:lang w:eastAsia="en-GB"/>
        </w:rPr>
        <w:t> During treatment of adrenal insufficiency (AI) with hydrocortisone (HC), cortisol concentrations are supra-physiological following doses, and low before doses. We speculated that this cortisol profile may result in periods of hyperglycaemia and hypoglycaemia. We describe glucose profiles in the first 18 children recruited to a study of metabolic and cardiovascular profiles in AI.</w:t>
      </w:r>
    </w:p>
    <w:p w14:paraId="410A638A" w14:textId="77777777" w:rsidR="003E5DD1" w:rsidRPr="003E5DD1" w:rsidRDefault="003E5DD1" w:rsidP="003E5DD1">
      <w:pPr>
        <w:shd w:val="clear" w:color="auto" w:fill="FFFFFF"/>
        <w:spacing w:after="100" w:afterAutospacing="1" w:line="240" w:lineRule="auto"/>
        <w:rPr>
          <w:rFonts w:ascii="Lato" w:eastAsia="Times New Roman" w:hAnsi="Lato" w:cs="Times New Roman"/>
          <w:color w:val="212529"/>
          <w:sz w:val="24"/>
          <w:szCs w:val="24"/>
          <w:lang w:eastAsia="en-GB"/>
        </w:rPr>
      </w:pPr>
      <w:r w:rsidRPr="003E5DD1">
        <w:rPr>
          <w:rFonts w:ascii="Lato" w:eastAsia="Times New Roman" w:hAnsi="Lato" w:cs="Times New Roman"/>
          <w:b/>
          <w:bCs/>
          <w:color w:val="212529"/>
          <w:sz w:val="24"/>
          <w:szCs w:val="24"/>
          <w:lang w:eastAsia="en-GB"/>
        </w:rPr>
        <w:t>Methods:</w:t>
      </w:r>
      <w:r w:rsidRPr="003E5DD1">
        <w:rPr>
          <w:rFonts w:ascii="Lato" w:eastAsia="Times New Roman" w:hAnsi="Lato" w:cs="Times New Roman"/>
          <w:color w:val="212529"/>
          <w:sz w:val="24"/>
          <w:szCs w:val="24"/>
          <w:lang w:eastAsia="en-GB"/>
        </w:rPr>
        <w:t xml:space="preserve"> Children with primary AI, treated with HC underwent continuous glucose monitoring (CGM) for 7 days using the </w:t>
      </w:r>
      <w:proofErr w:type="spellStart"/>
      <w:r w:rsidRPr="003E5DD1">
        <w:rPr>
          <w:rFonts w:ascii="Lato" w:eastAsia="Times New Roman" w:hAnsi="Lato" w:cs="Times New Roman"/>
          <w:color w:val="212529"/>
          <w:sz w:val="24"/>
          <w:szCs w:val="24"/>
          <w:lang w:eastAsia="en-GB"/>
        </w:rPr>
        <w:t>Dexcom</w:t>
      </w:r>
      <w:proofErr w:type="spellEnd"/>
      <w:r w:rsidRPr="003E5DD1">
        <w:rPr>
          <w:rFonts w:ascii="Lato" w:eastAsia="Times New Roman" w:hAnsi="Lato" w:cs="Times New Roman"/>
          <w:color w:val="212529"/>
          <w:sz w:val="24"/>
          <w:szCs w:val="24"/>
          <w:lang w:eastAsia="en-GB"/>
        </w:rPr>
        <w:t xml:space="preserve"> G6 device, blinded to participants. Data were interpreted using published data from 57 healthy children [1] and are shown in table 1.</w:t>
      </w:r>
    </w:p>
    <w:p w14:paraId="46997083" w14:textId="77777777" w:rsidR="003E5DD1" w:rsidRPr="003E5DD1" w:rsidRDefault="003E5DD1" w:rsidP="003E5DD1">
      <w:pPr>
        <w:shd w:val="clear" w:color="auto" w:fill="FFFFFF"/>
        <w:spacing w:after="100" w:afterAutospacing="1" w:line="240" w:lineRule="auto"/>
        <w:rPr>
          <w:rFonts w:ascii="Lato" w:eastAsia="Times New Roman" w:hAnsi="Lato" w:cs="Times New Roman"/>
          <w:color w:val="212529"/>
          <w:sz w:val="24"/>
          <w:szCs w:val="24"/>
          <w:lang w:eastAsia="en-GB"/>
        </w:rPr>
      </w:pPr>
      <w:r w:rsidRPr="003E5DD1">
        <w:rPr>
          <w:rFonts w:ascii="Lato" w:eastAsia="Times New Roman" w:hAnsi="Lato" w:cs="Times New Roman"/>
          <w:b/>
          <w:bCs/>
          <w:color w:val="212529"/>
          <w:sz w:val="24"/>
          <w:szCs w:val="24"/>
          <w:lang w:eastAsia="en-GB"/>
        </w:rPr>
        <w:t>Results:</w:t>
      </w:r>
      <w:r w:rsidRPr="003E5DD1">
        <w:rPr>
          <w:rFonts w:ascii="Lato" w:eastAsia="Times New Roman" w:hAnsi="Lato" w:cs="Times New Roman"/>
          <w:color w:val="212529"/>
          <w:sz w:val="24"/>
          <w:szCs w:val="24"/>
          <w:lang w:eastAsia="en-GB"/>
        </w:rPr>
        <w:t> Eighteen children (9M, two Addison’s disease, 16 congenital adrenal hyperplasia (CAH)]), aged 8.1yrs (range 2-16) participated. Mean HC dose was 10.8 mg/m</w:t>
      </w:r>
      <w:r w:rsidRPr="003E5DD1">
        <w:rPr>
          <w:rFonts w:ascii="Lato" w:eastAsia="Times New Roman" w:hAnsi="Lato" w:cs="Times New Roman"/>
          <w:color w:val="212529"/>
          <w:sz w:val="18"/>
          <w:szCs w:val="18"/>
          <w:vertAlign w:val="superscript"/>
          <w:lang w:eastAsia="en-GB"/>
        </w:rPr>
        <w:t>2</w:t>
      </w:r>
      <w:r w:rsidRPr="003E5DD1">
        <w:rPr>
          <w:rFonts w:ascii="Lato" w:eastAsia="Times New Roman" w:hAnsi="Lato" w:cs="Times New Roman"/>
          <w:color w:val="212529"/>
          <w:sz w:val="24"/>
          <w:szCs w:val="24"/>
          <w:lang w:eastAsia="en-GB"/>
        </w:rPr>
        <w:t>/day (5.6-22.5), height SDS -0.07 (-2.03-2.59) and body mass index (BMI) SDS 0.70 (-0.7-3.7). Total number of glucose measurements was 1846 (688-2017). One child could not tolerated CGM.</w:t>
      </w:r>
    </w:p>
    <w:tbl>
      <w:tblPr>
        <w:tblW w:w="0" w:type="auto"/>
        <w:shd w:val="clear" w:color="auto" w:fill="FFFFFF"/>
        <w:tblCellMar>
          <w:top w:w="45" w:type="dxa"/>
          <w:left w:w="45" w:type="dxa"/>
          <w:bottom w:w="45" w:type="dxa"/>
          <w:right w:w="45" w:type="dxa"/>
        </w:tblCellMar>
        <w:tblLook w:val="04A0" w:firstRow="1" w:lastRow="0" w:firstColumn="1" w:lastColumn="0" w:noHBand="0" w:noVBand="1"/>
      </w:tblPr>
      <w:tblGrid>
        <w:gridCol w:w="2766"/>
        <w:gridCol w:w="1493"/>
        <w:gridCol w:w="2349"/>
        <w:gridCol w:w="2418"/>
      </w:tblGrid>
      <w:tr w:rsidR="003E5DD1" w:rsidRPr="003E5DD1" w14:paraId="0CC83E7C" w14:textId="77777777" w:rsidTr="003E5DD1">
        <w:trPr>
          <w:tblHeader/>
        </w:trPr>
        <w:tc>
          <w:tcPr>
            <w:tcW w:w="0" w:type="auto"/>
            <w:gridSpan w:val="4"/>
            <w:tcBorders>
              <w:top w:val="nil"/>
              <w:left w:val="nil"/>
              <w:bottom w:val="nil"/>
              <w:right w:val="nil"/>
            </w:tcBorders>
            <w:shd w:val="clear" w:color="auto" w:fill="FFFFFF"/>
            <w:vAlign w:val="center"/>
            <w:hideMark/>
          </w:tcPr>
          <w:p w14:paraId="077E2118" w14:textId="77777777" w:rsidR="003E5DD1" w:rsidRPr="003E5DD1" w:rsidRDefault="003E5DD1" w:rsidP="003E5DD1">
            <w:pPr>
              <w:spacing w:after="0" w:line="240" w:lineRule="auto"/>
              <w:rPr>
                <w:rFonts w:ascii="Lato" w:eastAsia="Times New Roman" w:hAnsi="Lato" w:cs="Times New Roman"/>
                <w:color w:val="6C757D"/>
                <w:sz w:val="24"/>
                <w:szCs w:val="24"/>
                <w:lang w:eastAsia="en-GB"/>
              </w:rPr>
            </w:pPr>
            <w:r w:rsidRPr="003E5DD1">
              <w:rPr>
                <w:rFonts w:ascii="Lato" w:eastAsia="Times New Roman" w:hAnsi="Lato" w:cs="Times New Roman"/>
                <w:color w:val="6C757D"/>
                <w:sz w:val="24"/>
                <w:szCs w:val="24"/>
                <w:lang w:eastAsia="en-GB"/>
              </w:rPr>
              <w:t>Table 1 Table showing glucose data compared to healthy controls [1].</w:t>
            </w:r>
          </w:p>
        </w:tc>
      </w:tr>
      <w:tr w:rsidR="003E5DD1" w:rsidRPr="003E5DD1" w14:paraId="25F1E475" w14:textId="77777777" w:rsidTr="003E5DD1">
        <w:trPr>
          <w:tblHeader/>
        </w:trPr>
        <w:tc>
          <w:tcPr>
            <w:tcW w:w="0" w:type="auto"/>
            <w:shd w:val="clear" w:color="auto" w:fill="FFFFFF"/>
            <w:vAlign w:val="center"/>
            <w:hideMark/>
          </w:tcPr>
          <w:p w14:paraId="7911C754"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Parameter</w:t>
            </w:r>
          </w:p>
        </w:tc>
        <w:tc>
          <w:tcPr>
            <w:tcW w:w="0" w:type="auto"/>
            <w:shd w:val="clear" w:color="auto" w:fill="FFFFFF"/>
            <w:vAlign w:val="center"/>
            <w:hideMark/>
          </w:tcPr>
          <w:p w14:paraId="3A18C8C4"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Grace study (</w:t>
            </w:r>
            <w:r w:rsidRPr="003E5DD1">
              <w:rPr>
                <w:rFonts w:ascii="Lato" w:eastAsia="Times New Roman" w:hAnsi="Lato" w:cs="Times New Roman"/>
                <w:i/>
                <w:iCs/>
                <w:color w:val="555555"/>
                <w:sz w:val="24"/>
                <w:szCs w:val="24"/>
                <w:lang w:eastAsia="en-GB"/>
              </w:rPr>
              <w:t>n</w:t>
            </w:r>
            <w:r w:rsidRPr="003E5DD1">
              <w:rPr>
                <w:rFonts w:ascii="Lato" w:eastAsia="Times New Roman" w:hAnsi="Lato" w:cs="Times New Roman"/>
                <w:color w:val="555555"/>
                <w:sz w:val="24"/>
                <w:szCs w:val="24"/>
                <w:lang w:eastAsia="en-GB"/>
              </w:rPr>
              <w:t> = 17)</w:t>
            </w:r>
          </w:p>
        </w:tc>
        <w:tc>
          <w:tcPr>
            <w:tcW w:w="0" w:type="auto"/>
            <w:shd w:val="clear" w:color="auto" w:fill="FFFFFF"/>
            <w:vAlign w:val="center"/>
            <w:hideMark/>
          </w:tcPr>
          <w:p w14:paraId="63DAECBB"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Reference data 6 to &lt;12y (</w:t>
            </w:r>
            <w:r w:rsidRPr="003E5DD1">
              <w:rPr>
                <w:rFonts w:ascii="Lato" w:eastAsia="Times New Roman" w:hAnsi="Lato" w:cs="Times New Roman"/>
                <w:i/>
                <w:iCs/>
                <w:color w:val="555555"/>
                <w:sz w:val="24"/>
                <w:szCs w:val="24"/>
                <w:lang w:eastAsia="en-GB"/>
              </w:rPr>
              <w:t>n</w:t>
            </w:r>
            <w:r w:rsidRPr="003E5DD1">
              <w:rPr>
                <w:rFonts w:ascii="Lato" w:eastAsia="Times New Roman" w:hAnsi="Lato" w:cs="Times New Roman"/>
                <w:color w:val="555555"/>
                <w:sz w:val="24"/>
                <w:szCs w:val="24"/>
                <w:lang w:eastAsia="en-GB"/>
              </w:rPr>
              <w:t> = 27)</w:t>
            </w:r>
          </w:p>
        </w:tc>
        <w:tc>
          <w:tcPr>
            <w:tcW w:w="0" w:type="auto"/>
            <w:shd w:val="clear" w:color="auto" w:fill="FFFFFF"/>
            <w:vAlign w:val="center"/>
            <w:hideMark/>
          </w:tcPr>
          <w:p w14:paraId="60B8A07E"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Reference data 12 to &lt;18y (</w:t>
            </w:r>
            <w:r w:rsidRPr="003E5DD1">
              <w:rPr>
                <w:rFonts w:ascii="Lato" w:eastAsia="Times New Roman" w:hAnsi="Lato" w:cs="Times New Roman"/>
                <w:i/>
                <w:iCs/>
                <w:color w:val="555555"/>
                <w:sz w:val="24"/>
                <w:szCs w:val="24"/>
                <w:lang w:eastAsia="en-GB"/>
              </w:rPr>
              <w:t>n</w:t>
            </w:r>
            <w:r w:rsidRPr="003E5DD1">
              <w:rPr>
                <w:rFonts w:ascii="Lato" w:eastAsia="Times New Roman" w:hAnsi="Lato" w:cs="Times New Roman"/>
                <w:color w:val="555555"/>
                <w:sz w:val="24"/>
                <w:szCs w:val="24"/>
                <w:lang w:eastAsia="en-GB"/>
              </w:rPr>
              <w:t> = 30)</w:t>
            </w:r>
          </w:p>
        </w:tc>
      </w:tr>
      <w:tr w:rsidR="003E5DD1" w:rsidRPr="003E5DD1" w14:paraId="1C6A2822" w14:textId="77777777" w:rsidTr="003E5DD1">
        <w:tc>
          <w:tcPr>
            <w:tcW w:w="0" w:type="auto"/>
            <w:shd w:val="clear" w:color="auto" w:fill="FFFFFF"/>
            <w:vAlign w:val="center"/>
            <w:hideMark/>
          </w:tcPr>
          <w:p w14:paraId="4BD61872"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Mean glucose (1SD)</w:t>
            </w:r>
          </w:p>
        </w:tc>
        <w:tc>
          <w:tcPr>
            <w:tcW w:w="0" w:type="auto"/>
            <w:shd w:val="clear" w:color="auto" w:fill="FFFFFF"/>
            <w:vAlign w:val="center"/>
            <w:hideMark/>
          </w:tcPr>
          <w:p w14:paraId="6F74B33D"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6.05 (±0.51)</w:t>
            </w:r>
          </w:p>
        </w:tc>
        <w:tc>
          <w:tcPr>
            <w:tcW w:w="0" w:type="auto"/>
            <w:shd w:val="clear" w:color="auto" w:fill="FFFFFF"/>
            <w:vAlign w:val="center"/>
            <w:hideMark/>
          </w:tcPr>
          <w:p w14:paraId="6B0D2597"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5.50 (±0.39)</w:t>
            </w:r>
          </w:p>
        </w:tc>
        <w:tc>
          <w:tcPr>
            <w:tcW w:w="0" w:type="auto"/>
            <w:shd w:val="clear" w:color="auto" w:fill="FFFFFF"/>
            <w:vAlign w:val="center"/>
            <w:hideMark/>
          </w:tcPr>
          <w:p w14:paraId="72680A90"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5.40 (±0.39)</w:t>
            </w:r>
          </w:p>
        </w:tc>
      </w:tr>
      <w:tr w:rsidR="003E5DD1" w:rsidRPr="003E5DD1" w14:paraId="77600689" w14:textId="77777777" w:rsidTr="003E5DD1">
        <w:tc>
          <w:tcPr>
            <w:tcW w:w="0" w:type="auto"/>
            <w:shd w:val="clear" w:color="auto" w:fill="FFFFFF"/>
            <w:vAlign w:val="center"/>
            <w:hideMark/>
          </w:tcPr>
          <w:p w14:paraId="2F925088"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Standard deviation of measurements</w:t>
            </w:r>
          </w:p>
        </w:tc>
        <w:tc>
          <w:tcPr>
            <w:tcW w:w="0" w:type="auto"/>
            <w:shd w:val="clear" w:color="auto" w:fill="FFFFFF"/>
            <w:vAlign w:val="center"/>
            <w:hideMark/>
          </w:tcPr>
          <w:p w14:paraId="1B284361"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1.01 (±0.47)</w:t>
            </w:r>
          </w:p>
        </w:tc>
        <w:tc>
          <w:tcPr>
            <w:tcW w:w="0" w:type="auto"/>
            <w:shd w:val="clear" w:color="auto" w:fill="FFFFFF"/>
            <w:vAlign w:val="center"/>
            <w:hideMark/>
          </w:tcPr>
          <w:p w14:paraId="72ADAF23"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0.89 (±0.39)</w:t>
            </w:r>
          </w:p>
        </w:tc>
        <w:tc>
          <w:tcPr>
            <w:tcW w:w="0" w:type="auto"/>
            <w:shd w:val="clear" w:color="auto" w:fill="FFFFFF"/>
            <w:vAlign w:val="center"/>
            <w:hideMark/>
          </w:tcPr>
          <w:p w14:paraId="0C24B5D3"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0.83 (±0.33)</w:t>
            </w:r>
          </w:p>
        </w:tc>
      </w:tr>
      <w:tr w:rsidR="003E5DD1" w:rsidRPr="003E5DD1" w14:paraId="54449EAE" w14:textId="77777777" w:rsidTr="003E5DD1">
        <w:tc>
          <w:tcPr>
            <w:tcW w:w="0" w:type="auto"/>
            <w:shd w:val="clear" w:color="auto" w:fill="FFFFFF"/>
            <w:vAlign w:val="center"/>
            <w:hideMark/>
          </w:tcPr>
          <w:p w14:paraId="39E7C063"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 xml:space="preserve">% of time &lt; 3 </w:t>
            </w:r>
            <w:proofErr w:type="spellStart"/>
            <w:r w:rsidRPr="003E5DD1">
              <w:rPr>
                <w:rFonts w:ascii="Lato" w:eastAsia="Times New Roman" w:hAnsi="Lato" w:cs="Times New Roman"/>
                <w:color w:val="555555"/>
                <w:sz w:val="24"/>
                <w:szCs w:val="24"/>
                <w:lang w:eastAsia="en-GB"/>
              </w:rPr>
              <w:t>mmol</w:t>
            </w:r>
            <w:proofErr w:type="spellEnd"/>
            <w:r w:rsidRPr="003E5DD1">
              <w:rPr>
                <w:rFonts w:ascii="Lato" w:eastAsia="Times New Roman" w:hAnsi="Lato" w:cs="Times New Roman"/>
                <w:color w:val="555555"/>
                <w:sz w:val="24"/>
                <w:szCs w:val="24"/>
                <w:lang w:eastAsia="en-GB"/>
              </w:rPr>
              <w:t>/l (median, IQR)</w:t>
            </w:r>
          </w:p>
        </w:tc>
        <w:tc>
          <w:tcPr>
            <w:tcW w:w="0" w:type="auto"/>
            <w:shd w:val="clear" w:color="auto" w:fill="FFFFFF"/>
            <w:vAlign w:val="center"/>
            <w:hideMark/>
          </w:tcPr>
          <w:p w14:paraId="0ACC714E"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0.00 (0.00-0.24)</w:t>
            </w:r>
          </w:p>
        </w:tc>
        <w:tc>
          <w:tcPr>
            <w:tcW w:w="0" w:type="auto"/>
            <w:shd w:val="clear" w:color="auto" w:fill="FFFFFF"/>
            <w:vAlign w:val="center"/>
            <w:hideMark/>
          </w:tcPr>
          <w:p w14:paraId="602380EB"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0.00 (0.00-0.20)</w:t>
            </w:r>
          </w:p>
        </w:tc>
        <w:tc>
          <w:tcPr>
            <w:tcW w:w="0" w:type="auto"/>
            <w:shd w:val="clear" w:color="auto" w:fill="FFFFFF"/>
            <w:vAlign w:val="center"/>
            <w:hideMark/>
          </w:tcPr>
          <w:p w14:paraId="4D15B16E"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0.00 (0.00-0.40)</w:t>
            </w:r>
          </w:p>
        </w:tc>
      </w:tr>
      <w:tr w:rsidR="003E5DD1" w:rsidRPr="003E5DD1" w14:paraId="6ED5B8CE" w14:textId="77777777" w:rsidTr="003E5DD1">
        <w:tc>
          <w:tcPr>
            <w:tcW w:w="0" w:type="auto"/>
            <w:shd w:val="clear" w:color="auto" w:fill="FFFFFF"/>
            <w:vAlign w:val="center"/>
            <w:hideMark/>
          </w:tcPr>
          <w:p w14:paraId="67884B41"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 xml:space="preserve">% of time &gt;10 </w:t>
            </w:r>
            <w:proofErr w:type="spellStart"/>
            <w:r w:rsidRPr="003E5DD1">
              <w:rPr>
                <w:rFonts w:ascii="Lato" w:eastAsia="Times New Roman" w:hAnsi="Lato" w:cs="Times New Roman"/>
                <w:color w:val="555555"/>
                <w:sz w:val="24"/>
                <w:szCs w:val="24"/>
                <w:lang w:eastAsia="en-GB"/>
              </w:rPr>
              <w:t>mmol</w:t>
            </w:r>
            <w:proofErr w:type="spellEnd"/>
            <w:r w:rsidRPr="003E5DD1">
              <w:rPr>
                <w:rFonts w:ascii="Lato" w:eastAsia="Times New Roman" w:hAnsi="Lato" w:cs="Times New Roman"/>
                <w:color w:val="555555"/>
                <w:sz w:val="24"/>
                <w:szCs w:val="24"/>
                <w:lang w:eastAsia="en-GB"/>
              </w:rPr>
              <w:t>/l</w:t>
            </w:r>
          </w:p>
        </w:tc>
        <w:tc>
          <w:tcPr>
            <w:tcW w:w="0" w:type="auto"/>
            <w:shd w:val="clear" w:color="auto" w:fill="FFFFFF"/>
            <w:vAlign w:val="center"/>
            <w:hideMark/>
          </w:tcPr>
          <w:p w14:paraId="72BBF8D7"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1.26 (0.00-1.52)</w:t>
            </w:r>
          </w:p>
        </w:tc>
        <w:tc>
          <w:tcPr>
            <w:tcW w:w="0" w:type="auto"/>
            <w:shd w:val="clear" w:color="auto" w:fill="FFFFFF"/>
            <w:vAlign w:val="center"/>
            <w:hideMark/>
          </w:tcPr>
          <w:p w14:paraId="30465674"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0.00 (0.00-0.10)</w:t>
            </w:r>
          </w:p>
        </w:tc>
        <w:tc>
          <w:tcPr>
            <w:tcW w:w="0" w:type="auto"/>
            <w:shd w:val="clear" w:color="auto" w:fill="FFFFFF"/>
            <w:vAlign w:val="center"/>
            <w:hideMark/>
          </w:tcPr>
          <w:p w14:paraId="156F6DD8" w14:textId="77777777" w:rsidR="003E5DD1" w:rsidRPr="003E5DD1" w:rsidRDefault="003E5DD1" w:rsidP="003E5DD1">
            <w:pPr>
              <w:spacing w:after="0" w:line="240" w:lineRule="auto"/>
              <w:rPr>
                <w:rFonts w:ascii="Lato" w:eastAsia="Times New Roman" w:hAnsi="Lato" w:cs="Times New Roman"/>
                <w:color w:val="555555"/>
                <w:sz w:val="24"/>
                <w:szCs w:val="24"/>
                <w:lang w:eastAsia="en-GB"/>
              </w:rPr>
            </w:pPr>
            <w:r w:rsidRPr="003E5DD1">
              <w:rPr>
                <w:rFonts w:ascii="Lato" w:eastAsia="Times New Roman" w:hAnsi="Lato" w:cs="Times New Roman"/>
                <w:color w:val="555555"/>
                <w:sz w:val="24"/>
                <w:szCs w:val="24"/>
                <w:lang w:eastAsia="en-GB"/>
              </w:rPr>
              <w:t>0.00 (0.00-0.00)</w:t>
            </w:r>
          </w:p>
        </w:tc>
      </w:tr>
    </w:tbl>
    <w:p w14:paraId="181F9FAA" w14:textId="77777777" w:rsidR="003E5DD1" w:rsidRPr="003E5DD1" w:rsidRDefault="003E5DD1" w:rsidP="003E5DD1">
      <w:pPr>
        <w:shd w:val="clear" w:color="auto" w:fill="FFFFFF"/>
        <w:spacing w:after="100" w:afterAutospacing="1" w:line="240" w:lineRule="auto"/>
        <w:rPr>
          <w:rFonts w:ascii="Lato" w:eastAsia="Times New Roman" w:hAnsi="Lato" w:cs="Times New Roman"/>
          <w:color w:val="212529"/>
          <w:sz w:val="24"/>
          <w:szCs w:val="24"/>
          <w:lang w:eastAsia="en-GB"/>
        </w:rPr>
      </w:pPr>
      <w:r w:rsidRPr="003E5DD1">
        <w:rPr>
          <w:rFonts w:ascii="Lato" w:eastAsia="Times New Roman" w:hAnsi="Lato" w:cs="Times New Roman"/>
          <w:b/>
          <w:bCs/>
          <w:color w:val="212529"/>
          <w:sz w:val="24"/>
          <w:szCs w:val="24"/>
          <w:lang w:eastAsia="en-GB"/>
        </w:rPr>
        <w:t>Hypoglycaemia:</w:t>
      </w:r>
      <w:r w:rsidRPr="003E5DD1">
        <w:rPr>
          <w:rFonts w:ascii="Lato" w:eastAsia="Times New Roman" w:hAnsi="Lato" w:cs="Times New Roman"/>
          <w:color w:val="212529"/>
          <w:sz w:val="24"/>
          <w:szCs w:val="24"/>
          <w:lang w:eastAsia="en-GB"/>
        </w:rPr>
        <w:t xml:space="preserve"> Three out of eighteen children had glucose measurements &lt; 3 </w:t>
      </w:r>
      <w:proofErr w:type="spellStart"/>
      <w:r w:rsidRPr="003E5DD1">
        <w:rPr>
          <w:rFonts w:ascii="Lato" w:eastAsia="Times New Roman" w:hAnsi="Lato" w:cs="Times New Roman"/>
          <w:color w:val="212529"/>
          <w:sz w:val="24"/>
          <w:szCs w:val="24"/>
          <w:lang w:eastAsia="en-GB"/>
        </w:rPr>
        <w:t>mmol</w:t>
      </w:r>
      <w:proofErr w:type="spellEnd"/>
      <w:r w:rsidRPr="003E5DD1">
        <w:rPr>
          <w:rFonts w:ascii="Lato" w:eastAsia="Times New Roman" w:hAnsi="Lato" w:cs="Times New Roman"/>
          <w:color w:val="212529"/>
          <w:sz w:val="24"/>
          <w:szCs w:val="24"/>
          <w:lang w:eastAsia="en-GB"/>
        </w:rPr>
        <w:t xml:space="preserve">/l for 1-2% of readings. In one child, glucose was &lt;3 </w:t>
      </w:r>
      <w:proofErr w:type="spellStart"/>
      <w:r w:rsidRPr="003E5DD1">
        <w:rPr>
          <w:rFonts w:ascii="Lato" w:eastAsia="Times New Roman" w:hAnsi="Lato" w:cs="Times New Roman"/>
          <w:color w:val="212529"/>
          <w:sz w:val="24"/>
          <w:szCs w:val="24"/>
          <w:lang w:eastAsia="en-GB"/>
        </w:rPr>
        <w:t>mmol</w:t>
      </w:r>
      <w:proofErr w:type="spellEnd"/>
      <w:r w:rsidRPr="003E5DD1">
        <w:rPr>
          <w:rFonts w:ascii="Lato" w:eastAsia="Times New Roman" w:hAnsi="Lato" w:cs="Times New Roman"/>
          <w:color w:val="212529"/>
          <w:sz w:val="24"/>
          <w:szCs w:val="24"/>
          <w:lang w:eastAsia="en-GB"/>
        </w:rPr>
        <w:t xml:space="preserve">/l on 2% of readings and &lt;4 </w:t>
      </w:r>
      <w:proofErr w:type="spellStart"/>
      <w:r w:rsidRPr="003E5DD1">
        <w:rPr>
          <w:rFonts w:ascii="Lato" w:eastAsia="Times New Roman" w:hAnsi="Lato" w:cs="Times New Roman"/>
          <w:color w:val="212529"/>
          <w:sz w:val="24"/>
          <w:szCs w:val="24"/>
          <w:lang w:eastAsia="en-GB"/>
        </w:rPr>
        <w:t>mmol</w:t>
      </w:r>
      <w:proofErr w:type="spellEnd"/>
      <w:r w:rsidRPr="003E5DD1">
        <w:rPr>
          <w:rFonts w:ascii="Lato" w:eastAsia="Times New Roman" w:hAnsi="Lato" w:cs="Times New Roman"/>
          <w:color w:val="212529"/>
          <w:sz w:val="24"/>
          <w:szCs w:val="24"/>
          <w:lang w:eastAsia="en-GB"/>
        </w:rPr>
        <w:t>/l for 11% of readings. Their BMI SDS was 0.6 and HC dose 9.2mg/m</w:t>
      </w:r>
      <w:r w:rsidRPr="003E5DD1">
        <w:rPr>
          <w:rFonts w:ascii="Lato" w:eastAsia="Times New Roman" w:hAnsi="Lato" w:cs="Times New Roman"/>
          <w:color w:val="212529"/>
          <w:sz w:val="18"/>
          <w:szCs w:val="18"/>
          <w:vertAlign w:val="superscript"/>
          <w:lang w:eastAsia="en-GB"/>
        </w:rPr>
        <w:t>2</w:t>
      </w:r>
      <w:r w:rsidRPr="003E5DD1">
        <w:rPr>
          <w:rFonts w:ascii="Lato" w:eastAsia="Times New Roman" w:hAnsi="Lato" w:cs="Times New Roman"/>
          <w:color w:val="212529"/>
          <w:sz w:val="24"/>
          <w:szCs w:val="24"/>
          <w:lang w:eastAsia="en-GB"/>
        </w:rPr>
        <w:t>/day.</w:t>
      </w:r>
    </w:p>
    <w:p w14:paraId="103CF4BC" w14:textId="77777777" w:rsidR="003E5DD1" w:rsidRPr="003E5DD1" w:rsidRDefault="003E5DD1" w:rsidP="003E5DD1">
      <w:pPr>
        <w:shd w:val="clear" w:color="auto" w:fill="FFFFFF"/>
        <w:spacing w:after="100" w:afterAutospacing="1" w:line="240" w:lineRule="auto"/>
        <w:rPr>
          <w:rFonts w:ascii="Lato" w:eastAsia="Times New Roman" w:hAnsi="Lato" w:cs="Times New Roman"/>
          <w:color w:val="212529"/>
          <w:sz w:val="24"/>
          <w:szCs w:val="24"/>
          <w:lang w:eastAsia="en-GB"/>
        </w:rPr>
      </w:pPr>
      <w:r w:rsidRPr="003E5DD1">
        <w:rPr>
          <w:rFonts w:ascii="Lato" w:eastAsia="Times New Roman" w:hAnsi="Lato" w:cs="Times New Roman"/>
          <w:i/>
          <w:iCs/>
          <w:color w:val="212529"/>
          <w:sz w:val="24"/>
          <w:szCs w:val="24"/>
          <w:lang w:eastAsia="en-GB"/>
        </w:rPr>
        <w:t>Hyperglycaemia:</w:t>
      </w:r>
      <w:r w:rsidRPr="003E5DD1">
        <w:rPr>
          <w:rFonts w:ascii="Lato" w:eastAsia="Times New Roman" w:hAnsi="Lato" w:cs="Times New Roman"/>
          <w:color w:val="212529"/>
          <w:sz w:val="24"/>
          <w:szCs w:val="24"/>
          <w:lang w:eastAsia="en-GB"/>
        </w:rPr>
        <w:t xml:space="preserve"> Four out of eighteen children had glucose measurements &gt; 10 </w:t>
      </w:r>
      <w:proofErr w:type="spellStart"/>
      <w:r w:rsidRPr="003E5DD1">
        <w:rPr>
          <w:rFonts w:ascii="Lato" w:eastAsia="Times New Roman" w:hAnsi="Lato" w:cs="Times New Roman"/>
          <w:color w:val="212529"/>
          <w:sz w:val="24"/>
          <w:szCs w:val="24"/>
          <w:lang w:eastAsia="en-GB"/>
        </w:rPr>
        <w:t>mmol</w:t>
      </w:r>
      <w:proofErr w:type="spellEnd"/>
      <w:r w:rsidRPr="003E5DD1">
        <w:rPr>
          <w:rFonts w:ascii="Lato" w:eastAsia="Times New Roman" w:hAnsi="Lato" w:cs="Times New Roman"/>
          <w:color w:val="212529"/>
          <w:sz w:val="24"/>
          <w:szCs w:val="24"/>
          <w:lang w:eastAsia="en-GB"/>
        </w:rPr>
        <w:t>/l for 1-2% of readings, and &gt;14nmol/l for 1% of readings in one. HC doses in these children were 7.8-9.4mg/m</w:t>
      </w:r>
      <w:r w:rsidRPr="003E5DD1">
        <w:rPr>
          <w:rFonts w:ascii="Lato" w:eastAsia="Times New Roman" w:hAnsi="Lato" w:cs="Times New Roman"/>
          <w:color w:val="212529"/>
          <w:sz w:val="18"/>
          <w:szCs w:val="18"/>
          <w:vertAlign w:val="superscript"/>
          <w:lang w:eastAsia="en-GB"/>
        </w:rPr>
        <w:t>2</w:t>
      </w:r>
      <w:r w:rsidRPr="003E5DD1">
        <w:rPr>
          <w:rFonts w:ascii="Lato" w:eastAsia="Times New Roman" w:hAnsi="Lato" w:cs="Times New Roman"/>
          <w:color w:val="212529"/>
          <w:sz w:val="24"/>
          <w:szCs w:val="24"/>
          <w:lang w:eastAsia="en-GB"/>
        </w:rPr>
        <w:t>/day and BMI SDS -0.7-0.7. Hyperglycaemia was more likely following morning and evening doses of hydrocortisone.</w:t>
      </w:r>
    </w:p>
    <w:p w14:paraId="0D8577B6" w14:textId="77777777" w:rsidR="003E5DD1" w:rsidRPr="003E5DD1" w:rsidRDefault="003E5DD1" w:rsidP="003E5DD1">
      <w:pPr>
        <w:shd w:val="clear" w:color="auto" w:fill="FFFFFF"/>
        <w:spacing w:after="100" w:afterAutospacing="1" w:line="240" w:lineRule="auto"/>
        <w:rPr>
          <w:rFonts w:ascii="Lato" w:eastAsia="Times New Roman" w:hAnsi="Lato" w:cs="Times New Roman"/>
          <w:color w:val="212529"/>
          <w:sz w:val="24"/>
          <w:szCs w:val="24"/>
          <w:lang w:eastAsia="en-GB"/>
        </w:rPr>
      </w:pPr>
      <w:r w:rsidRPr="003E5DD1">
        <w:rPr>
          <w:rFonts w:ascii="Lato" w:eastAsia="Times New Roman" w:hAnsi="Lato" w:cs="Times New Roman"/>
          <w:b/>
          <w:bCs/>
          <w:color w:val="212529"/>
          <w:sz w:val="24"/>
          <w:szCs w:val="24"/>
          <w:lang w:eastAsia="en-GB"/>
        </w:rPr>
        <w:t>Conclusion:</w:t>
      </w:r>
      <w:r w:rsidRPr="003E5DD1">
        <w:rPr>
          <w:rFonts w:ascii="Lato" w:eastAsia="Times New Roman" w:hAnsi="Lato" w:cs="Times New Roman"/>
          <w:color w:val="212529"/>
          <w:sz w:val="24"/>
          <w:szCs w:val="24"/>
          <w:lang w:eastAsia="en-GB"/>
        </w:rPr>
        <w:t xml:space="preserve"> To our knowledge, these are the first data describing glucose profiles in children with primary AI. These preliminary data suggest both hypoglycaemia and hyperglycaemia may occur more commonly than in healthy children, with an overall trend for higher mean glucose concentrations. Disturbance in glucose metabolism may contribute to differences in cognitive function reported in childhood (hypoglycaemia), and impaired quality of life, </w:t>
      </w:r>
      <w:r w:rsidRPr="003E5DD1">
        <w:rPr>
          <w:rFonts w:ascii="Lato" w:eastAsia="Times New Roman" w:hAnsi="Lato" w:cs="Times New Roman"/>
          <w:color w:val="212529"/>
          <w:sz w:val="24"/>
          <w:szCs w:val="24"/>
          <w:lang w:eastAsia="en-GB"/>
        </w:rPr>
        <w:lastRenderedPageBreak/>
        <w:t>metabolic and cardiovascular disease reported in adults (hyperglycaemia, increased glycaemic excursions).</w:t>
      </w:r>
    </w:p>
    <w:p w14:paraId="544E496C" w14:textId="77777777" w:rsidR="003E5DD1" w:rsidRPr="003E5DD1" w:rsidRDefault="003E5DD1" w:rsidP="003E5DD1">
      <w:pPr>
        <w:shd w:val="clear" w:color="auto" w:fill="FFFFFF"/>
        <w:spacing w:after="100" w:afterAutospacing="1" w:line="240" w:lineRule="auto"/>
        <w:rPr>
          <w:rFonts w:ascii="Lato" w:eastAsia="Times New Roman" w:hAnsi="Lato" w:cs="Times New Roman"/>
          <w:color w:val="212529"/>
          <w:sz w:val="24"/>
          <w:szCs w:val="24"/>
          <w:lang w:eastAsia="en-GB"/>
        </w:rPr>
      </w:pPr>
      <w:r w:rsidRPr="003E5DD1">
        <w:rPr>
          <w:rFonts w:ascii="Lato" w:eastAsia="Times New Roman" w:hAnsi="Lato" w:cs="Times New Roman"/>
          <w:b/>
          <w:bCs/>
          <w:color w:val="212529"/>
          <w:sz w:val="24"/>
          <w:szCs w:val="24"/>
          <w:lang w:eastAsia="en-GB"/>
        </w:rPr>
        <w:t>Reference:</w:t>
      </w:r>
      <w:r w:rsidRPr="003E5DD1">
        <w:rPr>
          <w:rFonts w:ascii="Lato" w:eastAsia="Times New Roman" w:hAnsi="Lato" w:cs="Times New Roman"/>
          <w:color w:val="212529"/>
          <w:sz w:val="24"/>
          <w:szCs w:val="24"/>
          <w:lang w:eastAsia="en-GB"/>
        </w:rPr>
        <w:t> 1. Shah, V.N., et al., </w:t>
      </w:r>
      <w:r w:rsidRPr="003E5DD1">
        <w:rPr>
          <w:rFonts w:ascii="Lato" w:eastAsia="Times New Roman" w:hAnsi="Lato" w:cs="Times New Roman"/>
          <w:i/>
          <w:iCs/>
          <w:color w:val="212529"/>
          <w:sz w:val="24"/>
          <w:szCs w:val="24"/>
          <w:lang w:eastAsia="en-GB"/>
        </w:rPr>
        <w:t xml:space="preserve">Continuous Glucose Monitoring Profiles in Healthy Nondiabetic Participants: A </w:t>
      </w:r>
      <w:proofErr w:type="spellStart"/>
      <w:r w:rsidRPr="003E5DD1">
        <w:rPr>
          <w:rFonts w:ascii="Lato" w:eastAsia="Times New Roman" w:hAnsi="Lato" w:cs="Times New Roman"/>
          <w:i/>
          <w:iCs/>
          <w:color w:val="212529"/>
          <w:sz w:val="24"/>
          <w:szCs w:val="24"/>
          <w:lang w:eastAsia="en-GB"/>
        </w:rPr>
        <w:t>Multicenter</w:t>
      </w:r>
      <w:proofErr w:type="spellEnd"/>
      <w:r w:rsidRPr="003E5DD1">
        <w:rPr>
          <w:rFonts w:ascii="Lato" w:eastAsia="Times New Roman" w:hAnsi="Lato" w:cs="Times New Roman"/>
          <w:i/>
          <w:iCs/>
          <w:color w:val="212529"/>
          <w:sz w:val="24"/>
          <w:szCs w:val="24"/>
          <w:lang w:eastAsia="en-GB"/>
        </w:rPr>
        <w:t xml:space="preserve"> Prospective Study.</w:t>
      </w:r>
      <w:r w:rsidRPr="003E5DD1">
        <w:rPr>
          <w:rFonts w:ascii="Lato" w:eastAsia="Times New Roman" w:hAnsi="Lato" w:cs="Times New Roman"/>
          <w:color w:val="212529"/>
          <w:sz w:val="24"/>
          <w:szCs w:val="24"/>
          <w:lang w:eastAsia="en-GB"/>
        </w:rPr>
        <w:t xml:space="preserve"> J </w:t>
      </w:r>
      <w:proofErr w:type="spellStart"/>
      <w:r w:rsidRPr="003E5DD1">
        <w:rPr>
          <w:rFonts w:ascii="Lato" w:eastAsia="Times New Roman" w:hAnsi="Lato" w:cs="Times New Roman"/>
          <w:color w:val="212529"/>
          <w:sz w:val="24"/>
          <w:szCs w:val="24"/>
          <w:lang w:eastAsia="en-GB"/>
        </w:rPr>
        <w:t>Clin</w:t>
      </w:r>
      <w:proofErr w:type="spellEnd"/>
      <w:r w:rsidRPr="003E5DD1">
        <w:rPr>
          <w:rFonts w:ascii="Lato" w:eastAsia="Times New Roman" w:hAnsi="Lato" w:cs="Times New Roman"/>
          <w:color w:val="212529"/>
          <w:sz w:val="24"/>
          <w:szCs w:val="24"/>
          <w:lang w:eastAsia="en-GB"/>
        </w:rPr>
        <w:t xml:space="preserve"> </w:t>
      </w:r>
      <w:proofErr w:type="spellStart"/>
      <w:r w:rsidRPr="003E5DD1">
        <w:rPr>
          <w:rFonts w:ascii="Lato" w:eastAsia="Times New Roman" w:hAnsi="Lato" w:cs="Times New Roman"/>
          <w:color w:val="212529"/>
          <w:sz w:val="24"/>
          <w:szCs w:val="24"/>
          <w:lang w:eastAsia="en-GB"/>
        </w:rPr>
        <w:t>Endocrinol</w:t>
      </w:r>
      <w:proofErr w:type="spellEnd"/>
      <w:r w:rsidRPr="003E5DD1">
        <w:rPr>
          <w:rFonts w:ascii="Lato" w:eastAsia="Times New Roman" w:hAnsi="Lato" w:cs="Times New Roman"/>
          <w:color w:val="212529"/>
          <w:sz w:val="24"/>
          <w:szCs w:val="24"/>
          <w:lang w:eastAsia="en-GB"/>
        </w:rPr>
        <w:t xml:space="preserve"> </w:t>
      </w:r>
      <w:proofErr w:type="spellStart"/>
      <w:r w:rsidRPr="003E5DD1">
        <w:rPr>
          <w:rFonts w:ascii="Lato" w:eastAsia="Times New Roman" w:hAnsi="Lato" w:cs="Times New Roman"/>
          <w:color w:val="212529"/>
          <w:sz w:val="24"/>
          <w:szCs w:val="24"/>
          <w:lang w:eastAsia="en-GB"/>
        </w:rPr>
        <w:t>Metab</w:t>
      </w:r>
      <w:proofErr w:type="spellEnd"/>
      <w:r w:rsidRPr="003E5DD1">
        <w:rPr>
          <w:rFonts w:ascii="Lato" w:eastAsia="Times New Roman" w:hAnsi="Lato" w:cs="Times New Roman"/>
          <w:color w:val="212529"/>
          <w:sz w:val="24"/>
          <w:szCs w:val="24"/>
          <w:lang w:eastAsia="en-GB"/>
        </w:rPr>
        <w:t>, 2019. </w:t>
      </w:r>
      <w:r w:rsidRPr="003E5DD1">
        <w:rPr>
          <w:rFonts w:ascii="Lato" w:eastAsia="Times New Roman" w:hAnsi="Lato" w:cs="Times New Roman"/>
          <w:b/>
          <w:bCs/>
          <w:color w:val="212529"/>
          <w:sz w:val="24"/>
          <w:szCs w:val="24"/>
          <w:lang w:eastAsia="en-GB"/>
        </w:rPr>
        <w:t>104</w:t>
      </w:r>
      <w:r w:rsidRPr="003E5DD1">
        <w:rPr>
          <w:rFonts w:ascii="Lato" w:eastAsia="Times New Roman" w:hAnsi="Lato" w:cs="Times New Roman"/>
          <w:color w:val="212529"/>
          <w:sz w:val="24"/>
          <w:szCs w:val="24"/>
          <w:lang w:eastAsia="en-GB"/>
        </w:rPr>
        <w:t>(10): p. 4356-4364.</w:t>
      </w:r>
    </w:p>
    <w:p w14:paraId="5A6398F0" w14:textId="77777777" w:rsidR="002718BA" w:rsidRDefault="002718BA"/>
    <w:sectPr w:rsidR="00271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D1"/>
    <w:rsid w:val="002718BA"/>
    <w:rsid w:val="003E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6B61"/>
  <w15:chartTrackingRefBased/>
  <w15:docId w15:val="{4D0CCCC5-BEDA-4FFA-BCA9-DC6ECC67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D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56643">
      <w:bodyDiv w:val="1"/>
      <w:marLeft w:val="0"/>
      <w:marRight w:val="0"/>
      <w:marTop w:val="0"/>
      <w:marBottom w:val="0"/>
      <w:divBdr>
        <w:top w:val="none" w:sz="0" w:space="0" w:color="auto"/>
        <w:left w:val="none" w:sz="0" w:space="0" w:color="auto"/>
        <w:bottom w:val="none" w:sz="0" w:space="0" w:color="auto"/>
        <w:right w:val="none" w:sz="0" w:space="0" w:color="auto"/>
      </w:divBdr>
    </w:div>
    <w:div w:id="18261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36fde269f4577316716d68b4864e15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c1f4504469e9832bc9ce63882f9f53"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D0FFC-8B80-4274-A216-6A629C7C3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0F064-E928-4EDF-ABE6-55F5FFB2548E}">
  <ds:schemaRefs>
    <ds:schemaRef ds:uri="http://schemas.microsoft.com/sharepoint/v3/contenttype/forms"/>
  </ds:schemaRefs>
</ds:datastoreItem>
</file>

<file path=customXml/itemProps3.xml><?xml version="1.0" encoding="utf-8"?>
<ds:datastoreItem xmlns:ds="http://schemas.openxmlformats.org/officeDocument/2006/customXml" ds:itemID="{4C55DFD0-870B-4F5E-BF52-A647F2995F2B}">
  <ds:schemaRefs>
    <ds:schemaRef ds:uri="http://purl.org/dc/dcmitype/"/>
    <ds:schemaRef ds:uri="2c0728d4-b628-46ac-beb8-1847ad0e6c02"/>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2c43926a-b248-4fb5-8692-7f03bd5c68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1</cp:revision>
  <dcterms:created xsi:type="dcterms:W3CDTF">2021-10-06T10:00:00Z</dcterms:created>
  <dcterms:modified xsi:type="dcterms:W3CDTF">2021-10-06T10:00:00Z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