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D1717" w14:textId="6FF24C9B" w:rsidR="009F7FCE" w:rsidRDefault="002831AD" w:rsidP="00815F8C">
      <w:pPr>
        <w:pStyle w:val="papertitle"/>
      </w:pPr>
      <w:r w:rsidRPr="00B377AC">
        <w:t xml:space="preserve">Efficiency enhancement of a </w:t>
      </w:r>
      <w:r w:rsidR="004054FC">
        <w:t>disc</w:t>
      </w:r>
      <w:r w:rsidRPr="00B377AC">
        <w:t>-shaped triboelectric energy harvester with a magnetic bistable mechanism</w:t>
      </w:r>
    </w:p>
    <w:p w14:paraId="03A74172" w14:textId="3686B51A" w:rsidR="007200F1" w:rsidRPr="00EE426C" w:rsidRDefault="00760857" w:rsidP="00815F8C">
      <w:pPr>
        <w:pStyle w:val="author"/>
      </w:pPr>
      <w:r>
        <w:t>Huai Zhao</w:t>
      </w:r>
      <w:r w:rsidR="007200F1" w:rsidRPr="00EE426C">
        <w:rPr>
          <w:vertAlign w:val="superscript"/>
        </w:rPr>
        <w:t>1</w:t>
      </w:r>
      <w:r w:rsidR="007200F1" w:rsidRPr="00EE426C">
        <w:t xml:space="preserve"> and </w:t>
      </w:r>
      <w:r>
        <w:t>Huajiang Ouyang</w:t>
      </w:r>
      <w:r w:rsidR="005F0E9E">
        <w:rPr>
          <w:vertAlign w:val="superscript"/>
        </w:rPr>
        <w:t>1</w:t>
      </w:r>
      <w:r>
        <w:rPr>
          <w:rStyle w:val="ORCID"/>
        </w:rPr>
        <w:t>,*</w:t>
      </w:r>
    </w:p>
    <w:p w14:paraId="42865FBF" w14:textId="02A028F6" w:rsidR="007200F1" w:rsidRDefault="007200F1" w:rsidP="00815F8C">
      <w:pPr>
        <w:pStyle w:val="address"/>
      </w:pPr>
      <w:r w:rsidRPr="00EE426C">
        <w:rPr>
          <w:vertAlign w:val="superscript"/>
        </w:rPr>
        <w:t>1</w:t>
      </w:r>
      <w:r w:rsidRPr="00EE426C">
        <w:t xml:space="preserve"> </w:t>
      </w:r>
      <w:r w:rsidR="00760857" w:rsidRPr="00760857">
        <w:t>Faculty of Science &amp; Engineering, School of Engineering, University of Liverpool, Liverpool, L69 3GH, UK</w:t>
      </w:r>
    </w:p>
    <w:p w14:paraId="5550267B" w14:textId="7EE1109A" w:rsidR="00B87845" w:rsidRPr="00B87845" w:rsidRDefault="00B87845" w:rsidP="00815F8C">
      <w:pPr>
        <w:pStyle w:val="address"/>
        <w:rPr>
          <w:rStyle w:val="e-mail"/>
        </w:rPr>
      </w:pPr>
      <w:r w:rsidRPr="00B87845">
        <w:rPr>
          <w:rStyle w:val="e-mail"/>
        </w:rPr>
        <w:t>H.Ouyang@liverpool.ac.uk</w:t>
      </w:r>
    </w:p>
    <w:p w14:paraId="4DAB840D" w14:textId="4F2B9D2B" w:rsidR="005373AA" w:rsidRPr="00B377AC" w:rsidRDefault="009B2539" w:rsidP="00B87845">
      <w:pPr>
        <w:pStyle w:val="abstract"/>
        <w:spacing w:after="0"/>
        <w:ind w:firstLine="0"/>
      </w:pPr>
      <w:r w:rsidRPr="00B87845">
        <w:rPr>
          <w:b/>
          <w:bCs/>
        </w:rPr>
        <w:t>Abstract.</w:t>
      </w:r>
      <w:r w:rsidRPr="00B377AC">
        <w:rPr>
          <w:b/>
          <w:bCs/>
        </w:rPr>
        <w:t xml:space="preserve"> </w:t>
      </w:r>
      <w:r w:rsidR="003145D1" w:rsidRPr="003145D1">
        <w:t>Disc-shaped</w:t>
      </w:r>
      <w:r w:rsidR="003145D1">
        <w:t xml:space="preserve"> triboelectric energy harvester</w:t>
      </w:r>
      <w:r w:rsidR="001E797B">
        <w:t xml:space="preserve">s can </w:t>
      </w:r>
      <w:r w:rsidR="002C16D4">
        <w:t xml:space="preserve">harvest </w:t>
      </w:r>
      <w:r w:rsidR="002C60F0">
        <w:t xml:space="preserve">kinetic energy </w:t>
      </w:r>
      <w:r w:rsidR="002C60F0">
        <w:rPr>
          <w:rFonts w:eastAsiaTheme="minorEastAsia"/>
          <w:lang w:eastAsia="zh-CN"/>
        </w:rPr>
        <w:t xml:space="preserve">from </w:t>
      </w:r>
      <w:r w:rsidR="00415D08">
        <w:t xml:space="preserve">two kinds of sources: </w:t>
      </w:r>
      <w:r w:rsidR="002C16D4">
        <w:t xml:space="preserve">continuous </w:t>
      </w:r>
      <w:r w:rsidR="001E797B">
        <w:t xml:space="preserve">rotation </w:t>
      </w:r>
      <w:r w:rsidR="002C16D4">
        <w:t>and vibration</w:t>
      </w:r>
      <w:r w:rsidR="00AE4EB6">
        <w:t>.</w:t>
      </w:r>
      <w:r w:rsidR="003145D1">
        <w:rPr>
          <w:b/>
          <w:bCs/>
        </w:rPr>
        <w:t xml:space="preserve"> </w:t>
      </w:r>
      <w:r w:rsidR="00741049" w:rsidRPr="00B377AC">
        <w:t xml:space="preserve">A majority of studies about </w:t>
      </w:r>
      <w:r w:rsidR="004054FC">
        <w:t>disc</w:t>
      </w:r>
      <w:r w:rsidR="00741049" w:rsidRPr="00B377AC">
        <w:t xml:space="preserve">-shaped triboelectric energy harvesters focus on scavenging </w:t>
      </w:r>
      <w:r w:rsidR="00415D08">
        <w:t xml:space="preserve">energy in </w:t>
      </w:r>
      <w:r w:rsidR="00741049" w:rsidRPr="00B377AC">
        <w:t xml:space="preserve">continuous rotation, and </w:t>
      </w:r>
      <w:r w:rsidR="002C16D4">
        <w:t>only</w:t>
      </w:r>
      <w:r w:rsidR="002C16D4" w:rsidRPr="00B377AC">
        <w:t xml:space="preserve"> </w:t>
      </w:r>
      <w:r w:rsidR="00741049" w:rsidRPr="00B377AC">
        <w:t xml:space="preserve">several of them </w:t>
      </w:r>
      <w:r w:rsidR="002C16D4">
        <w:t>deal with</w:t>
      </w:r>
      <w:r w:rsidR="002C16D4" w:rsidRPr="00B377AC">
        <w:t xml:space="preserve"> </w:t>
      </w:r>
      <w:r w:rsidR="00741049" w:rsidRPr="00B377AC">
        <w:t xml:space="preserve">vibration energy. In this work, a new </w:t>
      </w:r>
      <w:r w:rsidR="004054FC">
        <w:t>disc</w:t>
      </w:r>
      <w:r w:rsidR="00741049" w:rsidRPr="00B377AC">
        <w:t xml:space="preserve">-shaped triboelectric energy harvester consisting of a </w:t>
      </w:r>
      <w:r w:rsidR="002A34FF" w:rsidRPr="00B377AC">
        <w:t xml:space="preserve">stationary </w:t>
      </w:r>
      <w:r w:rsidR="004054FC">
        <w:t>disc</w:t>
      </w:r>
      <w:r w:rsidR="00701F57">
        <w:t>,</w:t>
      </w:r>
      <w:r w:rsidR="00741049" w:rsidRPr="00B377AC">
        <w:t xml:space="preserve"> a </w:t>
      </w:r>
      <w:r w:rsidR="002A34FF" w:rsidRPr="00B377AC">
        <w:t xml:space="preserve">rotating </w:t>
      </w:r>
      <w:r w:rsidR="004054FC">
        <w:t>disc</w:t>
      </w:r>
      <w:r w:rsidR="000A3AFB">
        <w:t xml:space="preserve"> </w:t>
      </w:r>
      <w:r w:rsidR="006A56F6">
        <w:t>having</w:t>
      </w:r>
      <w:r w:rsidR="000A3AFB">
        <w:t xml:space="preserve"> an eccentric mass</w:t>
      </w:r>
      <w:r w:rsidR="006A56F6">
        <w:t xml:space="preserve"> with a magnet</w:t>
      </w:r>
      <w:r w:rsidR="002C16D4">
        <w:t>, and a separate magnet fixed to the harvester base</w:t>
      </w:r>
      <w:r w:rsidR="00741049" w:rsidRPr="00B377AC">
        <w:t xml:space="preserve"> is developed</w:t>
      </w:r>
      <w:r w:rsidR="002C16D4">
        <w:t>.</w:t>
      </w:r>
      <w:r w:rsidR="00741049" w:rsidRPr="00B377AC">
        <w:t xml:space="preserve"> </w:t>
      </w:r>
      <w:r w:rsidR="002C16D4">
        <w:t>The</w:t>
      </w:r>
      <w:r w:rsidR="00741049" w:rsidRPr="00B377AC">
        <w:t xml:space="preserve"> pair of repulsive magnets </w:t>
      </w:r>
      <w:r w:rsidR="002C16D4">
        <w:t>are</w:t>
      </w:r>
      <w:r w:rsidR="002C16D4" w:rsidRPr="00B377AC">
        <w:t xml:space="preserve"> </w:t>
      </w:r>
      <w:r w:rsidR="00741049" w:rsidRPr="00B377AC">
        <w:t xml:space="preserve">utilized </w:t>
      </w:r>
      <w:r w:rsidR="002C16D4">
        <w:t>for the first time</w:t>
      </w:r>
      <w:r w:rsidR="002C16D4" w:rsidRPr="00B377AC">
        <w:t xml:space="preserve"> </w:t>
      </w:r>
      <w:r w:rsidR="000B48C0">
        <w:t xml:space="preserve">in a disc-shaped triboelectric energy harvester </w:t>
      </w:r>
      <w:r w:rsidR="00741049" w:rsidRPr="00B377AC">
        <w:t>for efficiency enhancement.</w:t>
      </w:r>
      <w:r w:rsidR="00F1187C">
        <w:t xml:space="preserve"> </w:t>
      </w:r>
      <w:r w:rsidR="003145D1">
        <w:t xml:space="preserve">One of the discs is covered </w:t>
      </w:r>
      <w:r w:rsidR="000B48C0">
        <w:t xml:space="preserve">with </w:t>
      </w:r>
      <w:r w:rsidR="003145D1">
        <w:t xml:space="preserve">a metal film and the other one is covered </w:t>
      </w:r>
      <w:r w:rsidR="000B48C0">
        <w:t xml:space="preserve">with </w:t>
      </w:r>
      <w:r w:rsidR="003145D1">
        <w:t>a metal films on top of a dielectric film.</w:t>
      </w:r>
      <w:r w:rsidR="00F1187C">
        <w:t xml:space="preserve"> </w:t>
      </w:r>
      <w:r w:rsidR="00791538">
        <w:t>S</w:t>
      </w:r>
      <w:r w:rsidR="00791538" w:rsidRPr="00B377AC">
        <w:t xml:space="preserve">everal </w:t>
      </w:r>
      <w:r w:rsidR="00791538">
        <w:t xml:space="preserve">alternating </w:t>
      </w:r>
      <w:r w:rsidR="00791538" w:rsidRPr="00B377AC">
        <w:t>sectors of equal size</w:t>
      </w:r>
      <w:r w:rsidR="00791538">
        <w:t xml:space="preserve"> are cut away from each piece of</w:t>
      </w:r>
      <w:r w:rsidR="00F1187C">
        <w:t xml:space="preserve"> film</w:t>
      </w:r>
      <w:r w:rsidR="00F1187C" w:rsidRPr="00B377AC">
        <w:t>.</w:t>
      </w:r>
      <w:r w:rsidR="00F1187C">
        <w:t xml:space="preserve"> </w:t>
      </w:r>
      <w:r w:rsidR="00741049" w:rsidRPr="00B377AC">
        <w:t xml:space="preserve">A comprehensive theoretical model coupling both structural dynamic and electric dynamic domains is established. Numerical simulations are carried out to investigate the effect of </w:t>
      </w:r>
      <w:r w:rsidR="002A34FF" w:rsidRPr="00B377AC">
        <w:t xml:space="preserve">the </w:t>
      </w:r>
      <w:r w:rsidR="00741049" w:rsidRPr="00B377AC">
        <w:t>potential well</w:t>
      </w:r>
      <w:r w:rsidR="002A34FF" w:rsidRPr="00B377AC">
        <w:t xml:space="preserve"> due to the two magnets</w:t>
      </w:r>
      <w:r w:rsidR="00741049" w:rsidRPr="00B377AC">
        <w:t xml:space="preserve"> on both structural and electrical </w:t>
      </w:r>
      <w:proofErr w:type="spellStart"/>
      <w:r w:rsidR="00984F98" w:rsidRPr="00B377AC">
        <w:t>behavio</w:t>
      </w:r>
      <w:r w:rsidR="002A34FF" w:rsidRPr="00B377AC">
        <w:t>u</w:t>
      </w:r>
      <w:r w:rsidR="00984F98" w:rsidRPr="00B377AC">
        <w:t>rs</w:t>
      </w:r>
      <w:proofErr w:type="spellEnd"/>
      <w:r w:rsidR="00741049" w:rsidRPr="00B377AC">
        <w:t xml:space="preserve">, basins of attractors and the influence of </w:t>
      </w:r>
      <w:r w:rsidR="00EF6611" w:rsidRPr="00B377AC">
        <w:t>the number of</w:t>
      </w:r>
      <w:r w:rsidR="00F84ADA">
        <w:t xml:space="preserve"> </w:t>
      </w:r>
      <w:r w:rsidR="00EF6611" w:rsidRPr="00B377AC">
        <w:t>sectors</w:t>
      </w:r>
      <w:r w:rsidR="00741049" w:rsidRPr="00B377AC">
        <w:t xml:space="preserve">. The results indicate that the magnetic bistable mechanism is able to enhance the power of the harvester </w:t>
      </w:r>
      <w:r w:rsidR="00EF6611" w:rsidRPr="00B377AC">
        <w:t xml:space="preserve">considerably, </w:t>
      </w:r>
      <w:r w:rsidR="00741049" w:rsidRPr="00B377AC">
        <w:t xml:space="preserve">compared with conventional </w:t>
      </w:r>
      <w:r w:rsidR="004054FC">
        <w:t>disc</w:t>
      </w:r>
      <w:r w:rsidR="00741049" w:rsidRPr="00B377AC">
        <w:t xml:space="preserve">-shaped triboelectric harvesters without bistable mechanism. Additionally, increasing the </w:t>
      </w:r>
      <w:r w:rsidR="00EF6611" w:rsidRPr="00B377AC">
        <w:t xml:space="preserve">number of </w:t>
      </w:r>
      <w:r w:rsidR="00741049" w:rsidRPr="00B377AC">
        <w:t>sector</w:t>
      </w:r>
      <w:r w:rsidR="00EF6611" w:rsidRPr="00B377AC">
        <w:t>s</w:t>
      </w:r>
      <w:r w:rsidR="00741049" w:rsidRPr="00B377AC">
        <w:t xml:space="preserve"> also </w:t>
      </w:r>
      <w:r w:rsidR="00EF6611" w:rsidRPr="00B377AC">
        <w:t xml:space="preserve">improves </w:t>
      </w:r>
      <w:r w:rsidR="00741049" w:rsidRPr="00B377AC">
        <w:t>the output efficiency of the harvester.</w:t>
      </w:r>
    </w:p>
    <w:p w14:paraId="47F5D77D" w14:textId="48976010" w:rsidR="005373AA" w:rsidRPr="00B377AC" w:rsidRDefault="009B2539" w:rsidP="00B87845">
      <w:pPr>
        <w:pStyle w:val="keywords"/>
      </w:pPr>
      <w:r w:rsidRPr="00B87845">
        <w:rPr>
          <w:b/>
          <w:bCs/>
        </w:rPr>
        <w:t>Keywords:</w:t>
      </w:r>
      <w:r w:rsidRPr="00B377AC">
        <w:t xml:space="preserve"> </w:t>
      </w:r>
      <w:r w:rsidR="00741049" w:rsidRPr="00B377AC">
        <w:t xml:space="preserve">Triboelectric energy harvester, </w:t>
      </w:r>
      <w:r w:rsidR="004054FC">
        <w:t>Disc</w:t>
      </w:r>
      <w:r w:rsidR="00741049" w:rsidRPr="00B377AC">
        <w:t>-shaped, Vibration energy, Magnetic bistable mechanism.</w:t>
      </w:r>
    </w:p>
    <w:p w14:paraId="3D58BE69" w14:textId="77777777" w:rsidR="005373AA" w:rsidRPr="00B377AC" w:rsidRDefault="00741049" w:rsidP="00B87845">
      <w:pPr>
        <w:pStyle w:val="heading1"/>
      </w:pPr>
      <w:r w:rsidRPr="00B377AC">
        <w:t>Introduction</w:t>
      </w:r>
    </w:p>
    <w:p w14:paraId="108DA07C" w14:textId="4B79B029" w:rsidR="006C1666" w:rsidRPr="00B87845" w:rsidRDefault="006C1666" w:rsidP="00B87845">
      <w:pPr>
        <w:pStyle w:val="p1a"/>
      </w:pPr>
      <w:r w:rsidRPr="00B87845">
        <w:t xml:space="preserve">Renewable energy markets have been booming in recent years due to environment deterioration and energy crisis. Triboelectric energy harvesting is a promising technology based on the coupling of triboelectrification and electrostatic induction, which can be utilized to harvest mechanical energy and generate electricity to power wearable devices and </w:t>
      </w:r>
      <w:r w:rsidR="000028D9" w:rsidRPr="00B87845">
        <w:t xml:space="preserve">miniature sensors for </w:t>
      </w:r>
      <w:r w:rsidRPr="00B87845">
        <w:t>monitoring structural health, environment and human beings. Since Wang’s team proposed a triboelectric nanogenerator (TENG) in 2012</w:t>
      </w:r>
      <w:r w:rsidR="00CC01B4" w:rsidRPr="00B87845">
        <w:t xml:space="preserve"> </w:t>
      </w:r>
      <w:r w:rsidR="00CC01B4" w:rsidRPr="00B87845">
        <w:fldChar w:fldCharType="begin" w:fldLock="1"/>
      </w:r>
      <w:r w:rsidR="007E7CB7">
        <w:instrText>ADDIN CSL_CITATION {"citationItems":[{"id":"ITEM-1","itemData":{"DOI":"10.1016/j.nanoen.2012.01.004","ISSN":"22112855","abstract":"Charges induced in triboelectric process are usually referred as a negative effect either in scientific research or technological applications, and they are wasted energy in many cases. Here, we demonstrate a simple, low cost and effective approach of using the charging process in friction to convert mechanical energy into electric power for driving small electronics. The triboelectric generator (TEG) is fabricated by stacking two polymer sheets made of materials having distinctly different triboelectric characteristics, with metal films deposited on the top and bottom of the assembled structure. Once subjected to mechanical deformation, a friction between the two films, owing to the nano-scale surface roughness, generates equal amount but opposite signs of charges at two sides. Thus, a triboelectric potential layer is formed at the interface region, which serves as a charge \"pump\" for driving the flow of electrons in the external load if there is a variation in the capacitance of the system. Such a flexible polymer TEG gives an output voltage of up to 3.3V at a power density of ~10.4mW/cm 3. TEGs have the potential of harvesting energy from human activities, rotating tires, ocean waves, mechanical vibration and more, with great applications in self-powered systems for personal electronics, environmental monitoring, medical science and even large-scale power. © 2012 Elsevier Ltd.","author":[{"dropping-particle":"","family":"Fan","given":"Feng Ru","non-dropping-particle":"","parse-names":false,"suffix":""},{"dropping-particle":"","family":"Tian","given":"Zhong Qun","non-dropping-particle":"","parse-names":false,"suffix":""},{"dropping-particle":"","family":"Wang","given":"Zhong Lin","non-dropping-particle":"","parse-names":false,"suffix":""}],"container-title":"Nano Energy","id":"ITEM-1","issue":"2","issued":{"date-parts":[["2012"]]},"page":"328-334","publisher":"Elsevier","title":"Flexible triboelectric generator","type":"article-journal","volume":"1"},"uris":["http://www.mendeley.com/documents/?uuid=384c00f4-8ca9-495a-917c-b98be1757cac"]}],"mendeley":{"formattedCitation":"[1]","plainTextFormattedCitation":"[1]","previouslyFormattedCitation":"(Fan et al.)"},"properties":{"noteIndex":0},"schema":"https://github.com/citation-style-language/schema/raw/master/csl-citation.json"}</w:instrText>
      </w:r>
      <w:r w:rsidR="00CC01B4" w:rsidRPr="00B87845">
        <w:fldChar w:fldCharType="separate"/>
      </w:r>
      <w:r w:rsidR="007E7CB7" w:rsidRPr="007E7CB7">
        <w:rPr>
          <w:noProof/>
        </w:rPr>
        <w:t>[1]</w:t>
      </w:r>
      <w:r w:rsidR="00CC01B4" w:rsidRPr="00B87845">
        <w:fldChar w:fldCharType="end"/>
      </w:r>
      <w:r w:rsidRPr="00B87845">
        <w:t xml:space="preserve">, triboelectric energy harvesting has gained </w:t>
      </w:r>
      <w:r w:rsidR="000028D9" w:rsidRPr="00B87845">
        <w:t>much</w:t>
      </w:r>
      <w:r w:rsidRPr="00B87845">
        <w:t xml:space="preserve"> attention due to it distinct advantages, such as impressive cost-effectiveness, light weight, availability of a wide range of materials, convenience of manufacture, and high applicability </w:t>
      </w:r>
      <w:r w:rsidR="00DA62D5" w:rsidRPr="00B87845">
        <w:fldChar w:fldCharType="begin" w:fldLock="1"/>
      </w:r>
      <w:r w:rsidR="007E7CB7">
        <w:instrText>ADDIN CSL_CITATION {"citationItems":[{"id":"ITEM-1","itemData":{"DOI":"10.1016/j.nanoen.2016.06.049","ISSN":"22112855","abstract":"The triboelectric nanogenerator (TENG) has attracted enormous amount of attention in the research community in recent years because of its simple design, high energy conversion efficiency, broad application areas, a wide materials spectrum, and low-temperature easy fabrication. A key factor that dictates the performance of the TENGs is the surface charge density, which can be taken as a standard to characterize the matrix of performance of a material for a TENG. The triboelectric charge density can be improved by increasing the effective contact area, and in order to increase the contact area in a limited device size, micro-/nano-structures are often designed at the contact surfaces. Expert knowledge in contact mechanics, especially in adhesion and detachment mechanisms of the micro-/nano-structured interface, is thus becoming essential for a better understanding of the impact of interfacial design on the power generation of TENGs. Such an emerging field provides a platform for electrical engineers, chemical engineers, and mechanicians to share knowledge and build collaborations, which will enable the TENG researchers to pursue new design philosophies to achieve enhanced performance. In this paper, systematical numerical studies on the adhesive contact at the micro-/nano-structured interface are presented. We use a numerical simulation package in which the adhesive interactions are represented by an interaction potential and the surface deformations are coupled by using half-space Green's functions discretized on the surface. The results confirmed that the deformation of interfacial structures directly determines the pressure-voltage relationship of TENG, and it can be seen that our numerical results provided a better fit with the experimental data than the previous studies.","author":[{"dropping-particle":"","family":"Jin","given":"Congrui","non-dropping-particle":"","parse-names":false,"suffix":""},{"dropping-particle":"","family":"Kia","given":"Danial Sharifi","non-dropping-particle":"","parse-names":false,"suffix":""},{"dropping-particle":"","family":"Jones","given":"Matthew","non-dropping-particle":"","parse-names":false,"suffix":""},{"dropping-particle":"","family":"Towfighian","given":"Shahrzad","non-dropping-particle":"","parse-names":false,"suffix":""}],"container-title":"Nano Energy","id":"ITEM-1","issued":{"date-parts":[["2016"]]},"page":"68-77","title":"On the contact behavior of micro-/nano-structured interface used in vertical-contact-mode triboelectric nanogenerators","type":"article-journal","volume":"27"},"uris":["http://www.mendeley.com/documents/?uuid=6b8e5e69-557f-4a1c-abee-e15fb8279f10"]}],"mendeley":{"formattedCitation":"[2]","plainTextFormattedCitation":"[2]","previouslyFormattedCitation":"(Jin et al.)"},"properties":{"noteIndex":0},"schema":"https://github.com/citation-style-language/schema/raw/master/csl-citation.json"}</w:instrText>
      </w:r>
      <w:r w:rsidR="00DA62D5" w:rsidRPr="00B87845">
        <w:fldChar w:fldCharType="separate"/>
      </w:r>
      <w:r w:rsidR="007E7CB7" w:rsidRPr="007E7CB7">
        <w:rPr>
          <w:noProof/>
        </w:rPr>
        <w:t>[2]</w:t>
      </w:r>
      <w:r w:rsidR="00DA62D5" w:rsidRPr="00B87845">
        <w:fldChar w:fldCharType="end"/>
      </w:r>
      <w:r w:rsidRPr="00B87845">
        <w:t>.</w:t>
      </w:r>
    </w:p>
    <w:p w14:paraId="24525C76" w14:textId="432429E6" w:rsidR="006C1666" w:rsidRPr="00B87845" w:rsidRDefault="006C1666" w:rsidP="00B87845">
      <w:r w:rsidRPr="00B87845">
        <w:lastRenderedPageBreak/>
        <w:t xml:space="preserve">According to </w:t>
      </w:r>
      <w:r w:rsidR="000028D9" w:rsidRPr="00B87845">
        <w:t xml:space="preserve">its </w:t>
      </w:r>
      <w:r w:rsidRPr="00B87845">
        <w:t xml:space="preserve">working mechanism, there are four working modes for triboelectric energy harvesting, namely vertical contact-separation mode </w:t>
      </w:r>
      <w:r w:rsidR="00DA62D5" w:rsidRPr="00B87845">
        <w:fldChar w:fldCharType="begin" w:fldLock="1"/>
      </w:r>
      <w:r w:rsidR="007E7CB7">
        <w:instrText>ADDIN CSL_CITATION {"citationItems":[{"id":"ITEM-1","itemData":{"DOI":"10.1002/aenm.201600505","ISSN":"16146840","abstract":"Harvesting mechanical energy from human activities by triboelectric nanogenerators (TENGs) is an effective approach for sustainable, maintenance-free, and green power source for wireless, portable, and wearable electronics. A theoretical model for contact-mode triboelectric nanogenerators based on the principles of charge conservation and zero loop-voltage is illustrated. Explicit expressions for the output current, voltage, and power are presented for the TENGs with an external load of resistance. Experimental verification is conducted by using a laboratory-fabricated contact-mode TENG made from conducting fabric electrodes and polydimethylsiloxane/graphene oxide composite as the dielectric layer. Excellent agreements of the output voltage, current, and power are demonstrated between the theoretical and experimental results, without any adjustable parameters. The effects of the moving speed on output voltage, current, and power are illustrated in three cases, that is, the motion with constant speed, the sinusoidal motion cycles, and the real walking cycles by human subject. The fully verified theoretical model is a very powerful tool to guide the design of the device structure and selection of materials, and optimization of performance with respect to the application conditions of TENGs.","author":[{"dropping-particle":"","family":"Yang","given":"Bao","non-dropping-particle":"","parse-names":false,"suffix":""},{"dropping-particle":"","family":"Zeng","given":"Wei","non-dropping-particle":"","parse-names":false,"suffix":""},{"dropping-particle":"","family":"Peng","given":"Ze Hua","non-dropping-particle":"","parse-names":false,"suffix":""},{"dropping-particle":"","family":"Liu","given":"Shi Rui","non-dropping-particle":"","parse-names":false,"suffix":""},{"dropping-particle":"","family":"Chen","given":"Ke","non-dropping-particle":"","parse-names":false,"suffix":""},{"dropping-particle":"","family":"Tao","given":"Xiao Ming","non-dropping-particle":"","parse-names":false,"suffix":""}],"container-title":"Advanced Energy Materials","id":"ITEM-1","issue":"16","issued":{"date-parts":[["2016"]]},"page":"1-8","title":"A Fully Verified Theoretical Analysis of Contact-Mode Triboelectric Nanogenerators as a Wearable Power Source","type":"article-journal","volume":"6"},"uris":["http://www.mendeley.com/documents/?uuid=fce1e417-da97-4b41-b9ca-298447c95713"]},{"id":"ITEM-2","itemData":{"DOI":"10.1039/c3ee42571a","ISSN":"17545692","abstract":"A theoretical model for contact-mode TENGs was constructed in this paper. Based on the theoretical model, its real-time output characteristics and the relationship between the optimum resistance and TENG parameters were derived. The theory presented here is the first in-depth interpretation of the contact-mode TENG, which can serve as important guidance for rational design of the TENG structure in specific applications. © 2013 The Royal Society of Chemistry.","author":[{"dropping-particle":"","family":"Niu","given":"Simiao","non-dropping-particle":"","parse-names":false,"suffix":""},{"dropping-particle":"","family":"Wang","given":"Sihong","non-dropping-particle":"","parse-names":false,"suffix":""},{"dropping-particle":"","family":"Lin","given":"Long","non-dropping-particle":"","parse-names":false,"suffix":""},{"dropping-particle":"","family":"Liu","given":"Ying","non-dropping-particle":"","parse-names":false,"suffix":""},{"dropping-particle":"","family":"Zhou","given":"Yu Sheng","non-dropping-particle":"","parse-names":false,"suffix":""},{"dropping-particle":"","family":"Hu","given":"Youfan","non-dropping-particle":"","parse-names":false,"suffix":""},{"dropping-particle":"","family":"Wang","given":"Zhong Lin","non-dropping-particle":"","parse-names":false,"suffix":""}],"container-title":"Energy and Environmental Science","id":"ITEM-2","issue":"12","issued":{"date-parts":[["2013"]]},"page":"3576-3583","title":"Theoretical study of contact-mode triboelectric nanogenerators as an effective power source","type":"article-journal","volume":"6"},"uris":["http://www.mendeley.com/documents/?uuid=d02979fb-00a9-4248-ae7c-bca39b952805"]}],"mendeley":{"formattedCitation":"[3, 4]","plainTextFormattedCitation":"[3, 4]","previouslyFormattedCitation":"(B. Yang et al.; Niu, Wang, et al.)"},"properties":{"noteIndex":0},"schema":"https://github.com/citation-style-language/schema/raw/master/csl-citation.json"}</w:instrText>
      </w:r>
      <w:r w:rsidR="00DA62D5" w:rsidRPr="00B87845">
        <w:fldChar w:fldCharType="separate"/>
      </w:r>
      <w:r w:rsidR="007E7CB7" w:rsidRPr="007E7CB7">
        <w:rPr>
          <w:noProof/>
        </w:rPr>
        <w:t>[3, 4]</w:t>
      </w:r>
      <w:r w:rsidR="00DA62D5" w:rsidRPr="00B87845">
        <w:fldChar w:fldCharType="end"/>
      </w:r>
      <w:r w:rsidRPr="00B87845">
        <w:t xml:space="preserve">, in-plane sliding mode </w:t>
      </w:r>
      <w:r w:rsidR="00DA62D5" w:rsidRPr="00B87845">
        <w:fldChar w:fldCharType="begin" w:fldLock="1"/>
      </w:r>
      <w:r w:rsidR="007E7CB7">
        <w:instrText xml:space="preserve">ADDIN CSL_CITATION {"citationItems":[{"id":"ITEM-1","itemData":{"DOI":"10.1021/nl400738p","ISBN":"1530-6984","ISSN":"15306984","PMID":"23581714","abstract":"Aiming at harvesting ambient mechanical energy for self-powered systems, triboelectric nanogenerators (TENGs) have been recently developed as a highly efficient, cost-effective and robust approach to generate electricity from mechanical movements and vibrations on the basis of the coupling between triboelectrification and electrostatic induction. However, all of the previously demonstrated TENGs are based on vertical separation of triboelectric-charged planes, which requires sophisticated device structures to ensure enough resilience for the charge separation, otherwise there is no output current. In this paper, we demonstrated a newly designed TENG based on an in-plane charge separation process using the relative sliding between two contacting surfaces. Using Polyamide 6,6 (Nylon) and polytetrafluoroethylene (PTFE) films with surface etched nanowires, the two polymers at the opposite ends of the triboelectric series, the newly invented TENG produces an open-circuit voltage up to </w:instrText>
      </w:r>
      <w:r w:rsidR="007E7CB7">
        <w:rPr>
          <w:rFonts w:ascii="Cambria Math" w:hAnsi="Cambria Math" w:cs="Cambria Math"/>
        </w:rPr>
        <w:instrText>∼</w:instrText>
      </w:r>
      <w:r w:rsidR="007E7CB7">
        <w:instrText>1300 V and a short-circu...","author":[{"dropping-particle":"","family":"Wang","given":"Sihong","non-dropping-particle":"","parse-names":false,"suffix":""},{"dropping-particle":"","family":"Lin","given":"Long","non-dropping-particle":"","parse-names":false,"suffix":""},{"dropping-particle":"","family":"Xie","given":"Yannan","non-dropping-particle":"","parse-names":false,"suffix":""},{"dropping-particle":"","family":"Jing","given":"Qingshen","non-dropping-particle":"","parse-names":false,"suffix":""},{"dropping-particle":"","family":"Niu","given":"Simiao","non-dropping-particle":"","parse-names":false,"suffix":""},{"dropping-particle":"","family":"Wang","given":"Zhong Lin","non-dropping-particle":"","parse-names":false,"suffix":""}],"container-title":"Nano Letters","id":"ITEM-1","issue":"5","issued":{"date-parts":[["2013"]]},"page":"2226-2233","title":"Sliding-triboelectric nanogenerators based on in-plane charge-separation mechanism","type":"article-journal","volume":"13"},"uris":["http://www.mendeley.com/documents/?uuid=dcef7a5e-f3e6-4f44-8be4-31bccd06b4d8"]},{"id":"ITEM-2","itemData":{"DOI":"10.1002/adma.201302808","ISSN":"09359648","abstract":"The triboelectric nanogenerator (TENG) is a powerful approach toward new energy technology, especially for portable electronics. A theoretical model for the sliding-mode TENG is presented in this work. The finite element method was utilized to characterize the distributions of electric potential, electric field, and charges on the metal electrodes of the TENG. Based on the FEM calculation, the semi-analytical results from the interpolation method and the analytical V-Q-x relationship are built to study the sliding-mode TENG. The analytical V-Q-x equation is validated through comparison with the semi-analytical results. Furthermore, based on the analytical V-Q-x equation, dynamic output performance of sliding-mode TENG is calculated with arbitrary load resistance, and good agreement with experimental data is achieved. The theory presented here is a milestone work for in-depth understanding of the working mechanism of the sliding-mode TENG, and provides a theoretical basis for further enhancement of the sliding-mode TENG for both energy scavenging and self-powered sensor applications. The theoretical model for a sliding-mode triboelectric nanogenerator is first demonstrated in this paper. The analytical model is built through interpolation of the finite element method calculation results. The dynamic output property of the sliding-mode triboelectric nanogenerator is calculated under external loads of different resistances, and which is in good agreement with experimental data. © 2013 WILEY-VCH Verlag GmbH &amp; Co. KGaA, Weinheim.","author":[{"dropping-particle":"","family":"Niu","given":"Simiao","non-dropping-particle":"","parse-names":false,"suffix":""},{"dropping-particle":"","family":"Liu","given":"Ying","non-dropping-particle":"","parse-names":false,"suffix":""},{"dropping-particle":"","family":"Wang","given":"Sihong","non-dropping-particle":"","parse-names":false,"suffix":""},{"dropping-particle":"","family":"Lin","given":"Long","non-dropping-particle":"","parse-names":false,"suffix":""},{"dropping-particle":"","family":"Zhou","given":"Yu Sheng","non-dropping-particle":"","parse-names":false,"suffix":""},{"dropping-particle":"","family":"Hu","given":"Youfan","non-dropping-particle":"","parse-names":false,"suffix":""},{"dropping-particle":"","family":"Wang","given":"Zhong Lin","non-dropping-particle":"","parse-names":false,"suffix":""}],"container-title":"Advanced Materials","id":"ITEM-2","issue":"43","issued":{"date-parts":[["2013"]]},"page":"6184-6193","title":"Theory of sliding-mode triboelectric nanogenerators","type":"article-journal","volume":"25"},"uris":["http://www.mendeley.com/documents/?uuid=0576cda9-1853-4072-9d63-e721c8f9f657"]}],"mendeley":{"formattedCitation":"[5, 6]","plainTextFormattedCitation":"[5, 6]","previouslyFormattedCitation":"(S. Wang et al.; Niu, Liu, Wang, et al.)"},"properties":{"noteIndex":0},"schema":"https://github.com/citation-style-language/schema/raw/master/csl-citation.json"}</w:instrText>
      </w:r>
      <w:r w:rsidR="00DA62D5" w:rsidRPr="00B87845">
        <w:fldChar w:fldCharType="separate"/>
      </w:r>
      <w:r w:rsidR="007E7CB7" w:rsidRPr="007E7CB7">
        <w:rPr>
          <w:noProof/>
        </w:rPr>
        <w:t>[5, 6]</w:t>
      </w:r>
      <w:r w:rsidR="00DA62D5" w:rsidRPr="00B87845">
        <w:fldChar w:fldCharType="end"/>
      </w:r>
      <w:r w:rsidRPr="00B87845">
        <w:t xml:space="preserve">, single-electrode mode </w:t>
      </w:r>
      <w:r w:rsidR="00DA62D5" w:rsidRPr="00B87845">
        <w:fldChar w:fldCharType="begin" w:fldLock="1"/>
      </w:r>
      <w:r w:rsidR="007E7CB7">
        <w:instrText>ADDIN CSL_CITATION {"citationItems":[{"id":"ITEM-1","itemData":{"DOI":"10.1039/c3ee42311e","ISSN":"17545692","abstract":"We present a single-friction-surface triboelectric generator (STEG). The STEG is transparent and flexible, making possible the use of triboelectric generators in an extended range of applications. This device is fabricated in a simple and very low-cost way. When tapped with a finger, the STEG with micro-patterned PDMS surface achieved an open-circuit voltage over 130 V with a short-circuit current density of about 1 μA cm-2. A STEG with a flat PET surface is employed as a transparent cover on the screen of a smartphone to generate electric energy from the control motion of the users. The STEG can directly power 3 LEDs when the phone screen is tapped during normal use. In addition, based on the STEG, we have developed a self-powered visualized touch sensor with 4 STEGs serving as the touch pads. The STEG shows promise for applications in systems such as self-powered touch panels and artificial skins. © 2013 The Royal Society of Chemistry.","author":[{"dropping-particle":"","family":"Meng","given":"Bo","non-dropping-particle":"","parse-names":false,"suffix":""},{"dropping-particle":"","family":"Tang","given":"Wei","non-dropping-particle":"","parse-names":false,"suffix":""},{"dropping-particle":"","family":"Too","given":"Zhi Han","non-dropping-particle":"","parse-names":false,"suffix":""},{"dropping-particle":"","family":"Zhang","given":"Xiaosheng","non-dropping-particle":"","parse-names":false,"suffix":""},{"dropping-particle":"","family":"Han","given":"Mengdi","non-dropping-particle":"","parse-names":false,"suffix":""},{"dropping-particle":"","family":"Liu","given":"Wen","non-dropping-particle":"","parse-names":false,"suffix":""},{"dropping-particle":"","family":"Zhang","given":"Haixia","non-dropping-particle":"","parse-names":false,"suffix":""}],"container-title":"Energy and Environmental Science","id":"ITEM-1","issue":"11","issued":{"date-parts":[["2013"]]},"page":"3235-3240","title":"A transparent single-friction-surface triboelectric generator and self-powered touch sensor","type":"article-journal","volume":"6"},"uris":["http://www.mendeley.com/documents/?uuid=6d395adb-3af0-4d49-845f-632c4f0e49b0"]},{"id":"ITEM-2","itemData":{"DOI":"10.1021/nn403021m","ISSN":"19360851","abstract":"We report a single-electrode-based sliding-mode triboelectric nanogenerator (TENG) that not only can harvest mechanical energy but also is a self-powered displacement vector sensor system for touching pad technology. By utilizing the relative sliding between an electrodeless polytetrafluoroethylene (PTFE) patch with surface-etched nanoparticles and an Al electrode that is grounded, the fabricated TENG can produce an open-circuit voltage up to 1100 V, a short-circuit current density of 6 mA/m2, and a maximum power density of 350 mW/m2 on a load of 100 MΩ, which can be used to instantaneously drive 100 green-light-emitting diodes (LEDs). The working mechanism of the TENG is based on the charge transfer between the Al electrode and the ground by modulating the relative sliding distance between the tribo-charged PTFE patch and the Al plate. Grating of linear rows on the Al electrode enables the detection of the sliding speed of the PTFE patch along one direction. Moreover, we demonstrated that 16 Al electrode channels arranged along four directions were used to monitor the displacement (the direction and the location) of the PTFE patch at the center, where the output voltage signals in the 16 channels were recorded in real-time to form a mapping figure. The advantage of this design is that it only requires the bottom Al electrode to be grounded and the top PTFE patch needs no electrical contact, which is beneficial for energy harvesting in automobile rotation mode and touch pad applications. © 2013 American Chemical Society.","author":[{"dropping-particle":"","family":"Yang","given":"Ya","non-dropping-particle":"","parse-names":false,"suffix":""},{"dropping-particle":"","family":"Zhang","given":"Hulin","non-dropping-particle":"","parse-names":false,"suffix":""},{"dropping-particle":"","family":"Chen","given":"Jun","non-dropping-particle":"","parse-names":false,"suffix":""},{"dropping-particle":"","family":"Jing","given":"Qingshen","non-dropping-particle":"","parse-names":false,"suffix":""},{"dropping-particle":"","family":"Zhou","given":"Yu Sheng","non-dropping-particle":"","parse-names":false,"suffix":""},{"dropping-particle":"","family":"Wen","given":"Xiaonan","non-dropping-particle":"","parse-names":false,"suffix":""},{"dropping-particle":"","family":"Wang","given":"Zhong Lin","non-dropping-particle":"","parse-names":false,"suffix":""}],"container-title":"ACS Nano","id":"ITEM-2","issue":"8","issued":{"date-parts":[["2013"]]},"page":"7342-7351","title":"Single-electrode-based sliding triboelectric nanogenerator for self-powered displacement vector sensor system","type":"article-journal","volume":"7"},"uris":["http://www.mendeley.com/documents/?uuid=b33d7884-68f8-47fb-8b01-87c888ff963b"]}],"mendeley":{"formattedCitation":"[7, 8]","plainTextFormattedCitation":"[7, 8]","previouslyFormattedCitation":"(Meng et al.; Y. Yang et al.)"},"properties":{"noteIndex":0},"schema":"https://github.com/citation-style-language/schema/raw/master/csl-citation.json"}</w:instrText>
      </w:r>
      <w:r w:rsidR="00DA62D5" w:rsidRPr="00B87845">
        <w:fldChar w:fldCharType="separate"/>
      </w:r>
      <w:r w:rsidR="007E7CB7" w:rsidRPr="007E7CB7">
        <w:rPr>
          <w:noProof/>
        </w:rPr>
        <w:t>[7, 8]</w:t>
      </w:r>
      <w:r w:rsidR="00DA62D5" w:rsidRPr="00B87845">
        <w:fldChar w:fldCharType="end"/>
      </w:r>
      <w:r w:rsidRPr="00B87845">
        <w:t xml:space="preserve"> and </w:t>
      </w:r>
      <w:bookmarkStart w:id="0" w:name="OLE_LINK15"/>
      <w:bookmarkStart w:id="1" w:name="OLE_LINK16"/>
      <w:r w:rsidRPr="00B87845">
        <w:t xml:space="preserve">free-standing </w:t>
      </w:r>
      <w:bookmarkEnd w:id="0"/>
      <w:bookmarkEnd w:id="1"/>
      <w:r w:rsidRPr="00B87845">
        <w:t xml:space="preserve">triboelectric-layer mode </w:t>
      </w:r>
      <w:r w:rsidR="00DA62D5" w:rsidRPr="00B87845">
        <w:fldChar w:fldCharType="begin" w:fldLock="1"/>
      </w:r>
      <w:r w:rsidR="007E7CB7">
        <w:instrText>ADDIN CSL_CITATION {"citationItems":[{"id":"ITEM-1","itemData":{"DOI":"10.1016/j.nanoen.2015.01.013","ISSN":"22112855","abstract":"Triboelectric nanogenerator technology is emerging as a promising candidate for mechanical energy harvesting from ambient environment. Freestanding triboelectric-layer-based nanogenerators (FTENGs) are one of the fundamental operation modes with many advantages. In this paper, the first theoretical model of FTENGs is proposed with thorough analysis of their operation principle. Both contact-mode and sliding-mode FTENGs are discussed to fully uncover their unique characteristics. Contact-mode FTENGs have superior linearity, which is highly beneficial for both energy-harvesting and self-powered sensing applications. Sliding-mode FTENGs have two subcategories based on the material of their freestanding layer. For both of the two subcategories, the coupling effect of the height of the freestanding layer and the electrode gap on their output characteristics are discussed in detail to obtain the strategy for their structural optimization.","author":[{"dropping-particle":"","family":"Niu","given":"Simiao","non-dropping-particle":"","parse-names":false,"suffix":""},{"dropping-particle":"","family":"Liu","given":"Ying","non-dropping-particle":"","parse-names":false,"suffix":""},{"dropping-particle":"","family":"Chen","given":"Xiangyu","non-dropping-particle":"","parse-names":false,"suffix":""},{"dropping-particle":"","family":"Wang","given":"Sihong","non-dropping-particle":"","parse-names":false,"suffix":""},{"dropping-particle":"","family":"Zhou","given":"Yu Sheng","non-dropping-particle":"","parse-names":false,"suffix":""},{"dropping-particle":"","family":"Lin","given":"Long","non-dropping-particle":"","parse-names":false,"suffix":""},{"dropping-particle":"","family":"Xie","given":"Yannan","non-dropping-particle":"","parse-names":false,"suffix":""},{"dropping-particle":"","family":"Wang","given":"Zhong Lin","non-dropping-particle":"","parse-names":false,"suffix":""}],"container-title":"Nano Energy","id":"ITEM-1","issued":{"date-parts":[["2015"]]},"page":"760-774","publisher":"Elsevier","title":"Theory of freestanding triboelectric-layer-based nanogenerators","type":"article-journal","volume":"12"},"uris":["http://www.mendeley.com/documents/?uuid=d59be66b-af1e-4aa3-9ba6-9a9c040726e0"]},{"id":"ITEM-2","itemData":{"DOI":"10.1002/adfm.201500447","ISBN":"2211-2855","ISSN":"16163028","PMID":"25156128","abstract":"© 2015 WILEY-VCH Verlag GmbH  &amp;  Co. KGaA, Weinheim. The use of triboelectric nanogenerators (TENG) is a highly effective technology for harvesting ambient mechanical energy to produce electricity. In this work, a theoretical model of rotary freestanding TENG with grating structure is constructed, including the conductor-to-dielectric and dielectric-to-dielectric categories. The finite element simulations are performed to capture the fundamental physics of rotary freestanding TENG. Based on the simulations and derivations of approximate analytical equations, the real-time output characteristics of TENG with arbitrary load resistance are calculated. Furthermore, the influences of structural parameters of TENG and rotation rate on the output performance are investigated. The theory presented here facilitates a deep understanding of the working mechanism of rotary freestanding TENG and provides useful guidance for designing high performance TENG for energy harvesting applications. A theoretical model for rotary freestanding triboelectric nanogenerators with a grating structure is constructed. The fundamental physics of triboelectric nanogenerators is revealed by using the finite element method, and the dynamic output characteristics are theoretically calculated through the analytical solving of governing equation.","author":[{"dropping-particle":"","family":"Jiang","given":"Tao","non-dropping-particle":"","parse-names":false,"suffix":""},{"dropping-particle":"","family":"Chen","given":"Xiangyu","non-dropping-particle":"","parse-names":false,"suffix":""},{"dropping-particle":"","family":"Han","given":"Chang Bao","non-dropping-particle":"","parse-names":false,"suffix":""},{"dropping-particle":"","family":"Tang","given":"Wei","non-dropping-particle":"","parse-names":false,"suffix":""},{"dropping-particle":"","family":"Wang","given":"Zhong Lin","non-dropping-particle":"","parse-names":false,"suffix":""}],"container-title":"Advanced Functional Materials","id":"ITEM-2","issue":"19","issued":{"date-parts":[["2015"]]},"page":"2928-2938","title":"Theoretical study of rotary freestanding triboelectric nanogenerators","type":"article-journal","volume":"25"},"uris":["http://www.mendeley.com/documents/?uuid=12901fda-5e5d-4d96-a9ad-f881fb6e3175"]}],"mendeley":{"formattedCitation":"[9, 10]","plainTextFormattedCitation":"[9, 10]","previouslyFormattedCitation":"(Niu, Liu, Chen, et al.; Jiang, Chen, Han, et al.)"},"properties":{"noteIndex":0},"schema":"https://github.com/citation-style-language/schema/raw/master/csl-citation.json"}</w:instrText>
      </w:r>
      <w:r w:rsidR="00DA62D5" w:rsidRPr="00B87845">
        <w:fldChar w:fldCharType="separate"/>
      </w:r>
      <w:r w:rsidR="007E7CB7" w:rsidRPr="007E7CB7">
        <w:rPr>
          <w:noProof/>
        </w:rPr>
        <w:t>[9, 10]</w:t>
      </w:r>
      <w:r w:rsidR="00DA62D5" w:rsidRPr="00B87845">
        <w:fldChar w:fldCharType="end"/>
      </w:r>
      <w:r w:rsidRPr="00B87845">
        <w:t xml:space="preserve">. Based on the four working modes, a variety of triboelectric energy harvesters have been developed and investigated. Among those designs, rotary </w:t>
      </w:r>
      <w:r w:rsidR="000028D9" w:rsidRPr="00B87845">
        <w:t>discs</w:t>
      </w:r>
      <w:r w:rsidRPr="00B87845">
        <w:t xml:space="preserve">, as a kind of advanced configuration, are usually utilized in triboelectric energy harvesting. A few studies about </w:t>
      </w:r>
      <w:r w:rsidR="004054FC" w:rsidRPr="00B87845">
        <w:t>disc</w:t>
      </w:r>
      <w:r w:rsidRPr="00B87845">
        <w:t xml:space="preserve">-shaped triboelectric energy harvesters are briefly reviewed here. Lin et al. </w:t>
      </w:r>
      <w:r w:rsidR="00DA62D5" w:rsidRPr="00B87845">
        <w:fldChar w:fldCharType="begin" w:fldLock="1"/>
      </w:r>
      <w:r w:rsidR="007E7CB7">
        <w:instrText>ADDIN CSL_CITATION {"citationItems":[{"id":"ITEM-1","itemData":{"DOI":"10.1021/nl4013002","ISSN":"15306984","abstract":"We introduce an innovative design of a disk triboelectric nanogenerator (TENG) with segmental structures for harvesting rotational mechanical energy. Based on a cyclic in-plane charge separation between the segments that have distinct triboelectric polarities, the disk TENG generates electricity with unique characteristics, which have been studied by conjunction of experimental results with finite element calculations. The role played by the segmentation number is studied for maximizing output. A distinct relationship between the rotation speed and the electrical output has been thoroughly investigated, which not only shows power enhancement at high speed but also illuminates its potential application as a self-powered angular speed sensor. Owing to the nonintermittent and ultrafast rotation-induced charge transfer, the disk TENG has been demonstrated as an efficient power source for instantaneously or even continuously driving electronic devices and/or charging an energy storage unit. This work presents a novel working mode of TENGs and opens up many potential applications of nanogenerators for harvesting even large-scale energy. © 2013 American Chemical Society.","author":[{"dropping-particle":"","family":"Lin","given":"Long","non-dropping-particle":"","parse-names":false,"suffix":""},{"dropping-particle":"","family":"Wang","given":"Sihong","non-dropping-particle":"","parse-names":false,"suffix":""},{"dropping-particle":"","family":"Xie","given":"Yannan","non-dropping-particle":"","parse-names":false,"suffix":""},{"dropping-particle":"","family":"Jing","given":"Qingshen","non-dropping-particle":"","parse-names":false,"suffix":""},{"dropping-particle":"","family":"Niu","given":"Simiao","non-dropping-particle":"","parse-names":false,"suffix":""},{"dropping-particle":"","family":"Hu","given":"Youfan","non-dropping-particle":"","parse-names":false,"suffix":""},{"dropping-particle":"","family":"Wang","given":"Zhong Lin","non-dropping-particle":"","parse-names":false,"suffix":""}],"container-title":"Nano Letters","id":"ITEM-1","issue":"6","issued":{"date-parts":[["2013"]]},"page":"2916-2923","title":"Segmentally structured disk triboelectric nanogenerator for harvesting rotational mechanical energy","type":"article-journal","volume":"13"},"uris":["http://www.mendeley.com/documents/?uuid=3860e117-97d8-4ac0-86e8-5cf1e4ff2d9e"]}],"mendeley":{"formattedCitation":"[11]","plainTextFormattedCitation":"[11]","previouslyFormattedCitation":"(L. Lin, Wang, Xie, et al.)"},"properties":{"noteIndex":0},"schema":"https://github.com/citation-style-language/schema/raw/master/csl-citation.json"}</w:instrText>
      </w:r>
      <w:r w:rsidR="00DA62D5" w:rsidRPr="00B87845">
        <w:fldChar w:fldCharType="separate"/>
      </w:r>
      <w:r w:rsidR="007E7CB7" w:rsidRPr="007E7CB7">
        <w:rPr>
          <w:noProof/>
        </w:rPr>
        <w:t>[11]</w:t>
      </w:r>
      <w:r w:rsidR="00DA62D5" w:rsidRPr="00B87845">
        <w:fldChar w:fldCharType="end"/>
      </w:r>
      <w:r w:rsidRPr="00B87845">
        <w:t xml:space="preserve"> developed a segmentally patterned </w:t>
      </w:r>
      <w:r w:rsidR="004054FC" w:rsidRPr="00B87845">
        <w:t>disc</w:t>
      </w:r>
      <w:r w:rsidRPr="00B87845">
        <w:t xml:space="preserve">-shaped TENG composed of two </w:t>
      </w:r>
      <w:r w:rsidR="004054FC" w:rsidRPr="00B87845">
        <w:t>disc</w:t>
      </w:r>
      <w:r w:rsidRPr="00B87845">
        <w:t xml:space="preserve">-shaped components with four sectors. One of the </w:t>
      </w:r>
      <w:r w:rsidR="004054FC" w:rsidRPr="00B87845">
        <w:t>disc</w:t>
      </w:r>
      <w:r w:rsidRPr="00B87845">
        <w:t xml:space="preserve">s rotated at a constant speed and a linear relationship was found between current and rotating speed. To further explore the fundamental physics of rotary TENG, a series of theoretical studies were carried out, in which conductor-to-dielectric type and dielectric-to-dielectric types </w:t>
      </w:r>
      <w:r w:rsidR="00DA62D5" w:rsidRPr="00B87845">
        <w:fldChar w:fldCharType="begin" w:fldLock="1"/>
      </w:r>
      <w:r w:rsidR="007E7CB7">
        <w:instrText>ADDIN CSL_CITATION {"citationItems":[{"id":"ITEM-1","itemData":{"DOI":"10.1002/adfm.201500447","ISBN":"2211-2855","ISSN":"16163028","PMID":"25156128","abstract":"© 2015 WILEY-VCH Verlag GmbH  &amp;  Co. KGaA, Weinheim. The use of triboelectric nanogenerators (TENG) is a highly effective technology for harvesting ambient mechanical energy to produce electricity. In this work, a theoretical model of rotary freestanding TENG with grating structure is constructed, including the conductor-to-dielectric and dielectric-to-dielectric categories. The finite element simulations are performed to capture the fundamental physics of rotary freestanding TENG. Based on the simulations and derivations of approximate analytical equations, the real-time output characteristics of TENG with arbitrary load resistance are calculated. Furthermore, the influences of structural parameters of TENG and rotation rate on the output performance are investigated. The theory presented here facilitates a deep understanding of the working mechanism of rotary freestanding TENG and provides useful guidance for designing high performance TENG for energy harvesting applications. A theoretical model for rotary freestanding triboelectric nanogenerators with a grating structure is constructed. The fundamental physics of triboelectric nanogenerators is revealed by using the finite element method, and the dynamic output characteristics are theoretically calculated through the analytical solving of governing equation.","author":[{"dropping-particle":"","family":"Jiang","given":"Tao","non-dropping-particle":"","parse-names":false,"suffix":""},{"dropping-particle":"","family":"Chen","given":"Xiangyu","non-dropping-particle":"","parse-names":false,"suffix":""},{"dropping-particle":"","family":"Han","given":"Chang Bao","non-dropping-particle":"","parse-names":false,"suffix":""},{"dropping-particle":"","family":"Tang","given":"Wei","non-dropping-particle":"","parse-names":false,"suffix":""},{"dropping-particle":"","family":"Wang","given":"Zhong Lin","non-dropping-particle":"","parse-names":false,"suffix":""}],"container-title":"Advanced Functional Materials","id":"ITEM-1","issue":"19","issued":{"date-parts":[["2015"]]},"page":"2928-2938","title":"Theoretical study of rotary freestanding triboelectric nanogenerators","type":"article-journal","volume":"25"},"uris":["http://www.mendeley.com/documents/?uuid=12901fda-5e5d-4d96-a9ad-f881fb6e3175"]}],"mendeley":{"formattedCitation":"[10]","plainTextFormattedCitation":"[10]","previouslyFormattedCitation":"(Jiang, Chen, Han, et al.)"},"properties":{"noteIndex":0},"schema":"https://github.com/citation-style-language/schema/raw/master/csl-citation.json"}</w:instrText>
      </w:r>
      <w:r w:rsidR="00DA62D5" w:rsidRPr="00B87845">
        <w:fldChar w:fldCharType="separate"/>
      </w:r>
      <w:r w:rsidR="007E7CB7" w:rsidRPr="007E7CB7">
        <w:rPr>
          <w:noProof/>
        </w:rPr>
        <w:t>[10]</w:t>
      </w:r>
      <w:r w:rsidR="00DA62D5" w:rsidRPr="00B87845">
        <w:fldChar w:fldCharType="end"/>
      </w:r>
      <w:r w:rsidRPr="00B87845">
        <w:t>, contact and non-contact modes</w:t>
      </w:r>
      <w:r w:rsidR="00DA62D5" w:rsidRPr="00B87845">
        <w:fldChar w:fldCharType="begin" w:fldLock="1"/>
      </w:r>
      <w:r w:rsidR="007E7CB7">
        <w:instrText>ADDIN CSL_CITATION {"citationItems":[{"id":"ITEM-1","itemData":{"DOI":"10.1021/am405637s","ISBN":"1944-8244","ISSN":"19448244","PMID":"24467654","abstract":"In this work, we introduced an innovative noncontact, free-rotating disk triboelectric nanogenerator (FRD-TENG) for sustainably scavenging the mechanical energy from rotary motions. Its working principle was clarified through numerical calculations of the relative-rotation-induced potential difference, which serves as the driving force for the electricity generation. The unique characteristic of the FRD-TENG enables its high output performance compared to its working at the contact mode, with an effective output power density of 1.22 W/m2 for continuously driving 100 light-emitting diodes. Ultrahigh stability of the output and exceptional durability of the device structure were achieved, and the reliable output was utilized for fast/effective charging of a lithium ion battery. Based on the relationship between its output performance and the parameters of the mechanical stimuli, the FRD-TENG could be employed as a self-powered mechanical sensor, for simultaneously detecting the vertical displacement and ro...","author":[{"dropping-particle":"","family":"Lin","given":"Long","non-dropping-particle":"","parse-names":false,"suffix":""},{"dropping-particle":"","family":"Wang","given":"Sihong","non-dropping-particle":"","parse-names":false,"suffix":""},{"dropping-particle":"","family":"Niu","given":"Simiao","non-dropping-particle":"","parse-names":false,"suffix":""},{"dropping-particle":"","family":"Liu","given":"Chang","non-dropping-particle":"","parse-names":false,"suffix":""},{"dropping-particle":"","family":"Xie","given":"Yannan","non-dropping-particle":"","parse-names":false,"suffix":""},{"dropping-particle":"","family":"Wang","given":"Zhong Lin","non-dropping-particle":"","parse-names":false,"suffix":""}],"container-title":"ACS Applied Materials and Interfaces","id":"ITEM-1","issue":"4","issued":{"date-parts":[["2014"]]},"page":"3031-3038","title":"Noncontact free-rotating disk triboelectric nanogenerator as a sustainable energy harvester and self-powered mechanical sensor","type":"article-journal","volume":"6"},"uris":["http://www.mendeley.com/documents/?uuid=0a9f1a30-ebb7-494b-8b20-3ad4d11b1eb1"]},{"id":"ITEM-2","itemData":{"DOI":"10.1007/s12274-016-0997-x","ISSN":"19980000","abstract":"The triboelectric nanogenerator (TENG) has emerged as a new and effective mechanical energy harvesting technology. In this work, a theoretical model for a rotary-sliding disk TENG with grating structure was constructed, including the dielectric-to-dielectric and conductor-to-dielectric cases. The finite element method (FEM) was utilized to characterize the fundamental physics of the rotarysliding disk TENG working in both contact and non-contact modes. The basic properties of disk TENG were found to be controlled by the structural parameters such as tribo-surface spacing, grating number, and geometric size. From the FEM calculations, an approximate V–Q–α relationship was built through the interpolation method, and then the TENG dynamic output characteristics with arbitrary load resistance were numerically calculated. Finally, the dependencies of output power and matched resistance on the structural parameters and rotation rate were revealed. The present work provides an in-depth understanding of the working principle of the rotary-sliding disk TENG and serves as important guidance for optimizing TENG output performance in specific applications. [Figure not available: see fulltext.]","author":[{"dropping-particle":"","family":"Jiang","given":"Tao","non-dropping-particle":"","parse-names":false,"suffix":""},{"dropping-particle":"","family":"Chen","given":"Xiangyu","non-dropping-particle":"","parse-names":false,"suffix":""},{"dropping-particle":"","family":"Yang","given":"Keda","non-dropping-particle":"","parse-names":false,"suffix":""},{"dropping-particle":"","family":"Han","given":"Changbao","non-dropping-particle":"","parse-names":false,"suffix":""},{"dropping-particle":"","family":"Tang","given":"Wei","non-dropping-particle":"","parse-names":false,"suffix":""},{"dropping-particle":"","family":"Wang","given":"Zhong Lin","non-dropping-particle":"","parse-names":false,"suffix":""}],"container-title":"Nano Research","id":"ITEM-2","issue":"4","issued":{"date-parts":[["2016"]]},"page":"1057-1070","title":"Theoretical study on rotary-sliding disk triboelectric nanogenerators in contact and non-contact modes","type":"article-journal","volume":"9"},"uris":["http://www.mendeley.com/documents/?uuid=af90f053-dacc-405e-b862-b35cdb8b2491"]}],"mendeley":{"formattedCitation":"[12, 13]","plainTextFormattedCitation":"[12, 13]","previouslyFormattedCitation":"(L. Lin, Wang, Niu, et al.; Jiang, Chen, Yang, et al.)"},"properties":{"noteIndex":0},"schema":"https://github.com/citation-style-language/schema/raw/master/csl-citation.json"}</w:instrText>
      </w:r>
      <w:r w:rsidR="00DA62D5" w:rsidRPr="00B87845">
        <w:fldChar w:fldCharType="separate"/>
      </w:r>
      <w:r w:rsidR="007E7CB7" w:rsidRPr="007E7CB7">
        <w:rPr>
          <w:noProof/>
        </w:rPr>
        <w:t>[12, 13]</w:t>
      </w:r>
      <w:r w:rsidR="00DA62D5" w:rsidRPr="00B87845">
        <w:fldChar w:fldCharType="end"/>
      </w:r>
      <w:r w:rsidRPr="00B87845">
        <w:t xml:space="preserve"> were investigated respectively. For boosting rotary energy harvesting effectiveness, different approaches were proposed and verified, such as introducing butylated melamine formaldehyde as a promising triboelectric material used in rotary TENG </w:t>
      </w:r>
      <w:r w:rsidR="00DA62D5" w:rsidRPr="00B87845">
        <w:fldChar w:fldCharType="begin" w:fldLock="1"/>
      </w:r>
      <w:r w:rsidR="007E7CB7">
        <w:instrText>ADDIN CSL_CITATION {"citationItems":[{"id":"ITEM-1","itemData":{"DOI":"10.1039/c9ee01267b","ISSN":"17545706","abstract":"Mechanical durability and the triboelectric property of the friction layer are crucial for obtaining stable high power output from triboelectric nanogenerators (TENGs). Here, we introduce butylated melamine formaldehyde (BMF) as a promising triboelectric material because of both its mechanical durability and its highly positive triboelectric property. These unique characteristics originate from its functional group, which contains hydrogen atoms. Kelvin probe force microscopy measurements and density functional theory calculations confirm that BMF is triboelectrically more positive than are pristine MF and methylated MF. In addition, the Young's modulus, calculated by molecular dynamics simulations, of BMF is six times higher than that of polytetrafluoroethylene (PTFE). Additionally, BMF has demonstrated a lower wear rate than PTFE in an abrasion test with Cu as the counter friction material. Because of the superior mechanical and triboelectric characteristics, the root-mean-square output of a rotation-type BMF based TENG [210 V and 125 μA (24 mA m-2)] is higher than that of the one with PTFE [90 V and 31 μA (5.9 mA m-2)] and remained stable over extended operation of 27 000 cycles. BMF thus offers an opportunity for fabricating high-performance TENGs with applications in self-powered smart systems.","author":[{"dropping-particle":"","family":"Kwak","given":"Sung Soo","non-dropping-particle":"","parse-names":false,"suffix":""},{"dropping-particle":"","family":"Kim","given":"Seong Min","non-dropping-particle":"","parse-names":false,"suffix":""},{"dropping-particle":"","family":"Ryu","given":"Hanjun","non-dropping-particle":"","parse-names":false,"suffix":""},{"dropping-particle":"","family":"Kim","given":"Jihye","non-dropping-particle":"","parse-names":false,"suffix":""},{"dropping-particle":"","family":"Khan","given":"Usman","non-dropping-particle":"","parse-names":false,"suffix":""},{"dropping-particle":"","family":"Yoon","given":"Hong Joon","non-dropping-particle":"","parse-names":false,"suffix":""},{"dropping-particle":"","family":"Jeong","given":"Yo Han","non-dropping-particle":"","parse-names":false,"suffix":""},{"dropping-particle":"","family":"Kim","given":"Sang Woo","non-dropping-particle":"","parse-names":false,"suffix":""}],"container-title":"Energy and Environmental Science","id":"ITEM-1","issue":"10","issued":{"date-parts":[["2019"]]},"page":"3156-3163","title":"Butylated melamine formaldehyde as a durable and highly positive friction layer for stable, high output triboelectric nanogenerators","type":"article","volume":"12"},"uris":["http://www.mendeley.com/documents/?uuid=4a01233c-6f95-423d-93ce-b95c23fbff6b"]}],"mendeley":{"formattedCitation":"[14]","plainTextFormattedCitation":"[14]","previouslyFormattedCitation":"(Kwak et al.)"},"properties":{"noteIndex":0},"schema":"https://github.com/citation-style-language/schema/raw/master/csl-citation.json"}</w:instrText>
      </w:r>
      <w:r w:rsidR="00DA62D5" w:rsidRPr="00B87845">
        <w:fldChar w:fldCharType="separate"/>
      </w:r>
      <w:r w:rsidR="007E7CB7" w:rsidRPr="007E7CB7">
        <w:rPr>
          <w:noProof/>
        </w:rPr>
        <w:t>[14]</w:t>
      </w:r>
      <w:r w:rsidR="00DA62D5" w:rsidRPr="00B87845">
        <w:fldChar w:fldCharType="end"/>
      </w:r>
      <w:r w:rsidRPr="00B87845">
        <w:t xml:space="preserve">, or integrating both positive and negative charged electrets into single rotational energy conversion system </w:t>
      </w:r>
      <w:r w:rsidR="00DA62D5" w:rsidRPr="00B87845">
        <w:fldChar w:fldCharType="begin" w:fldLock="1"/>
      </w:r>
      <w:r w:rsidR="007E7CB7">
        <w:instrText>ADDIN CSL_CITATION {"citationItems":[{"id":"ITEM-1","itemData":{"author":[{"dropping-particle":"","family":"Tao","given":"Kai","non-dropping-particle":"","parse-names":false,"suffix":""},{"dropping-particle":"","family":"Wang","given":"Binqiao","non-dropping-particle":"","parse-names":false,"suffix":""},{"dropping-particle":"","family":"Chen","given":"Yixin","non-dropping-particle":"","parse-names":false,"suffix":""},{"dropping-particle":"","family":"Tang","given":"Lihua","non-dropping-particle":"","parse-names":false,"suffix":""},{"dropping-particle":"","family":"Wu","given":"Jin","non-dropping-particle":"","parse-names":false,"suffix":""},{"dropping-particle":"","family":"Chang","given":"Honglong","non-dropping-particle":"","parse-names":false,"suffix":""}],"container-title":"32nd International Conference on Micro Electro Mechanical Systems (MEMS)","id":"ITEM-1","issued":{"date-parts":[["2019"]]},"title":"Bipolar Micro Electret Power Generator","type":"paper-conference"},"uris":["http://www.mendeley.com/documents/?uuid=2190c327-8dfc-4b14-b969-81301ab326f2"]}],"mendeley":{"formattedCitation":"[15]","plainTextFormattedCitation":"[15]","previouslyFormattedCitation":"(Tao et al.)"},"properties":{"noteIndex":0},"schema":"https://github.com/citation-style-language/schema/raw/master/csl-citation.json"}</w:instrText>
      </w:r>
      <w:r w:rsidR="00DA62D5" w:rsidRPr="00B87845">
        <w:fldChar w:fldCharType="separate"/>
      </w:r>
      <w:r w:rsidR="007E7CB7" w:rsidRPr="007E7CB7">
        <w:rPr>
          <w:noProof/>
        </w:rPr>
        <w:t>[15]</w:t>
      </w:r>
      <w:r w:rsidR="00DA62D5" w:rsidRPr="00B87845">
        <w:fldChar w:fldCharType="end"/>
      </w:r>
      <w:r w:rsidRPr="00B87845">
        <w:t>. Zhang et</w:t>
      </w:r>
      <w:bookmarkStart w:id="2" w:name="_GoBack"/>
      <w:bookmarkEnd w:id="2"/>
      <w:r w:rsidRPr="00B87845">
        <w:t xml:space="preserve"> al. </w:t>
      </w:r>
      <w:r w:rsidR="00DA62D5" w:rsidRPr="00B87845">
        <w:fldChar w:fldCharType="begin" w:fldLock="1"/>
      </w:r>
      <w:r w:rsidR="007E7CB7">
        <w:instrText>ADDIN CSL_CITATION {"citationItems":[{"id":"ITEM-1","itemData":{"DOI":"10.1016/j.nanoen.2019.104169","ISSN":"22112855","abstract":"Triboelectric nanogenerators (TENGs) provide an effective approach for converting mechanical energy into electricity based on the coupling effect of contact electrification and electrostatic induction. The working principle of TENGs is usually based on one of the four basic modes, namely vertical contact-separation mode, contact-sliding mode, single-electrode (SE) mode, and freestanding-triboelectric-layer (FTL) mode. Here we report a dual-mode rotating TENG (DMR-TENG) with simultaneous outputs from both SE and FTL modes. It is found that the energy output of FTL mode can be promoted by turning on the SE-mode output of the DMR-TENG, which may be due to the change in the amount of charges present in the electrodes. When the DMR-TENG is utilized to concurrently charge two capacitors from the FTL- and SE-mode outputs, respectively, the charging rates of both capacitors increase compared to the case when the DMR-TENG works under either FTL or SE mode. The results indicate that the energy utilization efficiency can be improved for TENGs working under dual modes. Charging a LiFePO4/Li battery and a capacitor from the FTL- and SE-mode outputs of the DMR-TENG has also been demonstrated, evidencing the potential of DMR-TENGs for simultaneous charging multiple energy storage devices of different types.","author":[{"dropping-particle":"","family":"Zhang","given":"Zailei","non-dropping-particle":"","parse-names":false,"suffix":""},{"dropping-particle":"","family":"Bai","given":"Yu","non-dropping-particle":"","parse-names":false,"suffix":""},{"dropping-particle":"","family":"Xu","given":"Liang","non-dropping-particle":"","parse-names":false,"suffix":""},{"dropping-particle":"","family":"Zhao","given":"Man","non-dropping-particle":"","parse-names":false,"suffix":""},{"dropping-particle":"","family":"Shi","given":"Mingwei","non-dropping-particle":"","parse-names":false,"suffix":""},{"dropping-particle":"","family":"Wang","given":"Zhong Lin","non-dropping-particle":"","parse-names":false,"suffix":""},{"dropping-particle":"","family":"Lu","given":"Xianmao","non-dropping-particle":"","parse-names":false,"suffix":""}],"container-title":"Nano Energy","id":"ITEM-1","issued":{"date-parts":[["2019"]]},"title":"Triboelectric nanogenerators with simultaneous outputs in both single-electrode mode and freestanding-triboelectric-layer mode","type":"article","volume":"66"},"uris":["http://www.mendeley.com/documents/?uuid=59467fbd-c7c0-437d-bd0b-b44afb1b2f1f"]}],"mendeley":{"formattedCitation":"[16]","plainTextFormattedCitation":"[16]","previouslyFormattedCitation":"(Z. Zhang et al.)"},"properties":{"noteIndex":0},"schema":"https://github.com/citation-style-language/schema/raw/master/csl-citation.json"}</w:instrText>
      </w:r>
      <w:r w:rsidR="00DA62D5" w:rsidRPr="00B87845">
        <w:fldChar w:fldCharType="separate"/>
      </w:r>
      <w:r w:rsidR="007E7CB7" w:rsidRPr="007E7CB7">
        <w:rPr>
          <w:noProof/>
        </w:rPr>
        <w:t>[16]</w:t>
      </w:r>
      <w:r w:rsidR="00DA62D5" w:rsidRPr="00B87845">
        <w:fldChar w:fldCharType="end"/>
      </w:r>
      <w:r w:rsidRPr="00B87845">
        <w:t xml:space="preserve">. tested a dual-mode rotating TENG with simultaneous output from both </w:t>
      </w:r>
      <w:bookmarkStart w:id="3" w:name="OLE_LINK13"/>
      <w:bookmarkStart w:id="4" w:name="OLE_LINK14"/>
      <w:r w:rsidRPr="00B87845">
        <w:t xml:space="preserve">single-electrode mode </w:t>
      </w:r>
      <w:bookmarkEnd w:id="3"/>
      <w:bookmarkEnd w:id="4"/>
      <w:r w:rsidRPr="00B87845">
        <w:t xml:space="preserve">and free-standing triboelectric-layer mode. It was found that the output of the free-standing triboelectric-layer mode can be promoted by switching on the single-electrode mode. In a study of a self-powered wind sensor </w:t>
      </w:r>
      <w:r w:rsidR="00DA62D5" w:rsidRPr="00B87845">
        <w:fldChar w:fldCharType="begin" w:fldLock="1"/>
      </w:r>
      <w:r w:rsidR="007E7CB7">
        <w:instrText>ADDIN CSL_CITATION {"citationItems":[{"id":"ITEM-1","itemData":{"DOI":"10.1021/acsnano.8b01532","ISSN":"1936086X","PMID":"29595963","abstract":"The development of the Internet of Things has brought new challenges to the corresponding distributed sensor systems. Self-powered sensors that can perceive and respond to environmental stimuli without an external power supply are highly desirable. In this paper, a self-powered wind sensor system based on an anemometer triboelectric nanogenerator (a-TENG, free-standing mode) and a wind vane triboelectric nanogenerator (v-TENG, single-electrode mode) is proposed for simultaneously detecting wind speed and direction. A soft friction mode is adopted instead of a typical rigid friction for largely enhancing the output performance of the TENG. The design parameters including size, unit central angle, and applied materials are optimized to enhance sensitivity, resolution, and wide measurement scale. The optimized a-TENG could deliver an open-circuit voltage of 88 V and short-circuit current of 6.3 μA, corresponding to a maximum power output of 0.47 mW (wind speed of 6.0 m/s), which is capable of driving electronics for data transmission and storage. The current peak value of the a-TENG signal is used for analyzing wind speed for less energy consumption. Moreover, the output characteristics of a v-TENG are further explored, with six actual operation situations, and the v-TENG delivers fast response to the incoming wind and accurately outputs the wind direction data. As a wind sensor system, wind speed ranging from 2.7 to 8.0 m/s can be well detected (consistent with a commercial sensor) and eight regular directions can be monitored. Therefore, the fabricated wind sensor system has great potential in wireless environmental monitoring applications.","author":[{"dropping-particle":"","family":"Wang","given":"Jiyu","non-dropping-particle":"","parse-names":false,"suffix":""},{"dropping-particle":"","family":"Ding","given":"Wenbo","non-dropping-particle":"","parse-names":false,"suffix":""},{"dropping-particle":"","family":"Pan","given":"Lun","non-dropping-particle":"","parse-names":false,"suffix":""},{"dropping-particle":"","family":"Wu","given":"Changsheng","non-dropping-particle":"","parse-names":false,"suffix":""},{"dropping-particle":"","family":"Yu","given":"Hua","non-dropping-particle":"","parse-names":false,"suffix":""},{"dropping-particle":"","family":"Yang","given":"Lijun","non-dropping-particle":"","parse-names":false,"suffix":""},{"dropping-particle":"","family":"Liao","given":"Ruijin","non-dropping-particle":"","parse-names":false,"suffix":""},{"dropping-particle":"","family":"Wang","given":"Zhong Lin","non-dropping-particle":"","parse-names":false,"suffix":""}],"container-title":"ACS Nano","id":"ITEM-1","issue":"4","issued":{"date-parts":[["2018"]]},"page":"3954-3963","title":"Self-Powered Wind Sensor System for Detecting Wind Speed and Direction Based on a Triboelectric Nanogenerator","type":"article-journal","volume":"12"},"uris":["http://www.mendeley.com/documents/?uuid=850b7af9-e2e8-4727-b69d-5b8b3872954f"]}],"mendeley":{"formattedCitation":"[17]","plainTextFormattedCitation":"[17]","previouslyFormattedCitation":"(Jiyu Wang et al.)"},"properties":{"noteIndex":0},"schema":"https://github.com/citation-style-language/schema/raw/master/csl-citation.json"}</w:instrText>
      </w:r>
      <w:r w:rsidR="00DA62D5" w:rsidRPr="00B87845">
        <w:fldChar w:fldCharType="separate"/>
      </w:r>
      <w:r w:rsidR="007E7CB7" w:rsidRPr="007E7CB7">
        <w:rPr>
          <w:noProof/>
        </w:rPr>
        <w:t>[17]</w:t>
      </w:r>
      <w:r w:rsidR="00DA62D5" w:rsidRPr="00B87845">
        <w:fldChar w:fldCharType="end"/>
      </w:r>
      <w:r w:rsidRPr="00B87845">
        <w:t xml:space="preserve">, a </w:t>
      </w:r>
      <w:r w:rsidR="004054FC" w:rsidRPr="00B87845">
        <w:t>disc</w:t>
      </w:r>
      <w:r w:rsidRPr="00B87845">
        <w:t xml:space="preserve">-shaped TENG was integrated with the sensor to convert wind energy to electricity. Besides wind energy, </w:t>
      </w:r>
      <w:r w:rsidR="004054FC" w:rsidRPr="00B87845">
        <w:t>disc</w:t>
      </w:r>
      <w:r w:rsidRPr="00B87845">
        <w:t xml:space="preserve">-shaped triboelectric energy harvesters can also be applied on harvesting wave energy. A radial-arrayed TENG was studied by experiment, in which a </w:t>
      </w:r>
      <w:r w:rsidR="004054FC" w:rsidRPr="00B87845">
        <w:t>disc</w:t>
      </w:r>
      <w:r w:rsidRPr="00B87845">
        <w:t xml:space="preserve"> was connected with a transmission mechanism and could be driven by wave force to achieve continuous operation for long-term service </w:t>
      </w:r>
      <w:r w:rsidR="00DA62D5" w:rsidRPr="00B87845">
        <w:fldChar w:fldCharType="begin" w:fldLock="1"/>
      </w:r>
      <w:r w:rsidR="007E7CB7">
        <w:instrText>ADDIN CSL_CITATION {"citationItems":[{"id":"ITEM-1","itemData":{"DOI":"10.1016/j.nanoen.2019.104378","ISSN":"22112855","abstract":"Triboelectric nanogenerators (TENG) is a promising route for harvesting ambient mechanical energy to obtain clean and renewable electricity. However, the durability of materials still limits its practical applications for continuous operation. Here, a radial-arrayed TENG was integrated with a transmission mechanism, which successfully maximized the sustainable operation with less triboelectric material wear and damage. Through the rational design of the transmission mechanism, triboelectric layers were first charged by the contact electrification due to the wave impact from the sides, and charges were transferred by the electrostatic induction continuously because of the tumbler's design. In this case, frictional resistance between the triboelectric layers were successfully eliminated, which largely enhances its robustness and durability. After running for 500 k cycles, there is only 1.8% degradation. The TENG could convert one single impact into multiple cycles of rotations, which improves the energy harvesting efficiency for sustainably driving and charging commercial electronics, immediately demonstrating the feasibility of the TENG as a practical power source with extended lifetime and durability. Given exceptional durability and unprecedented applicability resulting from novel designs, this work provides an attractive strategy for the study of triboelectric nanogenerator's durability and facilitates the development of the self-powered systems.","author":[{"dropping-particle":"","family":"Lin","given":"Zhiming","non-dropping-particle":"","parse-names":false,"suffix":""},{"dropping-particle":"","family":"Zhang","given":"Binbin","non-dropping-particle":"","parse-names":false,"suffix":""},{"dropping-particle":"","family":"Zou","given":"Haiyang","non-dropping-particle":"","parse-names":false,"suffix":""},{"dropping-particle":"","family":"Wu","given":"Zhiyi","non-dropping-particle":"","parse-names":false,"suffix":""},{"dropping-particle":"","family":"Guo","given":"Hengyu","non-dropping-particle":"","parse-names":false,"suffix":""},{"dropping-particle":"","family":"Zhang","given":"Ying","non-dropping-particle":"","parse-names":false,"suffix":""},{"dropping-particle":"","family":"Yang","given":"Jin","non-dropping-particle":"","parse-names":false,"suffix":""},{"dropping-particle":"","family":"Wang","given":"Zhong Lin","non-dropping-particle":"","parse-names":false,"suffix":""}],"container-title":"Nano Energy","id":"ITEM-1","issue":"November 2019","issued":{"date-parts":[["2020"]]},"page":"104378","publisher":"Elsevier Ltd","title":"Rationally designed rotation triboelectric nanogenerators with much extended lifetime and durability","type":"article-journal","volume":"68"},"uris":["http://www.mendeley.com/documents/?uuid=9a6dbb57-3072-4cd8-aa62-c24d465a09d8"]}],"mendeley":{"formattedCitation":"[18]","plainTextFormattedCitation":"[18]","previouslyFormattedCitation":"(Z. Lin et al.)"},"properties":{"noteIndex":0},"schema":"https://github.com/citation-style-language/schema/raw/master/csl-citation.json"}</w:instrText>
      </w:r>
      <w:r w:rsidR="00DA62D5" w:rsidRPr="00B87845">
        <w:fldChar w:fldCharType="separate"/>
      </w:r>
      <w:r w:rsidR="007E7CB7" w:rsidRPr="007E7CB7">
        <w:rPr>
          <w:noProof/>
        </w:rPr>
        <w:t>[18]</w:t>
      </w:r>
      <w:r w:rsidR="00DA62D5" w:rsidRPr="00B87845">
        <w:fldChar w:fldCharType="end"/>
      </w:r>
      <w:r w:rsidRPr="00B87845">
        <w:t xml:space="preserve">. Wang et al. </w:t>
      </w:r>
      <w:r w:rsidR="00DA62D5" w:rsidRPr="00B87845">
        <w:fldChar w:fldCharType="begin" w:fldLock="1"/>
      </w:r>
      <w:r w:rsidR="007E7CB7">
        <w:instrText>ADDIN CSL_CITATION {"citationItems":[{"id":"ITEM-1","itemData":{"DOI":"10.1021/acsnano.0c00107","ISSN":"1936086X","PMID":"32078294","abstract":"Self-powered smart windows are desirable with the expectations of their energy-saving, weather-independent, user-controllable, and miniature performance. Recently developed solar- or thermal-powered smart windows largely depend on the weather conditions and have an extremely slow response, and only a certain portion of the saved energy can be utilized by the external circuit for mode conversion. In this work, a self-powered normally transparent smart window was developed by the conjunction of a rotary freestanding sliding triboelectric nanogenerator (RFS-TENG) and a polymer network liquid crystal (PNLC) cell. To fabricate the PNLC cell, the alignment layer with randomly distributed microdomains was constructed to encapsulate a mixture of LC polymers and nematic LCs. The opacity of the smart window exposed to an alternating electric field was considerably improved owing to the embedded microdomains and a dense web of LC polymers. The ultrahigh haziness greatly alleviates the charge density required for the LC actuation and thus enables the driving by the TENG where the charge amount is usually limited. The RFS-TENG was elaborately designed with six periodic bent triboelectric films and Ag electrodes, which presented an ultralow friction wear and met the frequency requirement to achieve the steady opacity. By harvesting the mechanical energies from ambient environments, the tribo-induced smart window can benefit a wide variety of fields, such as self-powered sunroofs, wind-driven smart farming systems etc.","author":[{"dropping-particle":"","family":"Wang","given":"Jiaqi","non-dropping-particle":"","parse-names":false,"suffix":""},{"dropping-particle":"","family":"Meng","given":"Cuiling","non-dropping-particle":"","parse-names":false,"suffix":""},{"dropping-particle":"","family":"Gu","given":"Qian","non-dropping-particle":"","parse-names":false,"suffix":""},{"dropping-particle":"","family":"Tseng","given":"Man Chun","non-dropping-particle":"","parse-names":false,"suffix":""},{"dropping-particle":"","family":"Tang","given":"Shu Tuen","non-dropping-particle":"","parse-names":false,"suffix":""},{"dropping-particle":"","family":"Kwok","given":"Hoi Sing","non-dropping-particle":"","parse-names":false,"suffix":""},{"dropping-particle":"","family":"Cheng","given":"Jia","non-dropping-particle":"","parse-names":false,"suffix":""},{"dropping-particle":"","family":"Zi","given":"Yunlong","non-dropping-particle":"","parse-names":false,"suffix":""}],"container-title":"ACS Nano","id":"ITEM-1","issue":"3","issued":{"date-parts":[["2020"]]},"page":"3630-3639","title":"Normally Transparent Tribo-Induced Smart Window","type":"article-journal","volume":"14"},"uris":["http://www.mendeley.com/documents/?uuid=ff0a14ff-f606-4f21-b0ed-3f810ab396eb"]}],"mendeley":{"formattedCitation":"[19]","plainTextFormattedCitation":"[19]","previouslyFormattedCitation":"(Jiaqi Wang et al.)"},"properties":{"noteIndex":0},"schema":"https://github.com/citation-style-language/schema/raw/master/csl-citation.json"}</w:instrText>
      </w:r>
      <w:r w:rsidR="00DA62D5" w:rsidRPr="00B87845">
        <w:fldChar w:fldCharType="separate"/>
      </w:r>
      <w:r w:rsidR="007E7CB7" w:rsidRPr="007E7CB7">
        <w:rPr>
          <w:noProof/>
        </w:rPr>
        <w:t>[19]</w:t>
      </w:r>
      <w:r w:rsidR="00DA62D5" w:rsidRPr="00B87845">
        <w:fldChar w:fldCharType="end"/>
      </w:r>
      <w:r w:rsidRPr="00B87845">
        <w:t xml:space="preserve"> developed a tribo-induced smart window with a conjunction of a rotary freestanding sliding triboelectric nanogenerator and a polymer network liquid crystal cell, which was normally transparent and became opaque immediately under tribo-charging.</w:t>
      </w:r>
    </w:p>
    <w:p w14:paraId="06B1E32D" w14:textId="2177BF29" w:rsidR="006C1666" w:rsidRPr="00B87845" w:rsidRDefault="006C1666" w:rsidP="00B87845">
      <w:r w:rsidRPr="00B87845">
        <w:t xml:space="preserve">Nearly all the </w:t>
      </w:r>
      <w:r w:rsidR="004054FC" w:rsidRPr="00B87845">
        <w:t>disc</w:t>
      </w:r>
      <w:r w:rsidRPr="00B87845">
        <w:t xml:space="preserve">-shaped triboelectric energy harvesters mentioned above focus on scavenging energy from continuous rotation. Mechanical vibration energy, as an abundant energy source, has been extensively studied on different types of triboelectric energy harvesters. Nevertheless, for </w:t>
      </w:r>
      <w:r w:rsidR="004054FC" w:rsidRPr="00B87845">
        <w:t>disc</w:t>
      </w:r>
      <w:r w:rsidRPr="00B87845">
        <w:t xml:space="preserve">-shaped triboelectric energy harvester, its application on vibration source has rarely been studied, and there have been only several relevant studies. A </w:t>
      </w:r>
      <w:r w:rsidR="004054FC" w:rsidRPr="00B87845">
        <w:t>disc</w:t>
      </w:r>
      <w:r w:rsidRPr="00B87845">
        <w:t xml:space="preserve">-shaped TENG used to power a water quality sensor was studied, including a rotator </w:t>
      </w:r>
      <w:r w:rsidR="004054FC" w:rsidRPr="00B87845">
        <w:t>disc</w:t>
      </w:r>
      <w:r w:rsidRPr="00B87845">
        <w:t xml:space="preserve">, a stator </w:t>
      </w:r>
      <w:r w:rsidR="004054FC" w:rsidRPr="00B87845">
        <w:t>disc</w:t>
      </w:r>
      <w:r w:rsidRPr="00B87845">
        <w:t xml:space="preserve"> and a</w:t>
      </w:r>
      <w:r w:rsidR="005D7E0E" w:rsidRPr="00B87845">
        <w:t>n</w:t>
      </w:r>
      <w:r w:rsidRPr="00B87845">
        <w:t xml:space="preserve"> eccentric block, which could response to the agitation of water wave </w:t>
      </w:r>
      <w:r w:rsidR="00DA62D5" w:rsidRPr="00B87845">
        <w:fldChar w:fldCharType="begin" w:fldLock="1"/>
      </w:r>
      <w:r w:rsidR="007E7CB7">
        <w:instrText>ADDIN CSL_CITATION {"citationItems":[{"id":"ITEM-1","itemData":{"DOI":"10.1016/j.nanoen.2019.104117","ISSN":"22112855","abstract":"Water pollution is one of the most severe environmental issues nowadays. For sustainably and autonomously monitoring water quality, in-situ self-powered sensing systems which can harvest local wave energy are highly desired. Here, a high-performance tandem disk triboelectric nanogenerator (TD-TENG) for self-powered water quality monitoring is demonstrated. By surface modification and optimized design, a radial grating structure which can be effectively agitated by slow water waves is realized, boosting the peak and average power of wave-energy-harvesting TENG devices to 45.0 mW and 7.5 mW respectively, which are roughly 35 and 24 folds of the typical ball-shell structured device. The average power density reaches 7.3 W m−3, setting up a new record. The short-circuit current is greatly enhanced to 11 mA through a facile power management circuit. The high output enables a self-powered total dissolved solids testing system, which can be scaled up into networks for in-situ, real-time mapping water quality in a large area. The TD-TENG as a high-power wave energy harvesting device also opens up an avenue to solve the bottleneck of power supply for versatile sensing platforms that need to work autonomously in water, providing a fundamental technology for smart environmental and ocean science.","author":[{"dropping-particle":"","family":"Bai","given":"Yu","non-dropping-particle":"","parse-names":false,"suffix":""},{"dropping-particle":"","family":"Xu","given":"Liang","non-dropping-particle":"","parse-names":false,"suffix":""},{"dropping-particle":"","family":"He","given":"Chuan","non-dropping-particle":"","parse-names":false,"suffix":""},{"dropping-particle":"","family":"Zhu","given":"Laipan","non-dropping-particle":"","parse-names":false,"suffix":""},{"dropping-particle":"","family":"Yang","given":"Xiaodan","non-dropping-particle":"","parse-names":false,"suffix":""},{"dropping-particle":"","family":"Jiang","given":"Tao","non-dropping-particle":"","parse-names":false,"suffix":""},{"dropping-particle":"","family":"Nie","given":"Jinhui","non-dropping-particle":"","parse-names":false,"suffix":""},{"dropping-particle":"","family":"Zhong","given":"Wei","non-dropping-particle":"","parse-names":false,"suffix":""},{"dropping-particle":"","family":"Wang","given":"Zhong Lin","non-dropping-particle":"","parse-names":false,"suffix":""}],"container-title":"Nano Energy","id":"ITEM-1","issue":"August","issued":{"date-parts":[["2019"]]},"page":"104117","publisher":"Elsevier Ltd","title":"High-performance triboelectric nanogenerators for self-powered, in-situ and real-time water quality mapping","type":"article-journal","volume":"66"},"uris":["http://www.mendeley.com/documents/?uuid=63563368-a5e3-4009-b584-1fe5304560d0"]}],"mendeley":{"formattedCitation":"[20]","plainTextFormattedCitation":"[20]","previouslyFormattedCitation":"(Bai et al.)"},"properties":{"noteIndex":0},"schema":"https://github.com/citation-style-language/schema/raw/master/csl-citation.json"}</w:instrText>
      </w:r>
      <w:r w:rsidR="00DA62D5" w:rsidRPr="00B87845">
        <w:fldChar w:fldCharType="separate"/>
      </w:r>
      <w:r w:rsidR="007E7CB7" w:rsidRPr="007E7CB7">
        <w:rPr>
          <w:noProof/>
        </w:rPr>
        <w:t>[20]</w:t>
      </w:r>
      <w:r w:rsidR="00DA62D5" w:rsidRPr="00B87845">
        <w:fldChar w:fldCharType="end"/>
      </w:r>
      <w:r w:rsidRPr="00B87845">
        <w:t xml:space="preserve">. Another </w:t>
      </w:r>
      <w:r w:rsidR="004054FC" w:rsidRPr="00B87845">
        <w:t>disc</w:t>
      </w:r>
      <w:r w:rsidRPr="00B87845">
        <w:t xml:space="preserve">-shaped TENG with a simple inertia mass was tested under hand swinging </w:t>
      </w:r>
      <w:r w:rsidR="00DA62D5" w:rsidRPr="00B87845">
        <w:fldChar w:fldCharType="begin" w:fldLock="1"/>
      </w:r>
      <w:r w:rsidR="007E7CB7">
        <w:instrText>ADDIN CSL_CITATION {"citationItems":[{"id":"ITEM-1","itemData":{"DOI":"10.1038/ncomms4426","ISSN":"20411723","abstract":"Harvesting mechanical energy is an important route in obtaining cost-effective, clean and sustainable electric energy. Here we report a two-dimensional planar-structured triboelectric generator on the basis of contact electrification. The radial arrays of micro-sized sectors on the contact surfaces enable a high output power of 1.5 W (area power density of 19 mW cm-2) at an efficiency of 24%. The triboelectric generator can effectively harness various ambient motions, including light wind, tap water flow and normal body movement. Through a power management circuit, a triboelectric-generator-based power-supplying system can provide a constant direct-current source for sustainably driving and charging commercial electronics, immediately demonstrating the feasibility of the triboelectric generator as a practical power source. Given exceptional power density, extremely low cost and unique applicability resulting from distinctive mechanism and structure, the triboelectric generator can be applied not only to self-powered electronics but also possibly to power generation at a large scale. © 2014 Macmillan Publishers Limited.","author":[{"dropping-particle":"","family":"Zhu","given":"Guang","non-dropping-particle":"","parse-names":false,"suffix":""},{"dropping-particle":"","family":"Chen","given":"Jun","non-dropping-particle":"","parse-names":false,"suffix":""},{"dropping-particle":"","family":"Zhang","given":"Tiejun","non-dropping-particle":"","parse-names":false,"suffix":""},{"dropping-particle":"","family":"Jing","given":"Qingshen","non-dropping-particle":"","parse-names":false,"suffix":""},{"dropping-particle":"","family":"Wang","given":"Zhong Lin","non-dropping-particle":"","parse-names":false,"suffix":""}],"container-title":"Nature Communications","id":"ITEM-1","issued":{"date-parts":[["2014"]]},"page":"1-9","publisher":"Nature Publishing Group","title":"Radial-arrayed rotary electrification for high performance triboelectric generator","type":"article-journal","volume":"5"},"uris":["http://www.mendeley.com/documents/?uuid=c6c70d2c-c66e-4458-9b04-0c518b35f797"]}],"mendeley":{"formattedCitation":"[21]","plainTextFormattedCitation":"[21]","previouslyFormattedCitation":"(Zhu et al.)"},"properties":{"noteIndex":0},"schema":"https://github.com/citation-style-language/schema/raw/master/csl-citation.json"}</w:instrText>
      </w:r>
      <w:r w:rsidR="00DA62D5" w:rsidRPr="00B87845">
        <w:fldChar w:fldCharType="separate"/>
      </w:r>
      <w:r w:rsidR="007E7CB7" w:rsidRPr="007E7CB7">
        <w:rPr>
          <w:noProof/>
        </w:rPr>
        <w:t>[21]</w:t>
      </w:r>
      <w:r w:rsidR="00DA62D5" w:rsidRPr="00B87845">
        <w:fldChar w:fldCharType="end"/>
      </w:r>
      <w:r w:rsidRPr="00B87845">
        <w:t xml:space="preserve">. Although the small minority of studies involve </w:t>
      </w:r>
      <w:r w:rsidR="004054FC" w:rsidRPr="00B87845">
        <w:t>disc</w:t>
      </w:r>
      <w:r w:rsidRPr="00B87845">
        <w:t>-shaped triboelectric energy harvesters scavenging vibration energy, they are all purely based on experiment and the analysis of dynamic characteristics is blank. The dynamic response is significant for triboelectric energy harvester since the process of charge transferring depends on the relative motion between two distinct surfaces. Therefore, it is worth investigating the dynamic response of vibro-based rotary triboelectric energy harvester for exploring the relationship between external excitation and electrical output.</w:t>
      </w:r>
    </w:p>
    <w:p w14:paraId="7164F3AF" w14:textId="6A499ACF" w:rsidR="006C1666" w:rsidRPr="00B87845" w:rsidRDefault="006C1666" w:rsidP="00B87845">
      <w:r w:rsidRPr="00B87845">
        <w:lastRenderedPageBreak/>
        <w:t xml:space="preserve">In this paper, a </w:t>
      </w:r>
      <w:r w:rsidR="004054FC" w:rsidRPr="00B87845">
        <w:t>disc</w:t>
      </w:r>
      <w:r w:rsidRPr="00B87845">
        <w:t xml:space="preserve">-shaped triboelectric energy harvester working in sliding mode is investigated, and a comprehensive theoretical model coupling both </w:t>
      </w:r>
      <w:r w:rsidR="005D7E0E" w:rsidRPr="00B87845">
        <w:t xml:space="preserve">structural </w:t>
      </w:r>
      <w:r w:rsidRPr="00B87845">
        <w:t>dynamic and electric</w:t>
      </w:r>
      <w:r w:rsidR="00BA15ED" w:rsidRPr="00B87845">
        <w:t>al</w:t>
      </w:r>
      <w:r w:rsidRPr="00B87845">
        <w:t xml:space="preserve"> domains is </w:t>
      </w:r>
      <w:r w:rsidR="00BA15ED" w:rsidRPr="00B87845">
        <w:t>developed</w:t>
      </w:r>
      <w:r w:rsidRPr="00B87845">
        <w:t xml:space="preserve">. A magnetic bistable mechanism </w:t>
      </w:r>
      <w:r w:rsidR="00BA15ED" w:rsidRPr="00B87845">
        <w:t>with</w:t>
      </w:r>
      <w:r w:rsidRPr="00B87845">
        <w:t xml:space="preserve"> a pair of magnets is utilized in this harvester, which has never been investigated in rotary triboelectric energy harvest</w:t>
      </w:r>
      <w:r w:rsidR="00BA15ED" w:rsidRPr="00B87845">
        <w:t>ers</w:t>
      </w:r>
      <w:r w:rsidRPr="00B87845">
        <w:t xml:space="preserve"> before. Numerical simulation</w:t>
      </w:r>
      <w:r w:rsidR="00BA15ED" w:rsidRPr="00B87845">
        <w:t>s</w:t>
      </w:r>
      <w:r w:rsidRPr="00B87845">
        <w:t xml:space="preserve"> </w:t>
      </w:r>
      <w:r w:rsidR="00BA15ED" w:rsidRPr="00B87845">
        <w:t>are</w:t>
      </w:r>
      <w:r w:rsidRPr="00B87845">
        <w:t xml:space="preserve"> carried out to explore the dynamic </w:t>
      </w:r>
      <w:r w:rsidR="00FA23EF" w:rsidRPr="00B87845">
        <w:t>behavior</w:t>
      </w:r>
      <w:r w:rsidRPr="00B87845">
        <w:t xml:space="preserve"> and electrical performance. This work aims to investigate structural dynamics for better understanding</w:t>
      </w:r>
      <w:r w:rsidR="00C254C6" w:rsidRPr="00B87845">
        <w:t xml:space="preserve"> </w:t>
      </w:r>
      <w:r w:rsidRPr="00B87845">
        <w:t xml:space="preserve">the link between the external excitation and output performance of a </w:t>
      </w:r>
      <w:r w:rsidR="004054FC" w:rsidRPr="00B87845">
        <w:t>disc</w:t>
      </w:r>
      <w:r w:rsidRPr="00B87845">
        <w:t>-shaped triboelectric energy harvester, which also provides an approach for efficiency enhancement with bistability.</w:t>
      </w:r>
    </w:p>
    <w:p w14:paraId="48E58592" w14:textId="3C1D4A93" w:rsidR="0026599D" w:rsidRPr="00B377AC" w:rsidRDefault="0026599D" w:rsidP="00B87845">
      <w:pPr>
        <w:pStyle w:val="heading1"/>
      </w:pPr>
      <w:r w:rsidRPr="00B377AC">
        <w:t>Pro</w:t>
      </w:r>
      <w:r w:rsidR="00B377AC" w:rsidRPr="00B377AC">
        <w:rPr>
          <w:rFonts w:asciiTheme="minorEastAsia" w:eastAsiaTheme="minorEastAsia" w:hAnsiTheme="minorEastAsia"/>
          <w:lang w:eastAsia="zh-CN"/>
        </w:rPr>
        <w:t>to</w:t>
      </w:r>
      <w:r w:rsidRPr="00B377AC">
        <w:t>type design</w:t>
      </w:r>
    </w:p>
    <w:p w14:paraId="0B2FECFF" w14:textId="277DF836" w:rsidR="0088500A" w:rsidRDefault="0088500A" w:rsidP="00B87845">
      <w:pPr>
        <w:ind w:firstLine="0"/>
      </w:pPr>
      <w:r w:rsidRPr="00B377AC">
        <w:t xml:space="preserve">The configuration of the proposed harvester is depicted in Fig.1 (a). In this design, two </w:t>
      </w:r>
      <w:r w:rsidR="004054FC">
        <w:t>disc</w:t>
      </w:r>
      <w:r w:rsidRPr="00B377AC">
        <w:t xml:space="preserve">s contact with each other in </w:t>
      </w:r>
      <w:r w:rsidR="000B48C0">
        <w:t xml:space="preserve">the </w:t>
      </w:r>
      <w:r w:rsidRPr="00B377AC">
        <w:t xml:space="preserve">vertical plane. One of the </w:t>
      </w:r>
      <w:r w:rsidR="004054FC">
        <w:t>disc</w:t>
      </w:r>
      <w:r w:rsidRPr="00B377AC">
        <w:t xml:space="preserve">s is fixed with the vibration source and move with it, referred </w:t>
      </w:r>
      <w:r w:rsidR="009D7AD5" w:rsidRPr="009D7AD5">
        <w:rPr>
          <w:rFonts w:hint="eastAsia"/>
        </w:rPr>
        <w:t>to</w:t>
      </w:r>
      <w:r w:rsidR="009D7AD5">
        <w:t xml:space="preserve"> </w:t>
      </w:r>
      <w:r w:rsidRPr="00B377AC">
        <w:t xml:space="preserve">as the </w:t>
      </w:r>
      <w:r w:rsidR="002F2BB0" w:rsidRPr="00B377AC">
        <w:t>stationary</w:t>
      </w:r>
      <w:r w:rsidRPr="00B377AC">
        <w:t xml:space="preserve"> </w:t>
      </w:r>
      <w:r w:rsidR="004054FC">
        <w:t>disc</w:t>
      </w:r>
      <w:r w:rsidRPr="00B377AC">
        <w:t xml:space="preserve">, and the other </w:t>
      </w:r>
      <w:r w:rsidR="004054FC">
        <w:t>disc</w:t>
      </w:r>
      <w:r w:rsidRPr="00B377AC">
        <w:t xml:space="preserve"> is able to rotate around the </w:t>
      </w:r>
      <w:proofErr w:type="spellStart"/>
      <w:r w:rsidR="00B377AC" w:rsidRPr="00B377AC">
        <w:t>centre</w:t>
      </w:r>
      <w:proofErr w:type="spellEnd"/>
      <w:r w:rsidR="00B377AC" w:rsidRPr="00B377AC">
        <w:t xml:space="preserve"> </w:t>
      </w:r>
      <w:r w:rsidRPr="00B377AC">
        <w:t xml:space="preserve">of </w:t>
      </w:r>
      <w:r w:rsidR="000B48C0">
        <w:t>the disc</w:t>
      </w:r>
      <w:r w:rsidR="000B48C0" w:rsidRPr="00B377AC">
        <w:t xml:space="preserve"> </w:t>
      </w:r>
      <w:r w:rsidRPr="00B377AC">
        <w:t xml:space="preserve">under horizontal excitation, referred </w:t>
      </w:r>
      <w:r w:rsidR="000B48C0">
        <w:t xml:space="preserve">to </w:t>
      </w:r>
      <w:r w:rsidRPr="00B377AC">
        <w:t xml:space="preserve">as the rotary </w:t>
      </w:r>
      <w:r w:rsidR="004054FC">
        <w:t>disc</w:t>
      </w:r>
      <w:r w:rsidRPr="00B377AC">
        <w:t xml:space="preserve">. An eccentric mass </w:t>
      </w:r>
      <w:r w:rsidR="006A56F6">
        <w:t xml:space="preserve">in the shape of a small disc with </w:t>
      </w:r>
      <w:r w:rsidR="006A56F6" w:rsidRPr="00B377AC">
        <w:t>a cylindrical magnet (magnet A)</w:t>
      </w:r>
      <w:r w:rsidR="006A56F6">
        <w:t xml:space="preserve"> </w:t>
      </w:r>
      <w:r w:rsidRPr="00B377AC">
        <w:t xml:space="preserve">is attached </w:t>
      </w:r>
      <w:r w:rsidR="000B48C0">
        <w:t>to</w:t>
      </w:r>
      <w:r w:rsidR="000B48C0" w:rsidRPr="00B377AC">
        <w:t xml:space="preserve"> </w:t>
      </w:r>
      <w:r w:rsidRPr="00B377AC">
        <w:t xml:space="preserve">the rotary </w:t>
      </w:r>
      <w:r w:rsidR="004054FC">
        <w:t>disc</w:t>
      </w:r>
      <w:r w:rsidRPr="00B377AC">
        <w:t xml:space="preserve">. Another cylindrical magnet (magnet B) is </w:t>
      </w:r>
      <w:r w:rsidR="009D7AD5">
        <w:t>fixed on a L-shaped frame which is fixed</w:t>
      </w:r>
      <w:r w:rsidRPr="00B377AC">
        <w:t xml:space="preserve"> with the </w:t>
      </w:r>
      <w:r w:rsidR="002F2BB0">
        <w:t>stationary</w:t>
      </w:r>
      <w:r w:rsidRPr="00B377AC">
        <w:t xml:space="preserve"> </w:t>
      </w:r>
      <w:r w:rsidR="004054FC">
        <w:t>disc</w:t>
      </w:r>
      <w:r w:rsidRPr="00B377AC">
        <w:t>. Between the two magnets, there exists a magnetic repulsion, which may result in bistability.</w:t>
      </w:r>
    </w:p>
    <w:p w14:paraId="138EAC92" w14:textId="77777777" w:rsidR="00B87845" w:rsidRPr="00B377AC" w:rsidRDefault="00B87845" w:rsidP="00B87845">
      <w:pPr>
        <w:ind w:firstLine="0"/>
        <w:jc w:val="center"/>
      </w:pPr>
      <w:r>
        <w:rPr>
          <w:noProof/>
        </w:rPr>
        <w:drawing>
          <wp:inline distT="0" distB="0" distL="0" distR="0" wp14:anchorId="20A5DBB7" wp14:editId="15EACFB4">
            <wp:extent cx="3657600" cy="25092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2509200"/>
                    </a:xfrm>
                    <a:prstGeom prst="rect">
                      <a:avLst/>
                    </a:prstGeom>
                    <a:noFill/>
                    <a:ln>
                      <a:noFill/>
                    </a:ln>
                  </pic:spPr>
                </pic:pic>
              </a:graphicData>
            </a:graphic>
          </wp:inline>
        </w:drawing>
      </w:r>
    </w:p>
    <w:p w14:paraId="637F2B1D" w14:textId="69AE955A" w:rsidR="00B87845" w:rsidRPr="00B377AC" w:rsidRDefault="00B87845" w:rsidP="00B87845">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1</w:t>
      </w:r>
      <w:r w:rsidRPr="00B377AC">
        <w:rPr>
          <w:b/>
        </w:rPr>
        <w:fldChar w:fldCharType="end"/>
      </w:r>
      <w:r w:rsidRPr="00B377AC">
        <w:rPr>
          <w:b/>
        </w:rPr>
        <w:t>.</w:t>
      </w:r>
      <w:r w:rsidRPr="00B377AC">
        <w:t xml:space="preserve"> Configuration of the </w:t>
      </w:r>
      <w:r>
        <w:t>disc</w:t>
      </w:r>
      <w:r w:rsidRPr="00B377AC">
        <w:t>-shaped triboelectric energy harvester.</w:t>
      </w:r>
    </w:p>
    <w:p w14:paraId="12D9E29F" w14:textId="4077B841" w:rsidR="0026599D" w:rsidRDefault="0088500A" w:rsidP="00B87845">
      <w:r w:rsidRPr="00B377AC">
        <w:t xml:space="preserve">The two </w:t>
      </w:r>
      <w:r w:rsidR="004054FC">
        <w:t>disc</w:t>
      </w:r>
      <w:r w:rsidRPr="00B377AC">
        <w:t xml:space="preserve">s </w:t>
      </w:r>
      <w:r w:rsidR="004054FC" w:rsidRPr="00B377AC">
        <w:t>made of acrylic (PMMA)</w:t>
      </w:r>
      <w:r w:rsidR="004054FC">
        <w:t xml:space="preserve"> </w:t>
      </w:r>
      <w:r w:rsidRPr="00B377AC">
        <w:t xml:space="preserve">serve as substrate. The contact surface of the </w:t>
      </w:r>
      <w:r w:rsidR="002F2BB0">
        <w:t>stationary</w:t>
      </w:r>
      <w:r w:rsidRPr="00B377AC">
        <w:t xml:space="preserve"> </w:t>
      </w:r>
      <w:r w:rsidR="004054FC">
        <w:t>disc</w:t>
      </w:r>
      <w:r w:rsidRPr="00B377AC">
        <w:t xml:space="preserve"> is covered with a </w:t>
      </w:r>
      <w:r w:rsidR="00BA15ED" w:rsidRPr="00B377AC">
        <w:t>metal film</w:t>
      </w:r>
      <w:r w:rsidRPr="00B377AC">
        <w:t xml:space="preserve"> made of </w:t>
      </w:r>
      <w:r w:rsidR="003833BF" w:rsidRPr="00B377AC">
        <w:t>alumin</w:t>
      </w:r>
      <w:r w:rsidR="003833BF">
        <w:t>u</w:t>
      </w:r>
      <w:r w:rsidR="003833BF" w:rsidRPr="00B377AC">
        <w:t>m</w:t>
      </w:r>
      <w:r w:rsidRPr="00B377AC">
        <w:t xml:space="preserve"> or copper on top of a layer dielectric film made of polytetrafluoroethylene (PTFE), and another </w:t>
      </w:r>
      <w:r w:rsidR="00BA15ED" w:rsidRPr="00B377AC">
        <w:t>metal film</w:t>
      </w:r>
      <w:r w:rsidRPr="00B377AC">
        <w:t xml:space="preserve"> is attached with the rotary </w:t>
      </w:r>
      <w:r w:rsidR="004054FC">
        <w:t>disc</w:t>
      </w:r>
      <w:r w:rsidRPr="00B377AC">
        <w:t xml:space="preserve">. The </w:t>
      </w:r>
      <w:r w:rsidR="00BA15ED" w:rsidRPr="00B377AC">
        <w:t>metal film</w:t>
      </w:r>
      <w:r w:rsidRPr="00B377AC">
        <w:t xml:space="preserve">s on the two </w:t>
      </w:r>
      <w:r w:rsidR="004054FC">
        <w:t>disc</w:t>
      </w:r>
      <w:r w:rsidRPr="00B377AC">
        <w:t>s actually work as electrodes during electric</w:t>
      </w:r>
      <w:r w:rsidR="00BA15ED" w:rsidRPr="00B377AC">
        <w:t>ity</w:t>
      </w:r>
      <w:r w:rsidRPr="00B377AC">
        <w:t xml:space="preserve"> generation, shown in Fig.1 (b). The geometry shape of the films </w:t>
      </w:r>
      <w:r w:rsidRPr="00B377AC">
        <w:lastRenderedPageBreak/>
        <w:t xml:space="preserve">(including </w:t>
      </w:r>
      <w:r w:rsidR="00BA15ED" w:rsidRPr="00B377AC">
        <w:t>the metal film</w:t>
      </w:r>
      <w:r w:rsidRPr="00B377AC">
        <w:t>s and PTFE</w:t>
      </w:r>
      <w:r w:rsidR="00BA15ED" w:rsidRPr="00B377AC">
        <w:t xml:space="preserve"> film</w:t>
      </w:r>
      <w:r w:rsidRPr="00B377AC">
        <w:t xml:space="preserve">) is illustrated in Fig.1 (c), which consist of </w:t>
      </w:r>
      <w:r w:rsidRPr="00B377AC">
        <w:rPr>
          <w:i/>
        </w:rPr>
        <w:t>n</w:t>
      </w:r>
      <w:r w:rsidRPr="00B377AC">
        <w:t xml:space="preserve"> sectors. Here, </w:t>
      </w:r>
      <w:r w:rsidRPr="00B377AC">
        <w:rPr>
          <w:i/>
        </w:rPr>
        <w:t>n</w:t>
      </w:r>
      <w:r w:rsidRPr="00B377AC">
        <w:t>=4 is shown as an example.</w:t>
      </w:r>
    </w:p>
    <w:p w14:paraId="48959A12" w14:textId="265E7809" w:rsidR="00160DCC" w:rsidRPr="00B377AC" w:rsidRDefault="00160DCC" w:rsidP="00FA23EF">
      <w:r w:rsidRPr="00B377AC">
        <w:t xml:space="preserve">During working, triboelectrification only happens between the PTFE film on the </w:t>
      </w:r>
      <w:r>
        <w:t>stationary</w:t>
      </w:r>
      <w:r w:rsidRPr="00B377AC">
        <w:t xml:space="preserve"> </w:t>
      </w:r>
      <w:r>
        <w:t>disc</w:t>
      </w:r>
      <w:r w:rsidRPr="00B377AC">
        <w:t xml:space="preserve"> and the metal film on the rotary </w:t>
      </w:r>
      <w:r>
        <w:t>disc</w:t>
      </w:r>
      <w:r w:rsidRPr="00B377AC">
        <w:t xml:space="preserve">. The charge transfer process is illustrated in Fig.2. A load resistor </w:t>
      </w:r>
      <w:r w:rsidRPr="00B377AC">
        <w:rPr>
          <w:i/>
        </w:rPr>
        <w:t>R</w:t>
      </w:r>
      <w:r w:rsidRPr="00B377AC">
        <w:t xml:space="preserve"> is wired with the metal films. During rotating, an electric potential difference between the two metal films is established with the change of overlapping area, thus electrons are driven to flow though the resistor from one metal film to the other, consequently an alternating current is generated in the electric circuit.</w:t>
      </w:r>
    </w:p>
    <w:p w14:paraId="4BD79878" w14:textId="53B1E2E0" w:rsidR="0088500A" w:rsidRPr="00B377AC" w:rsidRDefault="0088500A" w:rsidP="00FA23EF">
      <w:pPr>
        <w:spacing w:before="120"/>
        <w:jc w:val="center"/>
      </w:pPr>
      <w:r w:rsidRPr="00B377AC">
        <w:rPr>
          <w:noProof/>
        </w:rPr>
        <w:drawing>
          <wp:inline distT="0" distB="0" distL="0" distR="0" wp14:anchorId="73CD4226" wp14:editId="246F9741">
            <wp:extent cx="3952800" cy="1897200"/>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00" cy="1897200"/>
                    </a:xfrm>
                    <a:prstGeom prst="rect">
                      <a:avLst/>
                    </a:prstGeom>
                    <a:noFill/>
                    <a:ln>
                      <a:noFill/>
                    </a:ln>
                  </pic:spPr>
                </pic:pic>
              </a:graphicData>
            </a:graphic>
          </wp:inline>
        </w:drawing>
      </w:r>
    </w:p>
    <w:p w14:paraId="290121F7" w14:textId="69A3C53C" w:rsidR="0088500A" w:rsidRPr="00B377AC" w:rsidRDefault="0088500A" w:rsidP="0088500A">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2</w:t>
      </w:r>
      <w:r w:rsidRPr="00B377AC">
        <w:rPr>
          <w:b/>
        </w:rPr>
        <w:fldChar w:fldCharType="end"/>
      </w:r>
      <w:r w:rsidRPr="00B377AC">
        <w:rPr>
          <w:b/>
        </w:rPr>
        <w:t>.</w:t>
      </w:r>
      <w:r w:rsidRPr="00B377AC">
        <w:t xml:space="preserve"> Mechanism of sliding mode triboelectric energy harvesting.</w:t>
      </w:r>
    </w:p>
    <w:p w14:paraId="06C16212" w14:textId="77777777" w:rsidR="0088500A" w:rsidRPr="00B377AC" w:rsidRDefault="0088500A" w:rsidP="0088500A">
      <w:pPr>
        <w:pStyle w:val="heading1"/>
      </w:pPr>
      <w:r w:rsidRPr="00B377AC">
        <w:t>Theoretical model</w:t>
      </w:r>
    </w:p>
    <w:p w14:paraId="43DC0E54" w14:textId="77777777" w:rsidR="0088500A" w:rsidRPr="00B377AC" w:rsidRDefault="0088500A" w:rsidP="00FA23EF">
      <w:pPr>
        <w:pStyle w:val="heading2"/>
        <w:spacing w:before="0"/>
      </w:pPr>
      <w:r w:rsidRPr="00B377AC">
        <w:t>Mechanical model</w:t>
      </w:r>
    </w:p>
    <w:p w14:paraId="6C1E726C" w14:textId="5F2B3434" w:rsidR="0088500A" w:rsidRPr="00B377AC" w:rsidRDefault="0088500A" w:rsidP="00B87845">
      <w:pPr>
        <w:ind w:firstLine="0"/>
      </w:pPr>
      <w:r w:rsidRPr="00B377AC">
        <w:t xml:space="preserve">According to the configuration of the proposed </w:t>
      </w:r>
      <w:r w:rsidR="005D173F" w:rsidRPr="00B377AC">
        <w:t>harvester</w:t>
      </w:r>
      <w:r w:rsidR="0086593B">
        <w:t xml:space="preserve"> (Fig.3 (a))</w:t>
      </w:r>
      <w:r w:rsidRPr="00B377AC">
        <w:t xml:space="preserve">, the gravity of the eccentric mass and the magnetic force between the two magnets provide </w:t>
      </w:r>
      <w:r w:rsidR="005D173F" w:rsidRPr="00B377AC">
        <w:t>restoring</w:t>
      </w:r>
      <w:r w:rsidRPr="00B377AC">
        <w:t xml:space="preserve"> torque for the system. For the </w:t>
      </w:r>
      <w:r w:rsidR="005D173F" w:rsidRPr="00B377AC">
        <w:t>restoring</w:t>
      </w:r>
      <w:r w:rsidRPr="00B377AC">
        <w:t xml:space="preserve"> torque from the gravity of eccentric mass, it can be expressed as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1"/>
        <w:gridCol w:w="1177"/>
      </w:tblGrid>
      <w:tr w:rsidR="0088500A" w:rsidRPr="00B377AC" w14:paraId="5F729D71" w14:textId="77777777" w:rsidTr="005373AA">
        <w:tc>
          <w:tcPr>
            <w:tcW w:w="3546" w:type="pct"/>
            <w:vAlign w:val="center"/>
          </w:tcPr>
          <w:p w14:paraId="67188521" w14:textId="5E05A4CC" w:rsidR="0088500A" w:rsidRPr="00B377AC" w:rsidRDefault="00AB010E" w:rsidP="00B87845">
            <w:pPr>
              <w:spacing w:line="240" w:lineRule="atLeast"/>
              <w:jc w:val="center"/>
              <w:rPr>
                <w:sz w:val="20"/>
                <w:szCs w:val="20"/>
              </w:rPr>
            </w:pPr>
            <m:oMathPara>
              <m:oMath>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g</m:t>
                    </m:r>
                  </m:sub>
                </m:sSub>
                <m:r>
                  <w:rPr>
                    <w:rFonts w:ascii="Cambria Math" w:hAnsi="Cambria Math"/>
                    <w:sz w:val="20"/>
                    <w:szCs w:val="20"/>
                  </w:rPr>
                  <m:t>=</m:t>
                </m:r>
                <m:r>
                  <w:rPr>
                    <w:rFonts w:ascii="Microsoft YaHei" w:eastAsia="Microsoft YaHei" w:hAnsi="Microsoft YaHei" w:cs="Microsoft YaHei"/>
                    <w:sz w:val="20"/>
                    <w:szCs w:val="20"/>
                  </w:rPr>
                  <m:t>-</m:t>
                </m:r>
                <m:r>
                  <w:rPr>
                    <w:rFonts w:ascii="Cambria Math" w:hAnsi="Cambria Math"/>
                    <w:sz w:val="20"/>
                    <w:szCs w:val="20"/>
                  </w:rPr>
                  <m:t>m</m:t>
                </m:r>
                <m:r>
                  <m:rPr>
                    <m:sty m:val="p"/>
                  </m:rPr>
                  <w:rPr>
                    <w:rFonts w:ascii="Cambria Math" w:hAnsi="Cambria Math"/>
                    <w:sz w:val="20"/>
                    <w:szCs w:val="20"/>
                  </w:rPr>
                  <m:t>g</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e</m:t>
                    </m:r>
                  </m:sub>
                </m:sSub>
                <m:r>
                  <m:rPr>
                    <m:sty m:val="p"/>
                  </m:rPr>
                  <w:rPr>
                    <w:rFonts w:ascii="Cambria Math" w:hAnsi="Cambria Math"/>
                    <w:sz w:val="20"/>
                    <w:szCs w:val="20"/>
                  </w:rPr>
                  <m:t>sin⁡</m:t>
                </m:r>
                <m:r>
                  <w:rPr>
                    <w:rFonts w:ascii="Cambria Math" w:hAnsi="Cambria Math"/>
                    <w:sz w:val="20"/>
                    <w:szCs w:val="20"/>
                  </w:rPr>
                  <m:t>(θ)</m:t>
                </m:r>
              </m:oMath>
            </m:oMathPara>
          </w:p>
        </w:tc>
        <w:tc>
          <w:tcPr>
            <w:tcW w:w="727" w:type="pct"/>
            <w:vAlign w:val="center"/>
          </w:tcPr>
          <w:p w14:paraId="32B83268" w14:textId="34529FB0" w:rsidR="0088500A" w:rsidRPr="00B377AC" w:rsidRDefault="0088500A" w:rsidP="00B87845">
            <w:pPr>
              <w:pStyle w:val="Caption"/>
              <w:spacing w:line="240" w:lineRule="atLeast"/>
              <w:jc w:val="right"/>
              <w:rPr>
                <w:rFonts w:ascii="Times New Roman" w:hAnsi="Times New Roman" w:cs="Times New Roman"/>
                <w:sz w:val="20"/>
                <w:szCs w:val="20"/>
              </w:rPr>
            </w:pPr>
            <w:bookmarkStart w:id="5" w:name="_Ref44161848"/>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5"/>
          </w:p>
        </w:tc>
      </w:tr>
    </w:tbl>
    <w:p w14:paraId="4B0ED3D6" w14:textId="3292063D" w:rsidR="0088500A" w:rsidRPr="00B377AC" w:rsidRDefault="001C4E8B" w:rsidP="00B87845">
      <w:pPr>
        <w:ind w:firstLine="0"/>
      </w:pPr>
      <w:r>
        <w:rPr>
          <w:rFonts w:asciiTheme="minorEastAsia" w:eastAsiaTheme="minorEastAsia" w:hAnsiTheme="minorEastAsia" w:hint="eastAsia"/>
          <w:lang w:eastAsia="zh-CN"/>
        </w:rPr>
        <w:t>w</w:t>
      </w:r>
      <w:r w:rsidR="0088500A" w:rsidRPr="00B377AC">
        <w:t xml:space="preserve">here </w:t>
      </w:r>
      <w:r w:rsidR="0088500A" w:rsidRPr="00B377AC">
        <w:rPr>
          <w:i/>
        </w:rPr>
        <w:t>m</w:t>
      </w:r>
      <w:r w:rsidR="0088500A" w:rsidRPr="00B377AC">
        <w:t xml:space="preserve"> is the eccentric mass, including the mass of clump weight and magnet A; g is the earth acceleration; </w:t>
      </w:r>
      <m:oMath>
        <m:sSub>
          <m:sSubPr>
            <m:ctrlPr>
              <w:rPr>
                <w:rFonts w:ascii="Cambria Math" w:hAnsi="Cambria Math"/>
                <w:i/>
              </w:rPr>
            </m:ctrlPr>
          </m:sSubPr>
          <m:e>
            <m:r>
              <w:rPr>
                <w:rFonts w:ascii="Cambria Math" w:hAnsi="Cambria Math"/>
              </w:rPr>
              <m:t>r</m:t>
            </m:r>
          </m:e>
          <m:sub>
            <m:r>
              <m:rPr>
                <m:sty m:val="p"/>
              </m:rPr>
              <w:rPr>
                <w:rFonts w:ascii="Cambria Math" w:hAnsi="Cambria Math"/>
              </w:rPr>
              <m:t>e</m:t>
            </m:r>
          </m:sub>
        </m:sSub>
      </m:oMath>
      <w:r w:rsidR="0088500A" w:rsidRPr="00B377AC">
        <w:t xml:space="preserve"> denotes the distance between the center of gravity of the eccentric mass and the center of rotation; </w:t>
      </w:r>
      <w:r w:rsidR="0088500A" w:rsidRPr="00B377AC">
        <w:rPr>
          <w:i/>
        </w:rPr>
        <w:t>θ</w:t>
      </w:r>
      <w:r w:rsidR="0088500A" w:rsidRPr="00B377AC">
        <w:t xml:space="preserve"> is the angular displacement.</w:t>
      </w:r>
    </w:p>
    <w:p w14:paraId="12E1A624" w14:textId="4107A0A2" w:rsidR="0088500A" w:rsidRPr="00B377AC" w:rsidRDefault="0088500A" w:rsidP="00B87845">
      <w:r w:rsidRPr="00B377AC">
        <w:t xml:space="preserve">The </w:t>
      </w:r>
      <w:r w:rsidR="005D173F" w:rsidRPr="00B377AC">
        <w:t>restoring</w:t>
      </w:r>
      <w:r w:rsidRPr="00B377AC">
        <w:t xml:space="preserve"> torque generated by magnetic force is a bit complicated due to the nonlinearity of the magnetic force. Theoretically, for two given magnets, the magnetic force depends on their relative locations, shown in Fig.3</w:t>
      </w:r>
      <w:r w:rsidR="0086593B">
        <w:t xml:space="preserve"> </w:t>
      </w:r>
      <w:r w:rsidR="0086593B">
        <w:rPr>
          <w:rFonts w:ascii="SimSun" w:eastAsia="SimSun" w:hAnsi="SimSun" w:cs="SimSun"/>
          <w:lang w:eastAsia="zh-CN"/>
        </w:rPr>
        <w:t>(b)</w:t>
      </w:r>
      <w:r w:rsidRPr="00B377AC">
        <w:t xml:space="preserve">. An analytical model of the magnetic force is as follows </w:t>
      </w:r>
      <w:r w:rsidR="00DA62D5" w:rsidRPr="00B377AC">
        <w:rPr>
          <w:rStyle w:val="FootnoteReference"/>
        </w:rPr>
        <w:fldChar w:fldCharType="begin" w:fldLock="1"/>
      </w:r>
      <w:r w:rsidR="007E7CB7">
        <w:instrText>ADDIN CSL_CITATION {"citationItems":[{"id":"ITEM-1","itemData":{"ISBN":"9780470511183","abstract":"Spin Dynamics: Basics of Nuclear Magnetic Resonance, Second Edition is a comprehensive and modern introduction which focuses on those essential principles and concepts needed for a thorough understanding of the subject, rather than the practical aspects. The quantum theory of nuclear magnets is presented within a strong physical framework, supported by figures. The book assumes only a basic knowledge of complex numbers and matrices, and provides the reader with numerous worked examples and exercises to encourage understanding. With the explicit aim of carefully developing the subject from the beginning, the text starts with coverage of quarks and nucleons and progresses through to a detailed explanation of several important NMR experiments, including NMR imaging, COSY, NOESY and TROSY. Completely revised and updated, the Second Edition features new material on the properties and distributions of isotopes, chemical shift anisotropy and quadrupolar interactions, Pake patterns, spin echoes, slice selection in NMR imaging, and a complete new chapter on the NMR spectroscopy of quadrupolar nuclei. New appendices have been included on Euler angles, and coherence selection by field gradients. As in the first edition, all material is heavily supported by graphics, much of which is new to this edition. Written for undergraduates and postgraduate students taking a first course in NMR spectroscopy and for those needing an up-to-date account of the subject, this multi-disciplinary book will appeal to chemical, physical, material, life, medical, earth and environmental scientists. The detailed physical insights will also make the book of interest for experienced spectroscopists and NMR researchers. An accessible and carefully written introduction, designed to help students to fully understand this complex and dynamic subject Takes a multi-disciplinary approach, focusing on basic principles and concepts rather than the more practical aspects Presents a strong pedagogical approach throughout, with emphasis placed on individual spins to aid understanding Includes numerous worked examples, problems, further reading and additional notes Praise from the reviews of the First Edition: \"This is an excellent book... that many teachers of NMR spectroscopy will cherish... It deserves to be a classic among NMR spectroscopy texts.\" NMR IN BIOMEDICINE \"I strongly recommend this book to everyoneit is probably the best modern comprehensive description of the subject.\" ANGEWANDTE CHEM…","author":[{"dropping-particle":"","family":"Levitt","given":"Malcolm H.","non-dropping-particle":"","parse-names":false,"suffix":""}],"container-title":"John Wiley &amp; Sons, Ltd","id":"ITEM-1","issued":{"date-parts":[["2000"]]},"number-of-pages":"724","title":"Spin Dynamics : Basics of Nuclear Magnetic Resonance","type":"book"},"uris":["http://www.mendeley.com/documents/?uuid=f1fa738b-a7be-4f06-80f6-1e2497da2c69"]}],"mendeley":{"formattedCitation":"[22]","plainTextFormattedCitation":"[22]","previouslyFormattedCitation":"(Levitt)"},"properties":{"noteIndex":0},"schema":"https://github.com/citation-style-language/schema/raw/master/csl-citation.json"}</w:instrText>
      </w:r>
      <w:r w:rsidR="00DA62D5" w:rsidRPr="00B377AC">
        <w:rPr>
          <w:rStyle w:val="FootnoteReference"/>
        </w:rPr>
        <w:fldChar w:fldCharType="separate"/>
      </w:r>
      <w:r w:rsidR="007E7CB7" w:rsidRPr="007E7CB7">
        <w:rPr>
          <w:noProof/>
        </w:rPr>
        <w:t>[22]</w:t>
      </w:r>
      <w:r w:rsidR="00DA62D5" w:rsidRPr="00B377AC">
        <w:rPr>
          <w:rStyle w:val="FootnoteReference"/>
        </w:rPr>
        <w:fldChar w:fldCharType="end"/>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97"/>
        <w:gridCol w:w="321"/>
      </w:tblGrid>
      <w:tr w:rsidR="00C04C9F" w:rsidRPr="00B377AC" w14:paraId="18B64596" w14:textId="77777777" w:rsidTr="005373AA">
        <w:tc>
          <w:tcPr>
            <w:tcW w:w="6568" w:type="dxa"/>
            <w:vAlign w:val="center"/>
          </w:tcPr>
          <w:p w14:paraId="75AF6E0B" w14:textId="77777777" w:rsidR="00C04C9F" w:rsidRPr="00B377AC" w:rsidRDefault="00AB010E" w:rsidP="00B87845">
            <w:pPr>
              <w:spacing w:line="240" w:lineRule="atLeast"/>
              <w:jc w:val="left"/>
              <w:rPr>
                <w:sz w:val="20"/>
                <w:szCs w:val="20"/>
              </w:rPr>
            </w:pPr>
            <m:oMathPara>
              <m:oMathParaPr>
                <m:jc m:val="center"/>
              </m:oMathParaPr>
              <m:oMath>
                <m:sSub>
                  <m:sSubPr>
                    <m:ctrlPr>
                      <w:rPr>
                        <w:rFonts w:ascii="Cambria Math" w:hAnsi="Cambria Math"/>
                        <w:sz w:val="20"/>
                        <w:szCs w:val="20"/>
                      </w:rPr>
                    </m:ctrlPr>
                  </m:sSubPr>
                  <m:e>
                    <m:r>
                      <m:rPr>
                        <m:sty m:val="b"/>
                      </m:rPr>
                      <w:rPr>
                        <w:rFonts w:ascii="Cambria Math" w:hAnsi="Cambria Math"/>
                        <w:sz w:val="20"/>
                        <w:szCs w:val="20"/>
                      </w:rPr>
                      <m:t>F</m:t>
                    </m:r>
                  </m:e>
                  <m:sub>
                    <m:r>
                      <m:rPr>
                        <m:sty m:val="p"/>
                      </m:rPr>
                      <w:rPr>
                        <w:rFonts w:ascii="Cambria Math" w:eastAsiaTheme="minorEastAsia" w:hAnsi="Cambria Math"/>
                        <w:sz w:val="20"/>
                        <w:szCs w:val="20"/>
                      </w:rPr>
                      <m:t>mag</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0</m:t>
                        </m:r>
                      </m:sub>
                    </m:sSub>
                    <m:sSub>
                      <m:sSubPr>
                        <m:ctrlPr>
                          <w:rPr>
                            <w:rFonts w:ascii="Cambria Math" w:hAnsi="Cambria Math"/>
                            <w:i/>
                            <w:sz w:val="20"/>
                            <w:szCs w:val="20"/>
                          </w:rPr>
                        </m:ctrlPr>
                      </m:sSubPr>
                      <m:e>
                        <m:r>
                          <w:rPr>
                            <w:rFonts w:ascii="Cambria Math" w:hAnsi="Cambria Math"/>
                            <w:sz w:val="20"/>
                            <w:szCs w:val="20"/>
                          </w:rPr>
                          <m:t>M</m:t>
                        </m:r>
                      </m:e>
                      <m:sub>
                        <m:r>
                          <m:rPr>
                            <m:sty m:val="p"/>
                          </m:rPr>
                          <w:rPr>
                            <w:rFonts w:ascii="Cambria Math" w:hAnsi="Cambria Math"/>
                            <w:sz w:val="20"/>
                            <w:szCs w:val="20"/>
                          </w:rPr>
                          <m:t>A</m:t>
                        </m:r>
                      </m:sub>
                    </m:sSub>
                    <m:sSub>
                      <m:sSubPr>
                        <m:ctrlPr>
                          <w:rPr>
                            <w:rFonts w:ascii="Cambria Math" w:hAnsi="Cambria Math"/>
                            <w:i/>
                            <w:sz w:val="20"/>
                            <w:szCs w:val="20"/>
                          </w:rPr>
                        </m:ctrlPr>
                      </m:sSubPr>
                      <m:e>
                        <m:r>
                          <w:rPr>
                            <w:rFonts w:ascii="Cambria Math" w:hAnsi="Cambria Math"/>
                            <w:sz w:val="20"/>
                            <w:szCs w:val="20"/>
                          </w:rPr>
                          <m:t>M</m:t>
                        </m:r>
                      </m:e>
                      <m:sub>
                        <m:r>
                          <m:rPr>
                            <m:sty m:val="p"/>
                          </m:rPr>
                          <w:rPr>
                            <w:rFonts w:ascii="Cambria Math" w:hAnsi="Cambria Math"/>
                            <w:sz w:val="20"/>
                            <w:szCs w:val="20"/>
                          </w:rPr>
                          <m:t>B</m:t>
                        </m:r>
                      </m:sub>
                    </m:sSub>
                  </m:num>
                  <m:den>
                    <m:r>
                      <w:rPr>
                        <w:rFonts w:ascii="Cambria Math" w:hAnsi="Cambria Math"/>
                        <w:sz w:val="20"/>
                        <w:szCs w:val="20"/>
                      </w:rPr>
                      <m:t>4π</m:t>
                    </m:r>
                    <m:sSubSup>
                      <m:sSubSupPr>
                        <m:ctrlPr>
                          <w:rPr>
                            <w:rFonts w:ascii="Cambria Math" w:hAnsi="Cambria Math"/>
                            <w:i/>
                            <w:sz w:val="20"/>
                            <w:szCs w:val="20"/>
                          </w:rPr>
                        </m:ctrlPr>
                      </m:sSubSupPr>
                      <m:e>
                        <m:r>
                          <w:rPr>
                            <w:rFonts w:ascii="Cambria Math" w:hAnsi="Cambria Math"/>
                            <w:sz w:val="20"/>
                            <w:szCs w:val="20"/>
                          </w:rPr>
                          <m:t>r</m:t>
                        </m:r>
                      </m:e>
                      <m:sub>
                        <m:r>
                          <m:rPr>
                            <m:sty m:val="p"/>
                          </m:rPr>
                          <w:rPr>
                            <w:rFonts w:ascii="Cambria Math" w:hAnsi="Cambria Math"/>
                            <w:sz w:val="20"/>
                            <w:szCs w:val="20"/>
                          </w:rPr>
                          <m:t>AB</m:t>
                        </m:r>
                      </m:sub>
                      <m:sup>
                        <m:r>
                          <w:rPr>
                            <w:rFonts w:ascii="Cambria Math" w:hAnsi="Cambria Math"/>
                            <w:sz w:val="20"/>
                            <w:szCs w:val="20"/>
                          </w:rPr>
                          <m:t>4</m:t>
                        </m:r>
                      </m:sup>
                    </m:sSubSup>
                  </m:den>
                </m:f>
                <m:r>
                  <w:rPr>
                    <w:rFonts w:ascii="Cambria Math" w:hAnsi="Cambria Math"/>
                    <w:sz w:val="20"/>
                    <w:szCs w:val="20"/>
                  </w:rPr>
                  <m:t>[</m:t>
                </m:r>
                <m:func>
                  <m:funcPr>
                    <m:ctrlPr>
                      <w:rPr>
                        <w:rFonts w:ascii="Cambria Math" w:hAnsi="Cambria Math"/>
                        <w:sz w:val="20"/>
                        <w:szCs w:val="20"/>
                      </w:rPr>
                    </m:ctrlPr>
                  </m:funcPr>
                  <m:fName>
                    <m:sSub>
                      <m:sSubPr>
                        <m:ctrlPr>
                          <w:rPr>
                            <w:rFonts w:ascii="Cambria Math" w:hAnsi="Cambria Math"/>
                            <w:sz w:val="20"/>
                            <w:szCs w:val="20"/>
                          </w:rPr>
                        </m:ctrlPr>
                      </m:sSubPr>
                      <m:e>
                        <m:r>
                          <m:rPr>
                            <m:sty m:val="b"/>
                          </m:rPr>
                          <w:rPr>
                            <w:rFonts w:ascii="Cambria Math" w:hAnsi="Cambria Math"/>
                            <w:sz w:val="20"/>
                            <w:szCs w:val="20"/>
                          </w:rPr>
                          <m:t>e</m:t>
                        </m:r>
                      </m:e>
                      <m:sub>
                        <m:r>
                          <m:rPr>
                            <m:sty m:val="p"/>
                          </m:rPr>
                          <w:rPr>
                            <w:rFonts w:ascii="Cambria Math" w:hAnsi="Cambria Math"/>
                            <w:sz w:val="20"/>
                            <w:szCs w:val="20"/>
                          </w:rPr>
                          <m:t>A</m:t>
                        </m:r>
                      </m:sub>
                    </m:sSub>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α</m:t>
                        </m:r>
                      </m:e>
                    </m:d>
                  </m:e>
                </m:func>
                <m:r>
                  <w:rPr>
                    <w:rFonts w:ascii="Cambria Math" w:hAnsi="Cambria Math"/>
                    <w:sz w:val="20"/>
                    <w:szCs w:val="20"/>
                  </w:rPr>
                  <m:t>+</m:t>
                </m:r>
                <m:sSub>
                  <m:sSubPr>
                    <m:ctrlPr>
                      <w:rPr>
                        <w:rFonts w:ascii="Cambria Math" w:hAnsi="Cambria Math"/>
                        <w:sz w:val="20"/>
                        <w:szCs w:val="20"/>
                      </w:rPr>
                    </m:ctrlPr>
                  </m:sSubPr>
                  <m:e>
                    <m:r>
                      <m:rPr>
                        <m:sty m:val="b"/>
                      </m:rPr>
                      <w:rPr>
                        <w:rFonts w:ascii="Cambria Math" w:hAnsi="Cambria Math"/>
                        <w:sz w:val="20"/>
                        <w:szCs w:val="20"/>
                      </w:rPr>
                      <m:t>e</m:t>
                    </m:r>
                  </m:e>
                  <m:sub>
                    <m:r>
                      <m:rPr>
                        <m:sty m:val="p"/>
                      </m:rPr>
                      <w:rPr>
                        <w:rFonts w:ascii="Cambria Math" w:hAnsi="Cambria Math"/>
                        <w:sz w:val="20"/>
                        <w:szCs w:val="20"/>
                      </w:rPr>
                      <m:t>B</m:t>
                    </m:r>
                  </m:sub>
                </m:sSub>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α+θ</m:t>
                        </m:r>
                      </m:e>
                    </m:d>
                  </m:e>
                </m:func>
                <m:r>
                  <w:rPr>
                    <w:rFonts w:ascii="Cambria Math" w:eastAsiaTheme="minorEastAsia" w:hAnsi="Cambria Math"/>
                    <w:sz w:val="20"/>
                    <w:szCs w:val="20"/>
                  </w:rPr>
                  <m:t>+2</m:t>
                </m:r>
                <m:sSub>
                  <m:sSubPr>
                    <m:ctrlPr>
                      <w:rPr>
                        <w:rFonts w:ascii="Cambria Math" w:hAnsi="Cambria Math"/>
                        <w:sz w:val="20"/>
                        <w:szCs w:val="20"/>
                      </w:rPr>
                    </m:ctrlPr>
                  </m:sSubPr>
                  <m:e>
                    <m:r>
                      <m:rPr>
                        <m:sty m:val="b"/>
                      </m:rPr>
                      <w:rPr>
                        <w:rFonts w:ascii="Cambria Math" w:hAnsi="Cambria Math"/>
                        <w:sz w:val="20"/>
                        <w:szCs w:val="20"/>
                      </w:rPr>
                      <m:t>e</m:t>
                    </m:r>
                  </m:e>
                  <m:sub>
                    <m:r>
                      <m:rPr>
                        <m:sty m:val="p"/>
                      </m:rPr>
                      <w:rPr>
                        <w:rFonts w:ascii="Cambria Math" w:hAnsi="Cambria Math"/>
                        <w:sz w:val="20"/>
                        <w:szCs w:val="20"/>
                      </w:rPr>
                      <m:t>r</m:t>
                    </m:r>
                  </m:sub>
                </m:sSub>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α</m:t>
                        </m:r>
                      </m:e>
                    </m:d>
                  </m:e>
                </m:func>
                <m:r>
                  <w:rPr>
                    <w:rFonts w:ascii="Cambria Math" w:hAnsi="Cambria Math"/>
                    <w:sz w:val="20"/>
                    <w:szCs w:val="20"/>
                  </w:rPr>
                  <m:t>-</m:t>
                </m:r>
                <m:r>
                  <w:rPr>
                    <w:rFonts w:ascii="Cambria Math" w:eastAsiaTheme="minorEastAsia" w:hAnsi="Cambria Math"/>
                    <w:sz w:val="20"/>
                    <w:szCs w:val="20"/>
                  </w:rPr>
                  <m:t>5</m:t>
                </m:r>
                <m:sSub>
                  <m:sSubPr>
                    <m:ctrlPr>
                      <w:rPr>
                        <w:rFonts w:ascii="Cambria Math" w:hAnsi="Cambria Math"/>
                        <w:sz w:val="20"/>
                        <w:szCs w:val="20"/>
                      </w:rPr>
                    </m:ctrlPr>
                  </m:sSubPr>
                  <m:e>
                    <m:r>
                      <m:rPr>
                        <m:sty m:val="b"/>
                      </m:rPr>
                      <w:rPr>
                        <w:rFonts w:ascii="Cambria Math" w:hAnsi="Cambria Math"/>
                        <w:sz w:val="20"/>
                        <w:szCs w:val="20"/>
                      </w:rPr>
                      <m:t>e</m:t>
                    </m:r>
                  </m:e>
                  <m:sub>
                    <m:r>
                      <m:rPr>
                        <m:sty m:val="p"/>
                      </m:rPr>
                      <w:rPr>
                        <w:rFonts w:ascii="Cambria Math" w:hAnsi="Cambria Math"/>
                        <w:sz w:val="20"/>
                        <w:szCs w:val="20"/>
                      </w:rPr>
                      <m:t>r</m:t>
                    </m:r>
                  </m:sub>
                </m:sSub>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α</m:t>
                        </m:r>
                      </m:e>
                    </m:d>
                    <m:r>
                      <m:rPr>
                        <m:sty m:val="p"/>
                      </m:rPr>
                      <w:rPr>
                        <w:rFonts w:ascii="Cambria Math" w:hAnsi="Cambria Math"/>
                        <w:sz w:val="20"/>
                        <w:szCs w:val="20"/>
                      </w:rPr>
                      <m:t>sin⁡</m:t>
                    </m:r>
                    <m:r>
                      <w:rPr>
                        <w:rFonts w:ascii="Cambria Math" w:hAnsi="Cambria Math"/>
                        <w:sz w:val="20"/>
                        <w:szCs w:val="20"/>
                      </w:rPr>
                      <m:t>(α</m:t>
                    </m:r>
                    <m:r>
                      <w:rPr>
                        <w:rFonts w:ascii="Cambria Math" w:eastAsiaTheme="minorEastAsia" w:hAnsi="Cambria Math"/>
                        <w:sz w:val="20"/>
                        <w:szCs w:val="20"/>
                      </w:rPr>
                      <m:t>+</m:t>
                    </m:r>
                    <m:r>
                      <w:rPr>
                        <w:rFonts w:ascii="Cambria Math" w:hAnsi="Cambria Math"/>
                        <w:sz w:val="20"/>
                        <w:szCs w:val="20"/>
                      </w:rPr>
                      <m:t>θ)</m:t>
                    </m:r>
                  </m:e>
                </m:func>
                <m:r>
                  <w:rPr>
                    <w:rFonts w:ascii="Cambria Math" w:hAnsi="Cambria Math"/>
                    <w:sz w:val="20"/>
                    <w:szCs w:val="20"/>
                  </w:rPr>
                  <m:t>]</m:t>
                </m:r>
              </m:oMath>
            </m:oMathPara>
          </w:p>
        </w:tc>
        <w:tc>
          <w:tcPr>
            <w:tcW w:w="320" w:type="dxa"/>
            <w:vAlign w:val="center"/>
          </w:tcPr>
          <w:p w14:paraId="661D9A53" w14:textId="28A5FFB9" w:rsidR="00C04C9F" w:rsidRPr="00B377AC" w:rsidRDefault="00C04C9F" w:rsidP="00B87845">
            <w:pPr>
              <w:pStyle w:val="Caption"/>
              <w:spacing w:line="240" w:lineRule="atLeast"/>
              <w:jc w:val="right"/>
              <w:rPr>
                <w:rFonts w:ascii="Times New Roman" w:hAnsi="Times New Roman" w:cs="Times New Roman"/>
                <w:sz w:val="20"/>
                <w:szCs w:val="20"/>
              </w:rPr>
            </w:pPr>
            <w:bookmarkStart w:id="6" w:name="_Ref44173885"/>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2</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6"/>
          </w:p>
        </w:tc>
      </w:tr>
    </w:tbl>
    <w:p w14:paraId="23984065" w14:textId="29EE34C9" w:rsidR="0088500A" w:rsidRPr="00B377AC" w:rsidRDefault="0088500A" w:rsidP="00B87845">
      <w:pPr>
        <w:ind w:firstLine="0"/>
      </w:pPr>
      <w:r w:rsidRPr="00B377AC">
        <w:t xml:space="preserve">where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00C04C9F" w:rsidRPr="00B377AC">
        <w:t xml:space="preserve"> </w:t>
      </w:r>
      <w:r w:rsidRPr="00B377AC">
        <w:t>is the vacuum permeability (</w:t>
      </w:r>
      <m:oMath>
        <m:r>
          <m:rPr>
            <m:sty m:val="p"/>
          </m:rPr>
          <w:rPr>
            <w:rFonts w:ascii="Cambria Math" w:hAnsi="Cambria Math"/>
          </w:rPr>
          <m:t>4π×</m:t>
        </m:r>
        <m:sSup>
          <m:sSupPr>
            <m:ctrlPr>
              <w:rPr>
                <w:rFonts w:ascii="Cambria Math" w:hAnsi="Cambria Math"/>
              </w:rPr>
            </m:ctrlPr>
          </m:sSupPr>
          <m:e>
            <m:r>
              <w:rPr>
                <w:rFonts w:ascii="Cambria Math" w:hAnsi="Cambria Math"/>
              </w:rPr>
              <m:t>10</m:t>
            </m:r>
          </m:e>
          <m:sup>
            <m:r>
              <w:rPr>
                <w:rFonts w:ascii="Cambria Math" w:hAnsi="Cambria Math"/>
              </w:rPr>
              <m:t>-7</m:t>
            </m:r>
          </m:sup>
        </m:sSup>
      </m:oMath>
      <w:r w:rsidRPr="00B377AC">
        <w:t xml:space="preserve">), </w:t>
      </w:r>
      <m:oMath>
        <m:sSub>
          <m:sSubPr>
            <m:ctrlPr>
              <w:rPr>
                <w:rFonts w:ascii="Cambria Math" w:hAnsi="Cambria Math"/>
                <w:i/>
              </w:rPr>
            </m:ctrlPr>
          </m:sSubPr>
          <m:e>
            <m:r>
              <w:rPr>
                <w:rFonts w:ascii="Cambria Math" w:hAnsi="Cambria Math"/>
              </w:rPr>
              <m:t>M</m:t>
            </m:r>
          </m:e>
          <m:sub>
            <m:r>
              <m:rPr>
                <m:sty m:val="p"/>
              </m:rPr>
              <w:rPr>
                <w:rFonts w:ascii="Cambria Math" w:hAnsi="Cambria Math"/>
              </w:rPr>
              <m:t>A</m:t>
            </m:r>
          </m:sub>
        </m:sSub>
      </m:oMath>
      <w:r w:rsidR="00C04C9F" w:rsidRPr="00B377AC">
        <w:t xml:space="preserve"> and </w:t>
      </w:r>
      <m:oMath>
        <m:sSub>
          <m:sSubPr>
            <m:ctrlPr>
              <w:rPr>
                <w:rFonts w:ascii="Cambria Math" w:hAnsi="Cambria Math"/>
                <w:i/>
              </w:rPr>
            </m:ctrlPr>
          </m:sSubPr>
          <m:e>
            <m:r>
              <w:rPr>
                <w:rFonts w:ascii="Cambria Math" w:hAnsi="Cambria Math"/>
              </w:rPr>
              <m:t>M</m:t>
            </m:r>
          </m:e>
          <m:sub>
            <m:r>
              <m:rPr>
                <m:sty m:val="p"/>
              </m:rPr>
              <w:rPr>
                <w:rFonts w:ascii="Cambria Math" w:hAnsi="Cambria Math"/>
              </w:rPr>
              <m:t>B</m:t>
            </m:r>
          </m:sub>
        </m:sSub>
      </m:oMath>
      <w:r w:rsidR="00C04C9F" w:rsidRPr="00B377AC">
        <w:t xml:space="preserve"> </w:t>
      </w:r>
      <w:r w:rsidRPr="00B377AC">
        <w:t xml:space="preserve">are the magnetic dipole moment of magnet A and magnet B.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A</m:t>
            </m:r>
          </m:sub>
        </m:sSub>
      </m:oMath>
      <w:r w:rsidR="00C04C9F" w:rsidRPr="00B377AC">
        <w:t xml:space="preserve">,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B</m:t>
            </m:r>
          </m:sub>
        </m:sSub>
      </m:oMath>
      <w:r w:rsidR="00C04C9F" w:rsidRPr="00B377AC">
        <w:t xml:space="preserve"> and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r</m:t>
            </m:r>
          </m:sub>
        </m:sSub>
      </m:oMath>
      <w:r w:rsidR="00C04C9F" w:rsidRPr="00B377AC">
        <w:t xml:space="preserve"> </w:t>
      </w:r>
      <w:r w:rsidRPr="00B377AC">
        <w:t xml:space="preserve">are the unit vectors, whose </w:t>
      </w:r>
      <w:r w:rsidRPr="00B377AC">
        <w:lastRenderedPageBreak/>
        <w:t>directions are illustrated in Fig.3</w:t>
      </w:r>
      <w:r w:rsidR="0086593B">
        <w:t xml:space="preserve"> (b)</w:t>
      </w:r>
      <w:r w:rsidRPr="00B377AC">
        <w:t xml:space="preserve">.  </w:t>
      </w:r>
      <m:oMath>
        <m:sSub>
          <m:sSubPr>
            <m:ctrlPr>
              <w:rPr>
                <w:rFonts w:ascii="Cambria Math" w:hAnsi="Cambria Math"/>
              </w:rPr>
            </m:ctrlPr>
          </m:sSubPr>
          <m:e>
            <m:r>
              <w:rPr>
                <w:rFonts w:ascii="Cambria Math" w:hAnsi="Cambria Math"/>
              </w:rPr>
              <m:t>r</m:t>
            </m:r>
          </m:e>
          <m:sub>
            <m:r>
              <m:rPr>
                <m:sty m:val="p"/>
              </m:rPr>
              <w:rPr>
                <w:rFonts w:ascii="Cambria Math" w:hAnsi="Cambria Math"/>
              </w:rPr>
              <m:t>AB</m:t>
            </m:r>
          </m:sub>
        </m:sSub>
      </m:oMath>
      <w:r w:rsidR="00C04C9F" w:rsidRPr="00B377AC">
        <w:t xml:space="preserve"> </w:t>
      </w:r>
      <w:r w:rsidRPr="00B377AC">
        <w:t xml:space="preserve">represents the distance between the </w:t>
      </w:r>
      <w:proofErr w:type="spellStart"/>
      <w:r w:rsidR="00B377AC" w:rsidRPr="00B377AC">
        <w:t>centres</w:t>
      </w:r>
      <w:proofErr w:type="spellEnd"/>
      <w:r w:rsidRPr="00B377AC">
        <w:t xml:space="preserve"> of the two magnets, which is expressed as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C04C9F" w:rsidRPr="00B377AC" w14:paraId="09E57B2E" w14:textId="77777777" w:rsidTr="005373AA">
        <w:tc>
          <w:tcPr>
            <w:tcW w:w="727" w:type="pct"/>
            <w:vAlign w:val="center"/>
          </w:tcPr>
          <w:p w14:paraId="22EB1F4F" w14:textId="77777777" w:rsidR="00C04C9F" w:rsidRPr="00B377AC" w:rsidRDefault="00C04C9F" w:rsidP="00B87845">
            <w:pPr>
              <w:spacing w:line="240" w:lineRule="atLeast"/>
              <w:rPr>
                <w:sz w:val="20"/>
                <w:szCs w:val="20"/>
              </w:rPr>
            </w:pPr>
          </w:p>
        </w:tc>
        <w:tc>
          <w:tcPr>
            <w:tcW w:w="3546" w:type="pct"/>
            <w:vAlign w:val="center"/>
          </w:tcPr>
          <w:p w14:paraId="311CF184" w14:textId="2E410487" w:rsidR="00C04C9F" w:rsidRPr="00B377AC" w:rsidRDefault="00AB010E" w:rsidP="00B87845">
            <w:pPr>
              <w:spacing w:line="240" w:lineRule="atLeast"/>
              <w:jc w:val="center"/>
              <w:rPr>
                <w:sz w:val="20"/>
                <w:szCs w:val="20"/>
              </w:rPr>
            </w:pPr>
            <m:oMathPara>
              <m:oMath>
                <m:sSub>
                  <m:sSubPr>
                    <m:ctrlPr>
                      <w:rPr>
                        <w:rFonts w:ascii="Cambria Math" w:hAnsi="Cambria Math"/>
                        <w:sz w:val="20"/>
                        <w:szCs w:val="20"/>
                      </w:rPr>
                    </m:ctrlPr>
                  </m:sSubPr>
                  <m:e>
                    <m:r>
                      <w:rPr>
                        <w:rFonts w:ascii="Cambria Math" w:hAnsi="Cambria Math"/>
                        <w:sz w:val="20"/>
                        <w:szCs w:val="20"/>
                      </w:rPr>
                      <m:t>r</m:t>
                    </m:r>
                  </m:e>
                  <m:sub>
                    <m:r>
                      <m:rPr>
                        <m:sty m:val="p"/>
                      </m:rPr>
                      <w:rPr>
                        <w:rFonts w:ascii="Cambria Math" w:hAnsi="Cambria Math"/>
                        <w:sz w:val="20"/>
                        <w:szCs w:val="20"/>
                      </w:rPr>
                      <m:t>AB</m:t>
                    </m:r>
                  </m:sub>
                </m:sSub>
                <m:r>
                  <w:rPr>
                    <w:rFonts w:ascii="Cambria Math" w:hAnsi="Cambria Math"/>
                    <w:sz w:val="20"/>
                    <w:szCs w:val="20"/>
                  </w:rPr>
                  <m:t>=</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θ</m:t>
                                </m:r>
                              </m:e>
                            </m:d>
                          </m:e>
                        </m:func>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r>
                              <w:rPr>
                                <w:rFonts w:ascii="Cambria Math" w:hAnsi="Cambria Math"/>
                                <w:sz w:val="20"/>
                                <w:szCs w:val="20"/>
                              </w:rPr>
                              <m:t>+s-</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θ</m:t>
                                    </m:r>
                                  </m:e>
                                </m:d>
                              </m:e>
                            </m:func>
                          </m:e>
                        </m:d>
                      </m:e>
                      <m:sup>
                        <m:r>
                          <w:rPr>
                            <w:rFonts w:ascii="Cambria Math" w:hAnsi="Cambria Math"/>
                            <w:sz w:val="20"/>
                            <w:szCs w:val="20"/>
                          </w:rPr>
                          <m:t>2</m:t>
                        </m:r>
                      </m:sup>
                    </m:sSup>
                  </m:e>
                </m:rad>
              </m:oMath>
            </m:oMathPara>
          </w:p>
        </w:tc>
        <w:tc>
          <w:tcPr>
            <w:tcW w:w="727" w:type="pct"/>
            <w:vAlign w:val="center"/>
          </w:tcPr>
          <w:p w14:paraId="3E6A2A4C" w14:textId="4240C33F" w:rsidR="00C04C9F" w:rsidRPr="00B377AC" w:rsidRDefault="00C04C9F" w:rsidP="00B87845">
            <w:pPr>
              <w:pStyle w:val="Caption"/>
              <w:spacing w:line="240" w:lineRule="atLeast"/>
              <w:jc w:val="right"/>
              <w:rPr>
                <w:rFonts w:ascii="Times New Roman" w:hAnsi="Times New Roman" w:cs="Times New Roman"/>
                <w:sz w:val="20"/>
                <w:szCs w:val="20"/>
              </w:rPr>
            </w:pPr>
            <w:bookmarkStart w:id="7" w:name="_Ref46932110"/>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3</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7"/>
          </w:p>
        </w:tc>
      </w:tr>
    </w:tbl>
    <w:p w14:paraId="43B357D2" w14:textId="262166FA" w:rsidR="0088500A" w:rsidRPr="00B377AC" w:rsidRDefault="00C04C9F" w:rsidP="00B87845">
      <w:pPr>
        <w:ind w:firstLine="0"/>
      </w:pPr>
      <m:oMath>
        <m:r>
          <w:rPr>
            <w:rFonts w:ascii="Cambria Math" w:hAnsi="Cambria Math"/>
          </w:rPr>
          <m:t>α</m:t>
        </m:r>
      </m:oMath>
      <w:r w:rsidR="0088500A" w:rsidRPr="00B377AC">
        <w:t xml:space="preserve"> is an angle between the vector </w:t>
      </w:r>
      <m:oMath>
        <m:sSub>
          <m:sSubPr>
            <m:ctrlPr>
              <w:rPr>
                <w:rFonts w:ascii="Cambria Math" w:hAnsi="Cambria Math"/>
              </w:rPr>
            </m:ctrlPr>
          </m:sSubPr>
          <m:e>
            <m:r>
              <m:rPr>
                <m:sty m:val="b"/>
              </m:rPr>
              <w:rPr>
                <w:rFonts w:ascii="Cambria Math" w:hAnsi="Cambria Math"/>
              </w:rPr>
              <m:t>e</m:t>
            </m:r>
          </m:e>
          <m:sub>
            <m:r>
              <m:rPr>
                <m:sty m:val="p"/>
              </m:rPr>
              <w:rPr>
                <w:rFonts w:ascii="Cambria Math" w:hAnsi="Cambria Math"/>
              </w:rPr>
              <m:t>r</m:t>
            </m:r>
          </m:sub>
        </m:sSub>
      </m:oMath>
      <w:r w:rsidR="0088500A" w:rsidRPr="00B377AC">
        <w:t xml:space="preserve"> and </w:t>
      </w:r>
      <w:r w:rsidR="00B377AC">
        <w:t>the vertical dashed</w:t>
      </w:r>
      <w:r w:rsidR="00B377AC" w:rsidRPr="00B377AC">
        <w:t xml:space="preserve"> </w:t>
      </w:r>
      <w:r w:rsidR="0088500A" w:rsidRPr="00B377AC">
        <w:t>line, which can be obtained by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C04C9F" w:rsidRPr="00B377AC" w14:paraId="44D080CD" w14:textId="77777777" w:rsidTr="005373AA">
        <w:tc>
          <w:tcPr>
            <w:tcW w:w="727" w:type="pct"/>
            <w:vAlign w:val="center"/>
          </w:tcPr>
          <w:p w14:paraId="523CF166" w14:textId="77777777" w:rsidR="00C04C9F" w:rsidRPr="00B377AC" w:rsidRDefault="00C04C9F" w:rsidP="00B87845">
            <w:pPr>
              <w:spacing w:line="240" w:lineRule="atLeast"/>
              <w:rPr>
                <w:sz w:val="20"/>
                <w:szCs w:val="20"/>
              </w:rPr>
            </w:pPr>
            <w:bookmarkStart w:id="8" w:name="_Hlk61867639"/>
          </w:p>
        </w:tc>
        <w:tc>
          <w:tcPr>
            <w:tcW w:w="3546" w:type="pct"/>
            <w:vAlign w:val="center"/>
          </w:tcPr>
          <w:p w14:paraId="0705B54B" w14:textId="0E70D114" w:rsidR="00C04C9F" w:rsidRPr="00B377AC" w:rsidRDefault="00A65F63" w:rsidP="00B87845">
            <w:pPr>
              <w:spacing w:line="240" w:lineRule="atLeast"/>
              <w:jc w:val="center"/>
              <w:rPr>
                <w:sz w:val="20"/>
                <w:szCs w:val="20"/>
              </w:rPr>
            </w:pPr>
            <m:oMathPara>
              <m:oMath>
                <m:r>
                  <w:rPr>
                    <w:rFonts w:ascii="Cambria Math" w:hAnsi="Cambria Math"/>
                    <w:color w:val="000000" w:themeColor="text1"/>
                    <w:sz w:val="20"/>
                    <w:szCs w:val="20"/>
                  </w:rPr>
                  <m:t>α</m:t>
                </m:r>
                <m:r>
                  <m:rPr>
                    <m:sty m:val="p"/>
                  </m:rPr>
                  <w:rPr>
                    <w:rFonts w:ascii="Cambria Math" w:hAnsi="Cambria Math"/>
                    <w:sz w:val="20"/>
                    <w:szCs w:val="20"/>
                  </w:rPr>
                  <m:t>=argtan(</m:t>
                </m:r>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θ</m:t>
                            </m:r>
                          </m:e>
                        </m:d>
                      </m:e>
                    </m:func>
                  </m:num>
                  <m:den>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r>
                      <w:rPr>
                        <w:rFonts w:ascii="Cambria Math" w:hAnsi="Cambria Math"/>
                        <w:sz w:val="20"/>
                        <w:szCs w:val="20"/>
                      </w:rPr>
                      <m:t>+</m:t>
                    </m:r>
                    <w:bookmarkStart w:id="9" w:name="OLE_LINK2"/>
                    <w:bookmarkStart w:id="10" w:name="OLE_LINK3"/>
                    <m:r>
                      <w:rPr>
                        <w:rFonts w:ascii="Cambria Math" w:hAnsi="Cambria Math"/>
                        <w:sz w:val="20"/>
                        <w:szCs w:val="20"/>
                      </w:rPr>
                      <m:t>s</m:t>
                    </m:r>
                    <w:bookmarkEnd w:id="9"/>
                    <w:bookmarkEnd w:id="10"/>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θ</m:t>
                            </m:r>
                          </m:e>
                        </m:d>
                      </m:e>
                    </m:func>
                  </m:den>
                </m:f>
                <m:r>
                  <m:rPr>
                    <m:sty m:val="p"/>
                  </m:rPr>
                  <w:rPr>
                    <w:rFonts w:ascii="Cambria Math" w:hAnsi="Cambria Math"/>
                    <w:sz w:val="20"/>
                    <w:szCs w:val="20"/>
                  </w:rPr>
                  <m:t>)</m:t>
                </m:r>
              </m:oMath>
            </m:oMathPara>
          </w:p>
        </w:tc>
        <w:tc>
          <w:tcPr>
            <w:tcW w:w="727" w:type="pct"/>
            <w:vAlign w:val="center"/>
          </w:tcPr>
          <w:p w14:paraId="0108AC8E" w14:textId="3C26370D" w:rsidR="00C04C9F" w:rsidRPr="00B377AC" w:rsidRDefault="00C04C9F" w:rsidP="00B87845">
            <w:pPr>
              <w:pStyle w:val="Caption"/>
              <w:spacing w:line="240" w:lineRule="atLeast"/>
              <w:jc w:val="right"/>
              <w:rPr>
                <w:rFonts w:ascii="Times New Roman" w:hAnsi="Times New Roman" w:cs="Times New Roman"/>
                <w:sz w:val="20"/>
                <w:szCs w:val="20"/>
              </w:rPr>
            </w:pPr>
            <w:bookmarkStart w:id="11" w:name="_Ref44082918"/>
            <w:r w:rsidRPr="00B377AC">
              <w:rPr>
                <w:rFonts w:ascii="Times New Roman" w:hAnsi="Times New Roman" w:cs="Times New Roman"/>
                <w:sz w:val="20"/>
                <w:szCs w:val="20"/>
              </w:rPr>
              <w:t xml:space="preserve">       (</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4</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11"/>
          </w:p>
        </w:tc>
      </w:tr>
    </w:tbl>
    <w:bookmarkEnd w:id="8"/>
    <w:p w14:paraId="0DEA21AD" w14:textId="1A65EF1E" w:rsidR="0088500A" w:rsidRPr="00B377AC" w:rsidRDefault="0088500A" w:rsidP="00B87845">
      <w:pPr>
        <w:ind w:firstLine="0"/>
      </w:pPr>
      <w:r w:rsidRPr="00B377AC">
        <w:t xml:space="preserve">in which </w:t>
      </w:r>
      <m:oMath>
        <m:sSub>
          <m:sSubPr>
            <m:ctrlPr>
              <w:rPr>
                <w:rFonts w:ascii="Cambria Math" w:hAnsi="Cambria Math"/>
                <w:i/>
              </w:rPr>
            </m:ctrlPr>
          </m:sSubPr>
          <m:e>
            <m:r>
              <w:rPr>
                <w:rFonts w:ascii="Cambria Math" w:hAnsi="Cambria Math"/>
              </w:rPr>
              <m:t>r</m:t>
            </m:r>
          </m:e>
          <m:sub>
            <m:r>
              <m:rPr>
                <m:sty m:val="p"/>
              </m:rPr>
              <w:rPr>
                <w:rFonts w:ascii="Cambria Math" w:hAnsi="Cambria Math"/>
              </w:rPr>
              <m:t>m</m:t>
            </m:r>
          </m:sub>
        </m:sSub>
      </m:oMath>
      <w:r w:rsidRPr="00B377AC">
        <w:t xml:space="preserve"> is the distance between the </w:t>
      </w:r>
      <w:proofErr w:type="spellStart"/>
      <w:r w:rsidR="00B377AC" w:rsidRPr="00B377AC">
        <w:t>centre</w:t>
      </w:r>
      <w:proofErr w:type="spellEnd"/>
      <w:r w:rsidRPr="00B377AC">
        <w:t xml:space="preserve"> of magnet A and rotation </w:t>
      </w:r>
      <w:proofErr w:type="spellStart"/>
      <w:r w:rsidR="00B377AC" w:rsidRPr="00B377AC">
        <w:t>centre</w:t>
      </w:r>
      <w:proofErr w:type="spellEnd"/>
      <w:r w:rsidRPr="00B377AC">
        <w:t xml:space="preserve">. </w:t>
      </w:r>
      <m:oMath>
        <m:r>
          <w:rPr>
            <w:rFonts w:ascii="Cambria Math" w:hAnsi="Cambria Math"/>
          </w:rPr>
          <m:t>s</m:t>
        </m:r>
      </m:oMath>
      <w:r w:rsidRPr="00B377AC">
        <w:t xml:space="preserve"> denotes the </w:t>
      </w:r>
      <w:r w:rsidR="00C04C9F" w:rsidRPr="00B377AC">
        <w:t xml:space="preserve">gap </w:t>
      </w:r>
      <w:r w:rsidRPr="00B377AC">
        <w:t xml:space="preserve">distance between the </w:t>
      </w:r>
      <w:proofErr w:type="spellStart"/>
      <w:r w:rsidR="00B377AC" w:rsidRPr="00B377AC">
        <w:t>centres</w:t>
      </w:r>
      <w:proofErr w:type="spellEnd"/>
      <w:r w:rsidRPr="00B377AC">
        <w:t xml:space="preserve"> of magnet A and magnet B when the magnet A is at the lowest position.</w:t>
      </w:r>
    </w:p>
    <w:p w14:paraId="6A1AA9AF" w14:textId="77777777" w:rsidR="00984F98" w:rsidRPr="00B377AC" w:rsidRDefault="00984F98" w:rsidP="00984F98">
      <w:pPr>
        <w:ind w:firstLine="0"/>
        <w:jc w:val="center"/>
      </w:pPr>
      <w:r w:rsidRPr="00B377AC">
        <w:rPr>
          <w:noProof/>
        </w:rPr>
        <w:drawing>
          <wp:inline distT="0" distB="0" distL="0" distR="0" wp14:anchorId="680A5E5F" wp14:editId="70D34078">
            <wp:extent cx="3330000" cy="168840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000" cy="1688400"/>
                    </a:xfrm>
                    <a:prstGeom prst="rect">
                      <a:avLst/>
                    </a:prstGeom>
                    <a:noFill/>
                    <a:ln>
                      <a:noFill/>
                    </a:ln>
                  </pic:spPr>
                </pic:pic>
              </a:graphicData>
            </a:graphic>
          </wp:inline>
        </w:drawing>
      </w:r>
    </w:p>
    <w:p w14:paraId="1BEC957D" w14:textId="4ADF63D8" w:rsidR="00984F98" w:rsidRPr="00B377AC" w:rsidRDefault="00984F98" w:rsidP="00984F98">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3</w:t>
      </w:r>
      <w:r w:rsidRPr="00B377AC">
        <w:rPr>
          <w:b/>
        </w:rPr>
        <w:fldChar w:fldCharType="end"/>
      </w:r>
      <w:r w:rsidRPr="00B377AC">
        <w:rPr>
          <w:b/>
        </w:rPr>
        <w:t>.</w:t>
      </w:r>
      <w:r w:rsidRPr="00B377AC">
        <w:t xml:space="preserve"> Sketch of structural dynamic</w:t>
      </w:r>
      <w:r w:rsidR="00052E99">
        <w:t>s</w:t>
      </w:r>
      <w:r w:rsidRPr="00B377AC">
        <w:t xml:space="preserve"> model</w:t>
      </w:r>
    </w:p>
    <w:p w14:paraId="5E2F9A00" w14:textId="04968472" w:rsidR="0088500A" w:rsidRPr="00B377AC" w:rsidRDefault="0088500A" w:rsidP="00B87845">
      <w:r w:rsidRPr="00B377AC">
        <w:t xml:space="preserve">According to </w:t>
      </w:r>
      <w:r w:rsidR="00C04C9F" w:rsidRPr="00B377AC">
        <w:t>Eq.</w:t>
      </w:r>
      <w:r w:rsidR="00C04C9F" w:rsidRPr="00B377AC">
        <w:fldChar w:fldCharType="begin"/>
      </w:r>
      <w:r w:rsidR="00C04C9F" w:rsidRPr="00B377AC">
        <w:instrText xml:space="preserve"> REF _Ref44173885 \h  \* MERGEFORMAT </w:instrText>
      </w:r>
      <w:r w:rsidR="00C04C9F" w:rsidRPr="00B377AC">
        <w:fldChar w:fldCharType="separate"/>
      </w:r>
      <w:r w:rsidR="00C14E99" w:rsidRPr="00B377AC">
        <w:t>(</w:t>
      </w:r>
      <w:r w:rsidR="00C14E99">
        <w:t>2</w:t>
      </w:r>
      <w:r w:rsidR="00C14E99" w:rsidRPr="00B377AC">
        <w:t>)</w:t>
      </w:r>
      <w:r w:rsidR="00C04C9F" w:rsidRPr="00B377AC">
        <w:fldChar w:fldCharType="end"/>
      </w:r>
      <w:r w:rsidR="00C04C9F" w:rsidRPr="00B377AC">
        <w:t xml:space="preserve">, </w:t>
      </w:r>
      <w:r w:rsidRPr="00B377AC">
        <w:t xml:space="preserve">the component of the magnetic force </w:t>
      </w:r>
      <m:oMath>
        <m:sSub>
          <m:sSubPr>
            <m:ctrlPr>
              <w:rPr>
                <w:rFonts w:ascii="Cambria Math" w:hAnsi="Cambria Math"/>
              </w:rPr>
            </m:ctrlPr>
          </m:sSubPr>
          <m:e>
            <m:r>
              <w:rPr>
                <w:rFonts w:ascii="Cambria Math" w:hAnsi="Cambria Math"/>
              </w:rPr>
              <m:t>F</m:t>
            </m:r>
          </m:e>
          <m:sub>
            <m:r>
              <m:rPr>
                <m:sty m:val="p"/>
              </m:rPr>
              <w:rPr>
                <w:rFonts w:ascii="Cambria Math" w:hAnsi="Cambria Math"/>
              </w:rPr>
              <m:t>m</m:t>
            </m:r>
          </m:sub>
        </m:sSub>
      </m:oMath>
      <w:r w:rsidR="00C04C9F" w:rsidRPr="00B377AC">
        <w:t xml:space="preserve"> </w:t>
      </w:r>
      <w:r w:rsidRPr="00B377AC">
        <w:t>tangential to radius can be written as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2"/>
        <w:gridCol w:w="6457"/>
        <w:gridCol w:w="339"/>
      </w:tblGrid>
      <w:tr w:rsidR="00C04C9F" w:rsidRPr="00B377AC" w14:paraId="5CBEAED6" w14:textId="77777777" w:rsidTr="005373AA">
        <w:tc>
          <w:tcPr>
            <w:tcW w:w="154" w:type="dxa"/>
            <w:vAlign w:val="center"/>
          </w:tcPr>
          <w:p w14:paraId="6333D7AD" w14:textId="77777777" w:rsidR="00C04C9F" w:rsidRPr="00B377AC" w:rsidRDefault="00C04C9F" w:rsidP="00B87845">
            <w:pPr>
              <w:spacing w:line="240" w:lineRule="atLeast"/>
              <w:rPr>
                <w:sz w:val="20"/>
                <w:szCs w:val="20"/>
              </w:rPr>
            </w:pPr>
          </w:p>
        </w:tc>
        <w:tc>
          <w:tcPr>
            <w:tcW w:w="7784" w:type="dxa"/>
            <w:vAlign w:val="center"/>
          </w:tcPr>
          <w:p w14:paraId="56E5F458" w14:textId="77777777" w:rsidR="00C04C9F" w:rsidRPr="00B377AC" w:rsidRDefault="00AB010E" w:rsidP="00B87845">
            <w:pPr>
              <w:spacing w:line="240" w:lineRule="atLeast"/>
              <w:jc w:val="center"/>
              <w:rPr>
                <w:sz w:val="20"/>
                <w:szCs w:val="20"/>
              </w:rPr>
            </w:pPr>
            <m:oMathPara>
              <m:oMath>
                <m:sSub>
                  <m:sSubPr>
                    <m:ctrlPr>
                      <w:rPr>
                        <w:rFonts w:ascii="Cambria Math" w:eastAsiaTheme="minorEastAsia" w:hAnsi="Cambria Math"/>
                        <w:kern w:val="2"/>
                        <w:sz w:val="20"/>
                        <w:szCs w:val="20"/>
                      </w:rPr>
                    </m:ctrlPr>
                  </m:sSubPr>
                  <m:e>
                    <m:r>
                      <w:rPr>
                        <w:rFonts w:ascii="Cambria Math" w:hAnsi="Cambria Math"/>
                        <w:sz w:val="20"/>
                        <w:szCs w:val="20"/>
                      </w:rPr>
                      <m:t>F</m:t>
                    </m:r>
                  </m:e>
                  <m:sub>
                    <m:r>
                      <m:rPr>
                        <m:sty m:val="p"/>
                      </m:rPr>
                      <w:rPr>
                        <w:rFonts w:ascii="Cambria Math" w:hAnsi="Cambria Math"/>
                        <w:sz w:val="20"/>
                        <w:szCs w:val="20"/>
                      </w:rPr>
                      <m:t>m</m:t>
                    </m:r>
                  </m:sub>
                </m:sSub>
                <m:r>
                  <w:rPr>
                    <w:rFonts w:ascii="Cambria Math" w:eastAsiaTheme="minorEastAsia" w:hAnsi="Cambria Math"/>
                    <w:kern w:val="2"/>
                    <w:sz w:val="20"/>
                    <w:szCs w:val="20"/>
                  </w:rPr>
                  <m:t>=</m:t>
                </m:r>
                <m:f>
                  <m:fPr>
                    <m:ctrlPr>
                      <w:rPr>
                        <w:rFonts w:ascii="Cambria Math" w:hAnsi="Cambria Math"/>
                        <w:sz w:val="20"/>
                        <w:szCs w:val="20"/>
                      </w:rPr>
                    </m:ctrlPr>
                  </m:fPr>
                  <m:num>
                    <m:r>
                      <w:rPr>
                        <w:rFonts w:ascii="Cambria Math" w:hAnsi="Cambria Math"/>
                        <w:sz w:val="20"/>
                        <w:szCs w:val="20"/>
                      </w:rPr>
                      <m:t>3</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0</m:t>
                        </m:r>
                      </m:sub>
                    </m:sSub>
                    <m:sSub>
                      <m:sSubPr>
                        <m:ctrlPr>
                          <w:rPr>
                            <w:rFonts w:ascii="Cambria Math" w:hAnsi="Cambria Math"/>
                            <w:i/>
                            <w:sz w:val="20"/>
                            <w:szCs w:val="20"/>
                          </w:rPr>
                        </m:ctrlPr>
                      </m:sSubPr>
                      <m:e>
                        <m:r>
                          <w:rPr>
                            <w:rFonts w:ascii="Cambria Math" w:hAnsi="Cambria Math"/>
                            <w:sz w:val="20"/>
                            <w:szCs w:val="20"/>
                          </w:rPr>
                          <m:t>M</m:t>
                        </m:r>
                      </m:e>
                      <m:sub>
                        <m:r>
                          <m:rPr>
                            <m:sty m:val="p"/>
                          </m:rPr>
                          <w:rPr>
                            <w:rFonts w:ascii="Cambria Math" w:hAnsi="Cambria Math"/>
                            <w:sz w:val="20"/>
                            <w:szCs w:val="20"/>
                          </w:rPr>
                          <m:t>A</m:t>
                        </m:r>
                      </m:sub>
                    </m:sSub>
                    <m:sSub>
                      <m:sSubPr>
                        <m:ctrlPr>
                          <w:rPr>
                            <w:rFonts w:ascii="Cambria Math" w:hAnsi="Cambria Math"/>
                            <w:i/>
                            <w:sz w:val="20"/>
                            <w:szCs w:val="20"/>
                          </w:rPr>
                        </m:ctrlPr>
                      </m:sSubPr>
                      <m:e>
                        <m:r>
                          <w:rPr>
                            <w:rFonts w:ascii="Cambria Math" w:hAnsi="Cambria Math"/>
                            <w:sz w:val="20"/>
                            <w:szCs w:val="20"/>
                          </w:rPr>
                          <m:t>M</m:t>
                        </m:r>
                      </m:e>
                      <m:sub>
                        <m:r>
                          <m:rPr>
                            <m:sty m:val="p"/>
                          </m:rPr>
                          <w:rPr>
                            <w:rFonts w:ascii="Cambria Math" w:hAnsi="Cambria Math"/>
                            <w:sz w:val="20"/>
                            <w:szCs w:val="20"/>
                          </w:rPr>
                          <m:t>B</m:t>
                        </m:r>
                      </m:sub>
                    </m:sSub>
                  </m:num>
                  <m:den>
                    <m:r>
                      <w:rPr>
                        <w:rFonts w:ascii="Cambria Math" w:hAnsi="Cambria Math"/>
                        <w:sz w:val="20"/>
                        <w:szCs w:val="20"/>
                      </w:rPr>
                      <m:t>4π</m:t>
                    </m:r>
                    <m:sSubSup>
                      <m:sSubSupPr>
                        <m:ctrlPr>
                          <w:rPr>
                            <w:rFonts w:ascii="Cambria Math" w:hAnsi="Cambria Math"/>
                            <w:i/>
                            <w:sz w:val="20"/>
                            <w:szCs w:val="20"/>
                          </w:rPr>
                        </m:ctrlPr>
                      </m:sSubSupPr>
                      <m:e>
                        <m:r>
                          <w:rPr>
                            <w:rFonts w:ascii="Cambria Math" w:hAnsi="Cambria Math"/>
                            <w:sz w:val="20"/>
                            <w:szCs w:val="20"/>
                          </w:rPr>
                          <m:t>r</m:t>
                        </m:r>
                      </m:e>
                      <m:sub>
                        <m:r>
                          <m:rPr>
                            <m:sty m:val="p"/>
                          </m:rPr>
                          <w:rPr>
                            <w:rFonts w:ascii="Cambria Math" w:hAnsi="Cambria Math"/>
                            <w:sz w:val="20"/>
                            <w:szCs w:val="20"/>
                          </w:rPr>
                          <m:t>AB</m:t>
                        </m:r>
                      </m:sub>
                      <m:sup>
                        <m:r>
                          <w:rPr>
                            <w:rFonts w:ascii="Cambria Math" w:hAnsi="Cambria Math"/>
                            <w:sz w:val="20"/>
                            <w:szCs w:val="20"/>
                          </w:rPr>
                          <m:t>4</m:t>
                        </m:r>
                      </m:sup>
                    </m:sSubSup>
                  </m:den>
                </m:f>
                <m: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α</m:t>
                        </m:r>
                      </m:e>
                    </m:d>
                  </m:e>
                </m:func>
                <m:r>
                  <w:rPr>
                    <w:rFonts w:ascii="Cambria Math" w:hAnsi="Cambria Math"/>
                    <w:sz w:val="20"/>
                    <w:szCs w:val="20"/>
                  </w:rPr>
                  <m:t>+3</m:t>
                </m:r>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α+θ</m:t>
                        </m:r>
                      </m:e>
                    </m:d>
                  </m:e>
                </m:func>
                <m:func>
                  <m:funcPr>
                    <m:ctrlPr>
                      <w:rPr>
                        <w:rFonts w:ascii="Cambria Math" w:hAnsi="Cambria Math"/>
                        <w:sz w:val="20"/>
                        <w:szCs w:val="20"/>
                      </w:rPr>
                    </m:ctrlPr>
                  </m:funcPr>
                  <m:fName>
                    <m:r>
                      <m:rPr>
                        <m:sty m:val="p"/>
                      </m:rPr>
                      <w:rPr>
                        <w:rFonts w:ascii="Cambria Math" w:hAnsi="Cambria Math"/>
                        <w:sz w:val="20"/>
                        <w:szCs w:val="20"/>
                      </w:rPr>
                      <m:t>cos</m:t>
                    </m:r>
                  </m:fName>
                  <m:e>
                    <m:d>
                      <m:dPr>
                        <m:ctrlPr>
                          <w:rPr>
                            <w:rFonts w:ascii="Cambria Math" w:hAnsi="Cambria Math"/>
                            <w:i/>
                            <w:sz w:val="20"/>
                            <w:szCs w:val="20"/>
                          </w:rPr>
                        </m:ctrlPr>
                      </m:dPr>
                      <m:e>
                        <m:r>
                          <w:rPr>
                            <w:rFonts w:ascii="Cambria Math" w:hAnsi="Cambria Math"/>
                            <w:sz w:val="20"/>
                            <w:szCs w:val="20"/>
                          </w:rPr>
                          <m:t>θ</m:t>
                        </m:r>
                      </m:e>
                    </m:d>
                  </m:e>
                </m:func>
                <m:r>
                  <w:rPr>
                    <w:rFonts w:ascii="Cambria Math" w:hAnsi="Cambria Math"/>
                    <w:sz w:val="20"/>
                    <w:szCs w:val="20"/>
                  </w:rPr>
                  <m:t>-5</m:t>
                </m:r>
                <m:r>
                  <m:rPr>
                    <m:sty m:val="p"/>
                  </m:rPr>
                  <w:rPr>
                    <w:rFonts w:ascii="Cambria Math" w:hAnsi="Cambria Math"/>
                    <w:sz w:val="20"/>
                    <w:szCs w:val="20"/>
                  </w:rPr>
                  <m:t>sin⁡</m:t>
                </m:r>
                <m:r>
                  <w:rPr>
                    <w:rFonts w:ascii="Cambria Math" w:hAnsi="Cambria Math"/>
                    <w:sz w:val="20"/>
                    <w:szCs w:val="20"/>
                  </w:rPr>
                  <m:t>(α)</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r>
                  <w:rPr>
                    <w:rFonts w:ascii="Cambria Math" w:hAnsi="Cambria Math"/>
                    <w:sz w:val="20"/>
                    <w:szCs w:val="20"/>
                  </w:rPr>
                  <m:t>(α+θ)]</m:t>
                </m:r>
              </m:oMath>
            </m:oMathPara>
          </w:p>
        </w:tc>
        <w:tc>
          <w:tcPr>
            <w:tcW w:w="368" w:type="dxa"/>
            <w:vAlign w:val="center"/>
          </w:tcPr>
          <w:p w14:paraId="4EDBAE68" w14:textId="3179D70A" w:rsidR="00C04C9F" w:rsidRPr="00B377AC" w:rsidRDefault="00C04C9F"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5</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1A462687" w14:textId="77777777" w:rsidR="0088500A" w:rsidRPr="00B377AC" w:rsidRDefault="0088500A" w:rsidP="00B87845">
      <w:pPr>
        <w:ind w:firstLine="0"/>
      </w:pPr>
      <w:r w:rsidRPr="00B377AC">
        <w:t xml:space="preserve">Therefore, the </w:t>
      </w:r>
      <w:r w:rsidR="005D173F" w:rsidRPr="00B377AC">
        <w:t>restoring</w:t>
      </w:r>
      <w:r w:rsidRPr="00B377AC">
        <w:t xml:space="preserve"> torque from the magnetic force yields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C04C9F" w:rsidRPr="00B377AC" w14:paraId="75B032B1" w14:textId="77777777" w:rsidTr="005373AA">
        <w:tc>
          <w:tcPr>
            <w:tcW w:w="727" w:type="pct"/>
            <w:vAlign w:val="center"/>
          </w:tcPr>
          <w:p w14:paraId="1040DA45" w14:textId="77777777" w:rsidR="00C04C9F" w:rsidRPr="00B377AC" w:rsidRDefault="00C04C9F" w:rsidP="00B87845">
            <w:pPr>
              <w:spacing w:line="240" w:lineRule="atLeast"/>
              <w:rPr>
                <w:sz w:val="20"/>
                <w:szCs w:val="20"/>
              </w:rPr>
            </w:pPr>
          </w:p>
        </w:tc>
        <w:tc>
          <w:tcPr>
            <w:tcW w:w="3546" w:type="pct"/>
            <w:vAlign w:val="center"/>
          </w:tcPr>
          <w:p w14:paraId="230238A6" w14:textId="77777777" w:rsidR="00C04C9F" w:rsidRPr="00B377AC" w:rsidRDefault="00AB010E" w:rsidP="00B87845">
            <w:pPr>
              <w:spacing w:line="240" w:lineRule="atLeast"/>
              <w:rPr>
                <w:rFonts w:eastAsiaTheme="minorEastAsia"/>
                <w:sz w:val="20"/>
                <w:szCs w:val="20"/>
              </w:rPr>
            </w:pPr>
            <m:oMathPara>
              <m:oMath>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m</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m:rPr>
                        <m:sty m:val="p"/>
                      </m:rPr>
                      <w:rPr>
                        <w:rFonts w:ascii="Cambria Math" w:hAnsi="Cambria Math"/>
                        <w:sz w:val="20"/>
                        <w:szCs w:val="20"/>
                      </w:rPr>
                      <m:t>m</m:t>
                    </m:r>
                  </m:sub>
                </m:sSub>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oMath>
            </m:oMathPara>
          </w:p>
        </w:tc>
        <w:tc>
          <w:tcPr>
            <w:tcW w:w="727" w:type="pct"/>
            <w:vAlign w:val="center"/>
          </w:tcPr>
          <w:p w14:paraId="2743F8E5" w14:textId="25FFB0C9" w:rsidR="00C04C9F" w:rsidRPr="00B377AC" w:rsidRDefault="00C04C9F" w:rsidP="00B87845">
            <w:pPr>
              <w:pStyle w:val="Caption"/>
              <w:spacing w:line="240" w:lineRule="atLeast"/>
              <w:jc w:val="right"/>
              <w:rPr>
                <w:rFonts w:ascii="Times New Roman" w:hAnsi="Times New Roman" w:cs="Times New Roman"/>
                <w:sz w:val="20"/>
                <w:szCs w:val="20"/>
              </w:rPr>
            </w:pPr>
            <w:bookmarkStart w:id="12" w:name="_Ref44161850"/>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6</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12"/>
          </w:p>
        </w:tc>
      </w:tr>
    </w:tbl>
    <w:p w14:paraId="0395B7C6" w14:textId="64E518A1" w:rsidR="0088500A" w:rsidRPr="00B377AC" w:rsidRDefault="0088500A" w:rsidP="00B87845">
      <w:pPr>
        <w:ind w:firstLine="0"/>
      </w:pPr>
      <w:r w:rsidRPr="00B377AC">
        <w:t xml:space="preserve">Combining </w:t>
      </w:r>
      <w:r w:rsidR="00C04C9F" w:rsidRPr="00B377AC">
        <w:t>Eq.</w:t>
      </w:r>
      <w:r w:rsidR="00C04C9F" w:rsidRPr="00B377AC">
        <w:fldChar w:fldCharType="begin"/>
      </w:r>
      <w:r w:rsidR="00C04C9F" w:rsidRPr="00B377AC">
        <w:instrText xml:space="preserve"> REF _Ref44161848 \h  \* MERGEFORMAT </w:instrText>
      </w:r>
      <w:r w:rsidR="00C04C9F" w:rsidRPr="00B377AC">
        <w:fldChar w:fldCharType="separate"/>
      </w:r>
      <w:r w:rsidR="00C14E99" w:rsidRPr="00B377AC">
        <w:t>(</w:t>
      </w:r>
      <w:r w:rsidR="00C14E99">
        <w:t>1</w:t>
      </w:r>
      <w:r w:rsidR="00C14E99" w:rsidRPr="00B377AC">
        <w:t>)</w:t>
      </w:r>
      <w:r w:rsidR="00C04C9F" w:rsidRPr="00B377AC">
        <w:fldChar w:fldCharType="end"/>
      </w:r>
      <w:r w:rsidR="00C04C9F" w:rsidRPr="00B377AC">
        <w:t xml:space="preserve"> and Eq.</w:t>
      </w:r>
      <w:r w:rsidR="00C04C9F" w:rsidRPr="00B377AC">
        <w:fldChar w:fldCharType="begin"/>
      </w:r>
      <w:r w:rsidR="00C04C9F" w:rsidRPr="00B377AC">
        <w:instrText xml:space="preserve"> REF _Ref44161850 \h  \* MERGEFORMAT </w:instrText>
      </w:r>
      <w:r w:rsidR="00C04C9F" w:rsidRPr="00B377AC">
        <w:fldChar w:fldCharType="separate"/>
      </w:r>
      <w:r w:rsidR="00C14E99" w:rsidRPr="00B377AC">
        <w:t>(</w:t>
      </w:r>
      <w:r w:rsidR="00C14E99">
        <w:t>6</w:t>
      </w:r>
      <w:r w:rsidR="00C14E99" w:rsidRPr="00B377AC">
        <w:t>)</w:t>
      </w:r>
      <w:r w:rsidR="00C04C9F" w:rsidRPr="00B377AC">
        <w:fldChar w:fldCharType="end"/>
      </w:r>
      <w:r w:rsidR="00C04C9F" w:rsidRPr="00B377AC">
        <w:t xml:space="preserve">, </w:t>
      </w:r>
      <w:r w:rsidRPr="00B377AC">
        <w:t>the system of the single-harvester type can be represented mathematically by the following equation</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2"/>
        <w:gridCol w:w="6383"/>
        <w:gridCol w:w="303"/>
      </w:tblGrid>
      <w:tr w:rsidR="00C04C9F" w:rsidRPr="00B377AC" w14:paraId="331EE9CF" w14:textId="77777777" w:rsidTr="005373AA">
        <w:tc>
          <w:tcPr>
            <w:tcW w:w="168" w:type="pct"/>
            <w:vAlign w:val="center"/>
          </w:tcPr>
          <w:p w14:paraId="21B7E9FE" w14:textId="77777777" w:rsidR="00C04C9F" w:rsidRPr="00B377AC" w:rsidRDefault="00C04C9F" w:rsidP="00B87845">
            <w:pPr>
              <w:spacing w:line="240" w:lineRule="atLeast"/>
              <w:rPr>
                <w:sz w:val="20"/>
                <w:szCs w:val="20"/>
              </w:rPr>
            </w:pPr>
          </w:p>
        </w:tc>
        <w:tc>
          <w:tcPr>
            <w:tcW w:w="4613" w:type="pct"/>
            <w:vAlign w:val="center"/>
          </w:tcPr>
          <w:p w14:paraId="27987E8E" w14:textId="45777225" w:rsidR="00C04C9F" w:rsidRPr="00B377AC" w:rsidRDefault="00AB010E" w:rsidP="00B87845">
            <w:pPr>
              <w:spacing w:line="240" w:lineRule="atLeast"/>
              <w:jc w:val="center"/>
              <w:rPr>
                <w:sz w:val="20"/>
                <w:szCs w:val="20"/>
              </w:rPr>
            </w:pPr>
            <m:oMathPara>
              <m:oMath>
                <m:sSub>
                  <m:sSubPr>
                    <m:ctrlPr>
                      <w:rPr>
                        <w:rFonts w:ascii="Cambria Math" w:hAnsi="Cambria Math"/>
                        <w:sz w:val="20"/>
                        <w:szCs w:val="20"/>
                      </w:rPr>
                    </m:ctrlPr>
                  </m:sSubPr>
                  <m:e>
                    <m:r>
                      <w:rPr>
                        <w:rFonts w:ascii="Cambria Math" w:hAnsi="Cambria Math"/>
                        <w:sz w:val="20"/>
                        <w:szCs w:val="20"/>
                      </w:rPr>
                      <m:t>J</m:t>
                    </m:r>
                  </m:e>
                  <m:sub>
                    <m:r>
                      <w:rPr>
                        <w:rFonts w:ascii="Cambria Math" w:hAnsi="Cambria Math"/>
                        <w:sz w:val="20"/>
                        <w:szCs w:val="20"/>
                      </w:rPr>
                      <m:t>0</m:t>
                    </m:r>
                  </m:sub>
                </m:sSub>
                <m:acc>
                  <m:accPr>
                    <m:chr m:val="̈"/>
                    <m:ctrlPr>
                      <w:rPr>
                        <w:rFonts w:ascii="Cambria Math" w:hAnsi="Cambria Math"/>
                        <w:i/>
                        <w:sz w:val="20"/>
                        <w:szCs w:val="20"/>
                      </w:rPr>
                    </m:ctrlPr>
                  </m:accPr>
                  <m:e>
                    <m:r>
                      <w:rPr>
                        <w:rFonts w:ascii="Cambria Math" w:hAnsi="Cambria Math"/>
                        <w:sz w:val="20"/>
                        <w:szCs w:val="20"/>
                      </w:rPr>
                      <m:t>θ</m:t>
                    </m:r>
                  </m:e>
                </m:acc>
                <m:r>
                  <w:rPr>
                    <w:rFonts w:ascii="Cambria Math" w:hAnsi="Cambria Math"/>
                    <w:sz w:val="20"/>
                    <w:szCs w:val="20"/>
                  </w:rPr>
                  <m:t>+c</m:t>
                </m:r>
                <m:acc>
                  <m:accPr>
                    <m:chr m:val="̇"/>
                    <m:ctrlPr>
                      <w:rPr>
                        <w:rFonts w:ascii="Cambria Math" w:hAnsi="Cambria Math"/>
                        <w:i/>
                        <w:sz w:val="20"/>
                        <w:szCs w:val="20"/>
                      </w:rPr>
                    </m:ctrlPr>
                  </m:accPr>
                  <m:e>
                    <m:r>
                      <w:rPr>
                        <w:rFonts w:ascii="Cambria Math" w:hAnsi="Cambria Math"/>
                        <w:sz w:val="20"/>
                        <w:szCs w:val="20"/>
                      </w:rPr>
                      <m:t>θ</m:t>
                    </m:r>
                  </m:e>
                </m:acc>
                <m:r>
                  <w:rPr>
                    <w:rFonts w:ascii="Cambria Math" w:hAnsi="Cambria Math"/>
                    <w:sz w:val="20"/>
                    <w:szCs w:val="20"/>
                  </w:rPr>
                  <m:t>+m</m:t>
                </m:r>
                <m:r>
                  <m:rPr>
                    <m:sty m:val="p"/>
                  </m:rPr>
                  <w:rPr>
                    <w:rFonts w:ascii="Cambria Math" w:hAnsi="Cambria Math"/>
                    <w:sz w:val="20"/>
                    <w:szCs w:val="20"/>
                  </w:rPr>
                  <m:t>g</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e</m:t>
                    </m:r>
                  </m:sub>
                </m:sSub>
                <m:func>
                  <m:funcPr>
                    <m:ctrlPr>
                      <w:rPr>
                        <w:rFonts w:ascii="Cambria Math" w:hAnsi="Cambria Math"/>
                        <w:sz w:val="20"/>
                        <w:szCs w:val="20"/>
                      </w:rPr>
                    </m:ctrlPr>
                  </m:funcPr>
                  <m:fName>
                    <m:r>
                      <m:rPr>
                        <m:sty m:val="p"/>
                      </m:rPr>
                      <w:rPr>
                        <w:rFonts w:ascii="Cambria Math" w:hAnsi="Cambria Math"/>
                        <w:sz w:val="20"/>
                        <w:szCs w:val="20"/>
                      </w:rPr>
                      <m:t>sin</m:t>
                    </m:r>
                  </m:fName>
                  <m:e>
                    <m:d>
                      <m:dPr>
                        <m:ctrlPr>
                          <w:rPr>
                            <w:rFonts w:ascii="Cambria Math" w:hAnsi="Cambria Math"/>
                            <w:i/>
                            <w:sz w:val="20"/>
                            <w:szCs w:val="20"/>
                          </w:rPr>
                        </m:ctrlPr>
                      </m:dPr>
                      <m:e>
                        <m:r>
                          <w:rPr>
                            <w:rFonts w:ascii="Cambria Math" w:hAnsi="Cambria Math"/>
                            <w:sz w:val="20"/>
                            <w:szCs w:val="20"/>
                          </w:rPr>
                          <m:t>θ</m:t>
                        </m:r>
                      </m:e>
                    </m:d>
                  </m:e>
                </m:func>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m:rPr>
                        <m:sty m:val="p"/>
                      </m:rPr>
                      <w:rPr>
                        <w:rFonts w:ascii="Cambria Math" w:hAnsi="Cambria Math"/>
                        <w:sz w:val="20"/>
                        <w:szCs w:val="20"/>
                      </w:rPr>
                      <m:t>m</m:t>
                    </m:r>
                  </m:sub>
                </m:sSub>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m</m:t>
                    </m:r>
                  </m:sub>
                </m:sSub>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r</m:t>
                    </m:r>
                  </m:e>
                  <m:sub>
                    <m:r>
                      <m:rPr>
                        <m:sty m:val="p"/>
                      </m:rPr>
                      <w:rPr>
                        <w:rFonts w:ascii="Cambria Math" w:hAnsi="Cambria Math"/>
                        <w:sz w:val="20"/>
                        <w:szCs w:val="20"/>
                      </w:rPr>
                      <m:t>e</m:t>
                    </m:r>
                  </m:sub>
                </m:sSub>
                <m:acc>
                  <m:accPr>
                    <m:chr m:val="̈"/>
                    <m:ctrlPr>
                      <w:rPr>
                        <w:rFonts w:ascii="Cambria Math" w:hAnsi="Cambria Math"/>
                        <w:i/>
                        <w:sz w:val="20"/>
                        <w:szCs w:val="20"/>
                      </w:rPr>
                    </m:ctrlPr>
                  </m:accPr>
                  <m:e>
                    <m:r>
                      <w:rPr>
                        <w:rFonts w:ascii="Cambria Math" w:hAnsi="Cambria Math"/>
                        <w:sz w:val="20"/>
                        <w:szCs w:val="20"/>
                      </w:rPr>
                      <m:t>X</m:t>
                    </m:r>
                  </m:e>
                </m:acc>
                <m:r>
                  <m:rPr>
                    <m:sty m:val="p"/>
                  </m:rPr>
                  <w:rPr>
                    <w:rFonts w:ascii="Cambria Math" w:hAnsi="Cambria Math"/>
                    <w:sz w:val="20"/>
                    <w:szCs w:val="20"/>
                  </w:rPr>
                  <m:t>cos</m:t>
                </m:r>
                <m:d>
                  <m:dPr>
                    <m:ctrlPr>
                      <w:rPr>
                        <w:rFonts w:ascii="Cambria Math" w:hAnsi="Cambria Math"/>
                        <w:i/>
                        <w:sz w:val="20"/>
                        <w:szCs w:val="20"/>
                      </w:rPr>
                    </m:ctrlPr>
                  </m:dPr>
                  <m:e>
                    <m:r>
                      <w:rPr>
                        <w:rFonts w:ascii="Cambria Math" w:hAnsi="Cambria Math"/>
                        <w:sz w:val="20"/>
                        <w:szCs w:val="20"/>
                      </w:rPr>
                      <m:t>θ</m:t>
                    </m: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T</m:t>
                    </m:r>
                  </m:e>
                  <m:sub>
                    <m:r>
                      <m:rPr>
                        <m:sty m:val="p"/>
                      </m:rPr>
                      <w:rPr>
                        <w:rFonts w:ascii="Cambria Math" w:eastAsiaTheme="minorEastAsia" w:hAnsi="Cambria Math"/>
                        <w:sz w:val="20"/>
                        <w:szCs w:val="20"/>
                      </w:rPr>
                      <m:t>e</m:t>
                    </m:r>
                  </m:sub>
                </m:sSub>
              </m:oMath>
            </m:oMathPara>
          </w:p>
        </w:tc>
        <w:tc>
          <w:tcPr>
            <w:tcW w:w="219" w:type="pct"/>
            <w:vAlign w:val="center"/>
          </w:tcPr>
          <w:p w14:paraId="203BD9CA" w14:textId="391E6084" w:rsidR="00C04C9F" w:rsidRPr="00B377AC" w:rsidRDefault="00C04C9F" w:rsidP="00B87845">
            <w:pPr>
              <w:pStyle w:val="Caption"/>
              <w:spacing w:line="240" w:lineRule="atLeast"/>
              <w:jc w:val="right"/>
              <w:rPr>
                <w:rFonts w:ascii="Times New Roman" w:hAnsi="Times New Roman" w:cs="Times New Roman"/>
                <w:sz w:val="20"/>
                <w:szCs w:val="20"/>
              </w:rPr>
            </w:pPr>
            <w:bookmarkStart w:id="13" w:name="_Ref53068030"/>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7</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13"/>
          </w:p>
        </w:tc>
      </w:tr>
    </w:tbl>
    <w:p w14:paraId="43FC725B" w14:textId="4AAD65F1" w:rsidR="0026599D" w:rsidRPr="00B377AC" w:rsidRDefault="0088500A" w:rsidP="00B87845">
      <w:pPr>
        <w:ind w:firstLine="0"/>
      </w:pPr>
      <w:r w:rsidRPr="00B377AC">
        <w:t xml:space="preserve">where </w:t>
      </w:r>
      <m:oMath>
        <m:sSub>
          <m:sSubPr>
            <m:ctrlPr>
              <w:rPr>
                <w:rFonts w:ascii="Cambria Math" w:hAnsi="Cambria Math"/>
              </w:rPr>
            </m:ctrlPr>
          </m:sSubPr>
          <m:e>
            <m:r>
              <w:rPr>
                <w:rFonts w:ascii="Cambria Math" w:hAnsi="Cambria Math"/>
              </w:rPr>
              <m:t>J</m:t>
            </m:r>
          </m:e>
          <m:sub>
            <m:r>
              <w:rPr>
                <w:rFonts w:ascii="Cambria Math" w:hAnsi="Cambria Math"/>
              </w:rPr>
              <m:t>0</m:t>
            </m:r>
          </m:sub>
        </m:sSub>
      </m:oMath>
      <w:r w:rsidR="00C04C9F" w:rsidRPr="00B377AC">
        <w:t xml:space="preserve"> </w:t>
      </w:r>
      <w:r w:rsidRPr="00B377AC">
        <w:t xml:space="preserve">denotes the moment of inertia of the rotary </w:t>
      </w:r>
      <w:r w:rsidR="004054FC">
        <w:t>disc</w:t>
      </w:r>
      <w:r w:rsidRPr="00B377AC">
        <w:t xml:space="preserve"> and eccentric mass. </w:t>
      </w:r>
      <m:oMath>
        <m:r>
          <w:rPr>
            <w:rFonts w:ascii="Cambria Math" w:hAnsi="Cambria Math"/>
          </w:rPr>
          <m:t>c</m:t>
        </m:r>
      </m:oMath>
      <w:r w:rsidRPr="00B377AC">
        <w:t xml:space="preserve"> is the mechanical damping under open circuit condition. </w:t>
      </w:r>
      <m:oMath>
        <m:sSub>
          <m:sSubPr>
            <m:ctrlPr>
              <w:rPr>
                <w:rFonts w:ascii="Cambria Math" w:hAnsi="Cambria Math"/>
                <w:i/>
              </w:rPr>
            </m:ctrlPr>
          </m:sSubPr>
          <m:e>
            <m:r>
              <w:rPr>
                <w:rFonts w:ascii="Cambria Math" w:hAnsi="Cambria Math"/>
              </w:rPr>
              <m:t>T</m:t>
            </m:r>
          </m:e>
          <m:sub>
            <m:r>
              <m:rPr>
                <m:sty m:val="p"/>
              </m:rPr>
              <w:rPr>
                <w:rFonts w:ascii="Cambria Math" w:hAnsi="Cambria Math"/>
              </w:rPr>
              <m:t>e</m:t>
            </m:r>
          </m:sub>
        </m:sSub>
      </m:oMath>
      <w:r w:rsidR="00C04C9F" w:rsidRPr="00B377AC">
        <w:t xml:space="preserve"> </w:t>
      </w:r>
      <w:r w:rsidRPr="00B377AC">
        <w:t xml:space="preserve">is the electric torque applied on the rotary </w:t>
      </w:r>
      <w:r w:rsidR="004054FC">
        <w:t>disc</w:t>
      </w:r>
      <w:r w:rsidRPr="00B377AC">
        <w:t xml:space="preserve">. </w:t>
      </w:r>
      <w:bookmarkStart w:id="14" w:name="OLE_LINK34"/>
      <w:bookmarkStart w:id="15" w:name="OLE_LINK35"/>
      <m:oMath>
        <m:r>
          <w:rPr>
            <w:rFonts w:ascii="Cambria Math" w:hAnsi="Cambria Math"/>
          </w:rPr>
          <m:t>X</m:t>
        </m:r>
      </m:oMath>
      <w:bookmarkEnd w:id="14"/>
      <w:bookmarkEnd w:id="15"/>
      <w:r w:rsidRPr="00B377AC">
        <w:t xml:space="preserve"> represents the horizontal external </w:t>
      </w:r>
      <w:r w:rsidR="004054FC">
        <w:t xml:space="preserve">base </w:t>
      </w:r>
      <w:r w:rsidRPr="00B377AC">
        <w:t xml:space="preserve">excitation, which </w:t>
      </w:r>
      <w:r w:rsidR="004054FC">
        <w:t>is</w:t>
      </w:r>
      <w:r w:rsidR="004054FC" w:rsidRPr="00B377AC">
        <w:t xml:space="preserve"> </w:t>
      </w:r>
      <w:r w:rsidRPr="00B377AC">
        <w:t xml:space="preserve">prescribed motion defined by a </w:t>
      </w:r>
      <w:r w:rsidR="004054FC">
        <w:t>time</w:t>
      </w:r>
      <w:r w:rsidR="004054FC" w:rsidRPr="00B377AC">
        <w:t xml:space="preserve"> </w:t>
      </w:r>
      <w:r w:rsidRPr="00B377AC">
        <w:t xml:space="preserve">function </w:t>
      </w:r>
      <m:oMath>
        <m:r>
          <w:rPr>
            <w:rFonts w:ascii="Cambria Math" w:hAnsi="Cambria Math"/>
          </w:rPr>
          <m:t>X=A</m:t>
        </m:r>
        <m:r>
          <m:rPr>
            <m:sty m:val="p"/>
          </m:rPr>
          <w:rPr>
            <w:rFonts w:ascii="Cambria Math" w:hAnsi="Cambria Math"/>
          </w:rPr>
          <m:t>sin</m:t>
        </m:r>
        <m:r>
          <w:rPr>
            <w:rFonts w:ascii="Cambria Math" w:hAnsi="Cambria Math"/>
          </w:rPr>
          <m:t>(ωt)</m:t>
        </m:r>
      </m:oMath>
      <w:r w:rsidR="00C04C9F" w:rsidRPr="00B377AC">
        <w:t>.</w:t>
      </w:r>
    </w:p>
    <w:p w14:paraId="46BBE3D3" w14:textId="77777777" w:rsidR="00C04C9F" w:rsidRPr="00B377AC" w:rsidRDefault="00C04C9F" w:rsidP="00FA23EF">
      <w:pPr>
        <w:pStyle w:val="heading2"/>
      </w:pPr>
      <w:r w:rsidRPr="00B377AC">
        <w:t>Electrical model</w:t>
      </w:r>
    </w:p>
    <w:p w14:paraId="311FFC88" w14:textId="45736151" w:rsidR="00C04C9F" w:rsidRPr="00B377AC" w:rsidRDefault="00C04C9F" w:rsidP="00B87845">
      <w:pPr>
        <w:pStyle w:val="p1a"/>
      </w:pPr>
      <w:r w:rsidRPr="00B377AC">
        <w:t>A</w:t>
      </w:r>
      <w:r w:rsidR="005D173F" w:rsidRPr="00B377AC">
        <w:t>ny</w:t>
      </w:r>
      <w:r w:rsidRPr="00B377AC">
        <w:t xml:space="preserve"> triboelectric energy harvester can be approximately modelled by a series connection of a variable capacitance </w:t>
      </w:r>
      <m:oMath>
        <m:sSub>
          <m:sSubPr>
            <m:ctrlPr>
              <w:rPr>
                <w:rFonts w:ascii="Cambria Math" w:hAnsi="Cambria Math"/>
              </w:rPr>
            </m:ctrlPr>
          </m:sSubPr>
          <m:e>
            <m:r>
              <w:rPr>
                <w:rFonts w:ascii="Cambria Math" w:hAnsi="Cambria Math"/>
              </w:rPr>
              <m:t>C</m:t>
            </m:r>
          </m:e>
          <m:sub>
            <m:r>
              <m:rPr>
                <m:sty m:val="p"/>
              </m:rPr>
              <w:rPr>
                <w:rFonts w:ascii="Cambria Math" w:hAnsi="Cambria Math"/>
              </w:rPr>
              <m:t>e</m:t>
            </m:r>
          </m:sub>
        </m:sSub>
      </m:oMath>
      <w:r w:rsidR="005D173F" w:rsidRPr="00B377AC">
        <w:t xml:space="preserve"> </w:t>
      </w:r>
      <w:r w:rsidRPr="00B377AC">
        <w:t xml:space="preserve">and a voltage source </w:t>
      </w:r>
      <m:oMath>
        <m:sSub>
          <m:sSubPr>
            <m:ctrlPr>
              <w:rPr>
                <w:rFonts w:ascii="Cambria Math" w:hAnsi="Cambria Math"/>
              </w:rPr>
            </m:ctrlPr>
          </m:sSubPr>
          <m:e>
            <m:r>
              <w:rPr>
                <w:rFonts w:ascii="Cambria Math" w:hAnsi="Cambria Math"/>
              </w:rPr>
              <m:t>V</m:t>
            </m:r>
          </m:e>
          <m:sub>
            <m:r>
              <m:rPr>
                <m:sty m:val="p"/>
              </m:rPr>
              <w:rPr>
                <w:rFonts w:ascii="Cambria Math" w:hAnsi="Cambria Math"/>
              </w:rPr>
              <m:t>oc</m:t>
            </m:r>
          </m:sub>
        </m:sSub>
      </m:oMath>
      <w:r w:rsidRPr="00B377AC">
        <w:t>. Fig</w:t>
      </w:r>
      <w:r w:rsidR="005373AA" w:rsidRPr="00B377AC">
        <w:t>.</w:t>
      </w:r>
      <w:r w:rsidRPr="00B377AC">
        <w:t xml:space="preserve">4 shows the equivalent circuit for </w:t>
      </w:r>
      <w:r w:rsidR="005D173F" w:rsidRPr="00B377AC">
        <w:t>single</w:t>
      </w:r>
      <w:r w:rsidRPr="00B377AC">
        <w:t xml:space="preserve"> harvester. The electrical model is based on an assumption that the area dimension of metal films is larger enough than the thickness of dielectric film </w:t>
      </w:r>
      <w:r w:rsidR="005D173F" w:rsidRPr="00B377AC">
        <w:t>so that</w:t>
      </w:r>
      <w:r w:rsidRPr="00B377AC">
        <w:t xml:space="preserve"> the edge effect between metal films can be ignore </w:t>
      </w:r>
      <w:r w:rsidR="00DA62D5" w:rsidRPr="00B377AC">
        <w:rPr>
          <w:rStyle w:val="FootnoteReference"/>
        </w:rPr>
        <w:fldChar w:fldCharType="begin" w:fldLock="1"/>
      </w:r>
      <w:r w:rsidR="007E7CB7">
        <w:instrText>ADDIN CSL_CITATION {"citationItems":[{"id":"ITEM-1","itemData":{"DOI":"10.1007/978-981-10-5945-2_38","ISBN":"9783319400389","abstract":"Establishing a smart sensing system is desirable but challenging as the conventional devices require an external battery or power grid which cruelly limits its applications, especially in remote areas or at the condition of power supply with difficulty. Here, we report a smart self-powered sensing network based on a hybrid nanogenerator (NG) that can harvest wind energy and solar energy simultaneously or individually to serve as a sustainable power source. A transparent flag-like triboelectric nanogenerator (TENG) plays a core role with both the output voltage and current positively proportional to the wind speed and the number of integrated units. By subtly designing, the bottom solar cell can absorb sunshine insusceptibly. The hybrid NG can not only be used as an active wind speed detection, but also be employed to construct a self-powered wireless temperature sensing system, further achieving multifunctional sensing. This work promotes the development of TENG-based renewable energy harvesting and puts forward the smart sensing network node that realizes multifunctional monitoring by scavenging environmental energy.","author":[{"dropping-particle":"","family":"Zhang","given":"Chi","non-dropping-particle":"","parse-names":false,"suffix":""},{"dropping-particle":"","family":"Wang","given":"Zhong Lin","non-dropping-particle":"","parse-names":false,"suffix":""}],"id":"ITEM-1","issued":{"date-parts":[["2016"]]},"number-of-pages":"1335-1376","title":"Triboelectric Nanogenerators","type":"book"},"uris":["http://www.mendeley.com/documents/?uuid=73b9fecb-9c8f-4bd7-bd03-84c4971e4a36"]}],"mendeley":{"formattedCitation":"[23]","plainTextFormattedCitation":"[23]","previouslyFormattedCitation":"(Zhang and Wang)"},"properties":{"noteIndex":0},"schema":"https://github.com/citation-style-language/schema/raw/master/csl-citation.json"}</w:instrText>
      </w:r>
      <w:r w:rsidR="00DA62D5" w:rsidRPr="00B377AC">
        <w:rPr>
          <w:rStyle w:val="FootnoteReference"/>
        </w:rPr>
        <w:fldChar w:fldCharType="separate"/>
      </w:r>
      <w:r w:rsidR="007E7CB7" w:rsidRPr="007E7CB7">
        <w:rPr>
          <w:noProof/>
        </w:rPr>
        <w:t>[23]</w:t>
      </w:r>
      <w:r w:rsidR="00DA62D5" w:rsidRPr="00B377AC">
        <w:rPr>
          <w:rStyle w:val="FootnoteReference"/>
        </w:rPr>
        <w:fldChar w:fldCharType="end"/>
      </w:r>
      <w:r w:rsidRPr="00B377AC">
        <w:t>.</w:t>
      </w:r>
    </w:p>
    <w:p w14:paraId="3327AFF2" w14:textId="77777777" w:rsidR="005373AA" w:rsidRPr="00B377AC" w:rsidRDefault="005373AA" w:rsidP="005373AA">
      <w:pPr>
        <w:ind w:firstLine="0"/>
        <w:jc w:val="center"/>
      </w:pPr>
      <w:r w:rsidRPr="00B377AC">
        <w:rPr>
          <w:noProof/>
        </w:rPr>
        <w:lastRenderedPageBreak/>
        <w:drawing>
          <wp:inline distT="0" distB="0" distL="0" distR="0" wp14:anchorId="735D3340" wp14:editId="52145727">
            <wp:extent cx="946800" cy="96120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73737"/>
                    <a:stretch/>
                  </pic:blipFill>
                  <pic:spPr bwMode="auto">
                    <a:xfrm>
                      <a:off x="0" y="0"/>
                      <a:ext cx="946800" cy="961200"/>
                    </a:xfrm>
                    <a:prstGeom prst="rect">
                      <a:avLst/>
                    </a:prstGeom>
                    <a:noFill/>
                    <a:ln>
                      <a:noFill/>
                    </a:ln>
                    <a:extLst>
                      <a:ext uri="{53640926-AAD7-44D8-BBD7-CCE9431645EC}">
                        <a14:shadowObscured xmlns:a14="http://schemas.microsoft.com/office/drawing/2010/main"/>
                      </a:ext>
                    </a:extLst>
                  </pic:spPr>
                </pic:pic>
              </a:graphicData>
            </a:graphic>
          </wp:inline>
        </w:drawing>
      </w:r>
    </w:p>
    <w:p w14:paraId="149595C8" w14:textId="73170334" w:rsidR="005373AA" w:rsidRPr="00B377AC" w:rsidRDefault="005373AA" w:rsidP="005373AA">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4</w:t>
      </w:r>
      <w:r w:rsidRPr="00B377AC">
        <w:rPr>
          <w:b/>
        </w:rPr>
        <w:fldChar w:fldCharType="end"/>
      </w:r>
      <w:r w:rsidRPr="00B377AC">
        <w:rPr>
          <w:b/>
        </w:rPr>
        <w:t>.</w:t>
      </w:r>
      <w:r w:rsidRPr="00B377AC">
        <w:t xml:space="preserve"> Equivalent circuit.</w:t>
      </w:r>
    </w:p>
    <w:p w14:paraId="499FDC58" w14:textId="77777777" w:rsidR="005373AA" w:rsidRPr="00B377AC" w:rsidRDefault="005373AA" w:rsidP="00B87845">
      <w:r w:rsidRPr="00B377AC">
        <w:t xml:space="preserve">In this work, the equivalent capacitance </w:t>
      </w:r>
      <m:oMath>
        <m:sSub>
          <m:sSubPr>
            <m:ctrlPr>
              <w:rPr>
                <w:rFonts w:ascii="Cambria Math" w:hAnsi="Cambria Math"/>
              </w:rPr>
            </m:ctrlPr>
          </m:sSubPr>
          <m:e>
            <m:r>
              <w:rPr>
                <w:rFonts w:ascii="Cambria Math" w:hAnsi="Cambria Math"/>
              </w:rPr>
              <m:t>C</m:t>
            </m:r>
          </m:e>
          <m:sub>
            <m:r>
              <m:rPr>
                <m:sty m:val="p"/>
              </m:rPr>
              <w:rPr>
                <w:rFonts w:ascii="Cambria Math" w:hAnsi="Cambria Math"/>
              </w:rPr>
              <m:t>e</m:t>
            </m:r>
          </m:sub>
        </m:sSub>
      </m:oMath>
      <w:r w:rsidRPr="00B377AC">
        <w:t xml:space="preserve"> and the open-circuit voltage </w:t>
      </w:r>
      <m:oMath>
        <m:sSub>
          <m:sSubPr>
            <m:ctrlPr>
              <w:rPr>
                <w:rFonts w:ascii="Cambria Math" w:hAnsi="Cambria Math"/>
              </w:rPr>
            </m:ctrlPr>
          </m:sSubPr>
          <m:e>
            <m:r>
              <w:rPr>
                <w:rFonts w:ascii="Cambria Math" w:hAnsi="Cambria Math"/>
              </w:rPr>
              <m:t>V</m:t>
            </m:r>
          </m:e>
          <m:sub>
            <m:r>
              <m:rPr>
                <m:sty m:val="p"/>
              </m:rPr>
              <w:rPr>
                <w:rFonts w:ascii="Cambria Math" w:hAnsi="Cambria Math"/>
              </w:rPr>
              <m:t>oc</m:t>
            </m:r>
          </m:sub>
        </m:sSub>
      </m:oMath>
      <w:r w:rsidRPr="00B377AC">
        <w:t xml:space="preserve"> for the presented triboelectric energy harvester can be derived as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5373AA" w:rsidRPr="00B377AC" w14:paraId="2E1E3D5D" w14:textId="77777777" w:rsidTr="005373AA">
        <w:tc>
          <w:tcPr>
            <w:tcW w:w="727" w:type="pct"/>
            <w:vAlign w:val="center"/>
          </w:tcPr>
          <w:p w14:paraId="14D4E8C6" w14:textId="77777777" w:rsidR="005373AA" w:rsidRPr="00B377AC" w:rsidRDefault="005373AA" w:rsidP="00B87845">
            <w:pPr>
              <w:spacing w:line="240" w:lineRule="atLeast"/>
              <w:rPr>
                <w:sz w:val="20"/>
                <w:szCs w:val="20"/>
              </w:rPr>
            </w:pPr>
          </w:p>
        </w:tc>
        <w:tc>
          <w:tcPr>
            <w:tcW w:w="3546" w:type="pct"/>
            <w:vAlign w:val="center"/>
          </w:tcPr>
          <w:p w14:paraId="46F2AE60" w14:textId="77777777" w:rsidR="005373AA" w:rsidRPr="00B377AC" w:rsidRDefault="00AB010E" w:rsidP="00B87845">
            <w:pPr>
              <w:spacing w:line="240" w:lineRule="atLeast"/>
              <w:jc w:val="center"/>
              <w:rPr>
                <w:sz w:val="20"/>
                <w:szCs w:val="20"/>
              </w:rPr>
            </w:pPr>
            <m:oMathPara>
              <m:oMath>
                <m:sSub>
                  <m:sSubPr>
                    <m:ctrlPr>
                      <w:rPr>
                        <w:rFonts w:ascii="Cambria Math" w:eastAsiaTheme="minorEastAsia" w:hAnsi="Cambria Math"/>
                        <w:kern w:val="2"/>
                        <w:sz w:val="20"/>
                        <w:szCs w:val="20"/>
                      </w:rPr>
                    </m:ctrlPr>
                  </m:sSubPr>
                  <m:e>
                    <m:r>
                      <w:rPr>
                        <w:rFonts w:ascii="Cambria Math" w:hAnsi="Cambria Math"/>
                        <w:sz w:val="20"/>
                        <w:szCs w:val="20"/>
                      </w:rPr>
                      <m:t>C</m:t>
                    </m:r>
                  </m:e>
                  <m:sub>
                    <m:r>
                      <m:rPr>
                        <m:sty m:val="p"/>
                      </m:rPr>
                      <w:rPr>
                        <w:rFonts w:ascii="Cambria Math" w:hAnsi="Cambria Math"/>
                        <w:sz w:val="20"/>
                        <w:szCs w:val="20"/>
                      </w:rPr>
                      <m:t>e</m:t>
                    </m:r>
                  </m:sub>
                </m:sSub>
                <m:r>
                  <w:rPr>
                    <w:rFonts w:ascii="Cambria Math" w:eastAsiaTheme="minorEastAsia" w:hAnsi="Cambria Math"/>
                    <w:kern w:val="2"/>
                    <w:sz w:val="20"/>
                    <w:szCs w:val="20"/>
                  </w:rPr>
                  <m:t>=</m:t>
                </m:r>
                <m:f>
                  <m:fPr>
                    <m:ctrlPr>
                      <w:rPr>
                        <w:rFonts w:ascii="Cambria Math" w:eastAsiaTheme="minorEastAsia" w:hAnsi="Cambria Math"/>
                        <w:i/>
                        <w:kern w:val="2"/>
                        <w:sz w:val="20"/>
                        <w:szCs w:val="20"/>
                      </w:rPr>
                    </m:ctrlPr>
                  </m:fPr>
                  <m:num>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ε</m:t>
                        </m:r>
                      </m:e>
                      <m:sub>
                        <m:r>
                          <w:rPr>
                            <w:rFonts w:ascii="Cambria Math" w:eastAsiaTheme="minorEastAsia" w:hAnsi="Cambria Math"/>
                            <w:kern w:val="2"/>
                            <w:sz w:val="20"/>
                            <w:szCs w:val="20"/>
                          </w:rPr>
                          <m:t>0</m:t>
                        </m:r>
                      </m:sub>
                    </m:sSub>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ε</m:t>
                        </m:r>
                      </m:e>
                      <m:sub>
                        <m:r>
                          <m:rPr>
                            <m:sty m:val="p"/>
                          </m:rPr>
                          <w:rPr>
                            <w:rFonts w:ascii="Cambria Math" w:eastAsiaTheme="minorEastAsia" w:hAnsi="Cambria Math"/>
                            <w:kern w:val="2"/>
                            <w:sz w:val="20"/>
                            <w:szCs w:val="20"/>
                          </w:rPr>
                          <m:t>r</m:t>
                        </m:r>
                      </m:sub>
                    </m:sSub>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A</m:t>
                        </m:r>
                      </m:e>
                      <m:sub>
                        <m:r>
                          <w:rPr>
                            <w:rFonts w:ascii="Cambria Math" w:eastAsiaTheme="minorEastAsia" w:hAnsi="Cambria Math"/>
                            <w:kern w:val="2"/>
                            <w:sz w:val="20"/>
                            <w:szCs w:val="20"/>
                          </w:rPr>
                          <m:t>1</m:t>
                        </m:r>
                      </m:sub>
                    </m:sSub>
                  </m:num>
                  <m:den>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d</m:t>
                        </m:r>
                      </m:e>
                      <m:sub>
                        <m:r>
                          <m:rPr>
                            <m:sty m:val="p"/>
                          </m:rPr>
                          <w:rPr>
                            <w:rFonts w:ascii="Cambria Math" w:eastAsiaTheme="minorEastAsia" w:hAnsi="Cambria Math"/>
                            <w:kern w:val="2"/>
                            <w:sz w:val="20"/>
                            <w:szCs w:val="20"/>
                          </w:rPr>
                          <m:t>t</m:t>
                        </m:r>
                      </m:sub>
                    </m:sSub>
                  </m:den>
                </m:f>
              </m:oMath>
            </m:oMathPara>
          </w:p>
        </w:tc>
        <w:tc>
          <w:tcPr>
            <w:tcW w:w="727" w:type="pct"/>
            <w:vAlign w:val="center"/>
          </w:tcPr>
          <w:p w14:paraId="6718666C" w14:textId="1901ED47" w:rsidR="005373AA" w:rsidRPr="00B377AC" w:rsidRDefault="005373AA" w:rsidP="00B87845">
            <w:pPr>
              <w:pStyle w:val="Caption"/>
              <w:spacing w:line="240" w:lineRule="atLeast"/>
              <w:jc w:val="right"/>
              <w:rPr>
                <w:rFonts w:ascii="Times New Roman" w:hAnsi="Times New Roman" w:cs="Times New Roman"/>
                <w:sz w:val="20"/>
                <w:szCs w:val="20"/>
              </w:rPr>
            </w:pPr>
            <w:bookmarkStart w:id="16" w:name="_Ref46932114"/>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8</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16"/>
          </w:p>
        </w:tc>
      </w:tr>
      <w:tr w:rsidR="005373AA" w:rsidRPr="00B377AC" w14:paraId="511BAFD7" w14:textId="77777777" w:rsidTr="005373AA">
        <w:tc>
          <w:tcPr>
            <w:tcW w:w="727" w:type="pct"/>
            <w:vAlign w:val="center"/>
          </w:tcPr>
          <w:p w14:paraId="5924E37D" w14:textId="77777777" w:rsidR="005373AA" w:rsidRPr="00B377AC" w:rsidRDefault="005373AA" w:rsidP="00B87845">
            <w:pPr>
              <w:spacing w:line="240" w:lineRule="atLeast"/>
              <w:rPr>
                <w:rFonts w:eastAsiaTheme="minorEastAsia"/>
                <w:sz w:val="20"/>
                <w:szCs w:val="20"/>
              </w:rPr>
            </w:pPr>
          </w:p>
        </w:tc>
        <w:tc>
          <w:tcPr>
            <w:tcW w:w="3546" w:type="pct"/>
            <w:vAlign w:val="center"/>
          </w:tcPr>
          <w:p w14:paraId="77380FEB" w14:textId="77777777" w:rsidR="005373AA" w:rsidRPr="00B377AC" w:rsidRDefault="00AB010E" w:rsidP="00B87845">
            <w:pPr>
              <w:spacing w:line="240" w:lineRule="atLeast"/>
              <w:jc w:val="center"/>
              <w:rPr>
                <w:sz w:val="20"/>
                <w:szCs w:val="20"/>
              </w:rPr>
            </w:pPr>
            <m:oMathPara>
              <m:oMath>
                <m:sSub>
                  <m:sSubPr>
                    <m:ctrlPr>
                      <w:rPr>
                        <w:rFonts w:ascii="Cambria Math" w:eastAsiaTheme="minorEastAsia" w:hAnsi="Cambria Math"/>
                        <w:kern w:val="2"/>
                        <w:sz w:val="20"/>
                        <w:szCs w:val="20"/>
                      </w:rPr>
                    </m:ctrlPr>
                  </m:sSubPr>
                  <m:e>
                    <m:r>
                      <w:rPr>
                        <w:rFonts w:ascii="Cambria Math" w:hAnsi="Cambria Math"/>
                        <w:sz w:val="20"/>
                        <w:szCs w:val="20"/>
                      </w:rPr>
                      <m:t>V</m:t>
                    </m:r>
                  </m:e>
                  <m:sub>
                    <m:r>
                      <m:rPr>
                        <m:sty m:val="p"/>
                      </m:rPr>
                      <w:rPr>
                        <w:rFonts w:ascii="Cambria Math" w:hAnsi="Cambria Math"/>
                        <w:sz w:val="20"/>
                        <w:szCs w:val="20"/>
                      </w:rPr>
                      <m:t>oc</m:t>
                    </m:r>
                  </m:sub>
                </m:sSub>
                <m:r>
                  <w:rPr>
                    <w:rFonts w:ascii="Cambria Math" w:eastAsiaTheme="minorEastAsia" w:hAnsi="Cambria Math"/>
                    <w:kern w:val="2"/>
                    <w:sz w:val="20"/>
                    <w:szCs w:val="20"/>
                  </w:rPr>
                  <m:t>=</m:t>
                </m:r>
                <m:f>
                  <m:fPr>
                    <m:ctrlPr>
                      <w:rPr>
                        <w:rFonts w:ascii="Cambria Math" w:eastAsiaTheme="minorEastAsia" w:hAnsi="Cambria Math"/>
                        <w:i/>
                        <w:kern w:val="2"/>
                        <w:sz w:val="20"/>
                        <w:szCs w:val="20"/>
                      </w:rPr>
                    </m:ctrlPr>
                  </m:fPr>
                  <m:num>
                    <m:r>
                      <w:rPr>
                        <w:rFonts w:ascii="Cambria Math" w:eastAsiaTheme="minorEastAsia" w:hAnsi="Cambria Math"/>
                        <w:kern w:val="2"/>
                        <w:sz w:val="20"/>
                        <w:szCs w:val="20"/>
                      </w:rPr>
                      <m:t>σ</m:t>
                    </m:r>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A</m:t>
                        </m:r>
                      </m:e>
                      <m:sub>
                        <m:r>
                          <w:rPr>
                            <w:rFonts w:ascii="Cambria Math" w:eastAsiaTheme="minorEastAsia" w:hAnsi="Cambria Math"/>
                            <w:kern w:val="2"/>
                            <w:sz w:val="20"/>
                            <w:szCs w:val="20"/>
                          </w:rPr>
                          <m:t>2</m:t>
                        </m:r>
                      </m:sub>
                    </m:sSub>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d</m:t>
                        </m:r>
                      </m:e>
                      <m:sub>
                        <m:r>
                          <m:rPr>
                            <m:sty m:val="p"/>
                          </m:rPr>
                          <w:rPr>
                            <w:rFonts w:ascii="Cambria Math" w:eastAsiaTheme="minorEastAsia" w:hAnsi="Cambria Math"/>
                            <w:kern w:val="2"/>
                            <w:sz w:val="20"/>
                            <w:szCs w:val="20"/>
                          </w:rPr>
                          <m:t>t</m:t>
                        </m:r>
                      </m:sub>
                    </m:sSub>
                  </m:num>
                  <m:den>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ε</m:t>
                        </m:r>
                      </m:e>
                      <m:sub>
                        <m:r>
                          <w:rPr>
                            <w:rFonts w:ascii="Cambria Math" w:eastAsiaTheme="minorEastAsia" w:hAnsi="Cambria Math"/>
                            <w:kern w:val="2"/>
                            <w:sz w:val="20"/>
                            <w:szCs w:val="20"/>
                          </w:rPr>
                          <m:t>0</m:t>
                        </m:r>
                      </m:sub>
                    </m:sSub>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ε</m:t>
                        </m:r>
                      </m:e>
                      <m:sub>
                        <m:r>
                          <m:rPr>
                            <m:sty m:val="p"/>
                          </m:rPr>
                          <w:rPr>
                            <w:rFonts w:ascii="Cambria Math" w:eastAsiaTheme="minorEastAsia" w:hAnsi="Cambria Math"/>
                            <w:kern w:val="2"/>
                            <w:sz w:val="20"/>
                            <w:szCs w:val="20"/>
                          </w:rPr>
                          <m:t>r</m:t>
                        </m:r>
                      </m:sub>
                    </m:sSub>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A</m:t>
                        </m:r>
                      </m:e>
                      <m:sub>
                        <m:r>
                          <w:rPr>
                            <w:rFonts w:ascii="Cambria Math" w:eastAsiaTheme="minorEastAsia" w:hAnsi="Cambria Math"/>
                            <w:kern w:val="2"/>
                            <w:sz w:val="20"/>
                            <w:szCs w:val="20"/>
                          </w:rPr>
                          <m:t>1</m:t>
                        </m:r>
                      </m:sub>
                    </m:sSub>
                  </m:den>
                </m:f>
              </m:oMath>
            </m:oMathPara>
          </w:p>
        </w:tc>
        <w:tc>
          <w:tcPr>
            <w:tcW w:w="727" w:type="pct"/>
            <w:vAlign w:val="center"/>
          </w:tcPr>
          <w:p w14:paraId="3CC79E96" w14:textId="43642B0C" w:rsidR="005373AA" w:rsidRPr="00B377AC" w:rsidRDefault="005373AA"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9</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2E35B2A8" w14:textId="69D58B15" w:rsidR="005373AA" w:rsidRPr="00B377AC" w:rsidRDefault="005373AA" w:rsidP="00B87845">
      <w:pPr>
        <w:ind w:firstLine="0"/>
      </w:pPr>
      <w:r w:rsidRPr="00B377AC">
        <w:t xml:space="preserve">in which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Pr="00B377AC">
        <w:t xml:space="preserve"> and </w:t>
      </w:r>
      <m:oMath>
        <m:sSub>
          <m:sSubPr>
            <m:ctrlPr>
              <w:rPr>
                <w:rFonts w:ascii="Cambria Math" w:hAnsi="Cambria Math"/>
                <w:i/>
              </w:rPr>
            </m:ctrlPr>
          </m:sSubPr>
          <m:e>
            <m:r>
              <w:rPr>
                <w:rFonts w:ascii="Cambria Math" w:hAnsi="Cambria Math"/>
              </w:rPr>
              <m:t>ε</m:t>
            </m:r>
          </m:e>
          <m:sub>
            <m:r>
              <m:rPr>
                <m:sty m:val="p"/>
              </m:rPr>
              <w:rPr>
                <w:rFonts w:ascii="Cambria Math" w:hAnsi="Cambria Math"/>
              </w:rPr>
              <m:t>r</m:t>
            </m:r>
          </m:sub>
        </m:sSub>
      </m:oMath>
      <w:r w:rsidRPr="00B377AC">
        <w:t xml:space="preserve">  denote the vacuum permittivity and the relative permittivity of the dielectric film respectively. </w:t>
      </w:r>
      <m:oMath>
        <m:r>
          <w:rPr>
            <w:rFonts w:ascii="Cambria Math" w:hAnsi="Cambria Math"/>
          </w:rPr>
          <m:t>σ</m:t>
        </m:r>
      </m:oMath>
      <w:r w:rsidRPr="00B377AC">
        <w:t xml:space="preserve"> represents the tribo-charge surface density and </w:t>
      </w:r>
      <m:oMath>
        <m:sSub>
          <m:sSubPr>
            <m:ctrlPr>
              <w:rPr>
                <w:rFonts w:ascii="Cambria Math" w:hAnsi="Cambria Math"/>
                <w:i/>
              </w:rPr>
            </m:ctrlPr>
          </m:sSubPr>
          <m:e>
            <m:r>
              <w:rPr>
                <w:rFonts w:ascii="Cambria Math" w:hAnsi="Cambria Math"/>
              </w:rPr>
              <m:t>d</m:t>
            </m:r>
          </m:e>
          <m:sub>
            <m:r>
              <m:rPr>
                <m:sty m:val="p"/>
              </m:rPr>
              <w:rPr>
                <w:rFonts w:ascii="Cambria Math" w:hAnsi="Cambria Math"/>
              </w:rPr>
              <m:t>t</m:t>
            </m:r>
          </m:sub>
        </m:sSub>
      </m:oMath>
      <w:r w:rsidRPr="00B377AC">
        <w:t xml:space="preserve"> is the thickness of the dielectric film.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377AC">
        <w:t xml:space="preserve"> denotes the over-lapping area between the EAP on the rotary </w:t>
      </w:r>
      <w:r w:rsidR="004054FC">
        <w:t>disc</w:t>
      </w:r>
      <w:r w:rsidRPr="00B377AC">
        <w:t xml:space="preserve"> and the PTFE on the </w:t>
      </w:r>
      <w:r w:rsidR="002F2BB0">
        <w:t>stationary</w:t>
      </w:r>
      <w:r w:rsidRPr="00B377AC">
        <w:t xml:space="preserve"> </w:t>
      </w:r>
      <w:r w:rsidR="004054FC">
        <w:t>disc</w:t>
      </w:r>
      <w:r w:rsidRPr="00B377AC">
        <w:t xml:space="preserve">, and </w:t>
      </w:r>
      <m:oMath>
        <m:sSub>
          <m:sSubPr>
            <m:ctrlPr>
              <w:rPr>
                <w:rFonts w:ascii="Cambria Math" w:hAnsi="Cambria Math"/>
                <w:i/>
              </w:rPr>
            </m:ctrlPr>
          </m:sSubPr>
          <m:e>
            <m:r>
              <w:rPr>
                <w:rFonts w:ascii="Cambria Math" w:hAnsi="Cambria Math"/>
              </w:rPr>
              <m:t xml:space="preserve"> A</m:t>
            </m:r>
          </m:e>
          <m:sub>
            <m:r>
              <w:rPr>
                <w:rFonts w:ascii="Cambria Math" w:hAnsi="Cambria Math"/>
              </w:rPr>
              <m:t>2</m:t>
            </m:r>
          </m:sub>
        </m:sSub>
      </m:oMath>
      <w:r w:rsidRPr="00B377AC">
        <w:t xml:space="preserve"> is the rest area of the EAP on the rotary </w:t>
      </w:r>
      <w:r w:rsidR="004054FC">
        <w:t>disc</w:t>
      </w:r>
      <w:r w:rsidRPr="00B377AC">
        <w:t xml:space="preserve"> which does not contact with the PTFE. Both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377AC">
        <w:t xml:space="preserve"> and </w:t>
      </w:r>
      <m:oMath>
        <m:sSub>
          <m:sSubPr>
            <m:ctrlPr>
              <w:rPr>
                <w:rFonts w:ascii="Cambria Math" w:hAnsi="Cambria Math"/>
                <w:i/>
              </w:rPr>
            </m:ctrlPr>
          </m:sSubPr>
          <m:e>
            <m:r>
              <w:rPr>
                <w:rFonts w:ascii="Cambria Math" w:hAnsi="Cambria Math"/>
              </w:rPr>
              <m:t xml:space="preserve"> A</m:t>
            </m:r>
          </m:e>
          <m:sub>
            <m:r>
              <w:rPr>
                <w:rFonts w:ascii="Cambria Math" w:hAnsi="Cambria Math"/>
              </w:rPr>
              <m:t>2</m:t>
            </m:r>
          </m:sub>
        </m:sSub>
      </m:oMath>
      <w:r w:rsidRPr="00B377AC">
        <w:t xml:space="preserve"> are functions about the rotating angle </w:t>
      </w:r>
      <m:oMath>
        <m:r>
          <w:rPr>
            <w:rFonts w:ascii="Cambria Math" w:hAnsi="Cambria Math"/>
          </w:rPr>
          <m:t>θ</m:t>
        </m:r>
      </m:oMath>
      <w:r w:rsidRPr="00B377AC">
        <w:t xml:space="preserve">. Introducing </w:t>
      </w:r>
      <m:oMath>
        <m:r>
          <w:rPr>
            <w:rFonts w:ascii="Cambria Math" w:hAnsi="Cambria Math"/>
          </w:rPr>
          <m:t>γ</m:t>
        </m:r>
        <m:r>
          <m:rPr>
            <m:sty m:val="p"/>
          </m:rPr>
          <w:rPr>
            <w:rFonts w:ascii="Cambria Math" w:hAnsi="Cambria Math"/>
          </w:rPr>
          <m:t>=rem(</m:t>
        </m:r>
        <m:r>
          <w:rPr>
            <w:rFonts w:ascii="Cambria Math" w:hAnsi="Cambria Math"/>
          </w:rPr>
          <m:t>θ</m:t>
        </m:r>
        <m:r>
          <m:rPr>
            <m:sty m:val="p"/>
          </m:rPr>
          <w:rPr>
            <w:rFonts w:ascii="Cambria Math" w:hAnsi="Cambria Math"/>
          </w:rPr>
          <m:t>,  2</m:t>
        </m:r>
        <m:r>
          <w:rPr>
            <w:rFonts w:ascii="Cambria Math" w:hAnsi="Cambria Math"/>
          </w:rPr>
          <m:t>β</m:t>
        </m:r>
        <m:r>
          <m:rPr>
            <m:sty m:val="p"/>
          </m:rPr>
          <w:rPr>
            <w:rFonts w:ascii="Cambria Math" w:hAnsi="Cambria Math"/>
          </w:rPr>
          <m:t>)</m:t>
        </m:r>
      </m:oMath>
      <w:r w:rsidRPr="00B377AC">
        <w:t xml:space="preserve">, where rem(.) is a function of modulo operation, then for any arbitrary rotating angle </w:t>
      </w:r>
      <m:oMath>
        <m:r>
          <w:rPr>
            <w:rFonts w:ascii="Cambria Math" w:hAnsi="Cambria Math"/>
          </w:rPr>
          <m:t>θ</m:t>
        </m:r>
      </m:oMath>
      <w:r w:rsidRPr="00B377AC">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B377AC">
        <w:t xml:space="preserve"> and </w:t>
      </w:r>
      <m:oMath>
        <m:sSub>
          <m:sSubPr>
            <m:ctrlPr>
              <w:rPr>
                <w:rFonts w:ascii="Cambria Math" w:hAnsi="Cambria Math"/>
                <w:i/>
              </w:rPr>
            </m:ctrlPr>
          </m:sSubPr>
          <m:e>
            <m:r>
              <w:rPr>
                <w:rFonts w:ascii="Cambria Math" w:hAnsi="Cambria Math"/>
              </w:rPr>
              <m:t xml:space="preserve"> A</m:t>
            </m:r>
          </m:e>
          <m:sub>
            <m:r>
              <w:rPr>
                <w:rFonts w:ascii="Cambria Math" w:hAnsi="Cambria Math"/>
              </w:rPr>
              <m:t>2</m:t>
            </m:r>
          </m:sub>
        </m:sSub>
      </m:oMath>
      <w:r w:rsidRPr="00B377AC">
        <w:t xml:space="preserve"> can be obtained by</w:t>
      </w:r>
    </w:p>
    <w:tbl>
      <w:tblPr>
        <w:tblStyle w:val="TableGrid"/>
        <w:tblW w:w="500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31"/>
        <w:gridCol w:w="395"/>
      </w:tblGrid>
      <w:tr w:rsidR="005373AA" w:rsidRPr="00B377AC" w14:paraId="4D19D96F" w14:textId="77777777" w:rsidTr="005373AA">
        <w:tc>
          <w:tcPr>
            <w:tcW w:w="4087" w:type="pct"/>
            <w:vAlign w:val="center"/>
          </w:tcPr>
          <w:p w14:paraId="5D13B1EB" w14:textId="77777777" w:rsidR="005373AA" w:rsidRPr="00B377AC" w:rsidRDefault="00AB010E" w:rsidP="00B87845">
            <w:pPr>
              <w:spacing w:line="240" w:lineRule="atLeast"/>
              <w:jc w:val="center"/>
              <w:rPr>
                <w:sz w:val="20"/>
                <w:szCs w:val="20"/>
              </w:rPr>
            </w:pPr>
            <m:oMathPara>
              <m:oMath>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A</m:t>
                    </m:r>
                  </m:e>
                  <m:sub>
                    <m:r>
                      <w:rPr>
                        <w:rFonts w:ascii="Cambria Math" w:eastAsiaTheme="minorEastAsia" w:hAnsi="Cambria Math"/>
                        <w:kern w:val="2"/>
                        <w:sz w:val="20"/>
                        <w:szCs w:val="20"/>
                      </w:rPr>
                      <m:t>1</m:t>
                    </m:r>
                  </m:sub>
                </m:sSub>
                <m:r>
                  <w:rPr>
                    <w:rFonts w:ascii="Cambria Math" w:eastAsiaTheme="minorEastAsia" w:hAnsi="Cambria Math"/>
                    <w:kern w:val="2"/>
                    <w:sz w:val="20"/>
                    <w:szCs w:val="20"/>
                  </w:rPr>
                  <m:t>=</m:t>
                </m:r>
                <m:d>
                  <m:dPr>
                    <m:begChr m:val="{"/>
                    <m:endChr m:val=""/>
                    <m:ctrlPr>
                      <w:rPr>
                        <w:rFonts w:ascii="Cambria Math" w:eastAsiaTheme="minorEastAsia" w:hAnsi="Cambria Math"/>
                        <w:i/>
                        <w:kern w:val="2"/>
                        <w:sz w:val="20"/>
                        <w:szCs w:val="20"/>
                      </w:rPr>
                    </m:ctrlPr>
                  </m:dPr>
                  <m:e>
                    <m:m>
                      <m:mPr>
                        <m:mcs>
                          <m:mc>
                            <m:mcPr>
                              <m:count m:val="2"/>
                              <m:mcJc m:val="center"/>
                            </m:mcPr>
                          </m:mc>
                        </m:mcs>
                        <m:ctrlPr>
                          <w:rPr>
                            <w:rFonts w:ascii="Cambria Math" w:eastAsiaTheme="minorEastAsia" w:hAnsi="Cambria Math"/>
                            <w:i/>
                            <w:kern w:val="2"/>
                            <w:sz w:val="20"/>
                            <w:szCs w:val="20"/>
                          </w:rPr>
                        </m:ctrlPr>
                      </m:mPr>
                      <m:mr>
                        <m:e>
                          <m:f>
                            <m:fPr>
                              <m:ctrlPr>
                                <w:rPr>
                                  <w:rFonts w:ascii="Cambria Math" w:eastAsiaTheme="minorEastAsia" w:hAnsi="Cambria Math"/>
                                  <w:i/>
                                  <w:kern w:val="2"/>
                                  <w:sz w:val="20"/>
                                  <w:szCs w:val="20"/>
                                </w:rPr>
                              </m:ctrlPr>
                            </m:fPr>
                            <m:num>
                              <m:r>
                                <w:rPr>
                                  <w:rFonts w:ascii="Cambria Math" w:eastAsiaTheme="minorEastAsia" w:hAnsi="Cambria Math"/>
                                  <w:kern w:val="2"/>
                                  <w:sz w:val="20"/>
                                  <w:szCs w:val="20"/>
                                </w:rPr>
                                <m:t>n</m:t>
                              </m:r>
                            </m:num>
                            <m:den>
                              <m:r>
                                <w:rPr>
                                  <w:rFonts w:ascii="Cambria Math" w:eastAsiaTheme="minorEastAsia" w:hAnsi="Cambria Math"/>
                                  <w:kern w:val="2"/>
                                  <w:sz w:val="20"/>
                                  <w:szCs w:val="20"/>
                                </w:rPr>
                                <m:t>2</m:t>
                              </m:r>
                            </m:den>
                          </m:f>
                          <m:d>
                            <m:dPr>
                              <m:ctrlPr>
                                <w:rPr>
                                  <w:rFonts w:ascii="Cambria Math" w:hAnsi="Cambria Math"/>
                                  <w:i/>
                                  <w:sz w:val="20"/>
                                  <w:szCs w:val="20"/>
                                </w:rPr>
                              </m:ctrlPr>
                            </m:dPr>
                            <m:e>
                              <m:r>
                                <w:rPr>
                                  <w:rFonts w:ascii="Cambria Math" w:eastAsiaTheme="minorEastAsia" w:hAnsi="Cambria Math"/>
                                  <w:kern w:val="2"/>
                                  <w:sz w:val="20"/>
                                  <w:szCs w:val="20"/>
                                </w:rPr>
                                <m:t>β-</m:t>
                              </m:r>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e>
                          </m:d>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e>
                          </m:d>
                          <m:r>
                            <w:rPr>
                              <w:rFonts w:ascii="Cambria Math" w:eastAsiaTheme="minorEastAsia" w:hAnsi="Cambria Math"/>
                              <w:kern w:val="2"/>
                              <w:sz w:val="20"/>
                              <w:szCs w:val="20"/>
                            </w:rPr>
                            <m:t>+π</m:t>
                          </m:r>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1</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4</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e>
                          </m:d>
                          <m:r>
                            <w:rPr>
                              <w:rFonts w:ascii="Cambria Math" w:eastAsiaTheme="minorEastAsia" w:hAnsi="Cambria Math"/>
                              <w:kern w:val="2"/>
                              <w:sz w:val="20"/>
                              <w:szCs w:val="20"/>
                            </w:rPr>
                            <m:t>,</m:t>
                          </m:r>
                        </m:e>
                        <m:e>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r>
                            <m:rPr>
                              <m:sty m:val="p"/>
                            </m:rP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β</m:t>
                              </m:r>
                            </m:e>
                          </m:d>
                          <m:ctrlPr>
                            <w:rPr>
                              <w:rFonts w:ascii="Cambria Math" w:eastAsia="Cambria Math" w:hAnsi="Cambria Math" w:cs="Cambria Math"/>
                              <w:i/>
                              <w:sz w:val="20"/>
                              <w:szCs w:val="20"/>
                            </w:rPr>
                          </m:ctrlPr>
                        </m:e>
                      </m:mr>
                      <m:mr>
                        <m:e>
                          <m:f>
                            <m:fPr>
                              <m:ctrlPr>
                                <w:rPr>
                                  <w:rFonts w:ascii="Cambria Math" w:eastAsiaTheme="minorEastAsia" w:hAnsi="Cambria Math"/>
                                  <w:i/>
                                  <w:kern w:val="2"/>
                                  <w:sz w:val="20"/>
                                  <w:szCs w:val="20"/>
                                </w:rPr>
                              </m:ctrlPr>
                            </m:fPr>
                            <m:num>
                              <m:r>
                                <w:rPr>
                                  <w:rFonts w:ascii="Cambria Math" w:eastAsiaTheme="minorEastAsia" w:hAnsi="Cambria Math"/>
                                  <w:kern w:val="2"/>
                                  <w:sz w:val="20"/>
                                  <w:szCs w:val="20"/>
                                </w:rPr>
                                <m:t>n</m:t>
                              </m:r>
                            </m:num>
                            <m:den>
                              <m:r>
                                <w:rPr>
                                  <w:rFonts w:ascii="Cambria Math" w:eastAsiaTheme="minorEastAsia" w:hAnsi="Cambria Math"/>
                                  <w:kern w:val="2"/>
                                  <w:sz w:val="20"/>
                                  <w:szCs w:val="20"/>
                                </w:rPr>
                                <m:t>2</m:t>
                              </m:r>
                            </m:den>
                          </m:f>
                          <m:d>
                            <m:dPr>
                              <m:ctrlPr>
                                <w:rPr>
                                  <w:rFonts w:ascii="Cambria Math" w:hAnsi="Cambria Math"/>
                                  <w:i/>
                                  <w:sz w:val="20"/>
                                  <w:szCs w:val="20"/>
                                </w:rPr>
                              </m:ctrlPr>
                            </m:dPr>
                            <m:e>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r>
                                <w:rPr>
                                  <w:rFonts w:ascii="Cambria Math" w:eastAsiaTheme="minorEastAsia" w:hAnsi="Cambria Math"/>
                                  <w:kern w:val="2"/>
                                  <w:sz w:val="20"/>
                                  <w:szCs w:val="20"/>
                                </w:rPr>
                                <m:t>-β</m:t>
                              </m:r>
                            </m:e>
                          </m:d>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e>
                          </m:d>
                          <m:r>
                            <w:rPr>
                              <w:rFonts w:ascii="Cambria Math" w:eastAsiaTheme="minorEastAsia" w:hAnsi="Cambria Math"/>
                              <w:kern w:val="2"/>
                              <w:sz w:val="20"/>
                              <w:szCs w:val="20"/>
                            </w:rPr>
                            <m:t>+π</m:t>
                          </m:r>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1</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4</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e>
                          </m:d>
                          <m:r>
                            <w:rPr>
                              <w:rFonts w:ascii="Cambria Math" w:hAnsi="Cambria Math"/>
                              <w:sz w:val="20"/>
                              <w:szCs w:val="20"/>
                            </w:rPr>
                            <m:t>,</m:t>
                          </m:r>
                          <m:ctrlPr>
                            <w:rPr>
                              <w:rFonts w:ascii="Cambria Math" w:eastAsia="Cambria Math" w:hAnsi="Cambria Math" w:cs="Cambria Math"/>
                              <w:i/>
                              <w:sz w:val="20"/>
                              <w:szCs w:val="20"/>
                            </w:rPr>
                          </m:ctrlPr>
                        </m:e>
                        <m:e>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r>
                            <m:rPr>
                              <m:sty m:val="p"/>
                            </m:rPr>
                            <w:rPr>
                              <w:rFonts w:ascii="Cambria Math" w:hAnsi="Cambria Math"/>
                              <w:sz w:val="20"/>
                              <w:szCs w:val="20"/>
                            </w:rPr>
                            <m:t>∈</m:t>
                          </m:r>
                          <m:r>
                            <w:rPr>
                              <w:rFonts w:ascii="Cambria Math" w:hAnsi="Cambria Math"/>
                              <w:sz w:val="20"/>
                              <w:szCs w:val="20"/>
                            </w:rPr>
                            <m:t>(β, 2β)</m:t>
                          </m:r>
                        </m:e>
                      </m:mr>
                    </m:m>
                  </m:e>
                </m:d>
              </m:oMath>
            </m:oMathPara>
          </w:p>
        </w:tc>
        <w:tc>
          <w:tcPr>
            <w:tcW w:w="247" w:type="pct"/>
            <w:vAlign w:val="center"/>
          </w:tcPr>
          <w:p w14:paraId="579D6ADF" w14:textId="4A581C0C" w:rsidR="005373AA" w:rsidRPr="00B377AC" w:rsidRDefault="005373AA" w:rsidP="00B87845">
            <w:pPr>
              <w:pStyle w:val="Caption"/>
              <w:spacing w:line="240" w:lineRule="atLeast"/>
              <w:jc w:val="right"/>
              <w:rPr>
                <w:rFonts w:ascii="Times New Roman" w:hAnsi="Times New Roman" w:cs="Times New Roman"/>
                <w:sz w:val="20"/>
                <w:szCs w:val="20"/>
              </w:rPr>
            </w:pPr>
            <w:bookmarkStart w:id="17" w:name="_Ref46932116"/>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10</w:t>
            </w:r>
            <w:r w:rsidRPr="00B377AC">
              <w:rPr>
                <w:rFonts w:ascii="Times New Roman" w:hAnsi="Times New Roman" w:cs="Times New Roman"/>
              </w:rPr>
              <w:fldChar w:fldCharType="end"/>
            </w:r>
            <w:r w:rsidRPr="00B377AC">
              <w:rPr>
                <w:rFonts w:ascii="Times New Roman" w:hAnsi="Times New Roman" w:cs="Times New Roman"/>
                <w:sz w:val="20"/>
                <w:szCs w:val="20"/>
              </w:rPr>
              <w:t>)</w:t>
            </w:r>
            <w:bookmarkEnd w:id="17"/>
          </w:p>
        </w:tc>
      </w:tr>
      <w:tr w:rsidR="005373AA" w:rsidRPr="00B377AC" w14:paraId="4AA42038" w14:textId="77777777" w:rsidTr="005373AA">
        <w:tc>
          <w:tcPr>
            <w:tcW w:w="4087" w:type="pct"/>
            <w:vAlign w:val="center"/>
          </w:tcPr>
          <w:p w14:paraId="73B74ACB" w14:textId="77777777" w:rsidR="005373AA" w:rsidRPr="00B377AC" w:rsidRDefault="00AB010E" w:rsidP="00B87845">
            <w:pPr>
              <w:spacing w:line="240" w:lineRule="atLeast"/>
              <w:jc w:val="center"/>
              <w:rPr>
                <w:sz w:val="20"/>
                <w:szCs w:val="20"/>
              </w:rPr>
            </w:pPr>
            <m:oMathPara>
              <m:oMath>
                <m:sSub>
                  <m:sSubPr>
                    <m:ctrlPr>
                      <w:rPr>
                        <w:rFonts w:ascii="Cambria Math" w:eastAsiaTheme="minorEastAsia" w:hAnsi="Cambria Math"/>
                        <w:i/>
                        <w:kern w:val="2"/>
                        <w:sz w:val="20"/>
                        <w:szCs w:val="20"/>
                      </w:rPr>
                    </m:ctrlPr>
                  </m:sSubPr>
                  <m:e>
                    <m:r>
                      <w:rPr>
                        <w:rFonts w:ascii="Cambria Math" w:eastAsiaTheme="minorEastAsia" w:hAnsi="Cambria Math"/>
                        <w:kern w:val="2"/>
                        <w:sz w:val="20"/>
                        <w:szCs w:val="20"/>
                      </w:rPr>
                      <m:t>A</m:t>
                    </m:r>
                  </m:e>
                  <m:sub>
                    <m:r>
                      <w:rPr>
                        <w:rFonts w:ascii="Cambria Math" w:eastAsiaTheme="minorEastAsia" w:hAnsi="Cambria Math"/>
                        <w:kern w:val="2"/>
                        <w:sz w:val="20"/>
                        <w:szCs w:val="20"/>
                      </w:rPr>
                      <m:t>2</m:t>
                    </m:r>
                  </m:sub>
                </m:sSub>
                <m:r>
                  <w:rPr>
                    <w:rFonts w:ascii="Cambria Math" w:eastAsiaTheme="minorEastAsia" w:hAnsi="Cambria Math"/>
                    <w:kern w:val="2"/>
                    <w:sz w:val="20"/>
                    <w:szCs w:val="20"/>
                  </w:rPr>
                  <m:t>=</m:t>
                </m:r>
                <m:d>
                  <m:dPr>
                    <m:begChr m:val="{"/>
                    <m:endChr m:val=""/>
                    <m:ctrlPr>
                      <w:rPr>
                        <w:rFonts w:ascii="Cambria Math" w:eastAsiaTheme="minorEastAsia" w:hAnsi="Cambria Math"/>
                        <w:i/>
                        <w:kern w:val="2"/>
                        <w:sz w:val="20"/>
                        <w:szCs w:val="20"/>
                      </w:rPr>
                    </m:ctrlPr>
                  </m:dPr>
                  <m:e>
                    <m:m>
                      <m:mPr>
                        <m:mcs>
                          <m:mc>
                            <m:mcPr>
                              <m:count m:val="2"/>
                              <m:mcJc m:val="center"/>
                            </m:mcPr>
                          </m:mc>
                        </m:mcs>
                        <m:ctrlPr>
                          <w:rPr>
                            <w:rFonts w:ascii="Cambria Math" w:eastAsiaTheme="minorEastAsia" w:hAnsi="Cambria Math"/>
                            <w:i/>
                            <w:kern w:val="2"/>
                            <w:sz w:val="20"/>
                            <w:szCs w:val="20"/>
                          </w:rPr>
                        </m:ctrlPr>
                      </m:mPr>
                      <m:mr>
                        <m:e>
                          <m:f>
                            <m:fPr>
                              <m:ctrlPr>
                                <w:rPr>
                                  <w:rFonts w:ascii="Cambria Math" w:eastAsiaTheme="minorEastAsia" w:hAnsi="Cambria Math"/>
                                  <w:i/>
                                  <w:kern w:val="2"/>
                                  <w:sz w:val="20"/>
                                  <w:szCs w:val="20"/>
                                </w:rPr>
                              </m:ctrlPr>
                            </m:fPr>
                            <m:num>
                              <m:r>
                                <w:rPr>
                                  <w:rFonts w:ascii="Cambria Math" w:eastAsiaTheme="minorEastAsia" w:hAnsi="Cambria Math"/>
                                  <w:kern w:val="2"/>
                                  <w:sz w:val="20"/>
                                  <w:szCs w:val="20"/>
                                </w:rPr>
                                <m:t>n</m:t>
                              </m:r>
                            </m:num>
                            <m:den>
                              <m:r>
                                <w:rPr>
                                  <w:rFonts w:ascii="Cambria Math" w:eastAsiaTheme="minorEastAsia" w:hAnsi="Cambria Math"/>
                                  <w:kern w:val="2"/>
                                  <w:sz w:val="20"/>
                                  <w:szCs w:val="20"/>
                                </w:rPr>
                                <m:t>2</m:t>
                              </m:r>
                            </m:den>
                          </m:f>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e>
                          </m:d>
                          <m:r>
                            <w:rPr>
                              <w:rFonts w:ascii="Cambria Math" w:eastAsiaTheme="minorEastAsia" w:hAnsi="Cambria Math"/>
                              <w:kern w:val="2"/>
                              <w:sz w:val="20"/>
                              <w:szCs w:val="20"/>
                            </w:rPr>
                            <m:t>,</m:t>
                          </m:r>
                        </m:e>
                        <m:e>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r>
                            <m:rPr>
                              <m:sty m:val="p"/>
                            </m:rP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 β</m:t>
                              </m:r>
                            </m:e>
                          </m:d>
                          <m:ctrlPr>
                            <w:rPr>
                              <w:rFonts w:ascii="Cambria Math" w:eastAsia="Cambria Math" w:hAnsi="Cambria Math" w:cs="Cambria Math"/>
                              <w:i/>
                              <w:sz w:val="20"/>
                              <w:szCs w:val="20"/>
                            </w:rPr>
                          </m:ctrlPr>
                        </m:e>
                      </m:mr>
                      <m:mr>
                        <m:e>
                          <m:f>
                            <m:fPr>
                              <m:ctrlPr>
                                <w:rPr>
                                  <w:rFonts w:ascii="Cambria Math" w:eastAsiaTheme="minorEastAsia" w:hAnsi="Cambria Math"/>
                                  <w:i/>
                                  <w:kern w:val="2"/>
                                  <w:sz w:val="20"/>
                                  <w:szCs w:val="20"/>
                                </w:rPr>
                              </m:ctrlPr>
                            </m:fPr>
                            <m:num>
                              <m:r>
                                <w:rPr>
                                  <w:rFonts w:ascii="Cambria Math" w:eastAsiaTheme="minorEastAsia" w:hAnsi="Cambria Math"/>
                                  <w:kern w:val="2"/>
                                  <w:sz w:val="20"/>
                                  <w:szCs w:val="20"/>
                                </w:rPr>
                                <m:t>n</m:t>
                              </m:r>
                            </m:num>
                            <m:den>
                              <m:r>
                                <w:rPr>
                                  <w:rFonts w:ascii="Cambria Math" w:eastAsiaTheme="minorEastAsia" w:hAnsi="Cambria Math"/>
                                  <w:kern w:val="2"/>
                                  <w:sz w:val="20"/>
                                  <w:szCs w:val="20"/>
                                </w:rPr>
                                <m:t>2</m:t>
                              </m:r>
                            </m:den>
                          </m:f>
                          <m:d>
                            <m:dPr>
                              <m:ctrlPr>
                                <w:rPr>
                                  <w:rFonts w:ascii="Cambria Math" w:hAnsi="Cambria Math"/>
                                  <w:i/>
                                  <w:sz w:val="20"/>
                                  <w:szCs w:val="20"/>
                                </w:rPr>
                              </m:ctrlPr>
                            </m:dPr>
                            <m:e>
                              <m:r>
                                <w:rPr>
                                  <w:rFonts w:ascii="Cambria Math" w:hAnsi="Cambria Math"/>
                                  <w:sz w:val="20"/>
                                  <w:szCs w:val="20"/>
                                </w:rPr>
                                <m:t>2</m:t>
                              </m:r>
                              <m:r>
                                <w:rPr>
                                  <w:rFonts w:ascii="Cambria Math" w:eastAsiaTheme="minorEastAsia" w:hAnsi="Cambria Math"/>
                                  <w:kern w:val="2"/>
                                  <w:sz w:val="20"/>
                                  <w:szCs w:val="20"/>
                                </w:rPr>
                                <m:t>β-</m:t>
                              </m:r>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e>
                          </m:d>
                          <m:d>
                            <m:dPr>
                              <m:ctrlPr>
                                <w:rPr>
                                  <w:rFonts w:ascii="Cambria Math" w:hAnsi="Cambria Math"/>
                                  <w:i/>
                                  <w:sz w:val="20"/>
                                  <w:szCs w:val="20"/>
                                </w:rPr>
                              </m:ctrlPr>
                            </m:dPr>
                            <m:e>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3</m:t>
                                  </m:r>
                                </m:sub>
                                <m:sup>
                                  <m:r>
                                    <w:rPr>
                                      <w:rFonts w:ascii="Cambria Math" w:eastAsiaTheme="minorEastAsia" w:hAnsi="Cambria Math"/>
                                      <w:kern w:val="2"/>
                                      <w:sz w:val="20"/>
                                      <w:szCs w:val="20"/>
                                    </w:rPr>
                                    <m:t>2</m:t>
                                  </m:r>
                                </m:sup>
                              </m:sSubSup>
                              <m:r>
                                <w:rPr>
                                  <w:rFonts w:ascii="Cambria Math" w:eastAsiaTheme="minorEastAsia" w:hAnsi="Cambria Math"/>
                                  <w:kern w:val="2"/>
                                  <w:sz w:val="20"/>
                                  <w:szCs w:val="20"/>
                                </w:rPr>
                                <m:t>-</m:t>
                              </m:r>
                              <m:sSubSup>
                                <m:sSubSupPr>
                                  <m:ctrlPr>
                                    <w:rPr>
                                      <w:rFonts w:ascii="Cambria Math" w:eastAsiaTheme="minorEastAsia" w:hAnsi="Cambria Math"/>
                                      <w:i/>
                                      <w:kern w:val="2"/>
                                      <w:sz w:val="20"/>
                                      <w:szCs w:val="20"/>
                                    </w:rPr>
                                  </m:ctrlPr>
                                </m:sSubSupPr>
                                <m:e>
                                  <m:r>
                                    <w:rPr>
                                      <w:rFonts w:ascii="Cambria Math" w:eastAsiaTheme="minorEastAsia" w:hAnsi="Cambria Math"/>
                                      <w:kern w:val="2"/>
                                      <w:sz w:val="20"/>
                                      <w:szCs w:val="20"/>
                                    </w:rPr>
                                    <m:t>r</m:t>
                                  </m:r>
                                </m:e>
                                <m:sub>
                                  <m:r>
                                    <w:rPr>
                                      <w:rFonts w:ascii="Cambria Math" w:eastAsiaTheme="minorEastAsia" w:hAnsi="Cambria Math"/>
                                      <w:kern w:val="2"/>
                                      <w:sz w:val="20"/>
                                      <w:szCs w:val="20"/>
                                    </w:rPr>
                                    <m:t>2</m:t>
                                  </m:r>
                                </m:sub>
                                <m:sup>
                                  <m:r>
                                    <w:rPr>
                                      <w:rFonts w:ascii="Cambria Math" w:eastAsiaTheme="minorEastAsia" w:hAnsi="Cambria Math"/>
                                      <w:kern w:val="2"/>
                                      <w:sz w:val="20"/>
                                      <w:szCs w:val="20"/>
                                    </w:rPr>
                                    <m:t>2</m:t>
                                  </m:r>
                                </m:sup>
                              </m:sSubSup>
                            </m:e>
                          </m:d>
                          <m:r>
                            <w:rPr>
                              <w:rFonts w:ascii="Cambria Math" w:hAnsi="Cambria Math"/>
                              <w:sz w:val="20"/>
                              <w:szCs w:val="20"/>
                            </w:rPr>
                            <m:t>,</m:t>
                          </m:r>
                          <m:ctrlPr>
                            <w:rPr>
                              <w:rFonts w:ascii="Cambria Math" w:eastAsia="Cambria Math" w:hAnsi="Cambria Math" w:cs="Cambria Math"/>
                              <w:i/>
                              <w:sz w:val="20"/>
                              <w:szCs w:val="20"/>
                            </w:rPr>
                          </m:ctrlPr>
                        </m:e>
                        <m:e>
                          <m:d>
                            <m:dPr>
                              <m:begChr m:val="|"/>
                              <m:endChr m:val="|"/>
                              <m:ctrlPr>
                                <w:rPr>
                                  <w:rFonts w:ascii="Cambria Math" w:eastAsiaTheme="minorEastAsia" w:hAnsi="Cambria Math"/>
                                  <w:i/>
                                  <w:kern w:val="2"/>
                                  <w:sz w:val="20"/>
                                  <w:szCs w:val="20"/>
                                </w:rPr>
                              </m:ctrlPr>
                            </m:dPr>
                            <m:e>
                              <m:r>
                                <w:rPr>
                                  <w:rFonts w:ascii="Cambria Math" w:eastAsiaTheme="minorEastAsia" w:hAnsi="Cambria Math"/>
                                  <w:kern w:val="2"/>
                                  <w:sz w:val="20"/>
                                  <w:szCs w:val="20"/>
                                </w:rPr>
                                <m:t>γ</m:t>
                              </m:r>
                            </m:e>
                          </m:d>
                          <m:r>
                            <m:rPr>
                              <m:sty m:val="p"/>
                            </m:rPr>
                            <w:rPr>
                              <w:rFonts w:ascii="Cambria Math" w:hAnsi="Cambria Math"/>
                              <w:sz w:val="20"/>
                              <w:szCs w:val="20"/>
                            </w:rPr>
                            <m:t>∈</m:t>
                          </m:r>
                          <m:r>
                            <w:rPr>
                              <w:rFonts w:ascii="Cambria Math" w:hAnsi="Cambria Math"/>
                              <w:sz w:val="20"/>
                              <w:szCs w:val="20"/>
                            </w:rPr>
                            <m:t>(β, 2β)</m:t>
                          </m:r>
                        </m:e>
                      </m:mr>
                    </m:m>
                  </m:e>
                </m:d>
              </m:oMath>
            </m:oMathPara>
          </w:p>
        </w:tc>
        <w:tc>
          <w:tcPr>
            <w:tcW w:w="247" w:type="pct"/>
            <w:vAlign w:val="center"/>
          </w:tcPr>
          <w:p w14:paraId="59BD34EC" w14:textId="4B68EB20" w:rsidR="005373AA" w:rsidRPr="00B377AC" w:rsidRDefault="005373AA"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11</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1574E00F" w14:textId="77777777" w:rsidR="00C04C9F" w:rsidRPr="00B377AC" w:rsidRDefault="005373AA" w:rsidP="00B87845">
      <w:pPr>
        <w:ind w:firstLine="0"/>
      </w:pPr>
      <w:r w:rsidRPr="00B377AC">
        <w:t xml:space="preserve">in which </w:t>
      </w:r>
      <m:oMath>
        <m:r>
          <w:rPr>
            <w:rFonts w:ascii="Cambria Math" w:hAnsi="Cambria Math"/>
          </w:rPr>
          <m:t>β=</m:t>
        </m:r>
        <m:f>
          <m:fPr>
            <m:ctrlPr>
              <w:rPr>
                <w:rFonts w:ascii="Cambria Math" w:hAnsi="Cambria Math"/>
                <w:i/>
              </w:rPr>
            </m:ctrlPr>
          </m:fPr>
          <m:num>
            <m:r>
              <w:rPr>
                <w:rFonts w:ascii="Cambria Math" w:hAnsi="Cambria Math"/>
              </w:rPr>
              <m:t>π</m:t>
            </m:r>
          </m:num>
          <m:den>
            <m:r>
              <w:rPr>
                <w:rFonts w:ascii="Cambria Math" w:hAnsi="Cambria Math"/>
              </w:rPr>
              <m:t>n</m:t>
            </m:r>
          </m:den>
        </m:f>
      </m:oMath>
      <w:r w:rsidRPr="00B377AC">
        <w:t xml:space="preserve"> denotes the angle of each sector. </w:t>
      </w:r>
      <m:oMath>
        <m:sSub>
          <m:sSubPr>
            <m:ctrlPr>
              <w:rPr>
                <w:rFonts w:ascii="Cambria Math" w:hAnsi="Cambria Math"/>
              </w:rPr>
            </m:ctrlPr>
          </m:sSubPr>
          <m:e>
            <m:r>
              <w:rPr>
                <w:rFonts w:ascii="Cambria Math" w:hAnsi="Cambria Math"/>
              </w:rPr>
              <m:t>r</m:t>
            </m:r>
          </m:e>
          <m:sub>
            <m:r>
              <w:rPr>
                <w:rFonts w:ascii="Cambria Math" w:hAnsi="Cambria Math"/>
              </w:rPr>
              <m:t>1</m:t>
            </m:r>
          </m:sub>
        </m:sSub>
      </m:oMath>
      <w:r w:rsidRPr="00B377AC">
        <w:t xml:space="preserve">, </w:t>
      </w:r>
      <m:oMath>
        <m:sSub>
          <m:sSubPr>
            <m:ctrlPr>
              <w:rPr>
                <w:rFonts w:ascii="Cambria Math" w:hAnsi="Cambria Math"/>
              </w:rPr>
            </m:ctrlPr>
          </m:sSubPr>
          <m:e>
            <m:r>
              <w:rPr>
                <w:rFonts w:ascii="Cambria Math" w:hAnsi="Cambria Math"/>
              </w:rPr>
              <m:t>r</m:t>
            </m:r>
          </m:e>
          <m:sub>
            <m:r>
              <w:rPr>
                <w:rFonts w:ascii="Cambria Math" w:hAnsi="Cambria Math"/>
              </w:rPr>
              <m:t>2</m:t>
            </m:r>
          </m:sub>
        </m:sSub>
      </m:oMath>
      <w:r w:rsidRPr="00B377AC">
        <w:t xml:space="preserve">, </w:t>
      </w:r>
      <m:oMath>
        <m:sSub>
          <m:sSubPr>
            <m:ctrlPr>
              <w:rPr>
                <w:rFonts w:ascii="Cambria Math" w:hAnsi="Cambria Math"/>
              </w:rPr>
            </m:ctrlPr>
          </m:sSubPr>
          <m:e>
            <m:r>
              <w:rPr>
                <w:rFonts w:ascii="Cambria Math" w:hAnsi="Cambria Math"/>
              </w:rPr>
              <m:t>r</m:t>
            </m:r>
          </m:e>
          <m:sub>
            <m:r>
              <w:rPr>
                <w:rFonts w:ascii="Cambria Math" w:hAnsi="Cambria Math"/>
              </w:rPr>
              <m:t>3</m:t>
            </m:r>
          </m:sub>
        </m:sSub>
      </m:oMath>
      <w:r w:rsidRPr="00B377AC">
        <w:t xml:space="preserve"> and </w:t>
      </w:r>
      <m:oMath>
        <m:sSub>
          <m:sSubPr>
            <m:ctrlPr>
              <w:rPr>
                <w:rFonts w:ascii="Cambria Math" w:hAnsi="Cambria Math"/>
              </w:rPr>
            </m:ctrlPr>
          </m:sSubPr>
          <m:e>
            <m:r>
              <w:rPr>
                <w:rFonts w:ascii="Cambria Math" w:hAnsi="Cambria Math"/>
              </w:rPr>
              <m:t>r</m:t>
            </m:r>
          </m:e>
          <m:sub>
            <m:r>
              <w:rPr>
                <w:rFonts w:ascii="Cambria Math" w:hAnsi="Cambria Math"/>
              </w:rPr>
              <m:t>4</m:t>
            </m:r>
          </m:sub>
        </m:sSub>
      </m:oMath>
      <w:r w:rsidRPr="00B377AC">
        <w:t xml:space="preserve"> are the dimension parameters of the films, which are illustrated in Fig.1 (c).</w:t>
      </w:r>
    </w:p>
    <w:p w14:paraId="3FC45F83" w14:textId="77777777" w:rsidR="005373AA" w:rsidRPr="00B377AC" w:rsidRDefault="005373AA" w:rsidP="00B87845">
      <w:r w:rsidRPr="00B377AC">
        <w:t>For single harvester, the electricity generation equation of the triboelectric harvesters can be written as</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5373AA" w:rsidRPr="00B377AC" w14:paraId="12A9930D" w14:textId="77777777" w:rsidTr="005373AA">
        <w:tc>
          <w:tcPr>
            <w:tcW w:w="727" w:type="pct"/>
            <w:vAlign w:val="center"/>
          </w:tcPr>
          <w:p w14:paraId="6B910A0A" w14:textId="77777777" w:rsidR="005373AA" w:rsidRPr="00B377AC" w:rsidRDefault="005373AA" w:rsidP="00B87845">
            <w:pPr>
              <w:spacing w:line="240" w:lineRule="atLeast"/>
              <w:rPr>
                <w:sz w:val="20"/>
                <w:szCs w:val="20"/>
              </w:rPr>
            </w:pPr>
          </w:p>
        </w:tc>
        <w:tc>
          <w:tcPr>
            <w:tcW w:w="3546" w:type="pct"/>
            <w:vAlign w:val="center"/>
          </w:tcPr>
          <w:p w14:paraId="363B1F97" w14:textId="77777777" w:rsidR="005373AA" w:rsidRPr="00B377AC" w:rsidRDefault="005373AA" w:rsidP="00B87845">
            <w:pPr>
              <w:spacing w:line="240" w:lineRule="atLeast"/>
              <w:jc w:val="center"/>
              <w:rPr>
                <w:sz w:val="20"/>
                <w:szCs w:val="20"/>
              </w:rPr>
            </w:pPr>
            <m:oMathPara>
              <m:oMath>
                <m:r>
                  <w:rPr>
                    <w:rFonts w:ascii="Cambria Math" w:hAnsi="Cambria Math"/>
                    <w:sz w:val="20"/>
                    <w:szCs w:val="20"/>
                  </w:rPr>
                  <m:t>V=-</m:t>
                </m:r>
                <w:bookmarkStart w:id="18" w:name="OLE_LINK7"/>
                <w:bookmarkStart w:id="19" w:name="OLE_LINK8"/>
                <m:f>
                  <m:fPr>
                    <m:ctrlPr>
                      <w:rPr>
                        <w:rFonts w:ascii="Cambria Math" w:hAnsi="Cambria Math"/>
                        <w:i/>
                        <w:sz w:val="20"/>
                        <w:szCs w:val="20"/>
                      </w:rPr>
                    </m:ctrlPr>
                  </m:fPr>
                  <m:num>
                    <m:r>
                      <w:rPr>
                        <w:rFonts w:ascii="Cambria Math" w:hAnsi="Cambria Math"/>
                        <w:sz w:val="20"/>
                        <w:szCs w:val="20"/>
                      </w:rPr>
                      <m:t>Q</m:t>
                    </m:r>
                  </m:num>
                  <m:den>
                    <m:sSub>
                      <m:sSubPr>
                        <m:ctrlPr>
                          <w:rPr>
                            <w:rFonts w:ascii="Cambria Math" w:eastAsiaTheme="minorEastAsia" w:hAnsi="Cambria Math"/>
                            <w:kern w:val="2"/>
                            <w:sz w:val="20"/>
                            <w:szCs w:val="20"/>
                          </w:rPr>
                        </m:ctrlPr>
                      </m:sSubPr>
                      <m:e>
                        <m:r>
                          <w:rPr>
                            <w:rFonts w:ascii="Cambria Math" w:hAnsi="Cambria Math"/>
                            <w:sz w:val="20"/>
                            <w:szCs w:val="20"/>
                          </w:rPr>
                          <m:t>C</m:t>
                        </m:r>
                      </m:e>
                      <m:sub>
                        <m:r>
                          <m:rPr>
                            <m:sty m:val="p"/>
                          </m:rPr>
                          <w:rPr>
                            <w:rFonts w:ascii="Cambria Math" w:hAnsi="Cambria Math"/>
                            <w:sz w:val="20"/>
                            <w:szCs w:val="20"/>
                          </w:rPr>
                          <m:t>e</m:t>
                        </m:r>
                      </m:sub>
                    </m:sSub>
                  </m:den>
                </m:f>
                <w:bookmarkEnd w:id="18"/>
                <w:bookmarkEnd w:id="19"/>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oc</m:t>
                    </m:r>
                  </m:sub>
                </m:sSub>
              </m:oMath>
            </m:oMathPara>
          </w:p>
        </w:tc>
        <w:tc>
          <w:tcPr>
            <w:tcW w:w="727" w:type="pct"/>
            <w:vAlign w:val="center"/>
          </w:tcPr>
          <w:p w14:paraId="1537A45F" w14:textId="0193051E" w:rsidR="005373AA" w:rsidRPr="00B377AC" w:rsidRDefault="005373AA"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12</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0E7B1897" w14:textId="77777777" w:rsidR="005373AA" w:rsidRPr="00B377AC" w:rsidRDefault="0038088D" w:rsidP="00B87845">
      <w:pPr>
        <w:ind w:firstLine="0"/>
      </w:pPr>
      <w:r w:rsidRPr="00B377AC">
        <w:t xml:space="preserve">where </w:t>
      </w:r>
      <m:oMath>
        <m:r>
          <w:rPr>
            <w:rFonts w:ascii="Cambria Math" w:hAnsi="Cambria Math"/>
          </w:rPr>
          <m:t>V</m:t>
        </m:r>
      </m:oMath>
      <w:r w:rsidRPr="00B377AC">
        <w:t xml:space="preserve"> is the voltage across the </w:t>
      </w:r>
      <w:r w:rsidR="005D173F" w:rsidRPr="00B377AC">
        <w:t xml:space="preserve">load </w:t>
      </w:r>
      <w:r w:rsidRPr="00B377AC">
        <w:t xml:space="preserve">resistor </w:t>
      </w:r>
      <m:oMath>
        <m:r>
          <w:rPr>
            <w:rFonts w:ascii="Cambria Math" w:hAnsi="Cambria Math"/>
          </w:rPr>
          <m:t>R</m:t>
        </m:r>
      </m:oMath>
      <w:r w:rsidRPr="00B377AC">
        <w:t xml:space="preserve">, and </w:t>
      </w:r>
      <m:oMath>
        <m:r>
          <w:rPr>
            <w:rFonts w:ascii="Cambria Math" w:hAnsi="Cambria Math"/>
          </w:rPr>
          <m:t>Q</m:t>
        </m:r>
      </m:oMath>
      <w:r w:rsidRPr="00B377AC">
        <w:t xml:space="preserve"> is the amount of charge transferred in the harvester. Applying Ohm’s law, one can get the electric differential equation</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38088D" w:rsidRPr="00B377AC" w14:paraId="6C797A6B" w14:textId="77777777" w:rsidTr="008B61FB">
        <w:tc>
          <w:tcPr>
            <w:tcW w:w="727" w:type="pct"/>
            <w:vAlign w:val="center"/>
          </w:tcPr>
          <w:p w14:paraId="236B1B8B" w14:textId="77777777" w:rsidR="0038088D" w:rsidRPr="00B377AC" w:rsidRDefault="0038088D" w:rsidP="00B87845">
            <w:pPr>
              <w:spacing w:line="240" w:lineRule="atLeast"/>
              <w:rPr>
                <w:sz w:val="20"/>
                <w:szCs w:val="20"/>
              </w:rPr>
            </w:pPr>
          </w:p>
        </w:tc>
        <w:tc>
          <w:tcPr>
            <w:tcW w:w="3546" w:type="pct"/>
            <w:vAlign w:val="center"/>
          </w:tcPr>
          <w:p w14:paraId="5F0C704C" w14:textId="77777777" w:rsidR="0038088D" w:rsidRPr="00B377AC" w:rsidRDefault="0038088D" w:rsidP="00B87845">
            <w:pPr>
              <w:spacing w:line="240" w:lineRule="atLeast"/>
              <w:jc w:val="center"/>
              <w:rPr>
                <w:sz w:val="20"/>
                <w:szCs w:val="20"/>
              </w:rPr>
            </w:pPr>
            <m:oMathPara>
              <m:oMath>
                <m:r>
                  <w:rPr>
                    <w:rFonts w:ascii="Cambria Math" w:hAnsi="Cambria Math" w:cs="Times New Roman"/>
                    <w:sz w:val="20"/>
                    <w:szCs w:val="20"/>
                  </w:rPr>
                  <m:t>R</m:t>
                </m:r>
                <m:f>
                  <m:fPr>
                    <m:ctrlPr>
                      <w:rPr>
                        <w:rFonts w:ascii="Cambria Math" w:hAnsi="Cambria Math" w:cs="Times New Roman"/>
                        <w:i/>
                        <w:sz w:val="20"/>
                        <w:szCs w:val="20"/>
                      </w:rPr>
                    </m:ctrlPr>
                  </m:fPr>
                  <m:num>
                    <m:r>
                      <m:rPr>
                        <m:sty m:val="p"/>
                      </m:rPr>
                      <w:rPr>
                        <w:rFonts w:ascii="Cambria Math" w:hAnsi="Cambria Math" w:cs="Times New Roman"/>
                        <w:sz w:val="20"/>
                        <w:szCs w:val="20"/>
                      </w:rPr>
                      <m:t>d</m:t>
                    </m:r>
                    <m:r>
                      <w:rPr>
                        <w:rFonts w:ascii="Cambria Math" w:hAnsi="Cambria Math" w:cs="Times New Roman"/>
                        <w:sz w:val="20"/>
                        <w:szCs w:val="20"/>
                      </w:rPr>
                      <m:t>Q</m:t>
                    </m:r>
                  </m:num>
                  <m:den>
                    <m:r>
                      <m:rPr>
                        <m:sty m:val="p"/>
                      </m:rPr>
                      <w:rPr>
                        <w:rFonts w:ascii="Cambria Math" w:hAnsi="Cambria Math" w:cs="Times New Roman"/>
                        <w:sz w:val="20"/>
                        <w:szCs w:val="20"/>
                      </w:rPr>
                      <m:t>d</m:t>
                    </m:r>
                    <m:r>
                      <w:rPr>
                        <w:rFonts w:ascii="Cambria Math" w:hAnsi="Cambria Math" w:cs="Times New Roman"/>
                        <w:sz w:val="20"/>
                        <w:szCs w:val="20"/>
                      </w:rPr>
                      <m:t>t</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Q</m:t>
                    </m:r>
                  </m:num>
                  <m:den>
                    <m:sSub>
                      <m:sSubPr>
                        <m:ctrlPr>
                          <w:rPr>
                            <w:rFonts w:ascii="Cambria Math" w:hAnsi="Cambria Math" w:cs="Times New Roman"/>
                            <w:sz w:val="20"/>
                            <w:szCs w:val="20"/>
                          </w:rPr>
                        </m:ctrlPr>
                      </m:sSubPr>
                      <m:e>
                        <m:r>
                          <w:rPr>
                            <w:rFonts w:ascii="Cambria Math" w:hAnsi="Cambria Math" w:cs="Times New Roman"/>
                            <w:sz w:val="20"/>
                            <w:szCs w:val="20"/>
                          </w:rPr>
                          <m:t>C</m:t>
                        </m:r>
                      </m:e>
                      <m:sub>
                        <m:r>
                          <m:rPr>
                            <m:sty m:val="p"/>
                          </m:rPr>
                          <w:rPr>
                            <w:rFonts w:ascii="Cambria Math" w:hAnsi="Cambria Math" w:cs="Times New Roman"/>
                            <w:sz w:val="20"/>
                            <w:szCs w:val="20"/>
                          </w:rPr>
                          <m:t>e</m:t>
                        </m:r>
                      </m:sub>
                    </m:sSub>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m:rPr>
                        <m:sty m:val="p"/>
                      </m:rPr>
                      <w:rPr>
                        <w:rFonts w:ascii="Cambria Math" w:hAnsi="Cambria Math" w:cs="Times New Roman"/>
                        <w:sz w:val="20"/>
                        <w:szCs w:val="20"/>
                      </w:rPr>
                      <m:t>oc</m:t>
                    </m:r>
                  </m:sub>
                </m:sSub>
                <m:r>
                  <w:rPr>
                    <w:rFonts w:ascii="Cambria Math" w:hAnsi="Cambria Math" w:cs="Times New Roman"/>
                    <w:sz w:val="20"/>
                    <w:szCs w:val="20"/>
                  </w:rPr>
                  <m:t>=0</m:t>
                </m:r>
              </m:oMath>
            </m:oMathPara>
          </w:p>
        </w:tc>
        <w:tc>
          <w:tcPr>
            <w:tcW w:w="727" w:type="pct"/>
            <w:vAlign w:val="center"/>
          </w:tcPr>
          <w:p w14:paraId="7B3CF46A" w14:textId="6AFA4CD1" w:rsidR="0038088D" w:rsidRPr="00B377AC" w:rsidRDefault="0038088D"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13</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0B5A5B14" w14:textId="77777777" w:rsidR="0038088D" w:rsidRPr="00B377AC" w:rsidRDefault="0038088D" w:rsidP="00B87845">
      <w:r w:rsidRPr="00B377AC">
        <w:t xml:space="preserve">Average output power </w:t>
      </w:r>
      <m:oMath>
        <m:acc>
          <m:accPr>
            <m:chr m:val="̅"/>
            <m:ctrlPr>
              <w:rPr>
                <w:rFonts w:ascii="Cambria Math" w:hAnsi="Cambria Math"/>
                <w:color w:val="000000" w:themeColor="text1"/>
              </w:rPr>
            </m:ctrlPr>
          </m:accPr>
          <m:e>
            <m:r>
              <w:rPr>
                <w:rFonts w:ascii="Cambria Math" w:hAnsi="Cambria Math"/>
                <w:color w:val="000000" w:themeColor="text1"/>
              </w:rPr>
              <m:t>P</m:t>
            </m:r>
          </m:e>
        </m:acc>
      </m:oMath>
      <w:r w:rsidRPr="00B377AC">
        <w:t xml:space="preserve"> is usually used to assess the performance of vibr</w:t>
      </w:r>
      <w:r w:rsidR="00AA7A16" w:rsidRPr="00B377AC">
        <w:t>o</w:t>
      </w:r>
      <w:r w:rsidRPr="00B377AC">
        <w:t>-based energy harvesters, which can be obtained by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6"/>
        <w:gridCol w:w="4906"/>
        <w:gridCol w:w="1006"/>
      </w:tblGrid>
      <w:tr w:rsidR="0038088D" w:rsidRPr="00B377AC" w14:paraId="76E99E69" w14:textId="77777777" w:rsidTr="008B61FB">
        <w:tc>
          <w:tcPr>
            <w:tcW w:w="727" w:type="pct"/>
            <w:vAlign w:val="center"/>
          </w:tcPr>
          <w:p w14:paraId="2464B9A7" w14:textId="77777777" w:rsidR="0038088D" w:rsidRPr="00B377AC" w:rsidRDefault="0038088D" w:rsidP="00B87845">
            <w:pPr>
              <w:spacing w:line="240" w:lineRule="atLeast"/>
              <w:rPr>
                <w:rFonts w:cs="Times New Roman"/>
                <w:color w:val="000000" w:themeColor="text1"/>
                <w:sz w:val="20"/>
                <w:szCs w:val="20"/>
              </w:rPr>
            </w:pPr>
          </w:p>
        </w:tc>
        <w:tc>
          <w:tcPr>
            <w:tcW w:w="3546" w:type="pct"/>
            <w:vAlign w:val="center"/>
          </w:tcPr>
          <w:p w14:paraId="4732F5AA" w14:textId="77777777" w:rsidR="0038088D" w:rsidRPr="00B377AC" w:rsidRDefault="00AB010E" w:rsidP="00B87845">
            <w:pPr>
              <w:spacing w:line="240" w:lineRule="atLeast"/>
              <w:jc w:val="center"/>
              <w:rPr>
                <w:rFonts w:cs="Times New Roman"/>
                <w:color w:val="000000" w:themeColor="text1"/>
                <w:sz w:val="20"/>
                <w:szCs w:val="20"/>
              </w:rPr>
            </w:pPr>
            <m:oMathPara>
              <m:oMath>
                <m:acc>
                  <m:accPr>
                    <m:chr m:val="̅"/>
                    <m:ctrlPr>
                      <w:rPr>
                        <w:rFonts w:ascii="Cambria Math" w:hAnsi="Cambria Math" w:cs="Times New Roman"/>
                        <w:color w:val="000000" w:themeColor="text1"/>
                        <w:sz w:val="20"/>
                        <w:szCs w:val="20"/>
                      </w:rPr>
                    </m:ctrlPr>
                  </m:accPr>
                  <m:e>
                    <m:r>
                      <w:rPr>
                        <w:rFonts w:ascii="Cambria Math" w:hAnsi="Cambria Math" w:cs="Times New Roman"/>
                        <w:color w:val="000000" w:themeColor="text1"/>
                        <w:sz w:val="20"/>
                        <w:szCs w:val="20"/>
                      </w:rPr>
                      <m:t>P</m:t>
                    </m:r>
                  </m:e>
                </m:acc>
                <m:r>
                  <m:rPr>
                    <m:sty m:val="p"/>
                  </m:rPr>
                  <w:rPr>
                    <w:rFonts w:ascii="Cambria Math" w:hAnsi="Cambria Math" w:cs="Times New Roman"/>
                    <w:color w:val="000000" w:themeColor="text1"/>
                    <w:sz w:val="20"/>
                    <w:szCs w:val="20"/>
                  </w:rPr>
                  <m:t>=</m:t>
                </m:r>
                <m:f>
                  <m:fPr>
                    <m:ctrlPr>
                      <w:rPr>
                        <w:rFonts w:ascii="Cambria Math" w:hAnsi="Cambria Math" w:cs="Times New Roman"/>
                        <w:color w:val="000000" w:themeColor="text1"/>
                        <w:sz w:val="20"/>
                        <w:szCs w:val="20"/>
                      </w:rPr>
                    </m:ctrlPr>
                  </m:fPr>
                  <m:num>
                    <m:nary>
                      <m:naryPr>
                        <m:limLoc m:val="subSup"/>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0</m:t>
                        </m:r>
                      </m:sub>
                      <m:sup>
                        <m:r>
                          <w:rPr>
                            <w:rFonts w:ascii="Cambria Math" w:hAnsi="Cambria Math" w:cs="Times New Roman"/>
                            <w:color w:val="000000" w:themeColor="text1"/>
                            <w:sz w:val="20"/>
                            <w:szCs w:val="20"/>
                          </w:rPr>
                          <m:t>t</m:t>
                        </m:r>
                      </m:sup>
                      <m:e>
                        <m:sSup>
                          <m:sSupPr>
                            <m:ctrlPr>
                              <w:rPr>
                                <w:rFonts w:ascii="Cambria Math" w:hAnsi="Cambria Math" w:cs="Times New Roman"/>
                                <w:i/>
                                <w:color w:val="000000" w:themeColor="text1"/>
                                <w:sz w:val="20"/>
                                <w:szCs w:val="20"/>
                              </w:rPr>
                            </m:ctrlPr>
                          </m:sSupPr>
                          <m:e>
                            <m:r>
                              <w:rPr>
                                <w:rFonts w:ascii="Cambria Math" w:hAnsi="Cambria Math" w:cs="Times New Roman"/>
                                <w:color w:val="000000" w:themeColor="text1"/>
                                <w:sz w:val="20"/>
                                <w:szCs w:val="20"/>
                              </w:rPr>
                              <m:t>V</m:t>
                            </m:r>
                          </m:e>
                          <m:sup>
                            <m:r>
                              <w:rPr>
                                <w:rFonts w:ascii="Cambria Math" w:hAnsi="Cambria Math" w:cs="Times New Roman"/>
                                <w:color w:val="000000" w:themeColor="text1"/>
                                <w:sz w:val="20"/>
                                <w:szCs w:val="20"/>
                              </w:rPr>
                              <m:t>2</m:t>
                            </m:r>
                          </m:sup>
                        </m:sSup>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m:rPr>
                            <m:sty m:val="p"/>
                          </m:rPr>
                          <w:rPr>
                            <w:rFonts w:ascii="Cambria Math" w:hAnsi="Cambria Math" w:cs="Times New Roman"/>
                            <w:color w:val="000000" w:themeColor="text1"/>
                            <w:sz w:val="20"/>
                            <w:szCs w:val="20"/>
                          </w:rPr>
                          <m:t>d</m:t>
                        </m:r>
                        <m:r>
                          <w:rPr>
                            <w:rFonts w:ascii="Cambria Math" w:hAnsi="Cambria Math" w:cs="Times New Roman"/>
                            <w:color w:val="000000" w:themeColor="text1"/>
                            <w:sz w:val="20"/>
                            <w:szCs w:val="20"/>
                          </w:rPr>
                          <m:t>t</m:t>
                        </m:r>
                      </m:e>
                    </m:nary>
                  </m:num>
                  <m:den>
                    <m:r>
                      <w:rPr>
                        <w:rFonts w:ascii="Cambria Math" w:hAnsi="Cambria Math" w:cs="Times New Roman"/>
                        <w:color w:val="000000" w:themeColor="text1"/>
                        <w:sz w:val="20"/>
                        <w:szCs w:val="20"/>
                      </w:rPr>
                      <m:t>Rt</m:t>
                    </m:r>
                  </m:den>
                </m:f>
              </m:oMath>
            </m:oMathPara>
          </w:p>
        </w:tc>
        <w:tc>
          <w:tcPr>
            <w:tcW w:w="727" w:type="pct"/>
            <w:vAlign w:val="center"/>
          </w:tcPr>
          <w:p w14:paraId="090744DE" w14:textId="2A6B5CF3" w:rsidR="0038088D" w:rsidRPr="00B377AC" w:rsidRDefault="0038088D" w:rsidP="00B87845">
            <w:pPr>
              <w:pStyle w:val="Caption"/>
              <w:spacing w:line="240" w:lineRule="atLeast"/>
              <w:jc w:val="right"/>
              <w:rPr>
                <w:rFonts w:ascii="Times New Roman" w:hAnsi="Times New Roman" w:cs="Times New Roman"/>
                <w:color w:val="000000" w:themeColor="text1"/>
                <w:sz w:val="20"/>
                <w:szCs w:val="20"/>
              </w:rPr>
            </w:pPr>
            <w:r w:rsidRPr="00B377AC">
              <w:rPr>
                <w:rFonts w:ascii="Times New Roman" w:hAnsi="Times New Roman" w:cs="Times New Roman"/>
                <w:color w:val="000000" w:themeColor="text1"/>
                <w:sz w:val="20"/>
                <w:szCs w:val="20"/>
              </w:rPr>
              <w:t>(</w:t>
            </w:r>
            <w:r w:rsidRPr="00B377AC">
              <w:rPr>
                <w:rFonts w:ascii="Times New Roman" w:hAnsi="Times New Roman" w:cs="Times New Roman"/>
                <w:color w:val="000000" w:themeColor="text1"/>
              </w:rPr>
              <w:fldChar w:fldCharType="begin"/>
            </w:r>
            <w:r w:rsidRPr="00B377AC">
              <w:rPr>
                <w:rFonts w:ascii="Times New Roman" w:hAnsi="Times New Roman" w:cs="Times New Roman"/>
                <w:color w:val="000000" w:themeColor="text1"/>
                <w:sz w:val="20"/>
                <w:szCs w:val="20"/>
              </w:rPr>
              <w:instrText xml:space="preserve"> SEQ Equation \* ARABIC </w:instrText>
            </w:r>
            <w:r w:rsidRPr="00B377AC">
              <w:rPr>
                <w:rFonts w:ascii="Times New Roman" w:hAnsi="Times New Roman" w:cs="Times New Roman"/>
                <w:color w:val="000000" w:themeColor="text1"/>
              </w:rPr>
              <w:fldChar w:fldCharType="separate"/>
            </w:r>
            <w:r w:rsidR="003833BF">
              <w:rPr>
                <w:rFonts w:ascii="Times New Roman" w:hAnsi="Times New Roman" w:cs="Times New Roman"/>
                <w:noProof/>
                <w:color w:val="000000" w:themeColor="text1"/>
                <w:sz w:val="20"/>
                <w:szCs w:val="20"/>
              </w:rPr>
              <w:t>14</w:t>
            </w:r>
            <w:r w:rsidRPr="00B377AC">
              <w:rPr>
                <w:rFonts w:ascii="Times New Roman" w:hAnsi="Times New Roman" w:cs="Times New Roman"/>
                <w:color w:val="000000" w:themeColor="text1"/>
              </w:rPr>
              <w:fldChar w:fldCharType="end"/>
            </w:r>
            <w:r w:rsidRPr="00B377AC">
              <w:rPr>
                <w:rFonts w:ascii="Times New Roman" w:hAnsi="Times New Roman" w:cs="Times New Roman"/>
                <w:color w:val="000000" w:themeColor="text1"/>
                <w:sz w:val="20"/>
                <w:szCs w:val="20"/>
              </w:rPr>
              <w:t>)</w:t>
            </w:r>
          </w:p>
        </w:tc>
      </w:tr>
    </w:tbl>
    <w:p w14:paraId="7B6F10F6" w14:textId="77777777" w:rsidR="0038088D" w:rsidRPr="00B377AC" w:rsidRDefault="0038088D" w:rsidP="00B87845">
      <w:r w:rsidRPr="00B377AC">
        <w:t xml:space="preserve">The electric torque </w:t>
      </w:r>
      <m:oMath>
        <m:sSub>
          <m:sSubPr>
            <m:ctrlPr>
              <w:rPr>
                <w:rFonts w:ascii="Cambria Math" w:hAnsi="Cambria Math"/>
              </w:rPr>
            </m:ctrlPr>
          </m:sSubPr>
          <m:e>
            <m:r>
              <w:rPr>
                <w:rFonts w:ascii="Cambria Math" w:hAnsi="Cambria Math"/>
              </w:rPr>
              <m:t>T</m:t>
            </m:r>
          </m:e>
          <m:sub>
            <m:r>
              <m:rPr>
                <m:sty m:val="p"/>
              </m:rPr>
              <w:rPr>
                <w:rFonts w:ascii="Cambria Math" w:hAnsi="Cambria Math"/>
              </w:rPr>
              <m:t>e</m:t>
            </m:r>
          </m:sub>
        </m:sSub>
      </m:oMath>
      <w:r w:rsidRPr="00B377AC">
        <w:t xml:space="preserve"> provides the feedback in the dynamic domain, which can be calculated by</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2"/>
        <w:gridCol w:w="6105"/>
        <w:gridCol w:w="451"/>
      </w:tblGrid>
      <w:tr w:rsidR="0038088D" w:rsidRPr="00B377AC" w14:paraId="5C5394B7" w14:textId="77777777" w:rsidTr="0038088D">
        <w:tc>
          <w:tcPr>
            <w:tcW w:w="362" w:type="dxa"/>
            <w:vAlign w:val="center"/>
          </w:tcPr>
          <w:p w14:paraId="6EEAA014" w14:textId="77777777" w:rsidR="0038088D" w:rsidRPr="00B377AC" w:rsidRDefault="0038088D" w:rsidP="00B87845">
            <w:pPr>
              <w:spacing w:line="240" w:lineRule="atLeast"/>
              <w:rPr>
                <w:sz w:val="20"/>
                <w:szCs w:val="20"/>
              </w:rPr>
            </w:pPr>
          </w:p>
        </w:tc>
        <w:tc>
          <w:tcPr>
            <w:tcW w:w="6105" w:type="dxa"/>
            <w:vAlign w:val="center"/>
          </w:tcPr>
          <w:p w14:paraId="3A0C2311" w14:textId="77777777" w:rsidR="0038088D" w:rsidRPr="00B377AC" w:rsidRDefault="00AB010E" w:rsidP="00B87845">
            <w:pPr>
              <w:spacing w:line="240" w:lineRule="atLeast"/>
              <w:jc w:val="center"/>
              <w:rPr>
                <w:sz w:val="20"/>
                <w:szCs w:val="20"/>
              </w:rPr>
            </w:pPr>
            <m:oMathPara>
              <m:oMath>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e</m:t>
                    </m:r>
                  </m:sub>
                </m:sSub>
                <m:r>
                  <m:rPr>
                    <m:sty m:val="p"/>
                  </m:rPr>
                  <w:rPr>
                    <w:rFonts w:ascii="Cambria Math" w:hAnsi="Cambria Math" w:cs="Times New Roman"/>
                    <w:sz w:val="20"/>
                    <w:szCs w:val="20"/>
                  </w:rPr>
                  <m:t xml:space="preserve"> </m:t>
                </m:r>
                <m:r>
                  <w:rPr>
                    <w:rFonts w:ascii="Cambria Math" w:hAnsi="Cambria Math" w:cs="Times New Roman"/>
                    <w:sz w:val="20"/>
                    <w:szCs w:val="20"/>
                  </w:rPr>
                  <m:t>=</m:t>
                </m:r>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nQ</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t</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2</m:t>
                                      </m:r>
                                    </m:sub>
                                    <m:sup>
                                      <m:r>
                                        <w:rPr>
                                          <w:rFonts w:ascii="Cambria Math" w:hAnsi="Cambria Math" w:cs="Times New Roman"/>
                                          <w:sz w:val="20"/>
                                          <w:szCs w:val="20"/>
                                        </w:rPr>
                                        <m:t>2</m:t>
                                      </m:r>
                                    </m:sup>
                                  </m:sSubSup>
                                </m:e>
                              </m:d>
                            </m:num>
                            <m:den>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w:rPr>
                              <w:rFonts w:ascii="Cambria Math" w:hAnsi="Cambria Math" w:cs="Times New Roman"/>
                              <w:sz w:val="20"/>
                              <w:szCs w:val="20"/>
                            </w:rPr>
                            <m:t>,</m:t>
                          </m:r>
                        </m:e>
                        <m:e>
                          <m:r>
                            <w:rPr>
                              <w:rFonts w:ascii="Cambria Math" w:hAnsi="Cambria Math" w:cs="Times New Roman"/>
                              <w:sz w:val="20"/>
                              <w:szCs w:val="20"/>
                            </w:rPr>
                            <m:t>γ</m:t>
                          </m:r>
                          <m:r>
                            <m:rPr>
                              <m:sty m:val="p"/>
                            </m:rP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0, β</m:t>
                              </m:r>
                            </m:e>
                          </m:d>
                          <m:r>
                            <w:rPr>
                              <w:rFonts w:ascii="Cambria Math" w:hAnsi="Cambria Math" w:cs="Times New Roman"/>
                              <w:sz w:val="20"/>
                              <w:szCs w:val="20"/>
                            </w:rPr>
                            <m:t xml:space="preserve"> </m:t>
                          </m:r>
                          <m:r>
                            <m:rPr>
                              <m:sty m:val="p"/>
                            </m:rPr>
                            <w:rPr>
                              <w:rFonts w:ascii="Cambria Math" w:hAnsi="Cambria Math" w:cs="Times New Roman"/>
                              <w:sz w:val="20"/>
                              <w:szCs w:val="20"/>
                            </w:rPr>
                            <m:t>or</m:t>
                          </m:r>
                          <m:r>
                            <w:rPr>
                              <w:rFonts w:ascii="Cambria Math" w:hAnsi="Cambria Math" w:cs="Times New Roman"/>
                              <w:sz w:val="20"/>
                              <w:szCs w:val="20"/>
                            </w:rPr>
                            <m:t xml:space="preserve"> γ</m:t>
                          </m:r>
                          <m:r>
                            <m:rPr>
                              <m:sty m:val="p"/>
                            </m:rPr>
                            <w:rPr>
                              <w:rFonts w:ascii="Cambria Math" w:hAnsi="Cambria Math" w:cs="Times New Roman"/>
                              <w:sz w:val="20"/>
                              <w:szCs w:val="20"/>
                            </w:rPr>
                            <m:t>∈</m:t>
                          </m:r>
                          <m:r>
                            <w:rPr>
                              <w:rFonts w:ascii="Cambria Math" w:hAnsi="Cambria Math" w:cs="Times New Roman"/>
                              <w:sz w:val="20"/>
                              <w:szCs w:val="20"/>
                            </w:rPr>
                            <m:t>(-2β,-β)</m:t>
                          </m:r>
                          <m:ctrlPr>
                            <w:rPr>
                              <w:rFonts w:ascii="Cambria Math" w:eastAsia="Cambria Math" w:hAnsi="Cambria Math" w:cs="Cambria Math"/>
                              <w:i/>
                              <w:sz w:val="20"/>
                              <w:szCs w:val="20"/>
                            </w:rPr>
                          </m:ctrlPr>
                        </m:e>
                      </m:mr>
                      <m:mr>
                        <m:e>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nQ</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t</m:t>
                                  </m:r>
                                </m:sub>
                              </m:sSub>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3</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r</m:t>
                                      </m:r>
                                    </m:e>
                                    <m:sub>
                                      <m:r>
                                        <w:rPr>
                                          <w:rFonts w:ascii="Cambria Math" w:hAnsi="Cambria Math" w:cs="Times New Roman"/>
                                          <w:sz w:val="20"/>
                                          <w:szCs w:val="20"/>
                                        </w:rPr>
                                        <m:t>2</m:t>
                                      </m:r>
                                    </m:sub>
                                    <m:sup>
                                      <m:r>
                                        <w:rPr>
                                          <w:rFonts w:ascii="Cambria Math" w:hAnsi="Cambria Math" w:cs="Times New Roman"/>
                                          <w:sz w:val="20"/>
                                          <w:szCs w:val="20"/>
                                        </w:rPr>
                                        <m:t>2</m:t>
                                      </m:r>
                                    </m:sup>
                                  </m:sSubSup>
                                </m:e>
                              </m:d>
                            </m:num>
                            <m:den>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2</m:t>
                                  </m:r>
                                </m:sup>
                              </m:sSubSup>
                            </m:den>
                          </m:f>
                          <m:r>
                            <w:rPr>
                              <w:rFonts w:ascii="Cambria Math" w:hAnsi="Cambria Math" w:cs="Times New Roman"/>
                              <w:sz w:val="20"/>
                              <w:szCs w:val="20"/>
                            </w:rPr>
                            <m:t>,</m:t>
                          </m:r>
                          <m:ctrlPr>
                            <w:rPr>
                              <w:rFonts w:ascii="Cambria Math" w:eastAsia="Cambria Math" w:hAnsi="Cambria Math" w:cs="Cambria Math"/>
                              <w:i/>
                              <w:sz w:val="20"/>
                              <w:szCs w:val="20"/>
                            </w:rPr>
                          </m:ctrlPr>
                        </m:e>
                        <m:e>
                          <m:r>
                            <w:rPr>
                              <w:rFonts w:ascii="Cambria Math" w:hAnsi="Cambria Math" w:cs="Times New Roman"/>
                              <w:sz w:val="20"/>
                              <w:szCs w:val="20"/>
                            </w:rPr>
                            <m:t>γ</m:t>
                          </m:r>
                          <m:r>
                            <m:rPr>
                              <m:sty m:val="p"/>
                            </m:rP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-β, 0</m:t>
                              </m:r>
                            </m:e>
                          </m:d>
                          <m:r>
                            <w:rPr>
                              <w:rFonts w:ascii="Cambria Math" w:hAnsi="Cambria Math" w:cs="Times New Roman"/>
                              <w:sz w:val="20"/>
                              <w:szCs w:val="20"/>
                            </w:rPr>
                            <m:t xml:space="preserve"> </m:t>
                          </m:r>
                          <m:r>
                            <m:rPr>
                              <m:sty m:val="p"/>
                            </m:rPr>
                            <w:rPr>
                              <w:rFonts w:ascii="Cambria Math" w:hAnsi="Cambria Math" w:cs="Times New Roman"/>
                              <w:sz w:val="20"/>
                              <w:szCs w:val="20"/>
                            </w:rPr>
                            <m:t>or</m:t>
                          </m:r>
                          <m:r>
                            <w:rPr>
                              <w:rFonts w:ascii="Cambria Math" w:hAnsi="Cambria Math" w:cs="Times New Roman"/>
                              <w:sz w:val="20"/>
                              <w:szCs w:val="20"/>
                            </w:rPr>
                            <m:t xml:space="preserve"> γ</m:t>
                          </m:r>
                          <m:r>
                            <m:rPr>
                              <m:sty m:val="p"/>
                            </m:rPr>
                            <w:rPr>
                              <w:rFonts w:ascii="Cambria Math" w:hAnsi="Cambria Math" w:cs="Times New Roman"/>
                              <w:sz w:val="20"/>
                              <w:szCs w:val="20"/>
                            </w:rPr>
                            <m:t>∈</m:t>
                          </m:r>
                          <m:r>
                            <w:rPr>
                              <w:rFonts w:ascii="Cambria Math" w:hAnsi="Cambria Math" w:cs="Times New Roman"/>
                              <w:sz w:val="20"/>
                              <w:szCs w:val="20"/>
                            </w:rPr>
                            <m:t>(β, 2β)</m:t>
                          </m:r>
                        </m:e>
                      </m:mr>
                    </m:m>
                  </m:e>
                </m:d>
              </m:oMath>
            </m:oMathPara>
          </w:p>
        </w:tc>
        <w:tc>
          <w:tcPr>
            <w:tcW w:w="451" w:type="dxa"/>
            <w:vAlign w:val="center"/>
          </w:tcPr>
          <w:p w14:paraId="7EAA0A21" w14:textId="65B81047" w:rsidR="0038088D" w:rsidRPr="00B377AC" w:rsidRDefault="0038088D" w:rsidP="00B87845">
            <w:pPr>
              <w:pStyle w:val="Caption"/>
              <w:spacing w:line="240" w:lineRule="atLeast"/>
              <w:jc w:val="right"/>
              <w:rPr>
                <w:rFonts w:ascii="Times New Roman" w:hAnsi="Times New Roman" w:cs="Times New Roman"/>
                <w:sz w:val="20"/>
                <w:szCs w:val="20"/>
              </w:rPr>
            </w:pPr>
            <w:r w:rsidRPr="00B377AC">
              <w:rPr>
                <w:rFonts w:ascii="Times New Roman" w:hAnsi="Times New Roman" w:cs="Times New Roman"/>
                <w:sz w:val="20"/>
                <w:szCs w:val="20"/>
              </w:rPr>
              <w:t>(</w:t>
            </w:r>
            <w:r w:rsidRPr="00B377AC">
              <w:rPr>
                <w:rFonts w:ascii="Times New Roman" w:hAnsi="Times New Roman" w:cs="Times New Roman"/>
              </w:rPr>
              <w:fldChar w:fldCharType="begin"/>
            </w:r>
            <w:r w:rsidRPr="00B377AC">
              <w:rPr>
                <w:rFonts w:ascii="Times New Roman" w:hAnsi="Times New Roman" w:cs="Times New Roman"/>
                <w:sz w:val="20"/>
                <w:szCs w:val="20"/>
              </w:rPr>
              <w:instrText xml:space="preserve"> SEQ Equation \* ARABIC </w:instrText>
            </w:r>
            <w:r w:rsidRPr="00B377AC">
              <w:rPr>
                <w:rFonts w:ascii="Times New Roman" w:hAnsi="Times New Roman" w:cs="Times New Roman"/>
              </w:rPr>
              <w:fldChar w:fldCharType="separate"/>
            </w:r>
            <w:r w:rsidR="003833BF">
              <w:rPr>
                <w:rFonts w:ascii="Times New Roman" w:hAnsi="Times New Roman" w:cs="Times New Roman"/>
                <w:noProof/>
                <w:sz w:val="20"/>
                <w:szCs w:val="20"/>
              </w:rPr>
              <w:t>15</w:t>
            </w:r>
            <w:r w:rsidRPr="00B377AC">
              <w:rPr>
                <w:rFonts w:ascii="Times New Roman" w:hAnsi="Times New Roman" w:cs="Times New Roman"/>
              </w:rPr>
              <w:fldChar w:fldCharType="end"/>
            </w:r>
            <w:r w:rsidRPr="00B377AC">
              <w:rPr>
                <w:rFonts w:ascii="Times New Roman" w:hAnsi="Times New Roman" w:cs="Times New Roman"/>
                <w:sz w:val="20"/>
                <w:szCs w:val="20"/>
              </w:rPr>
              <w:t>)</w:t>
            </w:r>
          </w:p>
        </w:tc>
      </w:tr>
    </w:tbl>
    <w:p w14:paraId="0D7D0CB8" w14:textId="77777777" w:rsidR="0038088D" w:rsidRPr="00B377AC" w:rsidRDefault="0038088D" w:rsidP="0038088D">
      <w:pPr>
        <w:pStyle w:val="heading1"/>
      </w:pPr>
      <w:r w:rsidRPr="00B377AC">
        <w:t>Numerical simulations</w:t>
      </w:r>
    </w:p>
    <w:p w14:paraId="115DB953" w14:textId="77777777" w:rsidR="0038088D" w:rsidRPr="00B377AC" w:rsidRDefault="0038088D" w:rsidP="00B87845">
      <w:pPr>
        <w:pStyle w:val="p1a"/>
      </w:pPr>
      <w:r w:rsidRPr="00B377AC">
        <w:t>In this section, a series of numerical simulations are carried out and both mechanical dynamic response and electrical output are studied theoretically. A number of essential parameters used in the numerical simulation</w:t>
      </w:r>
      <w:r w:rsidR="0093522C" w:rsidRPr="00B377AC">
        <w:t>s are</w:t>
      </w:r>
      <w:r w:rsidRPr="00B377AC">
        <w:t xml:space="preserve"> shown in Table 1.</w:t>
      </w:r>
    </w:p>
    <w:p w14:paraId="539B6DC2" w14:textId="223C5E42" w:rsidR="0038088D" w:rsidRPr="00B377AC" w:rsidRDefault="0038088D" w:rsidP="0038088D">
      <w:pPr>
        <w:pStyle w:val="tablecaption"/>
      </w:pPr>
      <w:r w:rsidRPr="00B377AC">
        <w:rPr>
          <w:b/>
        </w:rPr>
        <w:t xml:space="preserve">Table </w:t>
      </w:r>
      <w:r w:rsidRPr="00B377AC">
        <w:rPr>
          <w:b/>
        </w:rPr>
        <w:fldChar w:fldCharType="begin"/>
      </w:r>
      <w:r w:rsidRPr="00B377AC">
        <w:rPr>
          <w:b/>
        </w:rPr>
        <w:instrText xml:space="preserve"> SEQ "Table" \* MERGEFORMAT </w:instrText>
      </w:r>
      <w:r w:rsidRPr="00B377AC">
        <w:rPr>
          <w:b/>
        </w:rPr>
        <w:fldChar w:fldCharType="separate"/>
      </w:r>
      <w:r w:rsidR="003833BF">
        <w:rPr>
          <w:b/>
          <w:noProof/>
        </w:rPr>
        <w:t>1</w:t>
      </w:r>
      <w:r w:rsidRPr="00B377AC">
        <w:rPr>
          <w:b/>
        </w:rPr>
        <w:fldChar w:fldCharType="end"/>
      </w:r>
      <w:r w:rsidRPr="00B377AC">
        <w:rPr>
          <w:b/>
        </w:rPr>
        <w:t>.</w:t>
      </w:r>
      <w:r w:rsidRPr="00B377AC">
        <w:t xml:space="preserve"> </w:t>
      </w:r>
      <w:r w:rsidR="0093522C" w:rsidRPr="00B377AC">
        <w:t>Parameters of the harvester.</w:t>
      </w:r>
    </w:p>
    <w:tbl>
      <w:tblPr>
        <w:tblStyle w:val="TableGrid"/>
        <w:tblW w:w="6804" w:type="dxa"/>
        <w:jc w:val="center"/>
        <w:tblInd w:w="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1"/>
        <w:gridCol w:w="2141"/>
        <w:gridCol w:w="1276"/>
        <w:gridCol w:w="2126"/>
      </w:tblGrid>
      <w:tr w:rsidR="0038088D" w:rsidRPr="00B377AC" w14:paraId="3856F1AC" w14:textId="77777777" w:rsidTr="008B61FB">
        <w:trPr>
          <w:jc w:val="center"/>
        </w:trPr>
        <w:tc>
          <w:tcPr>
            <w:tcW w:w="1261" w:type="dxa"/>
            <w:tcBorders>
              <w:top w:val="single" w:sz="18" w:space="0" w:color="auto"/>
              <w:bottom w:val="single" w:sz="4" w:space="0" w:color="auto"/>
            </w:tcBorders>
          </w:tcPr>
          <w:p w14:paraId="0CCE85B2" w14:textId="77777777" w:rsidR="0038088D" w:rsidRPr="00B377AC" w:rsidRDefault="0038088D" w:rsidP="008B61FB">
            <w:pPr>
              <w:spacing w:line="276" w:lineRule="auto"/>
              <w:jc w:val="center"/>
              <w:rPr>
                <w:rFonts w:ascii="Times New Roman" w:hAnsi="Times New Roman" w:cs="Times New Roman"/>
                <w:sz w:val="20"/>
                <w:szCs w:val="20"/>
              </w:rPr>
            </w:pPr>
            <w:r w:rsidRPr="00B377AC">
              <w:rPr>
                <w:rFonts w:ascii="Times New Roman" w:hAnsi="Times New Roman" w:cs="Times New Roman"/>
                <w:sz w:val="20"/>
                <w:szCs w:val="20"/>
              </w:rPr>
              <w:t>Parameter</w:t>
            </w:r>
          </w:p>
        </w:tc>
        <w:tc>
          <w:tcPr>
            <w:tcW w:w="2141" w:type="dxa"/>
            <w:tcBorders>
              <w:top w:val="single" w:sz="18" w:space="0" w:color="auto"/>
              <w:bottom w:val="single" w:sz="4" w:space="0" w:color="auto"/>
            </w:tcBorders>
          </w:tcPr>
          <w:p w14:paraId="69EBA573" w14:textId="77777777" w:rsidR="0038088D" w:rsidRPr="00B377AC" w:rsidRDefault="0038088D" w:rsidP="008B61FB">
            <w:pPr>
              <w:spacing w:line="276" w:lineRule="auto"/>
              <w:jc w:val="left"/>
              <w:rPr>
                <w:rFonts w:ascii="Times New Roman" w:hAnsi="Times New Roman" w:cs="Times New Roman"/>
                <w:sz w:val="20"/>
                <w:szCs w:val="20"/>
              </w:rPr>
            </w:pPr>
            <w:r w:rsidRPr="00B377AC">
              <w:rPr>
                <w:rFonts w:ascii="Times New Roman" w:hAnsi="Times New Roman" w:cs="Times New Roman"/>
                <w:sz w:val="20"/>
                <w:szCs w:val="20"/>
              </w:rPr>
              <w:t>Value</w:t>
            </w:r>
          </w:p>
        </w:tc>
        <w:tc>
          <w:tcPr>
            <w:tcW w:w="1276" w:type="dxa"/>
            <w:tcBorders>
              <w:top w:val="single" w:sz="18" w:space="0" w:color="auto"/>
              <w:bottom w:val="single" w:sz="4" w:space="0" w:color="auto"/>
            </w:tcBorders>
          </w:tcPr>
          <w:p w14:paraId="103717EE" w14:textId="77777777" w:rsidR="0038088D" w:rsidRPr="00B377AC" w:rsidRDefault="0038088D" w:rsidP="008B61FB">
            <w:pPr>
              <w:spacing w:line="276" w:lineRule="auto"/>
              <w:jc w:val="center"/>
              <w:rPr>
                <w:rFonts w:ascii="Times New Roman" w:hAnsi="Times New Roman" w:cs="Times New Roman"/>
                <w:sz w:val="20"/>
                <w:szCs w:val="20"/>
              </w:rPr>
            </w:pPr>
            <w:r w:rsidRPr="00B377AC">
              <w:rPr>
                <w:rFonts w:ascii="Times New Roman" w:hAnsi="Times New Roman" w:cs="Times New Roman"/>
                <w:sz w:val="20"/>
                <w:szCs w:val="20"/>
              </w:rPr>
              <w:t>Parameter</w:t>
            </w:r>
          </w:p>
        </w:tc>
        <w:tc>
          <w:tcPr>
            <w:tcW w:w="2126" w:type="dxa"/>
            <w:tcBorders>
              <w:top w:val="single" w:sz="18" w:space="0" w:color="auto"/>
              <w:bottom w:val="single" w:sz="4" w:space="0" w:color="auto"/>
            </w:tcBorders>
          </w:tcPr>
          <w:p w14:paraId="2C9DAF33" w14:textId="77777777" w:rsidR="0038088D" w:rsidRPr="00B377AC" w:rsidRDefault="0038088D" w:rsidP="008B61FB">
            <w:pPr>
              <w:spacing w:line="276" w:lineRule="auto"/>
              <w:jc w:val="left"/>
              <w:rPr>
                <w:rFonts w:ascii="Times New Roman" w:hAnsi="Times New Roman" w:cs="Times New Roman"/>
                <w:sz w:val="20"/>
                <w:szCs w:val="20"/>
              </w:rPr>
            </w:pPr>
            <w:r w:rsidRPr="00B377AC">
              <w:rPr>
                <w:rFonts w:ascii="Times New Roman" w:hAnsi="Times New Roman" w:cs="Times New Roman"/>
                <w:sz w:val="20"/>
                <w:szCs w:val="20"/>
              </w:rPr>
              <w:t>Value</w:t>
            </w:r>
          </w:p>
        </w:tc>
      </w:tr>
      <w:tr w:rsidR="0038088D" w:rsidRPr="00B377AC" w14:paraId="5E333741" w14:textId="77777777" w:rsidTr="008B61FB">
        <w:trPr>
          <w:jc w:val="center"/>
        </w:trPr>
        <w:tc>
          <w:tcPr>
            <w:tcW w:w="1261" w:type="dxa"/>
            <w:tcBorders>
              <w:top w:val="single" w:sz="4" w:space="0" w:color="auto"/>
            </w:tcBorders>
          </w:tcPr>
          <w:p w14:paraId="7A822B86"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J</m:t>
                    </m:r>
                  </m:e>
                  <m:sub>
                    <m:r>
                      <w:rPr>
                        <w:rFonts w:ascii="Cambria Math" w:hAnsi="Cambria Math" w:cs="Times New Roman"/>
                        <w:sz w:val="20"/>
                        <w:szCs w:val="20"/>
                      </w:rPr>
                      <m:t>0</m:t>
                    </m:r>
                  </m:sub>
                </m:sSub>
              </m:oMath>
            </m:oMathPara>
          </w:p>
        </w:tc>
        <w:tc>
          <w:tcPr>
            <w:tcW w:w="2141" w:type="dxa"/>
            <w:tcBorders>
              <w:top w:val="single" w:sz="4" w:space="0" w:color="auto"/>
            </w:tcBorders>
          </w:tcPr>
          <w:p w14:paraId="6ECC9DED" w14:textId="5A79BDC3"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1.54×10</w:t>
            </w:r>
            <w:r w:rsidRPr="00B377AC">
              <w:rPr>
                <w:rFonts w:ascii="Times New Roman" w:hAnsi="Times New Roman" w:cs="Times New Roman"/>
                <w:sz w:val="20"/>
                <w:szCs w:val="20"/>
                <w:vertAlign w:val="superscript"/>
              </w:rPr>
              <w:t>-4</w:t>
            </w:r>
            <w:r w:rsidRPr="00B377AC">
              <w:rPr>
                <w:rFonts w:ascii="Times New Roman" w:hAnsi="Times New Roman" w:cs="Times New Roman"/>
                <w:sz w:val="20"/>
                <w:szCs w:val="20"/>
              </w:rPr>
              <w:t xml:space="preserve"> </w:t>
            </w:r>
            <w:r w:rsidR="00B377AC">
              <w:rPr>
                <w:rFonts w:ascii="Times New Roman" w:hAnsi="Times New Roman" w:cs="Times New Roman"/>
                <w:sz w:val="20"/>
                <w:szCs w:val="20"/>
              </w:rPr>
              <w:t>k</w:t>
            </w:r>
            <w:r w:rsidR="00B377AC" w:rsidRPr="00B377AC">
              <w:rPr>
                <w:rFonts w:ascii="Times New Roman" w:hAnsi="Times New Roman" w:cs="Times New Roman"/>
                <w:sz w:val="20"/>
                <w:szCs w:val="20"/>
              </w:rPr>
              <w:t>g</w:t>
            </w:r>
            <w:r w:rsidRPr="00B377AC">
              <w:rPr>
                <w:rFonts w:ascii="Times New Roman" w:hAnsi="Times New Roman" w:cs="Times New Roman"/>
                <w:sz w:val="20"/>
                <w:szCs w:val="20"/>
              </w:rPr>
              <w:t>·m</w:t>
            </w:r>
            <w:r w:rsidRPr="00B377AC">
              <w:rPr>
                <w:rFonts w:ascii="Times New Roman" w:hAnsi="Times New Roman" w:cs="Times New Roman"/>
                <w:sz w:val="20"/>
                <w:szCs w:val="20"/>
                <w:vertAlign w:val="superscript"/>
              </w:rPr>
              <w:t>2</w:t>
            </w:r>
          </w:p>
        </w:tc>
        <w:tc>
          <w:tcPr>
            <w:tcW w:w="1276" w:type="dxa"/>
            <w:tcBorders>
              <w:top w:val="single" w:sz="4" w:space="0" w:color="auto"/>
            </w:tcBorders>
          </w:tcPr>
          <w:p w14:paraId="3AD37CD1"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oMath>
            </m:oMathPara>
          </w:p>
        </w:tc>
        <w:tc>
          <w:tcPr>
            <w:tcW w:w="2126" w:type="dxa"/>
            <w:tcBorders>
              <w:top w:val="single" w:sz="4" w:space="0" w:color="auto"/>
            </w:tcBorders>
          </w:tcPr>
          <w:p w14:paraId="5E68312B"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10 mm</w:t>
            </w:r>
          </w:p>
        </w:tc>
      </w:tr>
      <w:tr w:rsidR="0038088D" w:rsidRPr="00B377AC" w14:paraId="6B01ACCB" w14:textId="77777777" w:rsidTr="008B61FB">
        <w:trPr>
          <w:jc w:val="center"/>
        </w:trPr>
        <w:tc>
          <w:tcPr>
            <w:tcW w:w="1261" w:type="dxa"/>
          </w:tcPr>
          <w:p w14:paraId="6DDBA362" w14:textId="77777777" w:rsidR="0038088D" w:rsidRPr="00B377AC" w:rsidRDefault="0038088D" w:rsidP="008B61FB">
            <w:pPr>
              <w:spacing w:line="276" w:lineRule="auto"/>
              <w:rPr>
                <w:rFonts w:ascii="Times New Roman" w:hAnsi="Times New Roman" w:cs="Times New Roman"/>
                <w:sz w:val="20"/>
                <w:szCs w:val="20"/>
              </w:rPr>
            </w:pPr>
            <m:oMathPara>
              <m:oMath>
                <m:r>
                  <w:rPr>
                    <w:rFonts w:ascii="Cambria Math" w:hAnsi="Cambria Math" w:cs="Times New Roman"/>
                    <w:sz w:val="20"/>
                    <w:szCs w:val="20"/>
                  </w:rPr>
                  <m:t>m</m:t>
                </m:r>
              </m:oMath>
            </m:oMathPara>
          </w:p>
        </w:tc>
        <w:tc>
          <w:tcPr>
            <w:tcW w:w="2141" w:type="dxa"/>
          </w:tcPr>
          <w:p w14:paraId="1E17E096"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91 g</w:t>
            </w:r>
          </w:p>
        </w:tc>
        <w:tc>
          <w:tcPr>
            <w:tcW w:w="1276" w:type="dxa"/>
          </w:tcPr>
          <w:p w14:paraId="150FA93F"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oMath>
            </m:oMathPara>
          </w:p>
        </w:tc>
        <w:tc>
          <w:tcPr>
            <w:tcW w:w="2126" w:type="dxa"/>
          </w:tcPr>
          <w:p w14:paraId="14DC85B2" w14:textId="77777777" w:rsidR="0038088D" w:rsidRPr="00B377AC" w:rsidRDefault="0038088D" w:rsidP="008B61FB">
            <w:pPr>
              <w:spacing w:line="276" w:lineRule="auto"/>
              <w:jc w:val="left"/>
              <w:rPr>
                <w:rFonts w:ascii="Times New Roman" w:hAnsi="Times New Roman" w:cs="Times New Roman"/>
                <w:sz w:val="20"/>
                <w:szCs w:val="20"/>
              </w:rPr>
            </w:pPr>
            <w:r w:rsidRPr="00B377AC">
              <w:rPr>
                <w:rFonts w:ascii="Times New Roman" w:hAnsi="Times New Roman" w:cs="Times New Roman"/>
                <w:sz w:val="20"/>
                <w:szCs w:val="20"/>
              </w:rPr>
              <w:t>14 mm</w:t>
            </w:r>
          </w:p>
        </w:tc>
      </w:tr>
      <w:tr w:rsidR="0038088D" w:rsidRPr="00B377AC" w14:paraId="4F55FA80" w14:textId="77777777" w:rsidTr="008B61FB">
        <w:trPr>
          <w:jc w:val="center"/>
        </w:trPr>
        <w:tc>
          <w:tcPr>
            <w:tcW w:w="1261" w:type="dxa"/>
          </w:tcPr>
          <w:p w14:paraId="3A4ECB40"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e</m:t>
                    </m:r>
                  </m:sub>
                </m:sSub>
              </m:oMath>
            </m:oMathPara>
          </w:p>
        </w:tc>
        <w:tc>
          <w:tcPr>
            <w:tcW w:w="2141" w:type="dxa"/>
          </w:tcPr>
          <w:p w14:paraId="7BD8387A"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32 mm</w:t>
            </w:r>
          </w:p>
        </w:tc>
        <w:tc>
          <w:tcPr>
            <w:tcW w:w="1276" w:type="dxa"/>
          </w:tcPr>
          <w:p w14:paraId="30FBA58B"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3</m:t>
                    </m:r>
                  </m:sub>
                </m:sSub>
              </m:oMath>
            </m:oMathPara>
          </w:p>
        </w:tc>
        <w:tc>
          <w:tcPr>
            <w:tcW w:w="2126" w:type="dxa"/>
          </w:tcPr>
          <w:p w14:paraId="410A9DD6"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46 mm</w:t>
            </w:r>
          </w:p>
        </w:tc>
      </w:tr>
      <w:tr w:rsidR="0038088D" w:rsidRPr="00B377AC" w14:paraId="59618B8E" w14:textId="77777777" w:rsidTr="008B61FB">
        <w:trPr>
          <w:jc w:val="center"/>
        </w:trPr>
        <w:tc>
          <w:tcPr>
            <w:tcW w:w="1261" w:type="dxa"/>
          </w:tcPr>
          <w:p w14:paraId="3077DF96" w14:textId="77777777" w:rsidR="0038088D" w:rsidRPr="00B377AC" w:rsidRDefault="00AB010E" w:rsidP="008B61FB">
            <w:pPr>
              <w:spacing w:line="276" w:lineRule="auto"/>
              <w:rPr>
                <w:rFonts w:ascii="Times New Roman" w:eastAsia="DengXi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m:t>
                    </m:r>
                  </m:e>
                  <m:sub>
                    <m:r>
                      <m:rPr>
                        <m:sty m:val="p"/>
                      </m:rPr>
                      <w:rPr>
                        <w:rFonts w:ascii="Cambria Math" w:hAnsi="Cambria Math" w:cs="Times New Roman"/>
                        <w:sz w:val="20"/>
                        <w:szCs w:val="20"/>
                      </w:rPr>
                      <m:t>m</m:t>
                    </m:r>
                  </m:sub>
                </m:sSub>
              </m:oMath>
            </m:oMathPara>
          </w:p>
        </w:tc>
        <w:tc>
          <w:tcPr>
            <w:tcW w:w="2141" w:type="dxa"/>
          </w:tcPr>
          <w:p w14:paraId="01C9443B"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48.5 mm</w:t>
            </w:r>
          </w:p>
        </w:tc>
        <w:tc>
          <w:tcPr>
            <w:tcW w:w="1276" w:type="dxa"/>
          </w:tcPr>
          <w:p w14:paraId="214B2A88"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4</m:t>
                    </m:r>
                  </m:sub>
                </m:sSub>
              </m:oMath>
            </m:oMathPara>
          </w:p>
        </w:tc>
        <w:tc>
          <w:tcPr>
            <w:tcW w:w="2126" w:type="dxa"/>
          </w:tcPr>
          <w:p w14:paraId="5BAB657E"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50 mm</w:t>
            </w:r>
          </w:p>
        </w:tc>
      </w:tr>
      <w:tr w:rsidR="0038088D" w:rsidRPr="00B377AC" w14:paraId="25039E96" w14:textId="77777777" w:rsidTr="008B61FB">
        <w:trPr>
          <w:jc w:val="center"/>
        </w:trPr>
        <w:tc>
          <w:tcPr>
            <w:tcW w:w="1261" w:type="dxa"/>
          </w:tcPr>
          <w:p w14:paraId="0E33BF4C"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M</m:t>
                    </m:r>
                  </m:e>
                  <m:sub>
                    <m:r>
                      <m:rPr>
                        <m:sty m:val="p"/>
                      </m:rPr>
                      <w:rPr>
                        <w:rFonts w:ascii="Cambria Math" w:hAnsi="Cambria Math" w:cs="Times New Roman"/>
                        <w:sz w:val="20"/>
                        <w:szCs w:val="20"/>
                      </w:rPr>
                      <m:t>A</m:t>
                    </m:r>
                  </m:sub>
                </m:sSub>
              </m:oMath>
            </m:oMathPara>
          </w:p>
        </w:tc>
        <w:tc>
          <w:tcPr>
            <w:tcW w:w="2141" w:type="dxa"/>
          </w:tcPr>
          <w:p w14:paraId="723E91FC"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0.16 Wb·m</w:t>
            </w:r>
          </w:p>
        </w:tc>
        <w:tc>
          <w:tcPr>
            <w:tcW w:w="1276" w:type="dxa"/>
          </w:tcPr>
          <w:p w14:paraId="65736668"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oMath>
            </m:oMathPara>
          </w:p>
        </w:tc>
        <w:tc>
          <w:tcPr>
            <w:tcW w:w="2126" w:type="dxa"/>
          </w:tcPr>
          <w:p w14:paraId="172C9959" w14:textId="6E30A012"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color w:val="000000"/>
                <w:sz w:val="20"/>
                <w:szCs w:val="20"/>
              </w:rPr>
              <w:t>8.85</w:t>
            </w:r>
            <w:r w:rsidRPr="00B377AC">
              <w:rPr>
                <w:rFonts w:ascii="Times New Roman" w:hAnsi="Times New Roman" w:cs="Times New Roman"/>
                <w:sz w:val="20"/>
                <w:szCs w:val="20"/>
              </w:rPr>
              <w:t>×10</w:t>
            </w:r>
            <w:r w:rsidRPr="00B377AC">
              <w:rPr>
                <w:rFonts w:ascii="Times New Roman" w:hAnsi="Times New Roman" w:cs="Times New Roman"/>
                <w:color w:val="000000"/>
                <w:sz w:val="20"/>
                <w:szCs w:val="20"/>
                <w:vertAlign w:val="superscript"/>
              </w:rPr>
              <w:t>-12</w:t>
            </w:r>
          </w:p>
        </w:tc>
      </w:tr>
      <w:tr w:rsidR="0038088D" w:rsidRPr="00B377AC" w14:paraId="70D535EB" w14:textId="77777777" w:rsidTr="008B61FB">
        <w:trPr>
          <w:jc w:val="center"/>
        </w:trPr>
        <w:tc>
          <w:tcPr>
            <w:tcW w:w="1261" w:type="dxa"/>
          </w:tcPr>
          <w:p w14:paraId="16E79D43"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M</m:t>
                    </m:r>
                  </m:e>
                  <m:sub>
                    <m:r>
                      <m:rPr>
                        <m:sty m:val="p"/>
                      </m:rPr>
                      <w:rPr>
                        <w:rFonts w:ascii="Cambria Math" w:hAnsi="Cambria Math" w:cs="Times New Roman"/>
                        <w:sz w:val="20"/>
                        <w:szCs w:val="20"/>
                      </w:rPr>
                      <m:t>B</m:t>
                    </m:r>
                  </m:sub>
                </m:sSub>
              </m:oMath>
            </m:oMathPara>
          </w:p>
        </w:tc>
        <w:tc>
          <w:tcPr>
            <w:tcW w:w="2141" w:type="dxa"/>
          </w:tcPr>
          <w:p w14:paraId="4E88D2BB"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0.16 Wb·m</w:t>
            </w:r>
          </w:p>
        </w:tc>
        <w:tc>
          <w:tcPr>
            <w:tcW w:w="1276" w:type="dxa"/>
          </w:tcPr>
          <w:p w14:paraId="72091D08"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r</m:t>
                    </m:r>
                  </m:sub>
                </m:sSub>
              </m:oMath>
            </m:oMathPara>
          </w:p>
        </w:tc>
        <w:tc>
          <w:tcPr>
            <w:tcW w:w="2126" w:type="dxa"/>
          </w:tcPr>
          <w:p w14:paraId="62ABB896"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2.05</w:t>
            </w:r>
          </w:p>
        </w:tc>
      </w:tr>
      <w:tr w:rsidR="0038088D" w:rsidRPr="00B377AC" w14:paraId="4FC48020" w14:textId="77777777" w:rsidTr="008B61FB">
        <w:trPr>
          <w:jc w:val="center"/>
        </w:trPr>
        <w:tc>
          <w:tcPr>
            <w:tcW w:w="1261" w:type="dxa"/>
          </w:tcPr>
          <w:p w14:paraId="3E8279FF" w14:textId="5A9897CF" w:rsidR="0038088D" w:rsidRPr="00C80659" w:rsidRDefault="00C80659" w:rsidP="008B61FB">
            <w:pPr>
              <w:spacing w:line="276" w:lineRule="auto"/>
              <w:jc w:val="center"/>
              <w:rPr>
                <w:rFonts w:ascii="Times New Roman" w:hAnsi="Times New Roman" w:cs="Times New Roman"/>
                <w:i/>
                <w:sz w:val="20"/>
                <w:szCs w:val="20"/>
              </w:rPr>
            </w:pPr>
            <m:oMathPara>
              <m:oMath>
                <m:r>
                  <w:rPr>
                    <w:rFonts w:ascii="Cambria Math" w:eastAsiaTheme="minorEastAsia" w:hAnsi="Cambria Math" w:cs="Times New Roman" w:hint="eastAsia"/>
                    <w:sz w:val="20"/>
                    <w:szCs w:val="20"/>
                  </w:rPr>
                  <m:t>c</m:t>
                </m:r>
              </m:oMath>
            </m:oMathPara>
          </w:p>
        </w:tc>
        <w:tc>
          <w:tcPr>
            <w:tcW w:w="2141" w:type="dxa"/>
          </w:tcPr>
          <w:p w14:paraId="2E8F0EC5"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2×10</w:t>
            </w:r>
            <w:r w:rsidRPr="00B377AC">
              <w:rPr>
                <w:rFonts w:ascii="Times New Roman" w:hAnsi="Times New Roman" w:cs="Times New Roman"/>
                <w:sz w:val="20"/>
                <w:szCs w:val="20"/>
                <w:vertAlign w:val="superscript"/>
              </w:rPr>
              <w:t>-3</w:t>
            </w:r>
          </w:p>
        </w:tc>
        <w:tc>
          <w:tcPr>
            <w:tcW w:w="1276" w:type="dxa"/>
          </w:tcPr>
          <w:p w14:paraId="41365AF5" w14:textId="77777777" w:rsidR="0038088D" w:rsidRPr="00B377AC" w:rsidRDefault="00AB010E" w:rsidP="008B61FB">
            <w:pPr>
              <w:spacing w:line="276" w:lineRule="auto"/>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t</m:t>
                    </m:r>
                  </m:sub>
                </m:sSub>
              </m:oMath>
            </m:oMathPara>
          </w:p>
        </w:tc>
        <w:tc>
          <w:tcPr>
            <w:tcW w:w="2126" w:type="dxa"/>
          </w:tcPr>
          <w:p w14:paraId="5D4C361B"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100μm</w:t>
            </w:r>
          </w:p>
        </w:tc>
      </w:tr>
      <w:tr w:rsidR="0038088D" w:rsidRPr="00B377AC" w14:paraId="5D057515" w14:textId="77777777" w:rsidTr="008B61FB">
        <w:trPr>
          <w:jc w:val="center"/>
        </w:trPr>
        <w:tc>
          <w:tcPr>
            <w:tcW w:w="1261" w:type="dxa"/>
          </w:tcPr>
          <w:p w14:paraId="40742F0E" w14:textId="77777777" w:rsidR="0038088D" w:rsidRPr="00B377AC" w:rsidRDefault="0038088D" w:rsidP="008B61FB">
            <w:pPr>
              <w:spacing w:line="276" w:lineRule="auto"/>
              <w:rPr>
                <w:rFonts w:ascii="Times New Roman" w:eastAsia="DengXian" w:hAnsi="Times New Roman" w:cs="Times New Roman"/>
                <w:sz w:val="20"/>
                <w:szCs w:val="20"/>
              </w:rPr>
            </w:pPr>
            <m:oMathPara>
              <m:oMath>
                <m:r>
                  <w:rPr>
                    <w:rFonts w:ascii="Cambria Math" w:hAnsi="Cambria Math" w:cs="Times New Roman"/>
                    <w:sz w:val="20"/>
                    <w:szCs w:val="20"/>
                  </w:rPr>
                  <m:t>σ</m:t>
                </m:r>
              </m:oMath>
            </m:oMathPara>
          </w:p>
        </w:tc>
        <w:tc>
          <w:tcPr>
            <w:tcW w:w="2141" w:type="dxa"/>
          </w:tcPr>
          <w:p w14:paraId="443E0759" w14:textId="77777777" w:rsidR="0038088D" w:rsidRPr="00B377AC" w:rsidRDefault="0038088D" w:rsidP="008B61FB">
            <w:pPr>
              <w:spacing w:line="276" w:lineRule="auto"/>
              <w:rPr>
                <w:rFonts w:ascii="Times New Roman" w:hAnsi="Times New Roman" w:cs="Times New Roman"/>
                <w:sz w:val="20"/>
                <w:szCs w:val="20"/>
              </w:rPr>
            </w:pPr>
            <w:r w:rsidRPr="00B377AC">
              <w:rPr>
                <w:rFonts w:ascii="Times New Roman" w:hAnsi="Times New Roman" w:cs="Times New Roman"/>
                <w:sz w:val="20"/>
                <w:szCs w:val="20"/>
              </w:rPr>
              <w:t>20 μC/</w:t>
            </w:r>
            <w:r w:rsidRPr="00B377AC">
              <w:rPr>
                <w:rFonts w:ascii="Times New Roman" w:eastAsia="SimSun" w:hAnsi="Times New Roman" w:cs="Times New Roman"/>
                <w:sz w:val="20"/>
                <w:szCs w:val="20"/>
              </w:rPr>
              <w:t>m</w:t>
            </w:r>
            <w:r w:rsidRPr="00B377AC">
              <w:rPr>
                <w:rFonts w:ascii="Times New Roman" w:eastAsia="SimSun" w:hAnsi="Times New Roman" w:cs="Times New Roman"/>
                <w:sz w:val="20"/>
                <w:szCs w:val="20"/>
                <w:vertAlign w:val="superscript"/>
              </w:rPr>
              <w:t>2</w:t>
            </w:r>
          </w:p>
        </w:tc>
        <w:tc>
          <w:tcPr>
            <w:tcW w:w="1276" w:type="dxa"/>
          </w:tcPr>
          <w:p w14:paraId="1AACC451" w14:textId="77777777" w:rsidR="0038088D" w:rsidRPr="00B377AC" w:rsidRDefault="0038088D" w:rsidP="008B61FB">
            <w:pPr>
              <w:spacing w:line="276" w:lineRule="auto"/>
              <w:rPr>
                <w:rFonts w:ascii="Times New Roman" w:hAnsi="Times New Roman" w:cs="Times New Roman"/>
                <w:sz w:val="20"/>
                <w:szCs w:val="20"/>
              </w:rPr>
            </w:pPr>
          </w:p>
        </w:tc>
        <w:tc>
          <w:tcPr>
            <w:tcW w:w="2126" w:type="dxa"/>
          </w:tcPr>
          <w:p w14:paraId="70F408E0" w14:textId="77777777" w:rsidR="0038088D" w:rsidRPr="00B377AC" w:rsidRDefault="0038088D" w:rsidP="008B61FB">
            <w:pPr>
              <w:spacing w:line="276" w:lineRule="auto"/>
              <w:rPr>
                <w:rFonts w:ascii="Times New Roman" w:hAnsi="Times New Roman" w:cs="Times New Roman"/>
                <w:sz w:val="20"/>
                <w:szCs w:val="20"/>
              </w:rPr>
            </w:pPr>
          </w:p>
        </w:tc>
      </w:tr>
    </w:tbl>
    <w:p w14:paraId="35697C46" w14:textId="77777777" w:rsidR="0038088D" w:rsidRPr="00B377AC" w:rsidRDefault="0038088D" w:rsidP="0038088D">
      <w:pPr>
        <w:ind w:firstLine="0"/>
      </w:pPr>
    </w:p>
    <w:p w14:paraId="2AD15482" w14:textId="77777777" w:rsidR="0038088D" w:rsidRPr="00B377AC" w:rsidRDefault="0038088D" w:rsidP="00FA23EF">
      <w:pPr>
        <w:pStyle w:val="heading2"/>
      </w:pPr>
      <w:r w:rsidRPr="00B377AC">
        <w:t>Influence of potential well</w:t>
      </w:r>
    </w:p>
    <w:p w14:paraId="3BA3D937" w14:textId="40458669" w:rsidR="0038088D" w:rsidRPr="00B377AC" w:rsidRDefault="0038088D" w:rsidP="00B87845">
      <w:pPr>
        <w:ind w:firstLine="0"/>
      </w:pPr>
      <w:r w:rsidRPr="00B377AC">
        <w:t xml:space="preserve">A pair of identical neodymium disc magnets with a diameter of 10 mm and thickness of 3mm are used to create bistability in the proposed harvester. Unlike a traditional </w:t>
      </w:r>
      <w:r w:rsidR="004054FC">
        <w:t>disc</w:t>
      </w:r>
      <w:r w:rsidRPr="00B377AC">
        <w:t xml:space="preserve">-shaped triboelectric harvester which has a quadratic potential with a single equilibrium, the proposed harvester with a bistable mechanism has a double-well potential with two stable equilibriums and one unstable equilibrium. </w:t>
      </w:r>
    </w:p>
    <w:p w14:paraId="17D0F297" w14:textId="4425DE0D" w:rsidR="0038088D" w:rsidRDefault="0038088D" w:rsidP="00B87845">
      <w:r w:rsidRPr="00B377AC">
        <w:t>The gap distance</w:t>
      </w:r>
      <w:r w:rsidR="0093522C" w:rsidRPr="00B377AC">
        <w:t xml:space="preserve"> </w:t>
      </w:r>
      <w:r w:rsidRPr="00B377AC">
        <w:t xml:space="preserve">between the magnets directly affect the potential energy of the system as well as the magnetic restoring torque. To investigated its influence, five gap distances are studied, illustrated in Fig.5. As observed, a relatively small gap distance (such as 8 mm) introduces strong nonlinearity, resulting in a high potential barrier and a strong magnetic restoring torque, and it is easy for intrawell motion to happen in such a condition. With the increase of the gap distance, interwell motion may occur under a smaller potential barrier and magnetic restoring torque. For comparison between the </w:t>
      </w:r>
      <w:r w:rsidRPr="00B377AC">
        <w:lastRenderedPageBreak/>
        <w:t>harvester with and without the bistable mechanism, an infinite gap distance (</w:t>
      </w:r>
      <w:r w:rsidRPr="00B377AC">
        <w:rPr>
          <w:i/>
        </w:rPr>
        <w:t>s</w:t>
      </w:r>
      <w:r w:rsidRPr="00B377AC">
        <w:t>=INF) is involved, which means the fixed magnet is removed from the harvester. It is obvious that the potential energy is quadratic without magnetic repulsion.</w:t>
      </w:r>
    </w:p>
    <w:p w14:paraId="38102B25" w14:textId="77777777" w:rsidR="009468DF" w:rsidRPr="00B377AC" w:rsidRDefault="009468DF" w:rsidP="009468DF">
      <w:pPr>
        <w:spacing w:before="120" w:line="276" w:lineRule="auto"/>
        <w:ind w:firstLine="0"/>
        <w:jc w:val="center"/>
        <w:rPr>
          <w:rFonts w:eastAsiaTheme="majorEastAsia"/>
          <w:b/>
          <w:bCs/>
          <w:color w:val="0070C0"/>
          <w:sz w:val="24"/>
          <w:szCs w:val="24"/>
        </w:rPr>
      </w:pPr>
      <w:r w:rsidRPr="00B377AC">
        <w:rPr>
          <w:rFonts w:eastAsiaTheme="majorEastAsia"/>
          <w:b/>
          <w:bCs/>
          <w:noProof/>
          <w:color w:val="0070C0"/>
          <w:sz w:val="24"/>
          <w:szCs w:val="24"/>
        </w:rPr>
        <w:drawing>
          <wp:inline distT="0" distB="0" distL="0" distR="0" wp14:anchorId="5FDD1AC5" wp14:editId="4058E1F7">
            <wp:extent cx="2185200" cy="167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5200" cy="1674000"/>
                    </a:xfrm>
                    <a:prstGeom prst="rect">
                      <a:avLst/>
                    </a:prstGeom>
                    <a:noFill/>
                    <a:ln>
                      <a:noFill/>
                    </a:ln>
                  </pic:spPr>
                </pic:pic>
              </a:graphicData>
            </a:graphic>
          </wp:inline>
        </w:drawing>
      </w:r>
      <w:r w:rsidRPr="00B377AC">
        <w:rPr>
          <w:rFonts w:eastAsiaTheme="majorEastAsia"/>
          <w:b/>
          <w:bCs/>
          <w:noProof/>
          <w:color w:val="0070C0"/>
          <w:sz w:val="24"/>
          <w:szCs w:val="24"/>
        </w:rPr>
        <w:drawing>
          <wp:inline distT="0" distB="0" distL="0" distR="0" wp14:anchorId="2CE197E0" wp14:editId="658C295D">
            <wp:extent cx="2170800" cy="16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800" cy="1695600"/>
                    </a:xfrm>
                    <a:prstGeom prst="rect">
                      <a:avLst/>
                    </a:prstGeom>
                    <a:noFill/>
                    <a:ln>
                      <a:noFill/>
                    </a:ln>
                  </pic:spPr>
                </pic:pic>
              </a:graphicData>
            </a:graphic>
          </wp:inline>
        </w:drawing>
      </w:r>
    </w:p>
    <w:p w14:paraId="5F53F2E5" w14:textId="77777777" w:rsidR="009468DF" w:rsidRPr="00B377AC" w:rsidRDefault="009468DF" w:rsidP="009468DF">
      <w:pPr>
        <w:spacing w:line="276" w:lineRule="auto"/>
        <w:ind w:left="720"/>
      </w:pPr>
      <w:r w:rsidRPr="00B377AC">
        <w:t>(a) Potential energy                (b) Magnetic torque</w:t>
      </w:r>
    </w:p>
    <w:p w14:paraId="329A2DD5" w14:textId="616EFDFA" w:rsidR="009468DF" w:rsidRPr="00B377AC" w:rsidRDefault="009468DF" w:rsidP="009468DF">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5</w:t>
      </w:r>
      <w:r w:rsidRPr="00B377AC">
        <w:rPr>
          <w:b/>
        </w:rPr>
        <w:fldChar w:fldCharType="end"/>
      </w:r>
      <w:r w:rsidRPr="00B377AC">
        <w:rPr>
          <w:b/>
        </w:rPr>
        <w:t>.</w:t>
      </w:r>
      <w:r w:rsidRPr="00B377AC">
        <w:t xml:space="preserve"> Potential energy and magnetic torque under different gap distances.</w:t>
      </w:r>
    </w:p>
    <w:p w14:paraId="442354D0" w14:textId="5EFE61EC" w:rsidR="00C73877" w:rsidRDefault="00C73877" w:rsidP="00C73877">
      <w:r w:rsidRPr="00B377AC">
        <w:t xml:space="preserve">The gap distance apparently affects the potential well of the system, which accordingly brings about distinct structural and electrical dynamic </w:t>
      </w:r>
      <w:r w:rsidR="009468DF" w:rsidRPr="00B377AC">
        <w:t>behavio</w:t>
      </w:r>
      <w:r w:rsidR="009468DF">
        <w:t>r</w:t>
      </w:r>
      <w:r w:rsidR="009468DF" w:rsidRPr="00B377AC">
        <w:t>s</w:t>
      </w:r>
      <w:r w:rsidRPr="00B377AC">
        <w:t xml:space="preserve">. Fig.6 illustrates the phase portrait and voltage across the load resistor </w:t>
      </w:r>
      <m:oMath>
        <m:r>
          <w:rPr>
            <w:rFonts w:ascii="Cambria Math" w:hAnsi="Cambria Math"/>
          </w:rPr>
          <m:t>R</m:t>
        </m:r>
        <m:r>
          <m:rPr>
            <m:sty m:val="p"/>
          </m:rPr>
          <w:rPr>
            <w:rFonts w:ascii="Cambria Math" w:hAnsi="Cambria Math"/>
          </w:rPr>
          <m:t xml:space="preserve"> (10 MΩ)</m:t>
        </m:r>
      </m:oMath>
      <w:r w:rsidRPr="00B377AC">
        <w:t xml:space="preserve"> under different gap distances. Here, the </w:t>
      </w:r>
      <w:r>
        <w:t xml:space="preserve">number of </w:t>
      </w:r>
      <w:r w:rsidRPr="00B377AC">
        <w:t>sector</w:t>
      </w:r>
      <w:r>
        <w:t>s</w:t>
      </w:r>
      <w:r w:rsidRPr="00B377AC">
        <w:t xml:space="preserve"> is set as 3. In Fig.6 (a) and (b), when the amplitude of excitation is 5 mm and the frequency is 4 Hz, only intrawell oscillation happens at both </w:t>
      </w:r>
      <w:r w:rsidRPr="00B377AC">
        <w:rPr>
          <w:i/>
        </w:rPr>
        <w:t>s</w:t>
      </w:r>
      <w:r w:rsidRPr="00B377AC">
        <w:t>=8 mm and 12 mm. Compared with the harvester without the magnetic bistable mechanism (</w:t>
      </w:r>
      <w:r w:rsidRPr="00B377AC">
        <w:rPr>
          <w:i/>
        </w:rPr>
        <w:t>s</w:t>
      </w:r>
      <w:r w:rsidRPr="00B377AC">
        <w:t xml:space="preserve">=INF), the harvester with the magnetic repulsion can achieve a higher voltage, and the voltage at </w:t>
      </w:r>
      <w:r w:rsidRPr="00B377AC">
        <w:rPr>
          <w:i/>
        </w:rPr>
        <w:t>s</w:t>
      </w:r>
      <w:r w:rsidRPr="00B377AC">
        <w:t xml:space="preserve">=12 mm is higher than that at </w:t>
      </w:r>
      <w:r w:rsidRPr="00B377AC">
        <w:rPr>
          <w:i/>
        </w:rPr>
        <w:t>s</w:t>
      </w:r>
      <w:r w:rsidRPr="00B377AC">
        <w:t>=</w:t>
      </w:r>
      <w:r w:rsidRPr="001C4E8B">
        <w:t>8 mm</w:t>
      </w:r>
      <w:r w:rsidRPr="00B377AC">
        <w:t xml:space="preserve">. A strong excitation is needed for the oscillator (rotary </w:t>
      </w:r>
      <w:r>
        <w:t>disc</w:t>
      </w:r>
      <w:r w:rsidRPr="00B377AC">
        <w:t xml:space="preserve">) to overcome the potential barrier. An excitation with amplitude of 10 mm and frequency of 4 Hz is involved in Fig.6 (c) and (d), from which it can be observed that </w:t>
      </w:r>
      <w:bookmarkStart w:id="20" w:name="OLE_LINK19"/>
      <w:bookmarkStart w:id="21" w:name="OLE_LINK20"/>
      <w:r w:rsidRPr="00B377AC">
        <w:t xml:space="preserve">interwell oscillation </w:t>
      </w:r>
      <w:bookmarkEnd w:id="20"/>
      <w:bookmarkEnd w:id="21"/>
      <w:r w:rsidRPr="00B377AC">
        <w:t xml:space="preserve">takes place when </w:t>
      </w:r>
      <w:r w:rsidRPr="00B377AC">
        <w:rPr>
          <w:i/>
        </w:rPr>
        <w:t>s</w:t>
      </w:r>
      <w:r w:rsidRPr="00B377AC">
        <w:t xml:space="preserve">=12 mm. Worth noting that the interwell oscillation does not bring about a higher voltage than that under intrawell oscillation at </w:t>
      </w:r>
      <w:r w:rsidRPr="00B377AC">
        <w:rPr>
          <w:i/>
        </w:rPr>
        <w:t>s</w:t>
      </w:r>
      <w:r w:rsidRPr="00B377AC">
        <w:t xml:space="preserve">=8 mm in this case, which is very different from some traditional energy harvesters with bistable mechanisms whose output performance can be enhanced by interwell oscillation with large amplitude </w:t>
      </w:r>
      <w:r w:rsidRPr="00B377AC">
        <w:rPr>
          <w:rStyle w:val="FootnoteReference"/>
        </w:rPr>
        <w:fldChar w:fldCharType="begin" w:fldLock="1"/>
      </w:r>
      <w:r w:rsidR="007E7CB7">
        <w:instrText>ADDIN CSL_CITATION {"citationItems":[{"id":"ITEM-1","itemData":{"DOI":"10.1016/j.energy.2019.06.008","ISSN":"03605442","abstract":"In this study, a compact magnetic bistable mechanism is proposed to enhance the efficiency of a point wave energy converter (WEC) with a linear damper like Power Take-off (PTO) system. The magnetic bistable mechanism mainly consists of two coaxial permanent magnet rings with the same magnetic field direction. The dynamic model in the time domain for the nonlinear point absorber is established by using the state space method to replace the convolution term. The wave energy capture characteristics are analyzed in regular and irregular waves. The numerical results show that the magnetic bistable mechanism can shift the frequency bandwidth of the point wave absorber to the lower frequency which covers the realistic wave excitation frequencies in regular wave. The efficiency for the bistable WEC with large inter-well oscillations can be enhanced by about two times comparing with that of a classical linear WEC in irregular waves.","author":[{"dropping-particle":"","family":"Zhang","given":"Haicheng","non-dropping-particle":"","parse-names":false,"suffix":""},{"dropping-particle":"","family":"Xi","given":"Ru","non-dropping-particle":"","parse-names":false,"suffix":""},{"dropping-particle":"","family":"Xu","given":"Daolin","non-dropping-particle":"","parse-names":false,"suffix":""},{"dropping-particle":"","family":"Wang","given":"Kai","non-dropping-particle":"","parse-names":false,"suffix":""},{"dropping-particle":"","family":"Shi","given":"Qijia","non-dropping-particle":"","parse-names":false,"suffix":""},{"dropping-particle":"","family":"Zhao","given":"Huai","non-dropping-particle":"","parse-names":false,"suffix":""},{"dropping-particle":"","family":"Wu","given":"Bo","non-dropping-particle":"","parse-names":false,"suffix":""}],"container-title":"Energy","id":"ITEM-1","issued":{"date-parts":[["2019"]]},"page":"1152-1165","title":"Efficiency enhancement of a point wave energy converter with a magnetic bistable mechanism","type":"article-journal","volume":"181"},"uris":["http://www.mendeley.com/documents/?uuid=3c0ec96d-c339-4fc1-be79-188dace9b2f1"]}],"mendeley":{"formattedCitation":"[24]","plainTextFormattedCitation":"[24]","previouslyFormattedCitation":"(H. Zhang et al.)"},"properties":{"noteIndex":0},"schema":"https://github.com/citation-style-language/schema/raw/master/csl-citation.json"}</w:instrText>
      </w:r>
      <w:r w:rsidRPr="00B377AC">
        <w:rPr>
          <w:rStyle w:val="FootnoteReference"/>
        </w:rPr>
        <w:fldChar w:fldCharType="separate"/>
      </w:r>
      <w:r w:rsidR="007E7CB7" w:rsidRPr="007E7CB7">
        <w:rPr>
          <w:noProof/>
        </w:rPr>
        <w:t>[24]</w:t>
      </w:r>
      <w:r w:rsidRPr="00B377AC">
        <w:rPr>
          <w:rStyle w:val="FootnoteReference"/>
        </w:rPr>
        <w:fldChar w:fldCharType="end"/>
      </w:r>
      <w:r w:rsidRPr="00B377AC">
        <w:t xml:space="preserve">. Actually, the performance of the proposed </w:t>
      </w:r>
      <w:r>
        <w:t>disc</w:t>
      </w:r>
      <w:r w:rsidRPr="00B377AC">
        <w:t xml:space="preserve">-shaped triboelectric energy harvester does not only depend on amplitude, but also angular velocity. A relevant study has verified experimentally that under continues rotating, a linear relationship is found between output current and rotating speed on a </w:t>
      </w:r>
      <w:r>
        <w:t>disc</w:t>
      </w:r>
      <w:r w:rsidRPr="00B377AC">
        <w:t xml:space="preserve">-shaped triboelectric energy harvester </w:t>
      </w:r>
      <w:r w:rsidRPr="00B377AC">
        <w:rPr>
          <w:rStyle w:val="FootnoteReference"/>
        </w:rPr>
        <w:fldChar w:fldCharType="begin" w:fldLock="1"/>
      </w:r>
      <w:r w:rsidR="007E7CB7">
        <w:instrText>ADDIN CSL_CITATION {"citationItems":[{"id":"ITEM-1","itemData":{"DOI":"10.1021/nl4013002","ISSN":"15306984","abstract":"We introduce an innovative design of a disk triboelectric nanogenerator (TENG) with segmental structures for harvesting rotational mechanical energy. Based on a cyclic in-plane charge separation between the segments that have distinct triboelectric polarities, the disk TENG generates electricity with unique characteristics, which have been studied by conjunction of experimental results with finite element calculations. The role played by the segmentation number is studied for maximizing output. A distinct relationship between the rotation speed and the electrical output has been thoroughly investigated, which not only shows power enhancement at high speed but also illuminates its potential application as a self-powered angular speed sensor. Owing to the nonintermittent and ultrafast rotation-induced charge transfer, the disk TENG has been demonstrated as an efficient power source for instantaneously or even continuously driving electronic devices and/or charging an energy storage unit. This work presents a novel working mode of TENGs and opens up many potential applications of nanogenerators for harvesting even large-scale energy. © 2013 American Chemical Society.","author":[{"dropping-particle":"","family":"Lin","given":"Long","non-dropping-particle":"","parse-names":false,"suffix":""},{"dropping-particle":"","family":"Wang","given":"Sihong","non-dropping-particle":"","parse-names":false,"suffix":""},{"dropping-particle":"","family":"Xie","given":"Yannan","non-dropping-particle":"","parse-names":false,"suffix":""},{"dropping-particle":"","family":"Jing","given":"Qingshen","non-dropping-particle":"","parse-names":false,"suffix":""},{"dropping-particle":"","family":"Niu","given":"Simiao","non-dropping-particle":"","parse-names":false,"suffix":""},{"dropping-particle":"","family":"Hu","given":"Youfan","non-dropping-particle":"","parse-names":false,"suffix":""},{"dropping-particle":"","family":"Wang","given":"Zhong Lin","non-dropping-particle":"","parse-names":false,"suffix":""}],"container-title":"Nano Letters","id":"ITEM-1","issue":"6","issued":{"date-parts":[["2013"]]},"page":"2916-2923","title":"Segmentally structured disk triboelectric nanogenerator for harvesting rotational mechanical energy","type":"article-journal","volume":"13"},"uris":["http://www.mendeley.com/documents/?uuid=3860e117-97d8-4ac0-86e8-5cf1e4ff2d9e"]}],"mendeley":{"formattedCitation":"[11]","plainTextFormattedCitation":"[11]","previouslyFormattedCitation":"(L. Lin, Wang, Xie, et al.)"},"properties":{"noteIndex":0},"schema":"https://github.com/citation-style-language/schema/raw/master/csl-citation.json"}</w:instrText>
      </w:r>
      <w:r w:rsidRPr="00B377AC">
        <w:rPr>
          <w:rStyle w:val="FootnoteReference"/>
        </w:rPr>
        <w:fldChar w:fldCharType="separate"/>
      </w:r>
      <w:r w:rsidR="007E7CB7" w:rsidRPr="007E7CB7">
        <w:rPr>
          <w:noProof/>
        </w:rPr>
        <w:t>[11]</w:t>
      </w:r>
      <w:r w:rsidRPr="00B377AC">
        <w:rPr>
          <w:rStyle w:val="FootnoteReference"/>
        </w:rPr>
        <w:fldChar w:fldCharType="end"/>
      </w:r>
      <w:r w:rsidRPr="00B377AC">
        <w:t>.</w:t>
      </w:r>
    </w:p>
    <w:p w14:paraId="0EA22DB3" w14:textId="77777777" w:rsidR="009468DF" w:rsidRPr="00B377AC" w:rsidRDefault="009468DF" w:rsidP="009468DF">
      <w:r w:rsidRPr="00B377AC">
        <w:t xml:space="preserve">For further investigation about the effect of potential well, frequency-sweep simulation is carried out, with amplitudes of 5 mm (Fig.7 (a), (b) and (c)) and 10 mm (Fig.7 (d), (e) and (f)) respectively. </w:t>
      </w:r>
      <w:bookmarkStart w:id="22" w:name="_Hlk67584438"/>
      <w:r w:rsidRPr="00B377AC">
        <w:t>The two figures in the top row (Fig.7 (a) and (d)) illustrate the angular displacement, in which the maximal and minimal displacements are marked with symbols.</w:t>
      </w:r>
      <w:bookmarkEnd w:id="22"/>
      <w:r w:rsidRPr="00B377AC">
        <w:t xml:space="preserve"> The root mean value (RMS) of angular velocity </w:t>
      </w:r>
      <m:oMath>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m:rPr>
                <m:sty m:val="p"/>
              </m:rPr>
              <w:rPr>
                <w:rFonts w:ascii="Cambria Math" w:hAnsi="Cambria Math"/>
              </w:rPr>
              <m:t>rms</m:t>
            </m:r>
          </m:sub>
        </m:sSub>
      </m:oMath>
      <w:r w:rsidRPr="00B377AC">
        <w:t xml:space="preserve"> ((Fig.7 (b) and (e))) and average power </w:t>
      </w:r>
      <m:oMath>
        <m:acc>
          <m:accPr>
            <m:chr m:val="̅"/>
            <m:ctrlPr>
              <w:rPr>
                <w:rFonts w:ascii="Cambria Math" w:hAnsi="Cambria Math"/>
              </w:rPr>
            </m:ctrlPr>
          </m:accPr>
          <m:e>
            <m:r>
              <w:rPr>
                <w:rFonts w:ascii="Cambria Math" w:hAnsi="Cambria Math"/>
              </w:rPr>
              <m:t>P</m:t>
            </m:r>
          </m:e>
        </m:acc>
      </m:oMath>
      <w:r w:rsidRPr="00B377AC">
        <w:t xml:space="preserve"> (Fig.7 (c) and (f)) are shown in the figures in the second row and the third row respectively. It can be seen from the figures in left column that with the increase of frequency, only intrawell oscillation occurs at s=8 mm and 12 mm. When </w:t>
      </w:r>
      <w:r w:rsidRPr="00B377AC">
        <w:lastRenderedPageBreak/>
        <w:t>the frequency is smaller than 3 Hz, the harvester without magnetic bistable mechanism (</w:t>
      </w:r>
      <m:oMath>
        <m:r>
          <w:rPr>
            <w:rFonts w:ascii="Cambria Math" w:hAnsi="Cambria Math"/>
          </w:rPr>
          <m:t>s</m:t>
        </m:r>
        <m:r>
          <m:rPr>
            <m:sty m:val="p"/>
          </m:rPr>
          <w:rPr>
            <w:rFonts w:ascii="Cambria Math" w:hAnsi="Cambria Math"/>
          </w:rPr>
          <m:t>=INF</m:t>
        </m:r>
      </m:oMath>
      <w:r w:rsidRPr="00B377AC">
        <w:t xml:space="preserve">) has larger amplitude and angular velocity. However, due to the low angular velocity, the difference between the out power of the harvesters with different gap distances is very small. In the frequency range from 3 Hz to 4.5 Hz, the harvester with the gap distance of 12 mm achieves a higher power because of the higher angular velocity and amplitude. When the frequency is larger than 4.5 Hz, larger amplitude and velocity are found at s=8 mm, and the corresponding harvester has a higher power. It is noticed that the powers at both s=8 mm and 12 mm are enhanced compared with that at </w:t>
      </w:r>
      <m:oMath>
        <m:r>
          <w:rPr>
            <w:rFonts w:ascii="Cambria Math" w:hAnsi="Cambria Math"/>
          </w:rPr>
          <m:t>s</m:t>
        </m:r>
        <m:r>
          <m:rPr>
            <m:sty m:val="p"/>
          </m:rPr>
          <w:rPr>
            <w:rFonts w:ascii="Cambria Math" w:hAnsi="Cambria Math"/>
          </w:rPr>
          <m:t>=INF</m:t>
        </m:r>
      </m:oMath>
      <w:r w:rsidRPr="00B377AC">
        <w:t>. From the figures of right column, due to the large excitation amplitude (</w:t>
      </w:r>
      <w:r w:rsidRPr="00B377AC">
        <w:rPr>
          <w:i/>
        </w:rPr>
        <w:t>A</w:t>
      </w:r>
      <w:r w:rsidRPr="00B377AC">
        <w:t xml:space="preserve">=10 mm), it can be seen that interwell oscillation happens in the frequency range from 3 Hz to 6.5 Hz when </w:t>
      </w:r>
      <w:r w:rsidRPr="00B377AC">
        <w:rPr>
          <w:i/>
        </w:rPr>
        <w:t>s</w:t>
      </w:r>
      <w:r w:rsidRPr="00B377AC">
        <w:t>=12 mm. When the frequency is larger than 6.5 Hz, the harvesters with the gap distance of 12 mm and without the bistable mechanism almost have the same amplitude. For the harvester with the gap distance of 8 mm, both interwell oscillation with large amplitude and intrawell oscillation happen, which also achieves the highest power when the frequency is larger than 4 Hz.</w:t>
      </w:r>
    </w:p>
    <w:p w14:paraId="76B81247" w14:textId="77777777" w:rsidR="009468DF" w:rsidRDefault="009468DF" w:rsidP="00C73877"/>
    <w:p w14:paraId="7CF45A6A" w14:textId="77777777" w:rsidR="00456589" w:rsidRPr="00B377AC" w:rsidRDefault="00456589" w:rsidP="00456589">
      <w:pPr>
        <w:ind w:firstLine="0"/>
        <w:jc w:val="center"/>
      </w:pPr>
      <w:r w:rsidRPr="00B377AC">
        <w:rPr>
          <w:rFonts w:eastAsiaTheme="majorEastAsia"/>
          <w:b/>
          <w:bCs/>
          <w:noProof/>
          <w:color w:val="0070C0"/>
          <w:sz w:val="24"/>
          <w:szCs w:val="24"/>
        </w:rPr>
        <w:drawing>
          <wp:inline distT="0" distB="0" distL="0" distR="0" wp14:anchorId="5121A56A" wp14:editId="12D3BA3D">
            <wp:extent cx="3823200" cy="17784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3200" cy="1778400"/>
                    </a:xfrm>
                    <a:prstGeom prst="rect">
                      <a:avLst/>
                    </a:prstGeom>
                    <a:noFill/>
                    <a:ln>
                      <a:noFill/>
                    </a:ln>
                  </pic:spPr>
                </pic:pic>
              </a:graphicData>
            </a:graphic>
          </wp:inline>
        </w:drawing>
      </w:r>
    </w:p>
    <w:p w14:paraId="453D8341" w14:textId="77777777" w:rsidR="00456589" w:rsidRPr="00B377AC" w:rsidRDefault="00456589" w:rsidP="00456589">
      <w:pPr>
        <w:ind w:firstLine="0"/>
        <w:jc w:val="center"/>
      </w:pPr>
      <w:r w:rsidRPr="00B377AC">
        <w:rPr>
          <w:rFonts w:eastAsiaTheme="majorEastAsia"/>
          <w:b/>
          <w:bCs/>
          <w:noProof/>
          <w:color w:val="0070C0"/>
          <w:sz w:val="24"/>
          <w:szCs w:val="24"/>
        </w:rPr>
        <w:drawing>
          <wp:inline distT="0" distB="0" distL="0" distR="0" wp14:anchorId="5F9C6AC2" wp14:editId="0EB881F3">
            <wp:extent cx="3819600" cy="1695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600" cy="1695600"/>
                    </a:xfrm>
                    <a:prstGeom prst="rect">
                      <a:avLst/>
                    </a:prstGeom>
                    <a:noFill/>
                    <a:ln>
                      <a:noFill/>
                    </a:ln>
                  </pic:spPr>
                </pic:pic>
              </a:graphicData>
            </a:graphic>
          </wp:inline>
        </w:drawing>
      </w:r>
    </w:p>
    <w:p w14:paraId="02511DE4" w14:textId="27F8C882" w:rsidR="00456589" w:rsidRPr="00B377AC" w:rsidRDefault="00456589" w:rsidP="00456589">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6</w:t>
      </w:r>
      <w:r w:rsidRPr="00B377AC">
        <w:rPr>
          <w:b/>
        </w:rPr>
        <w:fldChar w:fldCharType="end"/>
      </w:r>
      <w:r w:rsidRPr="00B377AC">
        <w:rPr>
          <w:b/>
        </w:rPr>
        <w:t>.</w:t>
      </w:r>
      <w:r w:rsidRPr="00B377AC">
        <w:t xml:space="preserve"> Phase portrait and voltage under different gap distances.</w:t>
      </w:r>
    </w:p>
    <w:p w14:paraId="77418870" w14:textId="77777777" w:rsidR="0093522C" w:rsidRPr="00B377AC" w:rsidRDefault="0093522C" w:rsidP="001F3028">
      <w:pPr>
        <w:ind w:firstLine="0"/>
        <w:jc w:val="center"/>
      </w:pPr>
      <w:r w:rsidRPr="00B377AC">
        <w:rPr>
          <w:rFonts w:eastAsiaTheme="majorEastAsia"/>
          <w:b/>
          <w:bCs/>
          <w:noProof/>
          <w:color w:val="0070C0"/>
          <w:sz w:val="24"/>
          <w:szCs w:val="24"/>
        </w:rPr>
        <w:lastRenderedPageBreak/>
        <w:drawing>
          <wp:inline distT="0" distB="0" distL="0" distR="0" wp14:anchorId="4A2164F4" wp14:editId="077E73FF">
            <wp:extent cx="2096780" cy="30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780" cy="3024000"/>
                    </a:xfrm>
                    <a:prstGeom prst="rect">
                      <a:avLst/>
                    </a:prstGeom>
                    <a:noFill/>
                    <a:ln>
                      <a:noFill/>
                    </a:ln>
                  </pic:spPr>
                </pic:pic>
              </a:graphicData>
            </a:graphic>
          </wp:inline>
        </w:drawing>
      </w:r>
      <w:r w:rsidRPr="00B377AC">
        <w:rPr>
          <w:rFonts w:eastAsiaTheme="majorEastAsia"/>
          <w:b/>
          <w:bCs/>
          <w:noProof/>
          <w:color w:val="0070C0"/>
          <w:sz w:val="24"/>
          <w:szCs w:val="24"/>
        </w:rPr>
        <w:drawing>
          <wp:inline distT="0" distB="0" distL="0" distR="0" wp14:anchorId="477016A6" wp14:editId="76B2F8D0">
            <wp:extent cx="2098142" cy="30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142" cy="3024000"/>
                    </a:xfrm>
                    <a:prstGeom prst="rect">
                      <a:avLst/>
                    </a:prstGeom>
                    <a:noFill/>
                    <a:ln>
                      <a:noFill/>
                    </a:ln>
                  </pic:spPr>
                </pic:pic>
              </a:graphicData>
            </a:graphic>
          </wp:inline>
        </w:drawing>
      </w:r>
    </w:p>
    <w:p w14:paraId="281C3922" w14:textId="04197883" w:rsidR="0093522C" w:rsidRDefault="0093522C" w:rsidP="009468DF">
      <w:pPr>
        <w:pStyle w:val="figurecaption"/>
        <w:spacing w:before="0" w:after="120"/>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7</w:t>
      </w:r>
      <w:r w:rsidRPr="00B377AC">
        <w:rPr>
          <w:b/>
        </w:rPr>
        <w:fldChar w:fldCharType="end"/>
      </w:r>
      <w:r w:rsidRPr="00B377AC">
        <w:rPr>
          <w:b/>
        </w:rPr>
        <w:t>.</w:t>
      </w:r>
      <w:r w:rsidRPr="00B377AC">
        <w:t xml:space="preserve"> Frequency response under different amplitudes.</w:t>
      </w:r>
    </w:p>
    <w:p w14:paraId="58D1CFEA" w14:textId="2C55BA2E" w:rsidR="00160DCC" w:rsidRDefault="00160DCC" w:rsidP="00B87845">
      <w:r w:rsidRPr="00B377AC">
        <w:t xml:space="preserve">Fig.8 illustrates the root mean value of voltage </w:t>
      </w:r>
      <m:oMath>
        <m:sSub>
          <m:sSubPr>
            <m:ctrlPr>
              <w:rPr>
                <w:rFonts w:ascii="Cambria Math" w:hAnsi="Cambria Math"/>
              </w:rPr>
            </m:ctrlPr>
          </m:sSubPr>
          <m:e>
            <m:r>
              <w:rPr>
                <w:rFonts w:ascii="Cambria Math" w:hAnsi="Cambria Math"/>
              </w:rPr>
              <m:t>V</m:t>
            </m:r>
          </m:e>
          <m:sub>
            <m:r>
              <m:rPr>
                <m:sty m:val="p"/>
              </m:rPr>
              <w:rPr>
                <w:rFonts w:ascii="Cambria Math" w:hAnsi="Cambria Math"/>
              </w:rPr>
              <m:t>rms</m:t>
            </m:r>
          </m:sub>
        </m:sSub>
      </m:oMath>
      <w:r w:rsidRPr="00B377AC">
        <w:t xml:space="preserve"> across the load resistor </w:t>
      </w:r>
      <m:oMath>
        <m:r>
          <w:rPr>
            <w:rFonts w:ascii="Cambria Math" w:hAnsi="Cambria Math"/>
          </w:rPr>
          <m:t>R</m:t>
        </m:r>
        <m:r>
          <m:rPr>
            <m:sty m:val="p"/>
          </m:rPr>
          <w:rPr>
            <w:rFonts w:ascii="Cambria Math" w:hAnsi="Cambria Math"/>
          </w:rPr>
          <m:t xml:space="preserve"> (10 MΩ)</m:t>
        </m:r>
      </m:oMath>
      <w:r w:rsidRPr="00B377AC">
        <w:t xml:space="preserve"> in the parameter region of frequency and gap distance at </w:t>
      </w:r>
      <w:r w:rsidRPr="00B377AC">
        <w:rPr>
          <w:i/>
        </w:rPr>
        <w:t>A</w:t>
      </w:r>
      <w:r w:rsidRPr="00B377AC">
        <w:t>=5 mm (Fig.8 (a)) and 10 mm (Fig.8 (b)) respectively, which can provide a guideline for selecting a proper gap distance. It is indicated that an optimal gap range exists for high power and a smaller gap distance should be utilized when the harvester is exposed to stronger excitation.</w:t>
      </w:r>
    </w:p>
    <w:p w14:paraId="3CECBC5F" w14:textId="77777777" w:rsidR="00160DCC" w:rsidRDefault="00160DCC" w:rsidP="00B87845">
      <w:r w:rsidRPr="00B377AC">
        <w:t xml:space="preserve">It can be concluded that larger amplitude and angular velocity can be achieved with an appropriate gap distances between the magnets, which can bring about a higher output power than conventional </w:t>
      </w:r>
      <w:r>
        <w:t>disc</w:t>
      </w:r>
      <w:r w:rsidRPr="00B377AC">
        <w:t>-shaped harvesters without the magnetic bistable mechanism.</w:t>
      </w:r>
    </w:p>
    <w:p w14:paraId="5DC89E59" w14:textId="77777777" w:rsidR="0093522C" w:rsidRPr="00B377AC" w:rsidRDefault="0093522C" w:rsidP="00456589">
      <w:pPr>
        <w:spacing w:line="200" w:lineRule="atLeast"/>
        <w:ind w:firstLine="0"/>
        <w:jc w:val="center"/>
        <w:rPr>
          <w:rFonts w:eastAsiaTheme="majorEastAsia"/>
          <w:b/>
          <w:bCs/>
          <w:color w:val="0070C0"/>
          <w:sz w:val="24"/>
          <w:szCs w:val="24"/>
        </w:rPr>
      </w:pPr>
      <w:r w:rsidRPr="00B377AC">
        <w:rPr>
          <w:rFonts w:eastAsiaTheme="majorEastAsia"/>
          <w:b/>
          <w:bCs/>
          <w:noProof/>
          <w:color w:val="0070C0"/>
          <w:sz w:val="24"/>
          <w:szCs w:val="24"/>
        </w:rPr>
        <w:drawing>
          <wp:inline distT="0" distB="0" distL="0" distR="0" wp14:anchorId="55A49274" wp14:editId="25934DA0">
            <wp:extent cx="2178000" cy="1792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8000" cy="1792800"/>
                    </a:xfrm>
                    <a:prstGeom prst="rect">
                      <a:avLst/>
                    </a:prstGeom>
                    <a:noFill/>
                    <a:ln>
                      <a:noFill/>
                    </a:ln>
                  </pic:spPr>
                </pic:pic>
              </a:graphicData>
            </a:graphic>
          </wp:inline>
        </w:drawing>
      </w:r>
      <w:r w:rsidRPr="00B377AC">
        <w:rPr>
          <w:rFonts w:eastAsiaTheme="majorEastAsia"/>
          <w:b/>
          <w:bCs/>
          <w:noProof/>
          <w:color w:val="0070C0"/>
          <w:sz w:val="24"/>
          <w:szCs w:val="24"/>
        </w:rPr>
        <w:drawing>
          <wp:inline distT="0" distB="0" distL="0" distR="0" wp14:anchorId="1F15B2AB" wp14:editId="1E73FECC">
            <wp:extent cx="2178000" cy="179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00" cy="1792800"/>
                    </a:xfrm>
                    <a:prstGeom prst="rect">
                      <a:avLst/>
                    </a:prstGeom>
                    <a:noFill/>
                    <a:ln>
                      <a:noFill/>
                    </a:ln>
                  </pic:spPr>
                </pic:pic>
              </a:graphicData>
            </a:graphic>
          </wp:inline>
        </w:drawing>
      </w:r>
    </w:p>
    <w:p w14:paraId="746FA3BB" w14:textId="77777777" w:rsidR="0093522C" w:rsidRPr="00B377AC" w:rsidRDefault="0093522C" w:rsidP="00456589">
      <w:pPr>
        <w:spacing w:line="200" w:lineRule="atLeast"/>
      </w:pPr>
      <w:r w:rsidRPr="00B377AC">
        <w:t xml:space="preserve">                   (a)</w:t>
      </w:r>
      <w:r w:rsidRPr="00B377AC">
        <w:rPr>
          <w:i/>
        </w:rPr>
        <w:t xml:space="preserve"> A</w:t>
      </w:r>
      <w:r w:rsidRPr="00B377AC">
        <w:t>=5mm                                                (b)</w:t>
      </w:r>
      <w:r w:rsidRPr="00B377AC">
        <w:rPr>
          <w:i/>
        </w:rPr>
        <w:t xml:space="preserve"> A</w:t>
      </w:r>
      <w:r w:rsidRPr="00B377AC">
        <w:t>=10mm</w:t>
      </w:r>
    </w:p>
    <w:p w14:paraId="79E9303F" w14:textId="51622712" w:rsidR="0093522C" w:rsidRPr="00B377AC" w:rsidRDefault="0093522C" w:rsidP="0093522C">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8</w:t>
      </w:r>
      <w:r w:rsidRPr="00B377AC">
        <w:rPr>
          <w:b/>
        </w:rPr>
        <w:fldChar w:fldCharType="end"/>
      </w:r>
      <w:r w:rsidRPr="00B377AC">
        <w:rPr>
          <w:b/>
        </w:rPr>
        <w:t>.</w:t>
      </w:r>
      <w:r w:rsidRPr="00B377AC">
        <w:t xml:space="preserve"> Voltage in the parameter region of frequency </w:t>
      </w:r>
      <w:r w:rsidRPr="00B377AC">
        <w:rPr>
          <w:i/>
        </w:rPr>
        <w:t>f</w:t>
      </w:r>
      <w:r w:rsidRPr="00B377AC">
        <w:t xml:space="preserve"> and gap distance </w:t>
      </w:r>
      <w:r w:rsidRPr="00B377AC">
        <w:rPr>
          <w:i/>
        </w:rPr>
        <w:t>s</w:t>
      </w:r>
      <w:r w:rsidRPr="00B377AC">
        <w:t>.</w:t>
      </w:r>
    </w:p>
    <w:p w14:paraId="74E91F1A" w14:textId="77777777" w:rsidR="00AA1188" w:rsidRPr="00B377AC" w:rsidRDefault="00AA1188" w:rsidP="00AA1188">
      <w:pPr>
        <w:pStyle w:val="heading2"/>
        <w:spacing w:before="0"/>
      </w:pPr>
      <w:r w:rsidRPr="00B377AC">
        <w:lastRenderedPageBreak/>
        <w:t>Basins of attraction</w:t>
      </w:r>
    </w:p>
    <w:p w14:paraId="2E5B2C2C" w14:textId="3E1B857A" w:rsidR="00F43D91" w:rsidRPr="00B377AC" w:rsidRDefault="00AA1188" w:rsidP="00F43D91">
      <w:pPr>
        <w:pStyle w:val="p1a"/>
      </w:pPr>
      <w:r w:rsidRPr="00B377AC">
        <w:t xml:space="preserve">As the structural dynamic response of the harvester with the magnetic bistable mechanism can be sensitive to the initial conditions, basins of attraction are investigated </w:t>
      </w:r>
      <w:bookmarkStart w:id="23" w:name="_Hlk67583099"/>
      <w:r w:rsidRPr="00B377AC">
        <w:t xml:space="preserve">for further understanding the influence of the initial conditions on structural dynamic </w:t>
      </w:r>
      <w:proofErr w:type="spellStart"/>
      <w:r w:rsidR="00B377AC" w:rsidRPr="00B377AC">
        <w:t>behaviours</w:t>
      </w:r>
      <w:bookmarkEnd w:id="23"/>
      <w:proofErr w:type="spellEnd"/>
      <w:r w:rsidRPr="00B377AC">
        <w:t>. A series of initial conditions (</w:t>
      </w:r>
      <m:oMath>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m:t>
        </m:r>
        <w:bookmarkStart w:id="24" w:name="OLE_LINK21"/>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m:rPr>
                <m:sty m:val="p"/>
              </m:rPr>
              <w:rPr>
                <w:rFonts w:ascii="Cambria Math" w:hAnsi="Cambria Math"/>
              </w:rPr>
              <m:t>0</m:t>
            </m:r>
          </m:sub>
        </m:sSub>
      </m:oMath>
      <w:bookmarkEnd w:id="24"/>
      <w:r w:rsidRPr="00B377AC">
        <w:t xml:space="preserve">) are utilized in simulation, in which the ranges of initial position </w:t>
      </w:r>
      <m:oMath>
        <m:sSub>
          <m:sSubPr>
            <m:ctrlPr>
              <w:rPr>
                <w:rFonts w:ascii="Cambria Math" w:hAnsi="Cambria Math"/>
              </w:rPr>
            </m:ctrlPr>
          </m:sSubPr>
          <m:e>
            <m:r>
              <w:rPr>
                <w:rFonts w:ascii="Cambria Math" w:hAnsi="Cambria Math"/>
              </w:rPr>
              <m:t>θ</m:t>
            </m:r>
          </m:e>
          <m:sub>
            <m:r>
              <m:rPr>
                <m:sty m:val="p"/>
              </m:rPr>
              <w:rPr>
                <w:rFonts w:ascii="Cambria Math" w:hAnsi="Cambria Math"/>
              </w:rPr>
              <m:t>0</m:t>
            </m:r>
          </m:sub>
        </m:sSub>
      </m:oMath>
      <w:r w:rsidRPr="00B377AC">
        <w:t xml:space="preserve"> and initial velocity </w:t>
      </w:r>
      <m:oMath>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m:rPr>
                <m:sty m:val="p"/>
              </m:rPr>
              <w:rPr>
                <w:rFonts w:ascii="Cambria Math" w:hAnsi="Cambria Math"/>
              </w:rPr>
              <m:t>0</m:t>
            </m:r>
          </m:sub>
        </m:sSub>
      </m:oMath>
      <w:r w:rsidRPr="00B377AC">
        <w:t xml:space="preserve"> are from -3 rad to 3 rad and from -50 rad/s to 50 rad/s. According to the attractor</w:t>
      </w:r>
      <w:r w:rsidR="004054FC">
        <w:t>s</w:t>
      </w:r>
      <w:r w:rsidRPr="00B377AC">
        <w:t xml:space="preserve"> onto which the system eventually settles down, the attractors are categorized into three types here, namely intrawell motion on </w:t>
      </w:r>
      <w:r w:rsidR="004054FC">
        <w:t xml:space="preserve">the </w:t>
      </w:r>
      <w:r w:rsidRPr="00B377AC">
        <w:t xml:space="preserve">left, intrawell motion on </w:t>
      </w:r>
      <w:r w:rsidR="004054FC">
        <w:t xml:space="preserve">the </w:t>
      </w:r>
      <w:r w:rsidRPr="00B377AC">
        <w:t xml:space="preserve">right and interwell motion. The steady-state of the system at each specific initial condition is recorded and marked with the corresponding </w:t>
      </w:r>
      <w:proofErr w:type="spellStart"/>
      <w:r w:rsidR="00B377AC" w:rsidRPr="00B377AC">
        <w:t>colour</w:t>
      </w:r>
      <w:proofErr w:type="spellEnd"/>
      <w:r w:rsidRPr="00B377AC">
        <w:t xml:space="preserve"> accord</w:t>
      </w:r>
      <w:r w:rsidR="00C254C6" w:rsidRPr="00B377AC">
        <w:t>ing</w:t>
      </w:r>
      <w:r w:rsidRPr="00B377AC">
        <w:t xml:space="preserve"> to the </w:t>
      </w:r>
      <w:r w:rsidR="004054FC">
        <w:t xml:space="preserve">type of the resulting </w:t>
      </w:r>
      <w:r w:rsidRPr="00B377AC">
        <w:t>attractors.</w:t>
      </w:r>
    </w:p>
    <w:p w14:paraId="791A6E74" w14:textId="61036832" w:rsidR="00AE4EB6" w:rsidRDefault="00AA1188" w:rsidP="00456589">
      <w:bookmarkStart w:id="25" w:name="OLE_LINK22"/>
      <w:r w:rsidRPr="00B377AC">
        <w:t xml:space="preserve">Fig.9 </w:t>
      </w:r>
      <w:bookmarkEnd w:id="25"/>
      <w:r w:rsidRPr="00B377AC">
        <w:t xml:space="preserve">illustrates the basins of attraction under four different cases, namely </w:t>
      </w:r>
      <w:bookmarkStart w:id="26" w:name="_Hlk67583042"/>
      <w:r w:rsidRPr="00B377AC">
        <w:t xml:space="preserve">case 1: </w:t>
      </w:r>
      <w:r w:rsidRPr="00B377AC">
        <w:rPr>
          <w:i/>
        </w:rPr>
        <w:t>A</w:t>
      </w:r>
      <w:r w:rsidRPr="00B377AC">
        <w:t xml:space="preserve">=10 mm, </w:t>
      </w:r>
      <w:r w:rsidRPr="00B377AC">
        <w:rPr>
          <w:i/>
        </w:rPr>
        <w:t>f</w:t>
      </w:r>
      <w:r w:rsidRPr="00B377AC">
        <w:t xml:space="preserve">=5 Hz, </w:t>
      </w:r>
      <w:r w:rsidRPr="00B377AC">
        <w:rPr>
          <w:i/>
        </w:rPr>
        <w:t>s</w:t>
      </w:r>
      <w:r w:rsidRPr="00B377AC">
        <w:t xml:space="preserve">=8 mm; case 2: </w:t>
      </w:r>
      <w:r w:rsidRPr="00B377AC">
        <w:rPr>
          <w:i/>
        </w:rPr>
        <w:t>A</w:t>
      </w:r>
      <w:r w:rsidRPr="00B377AC">
        <w:t xml:space="preserve">=10 mm, </w:t>
      </w:r>
      <w:r w:rsidRPr="00B377AC">
        <w:rPr>
          <w:i/>
        </w:rPr>
        <w:t>f</w:t>
      </w:r>
      <w:r w:rsidRPr="00B377AC">
        <w:t xml:space="preserve">=5 Hz, </w:t>
      </w:r>
      <w:r w:rsidRPr="00B377AC">
        <w:rPr>
          <w:i/>
        </w:rPr>
        <w:t>s</w:t>
      </w:r>
      <w:r w:rsidRPr="00B377AC">
        <w:t xml:space="preserve">=10 mm; case 3: </w:t>
      </w:r>
      <w:r w:rsidRPr="00B377AC">
        <w:rPr>
          <w:i/>
        </w:rPr>
        <w:t>A</w:t>
      </w:r>
      <w:r w:rsidRPr="00B377AC">
        <w:t xml:space="preserve">=30 mm, </w:t>
      </w:r>
      <w:r w:rsidRPr="00B377AC">
        <w:rPr>
          <w:i/>
        </w:rPr>
        <w:t>f</w:t>
      </w:r>
      <w:r w:rsidRPr="00B377AC">
        <w:t xml:space="preserve">=2 Hz, </w:t>
      </w:r>
      <w:r w:rsidRPr="00B377AC">
        <w:rPr>
          <w:i/>
        </w:rPr>
        <w:t>s</w:t>
      </w:r>
      <w:r w:rsidRPr="00B377AC">
        <w:t xml:space="preserve">=10 mm; case 4: </w:t>
      </w:r>
      <w:r w:rsidRPr="00B377AC">
        <w:rPr>
          <w:i/>
        </w:rPr>
        <w:t>A</w:t>
      </w:r>
      <w:r w:rsidRPr="00B377AC">
        <w:t xml:space="preserve">=30 mm, </w:t>
      </w:r>
      <w:r w:rsidRPr="00B377AC">
        <w:rPr>
          <w:i/>
        </w:rPr>
        <w:t>f</w:t>
      </w:r>
      <w:r w:rsidRPr="00B377AC">
        <w:t xml:space="preserve">=2.5 Hz, </w:t>
      </w:r>
      <w:r w:rsidRPr="00B377AC">
        <w:rPr>
          <w:i/>
        </w:rPr>
        <w:t>s</w:t>
      </w:r>
      <w:r w:rsidRPr="00B377AC">
        <w:t xml:space="preserve">=10 mm. </w:t>
      </w:r>
      <w:bookmarkEnd w:id="26"/>
      <w:r w:rsidRPr="00B377AC">
        <w:t xml:space="preserve">In Fig.9 (a), it can be seen that only pure intrawell motions on left side and right side take place. With the increase of gap distance between magnets, in case 2 (Fig.9 (b)), interwell motion appears due to the weakened magnetic repulsion, and the three types of attractors seem to intermingle. The basin in case 3 (Fig.9 (c)) </w:t>
      </w:r>
      <w:bookmarkStart w:id="27" w:name="OLE_LINK25"/>
      <w:r w:rsidRPr="00B377AC">
        <w:t xml:space="preserve">is similar to </w:t>
      </w:r>
      <w:bookmarkEnd w:id="27"/>
      <w:r w:rsidRPr="00B377AC">
        <w:t>that in case1. In case 4</w:t>
      </w:r>
      <w:r w:rsidR="00C254C6" w:rsidRPr="00B377AC">
        <w:t xml:space="preserve"> (Fig.9 (d))</w:t>
      </w:r>
      <w:r w:rsidRPr="00B377AC">
        <w:t>, at a relatively higher frequency, the basin exhibits a regular pattern and the system becomes less sensitive to the initial conditions. Comparison between case 3 and case 4 indicates that a slight change in frequency may bring about a distinct basin of attraction. The analysis above shows that the system sensitivity to the initial conditions is greatly affected by</w:t>
      </w:r>
      <w:r w:rsidR="002F2BB0" w:rsidRPr="002F2BB0">
        <w:t xml:space="preserve"> </w:t>
      </w:r>
      <w:r w:rsidR="002F2BB0">
        <w:t xml:space="preserve">the </w:t>
      </w:r>
      <w:r w:rsidR="002F2BB0" w:rsidRPr="00B377AC">
        <w:t>excitation</w:t>
      </w:r>
      <w:r w:rsidR="002F2BB0">
        <w:t xml:space="preserve"> and</w:t>
      </w:r>
      <w:r w:rsidRPr="00B377AC">
        <w:t xml:space="preserve"> the gap between the magnets.</w:t>
      </w:r>
    </w:p>
    <w:p w14:paraId="4210817B" w14:textId="1C9BD802" w:rsidR="00AE4EB6" w:rsidRPr="00B377AC" w:rsidRDefault="00FA23EF" w:rsidP="00AE4EB6">
      <w:pPr>
        <w:spacing w:before="120" w:line="160" w:lineRule="atLeast"/>
        <w:jc w:val="center"/>
        <w:textAlignment w:val="center"/>
        <w:rPr>
          <w:rFonts w:eastAsiaTheme="majorEastAsia"/>
          <w:b/>
          <w:bCs/>
          <w:color w:val="0070C0"/>
        </w:rPr>
      </w:pPr>
      <w:r w:rsidRPr="009468DF">
        <w:rPr>
          <w:rFonts w:eastAsiaTheme="majorEastAsia"/>
          <w:b/>
          <w:bCs/>
          <w:noProof/>
          <w:color w:val="0070C0"/>
          <w:sz w:val="24"/>
          <w:szCs w:val="24"/>
        </w:rPr>
        <mc:AlternateContent>
          <mc:Choice Requires="wps">
            <w:drawing>
              <wp:anchor distT="45720" distB="45720" distL="114300" distR="114300" simplePos="0" relativeHeight="251661312" behindDoc="0" locked="0" layoutInCell="1" allowOverlap="1" wp14:anchorId="2BAE4D6A" wp14:editId="6DC848E2">
                <wp:simplePos x="0" y="0"/>
                <wp:positionH relativeFrom="column">
                  <wp:posOffset>2437130</wp:posOffset>
                </wp:positionH>
                <wp:positionV relativeFrom="paragraph">
                  <wp:posOffset>209697</wp:posOffset>
                </wp:positionV>
                <wp:extent cx="67945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noFill/>
                        <a:ln w="9525">
                          <a:noFill/>
                          <a:miter lim="800000"/>
                          <a:headEnd/>
                          <a:tailEnd/>
                        </a:ln>
                      </wps:spPr>
                      <wps:txbx>
                        <w:txbxContent>
                          <w:p w14:paraId="21734019" w14:textId="4E88BA9C" w:rsidR="006F054E" w:rsidRDefault="006F054E" w:rsidP="00FA23EF">
                            <w:r>
                              <w:t>Case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AE4D6A" id="_x0000_t202" coordsize="21600,21600" o:spt="202" path="m,l,21600r21600,l21600,xe">
                <v:stroke joinstyle="miter"/>
                <v:path gradientshapeok="t" o:connecttype="rect"/>
              </v:shapetype>
              <v:shape id="Text Box 2" o:spid="_x0000_s1026" type="#_x0000_t202" style="position:absolute;left:0;text-align:left;margin-left:191.9pt;margin-top:16.5pt;width: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" filled="f" stroked="f">
                <v:textbox style="mso-fit-shape-to-text:t">
                  <w:txbxContent>
                    <w:p w14:paraId="21734019" w14:textId="4E88BA9C" w:rsidR="006F054E" w:rsidRDefault="006F054E" w:rsidP="00FA23EF">
                      <w:r>
                        <w:t>Case 2</w:t>
                      </w:r>
                    </w:p>
                  </w:txbxContent>
                </v:textbox>
              </v:shape>
            </w:pict>
          </mc:Fallback>
        </mc:AlternateContent>
      </w:r>
      <w:r w:rsidRPr="009468DF">
        <w:rPr>
          <w:rFonts w:eastAsiaTheme="majorEastAsia"/>
          <w:b/>
          <w:bCs/>
          <w:noProof/>
          <w:color w:val="0070C0"/>
          <w:sz w:val="24"/>
          <w:szCs w:val="24"/>
        </w:rPr>
        <mc:AlternateContent>
          <mc:Choice Requires="wps">
            <w:drawing>
              <wp:anchor distT="45720" distB="45720" distL="114300" distR="114300" simplePos="0" relativeHeight="251659264" behindDoc="0" locked="0" layoutInCell="1" allowOverlap="1" wp14:anchorId="5A1DD2F7" wp14:editId="692BEF6B">
                <wp:simplePos x="0" y="0"/>
                <wp:positionH relativeFrom="column">
                  <wp:posOffset>531495</wp:posOffset>
                </wp:positionH>
                <wp:positionV relativeFrom="paragraph">
                  <wp:posOffset>227330</wp:posOffset>
                </wp:positionV>
                <wp:extent cx="6794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noFill/>
                        <a:ln w="9525">
                          <a:noFill/>
                          <a:miter lim="800000"/>
                          <a:headEnd/>
                          <a:tailEnd/>
                        </a:ln>
                      </wps:spPr>
                      <wps:txbx>
                        <w:txbxContent>
                          <w:p w14:paraId="252AE512" w14:textId="30F0BA4F" w:rsidR="006F054E" w:rsidRDefault="006F054E">
                            <w:r>
                              <w:t>Case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DD2F7" id="_x0000_s1027" type="#_x0000_t202" style="position:absolute;left:0;text-align:left;margin-left:41.85pt;margin-top:17.9pt;width:5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" filled="f" stroked="f">
                <v:textbox style="mso-fit-shape-to-text:t">
                  <w:txbxContent>
                    <w:p w14:paraId="252AE512" w14:textId="30F0BA4F" w:rsidR="006F054E" w:rsidRDefault="006F054E">
                      <w:r>
                        <w:t>Case 1</w:t>
                      </w:r>
                    </w:p>
                  </w:txbxContent>
                </v:textbox>
              </v:shape>
            </w:pict>
          </mc:Fallback>
        </mc:AlternateContent>
      </w:r>
      <w:r w:rsidR="00AE4EB6" w:rsidRPr="00B377AC">
        <w:rPr>
          <w:noProof/>
        </w:rPr>
        <w:drawing>
          <wp:inline distT="0" distB="0" distL="0" distR="0" wp14:anchorId="6B631997" wp14:editId="53D9AD84">
            <wp:extent cx="144000" cy="144000"/>
            <wp:effectExtent l="0" t="0" r="8890"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AE4EB6" w:rsidRPr="00B377AC">
        <w:t xml:space="preserve">Left intrawell motion side </w:t>
      </w:r>
      <w:r w:rsidR="00AE4EB6" w:rsidRPr="00B377AC">
        <w:rPr>
          <w:rFonts w:eastAsiaTheme="majorEastAsia"/>
          <w:b/>
          <w:bCs/>
          <w:color w:val="0070C0"/>
        </w:rPr>
        <w:t xml:space="preserve">  </w:t>
      </w:r>
      <w:r w:rsidR="00AE4EB6" w:rsidRPr="00B377AC">
        <w:rPr>
          <w:noProof/>
        </w:rPr>
        <w:drawing>
          <wp:inline distT="0" distB="0" distL="0" distR="0" wp14:anchorId="60E27DF0" wp14:editId="6C0649FC">
            <wp:extent cx="144000" cy="144000"/>
            <wp:effectExtent l="0" t="0" r="8890" b="889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 cy="144000"/>
                    </a:xfrm>
                    <a:prstGeom prst="rect">
                      <a:avLst/>
                    </a:prstGeom>
                  </pic:spPr>
                </pic:pic>
              </a:graphicData>
            </a:graphic>
          </wp:inline>
        </w:drawing>
      </w:r>
      <w:r w:rsidR="00AE4EB6" w:rsidRPr="00B377AC">
        <w:rPr>
          <w:rFonts w:eastAsiaTheme="majorEastAsia"/>
          <w:b/>
          <w:bCs/>
          <w:color w:val="0070C0"/>
        </w:rPr>
        <w:t xml:space="preserve"> </w:t>
      </w:r>
      <w:r w:rsidR="00AE4EB6" w:rsidRPr="00B377AC">
        <w:t xml:space="preserve">Right intrawell motion </w:t>
      </w:r>
      <w:r w:rsidR="00AE4EB6" w:rsidRPr="00B377AC">
        <w:rPr>
          <w:rFonts w:eastAsiaTheme="majorEastAsia"/>
          <w:b/>
          <w:bCs/>
          <w:color w:val="0070C0"/>
        </w:rPr>
        <w:t xml:space="preserve"> </w:t>
      </w:r>
      <w:r w:rsidR="00AE4EB6" w:rsidRPr="00B377AC">
        <w:rPr>
          <w:noProof/>
        </w:rPr>
        <w:drawing>
          <wp:inline distT="0" distB="0" distL="0" distR="0" wp14:anchorId="485134AB" wp14:editId="6E5E6227">
            <wp:extent cx="144000" cy="144000"/>
            <wp:effectExtent l="0" t="0" r="8890" b="889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000" cy="144000"/>
                    </a:xfrm>
                    <a:prstGeom prst="rect">
                      <a:avLst/>
                    </a:prstGeom>
                  </pic:spPr>
                </pic:pic>
              </a:graphicData>
            </a:graphic>
          </wp:inline>
        </w:drawing>
      </w:r>
      <w:r w:rsidR="00AE4EB6" w:rsidRPr="00B377AC">
        <w:rPr>
          <w:rFonts w:eastAsiaTheme="majorEastAsia"/>
          <w:b/>
          <w:bCs/>
          <w:color w:val="0070C0"/>
        </w:rPr>
        <w:t xml:space="preserve"> </w:t>
      </w:r>
      <w:r w:rsidR="00AE4EB6" w:rsidRPr="00B377AC">
        <w:t>Interwell motion</w:t>
      </w:r>
    </w:p>
    <w:p w14:paraId="0E4432B7" w14:textId="21BA82EB" w:rsidR="00AE4EB6" w:rsidRPr="00B377AC" w:rsidRDefault="00FA23EF" w:rsidP="00AE4EB6">
      <w:pPr>
        <w:spacing w:line="160" w:lineRule="atLeast"/>
        <w:jc w:val="center"/>
        <w:rPr>
          <w:rFonts w:eastAsiaTheme="majorEastAsia"/>
          <w:b/>
          <w:bCs/>
          <w:color w:val="0070C0"/>
          <w:sz w:val="24"/>
          <w:szCs w:val="24"/>
        </w:rPr>
      </w:pPr>
      <w:r w:rsidRPr="009468DF">
        <w:rPr>
          <w:rFonts w:eastAsiaTheme="majorEastAsia"/>
          <w:b/>
          <w:bCs/>
          <w:noProof/>
          <w:color w:val="0070C0"/>
          <w:sz w:val="24"/>
          <w:szCs w:val="24"/>
        </w:rPr>
        <mc:AlternateContent>
          <mc:Choice Requires="wps">
            <w:drawing>
              <wp:anchor distT="45720" distB="45720" distL="114300" distR="114300" simplePos="0" relativeHeight="251663360" behindDoc="0" locked="0" layoutInCell="1" allowOverlap="1" wp14:anchorId="499D9BFE" wp14:editId="036F0DE1">
                <wp:simplePos x="0" y="0"/>
                <wp:positionH relativeFrom="column">
                  <wp:posOffset>532130</wp:posOffset>
                </wp:positionH>
                <wp:positionV relativeFrom="paragraph">
                  <wp:posOffset>1470611</wp:posOffset>
                </wp:positionV>
                <wp:extent cx="67945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noFill/>
                        <a:ln w="9525">
                          <a:noFill/>
                          <a:miter lim="800000"/>
                          <a:headEnd/>
                          <a:tailEnd/>
                        </a:ln>
                      </wps:spPr>
                      <wps:txbx>
                        <w:txbxContent>
                          <w:p w14:paraId="66AD5077" w14:textId="481C7811" w:rsidR="006F054E" w:rsidRDefault="006F054E" w:rsidP="00FA23EF">
                            <w:r>
                              <w:t>Case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D9BFE" id="_x0000_s1028" type="#_x0000_t202" style="position:absolute;left:0;text-align:left;margin-left:41.9pt;margin-top:115.8pt;width:5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" filled="f" stroked="f">
                <v:textbox style="mso-fit-shape-to-text:t">
                  <w:txbxContent>
                    <w:p w14:paraId="66AD5077" w14:textId="481C7811" w:rsidR="006F054E" w:rsidRDefault="006F054E" w:rsidP="00FA23EF">
                      <w:r>
                        <w:t>Case 3</w:t>
                      </w:r>
                    </w:p>
                  </w:txbxContent>
                </v:textbox>
              </v:shape>
            </w:pict>
          </mc:Fallback>
        </mc:AlternateContent>
      </w:r>
      <w:r w:rsidR="00AE4EB6" w:rsidRPr="00B377AC">
        <w:rPr>
          <w:noProof/>
        </w:rPr>
        <w:drawing>
          <wp:inline distT="0" distB="0" distL="0" distR="0" wp14:anchorId="35E870CC" wp14:editId="644DAE76">
            <wp:extent cx="1768080" cy="14712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924" b="-1"/>
                    <a:stretch/>
                  </pic:blipFill>
                  <pic:spPr bwMode="auto">
                    <a:xfrm>
                      <a:off x="0" y="0"/>
                      <a:ext cx="1768657" cy="1471775"/>
                    </a:xfrm>
                    <a:prstGeom prst="rect">
                      <a:avLst/>
                    </a:prstGeom>
                    <a:noFill/>
                    <a:ln>
                      <a:noFill/>
                    </a:ln>
                    <a:extLst>
                      <a:ext uri="{53640926-AAD7-44D8-BBD7-CCE9431645EC}">
                        <a14:shadowObscured xmlns:a14="http://schemas.microsoft.com/office/drawing/2010/main"/>
                      </a:ext>
                    </a:extLst>
                  </pic:spPr>
                </pic:pic>
              </a:graphicData>
            </a:graphic>
          </wp:inline>
        </w:drawing>
      </w:r>
      <w:r w:rsidR="00AE4EB6" w:rsidRPr="00B377AC">
        <w:rPr>
          <w:rFonts w:eastAsiaTheme="majorEastAsia"/>
          <w:b/>
          <w:bCs/>
          <w:color w:val="0070C0"/>
          <w:sz w:val="24"/>
          <w:szCs w:val="24"/>
        </w:rPr>
        <w:t xml:space="preserve">   </w:t>
      </w:r>
      <w:r w:rsidR="00AE4EB6" w:rsidRPr="00B377AC">
        <w:rPr>
          <w:noProof/>
        </w:rPr>
        <w:drawing>
          <wp:inline distT="0" distB="0" distL="0" distR="0" wp14:anchorId="69E68C80" wp14:editId="5A9CDA22">
            <wp:extent cx="1768080" cy="147129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4924" b="-1"/>
                    <a:stretch/>
                  </pic:blipFill>
                  <pic:spPr bwMode="auto">
                    <a:xfrm>
                      <a:off x="0" y="0"/>
                      <a:ext cx="1768657" cy="1471775"/>
                    </a:xfrm>
                    <a:prstGeom prst="rect">
                      <a:avLst/>
                    </a:prstGeom>
                    <a:noFill/>
                    <a:ln>
                      <a:noFill/>
                    </a:ln>
                    <a:extLst>
                      <a:ext uri="{53640926-AAD7-44D8-BBD7-CCE9431645EC}">
                        <a14:shadowObscured xmlns:a14="http://schemas.microsoft.com/office/drawing/2010/main"/>
                      </a:ext>
                    </a:extLst>
                  </pic:spPr>
                </pic:pic>
              </a:graphicData>
            </a:graphic>
          </wp:inline>
        </w:drawing>
      </w:r>
    </w:p>
    <w:p w14:paraId="466CBDD7" w14:textId="5FBACCC4" w:rsidR="00AE4EB6" w:rsidRPr="00B377AC" w:rsidRDefault="00FA23EF" w:rsidP="00AE4EB6">
      <w:pPr>
        <w:spacing w:line="160" w:lineRule="atLeast"/>
        <w:jc w:val="center"/>
        <w:rPr>
          <w:rFonts w:eastAsiaTheme="majorEastAsia"/>
          <w:b/>
          <w:bCs/>
          <w:color w:val="0070C0"/>
          <w:sz w:val="24"/>
          <w:szCs w:val="24"/>
        </w:rPr>
      </w:pPr>
      <w:r w:rsidRPr="009468DF">
        <w:rPr>
          <w:rFonts w:eastAsiaTheme="majorEastAsia"/>
          <w:b/>
          <w:bCs/>
          <w:noProof/>
          <w:color w:val="0070C0"/>
          <w:sz w:val="24"/>
          <w:szCs w:val="24"/>
        </w:rPr>
        <mc:AlternateContent>
          <mc:Choice Requires="wps">
            <w:drawing>
              <wp:anchor distT="45720" distB="45720" distL="114300" distR="114300" simplePos="0" relativeHeight="251665408" behindDoc="0" locked="0" layoutInCell="1" allowOverlap="1" wp14:anchorId="1C4E5B6A" wp14:editId="39BAD07D">
                <wp:simplePos x="0" y="0"/>
                <wp:positionH relativeFrom="column">
                  <wp:posOffset>2447095</wp:posOffset>
                </wp:positionH>
                <wp:positionV relativeFrom="paragraph">
                  <wp:posOffset>16413</wp:posOffset>
                </wp:positionV>
                <wp:extent cx="67945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404620"/>
                        </a:xfrm>
                        <a:prstGeom prst="rect">
                          <a:avLst/>
                        </a:prstGeom>
                        <a:noFill/>
                        <a:ln w="9525">
                          <a:noFill/>
                          <a:miter lim="800000"/>
                          <a:headEnd/>
                          <a:tailEnd/>
                        </a:ln>
                      </wps:spPr>
                      <wps:txbx>
                        <w:txbxContent>
                          <w:p w14:paraId="0737019D" w14:textId="1369AB41" w:rsidR="006F054E" w:rsidRDefault="006F054E" w:rsidP="00FA23EF">
                            <w:r>
                              <w:t>Case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E5B6A" id="_x0000_s1029" type="#_x0000_t202" style="position:absolute;left:0;text-align:left;margin-left:192.7pt;margin-top:1.3pt;width:5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crDwIAAPoDAAAOAAAAZHJzL2Uyb0RvYy54bWysU9uO2yAQfa/Uf0C8N3ZcJ7u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" filled="f" stroked="f">
                <v:textbox style="mso-fit-shape-to-text:t">
                  <w:txbxContent>
                    <w:p w14:paraId="0737019D" w14:textId="1369AB41" w:rsidR="006F054E" w:rsidRDefault="006F054E" w:rsidP="00FA23EF">
                      <w:r>
                        <w:t>Case 4</w:t>
                      </w:r>
                    </w:p>
                  </w:txbxContent>
                </v:textbox>
              </v:shape>
            </w:pict>
          </mc:Fallback>
        </mc:AlternateContent>
      </w:r>
      <w:r w:rsidR="00AE4EB6" w:rsidRPr="00B377AC">
        <w:rPr>
          <w:noProof/>
        </w:rPr>
        <w:drawing>
          <wp:inline distT="0" distB="0" distL="0" distR="0" wp14:anchorId="07E4DCEB" wp14:editId="67E98D10">
            <wp:extent cx="1768080" cy="14712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4924" b="-1"/>
                    <a:stretch/>
                  </pic:blipFill>
                  <pic:spPr bwMode="auto">
                    <a:xfrm>
                      <a:off x="0" y="0"/>
                      <a:ext cx="1768657" cy="1471775"/>
                    </a:xfrm>
                    <a:prstGeom prst="rect">
                      <a:avLst/>
                    </a:prstGeom>
                    <a:noFill/>
                    <a:ln>
                      <a:noFill/>
                    </a:ln>
                    <a:extLst>
                      <a:ext uri="{53640926-AAD7-44D8-BBD7-CCE9431645EC}">
                        <a14:shadowObscured xmlns:a14="http://schemas.microsoft.com/office/drawing/2010/main"/>
                      </a:ext>
                    </a:extLst>
                  </pic:spPr>
                </pic:pic>
              </a:graphicData>
            </a:graphic>
          </wp:inline>
        </w:drawing>
      </w:r>
      <w:r w:rsidR="00AE4EB6" w:rsidRPr="00B377AC">
        <w:rPr>
          <w:rFonts w:eastAsiaTheme="majorEastAsia"/>
          <w:b/>
          <w:bCs/>
          <w:color w:val="0070C0"/>
          <w:sz w:val="24"/>
          <w:szCs w:val="24"/>
        </w:rPr>
        <w:t xml:space="preserve">   </w:t>
      </w:r>
      <w:r w:rsidR="00AE4EB6" w:rsidRPr="00B377AC">
        <w:rPr>
          <w:noProof/>
        </w:rPr>
        <w:drawing>
          <wp:inline distT="0" distB="0" distL="0" distR="0" wp14:anchorId="63E72617" wp14:editId="31904990">
            <wp:extent cx="1768080" cy="147129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4924" b="-1"/>
                    <a:stretch/>
                  </pic:blipFill>
                  <pic:spPr bwMode="auto">
                    <a:xfrm>
                      <a:off x="0" y="0"/>
                      <a:ext cx="1768657" cy="1471775"/>
                    </a:xfrm>
                    <a:prstGeom prst="rect">
                      <a:avLst/>
                    </a:prstGeom>
                    <a:noFill/>
                    <a:ln>
                      <a:noFill/>
                    </a:ln>
                    <a:extLst>
                      <a:ext uri="{53640926-AAD7-44D8-BBD7-CCE9431645EC}">
                        <a14:shadowObscured xmlns:a14="http://schemas.microsoft.com/office/drawing/2010/main"/>
                      </a:ext>
                    </a:extLst>
                  </pic:spPr>
                </pic:pic>
              </a:graphicData>
            </a:graphic>
          </wp:inline>
        </w:drawing>
      </w:r>
    </w:p>
    <w:p w14:paraId="6C0D0A27" w14:textId="42EE5398" w:rsidR="00AE4EB6" w:rsidRPr="00B377AC" w:rsidRDefault="00AE4EB6" w:rsidP="009468DF">
      <w:pPr>
        <w:pStyle w:val="figurecaption"/>
        <w:spacing w:before="0"/>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9</w:t>
      </w:r>
      <w:r w:rsidRPr="00B377AC">
        <w:rPr>
          <w:b/>
        </w:rPr>
        <w:fldChar w:fldCharType="end"/>
      </w:r>
      <w:r w:rsidRPr="00B377AC">
        <w:rPr>
          <w:b/>
        </w:rPr>
        <w:t>.</w:t>
      </w:r>
      <w:r w:rsidRPr="00B377AC">
        <w:t xml:space="preserve"> Basins of attractions.</w:t>
      </w:r>
    </w:p>
    <w:p w14:paraId="034BA1A4" w14:textId="06E30CC4" w:rsidR="00A031F2" w:rsidRPr="00B377AC" w:rsidRDefault="00A031F2" w:rsidP="00A031F2">
      <w:pPr>
        <w:pStyle w:val="heading2"/>
        <w:spacing w:before="0"/>
      </w:pPr>
      <w:r w:rsidRPr="00B377AC">
        <w:lastRenderedPageBreak/>
        <w:t xml:space="preserve">Effect of </w:t>
      </w:r>
      <w:r w:rsidR="00AA561A">
        <w:t xml:space="preserve">number of </w:t>
      </w:r>
      <w:r w:rsidRPr="00B377AC">
        <w:t>sector</w:t>
      </w:r>
      <w:r w:rsidR="00AA561A">
        <w:t>s</w:t>
      </w:r>
    </w:p>
    <w:p w14:paraId="0784C1CF" w14:textId="715AFEA9" w:rsidR="00A031F2" w:rsidRPr="00B377AC" w:rsidRDefault="00A031F2" w:rsidP="00B87845">
      <w:pPr>
        <w:pStyle w:val="p1a"/>
      </w:pPr>
      <w:r w:rsidRPr="00B377AC">
        <w:t xml:space="preserve">The number of the sectors on the </w:t>
      </w:r>
      <w:r w:rsidR="004054FC">
        <w:t>disc</w:t>
      </w:r>
      <w:r w:rsidRPr="00B377AC">
        <w:t xml:space="preserve">s has a direct impact on the output characteristics of the harvester. Even under the same structural dynamic response, different segmentation structures can lead to distinct electrical dynamic </w:t>
      </w:r>
      <w:proofErr w:type="spellStart"/>
      <w:r w:rsidR="00B377AC" w:rsidRPr="00B377AC">
        <w:t>behaviours</w:t>
      </w:r>
      <w:proofErr w:type="spellEnd"/>
      <w:r w:rsidRPr="00B377AC">
        <w:t xml:space="preserve">. Fig. 10 illustrates the overlapping area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rsidRPr="00B377AC">
        <w:t xml:space="preserve"> (Fig.10 (a)) between two metal films and the open-circuit voltage </w:t>
      </w:r>
      <m:oMath>
        <m:sSub>
          <m:sSubPr>
            <m:ctrlPr>
              <w:rPr>
                <w:rFonts w:ascii="Cambria Math" w:hAnsi="Cambria Math"/>
              </w:rPr>
            </m:ctrlPr>
          </m:sSubPr>
          <m:e>
            <m:r>
              <w:rPr>
                <w:rFonts w:ascii="Cambria Math" w:hAnsi="Cambria Math"/>
              </w:rPr>
              <m:t>V</m:t>
            </m:r>
          </m:e>
          <m:sub>
            <m:r>
              <m:rPr>
                <m:sty m:val="p"/>
              </m:rPr>
              <w:rPr>
                <w:rFonts w:ascii="Cambria Math" w:hAnsi="Cambria Math"/>
              </w:rPr>
              <m:t>oc</m:t>
            </m:r>
          </m:sub>
        </m:sSub>
      </m:oMath>
      <w:r w:rsidRPr="00B377AC">
        <w:t xml:space="preserve"> (Fig.10 (b)) with different </w:t>
      </w:r>
      <w:r w:rsidR="00F30777">
        <w:t>number of disc numbers of sectors</w:t>
      </w:r>
      <w:r w:rsidR="002F2BB0">
        <w:t xml:space="preserve"> </w:t>
      </w:r>
      <w:r w:rsidRPr="00B377AC">
        <w:t xml:space="preserve">at </w:t>
      </w:r>
      <w:r w:rsidRPr="00B377AC">
        <w:rPr>
          <w:i/>
        </w:rPr>
        <w:t>A</w:t>
      </w:r>
      <w:r w:rsidRPr="00B377AC">
        <w:t xml:space="preserve">=30 mm and </w:t>
      </w:r>
      <w:r w:rsidRPr="00B377AC">
        <w:rPr>
          <w:i/>
        </w:rPr>
        <w:t>f</w:t>
      </w:r>
      <w:r w:rsidRPr="00B377AC">
        <w:t xml:space="preserve">=2 Hz. From Fig.10 (a), it can be observed that when the number of the sector </w:t>
      </w:r>
      <w:r w:rsidRPr="00B377AC">
        <w:rPr>
          <w:i/>
        </w:rPr>
        <w:t>n</w:t>
      </w:r>
      <w:r w:rsidRPr="00B377AC">
        <w:t xml:space="preserve"> is relatively small (such as </w:t>
      </w:r>
      <w:r w:rsidRPr="00B377AC">
        <w:rPr>
          <w:i/>
        </w:rPr>
        <w:t>n</w:t>
      </w:r>
      <w:r w:rsidRPr="00B377AC">
        <w:t>=3, 4, 5), the overlapping area just changes from its maximum value to certain values, which are larger than it</w:t>
      </w:r>
      <w:r w:rsidR="00B45D93" w:rsidRPr="00B377AC">
        <w:t>s</w:t>
      </w:r>
      <w:r w:rsidRPr="00B377AC">
        <w:t xml:space="preserve"> minimum value. This means the triboelectric films are not fully utilized during charge transferring. When </w:t>
      </w:r>
      <w:r w:rsidRPr="00B377AC">
        <w:rPr>
          <w:i/>
        </w:rPr>
        <w:t>n</w:t>
      </w:r>
      <w:r w:rsidRPr="00B377AC">
        <w:t xml:space="preserve"> is set as a relatively large value (such as </w:t>
      </w:r>
      <w:r w:rsidRPr="00B377AC">
        <w:rPr>
          <w:i/>
        </w:rPr>
        <w:t>n</w:t>
      </w:r>
      <w:r w:rsidRPr="00B377AC">
        <w:t xml:space="preserve">=12), the overlapping area varies </w:t>
      </w:r>
      <w:r w:rsidR="00B377AC" w:rsidRPr="00B377AC">
        <w:t>f</w:t>
      </w:r>
      <w:r w:rsidR="00B377AC">
        <w:t>ro</w:t>
      </w:r>
      <w:r w:rsidR="00B377AC" w:rsidRPr="00B377AC">
        <w:t xml:space="preserve">m </w:t>
      </w:r>
      <w:r w:rsidRPr="00B377AC">
        <w:t>it</w:t>
      </w:r>
      <w:r w:rsidR="00B45D93" w:rsidRPr="00B377AC">
        <w:t>s</w:t>
      </w:r>
      <w:r w:rsidRPr="00B377AC">
        <w:t xml:space="preserve"> maximum value to minimum value and its changing frequency is nearly twice as that at </w:t>
      </w:r>
      <w:r w:rsidRPr="00B377AC">
        <w:rPr>
          <w:i/>
        </w:rPr>
        <w:t>n</w:t>
      </w:r>
      <w:r w:rsidRPr="00B377AC">
        <w:t>=3, 4, 5. Accordingly, in Fig.10 (b), the harvester with 12 sectors has the high</w:t>
      </w:r>
      <w:r w:rsidR="00B45D93" w:rsidRPr="00B377AC">
        <w:t>er</w:t>
      </w:r>
      <w:r w:rsidRPr="00B377AC">
        <w:t xml:space="preserve"> open-circuit voltage</w:t>
      </w:r>
      <w:r w:rsidR="00B45D93" w:rsidRPr="00B377AC">
        <w:t xml:space="preserve"> with double frequency than the harvesters with 3, 4 and 5 sectors</w:t>
      </w:r>
      <w:r w:rsidRPr="00B377AC">
        <w:t>.</w:t>
      </w:r>
    </w:p>
    <w:p w14:paraId="14FAB61B" w14:textId="36C6FB6B" w:rsidR="00361547" w:rsidRDefault="00361547" w:rsidP="00B87845">
      <w:r w:rsidRPr="00B377AC">
        <w:t>For obtaining higher energy harvesting efficiency, the load resistor should match with the internal resistance of the harvester. In Fig.11</w:t>
      </w:r>
      <w:r w:rsidR="00F43D91" w:rsidRPr="00B377AC">
        <w:t xml:space="preserve"> (a)</w:t>
      </w:r>
      <w:r w:rsidRPr="00B377AC">
        <w:t xml:space="preserve">, the average power of the harvester with different </w:t>
      </w:r>
      <w:r w:rsidR="00F30777">
        <w:t>numbers of sectors</w:t>
      </w:r>
      <w:r w:rsidRPr="00B377AC">
        <w:t xml:space="preserve"> is demonstrated under different load resistor</w:t>
      </w:r>
      <w:r w:rsidR="00B45D93" w:rsidRPr="00B377AC">
        <w:t>s</w:t>
      </w:r>
      <w:r w:rsidRPr="00B377AC">
        <w:t xml:space="preserve">. </w:t>
      </w:r>
      <w:bookmarkStart w:id="28" w:name="_Hlk67580407"/>
      <w:r w:rsidRPr="001C4E8B">
        <w:t xml:space="preserve">An excitation with amplitude of 30 </w:t>
      </w:r>
      <w:r w:rsidR="001527E2" w:rsidRPr="001C4E8B">
        <w:t>mm</w:t>
      </w:r>
      <w:r w:rsidRPr="001C4E8B">
        <w:t xml:space="preserve"> and frequency of 2 Hz is employed here.</w:t>
      </w:r>
      <w:r w:rsidRPr="001527E2">
        <w:rPr>
          <w:color w:val="FF0000"/>
        </w:rPr>
        <w:t xml:space="preserve"> </w:t>
      </w:r>
      <w:bookmarkEnd w:id="28"/>
      <w:r w:rsidRPr="00B377AC">
        <w:t xml:space="preserve">It can be seen that the optimal resistor of the harvesters with </w:t>
      </w:r>
      <w:r w:rsidR="002F2BB0">
        <w:t>the</w:t>
      </w:r>
      <w:r w:rsidR="00F30777">
        <w:t xml:space="preserve"> </w:t>
      </w:r>
      <w:r w:rsidRPr="00B377AC">
        <w:t xml:space="preserve">given </w:t>
      </w:r>
      <w:r w:rsidR="00F30777">
        <w:t>number</w:t>
      </w:r>
      <w:r w:rsidR="00DB5D5D">
        <w:t>s</w:t>
      </w:r>
      <w:r w:rsidR="00F30777">
        <w:t xml:space="preserve"> of sectors</w:t>
      </w:r>
      <w:r w:rsidRPr="00B377AC">
        <w:t xml:space="preserve"> is approximately 100 MΩ. For further investigating the effect of sector quantity, the average power of the harvester with different </w:t>
      </w:r>
      <w:r w:rsidR="00F30777">
        <w:t>numbers of sectors</w:t>
      </w:r>
      <w:r w:rsidRPr="00B377AC">
        <w:t xml:space="preserve"> connected with a load resistor of 100 MΩ is presented in Fig.1</w:t>
      </w:r>
      <w:r w:rsidR="00F43D91" w:rsidRPr="00B377AC">
        <w:t>1 (b)</w:t>
      </w:r>
      <w:r w:rsidRPr="00B377AC">
        <w:t>. It is obvious that the power of the harvester grows with the increase of sector quantity, which indicate</w:t>
      </w:r>
      <w:r w:rsidR="00B45D93" w:rsidRPr="00B377AC">
        <w:t>s</w:t>
      </w:r>
      <w:r w:rsidRPr="00B377AC">
        <w:t xml:space="preserve"> that </w:t>
      </w:r>
      <w:bookmarkStart w:id="29" w:name="_Hlk67581455"/>
      <w:r w:rsidRPr="00B377AC">
        <w:t xml:space="preserve">increasing the sector </w:t>
      </w:r>
      <w:r w:rsidR="00C13AC0">
        <w:t>number</w:t>
      </w:r>
      <w:r w:rsidRPr="00B377AC">
        <w:t xml:space="preserve"> contributes to improv</w:t>
      </w:r>
      <w:r w:rsidR="005D7E0E" w:rsidRPr="00B377AC">
        <w:t>ing</w:t>
      </w:r>
      <w:r w:rsidRPr="00B377AC">
        <w:t xml:space="preserve"> the harvesting efficiency</w:t>
      </w:r>
      <w:bookmarkEnd w:id="29"/>
      <w:r w:rsidRPr="00B377AC">
        <w:t xml:space="preserve">. However, it should be noticed that when the sector quantity reaches to a fairly large value, the edge effect between electrodes cannot be ignored any more, and the power will drop if continuing to increase the </w:t>
      </w:r>
      <w:r w:rsidR="00823E6A">
        <w:t xml:space="preserve">number of </w:t>
      </w:r>
      <w:r w:rsidRPr="00B377AC">
        <w:t>sector</w:t>
      </w:r>
      <w:r w:rsidR="00823E6A">
        <w:t>s</w:t>
      </w:r>
      <w:r w:rsidR="00403A84">
        <w:t xml:space="preserve"> </w:t>
      </w:r>
      <w:r w:rsidR="00DA62D5" w:rsidRPr="00B377AC">
        <w:rPr>
          <w:rStyle w:val="FootnoteReference"/>
        </w:rPr>
        <w:fldChar w:fldCharType="begin" w:fldLock="1"/>
      </w:r>
      <w:r w:rsidR="007E7CB7">
        <w:instrText>ADDIN CSL_CITATION {"citationItems":[{"id":"ITEM-1","itemData":{"DOI":"10.1007/978-981-10-5945-2_38","ISBN":"9783319400389","abstract":"Establishing a smart sensing system is desirable but challenging as the conventional devices require an external battery or power grid which cruelly limits its applications, especially in remote areas or at the condition of power supply with difficulty. Here, we report a smart self-powered sensing network based on a hybrid nanogenerator (NG) that can harvest wind energy and solar energy simultaneously or individually to serve as a sustainable power source. A transparent flag-like triboelectric nanogenerator (TENG) plays a core role with both the output voltage and current positively proportional to the wind speed and the number of integrated units. By subtly designing, the bottom solar cell can absorb sunshine insusceptibly. The hybrid NG can not only be used as an active wind speed detection, but also be employed to construct a self-powered wireless temperature sensing system, further achieving multifunctional sensing. This work promotes the development of TENG-based renewable energy harvesting and puts forward the smart sensing network node that realizes multifunctional monitoring by scavenging environmental energy.","author":[{"dropping-particle":"","family":"Zhang","given":"Chi","non-dropping-particle":"","parse-names":false,"suffix":""},{"dropping-particle":"","family":"Wang","given":"Zhong Lin","non-dropping-particle":"","parse-names":false,"suffix":""}],"id":"ITEM-1","issued":{"date-parts":[["2016"]]},"number-of-pages":"1335-1376","title":"Triboelectric Nanogenerators","type":"book"},"uris":["http://www.mendeley.com/documents/?uuid=73b9fecb-9c8f-4bd7-bd03-84c4971e4a36"]}],"mendeley":{"formattedCitation":"[23]","plainTextFormattedCitation":"[23]","previouslyFormattedCitation":"(Zhang and Wang)"},"properties":{"noteIndex":0},"schema":"https://github.com/citation-style-language/schema/raw/master/csl-citation.json"}</w:instrText>
      </w:r>
      <w:r w:rsidR="00DA62D5" w:rsidRPr="00B377AC">
        <w:rPr>
          <w:rStyle w:val="FootnoteReference"/>
        </w:rPr>
        <w:fldChar w:fldCharType="separate"/>
      </w:r>
      <w:r w:rsidR="007E7CB7" w:rsidRPr="007E7CB7">
        <w:rPr>
          <w:noProof/>
        </w:rPr>
        <w:t>[23]</w:t>
      </w:r>
      <w:r w:rsidR="00DA62D5" w:rsidRPr="00B377AC">
        <w:rPr>
          <w:rStyle w:val="FootnoteReference"/>
        </w:rPr>
        <w:fldChar w:fldCharType="end"/>
      </w:r>
      <w:r w:rsidRPr="00B377AC">
        <w:t>.</w:t>
      </w:r>
    </w:p>
    <w:p w14:paraId="7B405A38" w14:textId="77777777" w:rsidR="00456589" w:rsidRPr="00B377AC" w:rsidRDefault="00456589" w:rsidP="00FA23EF">
      <w:pPr>
        <w:spacing w:before="120" w:line="200" w:lineRule="atLeast"/>
        <w:ind w:firstLine="0"/>
        <w:jc w:val="center"/>
      </w:pPr>
      <w:r w:rsidRPr="00B377AC">
        <w:rPr>
          <w:rFonts w:eastAsiaTheme="majorEastAsia"/>
          <w:b/>
          <w:bCs/>
          <w:noProof/>
          <w:color w:val="0070C0"/>
          <w:sz w:val="24"/>
          <w:szCs w:val="24"/>
        </w:rPr>
        <w:drawing>
          <wp:inline distT="0" distB="0" distL="0" distR="0" wp14:anchorId="0E4A3881" wp14:editId="5066656F">
            <wp:extent cx="2458800" cy="2397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8800" cy="2397600"/>
                    </a:xfrm>
                    <a:prstGeom prst="rect">
                      <a:avLst/>
                    </a:prstGeom>
                    <a:noFill/>
                    <a:ln>
                      <a:noFill/>
                    </a:ln>
                  </pic:spPr>
                </pic:pic>
              </a:graphicData>
            </a:graphic>
          </wp:inline>
        </w:drawing>
      </w:r>
    </w:p>
    <w:p w14:paraId="6ED22109" w14:textId="2EF091C0" w:rsidR="00456589" w:rsidRPr="00B377AC" w:rsidRDefault="00456589" w:rsidP="00456589">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10</w:t>
      </w:r>
      <w:r w:rsidRPr="00B377AC">
        <w:rPr>
          <w:b/>
        </w:rPr>
        <w:fldChar w:fldCharType="end"/>
      </w:r>
      <w:r w:rsidRPr="00B377AC">
        <w:rPr>
          <w:b/>
        </w:rPr>
        <w:t>.</w:t>
      </w:r>
      <w:r w:rsidRPr="00B377AC">
        <w:t xml:space="preserve"> The overlapping area and open-circuit voltage with different </w:t>
      </w:r>
      <w:r>
        <w:t xml:space="preserve">numbers of </w:t>
      </w:r>
      <w:r w:rsidRPr="00B377AC">
        <w:t>sector</w:t>
      </w:r>
      <w:r>
        <w:t>s</w:t>
      </w:r>
      <w:r w:rsidRPr="00B377AC">
        <w:t>.</w:t>
      </w:r>
    </w:p>
    <w:p w14:paraId="7128F243" w14:textId="77777777" w:rsidR="00AA1188" w:rsidRPr="00B377AC" w:rsidRDefault="00361547" w:rsidP="00F43D91">
      <w:pPr>
        <w:spacing w:line="200" w:lineRule="atLeast"/>
        <w:ind w:firstLine="0"/>
        <w:jc w:val="center"/>
      </w:pPr>
      <w:r w:rsidRPr="00B377AC">
        <w:rPr>
          <w:rFonts w:eastAsiaTheme="majorEastAsia"/>
          <w:b/>
          <w:bCs/>
          <w:noProof/>
          <w:color w:val="0070C0"/>
          <w:sz w:val="24"/>
          <w:szCs w:val="24"/>
        </w:rPr>
        <w:lastRenderedPageBreak/>
        <w:drawing>
          <wp:inline distT="0" distB="0" distL="0" distR="0" wp14:anchorId="4C91CCD5" wp14:editId="106BF347">
            <wp:extent cx="1785600" cy="1670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5600" cy="1670400"/>
                    </a:xfrm>
                    <a:prstGeom prst="rect">
                      <a:avLst/>
                    </a:prstGeom>
                    <a:noFill/>
                    <a:ln>
                      <a:noFill/>
                    </a:ln>
                  </pic:spPr>
                </pic:pic>
              </a:graphicData>
            </a:graphic>
          </wp:inline>
        </w:drawing>
      </w:r>
      <w:r w:rsidR="00DA62D5" w:rsidRPr="00B377AC">
        <w:rPr>
          <w:noProof/>
        </w:rPr>
        <w:drawing>
          <wp:inline distT="0" distB="0" distL="0" distR="0" wp14:anchorId="1860B3DA" wp14:editId="50E0697E">
            <wp:extent cx="2556000" cy="18252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6000" cy="1825200"/>
                    </a:xfrm>
                    <a:prstGeom prst="rect">
                      <a:avLst/>
                    </a:prstGeom>
                    <a:noFill/>
                    <a:ln>
                      <a:noFill/>
                    </a:ln>
                  </pic:spPr>
                </pic:pic>
              </a:graphicData>
            </a:graphic>
          </wp:inline>
        </w:drawing>
      </w:r>
    </w:p>
    <w:p w14:paraId="4AE2E6FB" w14:textId="77777777" w:rsidR="00DA62D5" w:rsidRPr="00B377AC" w:rsidRDefault="00DA62D5" w:rsidP="00F43D91">
      <w:pPr>
        <w:pStyle w:val="ListParagraph"/>
        <w:numPr>
          <w:ilvl w:val="0"/>
          <w:numId w:val="10"/>
        </w:numPr>
        <w:spacing w:line="200" w:lineRule="atLeast"/>
        <w:jc w:val="left"/>
      </w:pPr>
      <w:r w:rsidRPr="00B377AC">
        <w:t>Optimal load resistor                             (b) Average power</w:t>
      </w:r>
    </w:p>
    <w:p w14:paraId="7DC401B9" w14:textId="4B04B773" w:rsidR="00361547" w:rsidRPr="00B377AC" w:rsidRDefault="00361547" w:rsidP="00361547">
      <w:pPr>
        <w:pStyle w:val="figurecaption"/>
        <w:jc w:val="both"/>
      </w:pPr>
      <w:r w:rsidRPr="00B377AC">
        <w:rPr>
          <w:b/>
        </w:rPr>
        <w:t xml:space="preserve">Fig. </w:t>
      </w:r>
      <w:r w:rsidRPr="00B377AC">
        <w:rPr>
          <w:b/>
        </w:rPr>
        <w:fldChar w:fldCharType="begin"/>
      </w:r>
      <w:r w:rsidRPr="00B377AC">
        <w:rPr>
          <w:b/>
        </w:rPr>
        <w:instrText xml:space="preserve"> SEQ "Figure" \* MERGEFORMAT </w:instrText>
      </w:r>
      <w:r w:rsidRPr="00B377AC">
        <w:rPr>
          <w:b/>
        </w:rPr>
        <w:fldChar w:fldCharType="separate"/>
      </w:r>
      <w:r w:rsidR="003833BF">
        <w:rPr>
          <w:b/>
          <w:noProof/>
        </w:rPr>
        <w:t>11</w:t>
      </w:r>
      <w:r w:rsidRPr="00B377AC">
        <w:rPr>
          <w:b/>
        </w:rPr>
        <w:fldChar w:fldCharType="end"/>
      </w:r>
      <w:r w:rsidRPr="00B377AC">
        <w:rPr>
          <w:b/>
        </w:rPr>
        <w:t>.</w:t>
      </w:r>
      <w:r w:rsidRPr="00B377AC">
        <w:t xml:space="preserve"> Optimal load resistor</w:t>
      </w:r>
      <w:r w:rsidR="00DA62D5" w:rsidRPr="00B377AC">
        <w:t xml:space="preserve"> and average power with different </w:t>
      </w:r>
      <w:r w:rsidR="00F30777">
        <w:t>numbers of sectors</w:t>
      </w:r>
    </w:p>
    <w:p w14:paraId="63830E8A" w14:textId="77777777" w:rsidR="00A93822" w:rsidRPr="00B377AC" w:rsidRDefault="00A93822" w:rsidP="00A93822">
      <w:pPr>
        <w:pStyle w:val="heading1"/>
      </w:pPr>
      <w:r w:rsidRPr="00B377AC">
        <w:t>Conclusions</w:t>
      </w:r>
    </w:p>
    <w:p w14:paraId="35D1B98C" w14:textId="11A81A12" w:rsidR="00A93822" w:rsidRPr="00B377AC" w:rsidRDefault="00A93822" w:rsidP="00A93822">
      <w:pPr>
        <w:pStyle w:val="p1a"/>
      </w:pPr>
      <w:r w:rsidRPr="00B377AC">
        <w:t xml:space="preserve">This study presents a </w:t>
      </w:r>
      <w:r w:rsidR="004054FC">
        <w:t>disc</w:t>
      </w:r>
      <w:r w:rsidRPr="00B377AC">
        <w:t>-shaped triboelectric energy harvester for scavenging vibration energy, in which a magnetic bistable mechanism consisting of a pair of identical magnets is introduced</w:t>
      </w:r>
      <w:r w:rsidR="00823E6A">
        <w:t xml:space="preserve"> </w:t>
      </w:r>
      <w:r w:rsidRPr="00B377AC">
        <w:t xml:space="preserve">for power enhancement. A theoretical model is developed coupling structural dynamic and electric dynamic domains. Detailed </w:t>
      </w:r>
      <w:r w:rsidR="008B61FB" w:rsidRPr="00B377AC">
        <w:t>numerical</w:t>
      </w:r>
      <w:r w:rsidRPr="00B377AC">
        <w:t xml:space="preserve"> simulations are carried out to </w:t>
      </w:r>
      <w:r w:rsidR="006F054E" w:rsidRPr="00B377AC">
        <w:t>analyze</w:t>
      </w:r>
      <w:r w:rsidRPr="00B377AC">
        <w:t xml:space="preserve"> the harvester from both the perspectives of structural dynamics and electrical output. The main conclusions are drawn as follows:</w:t>
      </w:r>
    </w:p>
    <w:p w14:paraId="49C7FB89" w14:textId="771305BA" w:rsidR="00A93822" w:rsidRPr="00B377AC" w:rsidRDefault="00A93822" w:rsidP="00A93822">
      <w:r w:rsidRPr="00B377AC">
        <w:t xml:space="preserve">(1). </w:t>
      </w:r>
      <w:r w:rsidR="00AA561A">
        <w:t>A c</w:t>
      </w:r>
      <w:r w:rsidR="00AA561A" w:rsidRPr="00B377AC">
        <w:t xml:space="preserve">omparison </w:t>
      </w:r>
      <w:r w:rsidRPr="00B377AC">
        <w:t xml:space="preserve">between the harvesters with and without the magnetic bistable mechanism indicates that the output power can be </w:t>
      </w:r>
      <w:r w:rsidR="008B61FB" w:rsidRPr="00B377AC">
        <w:t>effectively</w:t>
      </w:r>
      <w:r w:rsidRPr="00B377AC">
        <w:t xml:space="preserve"> improved by the proposed bistable mechanism with an appropriate gap </w:t>
      </w:r>
      <w:r w:rsidR="00AA561A">
        <w:t xml:space="preserve">between </w:t>
      </w:r>
      <w:r w:rsidR="00DB5D5D">
        <w:t>the two magnets</w:t>
      </w:r>
      <w:r w:rsidRPr="00B377AC">
        <w:t>.</w:t>
      </w:r>
    </w:p>
    <w:p w14:paraId="1809A225" w14:textId="5392538A" w:rsidR="00A93822" w:rsidRPr="00B377AC" w:rsidRDefault="00A93822" w:rsidP="00A93822">
      <w:r w:rsidRPr="00B377AC">
        <w:t xml:space="preserve">(2). The external </w:t>
      </w:r>
      <w:r w:rsidR="008B61FB" w:rsidRPr="00B377AC">
        <w:t>excitation</w:t>
      </w:r>
      <w:r w:rsidRPr="00B377AC">
        <w:t xml:space="preserve"> and </w:t>
      </w:r>
      <w:r w:rsidR="00AA561A">
        <w:t xml:space="preserve">the </w:t>
      </w:r>
      <w:r w:rsidRPr="00B377AC">
        <w:t>gap have a</w:t>
      </w:r>
      <w:r w:rsidR="00DB5D5D">
        <w:t>n</w:t>
      </w:r>
      <w:r w:rsidRPr="00B377AC">
        <w:t xml:space="preserve"> impact on the system sensitivity to the initial conditions. </w:t>
      </w:r>
      <w:r w:rsidR="00AA561A">
        <w:t>A s</w:t>
      </w:r>
      <w:r w:rsidR="00AA561A" w:rsidRPr="00B377AC">
        <w:t xml:space="preserve">maller </w:t>
      </w:r>
      <w:r w:rsidRPr="00B377AC">
        <w:t xml:space="preserve">gap distance or </w:t>
      </w:r>
      <w:r w:rsidR="00AA561A">
        <w:t xml:space="preserve">a </w:t>
      </w:r>
      <w:r w:rsidRPr="00B377AC">
        <w:t xml:space="preserve">higher frequency </w:t>
      </w:r>
      <w:r w:rsidR="00AA561A">
        <w:t xml:space="preserve">of </w:t>
      </w:r>
      <w:r w:rsidR="00AA561A" w:rsidRPr="00B377AC">
        <w:t xml:space="preserve">excitation </w:t>
      </w:r>
      <w:r w:rsidRPr="00B377AC">
        <w:t>may make the system less sensitive to initial conditions</w:t>
      </w:r>
      <w:r w:rsidR="006812C5" w:rsidRPr="00B377AC">
        <w:t xml:space="preserve"> under certain situations</w:t>
      </w:r>
      <w:r w:rsidRPr="00B377AC">
        <w:t>.</w:t>
      </w:r>
    </w:p>
    <w:p w14:paraId="449E2415" w14:textId="1891DFAC" w:rsidR="00A93822" w:rsidRPr="00B377AC" w:rsidRDefault="00A93822" w:rsidP="00A93822">
      <w:r w:rsidRPr="00B377AC">
        <w:t xml:space="preserve">(3). Increasing the </w:t>
      </w:r>
      <w:r w:rsidR="00AA561A">
        <w:t xml:space="preserve">number of </w:t>
      </w:r>
      <w:r w:rsidR="00791538">
        <w:t xml:space="preserve">cut-off </w:t>
      </w:r>
      <w:r w:rsidRPr="00B377AC">
        <w:t>sector</w:t>
      </w:r>
      <w:r w:rsidR="00AA561A">
        <w:t>s</w:t>
      </w:r>
      <w:r w:rsidR="00823E6A">
        <w:t xml:space="preserve"> on </w:t>
      </w:r>
      <w:r w:rsidR="00791538">
        <w:t xml:space="preserve">the </w:t>
      </w:r>
      <w:r w:rsidR="00823E6A">
        <w:t>metal and dielectric films</w:t>
      </w:r>
      <w:r w:rsidR="00AE4EB6">
        <w:t xml:space="preserve"> </w:t>
      </w:r>
      <w:r w:rsidR="00AA561A">
        <w:t>enhances</w:t>
      </w:r>
      <w:r w:rsidRPr="00B377AC">
        <w:t xml:space="preserve"> utilization of </w:t>
      </w:r>
      <w:r w:rsidR="00AA561A">
        <w:t xml:space="preserve">the </w:t>
      </w:r>
      <w:r w:rsidRPr="00B377AC">
        <w:t xml:space="preserve">triboelectric films, which is an effective </w:t>
      </w:r>
      <w:r w:rsidR="00AA561A">
        <w:t>way</w:t>
      </w:r>
      <w:r w:rsidR="00AA561A" w:rsidRPr="00B377AC">
        <w:t xml:space="preserve"> </w:t>
      </w:r>
      <w:r w:rsidRPr="00B377AC">
        <w:t xml:space="preserve">to promote </w:t>
      </w:r>
      <w:r w:rsidR="00AA561A">
        <w:t xml:space="preserve">electric </w:t>
      </w:r>
      <w:r w:rsidRPr="00B377AC">
        <w:t>output power.</w:t>
      </w:r>
    </w:p>
    <w:p w14:paraId="01DB0DC7" w14:textId="77777777" w:rsidR="006812C5" w:rsidRPr="00B377AC" w:rsidRDefault="006812C5" w:rsidP="00A93822"/>
    <w:p w14:paraId="4BAC3E18" w14:textId="77777777" w:rsidR="00A93822" w:rsidRPr="00B377AC" w:rsidRDefault="00A93822" w:rsidP="00A93822">
      <w:pPr>
        <w:pStyle w:val="heading1"/>
        <w:numPr>
          <w:ilvl w:val="0"/>
          <w:numId w:val="0"/>
        </w:numPr>
        <w:ind w:left="567" w:hanging="567"/>
      </w:pPr>
      <w:r w:rsidRPr="00B377AC">
        <w:t>References</w:t>
      </w:r>
    </w:p>
    <w:p w14:paraId="33820F03" w14:textId="058B4E8D" w:rsidR="007E7CB7" w:rsidRPr="007E7CB7" w:rsidRDefault="008B61FB" w:rsidP="007F4156">
      <w:pPr>
        <w:widowControl w:val="0"/>
        <w:ind w:left="340" w:hanging="340"/>
        <w:rPr>
          <w:noProof/>
          <w:sz w:val="18"/>
          <w:szCs w:val="24"/>
        </w:rPr>
      </w:pPr>
      <w:r w:rsidRPr="007F4156">
        <w:rPr>
          <w:noProof/>
          <w:sz w:val="18"/>
          <w:szCs w:val="24"/>
        </w:rPr>
        <w:fldChar w:fldCharType="begin" w:fldLock="1"/>
      </w:r>
      <w:r w:rsidRPr="007F4156">
        <w:rPr>
          <w:noProof/>
          <w:sz w:val="18"/>
          <w:szCs w:val="24"/>
        </w:rPr>
        <w:instrText xml:space="preserve">ADDIN Mendeley Bibliography CSL_BIBLIOGRAPHY </w:instrText>
      </w:r>
      <w:r w:rsidRPr="007F4156">
        <w:rPr>
          <w:noProof/>
          <w:sz w:val="18"/>
          <w:szCs w:val="24"/>
        </w:rPr>
        <w:fldChar w:fldCharType="separate"/>
      </w:r>
      <w:r w:rsidR="007E7CB7" w:rsidRPr="007E7CB7">
        <w:rPr>
          <w:noProof/>
          <w:sz w:val="18"/>
          <w:szCs w:val="24"/>
        </w:rPr>
        <w:t xml:space="preserve">1. </w:t>
      </w:r>
      <w:r w:rsidR="007E7CB7" w:rsidRPr="007E7CB7">
        <w:rPr>
          <w:noProof/>
          <w:sz w:val="18"/>
          <w:szCs w:val="24"/>
        </w:rPr>
        <w:tab/>
        <w:t xml:space="preserve">Fan, F.R., Tian, Z.Q., Wang, Z.L.: Flexible triboelectric generator. Nano Energy. 1, 328–334 (2012). </w:t>
      </w:r>
    </w:p>
    <w:p w14:paraId="1F86B225" w14:textId="0DE88E0E" w:rsidR="007E7CB7" w:rsidRPr="007E7CB7" w:rsidRDefault="007E7CB7" w:rsidP="007F4156">
      <w:pPr>
        <w:widowControl w:val="0"/>
        <w:ind w:left="340" w:hanging="340"/>
        <w:rPr>
          <w:noProof/>
          <w:sz w:val="18"/>
          <w:szCs w:val="24"/>
        </w:rPr>
      </w:pPr>
      <w:r w:rsidRPr="007E7CB7">
        <w:rPr>
          <w:noProof/>
          <w:sz w:val="18"/>
          <w:szCs w:val="24"/>
        </w:rPr>
        <w:t xml:space="preserve">2. </w:t>
      </w:r>
      <w:r w:rsidRPr="007E7CB7">
        <w:rPr>
          <w:noProof/>
          <w:sz w:val="18"/>
          <w:szCs w:val="24"/>
        </w:rPr>
        <w:tab/>
        <w:t xml:space="preserve">Jin, C., Kia, D.S., Jones, M., Towfighian, S.: On the contact behavior of micro-/nano-structured interface used in vertical-contact-mode triboelectric nanogenerators. Nano Energy. 27, 68–77 (2016). </w:t>
      </w:r>
    </w:p>
    <w:p w14:paraId="0D6CF6EF" w14:textId="2D9E61AA" w:rsidR="007E7CB7" w:rsidRPr="007E7CB7" w:rsidRDefault="007E7CB7" w:rsidP="007F4156">
      <w:pPr>
        <w:widowControl w:val="0"/>
        <w:ind w:left="340" w:hanging="340"/>
        <w:rPr>
          <w:noProof/>
          <w:sz w:val="18"/>
          <w:szCs w:val="24"/>
        </w:rPr>
      </w:pPr>
      <w:r w:rsidRPr="007E7CB7">
        <w:rPr>
          <w:noProof/>
          <w:sz w:val="18"/>
          <w:szCs w:val="24"/>
        </w:rPr>
        <w:t xml:space="preserve">3. </w:t>
      </w:r>
      <w:r w:rsidRPr="007E7CB7">
        <w:rPr>
          <w:noProof/>
          <w:sz w:val="18"/>
          <w:szCs w:val="24"/>
        </w:rPr>
        <w:tab/>
        <w:t xml:space="preserve">Yang, B., Zeng, W., Peng, Z.H., Liu, S.R., Chen, K., Tao, X.M.: A Fully Verified Theoretical Analysis of Contact-Mode Triboelectric Nanogenerators as a Wearable Power </w:t>
      </w:r>
      <w:r w:rsidRPr="007E7CB7">
        <w:rPr>
          <w:noProof/>
          <w:sz w:val="18"/>
          <w:szCs w:val="24"/>
        </w:rPr>
        <w:lastRenderedPageBreak/>
        <w:t xml:space="preserve">Source. Adv. Energy Mater. 6, 1–8 (2016). </w:t>
      </w:r>
    </w:p>
    <w:p w14:paraId="2849D8DC" w14:textId="3015818A" w:rsidR="007E7CB7" w:rsidRPr="007E7CB7" w:rsidRDefault="007E7CB7" w:rsidP="007F4156">
      <w:pPr>
        <w:widowControl w:val="0"/>
        <w:ind w:left="340" w:hanging="340"/>
        <w:rPr>
          <w:noProof/>
          <w:sz w:val="18"/>
          <w:szCs w:val="24"/>
        </w:rPr>
      </w:pPr>
      <w:r w:rsidRPr="007E7CB7">
        <w:rPr>
          <w:noProof/>
          <w:sz w:val="18"/>
          <w:szCs w:val="24"/>
        </w:rPr>
        <w:t xml:space="preserve">4. </w:t>
      </w:r>
      <w:r w:rsidRPr="007E7CB7">
        <w:rPr>
          <w:noProof/>
          <w:sz w:val="18"/>
          <w:szCs w:val="24"/>
        </w:rPr>
        <w:tab/>
        <w:t xml:space="preserve">Niu, S., Wang, S., Lin, L., Liu, Y., Zhou, Y.S., Hu, Y., Wang, Z.L.: Theoretical study of contact-mode triboelectric nanogenerators as an effective power source. Energy Environ. Sci. 6, 3576–3583 (2013). </w:t>
      </w:r>
    </w:p>
    <w:p w14:paraId="341145F1" w14:textId="44174940" w:rsidR="007E7CB7" w:rsidRPr="007E7CB7" w:rsidRDefault="007E7CB7" w:rsidP="007F4156">
      <w:pPr>
        <w:widowControl w:val="0"/>
        <w:ind w:left="340" w:hanging="340"/>
        <w:rPr>
          <w:noProof/>
          <w:sz w:val="18"/>
          <w:szCs w:val="24"/>
        </w:rPr>
      </w:pPr>
      <w:r w:rsidRPr="007E7CB7">
        <w:rPr>
          <w:noProof/>
          <w:sz w:val="18"/>
          <w:szCs w:val="24"/>
        </w:rPr>
        <w:t xml:space="preserve">5. </w:t>
      </w:r>
      <w:r w:rsidRPr="007E7CB7">
        <w:rPr>
          <w:noProof/>
          <w:sz w:val="18"/>
          <w:szCs w:val="24"/>
        </w:rPr>
        <w:tab/>
        <w:t xml:space="preserve">Wang, S., Lin, L., Xie, Y., Jing, Q., Niu, S., Wang, Z.L.: Sliding-triboelectric nanogenerators based on in-plane charge-separation mechanism. Nano Lett. 13, 2226–2233 (2013). </w:t>
      </w:r>
    </w:p>
    <w:p w14:paraId="15B4F61C" w14:textId="4C61E5FB" w:rsidR="007E7CB7" w:rsidRPr="007E7CB7" w:rsidRDefault="007E7CB7" w:rsidP="007F4156">
      <w:pPr>
        <w:widowControl w:val="0"/>
        <w:ind w:left="340" w:hanging="340"/>
        <w:rPr>
          <w:noProof/>
          <w:sz w:val="18"/>
          <w:szCs w:val="24"/>
        </w:rPr>
      </w:pPr>
      <w:r w:rsidRPr="007E7CB7">
        <w:rPr>
          <w:noProof/>
          <w:sz w:val="18"/>
          <w:szCs w:val="24"/>
        </w:rPr>
        <w:t xml:space="preserve">6. </w:t>
      </w:r>
      <w:r w:rsidRPr="007E7CB7">
        <w:rPr>
          <w:noProof/>
          <w:sz w:val="18"/>
          <w:szCs w:val="24"/>
        </w:rPr>
        <w:tab/>
        <w:t xml:space="preserve">Niu, S., Liu, Y., Wang, S., Lin, L., Zhou, Y.S., Hu, Y., Wang, Z.L.: Theory of sliding-mode triboelectric nanogenerators. Adv. Mater. 25, 6184–6193 (2013). </w:t>
      </w:r>
    </w:p>
    <w:p w14:paraId="5A52558E" w14:textId="62C09DD5" w:rsidR="007E7CB7" w:rsidRPr="007E7CB7" w:rsidRDefault="007E7CB7" w:rsidP="007F4156">
      <w:pPr>
        <w:widowControl w:val="0"/>
        <w:ind w:left="340" w:hanging="340"/>
        <w:rPr>
          <w:noProof/>
          <w:sz w:val="18"/>
          <w:szCs w:val="24"/>
        </w:rPr>
      </w:pPr>
      <w:r w:rsidRPr="007E7CB7">
        <w:rPr>
          <w:noProof/>
          <w:sz w:val="18"/>
          <w:szCs w:val="24"/>
        </w:rPr>
        <w:t xml:space="preserve">7. </w:t>
      </w:r>
      <w:r w:rsidRPr="007E7CB7">
        <w:rPr>
          <w:noProof/>
          <w:sz w:val="18"/>
          <w:szCs w:val="24"/>
        </w:rPr>
        <w:tab/>
        <w:t xml:space="preserve">Meng, B., Tang, W., Too, Z.H., Zhang, X., Han, M., Liu, W., Zhang, H.: A transparent single-friction-surface triboelectric generator and self-powered touch sensor. Energy Environ. Sci. 6, 3235–3240 (2013). </w:t>
      </w:r>
    </w:p>
    <w:p w14:paraId="23A90A12" w14:textId="1273D171" w:rsidR="007E7CB7" w:rsidRPr="007E7CB7" w:rsidRDefault="007E7CB7" w:rsidP="007F4156">
      <w:pPr>
        <w:widowControl w:val="0"/>
        <w:ind w:left="340" w:hanging="340"/>
        <w:rPr>
          <w:noProof/>
          <w:sz w:val="18"/>
          <w:szCs w:val="24"/>
        </w:rPr>
      </w:pPr>
      <w:r w:rsidRPr="007E7CB7">
        <w:rPr>
          <w:noProof/>
          <w:sz w:val="18"/>
          <w:szCs w:val="24"/>
        </w:rPr>
        <w:t xml:space="preserve">8. </w:t>
      </w:r>
      <w:r w:rsidRPr="007E7CB7">
        <w:rPr>
          <w:noProof/>
          <w:sz w:val="18"/>
          <w:szCs w:val="24"/>
        </w:rPr>
        <w:tab/>
        <w:t xml:space="preserve">Yang, Y., Zhang, H., Chen, J., Jing, Q., Zhou, Y.S., Wen, X., Wang, Z.L.: Single-electrode-based sliding triboelectric nanogenerator for self-powered displacement vector sensor system. ACS Nano. 7, 7342–7351 (2013). </w:t>
      </w:r>
    </w:p>
    <w:p w14:paraId="26F41415" w14:textId="0036A675" w:rsidR="007E7CB7" w:rsidRPr="007E7CB7" w:rsidRDefault="007E7CB7" w:rsidP="007F4156">
      <w:pPr>
        <w:widowControl w:val="0"/>
        <w:ind w:left="340" w:hanging="340"/>
        <w:rPr>
          <w:noProof/>
          <w:sz w:val="18"/>
          <w:szCs w:val="24"/>
        </w:rPr>
      </w:pPr>
      <w:r w:rsidRPr="007E7CB7">
        <w:rPr>
          <w:noProof/>
          <w:sz w:val="18"/>
          <w:szCs w:val="24"/>
        </w:rPr>
        <w:t xml:space="preserve">9. </w:t>
      </w:r>
      <w:r w:rsidRPr="007E7CB7">
        <w:rPr>
          <w:noProof/>
          <w:sz w:val="18"/>
          <w:szCs w:val="24"/>
        </w:rPr>
        <w:tab/>
        <w:t xml:space="preserve">Niu, S., Liu, Y., Chen, X., Wang, S., Zhou, Y.S., Lin, L., Xie, Y., Wang, Z.L.: Theory of freestanding triboelectric-layer-based nanogenerators. Nano Energy. 12, 760–774 (2015). </w:t>
      </w:r>
    </w:p>
    <w:p w14:paraId="7CB31E4D" w14:textId="326C4527" w:rsidR="007E7CB7" w:rsidRPr="007E7CB7" w:rsidRDefault="007E7CB7" w:rsidP="007F4156">
      <w:pPr>
        <w:widowControl w:val="0"/>
        <w:ind w:left="340" w:hanging="340"/>
        <w:rPr>
          <w:noProof/>
          <w:sz w:val="18"/>
          <w:szCs w:val="24"/>
        </w:rPr>
      </w:pPr>
      <w:r w:rsidRPr="007E7CB7">
        <w:rPr>
          <w:noProof/>
          <w:sz w:val="18"/>
          <w:szCs w:val="24"/>
        </w:rPr>
        <w:t xml:space="preserve">10. </w:t>
      </w:r>
      <w:r w:rsidR="007F4156">
        <w:rPr>
          <w:noProof/>
          <w:sz w:val="18"/>
          <w:szCs w:val="24"/>
        </w:rPr>
        <w:t xml:space="preserve"> </w:t>
      </w:r>
      <w:r w:rsidRPr="007E7CB7">
        <w:rPr>
          <w:noProof/>
          <w:sz w:val="18"/>
          <w:szCs w:val="24"/>
        </w:rPr>
        <w:t xml:space="preserve">Jiang, T., Chen, X., Han, C.B., Tang, W., Wang, Z.L.: Theoretical study of rotary freestanding triboelectric nanogenerators. Adv. Funct. Mater. 25, 2928–2938 (2015). </w:t>
      </w:r>
    </w:p>
    <w:p w14:paraId="7E9E6468" w14:textId="51857B6A" w:rsidR="007E7CB7" w:rsidRPr="007E7CB7" w:rsidRDefault="007E7CB7" w:rsidP="007F4156">
      <w:pPr>
        <w:widowControl w:val="0"/>
        <w:ind w:left="340" w:hanging="340"/>
        <w:rPr>
          <w:noProof/>
          <w:sz w:val="18"/>
          <w:szCs w:val="24"/>
        </w:rPr>
      </w:pPr>
      <w:r w:rsidRPr="007E7CB7">
        <w:rPr>
          <w:noProof/>
          <w:sz w:val="18"/>
          <w:szCs w:val="24"/>
        </w:rPr>
        <w:t xml:space="preserve">11. </w:t>
      </w:r>
      <w:r w:rsidRPr="007E7CB7">
        <w:rPr>
          <w:noProof/>
          <w:sz w:val="18"/>
          <w:szCs w:val="24"/>
        </w:rPr>
        <w:tab/>
        <w:t xml:space="preserve">Lin, L., Wang, S., Xie, Y., Jing, Q., Niu, S., Hu, Y., Wang, Z.L.: Segmentally structured disk triboelectric nanogenerator for harvesting rotational mechanical energy. Nano Lett. 13, 2916–2923 (2013). </w:t>
      </w:r>
    </w:p>
    <w:p w14:paraId="1D7EF47A" w14:textId="08DC6DAC" w:rsidR="007E7CB7" w:rsidRPr="007E7CB7" w:rsidRDefault="007E7CB7" w:rsidP="007F4156">
      <w:pPr>
        <w:widowControl w:val="0"/>
        <w:ind w:left="340" w:hanging="340"/>
        <w:rPr>
          <w:noProof/>
          <w:sz w:val="18"/>
          <w:szCs w:val="24"/>
        </w:rPr>
      </w:pPr>
      <w:r w:rsidRPr="007E7CB7">
        <w:rPr>
          <w:noProof/>
          <w:sz w:val="18"/>
          <w:szCs w:val="24"/>
        </w:rPr>
        <w:t xml:space="preserve">12. </w:t>
      </w:r>
      <w:r w:rsidRPr="007E7CB7">
        <w:rPr>
          <w:noProof/>
          <w:sz w:val="18"/>
          <w:szCs w:val="24"/>
        </w:rPr>
        <w:tab/>
        <w:t xml:space="preserve">Lin, L., Wang, S., Niu, S., Liu, C., Xie, Y., Wang, Z.L.: Noncontact free-rotating disk triboelectric nanogenerator as a sustainable energy harvester and self-powered mechanical sensor. ACS Appl. Mater. Interfaces. 6, 3031–3038 (2014). </w:t>
      </w:r>
    </w:p>
    <w:p w14:paraId="2A75A831" w14:textId="0B682300" w:rsidR="007E7CB7" w:rsidRPr="007E7CB7" w:rsidRDefault="007E7CB7" w:rsidP="007F4156">
      <w:pPr>
        <w:widowControl w:val="0"/>
        <w:ind w:left="340" w:hanging="340"/>
        <w:rPr>
          <w:noProof/>
          <w:sz w:val="18"/>
          <w:szCs w:val="24"/>
        </w:rPr>
      </w:pPr>
      <w:r w:rsidRPr="007E7CB7">
        <w:rPr>
          <w:noProof/>
          <w:sz w:val="18"/>
          <w:szCs w:val="24"/>
        </w:rPr>
        <w:t xml:space="preserve">13. </w:t>
      </w:r>
      <w:r w:rsidRPr="007E7CB7">
        <w:rPr>
          <w:noProof/>
          <w:sz w:val="18"/>
          <w:szCs w:val="24"/>
        </w:rPr>
        <w:tab/>
        <w:t xml:space="preserve">Jiang, T., Chen, X., Yang, K., Han, C., Tang, W., Wang, Z.L.: Theoretical study on rotary-sliding disk triboelectric nanogenerators in contact and non-contact modes. Nano Res. 9, 1057–1070 (2016). </w:t>
      </w:r>
    </w:p>
    <w:p w14:paraId="7EC2184B" w14:textId="75CB5910" w:rsidR="007E7CB7" w:rsidRPr="007E7CB7" w:rsidRDefault="007E7CB7" w:rsidP="007F4156">
      <w:pPr>
        <w:widowControl w:val="0"/>
        <w:ind w:left="340" w:hanging="340"/>
        <w:rPr>
          <w:noProof/>
          <w:sz w:val="18"/>
          <w:szCs w:val="24"/>
        </w:rPr>
      </w:pPr>
      <w:r w:rsidRPr="007E7CB7">
        <w:rPr>
          <w:noProof/>
          <w:sz w:val="18"/>
          <w:szCs w:val="24"/>
        </w:rPr>
        <w:t xml:space="preserve">14. </w:t>
      </w:r>
      <w:r w:rsidRPr="007E7CB7">
        <w:rPr>
          <w:noProof/>
          <w:sz w:val="18"/>
          <w:szCs w:val="24"/>
        </w:rPr>
        <w:tab/>
        <w:t xml:space="preserve">Kwak, S.S., Kim, S.M., Ryu, H., Kim, J., Khan, U., Yoon, H.J., Jeong, Y.H., Kim, S.W.: Butylated melamine formaldehyde as a durable and highly positive friction layer for stable, high output triboelectric nanogenerators, </w:t>
      </w:r>
      <w:r w:rsidR="00C82F18" w:rsidRPr="007E7CB7">
        <w:rPr>
          <w:noProof/>
          <w:sz w:val="18"/>
          <w:szCs w:val="24"/>
        </w:rPr>
        <w:t xml:space="preserve">Energy Environ. Sci. </w:t>
      </w:r>
      <w:r w:rsidR="00C82F18" w:rsidRPr="00C82F18">
        <w:rPr>
          <w:noProof/>
          <w:sz w:val="18"/>
          <w:szCs w:val="24"/>
        </w:rPr>
        <w:t>12</w:t>
      </w:r>
      <w:r w:rsidR="00C82F18">
        <w:rPr>
          <w:noProof/>
          <w:sz w:val="18"/>
          <w:szCs w:val="24"/>
        </w:rPr>
        <w:t xml:space="preserve">, </w:t>
      </w:r>
      <w:r w:rsidR="00C82F18" w:rsidRPr="00C82F18">
        <w:rPr>
          <w:noProof/>
          <w:sz w:val="18"/>
          <w:szCs w:val="24"/>
        </w:rPr>
        <w:t xml:space="preserve">3156-3163 </w:t>
      </w:r>
      <w:r w:rsidRPr="007E7CB7">
        <w:rPr>
          <w:noProof/>
          <w:sz w:val="18"/>
          <w:szCs w:val="24"/>
        </w:rPr>
        <w:t>(2019)</w:t>
      </w:r>
    </w:p>
    <w:p w14:paraId="772AF3CC" w14:textId="69F7C4EA" w:rsidR="007E7CB7" w:rsidRPr="007E7CB7" w:rsidRDefault="007E7CB7" w:rsidP="007F4156">
      <w:pPr>
        <w:widowControl w:val="0"/>
        <w:ind w:left="340" w:hanging="340"/>
        <w:rPr>
          <w:noProof/>
          <w:sz w:val="18"/>
          <w:szCs w:val="24"/>
        </w:rPr>
      </w:pPr>
      <w:r w:rsidRPr="007E7CB7">
        <w:rPr>
          <w:noProof/>
          <w:sz w:val="18"/>
          <w:szCs w:val="24"/>
        </w:rPr>
        <w:t xml:space="preserve">15. </w:t>
      </w:r>
      <w:r w:rsidRPr="007E7CB7">
        <w:rPr>
          <w:noProof/>
          <w:sz w:val="18"/>
          <w:szCs w:val="24"/>
        </w:rPr>
        <w:tab/>
        <w:t>Tao, K., Wang, B., Chen, Y., Tang, L., Wu, J., Chang, H.: Bipolar Micro Electret Power Generator. In: 32nd International Conference on Micro Electro Mechanical Systems (MEMS)</w:t>
      </w:r>
      <w:r w:rsidR="00621B6D">
        <w:rPr>
          <w:noProof/>
          <w:sz w:val="18"/>
          <w:szCs w:val="24"/>
        </w:rPr>
        <w:t xml:space="preserve">, pp. 1021-1024. IEEE, </w:t>
      </w:r>
      <w:r w:rsidR="00C82F18">
        <w:rPr>
          <w:noProof/>
          <w:sz w:val="18"/>
          <w:szCs w:val="24"/>
        </w:rPr>
        <w:t>Seoul</w:t>
      </w:r>
      <w:r w:rsidRPr="007E7CB7">
        <w:rPr>
          <w:noProof/>
          <w:sz w:val="18"/>
          <w:szCs w:val="24"/>
        </w:rPr>
        <w:t xml:space="preserve"> (2019)</w:t>
      </w:r>
      <w:r w:rsidR="00C82F18">
        <w:rPr>
          <w:noProof/>
          <w:sz w:val="18"/>
          <w:szCs w:val="24"/>
        </w:rPr>
        <w:t>.</w:t>
      </w:r>
    </w:p>
    <w:p w14:paraId="45D7D15F" w14:textId="6CA1F583" w:rsidR="007E7CB7" w:rsidRPr="007E7CB7" w:rsidRDefault="007E7CB7" w:rsidP="007F4156">
      <w:pPr>
        <w:widowControl w:val="0"/>
        <w:ind w:left="340" w:hanging="340"/>
        <w:rPr>
          <w:noProof/>
          <w:sz w:val="18"/>
          <w:szCs w:val="24"/>
        </w:rPr>
      </w:pPr>
      <w:r w:rsidRPr="007E7CB7">
        <w:rPr>
          <w:noProof/>
          <w:sz w:val="18"/>
          <w:szCs w:val="24"/>
        </w:rPr>
        <w:t xml:space="preserve">16. </w:t>
      </w:r>
      <w:r w:rsidRPr="007E7CB7">
        <w:rPr>
          <w:noProof/>
          <w:sz w:val="18"/>
          <w:szCs w:val="24"/>
        </w:rPr>
        <w:tab/>
        <w:t>Zhang, Z., Bai, Y., Xu, L., Zhao, M., Shi, M., Wang, Z.L., Lu, X.: Triboelectric nanogenerators with simultaneous outputs in both single-electrode mode and freestanding-triboelectric-layer mode,</w:t>
      </w:r>
      <w:r w:rsidR="007A1929" w:rsidRPr="007A1929">
        <w:rPr>
          <w:noProof/>
          <w:sz w:val="18"/>
          <w:szCs w:val="24"/>
        </w:rPr>
        <w:t xml:space="preserve"> </w:t>
      </w:r>
      <w:r w:rsidR="007A1929" w:rsidRPr="007E7CB7">
        <w:rPr>
          <w:noProof/>
          <w:sz w:val="18"/>
          <w:szCs w:val="24"/>
        </w:rPr>
        <w:t xml:space="preserve">Nano Energy. </w:t>
      </w:r>
      <w:r w:rsidR="007A1929">
        <w:rPr>
          <w:noProof/>
          <w:sz w:val="18"/>
          <w:szCs w:val="24"/>
        </w:rPr>
        <w:t>66,</w:t>
      </w:r>
      <w:r w:rsidR="00621B6D">
        <w:rPr>
          <w:noProof/>
          <w:sz w:val="18"/>
          <w:szCs w:val="24"/>
        </w:rPr>
        <w:t xml:space="preserve"> </w:t>
      </w:r>
      <w:r w:rsidR="00621B6D" w:rsidRPr="00621B6D">
        <w:rPr>
          <w:noProof/>
          <w:sz w:val="18"/>
          <w:szCs w:val="24"/>
        </w:rPr>
        <w:t>2211-2855</w:t>
      </w:r>
      <w:r w:rsidRPr="007E7CB7">
        <w:rPr>
          <w:noProof/>
          <w:sz w:val="18"/>
          <w:szCs w:val="24"/>
        </w:rPr>
        <w:t xml:space="preserve"> (2019)</w:t>
      </w:r>
      <w:r w:rsidR="0015361A">
        <w:rPr>
          <w:noProof/>
          <w:sz w:val="18"/>
          <w:szCs w:val="24"/>
        </w:rPr>
        <w:t>.</w:t>
      </w:r>
    </w:p>
    <w:p w14:paraId="0387F186" w14:textId="35135D5D" w:rsidR="007E7CB7" w:rsidRPr="007E7CB7" w:rsidRDefault="007E7CB7" w:rsidP="007F4156">
      <w:pPr>
        <w:widowControl w:val="0"/>
        <w:ind w:left="340" w:hanging="340"/>
        <w:rPr>
          <w:noProof/>
          <w:sz w:val="18"/>
          <w:szCs w:val="24"/>
        </w:rPr>
      </w:pPr>
      <w:r w:rsidRPr="007E7CB7">
        <w:rPr>
          <w:noProof/>
          <w:sz w:val="18"/>
          <w:szCs w:val="24"/>
        </w:rPr>
        <w:t xml:space="preserve">17. </w:t>
      </w:r>
      <w:r w:rsidRPr="007E7CB7">
        <w:rPr>
          <w:noProof/>
          <w:sz w:val="18"/>
          <w:szCs w:val="24"/>
        </w:rPr>
        <w:tab/>
        <w:t xml:space="preserve">Wang, J., Ding, W., Pan, L., Wu, C., Yu, H., Yang, L., Liao, R., Wang, Z.L.: Self-Powered Wind Sensor System for Detecting Wind Speed and Direction Based on a Triboelectric Nanogenerator. ACS Nano. 12, 3954–3963 (2018). </w:t>
      </w:r>
    </w:p>
    <w:p w14:paraId="11494426" w14:textId="42F192A0" w:rsidR="007E7CB7" w:rsidRPr="007E7CB7" w:rsidRDefault="007E7CB7" w:rsidP="007F4156">
      <w:pPr>
        <w:widowControl w:val="0"/>
        <w:ind w:left="340" w:hanging="340"/>
        <w:rPr>
          <w:noProof/>
          <w:sz w:val="18"/>
          <w:szCs w:val="24"/>
        </w:rPr>
      </w:pPr>
      <w:r w:rsidRPr="007E7CB7">
        <w:rPr>
          <w:noProof/>
          <w:sz w:val="18"/>
          <w:szCs w:val="24"/>
        </w:rPr>
        <w:t xml:space="preserve">18. </w:t>
      </w:r>
      <w:r w:rsidRPr="007E7CB7">
        <w:rPr>
          <w:noProof/>
          <w:sz w:val="18"/>
          <w:szCs w:val="24"/>
        </w:rPr>
        <w:tab/>
        <w:t xml:space="preserve">Lin, Z., Zhang, B., Zou, H., Wu, Z., Guo, H., Zhang, Y., Yang, J., Wang, Z.L.: Rationally designed rotation triboelectric nanogenerators with much extended lifetime and durability. Nano Energy. 68, 104378 (2020). </w:t>
      </w:r>
    </w:p>
    <w:p w14:paraId="42C82E8F" w14:textId="4892D5CC" w:rsidR="007E7CB7" w:rsidRPr="007E7CB7" w:rsidRDefault="007E7CB7" w:rsidP="007F4156">
      <w:pPr>
        <w:widowControl w:val="0"/>
        <w:ind w:left="340" w:hanging="340"/>
        <w:rPr>
          <w:noProof/>
          <w:sz w:val="18"/>
          <w:szCs w:val="24"/>
        </w:rPr>
      </w:pPr>
      <w:r w:rsidRPr="007E7CB7">
        <w:rPr>
          <w:noProof/>
          <w:sz w:val="18"/>
          <w:szCs w:val="24"/>
        </w:rPr>
        <w:t xml:space="preserve">19. </w:t>
      </w:r>
      <w:r w:rsidRPr="007E7CB7">
        <w:rPr>
          <w:noProof/>
          <w:sz w:val="18"/>
          <w:szCs w:val="24"/>
        </w:rPr>
        <w:tab/>
        <w:t xml:space="preserve">Wang, J., Meng, C., Gu, Q., Tseng, M.C., Tang, S.T., Kwok, H.S., Cheng, J., Zi, Y.: Normally Transparent Tribo-Induced Smart Window. ACS Nano. 14, 3630–3639 (2020). </w:t>
      </w:r>
    </w:p>
    <w:p w14:paraId="14AF0C1A" w14:textId="4420CC80" w:rsidR="007E7CB7" w:rsidRPr="007E7CB7" w:rsidRDefault="007E7CB7" w:rsidP="007F4156">
      <w:pPr>
        <w:widowControl w:val="0"/>
        <w:ind w:left="340" w:hanging="340"/>
        <w:rPr>
          <w:noProof/>
          <w:sz w:val="18"/>
          <w:szCs w:val="24"/>
        </w:rPr>
      </w:pPr>
      <w:r w:rsidRPr="007E7CB7">
        <w:rPr>
          <w:noProof/>
          <w:sz w:val="18"/>
          <w:szCs w:val="24"/>
        </w:rPr>
        <w:t xml:space="preserve">20. </w:t>
      </w:r>
      <w:r w:rsidRPr="007E7CB7">
        <w:rPr>
          <w:noProof/>
          <w:sz w:val="18"/>
          <w:szCs w:val="24"/>
        </w:rPr>
        <w:tab/>
        <w:t>Bai, Y., Xu, L., He, C., Zhu, L., Yang, X., Jiang, T., Nie, J., Zhong, W., Wang, Z.L.: High-</w:t>
      </w:r>
      <w:r w:rsidRPr="007E7CB7">
        <w:rPr>
          <w:noProof/>
          <w:sz w:val="18"/>
          <w:szCs w:val="24"/>
        </w:rPr>
        <w:lastRenderedPageBreak/>
        <w:t xml:space="preserve">performance triboelectric nanogenerators for self-powered, in-situ and real-time water quality mapping. Nano Energy. 66, 104117 (2019). </w:t>
      </w:r>
    </w:p>
    <w:p w14:paraId="1A70075B" w14:textId="395218BA" w:rsidR="007E7CB7" w:rsidRPr="007E7CB7" w:rsidRDefault="007E7CB7" w:rsidP="007F4156">
      <w:pPr>
        <w:widowControl w:val="0"/>
        <w:ind w:left="340" w:hanging="340"/>
        <w:rPr>
          <w:noProof/>
          <w:sz w:val="18"/>
          <w:szCs w:val="24"/>
        </w:rPr>
      </w:pPr>
      <w:r w:rsidRPr="007E7CB7">
        <w:rPr>
          <w:noProof/>
          <w:sz w:val="18"/>
          <w:szCs w:val="24"/>
        </w:rPr>
        <w:t xml:space="preserve">21. </w:t>
      </w:r>
      <w:r w:rsidRPr="007E7CB7">
        <w:rPr>
          <w:noProof/>
          <w:sz w:val="18"/>
          <w:szCs w:val="24"/>
        </w:rPr>
        <w:tab/>
        <w:t xml:space="preserve">Zhu, G., Chen, J., Zhang, T., Jing, Q., Wang, Z.L.: Radial-arrayed rotary electrification for high performance triboelectric generator. Nat. Commun. 5, 1–9 (2014). </w:t>
      </w:r>
    </w:p>
    <w:p w14:paraId="56D6F397" w14:textId="68CFE967" w:rsidR="007E7CB7" w:rsidRPr="007E7CB7" w:rsidRDefault="007E7CB7" w:rsidP="007F4156">
      <w:pPr>
        <w:widowControl w:val="0"/>
        <w:ind w:left="340" w:hanging="340"/>
        <w:rPr>
          <w:noProof/>
          <w:sz w:val="18"/>
          <w:szCs w:val="24"/>
        </w:rPr>
      </w:pPr>
      <w:r w:rsidRPr="007E7CB7">
        <w:rPr>
          <w:noProof/>
          <w:sz w:val="18"/>
          <w:szCs w:val="24"/>
        </w:rPr>
        <w:t xml:space="preserve">22. </w:t>
      </w:r>
      <w:r w:rsidRPr="007E7CB7">
        <w:rPr>
          <w:noProof/>
          <w:sz w:val="18"/>
          <w:szCs w:val="24"/>
        </w:rPr>
        <w:tab/>
        <w:t>Levitt, M.H.: Spin Dynamics : Basics of Nuclear Magnetic Resonance.</w:t>
      </w:r>
      <w:r w:rsidR="0015361A">
        <w:rPr>
          <w:noProof/>
          <w:sz w:val="18"/>
          <w:szCs w:val="24"/>
        </w:rPr>
        <w:t xml:space="preserve"> </w:t>
      </w:r>
      <w:r w:rsidR="00855BB1">
        <w:t xml:space="preserve">2nd edn. </w:t>
      </w:r>
      <w:r w:rsidR="0015361A" w:rsidRPr="0015361A">
        <w:rPr>
          <w:noProof/>
          <w:sz w:val="18"/>
          <w:szCs w:val="24"/>
        </w:rPr>
        <w:t>John Wiley &amp; Sons,</w:t>
      </w:r>
      <w:r w:rsidR="0015361A">
        <w:rPr>
          <w:noProof/>
          <w:sz w:val="18"/>
          <w:szCs w:val="24"/>
        </w:rPr>
        <w:t xml:space="preserve"> </w:t>
      </w:r>
      <w:r w:rsidR="0015361A" w:rsidRPr="0015361A">
        <w:rPr>
          <w:noProof/>
          <w:sz w:val="18"/>
          <w:szCs w:val="24"/>
        </w:rPr>
        <w:t>Chichester</w:t>
      </w:r>
      <w:r w:rsidRPr="007E7CB7">
        <w:rPr>
          <w:noProof/>
          <w:sz w:val="18"/>
          <w:szCs w:val="24"/>
        </w:rPr>
        <w:t xml:space="preserve"> (2000)</w:t>
      </w:r>
      <w:r w:rsidR="0015361A">
        <w:rPr>
          <w:noProof/>
          <w:sz w:val="18"/>
          <w:szCs w:val="24"/>
        </w:rPr>
        <w:t>.</w:t>
      </w:r>
    </w:p>
    <w:p w14:paraId="0F4BD747" w14:textId="020B583C" w:rsidR="007E7CB7" w:rsidRPr="007E7CB7" w:rsidRDefault="007E7CB7" w:rsidP="007F4156">
      <w:pPr>
        <w:widowControl w:val="0"/>
        <w:ind w:left="340" w:hanging="340"/>
        <w:rPr>
          <w:noProof/>
          <w:sz w:val="18"/>
          <w:szCs w:val="24"/>
        </w:rPr>
      </w:pPr>
      <w:r w:rsidRPr="007E7CB7">
        <w:rPr>
          <w:noProof/>
          <w:sz w:val="18"/>
          <w:szCs w:val="24"/>
        </w:rPr>
        <w:t xml:space="preserve">23. </w:t>
      </w:r>
      <w:r w:rsidRPr="007E7CB7">
        <w:rPr>
          <w:noProof/>
          <w:sz w:val="18"/>
          <w:szCs w:val="24"/>
        </w:rPr>
        <w:tab/>
        <w:t>Zhang, C., Wang, Z.L.: Triboelectric Nanogenerators.</w:t>
      </w:r>
      <w:r w:rsidR="00DB6DB2">
        <w:rPr>
          <w:noProof/>
          <w:sz w:val="18"/>
          <w:szCs w:val="24"/>
        </w:rPr>
        <w:t xml:space="preserve"> </w:t>
      </w:r>
      <w:r w:rsidR="00DB6DB2">
        <w:t>1st edn.</w:t>
      </w:r>
      <w:r w:rsidR="00DB6DB2" w:rsidRPr="00B74F2F">
        <w:rPr>
          <w:noProof/>
          <w:sz w:val="18"/>
          <w:szCs w:val="24"/>
        </w:rPr>
        <w:t xml:space="preserve"> </w:t>
      </w:r>
      <w:r w:rsidR="00B74F2F" w:rsidRPr="00B74F2F">
        <w:rPr>
          <w:noProof/>
          <w:sz w:val="18"/>
          <w:szCs w:val="24"/>
        </w:rPr>
        <w:t>Springer,</w:t>
      </w:r>
      <w:r w:rsidR="00B74F2F">
        <w:rPr>
          <w:noProof/>
          <w:sz w:val="18"/>
          <w:szCs w:val="24"/>
        </w:rPr>
        <w:t xml:space="preserve"> </w:t>
      </w:r>
      <w:r w:rsidR="00B74F2F" w:rsidRPr="00B74F2F">
        <w:rPr>
          <w:noProof/>
          <w:sz w:val="18"/>
          <w:szCs w:val="24"/>
        </w:rPr>
        <w:t>Switzerland</w:t>
      </w:r>
      <w:r w:rsidR="00B74F2F" w:rsidRPr="007E7CB7">
        <w:rPr>
          <w:noProof/>
          <w:sz w:val="18"/>
          <w:szCs w:val="24"/>
        </w:rPr>
        <w:t xml:space="preserve"> </w:t>
      </w:r>
      <w:r w:rsidRPr="007E7CB7">
        <w:rPr>
          <w:noProof/>
          <w:sz w:val="18"/>
          <w:szCs w:val="24"/>
        </w:rPr>
        <w:t>(2016)</w:t>
      </w:r>
      <w:r w:rsidR="00B74F2F">
        <w:rPr>
          <w:noProof/>
          <w:sz w:val="18"/>
          <w:szCs w:val="24"/>
        </w:rPr>
        <w:t>.</w:t>
      </w:r>
    </w:p>
    <w:p w14:paraId="6B8E7616" w14:textId="36ED9829" w:rsidR="007E7CB7" w:rsidRPr="007F4156" w:rsidRDefault="007E7CB7" w:rsidP="007F4156">
      <w:pPr>
        <w:widowControl w:val="0"/>
        <w:ind w:left="340" w:hanging="340"/>
        <w:rPr>
          <w:noProof/>
          <w:sz w:val="18"/>
          <w:szCs w:val="24"/>
        </w:rPr>
      </w:pPr>
      <w:r w:rsidRPr="007E7CB7">
        <w:rPr>
          <w:noProof/>
          <w:sz w:val="18"/>
          <w:szCs w:val="24"/>
        </w:rPr>
        <w:t xml:space="preserve">24. </w:t>
      </w:r>
      <w:r w:rsidRPr="007E7CB7">
        <w:rPr>
          <w:noProof/>
          <w:sz w:val="18"/>
          <w:szCs w:val="24"/>
        </w:rPr>
        <w:tab/>
        <w:t>Zhang, H., Xi, R., Xu, D., Wang, K., Shi, Q., Zhao, H., Wu, B.: Efficiency enhancement of a point wave energy converter with a magnetic bistable mechanism. Energy</w:t>
      </w:r>
      <w:r w:rsidR="003C7C97">
        <w:rPr>
          <w:noProof/>
          <w:sz w:val="18"/>
          <w:szCs w:val="24"/>
        </w:rPr>
        <w:t xml:space="preserve">. </w:t>
      </w:r>
      <w:r w:rsidRPr="007E7CB7">
        <w:rPr>
          <w:noProof/>
          <w:sz w:val="18"/>
          <w:szCs w:val="24"/>
        </w:rPr>
        <w:t xml:space="preserve">181, 1152–1165 (2019). </w:t>
      </w:r>
    </w:p>
    <w:p w14:paraId="4C2CC433" w14:textId="77777777" w:rsidR="005373AA" w:rsidRPr="007F4156" w:rsidRDefault="008B61FB" w:rsidP="007F4156">
      <w:pPr>
        <w:widowControl w:val="0"/>
        <w:ind w:left="340" w:hanging="340"/>
        <w:rPr>
          <w:noProof/>
          <w:sz w:val="18"/>
          <w:szCs w:val="24"/>
        </w:rPr>
      </w:pPr>
      <w:r w:rsidRPr="007F4156">
        <w:rPr>
          <w:noProof/>
          <w:sz w:val="18"/>
          <w:szCs w:val="24"/>
        </w:rPr>
        <w:fldChar w:fldCharType="end"/>
      </w:r>
    </w:p>
    <w:sectPr w:rsidR="005373AA" w:rsidRPr="007F4156" w:rsidSect="009F7FCE">
      <w:headerReference w:type="even" r:id="rId30"/>
      <w:headerReference w:type="default" r:id="rId31"/>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0DFE0" w14:textId="77777777" w:rsidR="00AB010E" w:rsidRDefault="00AB010E">
      <w:r>
        <w:separator/>
      </w:r>
    </w:p>
  </w:endnote>
  <w:endnote w:type="continuationSeparator" w:id="0">
    <w:p w14:paraId="558376A6" w14:textId="77777777" w:rsidR="00AB010E" w:rsidRDefault="00AB0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E3A2A" w14:textId="77777777" w:rsidR="00AB010E" w:rsidRDefault="00AB010E" w:rsidP="009F7FCE">
      <w:pPr>
        <w:ind w:firstLine="0"/>
      </w:pPr>
      <w:r>
        <w:separator/>
      </w:r>
    </w:p>
  </w:footnote>
  <w:footnote w:type="continuationSeparator" w:id="0">
    <w:p w14:paraId="44866DB4" w14:textId="77777777" w:rsidR="00AB010E" w:rsidRDefault="00AB010E"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8922B" w14:textId="77777777" w:rsidR="006F054E" w:rsidRDefault="006F054E" w:rsidP="00F321B4">
    <w:pPr>
      <w:pStyle w:val="Header"/>
    </w:pPr>
    <w:r>
      <w:fldChar w:fldCharType="begin"/>
    </w:r>
    <w:r>
      <w:instrText>PAGE   \* MERGEFORMAT</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F9554" w14:textId="77777777" w:rsidR="006F054E" w:rsidRDefault="006F054E" w:rsidP="002D48C5">
    <w:pPr>
      <w:pStyle w:val="Header"/>
      <w:jc w:val="right"/>
    </w:pPr>
    <w:r>
      <w:fldChar w:fldCharType="begin"/>
    </w:r>
    <w:r>
      <w:instrText>PAGE   \* MERGEFORMAT</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873D1"/>
    <w:multiLevelType w:val="hybridMultilevel"/>
    <w:tmpl w:val="6668280E"/>
    <w:lvl w:ilvl="0" w:tplc="40AA1A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2"/>
  </w:num>
  <w:num w:numId="4">
    <w:abstractNumId w:val="2"/>
  </w:num>
  <w:num w:numId="5">
    <w:abstractNumId w:val="4"/>
  </w:num>
  <w:num w:numId="6">
    <w:abstractNumId w:val="4"/>
  </w:num>
  <w:num w:numId="7">
    <w:abstractNumId w:val="3"/>
  </w:num>
  <w:num w:numId="8">
    <w:abstractNumId w:val="5"/>
  </w:num>
  <w:num w:numId="9">
    <w:abstractNumId w:val="5"/>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28D9"/>
    <w:rsid w:val="000035C4"/>
    <w:rsid w:val="00031FA6"/>
    <w:rsid w:val="00052E99"/>
    <w:rsid w:val="0006268E"/>
    <w:rsid w:val="000752C1"/>
    <w:rsid w:val="000A3AFB"/>
    <w:rsid w:val="000B48C0"/>
    <w:rsid w:val="00135B09"/>
    <w:rsid w:val="001527E2"/>
    <w:rsid w:val="0015361A"/>
    <w:rsid w:val="00160DCC"/>
    <w:rsid w:val="001A02F0"/>
    <w:rsid w:val="001C0694"/>
    <w:rsid w:val="001C4E8B"/>
    <w:rsid w:val="001E797B"/>
    <w:rsid w:val="001F3028"/>
    <w:rsid w:val="00224D64"/>
    <w:rsid w:val="00235957"/>
    <w:rsid w:val="00243F30"/>
    <w:rsid w:val="0026599D"/>
    <w:rsid w:val="002831AD"/>
    <w:rsid w:val="002A34FF"/>
    <w:rsid w:val="002C16D4"/>
    <w:rsid w:val="002C60F0"/>
    <w:rsid w:val="002D48C5"/>
    <w:rsid w:val="002E32A9"/>
    <w:rsid w:val="002E34F0"/>
    <w:rsid w:val="002F2BB0"/>
    <w:rsid w:val="003145D1"/>
    <w:rsid w:val="003151E2"/>
    <w:rsid w:val="00322462"/>
    <w:rsid w:val="00325CBD"/>
    <w:rsid w:val="00361547"/>
    <w:rsid w:val="0038088D"/>
    <w:rsid w:val="003833BF"/>
    <w:rsid w:val="003C7C97"/>
    <w:rsid w:val="00403A84"/>
    <w:rsid w:val="004054FC"/>
    <w:rsid w:val="00413FD7"/>
    <w:rsid w:val="00415D08"/>
    <w:rsid w:val="00456589"/>
    <w:rsid w:val="004A4583"/>
    <w:rsid w:val="00525788"/>
    <w:rsid w:val="005303A0"/>
    <w:rsid w:val="00534644"/>
    <w:rsid w:val="005373AA"/>
    <w:rsid w:val="00552632"/>
    <w:rsid w:val="0057026D"/>
    <w:rsid w:val="005A10C9"/>
    <w:rsid w:val="005D173F"/>
    <w:rsid w:val="005D7E0E"/>
    <w:rsid w:val="005F0E9E"/>
    <w:rsid w:val="005F254D"/>
    <w:rsid w:val="005F2C91"/>
    <w:rsid w:val="00621B6D"/>
    <w:rsid w:val="00657BF5"/>
    <w:rsid w:val="0067033B"/>
    <w:rsid w:val="006812C5"/>
    <w:rsid w:val="006A56F6"/>
    <w:rsid w:val="006C1666"/>
    <w:rsid w:val="006F054E"/>
    <w:rsid w:val="00701F57"/>
    <w:rsid w:val="00706DC4"/>
    <w:rsid w:val="007200F1"/>
    <w:rsid w:val="00741049"/>
    <w:rsid w:val="00760857"/>
    <w:rsid w:val="00791538"/>
    <w:rsid w:val="00793C93"/>
    <w:rsid w:val="00796DEB"/>
    <w:rsid w:val="007A1929"/>
    <w:rsid w:val="007A3895"/>
    <w:rsid w:val="007B0229"/>
    <w:rsid w:val="007E7CB7"/>
    <w:rsid w:val="007F4156"/>
    <w:rsid w:val="00815F8C"/>
    <w:rsid w:val="00823E6A"/>
    <w:rsid w:val="008371BF"/>
    <w:rsid w:val="00845625"/>
    <w:rsid w:val="00854887"/>
    <w:rsid w:val="00855BB1"/>
    <w:rsid w:val="0086593B"/>
    <w:rsid w:val="00874803"/>
    <w:rsid w:val="0088500A"/>
    <w:rsid w:val="0088745C"/>
    <w:rsid w:val="008B61FB"/>
    <w:rsid w:val="008D56F6"/>
    <w:rsid w:val="008F2D4C"/>
    <w:rsid w:val="009136F7"/>
    <w:rsid w:val="00931E1A"/>
    <w:rsid w:val="0093522C"/>
    <w:rsid w:val="009468DF"/>
    <w:rsid w:val="00984F98"/>
    <w:rsid w:val="00992526"/>
    <w:rsid w:val="009930E4"/>
    <w:rsid w:val="009A1A31"/>
    <w:rsid w:val="009B2539"/>
    <w:rsid w:val="009D7AD5"/>
    <w:rsid w:val="009F7FCE"/>
    <w:rsid w:val="00A031F2"/>
    <w:rsid w:val="00A55CC5"/>
    <w:rsid w:val="00A65F63"/>
    <w:rsid w:val="00A93822"/>
    <w:rsid w:val="00AA1188"/>
    <w:rsid w:val="00AA561A"/>
    <w:rsid w:val="00AA7A16"/>
    <w:rsid w:val="00AB010E"/>
    <w:rsid w:val="00AB1A7A"/>
    <w:rsid w:val="00AC5B26"/>
    <w:rsid w:val="00AE4EB6"/>
    <w:rsid w:val="00B23481"/>
    <w:rsid w:val="00B350C8"/>
    <w:rsid w:val="00B377AC"/>
    <w:rsid w:val="00B45D93"/>
    <w:rsid w:val="00B47101"/>
    <w:rsid w:val="00B74F2F"/>
    <w:rsid w:val="00B87845"/>
    <w:rsid w:val="00BA15ED"/>
    <w:rsid w:val="00BA2A70"/>
    <w:rsid w:val="00BC1584"/>
    <w:rsid w:val="00C04C9F"/>
    <w:rsid w:val="00C13AC0"/>
    <w:rsid w:val="00C14E99"/>
    <w:rsid w:val="00C254C6"/>
    <w:rsid w:val="00C27B01"/>
    <w:rsid w:val="00C323DA"/>
    <w:rsid w:val="00C729A9"/>
    <w:rsid w:val="00C73877"/>
    <w:rsid w:val="00C80659"/>
    <w:rsid w:val="00C82F18"/>
    <w:rsid w:val="00CC01B4"/>
    <w:rsid w:val="00CD7947"/>
    <w:rsid w:val="00D006D3"/>
    <w:rsid w:val="00D05535"/>
    <w:rsid w:val="00D20B5C"/>
    <w:rsid w:val="00D3254E"/>
    <w:rsid w:val="00D41CB0"/>
    <w:rsid w:val="00D70DFC"/>
    <w:rsid w:val="00DA0BD0"/>
    <w:rsid w:val="00DA62D5"/>
    <w:rsid w:val="00DB5D5D"/>
    <w:rsid w:val="00DB6DB2"/>
    <w:rsid w:val="00DC2CA9"/>
    <w:rsid w:val="00DC36ED"/>
    <w:rsid w:val="00DE6527"/>
    <w:rsid w:val="00E0350E"/>
    <w:rsid w:val="00E043CE"/>
    <w:rsid w:val="00E36509"/>
    <w:rsid w:val="00E57977"/>
    <w:rsid w:val="00E603C7"/>
    <w:rsid w:val="00E96917"/>
    <w:rsid w:val="00EF6611"/>
    <w:rsid w:val="00F04078"/>
    <w:rsid w:val="00F1187C"/>
    <w:rsid w:val="00F23B7B"/>
    <w:rsid w:val="00F30777"/>
    <w:rsid w:val="00F321B4"/>
    <w:rsid w:val="00F43D91"/>
    <w:rsid w:val="00F83D16"/>
    <w:rsid w:val="00F84ADA"/>
    <w:rsid w:val="00FA23EF"/>
    <w:rsid w:val="00FE3AE4"/>
    <w:rsid w:val="00FF58E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929E70"/>
  <w15:docId w15:val="{BBEB27D9-C31E-4D67-B04F-34725BCF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semiHidden="1" w:qFormat="1"/>
    <w:lsdException w:name="heading 2" w:semiHidden="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35B09"/>
    <w:pPr>
      <w:overflowPunct w:val="0"/>
      <w:autoSpaceDE w:val="0"/>
      <w:autoSpaceDN w:val="0"/>
      <w:adjustRightInd w:val="0"/>
      <w:ind w:firstLine="227"/>
      <w:jc w:val="both"/>
      <w:textAlignment w:val="baseline"/>
    </w:pPr>
    <w:rPr>
      <w:rFonts w:eastAsia="Times New Roman"/>
    </w:rPr>
  </w:style>
  <w:style w:type="paragraph" w:styleId="Heading10">
    <w:name w:val="heading 1"/>
    <w:basedOn w:val="Normal"/>
    <w:next w:val="p1a"/>
    <w:semiHidden/>
    <w:unhideWhenUsed/>
    <w:qFormat/>
    <w:rsid w:val="00135B09"/>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rsid w:val="00135B09"/>
    <w:pPr>
      <w:keepNext/>
      <w:keepLines/>
      <w:suppressAutoHyphens/>
      <w:spacing w:before="360" w:after="160"/>
      <w:ind w:left="567" w:hanging="567"/>
      <w:jc w:val="left"/>
      <w:outlineLvl w:val="1"/>
    </w:pPr>
    <w:rPr>
      <w:b/>
    </w:rPr>
  </w:style>
  <w:style w:type="paragraph" w:styleId="Heading3">
    <w:name w:val="heading 3"/>
    <w:basedOn w:val="Normal"/>
    <w:next w:val="Normal"/>
    <w:qFormat/>
    <w:rsid w:val="00135B09"/>
    <w:pPr>
      <w:spacing w:before="360"/>
      <w:ind w:firstLine="0"/>
      <w:outlineLvl w:val="2"/>
    </w:pPr>
  </w:style>
  <w:style w:type="paragraph" w:styleId="Heading4">
    <w:name w:val="heading 4"/>
    <w:basedOn w:val="Normal"/>
    <w:next w:val="Normal"/>
    <w:qFormat/>
    <w:rsid w:val="00135B09"/>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135B09"/>
    <w:pPr>
      <w:spacing w:before="600" w:after="360" w:line="220" w:lineRule="atLeast"/>
      <w:ind w:left="567" w:right="567"/>
      <w:contextualSpacing/>
    </w:pPr>
    <w:rPr>
      <w:sz w:val="18"/>
    </w:rPr>
  </w:style>
  <w:style w:type="paragraph" w:customStyle="1" w:styleId="address">
    <w:name w:val="address"/>
    <w:basedOn w:val="Normal"/>
    <w:rsid w:val="00135B09"/>
    <w:pPr>
      <w:spacing w:after="200" w:line="220" w:lineRule="atLeast"/>
      <w:ind w:firstLine="0"/>
      <w:contextualSpacing/>
      <w:jc w:val="center"/>
    </w:pPr>
    <w:rPr>
      <w:sz w:val="18"/>
    </w:rPr>
  </w:style>
  <w:style w:type="numbering" w:customStyle="1" w:styleId="arabnumitem">
    <w:name w:val="arabnumitem"/>
    <w:basedOn w:val="NoList"/>
    <w:rsid w:val="00135B09"/>
    <w:pPr>
      <w:numPr>
        <w:numId w:val="5"/>
      </w:numPr>
    </w:pPr>
  </w:style>
  <w:style w:type="paragraph" w:customStyle="1" w:styleId="author">
    <w:name w:val="author"/>
    <w:basedOn w:val="Normal"/>
    <w:next w:val="address"/>
    <w:rsid w:val="00135B09"/>
    <w:pPr>
      <w:spacing w:after="200" w:line="220" w:lineRule="atLeast"/>
      <w:ind w:firstLine="0"/>
      <w:jc w:val="center"/>
    </w:pPr>
  </w:style>
  <w:style w:type="paragraph" w:customStyle="1" w:styleId="bulletitem">
    <w:name w:val="bulletitem"/>
    <w:basedOn w:val="Normal"/>
    <w:rsid w:val="00135B09"/>
    <w:pPr>
      <w:numPr>
        <w:numId w:val="1"/>
      </w:numPr>
      <w:spacing w:before="160" w:after="160"/>
      <w:contextualSpacing/>
    </w:pPr>
  </w:style>
  <w:style w:type="paragraph" w:customStyle="1" w:styleId="dashitem">
    <w:name w:val="dashitem"/>
    <w:basedOn w:val="Normal"/>
    <w:rsid w:val="00135B09"/>
    <w:pPr>
      <w:numPr>
        <w:numId w:val="3"/>
      </w:numPr>
      <w:spacing w:before="160" w:after="160"/>
      <w:contextualSpacing/>
    </w:pPr>
  </w:style>
  <w:style w:type="character" w:customStyle="1" w:styleId="e-mail">
    <w:name w:val="e-mail"/>
    <w:basedOn w:val="DefaultParagraphFont"/>
    <w:rsid w:val="00135B09"/>
    <w:rPr>
      <w:rFonts w:ascii="Courier" w:hAnsi="Courier"/>
      <w:noProof/>
    </w:rPr>
  </w:style>
  <w:style w:type="paragraph" w:customStyle="1" w:styleId="equation">
    <w:name w:val="equation"/>
    <w:basedOn w:val="Normal"/>
    <w:next w:val="Normal"/>
    <w:rsid w:val="00135B09"/>
    <w:pPr>
      <w:tabs>
        <w:tab w:val="center" w:pos="3289"/>
        <w:tab w:val="right" w:pos="6917"/>
      </w:tabs>
      <w:spacing w:before="160" w:after="160"/>
      <w:ind w:firstLine="0"/>
    </w:pPr>
  </w:style>
  <w:style w:type="paragraph" w:customStyle="1" w:styleId="figurecaption">
    <w:name w:val="figurecaption"/>
    <w:basedOn w:val="Normal"/>
    <w:next w:val="Normal"/>
    <w:rsid w:val="00135B09"/>
    <w:pPr>
      <w:keepLines/>
      <w:spacing w:before="120" w:after="240" w:line="220" w:lineRule="atLeast"/>
      <w:ind w:firstLine="0"/>
      <w:jc w:val="center"/>
    </w:pPr>
    <w:rPr>
      <w:sz w:val="18"/>
    </w:rPr>
  </w:style>
  <w:style w:type="character" w:styleId="FootnoteReference">
    <w:name w:val="footnote reference"/>
    <w:basedOn w:val="DefaultParagraphFont"/>
    <w:semiHidden/>
    <w:unhideWhenUsed/>
    <w:rsid w:val="00135B09"/>
    <w:rPr>
      <w:position w:val="0"/>
      <w:vertAlign w:val="superscript"/>
    </w:rPr>
  </w:style>
  <w:style w:type="paragraph" w:styleId="Footer">
    <w:name w:val="footer"/>
    <w:basedOn w:val="Normal"/>
    <w:semiHidden/>
    <w:unhideWhenUsed/>
    <w:rsid w:val="00135B09"/>
  </w:style>
  <w:style w:type="paragraph" w:customStyle="1" w:styleId="heading1">
    <w:name w:val="heading1"/>
    <w:basedOn w:val="Normal"/>
    <w:next w:val="p1a"/>
    <w:qFormat/>
    <w:rsid w:val="00135B09"/>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rsid w:val="00135B09"/>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sid w:val="00135B09"/>
    <w:rPr>
      <w:b/>
    </w:rPr>
  </w:style>
  <w:style w:type="character" w:customStyle="1" w:styleId="heading40">
    <w:name w:val="heading4"/>
    <w:basedOn w:val="DefaultParagraphFont"/>
    <w:rsid w:val="00135B09"/>
    <w:rPr>
      <w:i/>
    </w:rPr>
  </w:style>
  <w:style w:type="numbering" w:customStyle="1" w:styleId="headings">
    <w:name w:val="headings"/>
    <w:basedOn w:val="arabnumitem"/>
    <w:rsid w:val="00135B09"/>
    <w:pPr>
      <w:numPr>
        <w:numId w:val="7"/>
      </w:numPr>
    </w:pPr>
  </w:style>
  <w:style w:type="character" w:styleId="Hyperlink">
    <w:name w:val="Hyperlink"/>
    <w:basedOn w:val="DefaultParagraphFont"/>
    <w:semiHidden/>
    <w:unhideWhenUsed/>
    <w:rsid w:val="00135B09"/>
    <w:rPr>
      <w:color w:val="auto"/>
      <w:u w:val="none"/>
    </w:rPr>
  </w:style>
  <w:style w:type="paragraph" w:customStyle="1" w:styleId="image">
    <w:name w:val="image"/>
    <w:basedOn w:val="Normal"/>
    <w:next w:val="Normal"/>
    <w:rsid w:val="00135B09"/>
    <w:pPr>
      <w:spacing w:before="240" w:after="120"/>
      <w:ind w:firstLine="0"/>
      <w:jc w:val="center"/>
    </w:pPr>
  </w:style>
  <w:style w:type="numbering" w:customStyle="1" w:styleId="itemization1">
    <w:name w:val="itemization1"/>
    <w:basedOn w:val="NoList"/>
    <w:rsid w:val="00135B09"/>
    <w:pPr>
      <w:numPr>
        <w:numId w:val="1"/>
      </w:numPr>
    </w:pPr>
  </w:style>
  <w:style w:type="numbering" w:customStyle="1" w:styleId="itemization2">
    <w:name w:val="itemization2"/>
    <w:basedOn w:val="NoList"/>
    <w:rsid w:val="00135B09"/>
    <w:pPr>
      <w:numPr>
        <w:numId w:val="3"/>
      </w:numPr>
    </w:pPr>
  </w:style>
  <w:style w:type="paragraph" w:customStyle="1" w:styleId="keywords">
    <w:name w:val="keywords"/>
    <w:basedOn w:val="abstract"/>
    <w:next w:val="heading1"/>
    <w:rsid w:val="00135B09"/>
    <w:pPr>
      <w:spacing w:before="220"/>
      <w:ind w:firstLine="0"/>
      <w:contextualSpacing w:val="0"/>
      <w:jc w:val="left"/>
    </w:pPr>
  </w:style>
  <w:style w:type="paragraph" w:styleId="Header">
    <w:name w:val="header"/>
    <w:basedOn w:val="Normal"/>
    <w:semiHidden/>
    <w:unhideWhenUsed/>
    <w:rsid w:val="00135B09"/>
    <w:pPr>
      <w:tabs>
        <w:tab w:val="center" w:pos="4536"/>
        <w:tab w:val="right" w:pos="9072"/>
      </w:tabs>
      <w:ind w:firstLine="0"/>
    </w:pPr>
    <w:rPr>
      <w:sz w:val="18"/>
      <w:szCs w:val="18"/>
    </w:rPr>
  </w:style>
  <w:style w:type="paragraph" w:customStyle="1" w:styleId="numitem">
    <w:name w:val="numitem"/>
    <w:basedOn w:val="Normal"/>
    <w:rsid w:val="00135B09"/>
    <w:pPr>
      <w:numPr>
        <w:numId w:val="5"/>
      </w:numPr>
      <w:spacing w:before="160" w:after="160"/>
      <w:contextualSpacing/>
    </w:pPr>
  </w:style>
  <w:style w:type="paragraph" w:customStyle="1" w:styleId="p1a">
    <w:name w:val="p1a"/>
    <w:basedOn w:val="Normal"/>
    <w:next w:val="Normal"/>
    <w:rsid w:val="00135B09"/>
    <w:pPr>
      <w:ind w:firstLine="0"/>
    </w:pPr>
  </w:style>
  <w:style w:type="paragraph" w:customStyle="1" w:styleId="programcode">
    <w:name w:val="programcode"/>
    <w:basedOn w:val="Normal"/>
    <w:rsid w:val="00135B09"/>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35B09"/>
    <w:pPr>
      <w:numPr>
        <w:numId w:val="8"/>
      </w:numPr>
      <w:spacing w:line="220" w:lineRule="atLeast"/>
    </w:pPr>
    <w:rPr>
      <w:sz w:val="18"/>
    </w:rPr>
  </w:style>
  <w:style w:type="numbering" w:customStyle="1" w:styleId="referencelist">
    <w:name w:val="referencelist"/>
    <w:basedOn w:val="NoList"/>
    <w:semiHidden/>
    <w:rsid w:val="00135B09"/>
    <w:pPr>
      <w:numPr>
        <w:numId w:val="8"/>
      </w:numPr>
    </w:pPr>
  </w:style>
  <w:style w:type="paragraph" w:customStyle="1" w:styleId="runninghead-left">
    <w:name w:val="running head - left"/>
    <w:basedOn w:val="Normal"/>
    <w:rsid w:val="00135B09"/>
    <w:pPr>
      <w:ind w:firstLine="0"/>
      <w:jc w:val="left"/>
    </w:pPr>
    <w:rPr>
      <w:sz w:val="18"/>
      <w:szCs w:val="18"/>
    </w:rPr>
  </w:style>
  <w:style w:type="paragraph" w:customStyle="1" w:styleId="runninghead-right">
    <w:name w:val="running head - right"/>
    <w:basedOn w:val="Normal"/>
    <w:rsid w:val="00135B09"/>
    <w:pPr>
      <w:ind w:firstLine="0"/>
      <w:jc w:val="right"/>
    </w:pPr>
    <w:rPr>
      <w:bCs/>
      <w:sz w:val="18"/>
      <w:szCs w:val="18"/>
    </w:rPr>
  </w:style>
  <w:style w:type="character" w:styleId="PageNumber">
    <w:name w:val="page number"/>
    <w:basedOn w:val="DefaultParagraphFont"/>
    <w:semiHidden/>
    <w:unhideWhenUsed/>
    <w:rsid w:val="00135B09"/>
    <w:rPr>
      <w:sz w:val="18"/>
    </w:rPr>
  </w:style>
  <w:style w:type="paragraph" w:customStyle="1" w:styleId="papertitle">
    <w:name w:val="papertitle"/>
    <w:basedOn w:val="Normal"/>
    <w:next w:val="author"/>
    <w:rsid w:val="00135B09"/>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135B09"/>
    <w:pPr>
      <w:spacing w:before="120" w:line="280" w:lineRule="atLeast"/>
    </w:pPr>
    <w:rPr>
      <w:sz w:val="24"/>
    </w:rPr>
  </w:style>
  <w:style w:type="paragraph" w:customStyle="1" w:styleId="tablecaption">
    <w:name w:val="tablecaption"/>
    <w:basedOn w:val="Normal"/>
    <w:next w:val="Normal"/>
    <w:rsid w:val="00135B09"/>
    <w:pPr>
      <w:keepNext/>
      <w:keepLines/>
      <w:spacing w:before="240" w:after="120" w:line="220" w:lineRule="atLeast"/>
      <w:ind w:firstLine="0"/>
      <w:jc w:val="center"/>
    </w:pPr>
    <w:rPr>
      <w:sz w:val="18"/>
    </w:rPr>
  </w:style>
  <w:style w:type="character" w:customStyle="1" w:styleId="url">
    <w:name w:val="url"/>
    <w:basedOn w:val="DefaultParagraphFont"/>
    <w:rsid w:val="00135B09"/>
    <w:rPr>
      <w:rFonts w:ascii="Courier" w:hAnsi="Courier"/>
      <w:noProof/>
    </w:rPr>
  </w:style>
  <w:style w:type="character" w:customStyle="1" w:styleId="ORCID">
    <w:name w:val="ORCID"/>
    <w:basedOn w:val="DefaultParagraphFont"/>
    <w:rsid w:val="00135B09"/>
    <w:rPr>
      <w:position w:val="0"/>
      <w:vertAlign w:val="superscript"/>
    </w:rPr>
  </w:style>
  <w:style w:type="paragraph" w:styleId="FootnoteText">
    <w:name w:val="footnote text"/>
    <w:basedOn w:val="Normal"/>
    <w:semiHidden/>
    <w:rsid w:val="00135B09"/>
    <w:pPr>
      <w:spacing w:line="220" w:lineRule="atLeast"/>
      <w:ind w:left="227" w:hanging="227"/>
    </w:pPr>
    <w:rPr>
      <w:sz w:val="18"/>
    </w:rPr>
  </w:style>
  <w:style w:type="paragraph" w:customStyle="1" w:styleId="ReferenceLine">
    <w:name w:val="ReferenceLine"/>
    <w:basedOn w:val="p1a"/>
    <w:semiHidden/>
    <w:unhideWhenUsed/>
    <w:rsid w:val="00135B09"/>
    <w:pPr>
      <w:spacing w:line="200" w:lineRule="exact"/>
    </w:pPr>
    <w:rPr>
      <w:sz w:val="16"/>
    </w:rPr>
  </w:style>
  <w:style w:type="table" w:styleId="TableGrid">
    <w:name w:val="Table Grid"/>
    <w:basedOn w:val="TableNormal"/>
    <w:uiPriority w:val="39"/>
    <w:rsid w:val="0088500A"/>
    <w:pPr>
      <w:spacing w:line="240" w:lineRule="auto"/>
    </w:pPr>
    <w:rPr>
      <w:rFonts w:asciiTheme="minorHAnsi" w:hAnsiTheme="minorHAnsi" w:cstheme="minorBidi"/>
      <w:sz w:val="22"/>
      <w:szCs w:val="22"/>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500A"/>
    <w:pPr>
      <w:widowControl w:val="0"/>
      <w:overflowPunct/>
      <w:autoSpaceDE/>
      <w:autoSpaceDN/>
      <w:adjustRightInd/>
      <w:spacing w:line="240" w:lineRule="auto"/>
      <w:ind w:firstLine="0"/>
      <w:textAlignment w:val="auto"/>
    </w:pPr>
    <w:rPr>
      <w:rFonts w:asciiTheme="majorHAnsi" w:eastAsia="SimHei" w:hAnsiTheme="majorHAnsi" w:cstheme="majorBidi"/>
      <w:kern w:val="2"/>
      <w:lang w:eastAsia="zh-CN"/>
    </w:rPr>
  </w:style>
  <w:style w:type="paragraph" w:styleId="ListParagraph">
    <w:name w:val="List Paragraph"/>
    <w:basedOn w:val="Normal"/>
    <w:rsid w:val="00DA62D5"/>
    <w:pPr>
      <w:ind w:left="720"/>
      <w:contextualSpacing/>
    </w:pPr>
  </w:style>
  <w:style w:type="character" w:styleId="CommentReference">
    <w:name w:val="annotation reference"/>
    <w:basedOn w:val="DefaultParagraphFont"/>
    <w:semiHidden/>
    <w:unhideWhenUsed/>
    <w:rsid w:val="00322462"/>
    <w:rPr>
      <w:sz w:val="16"/>
      <w:szCs w:val="16"/>
    </w:rPr>
  </w:style>
  <w:style w:type="paragraph" w:styleId="CommentText">
    <w:name w:val="annotation text"/>
    <w:basedOn w:val="Normal"/>
    <w:link w:val="CommentTextChar"/>
    <w:semiHidden/>
    <w:unhideWhenUsed/>
    <w:rsid w:val="00322462"/>
    <w:pPr>
      <w:spacing w:line="240" w:lineRule="auto"/>
    </w:pPr>
  </w:style>
  <w:style w:type="character" w:customStyle="1" w:styleId="CommentTextChar">
    <w:name w:val="Comment Text Char"/>
    <w:basedOn w:val="DefaultParagraphFont"/>
    <w:link w:val="CommentText"/>
    <w:semiHidden/>
    <w:rsid w:val="00322462"/>
    <w:rPr>
      <w:rFonts w:eastAsia="Times New Roman"/>
    </w:rPr>
  </w:style>
  <w:style w:type="paragraph" w:styleId="CommentSubject">
    <w:name w:val="annotation subject"/>
    <w:basedOn w:val="CommentText"/>
    <w:next w:val="CommentText"/>
    <w:link w:val="CommentSubjectChar"/>
    <w:semiHidden/>
    <w:unhideWhenUsed/>
    <w:rsid w:val="00322462"/>
    <w:rPr>
      <w:b/>
      <w:bCs/>
    </w:rPr>
  </w:style>
  <w:style w:type="character" w:customStyle="1" w:styleId="CommentSubjectChar">
    <w:name w:val="Comment Subject Char"/>
    <w:basedOn w:val="CommentTextChar"/>
    <w:link w:val="CommentSubject"/>
    <w:semiHidden/>
    <w:rsid w:val="00322462"/>
    <w:rPr>
      <w:rFonts w:eastAsia="Times New Roman"/>
      <w:b/>
      <w:bCs/>
    </w:rPr>
  </w:style>
  <w:style w:type="paragraph" w:styleId="BalloonText">
    <w:name w:val="Balloon Text"/>
    <w:basedOn w:val="Normal"/>
    <w:link w:val="BalloonTextChar"/>
    <w:semiHidden/>
    <w:rsid w:val="0032246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22462"/>
    <w:rPr>
      <w:rFonts w:ascii="Segoe UI" w:eastAsia="Times New Roman" w:hAnsi="Segoe UI" w:cs="Segoe UI"/>
      <w:sz w:val="18"/>
      <w:szCs w:val="18"/>
    </w:rPr>
  </w:style>
  <w:style w:type="character" w:styleId="PlaceholderText">
    <w:name w:val="Placeholder Text"/>
    <w:basedOn w:val="DefaultParagraphFont"/>
    <w:semiHidden/>
    <w:rsid w:val="00C80659"/>
    <w:rPr>
      <w:color w:val="808080"/>
    </w:rPr>
  </w:style>
  <w:style w:type="paragraph" w:customStyle="1" w:styleId="xmsonormal">
    <w:name w:val="x_msonormal"/>
    <w:basedOn w:val="Normal"/>
    <w:rsid w:val="00413FD7"/>
    <w:pPr>
      <w:overflowPunct/>
      <w:autoSpaceDE/>
      <w:autoSpaceDN/>
      <w:adjustRightInd/>
      <w:spacing w:before="100" w:beforeAutospacing="1" w:after="100" w:afterAutospacing="1" w:line="240" w:lineRule="auto"/>
      <w:ind w:firstLine="0"/>
      <w:jc w:val="left"/>
      <w:textAlignment w:val="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tiff"/><Relationship Id="rId28" Type="http://schemas.openxmlformats.org/officeDocument/2006/relationships/image" Target="media/image21.emf"/><Relationship Id="rId10" Type="http://schemas.openxmlformats.org/officeDocument/2006/relationships/image" Target="media/image3.tiff"/><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 Id="rId8"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AA%20Research%20work%20AA\Report\CANDVC2021\Template\splnproc1703.doc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47BE-6EF0-4AB4-A39F-2A4F5970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splnproc1703.docm</Template>
  <TotalTime>1</TotalTime>
  <Pages>15</Pages>
  <Words>15405</Words>
  <Characters>87814</Characters>
  <Application>Microsoft Office Word</Application>
  <DocSecurity>0</DocSecurity>
  <Lines>731</Lines>
  <Paragraphs>206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103013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
  <cp:lastModifiedBy>Ouyang, Huajiang</cp:lastModifiedBy>
  <cp:revision>2</cp:revision>
  <cp:lastPrinted>2021-06-23T09:55:00Z</cp:lastPrinted>
  <dcterms:created xsi:type="dcterms:W3CDTF">2021-10-20T15:09:00Z</dcterms:created>
  <dcterms:modified xsi:type="dcterms:W3CDTF">2021-10-20T15:09:00Z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98e447d8-31b4-3bbf-9947-b6791647a2bb</vt:lpwstr>
  </property>
  <property fmtid="{D5CDD505-2E9C-101B-9397-08002B2CF9AE}" pid="4" name="Mendeley Citation Style_1">
    <vt:lpwstr>http://www.zotero.org/styles/nonlinear-dynamics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http://csl.mendeley.com/styles/495794881/ieee</vt:lpwstr>
  </property>
  <property fmtid="{D5CDD505-2E9C-101B-9397-08002B2CF9AE}" pid="16" name="Mendeley Recent Style Name 5_1">
    <vt:lpwstr>ICANDVC2021 - ZHAO HUAI</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http://www.zotero.org/styles/nonlinear-dynamics</vt:lpwstr>
  </property>
  <property fmtid="{D5CDD505-2E9C-101B-9397-08002B2CF9AE}" pid="22" name="Mendeley Recent Style Name 8_1">
    <vt:lpwstr>Nonlinear Dynamics</vt:lpwstr>
  </property>
  <property fmtid="{D5CDD505-2E9C-101B-9397-08002B2CF9AE}" pid="23" name="Mendeley Recent Style Id 9_1">
    <vt:lpwstr>http://www.zotero.org/styles/smart-materials-and-structures</vt:lpwstr>
  </property>
  <property fmtid="{D5CDD505-2E9C-101B-9397-08002B2CF9AE}" pid="24" name="Mendeley Recent Style Name 9_1">
    <vt:lpwstr>Smart Materials and Structures</vt:lpwstr>
  </property>
</Properties>
</file>