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8F54A4" w:rsidR="00010561" w:rsidRDefault="00A34A51">
      <w:pPr>
        <w:jc w:val="both"/>
        <w:rPr>
          <w:rFonts w:ascii="Times New Roman" w:eastAsia="Times New Roman" w:hAnsi="Times New Roman" w:cs="Times New Roman"/>
        </w:rPr>
      </w:pPr>
      <w:r>
        <w:rPr>
          <w:rFonts w:ascii="Times New Roman" w:eastAsia="Times New Roman" w:hAnsi="Times New Roman" w:cs="Times New Roman"/>
          <w:b/>
          <w:sz w:val="32"/>
          <w:szCs w:val="32"/>
        </w:rPr>
        <w:t>Material</w:t>
      </w:r>
      <w:r w:rsidR="00566EE2">
        <w:rPr>
          <w:rFonts w:ascii="Times New Roman" w:eastAsia="Times New Roman" w:hAnsi="Times New Roman" w:cs="Times New Roman"/>
          <w:b/>
          <w:sz w:val="32"/>
          <w:szCs w:val="32"/>
        </w:rPr>
        <w:t xml:space="preserve"> deprivation affects </w:t>
      </w:r>
      <w:r w:rsidR="00FD243F">
        <w:rPr>
          <w:rFonts w:ascii="Times New Roman" w:eastAsia="Times New Roman" w:hAnsi="Times New Roman" w:cs="Times New Roman"/>
          <w:b/>
          <w:sz w:val="32"/>
          <w:szCs w:val="32"/>
        </w:rPr>
        <w:t xml:space="preserve">the management and clinical outcome of </w:t>
      </w:r>
      <w:r w:rsidR="00566EE2">
        <w:rPr>
          <w:rFonts w:ascii="Times New Roman" w:eastAsia="Times New Roman" w:hAnsi="Times New Roman" w:cs="Times New Roman"/>
          <w:b/>
          <w:sz w:val="32"/>
          <w:szCs w:val="32"/>
        </w:rPr>
        <w:t xml:space="preserve">hepatocellular carcinoma </w:t>
      </w:r>
      <w:bookmarkStart w:id="0" w:name="_GoBack"/>
      <w:bookmarkEnd w:id="0"/>
      <w:r w:rsidR="00566EE2">
        <w:rPr>
          <w:rFonts w:ascii="Times New Roman" w:eastAsia="Times New Roman" w:hAnsi="Times New Roman" w:cs="Times New Roman"/>
          <w:b/>
          <w:sz w:val="32"/>
          <w:szCs w:val="32"/>
        </w:rPr>
        <w:t>in a high-resource environment</w:t>
      </w:r>
    </w:p>
    <w:p w14:paraId="00000002" w14:textId="77777777" w:rsidR="00010561" w:rsidRDefault="00010561">
      <w:pPr>
        <w:rPr>
          <w:rFonts w:ascii="Times New Roman" w:eastAsia="Times New Roman" w:hAnsi="Times New Roman" w:cs="Times New Roman"/>
        </w:rPr>
      </w:pPr>
    </w:p>
    <w:p w14:paraId="00000003" w14:textId="77777777" w:rsidR="00010561" w:rsidRDefault="00010561">
      <w:pPr>
        <w:rPr>
          <w:rFonts w:ascii="Times New Roman" w:eastAsia="Times New Roman" w:hAnsi="Times New Roman" w:cs="Times New Roman"/>
        </w:rPr>
      </w:pPr>
    </w:p>
    <w:p w14:paraId="00000004" w14:textId="0A2DB3EB" w:rsidR="00010561" w:rsidRPr="00983BD7" w:rsidRDefault="00566EE2">
      <w:pPr>
        <w:spacing w:line="360" w:lineRule="auto"/>
        <w:jc w:val="both"/>
        <w:rPr>
          <w:rFonts w:ascii="Times New Roman" w:eastAsia="Times New Roman" w:hAnsi="Times New Roman" w:cs="Times New Roman"/>
          <w:lang w:val="it-IT"/>
        </w:rPr>
      </w:pPr>
      <w:r w:rsidRPr="00983BD7">
        <w:rPr>
          <w:rFonts w:ascii="Times New Roman" w:eastAsia="Times New Roman" w:hAnsi="Times New Roman" w:cs="Times New Roman"/>
          <w:lang w:val="it-IT"/>
        </w:rPr>
        <w:t>Alessandro Cucchetti</w:t>
      </w:r>
      <w:r w:rsidRPr="00983BD7">
        <w:rPr>
          <w:rFonts w:ascii="Times New Roman" w:eastAsia="Times New Roman" w:hAnsi="Times New Roman" w:cs="Times New Roman"/>
          <w:vertAlign w:val="superscript"/>
          <w:lang w:val="it-IT"/>
        </w:rPr>
        <w:t>1,2</w:t>
      </w:r>
      <w:r w:rsidRPr="00983BD7">
        <w:rPr>
          <w:rFonts w:ascii="Times New Roman" w:eastAsia="Times New Roman" w:hAnsi="Times New Roman" w:cs="Times New Roman"/>
          <w:lang w:val="it-IT"/>
        </w:rPr>
        <w:t>, An</w:t>
      </w:r>
      <w:r w:rsidRPr="00983BD7">
        <w:rPr>
          <w:rFonts w:ascii="Times New Roman" w:eastAsia="Times New Roman" w:hAnsi="Times New Roman" w:cs="Times New Roman"/>
          <w:color w:val="000000"/>
          <w:lang w:val="it-IT"/>
        </w:rPr>
        <w:t>nagi</w:t>
      </w:r>
      <w:r w:rsidRPr="00983BD7">
        <w:rPr>
          <w:rFonts w:ascii="Times New Roman" w:eastAsia="Times New Roman" w:hAnsi="Times New Roman" w:cs="Times New Roman"/>
          <w:lang w:val="it-IT"/>
        </w:rPr>
        <w:t>ulia Gramenzi</w:t>
      </w:r>
      <w:r w:rsidRPr="00983BD7">
        <w:rPr>
          <w:rFonts w:ascii="Times New Roman" w:eastAsia="Times New Roman" w:hAnsi="Times New Roman" w:cs="Times New Roman"/>
          <w:vertAlign w:val="superscript"/>
          <w:lang w:val="it-IT"/>
        </w:rPr>
        <w:t>1</w:t>
      </w:r>
      <w:r w:rsidRPr="00983BD7">
        <w:rPr>
          <w:rFonts w:ascii="Times New Roman" w:eastAsia="Times New Roman" w:hAnsi="Times New Roman" w:cs="Times New Roman"/>
          <w:lang w:val="it-IT"/>
        </w:rPr>
        <w:t>, Philip Johnson</w:t>
      </w:r>
      <w:r w:rsidR="00202E30" w:rsidRPr="00202E30">
        <w:rPr>
          <w:rFonts w:ascii="Times New Roman" w:eastAsia="Times New Roman" w:hAnsi="Times New Roman" w:cs="Times New Roman"/>
          <w:vertAlign w:val="superscript"/>
          <w:lang w:val="it-IT"/>
        </w:rPr>
        <w:t>3</w:t>
      </w:r>
      <w:r w:rsidRPr="00983BD7">
        <w:rPr>
          <w:rFonts w:ascii="Times New Roman" w:eastAsia="Times New Roman" w:hAnsi="Times New Roman" w:cs="Times New Roman"/>
          <w:lang w:val="it-IT"/>
        </w:rPr>
        <w:t>, …..and Franco Trevisani</w:t>
      </w:r>
      <w:r w:rsidRPr="00983BD7">
        <w:rPr>
          <w:rFonts w:ascii="Times New Roman" w:eastAsia="Times New Roman" w:hAnsi="Times New Roman" w:cs="Times New Roman"/>
          <w:vertAlign w:val="superscript"/>
          <w:lang w:val="it-IT"/>
        </w:rPr>
        <w:t>1</w:t>
      </w:r>
      <w:r w:rsidRPr="00983BD7">
        <w:rPr>
          <w:rFonts w:ascii="Times New Roman" w:eastAsia="Times New Roman" w:hAnsi="Times New Roman" w:cs="Times New Roman"/>
          <w:lang w:val="it-IT"/>
        </w:rPr>
        <w:t xml:space="preserve"> for the Italian Liver Cancer (ITA.LI.CA) group*.</w:t>
      </w:r>
    </w:p>
    <w:p w14:paraId="00000005" w14:textId="77777777" w:rsidR="00010561" w:rsidRPr="00983BD7" w:rsidRDefault="00010561">
      <w:pPr>
        <w:pBdr>
          <w:top w:val="nil"/>
          <w:left w:val="nil"/>
          <w:bottom w:val="nil"/>
          <w:right w:val="nil"/>
          <w:between w:val="nil"/>
        </w:pBdr>
        <w:spacing w:after="140" w:line="360" w:lineRule="auto"/>
        <w:jc w:val="both"/>
        <w:rPr>
          <w:rFonts w:ascii="Times New Roman" w:eastAsia="Times New Roman" w:hAnsi="Times New Roman" w:cs="Times New Roman"/>
          <w:sz w:val="22"/>
          <w:szCs w:val="22"/>
          <w:lang w:val="it-IT"/>
        </w:rPr>
      </w:pPr>
    </w:p>
    <w:p w14:paraId="00000006" w14:textId="77777777" w:rsidR="00010561" w:rsidRDefault="00566EE2">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rPr>
        <w:t xml:space="preserve">Department of Medical and Surgical Sciences – DIMEC; Alma Mater </w:t>
      </w:r>
      <w:proofErr w:type="spellStart"/>
      <w:r>
        <w:rPr>
          <w:rFonts w:ascii="Times New Roman" w:eastAsia="Times New Roman" w:hAnsi="Times New Roman" w:cs="Times New Roman"/>
          <w:sz w:val="22"/>
          <w:szCs w:val="22"/>
        </w:rPr>
        <w:t>Studiorum</w:t>
      </w:r>
      <w:proofErr w:type="spellEnd"/>
      <w:r>
        <w:rPr>
          <w:rFonts w:ascii="Times New Roman" w:eastAsia="Times New Roman" w:hAnsi="Times New Roman" w:cs="Times New Roman"/>
          <w:sz w:val="22"/>
          <w:szCs w:val="22"/>
        </w:rPr>
        <w:t xml:space="preserve"> – University of Bologna, ITALY</w:t>
      </w:r>
    </w:p>
    <w:p w14:paraId="00000007" w14:textId="77777777" w:rsidR="00010561" w:rsidRDefault="00566EE2">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 xml:space="preserve"> Morgagni – </w:t>
      </w:r>
      <w:proofErr w:type="spellStart"/>
      <w:r>
        <w:rPr>
          <w:rFonts w:ascii="Times New Roman" w:eastAsia="Times New Roman" w:hAnsi="Times New Roman" w:cs="Times New Roman"/>
          <w:sz w:val="22"/>
          <w:szCs w:val="22"/>
        </w:rPr>
        <w:t>Pierantoni</w:t>
      </w:r>
      <w:proofErr w:type="spellEnd"/>
      <w:r>
        <w:rPr>
          <w:rFonts w:ascii="Times New Roman" w:eastAsia="Times New Roman" w:hAnsi="Times New Roman" w:cs="Times New Roman"/>
          <w:sz w:val="22"/>
          <w:szCs w:val="22"/>
        </w:rPr>
        <w:t xml:space="preserve"> Hospital, Forlì.</w:t>
      </w:r>
    </w:p>
    <w:p w14:paraId="00000008" w14:textId="77777777" w:rsidR="00010561" w:rsidRDefault="00566EE2">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3</w:t>
      </w:r>
      <w:r>
        <w:rPr>
          <w:rFonts w:ascii="Times New Roman" w:eastAsia="Times New Roman" w:hAnsi="Times New Roman" w:cs="Times New Roman"/>
          <w:sz w:val="22"/>
          <w:szCs w:val="22"/>
        </w:rPr>
        <w:t xml:space="preserve"> Department of Molecular and Clinical Cancer Medicine, University of Liverpool, Liverpool, UK</w:t>
      </w:r>
    </w:p>
    <w:p w14:paraId="00000009" w14:textId="77777777" w:rsidR="00010561" w:rsidRDefault="00010561">
      <w:pPr>
        <w:spacing w:line="360" w:lineRule="auto"/>
        <w:jc w:val="both"/>
        <w:rPr>
          <w:rFonts w:ascii="Times New Roman" w:eastAsia="Times New Roman" w:hAnsi="Times New Roman" w:cs="Times New Roman"/>
          <w:sz w:val="22"/>
          <w:szCs w:val="22"/>
        </w:rPr>
      </w:pPr>
    </w:p>
    <w:p w14:paraId="0000000A" w14:textId="77777777" w:rsidR="00010561" w:rsidRDefault="00010561">
      <w:pPr>
        <w:spacing w:line="360" w:lineRule="auto"/>
        <w:jc w:val="both"/>
        <w:rPr>
          <w:rFonts w:ascii="Times New Roman" w:eastAsia="Times New Roman" w:hAnsi="Times New Roman" w:cs="Times New Roman"/>
          <w:i/>
          <w:sz w:val="22"/>
          <w:szCs w:val="22"/>
        </w:rPr>
      </w:pPr>
    </w:p>
    <w:p w14:paraId="0000000B" w14:textId="77777777" w:rsidR="00010561" w:rsidRDefault="00010561">
      <w:pPr>
        <w:spacing w:line="360" w:lineRule="auto"/>
        <w:jc w:val="both"/>
        <w:rPr>
          <w:rFonts w:ascii="Times New Roman" w:eastAsia="Times New Roman" w:hAnsi="Times New Roman" w:cs="Times New Roman"/>
          <w:i/>
          <w:sz w:val="22"/>
          <w:szCs w:val="22"/>
        </w:rPr>
      </w:pPr>
    </w:p>
    <w:p w14:paraId="0000000C" w14:textId="77777777" w:rsidR="00010561" w:rsidRDefault="00010561">
      <w:pPr>
        <w:jc w:val="center"/>
        <w:rPr>
          <w:rFonts w:ascii="Times New Roman" w:eastAsia="Times New Roman" w:hAnsi="Times New Roman" w:cs="Times New Roman"/>
          <w:i/>
          <w:sz w:val="22"/>
          <w:szCs w:val="22"/>
        </w:rPr>
      </w:pPr>
    </w:p>
    <w:p w14:paraId="0000000D" w14:textId="77777777" w:rsidR="00010561" w:rsidRDefault="00566EE2">
      <w:pPr>
        <w:pStyle w:val="Heading1"/>
        <w:spacing w:line="360" w:lineRule="auto"/>
        <w:rPr>
          <w:rFonts w:ascii="Times New Roman" w:eastAsia="Times New Roman" w:hAnsi="Times New Roman" w:cs="Times New Roman"/>
        </w:rPr>
      </w:pPr>
      <w:r>
        <w:rPr>
          <w:rFonts w:ascii="Times New Roman" w:eastAsia="Times New Roman" w:hAnsi="Times New Roman" w:cs="Times New Roman"/>
          <w:sz w:val="22"/>
          <w:szCs w:val="22"/>
        </w:rPr>
        <w:t xml:space="preserve">Corresponding Author: </w:t>
      </w:r>
      <w:proofErr w:type="spellStart"/>
      <w:r>
        <w:rPr>
          <w:rFonts w:ascii="Times New Roman" w:eastAsia="Times New Roman" w:hAnsi="Times New Roman" w:cs="Times New Roman"/>
          <w:b w:val="0"/>
          <w:sz w:val="22"/>
          <w:szCs w:val="22"/>
        </w:rPr>
        <w:t>Annagiulia</w:t>
      </w:r>
      <w:proofErr w:type="spellEnd"/>
      <w:r>
        <w:rPr>
          <w:rFonts w:ascii="Times New Roman" w:eastAsia="Times New Roman" w:hAnsi="Times New Roman" w:cs="Times New Roman"/>
          <w:b w:val="0"/>
          <w:sz w:val="22"/>
          <w:szCs w:val="22"/>
        </w:rPr>
        <w:t xml:space="preserve"> </w:t>
      </w:r>
      <w:proofErr w:type="spellStart"/>
      <w:r>
        <w:rPr>
          <w:rFonts w:ascii="Times New Roman" w:eastAsia="Times New Roman" w:hAnsi="Times New Roman" w:cs="Times New Roman"/>
          <w:b w:val="0"/>
          <w:sz w:val="22"/>
          <w:szCs w:val="22"/>
        </w:rPr>
        <w:t>Gramenzi</w:t>
      </w:r>
      <w:proofErr w:type="spellEnd"/>
      <w:r>
        <w:rPr>
          <w:rFonts w:ascii="Times New Roman" w:eastAsia="Times New Roman" w:hAnsi="Times New Roman" w:cs="Times New Roman"/>
          <w:b w:val="0"/>
          <w:sz w:val="22"/>
          <w:szCs w:val="22"/>
        </w:rPr>
        <w:t xml:space="preserve">, Department of Medical and Surgical Sciences – DIMEC; Alma Mater </w:t>
      </w:r>
      <w:proofErr w:type="spellStart"/>
      <w:r>
        <w:rPr>
          <w:rFonts w:ascii="Times New Roman" w:eastAsia="Times New Roman" w:hAnsi="Times New Roman" w:cs="Times New Roman"/>
          <w:b w:val="0"/>
          <w:sz w:val="22"/>
          <w:szCs w:val="22"/>
        </w:rPr>
        <w:t>Studiorum</w:t>
      </w:r>
      <w:proofErr w:type="spellEnd"/>
      <w:r>
        <w:rPr>
          <w:rFonts w:ascii="Times New Roman" w:eastAsia="Times New Roman" w:hAnsi="Times New Roman" w:cs="Times New Roman"/>
          <w:b w:val="0"/>
          <w:sz w:val="22"/>
          <w:szCs w:val="22"/>
        </w:rPr>
        <w:t xml:space="preserve"> - University of Bologna, Via </w:t>
      </w:r>
      <w:proofErr w:type="spellStart"/>
      <w:r>
        <w:rPr>
          <w:rFonts w:ascii="Times New Roman" w:eastAsia="Times New Roman" w:hAnsi="Times New Roman" w:cs="Times New Roman"/>
          <w:b w:val="0"/>
          <w:sz w:val="22"/>
          <w:szCs w:val="22"/>
        </w:rPr>
        <w:t>Albertoni</w:t>
      </w:r>
      <w:proofErr w:type="spellEnd"/>
      <w:r>
        <w:rPr>
          <w:rFonts w:ascii="Times New Roman" w:eastAsia="Times New Roman" w:hAnsi="Times New Roman" w:cs="Times New Roman"/>
          <w:b w:val="0"/>
          <w:sz w:val="22"/>
          <w:szCs w:val="22"/>
        </w:rPr>
        <w:t xml:space="preserve"> 15; 40138 Bologna; ITALY. </w:t>
      </w:r>
      <w:proofErr w:type="gramStart"/>
      <w:r>
        <w:rPr>
          <w:rFonts w:ascii="Times New Roman" w:eastAsia="Times New Roman" w:hAnsi="Times New Roman" w:cs="Times New Roman"/>
          <w:b w:val="0"/>
          <w:sz w:val="22"/>
          <w:szCs w:val="22"/>
        </w:rPr>
        <w:t>e-mail</w:t>
      </w:r>
      <w:proofErr w:type="gramEnd"/>
      <w:r>
        <w:rPr>
          <w:rFonts w:ascii="Times New Roman" w:eastAsia="Times New Roman" w:hAnsi="Times New Roman" w:cs="Times New Roman"/>
          <w:b w:val="0"/>
          <w:sz w:val="22"/>
          <w:szCs w:val="22"/>
        </w:rPr>
        <w:t xml:space="preserve">: </w:t>
      </w:r>
      <w:hyperlink r:id="rId7">
        <w:r>
          <w:rPr>
            <w:rFonts w:ascii="Times New Roman" w:eastAsia="Times New Roman" w:hAnsi="Times New Roman" w:cs="Times New Roman"/>
            <w:b w:val="0"/>
            <w:color w:val="0000FF"/>
            <w:sz w:val="22"/>
            <w:szCs w:val="22"/>
            <w:u w:val="single"/>
          </w:rPr>
          <w:t>annagiulia.gramenzi@unibo.it</w:t>
        </w:r>
      </w:hyperlink>
    </w:p>
    <w:p w14:paraId="0000000E" w14:textId="77777777" w:rsidR="00010561" w:rsidRDefault="00010561">
      <w:pPr>
        <w:pStyle w:val="Heading1"/>
        <w:spacing w:line="360" w:lineRule="auto"/>
        <w:rPr>
          <w:rFonts w:ascii="Times New Roman" w:eastAsia="Times New Roman" w:hAnsi="Times New Roman" w:cs="Times New Roman"/>
        </w:rPr>
      </w:pPr>
    </w:p>
    <w:p w14:paraId="0000000F" w14:textId="77777777" w:rsidR="00010561" w:rsidRDefault="00566EE2">
      <w:pPr>
        <w:pStyle w:val="Heading1"/>
        <w:spacing w:line="360" w:lineRule="auto"/>
        <w:rPr>
          <w:rFonts w:ascii="Times New Roman" w:eastAsia="Times New Roman" w:hAnsi="Times New Roman" w:cs="Times New Roman"/>
        </w:rPr>
      </w:pPr>
      <w:r>
        <w:rPr>
          <w:rFonts w:ascii="Times New Roman" w:eastAsia="Times New Roman" w:hAnsi="Times New Roman" w:cs="Times New Roman"/>
          <w:sz w:val="22"/>
          <w:szCs w:val="22"/>
        </w:rPr>
        <w:t xml:space="preserve">Running head: </w:t>
      </w:r>
      <w:r>
        <w:rPr>
          <w:rFonts w:ascii="Times New Roman" w:eastAsia="Times New Roman" w:hAnsi="Times New Roman" w:cs="Times New Roman"/>
          <w:b w:val="0"/>
          <w:sz w:val="22"/>
          <w:szCs w:val="22"/>
        </w:rPr>
        <w:t>How deprivation affects HCC mortality.</w:t>
      </w:r>
    </w:p>
    <w:p w14:paraId="00000010" w14:textId="77777777" w:rsidR="00010561" w:rsidRDefault="00566EE2">
      <w:pPr>
        <w:spacing w:line="360" w:lineRule="auto"/>
        <w:rPr>
          <w:rFonts w:ascii="Times New Roman" w:eastAsia="Times New Roman" w:hAnsi="Times New Roman" w:cs="Times New Roman"/>
        </w:rPr>
      </w:pPr>
      <w:r>
        <w:rPr>
          <w:rFonts w:ascii="Times New Roman" w:eastAsia="Times New Roman" w:hAnsi="Times New Roman" w:cs="Times New Roman"/>
          <w:b/>
          <w:sz w:val="22"/>
          <w:szCs w:val="22"/>
        </w:rPr>
        <w:t>Authors' declaration of personal interests:</w:t>
      </w:r>
      <w:r>
        <w:rPr>
          <w:rFonts w:ascii="Times New Roman" w:eastAsia="Times New Roman" w:hAnsi="Times New Roman" w:cs="Times New Roman"/>
          <w:sz w:val="22"/>
          <w:szCs w:val="22"/>
        </w:rPr>
        <w:t xml:space="preserve"> no commercial interest, financial source or material support to disclose for all authors in regards with the argument of the current article.</w:t>
      </w:r>
    </w:p>
    <w:p w14:paraId="00000011" w14:textId="77777777" w:rsidR="00010561" w:rsidRDefault="00566EE2">
      <w:pPr>
        <w:spacing w:line="360" w:lineRule="auto"/>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Conflict of Interest: </w:t>
      </w:r>
      <w:r>
        <w:rPr>
          <w:rFonts w:ascii="Times New Roman" w:eastAsia="Times New Roman" w:hAnsi="Times New Roman" w:cs="Times New Roman"/>
          <w:sz w:val="22"/>
          <w:szCs w:val="22"/>
        </w:rPr>
        <w:t xml:space="preserve">Nothing to declare for all authors in connection with the argument of the current article. </w:t>
      </w:r>
    </w:p>
    <w:p w14:paraId="00000012" w14:textId="77777777" w:rsidR="00010561" w:rsidRDefault="00010561">
      <w:pPr>
        <w:rPr>
          <w:rFonts w:ascii="Times New Roman" w:eastAsia="Times New Roman" w:hAnsi="Times New Roman" w:cs="Times New Roman"/>
        </w:rPr>
      </w:pPr>
    </w:p>
    <w:p w14:paraId="00000013" w14:textId="77777777" w:rsidR="00010561" w:rsidRDefault="00566EE2">
      <w:pPr>
        <w:rPr>
          <w:rFonts w:ascii="Times New Roman" w:eastAsia="Times New Roman" w:hAnsi="Times New Roman" w:cs="Times New Roman"/>
          <w:sz w:val="28"/>
          <w:szCs w:val="28"/>
        </w:rPr>
      </w:pPr>
      <w:r>
        <w:br w:type="page"/>
      </w:r>
    </w:p>
    <w:p w14:paraId="00000014" w14:textId="77777777" w:rsidR="00010561" w:rsidRDefault="00566EE2">
      <w:pPr>
        <w:rPr>
          <w:rFonts w:ascii="Times New Roman" w:eastAsia="Times New Roman" w:hAnsi="Times New Roman" w:cs="Times New Roman"/>
          <w:b/>
        </w:rPr>
      </w:pPr>
      <w:r>
        <w:rPr>
          <w:rFonts w:ascii="Times New Roman" w:eastAsia="Times New Roman" w:hAnsi="Times New Roman" w:cs="Times New Roman"/>
          <w:b/>
          <w:sz w:val="28"/>
          <w:szCs w:val="28"/>
        </w:rPr>
        <w:lastRenderedPageBreak/>
        <w:t>INTRODUCTION</w:t>
      </w:r>
      <w:r>
        <w:rPr>
          <w:rFonts w:ascii="Times New Roman" w:eastAsia="Times New Roman" w:hAnsi="Times New Roman" w:cs="Times New Roman"/>
          <w:b/>
        </w:rPr>
        <w:t xml:space="preserve"> </w:t>
      </w:r>
    </w:p>
    <w:p w14:paraId="00000015" w14:textId="77777777" w:rsidR="00010561" w:rsidRDefault="00010561">
      <w:pPr>
        <w:rPr>
          <w:rFonts w:ascii="Times New Roman" w:eastAsia="Times New Roman" w:hAnsi="Times New Roman" w:cs="Times New Roman"/>
        </w:rPr>
      </w:pPr>
    </w:p>
    <w:p w14:paraId="00000016" w14:textId="101DE443" w:rsidR="00010561" w:rsidRDefault="00566EE2" w:rsidP="00F379DD">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Studies on the impact of living conditions on health has a long history </w:t>
      </w:r>
      <w:r>
        <w:rPr>
          <w:rFonts w:ascii="Times New Roman" w:eastAsia="Times New Roman" w:hAnsi="Times New Roman" w:cs="Times New Roman"/>
          <w:i/>
        </w:rPr>
        <w:t xml:space="preserve">[Bull World Health Organ. 2003; 81: 833–841; </w:t>
      </w:r>
      <w:hyperlink r:id="rId8">
        <w:r>
          <w:rPr>
            <w:rFonts w:ascii="Times New Roman" w:eastAsia="Times New Roman" w:hAnsi="Times New Roman" w:cs="Times New Roman"/>
            <w:i/>
          </w:rPr>
          <w:t>Lancet.</w:t>
        </w:r>
      </w:hyperlink>
      <w:r>
        <w:rPr>
          <w:rFonts w:ascii="Times New Roman" w:eastAsia="Times New Roman" w:hAnsi="Times New Roman" w:cs="Times New Roman"/>
          <w:i/>
        </w:rPr>
        <w:t xml:space="preserve"> 2005;365:1099-104; Int J </w:t>
      </w:r>
      <w:proofErr w:type="spellStart"/>
      <w:r>
        <w:rPr>
          <w:rFonts w:ascii="Times New Roman" w:eastAsia="Times New Roman" w:hAnsi="Times New Roman" w:cs="Times New Roman"/>
          <w:i/>
        </w:rPr>
        <w:t>Epidemiol</w:t>
      </w:r>
      <w:proofErr w:type="spellEnd"/>
      <w:r>
        <w:rPr>
          <w:rFonts w:ascii="Times New Roman" w:eastAsia="Times New Roman" w:hAnsi="Times New Roman" w:cs="Times New Roman"/>
          <w:i/>
        </w:rPr>
        <w:t>. 2017;46: 1312–1318.]</w:t>
      </w:r>
      <w:r>
        <w:rPr>
          <w:rFonts w:ascii="Times New Roman" w:eastAsia="Times New Roman" w:hAnsi="Times New Roman" w:cs="Times New Roman"/>
        </w:rPr>
        <w:t>. Material deprivation measures poverty and takes in</w:t>
      </w:r>
      <w:r w:rsidR="00202E30">
        <w:rPr>
          <w:rFonts w:ascii="Times New Roman" w:eastAsia="Times New Roman" w:hAnsi="Times New Roman" w:cs="Times New Roman"/>
        </w:rPr>
        <w:t>to</w:t>
      </w:r>
      <w:r>
        <w:rPr>
          <w:rFonts w:ascii="Times New Roman" w:eastAsia="Times New Roman" w:hAnsi="Times New Roman" w:cs="Times New Roman"/>
        </w:rPr>
        <w:t xml:space="preserve"> account not only financial resources but also</w:t>
      </w:r>
      <w:r w:rsidR="00202E30">
        <w:rPr>
          <w:rFonts w:ascii="Times New Roman" w:eastAsia="Times New Roman" w:hAnsi="Times New Roman" w:cs="Times New Roman"/>
        </w:rPr>
        <w:t xml:space="preserve"> the</w:t>
      </w:r>
      <w:r>
        <w:rPr>
          <w:rFonts w:ascii="Times New Roman" w:eastAsia="Times New Roman" w:hAnsi="Times New Roman" w:cs="Times New Roman"/>
        </w:rPr>
        <w:t xml:space="preserve"> broader of aspects of living standards. It </w:t>
      </w:r>
      <w:r>
        <w:rPr>
          <w:rFonts w:ascii="Times New Roman" w:eastAsia="Times New Roman" w:hAnsi="Times New Roman" w:cs="Times New Roman"/>
          <w:color w:val="000000"/>
        </w:rPr>
        <w:t>expresses the inability to afford some “basic” items</w:t>
      </w:r>
      <w:r w:rsidR="00202E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considered by most people to be desirable or even necessary</w:t>
      </w:r>
      <w:r w:rsidR="00202E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to lead an adequate life </w:t>
      </w:r>
      <w:r w:rsidR="00202E30">
        <w:rPr>
          <w:rFonts w:ascii="Times New Roman" w:eastAsia="Times New Roman" w:hAnsi="Times New Roman" w:cs="Times New Roman"/>
          <w:color w:val="000000"/>
        </w:rPr>
        <w:t xml:space="preserve">due to </w:t>
      </w:r>
      <w:r>
        <w:rPr>
          <w:rFonts w:ascii="Times New Roman" w:eastAsia="Times New Roman" w:hAnsi="Times New Roman" w:cs="Times New Roman"/>
          <w:color w:val="000000"/>
        </w:rPr>
        <w:t xml:space="preserve">financial pressures and economic hardships. </w:t>
      </w:r>
      <w:r>
        <w:rPr>
          <w:rFonts w:ascii="Times New Roman" w:eastAsia="Times New Roman" w:hAnsi="Times New Roman" w:cs="Times New Roman"/>
        </w:rPr>
        <w:t xml:space="preserve">It represents a cause of social exclusion and is commonly employed to identify individuals whose material, cultural and social resources are so limited as to deny them full participation in their society.  Deprivation represents one of most well-established health determinants. Differences in all-cause mortality as well as cancer survival between less and more deprived groups of individuals have been well-documented in different geographical areas worldwide </w:t>
      </w:r>
      <w:r>
        <w:rPr>
          <w:rFonts w:ascii="Times New Roman" w:eastAsia="Times New Roman" w:hAnsi="Times New Roman" w:cs="Times New Roman"/>
          <w:i/>
        </w:rPr>
        <w:t xml:space="preserve">[J </w:t>
      </w:r>
      <w:proofErr w:type="spellStart"/>
      <w:r>
        <w:rPr>
          <w:rFonts w:ascii="Times New Roman" w:eastAsia="Times New Roman" w:hAnsi="Times New Roman" w:cs="Times New Roman"/>
          <w:i/>
        </w:rPr>
        <w:t>Clin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Oncol</w:t>
      </w:r>
      <w:proofErr w:type="spellEnd"/>
      <w:r>
        <w:rPr>
          <w:rFonts w:ascii="Times New Roman" w:eastAsia="Times New Roman" w:hAnsi="Times New Roman" w:cs="Times New Roman"/>
          <w:i/>
        </w:rPr>
        <w:t xml:space="preserve">. 1991;9:1500-9; Journal of Epidemiology and Community Health 1994;48:441-446; </w:t>
      </w:r>
      <w:proofErr w:type="spellStart"/>
      <w:r>
        <w:rPr>
          <w:rFonts w:ascii="Times New Roman" w:eastAsia="Times New Roman" w:hAnsi="Times New Roman" w:cs="Times New Roman"/>
          <w:i/>
        </w:rPr>
        <w:t>Eur</w:t>
      </w:r>
      <w:proofErr w:type="spellEnd"/>
      <w:r>
        <w:rPr>
          <w:rFonts w:ascii="Times New Roman" w:eastAsia="Times New Roman" w:hAnsi="Times New Roman" w:cs="Times New Roman"/>
          <w:i/>
        </w:rPr>
        <w:t xml:space="preserve"> J Public Health. 2016;26: 804–813.]</w:t>
      </w:r>
      <w:r>
        <w:rPr>
          <w:rFonts w:ascii="Times New Roman" w:eastAsia="Times New Roman" w:hAnsi="Times New Roman" w:cs="Times New Roman"/>
        </w:rPr>
        <w:t xml:space="preserve">. </w:t>
      </w:r>
    </w:p>
    <w:p w14:paraId="00000018" w14:textId="65CA9868" w:rsidR="00010561" w:rsidRDefault="00566EE2">
      <w:pPr>
        <w:spacing w:line="360" w:lineRule="auto"/>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ab/>
        <w:t xml:space="preserve">In the European Union (EU), liver cancer represents one of the five most common cancers and hepatocellular carcinoma (HCC) accounts for more than 80% thereof </w:t>
      </w:r>
      <w:r>
        <w:rPr>
          <w:rFonts w:ascii="Times New Roman" w:eastAsia="Times New Roman" w:hAnsi="Times New Roman" w:cs="Times New Roman"/>
          <w:i/>
        </w:rPr>
        <w:t>[J Hepatol. 2018;69:182-236]</w:t>
      </w:r>
      <w:r>
        <w:rPr>
          <w:rFonts w:ascii="Times New Roman" w:eastAsia="Times New Roman" w:hAnsi="Times New Roman" w:cs="Times New Roman"/>
        </w:rPr>
        <w:t xml:space="preserve">. Statistics from the UK Cancer Research Program clearly describe an association between liver cancer incidence and deprivation for males living in England. The </w:t>
      </w:r>
      <w:r>
        <w:rPr>
          <w:rFonts w:ascii="Times New Roman" w:eastAsia="Times New Roman" w:hAnsi="Times New Roman" w:cs="Times New Roman"/>
          <w:i/>
        </w:rPr>
        <w:t>incidence</w:t>
      </w:r>
      <w:r>
        <w:rPr>
          <w:rFonts w:ascii="Times New Roman" w:eastAsia="Times New Roman" w:hAnsi="Times New Roman" w:cs="Times New Roman"/>
        </w:rPr>
        <w:t xml:space="preserve"> rate </w:t>
      </w:r>
      <w:r w:rsidR="00225D76">
        <w:rPr>
          <w:rFonts w:ascii="Times New Roman" w:eastAsia="Times New Roman" w:hAnsi="Times New Roman" w:cs="Times New Roman"/>
        </w:rPr>
        <w:t xml:space="preserve">is </w:t>
      </w:r>
      <w:r>
        <w:rPr>
          <w:rFonts w:ascii="Times New Roman" w:eastAsia="Times New Roman" w:hAnsi="Times New Roman" w:cs="Times New Roman"/>
        </w:rPr>
        <w:t xml:space="preserve">107% higher in males living in the most deprived areas compared with the less deprived ones. Similarly, there is evidence for an association between deprivation and liver </w:t>
      </w:r>
      <w:r w:rsidR="00225D76">
        <w:rPr>
          <w:rFonts w:ascii="Times New Roman" w:eastAsia="Times New Roman" w:hAnsi="Times New Roman" w:cs="Times New Roman"/>
        </w:rPr>
        <w:t>cancer</w:t>
      </w:r>
      <w:r>
        <w:rPr>
          <w:rFonts w:ascii="Times New Roman" w:eastAsia="Times New Roman" w:hAnsi="Times New Roman" w:cs="Times New Roman"/>
        </w:rPr>
        <w:t xml:space="preserve"> </w:t>
      </w:r>
      <w:r>
        <w:rPr>
          <w:rFonts w:ascii="Times New Roman" w:eastAsia="Times New Roman" w:hAnsi="Times New Roman" w:cs="Times New Roman"/>
          <w:i/>
        </w:rPr>
        <w:t>mortality</w:t>
      </w:r>
      <w:r>
        <w:rPr>
          <w:rFonts w:ascii="Times New Roman" w:eastAsia="Times New Roman" w:hAnsi="Times New Roman" w:cs="Times New Roman"/>
        </w:rPr>
        <w:t xml:space="preserve"> for both males and females. Mortality rates are 100% higher for males and 72% higher</w:t>
      </w:r>
      <w:r w:rsidR="00225D76">
        <w:rPr>
          <w:rFonts w:ascii="Times New Roman" w:eastAsia="Times New Roman" w:hAnsi="Times New Roman" w:cs="Times New Roman"/>
        </w:rPr>
        <w:t xml:space="preserve"> </w:t>
      </w:r>
      <w:r>
        <w:rPr>
          <w:rFonts w:ascii="Times New Roman" w:eastAsia="Times New Roman" w:hAnsi="Times New Roman" w:cs="Times New Roman"/>
        </w:rPr>
        <w:t xml:space="preserve">for females in the most deprived areas compared with the least deprived </w:t>
      </w:r>
      <w:r>
        <w:rPr>
          <w:rFonts w:ascii="Times New Roman" w:eastAsia="Times New Roman" w:hAnsi="Times New Roman" w:cs="Times New Roman"/>
          <w:i/>
        </w:rPr>
        <w:t>[https://www.cancerresearchuk.org/health-professional/cancer-statistics-for-the-uk]</w:t>
      </w:r>
      <w:r>
        <w:rPr>
          <w:rFonts w:ascii="Times New Roman" w:eastAsia="Times New Roman" w:hAnsi="Times New Roman" w:cs="Times New Roman"/>
        </w:rPr>
        <w:t xml:space="preserve">. Although these data indicate that deprivation affects both incidence and mortality from liver cancer, the underlying reasons have received little attention. </w:t>
      </w:r>
    </w:p>
    <w:p w14:paraId="00000019" w14:textId="6D2F6F42" w:rsidR="00010561" w:rsidRDefault="00566EE2">
      <w:pPr>
        <w:spacing w:line="360" w:lineRule="auto"/>
        <w:jc w:val="both"/>
        <w:rPr>
          <w:rFonts w:ascii="Times New Roman" w:eastAsia="Times New Roman" w:hAnsi="Times New Roman" w:cs="Times New Roman"/>
        </w:rPr>
      </w:pPr>
      <w:r>
        <w:rPr>
          <w:rFonts w:ascii="Times New Roman" w:eastAsia="Times New Roman" w:hAnsi="Times New Roman" w:cs="Times New Roman"/>
        </w:rPr>
        <w:tab/>
        <w:t>The main determinants of survival after HCC diagnosis are the stage at which the cancer is detected, accura</w:t>
      </w:r>
      <w:r w:rsidR="00225D76">
        <w:rPr>
          <w:rFonts w:ascii="Times New Roman" w:eastAsia="Times New Roman" w:hAnsi="Times New Roman" w:cs="Times New Roman"/>
        </w:rPr>
        <w:t>cy</w:t>
      </w:r>
      <w:r>
        <w:rPr>
          <w:rFonts w:ascii="Times New Roman" w:eastAsia="Times New Roman" w:hAnsi="Times New Roman" w:cs="Times New Roman"/>
        </w:rPr>
        <w:t xml:space="preserve"> of staging and optimization of available therapies </w:t>
      </w:r>
      <w:r>
        <w:rPr>
          <w:rFonts w:ascii="Times New Roman" w:eastAsia="Times New Roman" w:hAnsi="Times New Roman" w:cs="Times New Roman"/>
          <w:i/>
        </w:rPr>
        <w:t>[J Hepatol. 2018;69:182-236; Hepatology. 2018;67:358-380; Nat Rev Gastroenterol Hepatol. 2010;7:448–458; Nat Rev Gastroenterol Hepatol. 2019;16:589-604]</w:t>
      </w:r>
      <w:r>
        <w:rPr>
          <w:rFonts w:ascii="Times New Roman" w:eastAsia="Times New Roman" w:hAnsi="Times New Roman" w:cs="Times New Roman"/>
        </w:rPr>
        <w:t xml:space="preserve">. All these variables are inevitably influenced by the local resource levels. The World Gastroenterology Organization </w:t>
      </w:r>
      <w:r>
        <w:rPr>
          <w:rFonts w:ascii="Times New Roman" w:eastAsia="Times New Roman" w:hAnsi="Times New Roman" w:cs="Times New Roman"/>
          <w:color w:val="000000"/>
        </w:rPr>
        <w:t xml:space="preserve">global </w:t>
      </w:r>
      <w:r>
        <w:rPr>
          <w:rFonts w:ascii="Times New Roman" w:eastAsia="Times New Roman" w:hAnsi="Times New Roman" w:cs="Times New Roman"/>
        </w:rPr>
        <w:t xml:space="preserve">guidelines on HCC defined high-resource countries as those where liver transplantation is available </w:t>
      </w:r>
      <w:r>
        <w:rPr>
          <w:rFonts w:ascii="Times New Roman" w:eastAsia="Times New Roman" w:hAnsi="Times New Roman" w:cs="Times New Roman"/>
          <w:i/>
        </w:rPr>
        <w:t>[Nat Rev Gastroenterol Hepatol. 2010</w:t>
      </w:r>
      <w:proofErr w:type="gramStart"/>
      <w:r>
        <w:rPr>
          <w:rFonts w:ascii="Times New Roman" w:eastAsia="Times New Roman" w:hAnsi="Times New Roman" w:cs="Times New Roman"/>
          <w:i/>
        </w:rPr>
        <w:t>;7:448</w:t>
      </w:r>
      <w:proofErr w:type="gramEnd"/>
      <w:r>
        <w:rPr>
          <w:rFonts w:ascii="Times New Roman" w:eastAsia="Times New Roman" w:hAnsi="Times New Roman" w:cs="Times New Roman"/>
          <w:i/>
        </w:rPr>
        <w:t>–458. Nat Rev Gastroenterol Hepatol. 2019</w:t>
      </w:r>
      <w:proofErr w:type="gramStart"/>
      <w:r>
        <w:rPr>
          <w:rFonts w:ascii="Times New Roman" w:eastAsia="Times New Roman" w:hAnsi="Times New Roman" w:cs="Times New Roman"/>
          <w:i/>
        </w:rPr>
        <w:t>;16:589</w:t>
      </w:r>
      <w:proofErr w:type="gramEnd"/>
      <w:r>
        <w:rPr>
          <w:rFonts w:ascii="Times New Roman" w:eastAsia="Times New Roman" w:hAnsi="Times New Roman" w:cs="Times New Roman"/>
          <w:i/>
        </w:rPr>
        <w:t>-604]</w:t>
      </w:r>
      <w:r>
        <w:rPr>
          <w:rFonts w:ascii="Times New Roman" w:eastAsia="Times New Roman" w:hAnsi="Times New Roman" w:cs="Times New Roman"/>
        </w:rPr>
        <w:t xml:space="preserve">. According to this definition, Italy represents a high-resource environment. </w:t>
      </w:r>
      <w:r>
        <w:rPr>
          <w:rFonts w:ascii="Times New Roman" w:eastAsia="Times New Roman" w:hAnsi="Times New Roman" w:cs="Times New Roman"/>
        </w:rPr>
        <w:lastRenderedPageBreak/>
        <w:t>Notwithstanding such definitions, it is pertinent to note that th</w:t>
      </w:r>
      <w:r w:rsidR="00202E30">
        <w:rPr>
          <w:rFonts w:ascii="Times New Roman" w:eastAsia="Times New Roman" w:hAnsi="Times New Roman" w:cs="Times New Roman"/>
        </w:rPr>
        <w:t>ere</w:t>
      </w:r>
      <w:r>
        <w:rPr>
          <w:rFonts w:ascii="Times New Roman" w:eastAsia="Times New Roman" w:hAnsi="Times New Roman" w:cs="Times New Roman"/>
        </w:rPr>
        <w:t xml:space="preserve"> are considerable economic and social inequalities across different Italian regions </w:t>
      </w:r>
      <w:r>
        <w:rPr>
          <w:rFonts w:ascii="Times New Roman" w:eastAsia="Times New Roman" w:hAnsi="Times New Roman" w:cs="Times New Roman"/>
          <w:i/>
        </w:rPr>
        <w:t>[BMC Public Health. 2010 Jun 1</w:t>
      </w:r>
      <w:proofErr w:type="gramStart"/>
      <w:r>
        <w:rPr>
          <w:rFonts w:ascii="Times New Roman" w:eastAsia="Times New Roman" w:hAnsi="Times New Roman" w:cs="Times New Roman"/>
          <w:i/>
        </w:rPr>
        <w:t>;10:296</w:t>
      </w:r>
      <w:proofErr w:type="gramEnd"/>
      <w:r>
        <w:rPr>
          <w:rFonts w:ascii="Times New Roman" w:eastAsia="Times New Roman" w:hAnsi="Times New Roman" w:cs="Times New Roman"/>
          <w:i/>
        </w:rPr>
        <w:t>. https://ec.europa.eu/eurostat/web/products-datasets/-/tgs00107]</w:t>
      </w:r>
      <w:r>
        <w:rPr>
          <w:rFonts w:ascii="Times New Roman" w:eastAsia="Times New Roman" w:hAnsi="Times New Roman" w:cs="Times New Roman"/>
        </w:rPr>
        <w:t xml:space="preserve">. Such differences are likely to impact upon the pathway leading from prevention to early diagnosis and </w:t>
      </w:r>
      <w:r w:rsidR="00225D76">
        <w:rPr>
          <w:rFonts w:ascii="Times New Roman" w:eastAsia="Times New Roman" w:hAnsi="Times New Roman" w:cs="Times New Roman"/>
        </w:rPr>
        <w:t xml:space="preserve">access to </w:t>
      </w:r>
      <w:r>
        <w:rPr>
          <w:rFonts w:ascii="Times New Roman" w:eastAsia="Times New Roman" w:hAnsi="Times New Roman" w:cs="Times New Roman"/>
        </w:rPr>
        <w:t xml:space="preserve">optimal treatment of HCC. Moreover, Italy is one of the EU countries burdened with the highest incidence of primary liver cancers </w:t>
      </w:r>
      <w:r>
        <w:rPr>
          <w:rFonts w:ascii="Times New Roman" w:eastAsia="Times New Roman" w:hAnsi="Times New Roman" w:cs="Times New Roman"/>
          <w:i/>
        </w:rPr>
        <w:t>[J Hepatol. 2018</w:t>
      </w:r>
      <w:proofErr w:type="gramStart"/>
      <w:r>
        <w:rPr>
          <w:rFonts w:ascii="Times New Roman" w:eastAsia="Times New Roman" w:hAnsi="Times New Roman" w:cs="Times New Roman"/>
          <w:i/>
        </w:rPr>
        <w:t>;69:182</w:t>
      </w:r>
      <w:proofErr w:type="gramEnd"/>
      <w:r>
        <w:rPr>
          <w:rFonts w:ascii="Times New Roman" w:eastAsia="Times New Roman" w:hAnsi="Times New Roman" w:cs="Times New Roman"/>
          <w:i/>
        </w:rPr>
        <w:t>-236]</w:t>
      </w:r>
      <w:r>
        <w:rPr>
          <w:rFonts w:ascii="Times New Roman" w:eastAsia="Times New Roman" w:hAnsi="Times New Roman" w:cs="Times New Roman"/>
        </w:rPr>
        <w:t xml:space="preserve">. </w:t>
      </w:r>
    </w:p>
    <w:p w14:paraId="0000001A" w14:textId="77777777" w:rsidR="00010561" w:rsidRDefault="00566EE2">
      <w:pPr>
        <w:spacing w:line="360" w:lineRule="auto"/>
        <w:jc w:val="both"/>
        <w:rPr>
          <w:rFonts w:ascii="Times New Roman" w:eastAsia="Times New Roman" w:hAnsi="Times New Roman" w:cs="Times New Roman"/>
        </w:rPr>
      </w:pPr>
      <w:r>
        <w:rPr>
          <w:rFonts w:ascii="Times New Roman" w:eastAsia="Times New Roman" w:hAnsi="Times New Roman" w:cs="Times New Roman"/>
        </w:rPr>
        <w:tab/>
        <w:t>The present study aims to examine, in a high resource country such as Italy, how material deprivation influences the stage of HCC at diagnosis, as well as the access to potentially curative treatments.</w:t>
      </w:r>
    </w:p>
    <w:p w14:paraId="0000001B" w14:textId="2AD186E3" w:rsidR="007E1EDD" w:rsidRDefault="007E1ED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000001C" w14:textId="77777777" w:rsidR="00010561" w:rsidRDefault="00566EE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METHODS</w:t>
      </w:r>
    </w:p>
    <w:p w14:paraId="0000001D" w14:textId="77777777" w:rsidR="00010561" w:rsidRDefault="00566EE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Study population</w:t>
      </w:r>
    </w:p>
    <w:p w14:paraId="0000001E" w14:textId="57B653D7" w:rsidR="00010561" w:rsidRDefault="00566EE2">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Data collected in the Italian Liver Cancer (ITA.LI.CA) database was used for the present study. Since 1987, this registry has prospectively collected data on HCC patients diagnosed and treated in 23 centres across Italy. Data entry is updated every 2 years and is regularly checked for consistency by a dedicated coordinator. When clarification or additional information are deemed necessary, relevant cases are re-submitted to the recruitment centre before final inclusion in the database. The ITA.LI.CA database conforms to the current </w:t>
      </w:r>
      <w:r w:rsidR="00202E30">
        <w:rPr>
          <w:rFonts w:ascii="Times New Roman" w:eastAsia="Times New Roman" w:hAnsi="Times New Roman" w:cs="Times New Roman"/>
        </w:rPr>
        <w:t>R</w:t>
      </w:r>
      <w:r>
        <w:rPr>
          <w:rFonts w:ascii="Times New Roman" w:eastAsia="Times New Roman" w:hAnsi="Times New Roman" w:cs="Times New Roman"/>
        </w:rPr>
        <w:t xml:space="preserve">egulation (EU) 2016/679 of the European Parliament and of the Council of 27 April 2016 on the protection </w:t>
      </w:r>
      <w:r w:rsidR="00202E30">
        <w:rPr>
          <w:rFonts w:ascii="Times New Roman" w:eastAsia="Times New Roman" w:hAnsi="Times New Roman" w:cs="Times New Roman"/>
        </w:rPr>
        <w:t xml:space="preserve">of </w:t>
      </w:r>
      <w:r>
        <w:rPr>
          <w:rFonts w:ascii="Times New Roman" w:eastAsia="Times New Roman" w:hAnsi="Times New Roman" w:cs="Times New Roman"/>
        </w:rPr>
        <w:t xml:space="preserve">personal data, and to the ethical guidelines of the Declaration of Helsinki. </w:t>
      </w:r>
    </w:p>
    <w:p w14:paraId="0000001F" w14:textId="15D9FBAB" w:rsidR="00010561" w:rsidRDefault="00566EE2">
      <w:pPr>
        <w:spacing w:line="36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rPr>
        <w:t>From a total of 7705 registry entries (since 1987), 5196 patients diagnosed between January 2008 and December 2018 were selected for the present study. Of these, 867 patients lacked det</w:t>
      </w:r>
      <w:r w:rsidR="00225D76">
        <w:rPr>
          <w:rFonts w:ascii="Times New Roman" w:eastAsia="Times New Roman" w:hAnsi="Times New Roman" w:cs="Times New Roman"/>
        </w:rPr>
        <w:t>ails regarding region of origin</w:t>
      </w:r>
      <w:r>
        <w:rPr>
          <w:rFonts w:ascii="Times New Roman" w:eastAsia="Times New Roman" w:hAnsi="Times New Roman" w:cs="Times New Roman"/>
        </w:rPr>
        <w:t xml:space="preserve"> and 215 were still awaiting co</w:t>
      </w:r>
      <w:r w:rsidRPr="009B2711">
        <w:rPr>
          <w:rFonts w:ascii="Times New Roman" w:eastAsia="Times New Roman" w:hAnsi="Times New Roman" w:cs="Times New Roman"/>
          <w:color w:val="000000" w:themeColor="text1"/>
        </w:rPr>
        <w:t>mplete data entry leaving a total of 4</w:t>
      </w:r>
      <w:r w:rsidR="009E2A62">
        <w:rPr>
          <w:rFonts w:ascii="Times New Roman" w:eastAsia="Times New Roman" w:hAnsi="Times New Roman" w:cs="Times New Roman"/>
          <w:color w:val="000000" w:themeColor="text1"/>
        </w:rPr>
        <w:t>1</w:t>
      </w:r>
      <w:r w:rsidRPr="009B2711">
        <w:rPr>
          <w:rFonts w:ascii="Times New Roman" w:eastAsia="Times New Roman" w:hAnsi="Times New Roman" w:cs="Times New Roman"/>
          <w:color w:val="000000" w:themeColor="text1"/>
        </w:rPr>
        <w:t xml:space="preserve">14 for analysis. </w:t>
      </w:r>
    </w:p>
    <w:p w14:paraId="49D529C5" w14:textId="77777777" w:rsidR="00225D76" w:rsidRPr="00D734E0" w:rsidRDefault="00225D76">
      <w:pPr>
        <w:spacing w:line="360" w:lineRule="auto"/>
        <w:ind w:firstLine="720"/>
        <w:jc w:val="both"/>
        <w:rPr>
          <w:rFonts w:ascii="Times New Roman" w:eastAsia="Times New Roman" w:hAnsi="Times New Roman" w:cs="Times New Roman"/>
          <w:color w:val="FF0000"/>
        </w:rPr>
      </w:pPr>
    </w:p>
    <w:p w14:paraId="00000020" w14:textId="4D1A9A9C" w:rsidR="00010561" w:rsidRDefault="00566EE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Diagnosis and treatment</w:t>
      </w:r>
    </w:p>
    <w:p w14:paraId="19227C91" w14:textId="669896AD" w:rsidR="0061262C" w:rsidRDefault="00566EE2">
      <w:pPr>
        <w:spacing w:line="360" w:lineRule="auto"/>
        <w:jc w:val="both"/>
        <w:rPr>
          <w:rFonts w:hint="eastAsia"/>
          <w:i/>
          <w:iCs/>
        </w:rPr>
      </w:pPr>
      <w:r>
        <w:rPr>
          <w:rFonts w:ascii="Times New Roman" w:eastAsia="Times New Roman" w:hAnsi="Times New Roman" w:cs="Times New Roman"/>
          <w:b/>
        </w:rPr>
        <w:tab/>
      </w:r>
      <w:r w:rsidR="0061262C" w:rsidRPr="006D4F88">
        <w:rPr>
          <w:rFonts w:ascii="Times New Roman" w:eastAsia="Times New Roman" w:hAnsi="Times New Roman" w:cs="Times New Roman"/>
          <w:bCs/>
          <w:color w:val="auto"/>
        </w:rPr>
        <w:t xml:space="preserve">Surveillance for HCC of at-risk patients was offered to patients considered at-risk according to European and national guidelines released during the study period and was </w:t>
      </w:r>
      <w:r w:rsidR="0061262C" w:rsidRPr="006D4F88">
        <w:rPr>
          <w:rFonts w:ascii="Times New Roman" w:eastAsia="Times New Roman" w:hAnsi="Times New Roman" w:cs="Times New Roman" w:hint="eastAsia"/>
          <w:bCs/>
          <w:color w:val="auto"/>
        </w:rPr>
        <w:t xml:space="preserve">based on liver </w:t>
      </w:r>
      <w:r w:rsidR="0061262C" w:rsidRPr="006D4F88">
        <w:rPr>
          <w:rFonts w:ascii="Times New Roman" w:eastAsia="Times New Roman" w:hAnsi="Times New Roman" w:cs="Times New Roman"/>
          <w:bCs/>
          <w:color w:val="auto"/>
        </w:rPr>
        <w:t>ultrasound</w:t>
      </w:r>
      <w:r w:rsidR="0061262C" w:rsidRPr="006D4F88">
        <w:rPr>
          <w:rFonts w:ascii="Times New Roman" w:eastAsia="Times New Roman" w:hAnsi="Times New Roman" w:cs="Times New Roman" w:hint="eastAsia"/>
          <w:bCs/>
          <w:color w:val="auto"/>
        </w:rPr>
        <w:t>, with or without α-fetoprotein (AFP) determination, performed every 6 (±1 month) or 12 month</w:t>
      </w:r>
      <w:r w:rsidR="00202E30">
        <w:rPr>
          <w:rFonts w:ascii="Times New Roman" w:eastAsia="Times New Roman" w:hAnsi="Times New Roman" w:cs="Times New Roman"/>
          <w:bCs/>
          <w:color w:val="auto"/>
        </w:rPr>
        <w:t>s</w:t>
      </w:r>
      <w:r w:rsidR="0061262C" w:rsidRPr="006D4F88">
        <w:rPr>
          <w:rFonts w:ascii="Times New Roman" w:eastAsia="Times New Roman" w:hAnsi="Times New Roman" w:cs="Times New Roman" w:hint="eastAsia"/>
          <w:bCs/>
          <w:color w:val="auto"/>
        </w:rPr>
        <w:t xml:space="preserve"> (±1 month)</w:t>
      </w:r>
      <w:r w:rsidR="0061262C" w:rsidRPr="006D4F88">
        <w:rPr>
          <w:rFonts w:ascii="Times New Roman" w:eastAsia="Times New Roman" w:hAnsi="Times New Roman" w:cs="Times New Roman"/>
          <w:bCs/>
          <w:color w:val="auto"/>
        </w:rPr>
        <w:t>.</w:t>
      </w:r>
      <w:r w:rsidR="0061262C" w:rsidRPr="006D4F88">
        <w:rPr>
          <w:rFonts w:ascii="Times New Roman" w:eastAsia="Times New Roman" w:hAnsi="Times New Roman" w:cs="Times New Roman"/>
          <w:i/>
          <w:color w:val="auto"/>
        </w:rPr>
        <w:t xml:space="preserve"> [J Hepatol. 2008</w:t>
      </w:r>
      <w:proofErr w:type="gramStart"/>
      <w:r w:rsidR="0061262C" w:rsidRPr="006D4F88">
        <w:rPr>
          <w:rFonts w:ascii="Times New Roman" w:eastAsia="Times New Roman" w:hAnsi="Times New Roman" w:cs="Times New Roman"/>
          <w:i/>
          <w:color w:val="auto"/>
        </w:rPr>
        <w:t>;48</w:t>
      </w:r>
      <w:proofErr w:type="gramEnd"/>
      <w:r w:rsidR="0061262C" w:rsidRPr="006D4F88">
        <w:rPr>
          <w:rFonts w:ascii="Times New Roman" w:eastAsia="Times New Roman" w:hAnsi="Times New Roman" w:cs="Times New Roman"/>
          <w:i/>
          <w:color w:val="auto"/>
        </w:rPr>
        <w:t xml:space="preserve"> </w:t>
      </w:r>
      <w:proofErr w:type="spellStart"/>
      <w:r w:rsidR="0061262C" w:rsidRPr="006D4F88">
        <w:rPr>
          <w:rFonts w:ascii="Times New Roman" w:eastAsia="Times New Roman" w:hAnsi="Times New Roman" w:cs="Times New Roman"/>
          <w:i/>
          <w:color w:val="auto"/>
        </w:rPr>
        <w:t>Suppl</w:t>
      </w:r>
      <w:proofErr w:type="spellEnd"/>
      <w:r w:rsidR="0061262C" w:rsidRPr="006D4F88">
        <w:rPr>
          <w:rFonts w:ascii="Times New Roman" w:eastAsia="Times New Roman" w:hAnsi="Times New Roman" w:cs="Times New Roman"/>
          <w:i/>
          <w:color w:val="auto"/>
        </w:rPr>
        <w:t xml:space="preserve"> 1:S20-37; </w:t>
      </w:r>
      <w:r w:rsidR="0061262C" w:rsidRPr="006D4F88">
        <w:rPr>
          <w:rFonts w:ascii="Times New Roman" w:eastAsia="Times New Roman" w:hAnsi="Times New Roman" w:cs="Times New Roman" w:hint="eastAsia"/>
          <w:bCs/>
          <w:i/>
          <w:iCs/>
          <w:color w:val="auto"/>
        </w:rPr>
        <w:t>Am J Gastroenterol. 2002 Mar;97(3):734-44</w:t>
      </w:r>
      <w:r w:rsidR="0061262C" w:rsidRPr="006D4F88">
        <w:rPr>
          <w:rFonts w:ascii="Times New Roman" w:eastAsia="Times New Roman" w:hAnsi="Times New Roman" w:cs="Times New Roman"/>
          <w:bCs/>
          <w:i/>
          <w:iCs/>
          <w:color w:val="auto"/>
        </w:rPr>
        <w:t>;</w:t>
      </w:r>
      <w:r w:rsidR="0061262C" w:rsidRPr="006D4F88">
        <w:rPr>
          <w:rFonts w:ascii="Times New Roman" w:eastAsia="Times New Roman" w:hAnsi="Times New Roman" w:cs="Times New Roman"/>
          <w:b/>
          <w:i/>
          <w:iCs/>
          <w:color w:val="auto"/>
        </w:rPr>
        <w:t xml:space="preserve"> </w:t>
      </w:r>
      <w:r w:rsidR="0061262C" w:rsidRPr="006D4F88">
        <w:rPr>
          <w:rStyle w:val="jrnl"/>
          <w:i/>
          <w:iCs/>
          <w:color w:val="auto"/>
        </w:rPr>
        <w:t>Dig Liver Dis</w:t>
      </w:r>
      <w:r w:rsidR="0061262C" w:rsidRPr="006D4F88">
        <w:rPr>
          <w:i/>
          <w:iCs/>
          <w:color w:val="auto"/>
        </w:rPr>
        <w:t>. 2013 Sep;45(9):712-23.]</w:t>
      </w:r>
    </w:p>
    <w:p w14:paraId="00000021" w14:textId="19639F92" w:rsidR="00010561" w:rsidRDefault="0061262C" w:rsidP="0061262C">
      <w:pPr>
        <w:spacing w:line="360" w:lineRule="auto"/>
        <w:ind w:firstLine="720"/>
        <w:jc w:val="both"/>
        <w:rPr>
          <w:rFonts w:ascii="Times New Roman" w:eastAsia="Times New Roman" w:hAnsi="Times New Roman" w:cs="Times New Roman"/>
          <w:color w:val="000000"/>
        </w:rPr>
      </w:pPr>
      <w:r>
        <w:t xml:space="preserve"> </w:t>
      </w:r>
      <w:r w:rsidR="00566EE2">
        <w:rPr>
          <w:rFonts w:ascii="Times New Roman" w:eastAsia="Times New Roman" w:hAnsi="Times New Roman" w:cs="Times New Roman"/>
        </w:rPr>
        <w:t>Diagnosis of HCC was based on</w:t>
      </w:r>
      <w:r w:rsidR="00202E30">
        <w:rPr>
          <w:rFonts w:ascii="Times New Roman" w:eastAsia="Times New Roman" w:hAnsi="Times New Roman" w:cs="Times New Roman"/>
        </w:rPr>
        <w:t xml:space="preserve"> the</w:t>
      </w:r>
      <w:r w:rsidR="00566EE2">
        <w:rPr>
          <w:rFonts w:ascii="Times New Roman" w:eastAsia="Times New Roman" w:hAnsi="Times New Roman" w:cs="Times New Roman"/>
        </w:rPr>
        <w:t xml:space="preserve"> histology </w:t>
      </w:r>
      <w:r w:rsidR="00202E30">
        <w:rPr>
          <w:rFonts w:ascii="Times New Roman" w:eastAsia="Times New Roman" w:hAnsi="Times New Roman" w:cs="Times New Roman"/>
        </w:rPr>
        <w:t>of</w:t>
      </w:r>
      <w:r w:rsidR="00566EE2">
        <w:rPr>
          <w:rFonts w:ascii="Times New Roman" w:eastAsia="Times New Roman" w:hAnsi="Times New Roman" w:cs="Times New Roman"/>
        </w:rPr>
        <w:t xml:space="preserve"> 647 cases (15.7%). In the remaining cases</w:t>
      </w:r>
      <w:r w:rsidR="00202E30">
        <w:rPr>
          <w:rFonts w:ascii="Times New Roman" w:eastAsia="Times New Roman" w:hAnsi="Times New Roman" w:cs="Times New Roman"/>
        </w:rPr>
        <w:t>,</w:t>
      </w:r>
      <w:r w:rsidR="00566EE2">
        <w:rPr>
          <w:rFonts w:ascii="Times New Roman" w:eastAsia="Times New Roman" w:hAnsi="Times New Roman" w:cs="Times New Roman"/>
        </w:rPr>
        <w:t xml:space="preserve"> diagnosis was based on typical radiological features on one or more imaging techniques according to the international guidelines on HCC management </w:t>
      </w:r>
      <w:r w:rsidR="00566EE2">
        <w:rPr>
          <w:rFonts w:ascii="Times New Roman" w:eastAsia="Times New Roman" w:hAnsi="Times New Roman" w:cs="Times New Roman"/>
          <w:i/>
        </w:rPr>
        <w:t>[J Hepatol. 2018</w:t>
      </w:r>
      <w:proofErr w:type="gramStart"/>
      <w:r w:rsidR="00566EE2">
        <w:rPr>
          <w:rFonts w:ascii="Times New Roman" w:eastAsia="Times New Roman" w:hAnsi="Times New Roman" w:cs="Times New Roman"/>
          <w:i/>
        </w:rPr>
        <w:t>;69:182</w:t>
      </w:r>
      <w:proofErr w:type="gramEnd"/>
      <w:r w:rsidR="00566EE2">
        <w:rPr>
          <w:rFonts w:ascii="Times New Roman" w:eastAsia="Times New Roman" w:hAnsi="Times New Roman" w:cs="Times New Roman"/>
          <w:i/>
        </w:rPr>
        <w:t xml:space="preserve">-236; J Hepatol. 2008;48 </w:t>
      </w:r>
      <w:proofErr w:type="spellStart"/>
      <w:r w:rsidR="00566EE2">
        <w:rPr>
          <w:rFonts w:ascii="Times New Roman" w:eastAsia="Times New Roman" w:hAnsi="Times New Roman" w:cs="Times New Roman"/>
          <w:i/>
        </w:rPr>
        <w:t>Suppl</w:t>
      </w:r>
      <w:proofErr w:type="spellEnd"/>
      <w:r w:rsidR="00566EE2">
        <w:rPr>
          <w:rFonts w:ascii="Times New Roman" w:eastAsia="Times New Roman" w:hAnsi="Times New Roman" w:cs="Times New Roman"/>
          <w:i/>
        </w:rPr>
        <w:t xml:space="preserve"> 1:S20-37]</w:t>
      </w:r>
      <w:r w:rsidR="00566EE2">
        <w:rPr>
          <w:rFonts w:ascii="Times New Roman" w:eastAsia="Times New Roman" w:hAnsi="Times New Roman" w:cs="Times New Roman"/>
        </w:rPr>
        <w:t xml:space="preserve">. Tumour number and size, major vascular invasion and patterns of metastatic spread were assessed by computed tomography (CT) or magnetic resonance (MR). </w:t>
      </w:r>
      <w:r w:rsidR="00566EE2">
        <w:rPr>
          <w:rFonts w:ascii="Times New Roman" w:eastAsia="Times New Roman" w:hAnsi="Times New Roman" w:cs="Times New Roman"/>
          <w:color w:val="000000"/>
        </w:rPr>
        <w:t>The choice of therapy was mainly based on EASL guidelines, amended in the light of the individual patient’s circumstances and preferences</w:t>
      </w:r>
      <w:r w:rsidR="006D4F88">
        <w:rPr>
          <w:rFonts w:ascii="Times New Roman" w:eastAsia="Times New Roman" w:hAnsi="Times New Roman" w:cs="Times New Roman"/>
          <w:color w:val="000000"/>
        </w:rPr>
        <w:t>,</w:t>
      </w:r>
      <w:r w:rsidR="00566EE2">
        <w:rPr>
          <w:rFonts w:ascii="Times New Roman" w:eastAsia="Times New Roman" w:hAnsi="Times New Roman" w:cs="Times New Roman"/>
          <w:color w:val="000000"/>
        </w:rPr>
        <w:t xml:space="preserve"> after review by a multidisciplinary team (MDT). These MDTs also took account of the local availability and/or accessibility of the various therapeutic options within their region. Consequently, the pattern of distribution of therapies across the participating centre was expected to be non-homogeneous </w:t>
      </w:r>
      <w:r w:rsidR="00566EE2">
        <w:rPr>
          <w:rFonts w:ascii="Times New Roman" w:eastAsia="Times New Roman" w:hAnsi="Times New Roman" w:cs="Times New Roman"/>
          <w:i/>
          <w:color w:val="000000"/>
        </w:rPr>
        <w:t xml:space="preserve">[Aliment </w:t>
      </w:r>
      <w:proofErr w:type="spellStart"/>
      <w:r w:rsidR="00566EE2">
        <w:rPr>
          <w:rFonts w:ascii="Times New Roman" w:eastAsia="Times New Roman" w:hAnsi="Times New Roman" w:cs="Times New Roman"/>
          <w:i/>
          <w:color w:val="000000"/>
        </w:rPr>
        <w:t>Pharmacol</w:t>
      </w:r>
      <w:proofErr w:type="spellEnd"/>
      <w:r w:rsidR="00566EE2">
        <w:rPr>
          <w:rFonts w:ascii="Times New Roman" w:eastAsia="Times New Roman" w:hAnsi="Times New Roman" w:cs="Times New Roman"/>
          <w:i/>
          <w:color w:val="000000"/>
        </w:rPr>
        <w:t xml:space="preserve"> Ther. 2016</w:t>
      </w:r>
      <w:proofErr w:type="gramStart"/>
      <w:r w:rsidR="00566EE2">
        <w:rPr>
          <w:rFonts w:ascii="Times New Roman" w:eastAsia="Times New Roman" w:hAnsi="Times New Roman" w:cs="Times New Roman"/>
          <w:i/>
          <w:color w:val="000000"/>
        </w:rPr>
        <w:t>;43:814</w:t>
      </w:r>
      <w:proofErr w:type="gramEnd"/>
      <w:r w:rsidR="00566EE2">
        <w:rPr>
          <w:rFonts w:ascii="Times New Roman" w:eastAsia="Times New Roman" w:hAnsi="Times New Roman" w:cs="Times New Roman"/>
          <w:i/>
          <w:color w:val="000000"/>
        </w:rPr>
        <w:t>-24]</w:t>
      </w:r>
      <w:r w:rsidR="00566EE2">
        <w:rPr>
          <w:rFonts w:ascii="Times New Roman" w:eastAsia="Times New Roman" w:hAnsi="Times New Roman" w:cs="Times New Roman"/>
          <w:color w:val="000000"/>
        </w:rPr>
        <w:t xml:space="preserve">. </w:t>
      </w:r>
    </w:p>
    <w:p w14:paraId="00000022" w14:textId="7F1B7404" w:rsidR="00010561" w:rsidRDefault="00566EE2">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therapeutic approach was hierarchically graded from the most to the least effective as follows: liver transplantation (LT), hepatic resection (HR), percutaneous ethanol injection (PEI), radiofrequency and microwave ablations (ABL), intra-arterial therapies (IAT), Sorafenib (SOR) and best supportive care (BSC). Transplantation, HR and ABL were defined as potentially curative treatments </w:t>
      </w:r>
      <w:r>
        <w:rPr>
          <w:rFonts w:ascii="Times New Roman" w:eastAsia="Times New Roman" w:hAnsi="Times New Roman" w:cs="Times New Roman"/>
          <w:i/>
          <w:color w:val="000000"/>
        </w:rPr>
        <w:t>[Liver Int. 2019</w:t>
      </w:r>
      <w:proofErr w:type="gramStart"/>
      <w:r>
        <w:rPr>
          <w:rFonts w:ascii="Times New Roman" w:eastAsia="Times New Roman" w:hAnsi="Times New Roman" w:cs="Times New Roman"/>
          <w:i/>
          <w:color w:val="000000"/>
        </w:rPr>
        <w:t>;39:1478</w:t>
      </w:r>
      <w:proofErr w:type="gramEnd"/>
      <w:r>
        <w:rPr>
          <w:rFonts w:ascii="Times New Roman" w:eastAsia="Times New Roman" w:hAnsi="Times New Roman" w:cs="Times New Roman"/>
          <w:i/>
          <w:color w:val="000000"/>
        </w:rPr>
        <w:t>-1489]</w:t>
      </w:r>
      <w:r>
        <w:rPr>
          <w:rFonts w:ascii="Times New Roman" w:eastAsia="Times New Roman" w:hAnsi="Times New Roman" w:cs="Times New Roman"/>
          <w:color w:val="000000"/>
        </w:rPr>
        <w:t>.</w:t>
      </w:r>
    </w:p>
    <w:p w14:paraId="5B3EC43F" w14:textId="77777777" w:rsidR="00DA58C6" w:rsidRDefault="00DA58C6">
      <w:pPr>
        <w:spacing w:line="360" w:lineRule="auto"/>
        <w:ind w:firstLine="720"/>
        <w:jc w:val="both"/>
        <w:rPr>
          <w:rFonts w:ascii="Times New Roman" w:eastAsia="Times New Roman" w:hAnsi="Times New Roman" w:cs="Times New Roman"/>
          <w:color w:val="000000"/>
        </w:rPr>
      </w:pPr>
    </w:p>
    <w:p w14:paraId="00000023" w14:textId="77777777" w:rsidR="00010561" w:rsidRDefault="00566EE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Material deprivation rate</w:t>
      </w:r>
    </w:p>
    <w:p w14:paraId="00000024" w14:textId="77777777" w:rsidR="00010561" w:rsidRDefault="00566EE2">
      <w:pPr>
        <w:spacing w:line="360" w:lineRule="auto"/>
        <w:ind w:firstLine="420"/>
        <w:jc w:val="both"/>
        <w:rPr>
          <w:rFonts w:ascii="Times New Roman" w:eastAsia="Times New Roman" w:hAnsi="Times New Roman" w:cs="Times New Roman"/>
        </w:rPr>
      </w:pPr>
      <w:r>
        <w:rPr>
          <w:rFonts w:ascii="Times New Roman" w:eastAsia="Times New Roman" w:hAnsi="Times New Roman" w:cs="Times New Roman"/>
          <w:color w:val="000000"/>
        </w:rPr>
        <w:t xml:space="preserve">The material deprivation rate, as defined by the European Statistics on Income and Living Conditions (EU-SILC), reflects an individual’s ability to afford certain items widely considered desirable for an adequately fulfilled life </w:t>
      </w:r>
      <w:r>
        <w:rPr>
          <w:rFonts w:ascii="Times New Roman" w:eastAsia="Times New Roman" w:hAnsi="Times New Roman" w:cs="Times New Roman"/>
          <w:i/>
          <w:color w:val="000000"/>
        </w:rPr>
        <w:t>[https://ec.europa.eu/eurostat/web/products-datasets/product?code=tespm030]</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Severe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material deprivation (SMD) rate is defined as the enforced inability to afford at least four of the following: </w:t>
      </w:r>
    </w:p>
    <w:p w14:paraId="00000025"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to pay their rent, mortgage or utility bills, </w:t>
      </w:r>
    </w:p>
    <w:p w14:paraId="00000026"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to keep their home adequately warm,</w:t>
      </w:r>
    </w:p>
    <w:p w14:paraId="00000027"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to face unexpected expenses, </w:t>
      </w:r>
    </w:p>
    <w:p w14:paraId="00000028"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to eat meat or proteins regularly, </w:t>
      </w:r>
    </w:p>
    <w:p w14:paraId="00000029"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to go on holiday, </w:t>
      </w:r>
    </w:p>
    <w:p w14:paraId="0000002A"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to have a television set,</w:t>
      </w:r>
    </w:p>
    <w:p w14:paraId="0000002B"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to have a washing machine,</w:t>
      </w:r>
    </w:p>
    <w:p w14:paraId="0000002C" w14:textId="77777777" w:rsidR="00010561"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to have a car,</w:t>
      </w:r>
    </w:p>
    <w:p w14:paraId="7CABC407" w14:textId="77777777" w:rsidR="00DA58C6" w:rsidRDefault="00566EE2">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have a telephone.</w:t>
      </w:r>
    </w:p>
    <w:p w14:paraId="0000002D" w14:textId="11FB9C67" w:rsidR="00010561" w:rsidRDefault="00566EE2" w:rsidP="00DA58C6">
      <w:pPr>
        <w:pBdr>
          <w:top w:val="nil"/>
          <w:left w:val="nil"/>
          <w:bottom w:val="nil"/>
          <w:right w:val="nil"/>
          <w:between w:val="nil"/>
        </w:pBdr>
        <w:spacing w:line="360" w:lineRule="auto"/>
        <w:ind w:left="78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E" w14:textId="3A6115C7" w:rsidR="00010561" w:rsidRDefault="00566EE2">
      <w:pPr>
        <w:spacing w:line="360" w:lineRule="auto"/>
        <w:ind w:firstLine="420"/>
        <w:jc w:val="both"/>
        <w:rPr>
          <w:rFonts w:ascii="Times New Roman" w:eastAsia="Times New Roman" w:hAnsi="Times New Roman" w:cs="Times New Roman"/>
        </w:rPr>
      </w:pPr>
      <w:r>
        <w:rPr>
          <w:rFonts w:ascii="Times New Roman" w:eastAsia="Times New Roman" w:hAnsi="Times New Roman" w:cs="Times New Roman"/>
        </w:rPr>
        <w:t xml:space="preserve">Between 2008 and 2018 the average SMD rate of the European Union was 8.7%. The average percentage of individuals included in the present HCC study population (2008-2018) who fulfilled the SMD definition by Italian regions is reported in </w:t>
      </w:r>
      <w:r>
        <w:rPr>
          <w:rFonts w:ascii="Times New Roman" w:eastAsia="Times New Roman" w:hAnsi="Times New Roman" w:cs="Times New Roman"/>
          <w:i/>
          <w:u w:val="single"/>
        </w:rPr>
        <w:t>Figure 1</w:t>
      </w:r>
      <w:r>
        <w:rPr>
          <w:rFonts w:ascii="Times New Roman" w:eastAsia="Times New Roman" w:hAnsi="Times New Roman" w:cs="Times New Roman"/>
        </w:rPr>
        <w:t xml:space="preserve">.  Each region was divided into three areas based on SMD tertiles - least deprived (Q1), intermediate deprived (Q2) and most deprived (Q3). </w:t>
      </w:r>
    </w:p>
    <w:p w14:paraId="398D4DBB" w14:textId="77777777" w:rsidR="00DA58C6" w:rsidRDefault="00DA58C6">
      <w:pPr>
        <w:spacing w:line="360" w:lineRule="auto"/>
        <w:ind w:firstLine="420"/>
        <w:jc w:val="both"/>
        <w:rPr>
          <w:rFonts w:ascii="Times New Roman" w:eastAsia="Times New Roman" w:hAnsi="Times New Roman" w:cs="Times New Roman"/>
        </w:rPr>
      </w:pPr>
    </w:p>
    <w:p w14:paraId="0000002F" w14:textId="6EEFC76D" w:rsidR="00010561" w:rsidRDefault="00566EE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Health Migrants definition</w:t>
      </w:r>
    </w:p>
    <w:p w14:paraId="00000030" w14:textId="035BD6CB" w:rsidR="00010561" w:rsidRDefault="00566EE2">
      <w:pPr>
        <w:spacing w:line="360" w:lineRule="auto"/>
        <w:ind w:firstLine="420"/>
        <w:jc w:val="both"/>
        <w:rPr>
          <w:rFonts w:ascii="Times New Roman" w:eastAsia="Times New Roman" w:hAnsi="Times New Roman" w:cs="Times New Roman"/>
          <w:color w:val="auto"/>
        </w:rPr>
      </w:pPr>
      <w:r>
        <w:rPr>
          <w:rFonts w:ascii="Times New Roman" w:eastAsia="Times New Roman" w:hAnsi="Times New Roman" w:cs="Times New Roman"/>
        </w:rPr>
        <w:t xml:space="preserve">Region of birth for each patient was matched with the corresponding SMD tertile by year of diagnosis. In Italy, the Italian National Statistics Institute (ISTAT) estimated an average inter-region migration (residence transfer) of 1.8%, over the entire Italian population between 2008 and 2018 </w:t>
      </w:r>
      <w:r>
        <w:rPr>
          <w:rFonts w:ascii="Times New Roman" w:eastAsia="Times New Roman" w:hAnsi="Times New Roman" w:cs="Times New Roman"/>
          <w:i/>
        </w:rPr>
        <w:t>[https://www.istat.it/en/archivio/4050]</w:t>
      </w:r>
      <w:r>
        <w:rPr>
          <w:rFonts w:ascii="Times New Roman" w:eastAsia="Times New Roman" w:hAnsi="Times New Roman" w:cs="Times New Roman"/>
        </w:rPr>
        <w:t xml:space="preserve">. Therefore, the region of birth was considered as a good proxy for the region of residence at the time of HCC diagnosis. For each </w:t>
      </w:r>
      <w:r>
        <w:rPr>
          <w:rFonts w:ascii="Times New Roman" w:eastAsia="Times New Roman" w:hAnsi="Times New Roman" w:cs="Times New Roman"/>
        </w:rPr>
        <w:lastRenderedPageBreak/>
        <w:t xml:space="preserve">hospital, the corresponding region was matched with the corresponding SMD tertile by year of diagnosis. Patients from regions with different levels of deprivation could stay in the original region or would have the option to move for HCC diagnosis and/or treatment to hospitals </w:t>
      </w:r>
      <w:r w:rsidRPr="006D4F88">
        <w:rPr>
          <w:rFonts w:ascii="Times New Roman" w:eastAsia="Times New Roman" w:hAnsi="Times New Roman" w:cs="Times New Roman"/>
          <w:color w:val="auto"/>
        </w:rPr>
        <w:t>located in different deprived regions</w:t>
      </w:r>
      <w:r w:rsidR="00005692" w:rsidRPr="006D4F88">
        <w:rPr>
          <w:rFonts w:ascii="Times New Roman" w:eastAsia="Times New Roman" w:hAnsi="Times New Roman" w:cs="Times New Roman"/>
          <w:color w:val="auto"/>
        </w:rPr>
        <w:t>.</w:t>
      </w:r>
      <w:r w:rsidR="00F379DD" w:rsidRPr="006D4F88">
        <w:rPr>
          <w:rFonts w:ascii="Times New Roman" w:eastAsia="Times New Roman" w:hAnsi="Times New Roman" w:cs="Times New Roman"/>
          <w:color w:val="auto"/>
        </w:rPr>
        <w:t xml:space="preserve"> Thus, heath migrants were</w:t>
      </w:r>
      <w:r w:rsidR="0000454D" w:rsidRPr="006D4F88">
        <w:rPr>
          <w:rFonts w:ascii="Times New Roman" w:eastAsia="Times New Roman" w:hAnsi="Times New Roman" w:cs="Times New Roman"/>
          <w:color w:val="auto"/>
        </w:rPr>
        <w:t xml:space="preserve"> defined as those patients </w:t>
      </w:r>
      <w:r w:rsidR="009E2A62" w:rsidRPr="006D4F88">
        <w:rPr>
          <w:rFonts w:ascii="Times New Roman" w:eastAsia="Times New Roman" w:hAnsi="Times New Roman" w:cs="Times New Roman"/>
          <w:color w:val="auto"/>
        </w:rPr>
        <w:t>travelling</w:t>
      </w:r>
      <w:r w:rsidR="0000454D" w:rsidRPr="006D4F88">
        <w:rPr>
          <w:rFonts w:ascii="Times New Roman" w:eastAsia="Times New Roman" w:hAnsi="Times New Roman" w:cs="Times New Roman"/>
          <w:color w:val="auto"/>
        </w:rPr>
        <w:t xml:space="preserve"> from </w:t>
      </w:r>
      <w:r w:rsidR="00DA58C6">
        <w:rPr>
          <w:rFonts w:ascii="Times New Roman" w:eastAsia="Times New Roman" w:hAnsi="Times New Roman" w:cs="Times New Roman"/>
          <w:color w:val="auto"/>
        </w:rPr>
        <w:t xml:space="preserve">the </w:t>
      </w:r>
      <w:r w:rsidR="0000454D" w:rsidRPr="006D4F88">
        <w:rPr>
          <w:rFonts w:ascii="Times New Roman" w:eastAsia="Times New Roman" w:hAnsi="Times New Roman" w:cs="Times New Roman"/>
          <w:color w:val="auto"/>
        </w:rPr>
        <w:t xml:space="preserve">region of </w:t>
      </w:r>
      <w:r w:rsidR="00DA58C6">
        <w:rPr>
          <w:rFonts w:ascii="Times New Roman" w:eastAsia="Times New Roman" w:hAnsi="Times New Roman" w:cs="Times New Roman"/>
          <w:color w:val="auto"/>
        </w:rPr>
        <w:t xml:space="preserve">their </w:t>
      </w:r>
      <w:r w:rsidR="0000454D" w:rsidRPr="006D4F88">
        <w:rPr>
          <w:rFonts w:ascii="Times New Roman" w:eastAsia="Times New Roman" w:hAnsi="Times New Roman" w:cs="Times New Roman"/>
          <w:color w:val="auto"/>
        </w:rPr>
        <w:t>residence to other regions to access different healthcare resources.</w:t>
      </w:r>
    </w:p>
    <w:p w14:paraId="4562DE7A" w14:textId="7CFDD7AB" w:rsidR="006D4F88" w:rsidRDefault="006D4F88">
      <w:pPr>
        <w:spacing w:line="360" w:lineRule="auto"/>
        <w:ind w:firstLine="420"/>
        <w:jc w:val="both"/>
        <w:rPr>
          <w:rFonts w:ascii="Times New Roman" w:eastAsia="Times New Roman" w:hAnsi="Times New Roman" w:cs="Times New Roman"/>
          <w:color w:val="auto"/>
        </w:rPr>
      </w:pPr>
    </w:p>
    <w:p w14:paraId="3147A3CC" w14:textId="2FA697BB" w:rsidR="006D4F88" w:rsidRDefault="006D4F88">
      <w:pPr>
        <w:spacing w:line="360" w:lineRule="auto"/>
        <w:ind w:firstLine="420"/>
        <w:jc w:val="both"/>
        <w:rPr>
          <w:rFonts w:ascii="Times New Roman" w:eastAsia="Times New Roman" w:hAnsi="Times New Roman" w:cs="Times New Roman"/>
          <w:color w:val="FF0000"/>
        </w:rPr>
      </w:pPr>
      <w:r w:rsidRPr="006D4F88">
        <w:rPr>
          <w:rFonts w:ascii="Times New Roman" w:eastAsia="Times New Roman" w:hAnsi="Times New Roman" w:cs="Times New Roman"/>
          <w:color w:val="FF0000"/>
        </w:rPr>
        <w:t>Yes, this is clear now</w:t>
      </w:r>
    </w:p>
    <w:p w14:paraId="2517C02B" w14:textId="77777777" w:rsidR="006D4F88" w:rsidRPr="006D4F88" w:rsidRDefault="006D4F88">
      <w:pPr>
        <w:spacing w:line="360" w:lineRule="auto"/>
        <w:ind w:firstLine="420"/>
        <w:jc w:val="both"/>
        <w:rPr>
          <w:rFonts w:ascii="Times New Roman" w:eastAsia="Times New Roman" w:hAnsi="Times New Roman" w:cs="Times New Roman"/>
          <w:color w:val="FF0000"/>
        </w:rPr>
      </w:pPr>
    </w:p>
    <w:p w14:paraId="00000031" w14:textId="77777777" w:rsidR="00010561" w:rsidRDefault="00566EE2">
      <w:pPr>
        <w:spacing w:line="360" w:lineRule="auto"/>
        <w:jc w:val="both"/>
        <w:rPr>
          <w:rFonts w:ascii="Times New Roman" w:eastAsia="Times New Roman" w:hAnsi="Times New Roman" w:cs="Times New Roman"/>
          <w:b/>
        </w:rPr>
      </w:pPr>
      <w:r>
        <w:rPr>
          <w:rFonts w:ascii="Times New Roman" w:eastAsia="Times New Roman" w:hAnsi="Times New Roman" w:cs="Times New Roman"/>
          <w:b/>
        </w:rPr>
        <w:t>Statistical analysis</w:t>
      </w:r>
    </w:p>
    <w:p w14:paraId="00000032" w14:textId="2FE18154" w:rsidR="00010561" w:rsidRDefault="00566EE2">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Missing data for clinical covariates were less than 10% and were estimated using the Maximum Likelihood Estimation method, as previously reported </w:t>
      </w:r>
      <w:r>
        <w:rPr>
          <w:rFonts w:ascii="Times New Roman" w:eastAsia="Times New Roman" w:hAnsi="Times New Roman" w:cs="Times New Roman"/>
          <w:i/>
          <w:color w:val="000000"/>
        </w:rPr>
        <w:t>[Liver Int. 2019</w:t>
      </w:r>
      <w:proofErr w:type="gramStart"/>
      <w:r>
        <w:rPr>
          <w:rFonts w:ascii="Times New Roman" w:eastAsia="Times New Roman" w:hAnsi="Times New Roman" w:cs="Times New Roman"/>
          <w:i/>
          <w:color w:val="000000"/>
        </w:rPr>
        <w:t>;39:1478</w:t>
      </w:r>
      <w:proofErr w:type="gramEnd"/>
      <w:r>
        <w:rPr>
          <w:rFonts w:ascii="Times New Roman" w:eastAsia="Times New Roman" w:hAnsi="Times New Roman" w:cs="Times New Roman"/>
          <w:i/>
          <w:color w:val="000000"/>
        </w:rPr>
        <w:t>-1489]</w:t>
      </w:r>
      <w:r>
        <w:rPr>
          <w:rFonts w:ascii="Times New Roman" w:eastAsia="Times New Roman" w:hAnsi="Times New Roman" w:cs="Times New Roman"/>
        </w:rPr>
        <w:t>. Differences for some categorical variables were evaluated using Pearson’s chi-square test, or through simple regression when searching for a relationship between variables and deprivation. In analysing probabilities of receiv</w:t>
      </w:r>
      <w:r w:rsidR="00DA58C6">
        <w:rPr>
          <w:rFonts w:ascii="Times New Roman" w:eastAsia="Times New Roman" w:hAnsi="Times New Roman" w:cs="Times New Roman"/>
        </w:rPr>
        <w:t>ing</w:t>
      </w:r>
      <w:r>
        <w:rPr>
          <w:rFonts w:ascii="Times New Roman" w:eastAsia="Times New Roman" w:hAnsi="Times New Roman" w:cs="Times New Roman"/>
        </w:rPr>
        <w:t xml:space="preserve"> surveillance or potentially curative therapies, a binomial regression (simple generalized linear model) was applied. Multinomial logistic regression was applied to investigate the effect of migration on different probabilities of receiving each treatment. Overall survival (OS) was computed from HCC diagnosis until death (from any cause) or last follow-up visit. </w:t>
      </w:r>
      <w:r>
        <w:rPr>
          <w:rFonts w:ascii="Times New Roman" w:eastAsia="Times New Roman" w:hAnsi="Times New Roman" w:cs="Times New Roman"/>
          <w:color w:val="000000"/>
        </w:rPr>
        <w:t xml:space="preserve">For patients diagnosed during </w:t>
      </w:r>
      <w:r>
        <w:rPr>
          <w:rFonts w:ascii="Times New Roman" w:eastAsia="Times New Roman" w:hAnsi="Times New Roman" w:cs="Times New Roman"/>
        </w:rPr>
        <w:t xml:space="preserve">surveillance, lead-time bias correction was applied using the methodology </w:t>
      </w:r>
      <w:r w:rsidRPr="006D4F88">
        <w:rPr>
          <w:rFonts w:ascii="Times New Roman" w:eastAsia="Times New Roman" w:hAnsi="Times New Roman" w:cs="Times New Roman"/>
          <w:color w:val="FF0000"/>
        </w:rPr>
        <w:t xml:space="preserve">developed by Duffy et al. </w:t>
      </w:r>
      <w:r w:rsidRPr="006D4F88">
        <w:rPr>
          <w:rFonts w:ascii="Times New Roman" w:eastAsia="Times New Roman" w:hAnsi="Times New Roman" w:cs="Times New Roman"/>
          <w:i/>
          <w:color w:val="FF0000"/>
        </w:rPr>
        <w:t xml:space="preserve">[Am J </w:t>
      </w:r>
      <w:proofErr w:type="spellStart"/>
      <w:r w:rsidRPr="006D4F88">
        <w:rPr>
          <w:rFonts w:ascii="Times New Roman" w:eastAsia="Times New Roman" w:hAnsi="Times New Roman" w:cs="Times New Roman"/>
          <w:i/>
          <w:color w:val="FF0000"/>
        </w:rPr>
        <w:t>Epidemiol</w:t>
      </w:r>
      <w:proofErr w:type="spellEnd"/>
      <w:r w:rsidRPr="006D4F88">
        <w:rPr>
          <w:rFonts w:ascii="Times New Roman" w:eastAsia="Times New Roman" w:hAnsi="Times New Roman" w:cs="Times New Roman"/>
          <w:i/>
          <w:color w:val="FF0000"/>
        </w:rPr>
        <w:t>. 2008</w:t>
      </w:r>
      <w:proofErr w:type="gramStart"/>
      <w:r w:rsidRPr="006D4F88">
        <w:rPr>
          <w:rFonts w:ascii="Times New Roman" w:eastAsia="Times New Roman" w:hAnsi="Times New Roman" w:cs="Times New Roman"/>
          <w:i/>
          <w:color w:val="FF0000"/>
        </w:rPr>
        <w:t>;168:98</w:t>
      </w:r>
      <w:proofErr w:type="gramEnd"/>
      <w:r w:rsidRPr="006D4F88">
        <w:rPr>
          <w:rFonts w:ascii="Times New Roman" w:eastAsia="Times New Roman" w:hAnsi="Times New Roman" w:cs="Times New Roman"/>
          <w:i/>
          <w:color w:val="FF0000"/>
        </w:rPr>
        <w:t>-104; J Hepatol. 2014;61:333-41]</w:t>
      </w:r>
      <w:r w:rsidRPr="006D4F88">
        <w:rPr>
          <w:rFonts w:ascii="Times New Roman" w:eastAsia="Times New Roman" w:hAnsi="Times New Roman" w:cs="Times New Roman"/>
          <w:color w:val="FF0000"/>
        </w:rPr>
        <w:t xml:space="preserve">. </w:t>
      </w:r>
      <w:r>
        <w:rPr>
          <w:rFonts w:ascii="Times New Roman" w:eastAsia="Times New Roman" w:hAnsi="Times New Roman" w:cs="Times New Roman"/>
        </w:rPr>
        <w:t>Cox regression was applied to verify determinants of survival. For each regression applied, variables with p</w:t>
      </w:r>
      <w:r>
        <w:rPr>
          <w:rFonts w:ascii="Times New Roman" w:eastAsia="Times New Roman" w:hAnsi="Times New Roman" w:cs="Times New Roman"/>
          <w:color w:val="000000"/>
        </w:rPr>
        <w:t>&lt;</w:t>
      </w:r>
      <w:r>
        <w:rPr>
          <w:rFonts w:ascii="Times New Roman" w:eastAsia="Times New Roman" w:hAnsi="Times New Roman" w:cs="Times New Roman"/>
        </w:rPr>
        <w:t>0.10 at the univariate approach were included in the multivariable analysis.</w:t>
      </w:r>
    </w:p>
    <w:p w14:paraId="0CCEF0E5" w14:textId="353DED2C" w:rsidR="007E1EDD" w:rsidRDefault="001B5937" w:rsidP="001B5937">
      <w:pPr>
        <w:spacing w:line="360" w:lineRule="auto"/>
        <w:jc w:val="both"/>
        <w:rPr>
          <w:rFonts w:ascii="Times New Roman" w:hAnsi="Times New Roman"/>
        </w:rPr>
      </w:pPr>
      <w:bookmarkStart w:id="1" w:name="_heading=h.gjdgxs" w:colFirst="0" w:colLast="0"/>
      <w:bookmarkEnd w:id="1"/>
      <w:r>
        <w:rPr>
          <w:rFonts w:ascii="Times New Roman" w:hAnsi="Times New Roman"/>
        </w:rPr>
        <w:br/>
      </w:r>
    </w:p>
    <w:p w14:paraId="23C07EE9" w14:textId="77777777" w:rsidR="007E1EDD" w:rsidRDefault="007E1EDD">
      <w:pPr>
        <w:rPr>
          <w:rFonts w:ascii="Times New Roman" w:hAnsi="Times New Roman"/>
        </w:rPr>
      </w:pPr>
      <w:r>
        <w:rPr>
          <w:rFonts w:ascii="Times New Roman" w:hAnsi="Times New Roman"/>
        </w:rPr>
        <w:br w:type="page"/>
      </w:r>
    </w:p>
    <w:p w14:paraId="79FC29A6" w14:textId="77777777" w:rsidR="001B5937" w:rsidRDefault="001B5937" w:rsidP="001B5937">
      <w:pPr>
        <w:spacing w:line="360" w:lineRule="auto"/>
        <w:jc w:val="both"/>
        <w:rPr>
          <w:rFonts w:ascii="Times New Roman" w:hAnsi="Times New Roman"/>
          <w:b/>
          <w:bCs/>
          <w:sz w:val="28"/>
          <w:szCs w:val="28"/>
        </w:rPr>
      </w:pPr>
      <w:r w:rsidRPr="004D19B2">
        <w:rPr>
          <w:rFonts w:ascii="Times New Roman" w:hAnsi="Times New Roman"/>
          <w:b/>
          <w:bCs/>
          <w:sz w:val="28"/>
          <w:szCs w:val="28"/>
        </w:rPr>
        <w:lastRenderedPageBreak/>
        <w:t>RESULTS</w:t>
      </w:r>
    </w:p>
    <w:p w14:paraId="59D6C8CD" w14:textId="77777777" w:rsidR="001B5937" w:rsidRPr="00CC623D" w:rsidRDefault="001B5937" w:rsidP="001B5937">
      <w:pPr>
        <w:spacing w:before="120" w:line="360" w:lineRule="auto"/>
        <w:jc w:val="both"/>
        <w:rPr>
          <w:rFonts w:ascii="Times New Roman" w:hAnsi="Times New Roman"/>
          <w:b/>
          <w:bCs/>
        </w:rPr>
      </w:pPr>
      <w:r w:rsidRPr="00CC623D">
        <w:rPr>
          <w:rFonts w:ascii="Times New Roman" w:hAnsi="Times New Roman"/>
          <w:b/>
          <w:bCs/>
        </w:rPr>
        <w:t xml:space="preserve">General characteristics </w:t>
      </w:r>
    </w:p>
    <w:p w14:paraId="1FE25849" w14:textId="72AB2266" w:rsidR="001B5937" w:rsidRDefault="001B5937" w:rsidP="001B5937">
      <w:pPr>
        <w:spacing w:line="360" w:lineRule="auto"/>
        <w:jc w:val="both"/>
        <w:rPr>
          <w:rFonts w:ascii="Times New Roman" w:hAnsi="Times New Roman"/>
        </w:rPr>
      </w:pPr>
      <w:r>
        <w:rPr>
          <w:rFonts w:ascii="Times New Roman" w:hAnsi="Times New Roman"/>
          <w:b/>
          <w:bCs/>
        </w:rPr>
        <w:tab/>
      </w:r>
      <w:r w:rsidRPr="000B7F90">
        <w:rPr>
          <w:rFonts w:ascii="Times New Roman" w:hAnsi="Times New Roman"/>
        </w:rPr>
        <w:t>Based on</w:t>
      </w:r>
      <w:r>
        <w:rPr>
          <w:rFonts w:ascii="Times New Roman" w:hAnsi="Times New Roman"/>
        </w:rPr>
        <w:t xml:space="preserve"> deprivation tertiles, 1350 patients (32.8%) belonged to the least deprived Italian regions, 1067 to the intermediate deprived regions (25.9%) and 1697 to the most deprived regions (41.3%). At the time of HCC diagnosis, </w:t>
      </w:r>
      <w:r w:rsidRPr="009358A1">
        <w:rPr>
          <w:rStyle w:val="tlid-translation"/>
          <w:rFonts w:hint="eastAsia"/>
          <w:lang w:val="en"/>
        </w:rPr>
        <w:t>the more deprived the region</w:t>
      </w:r>
      <w:r>
        <w:rPr>
          <w:rStyle w:val="tlid-translation"/>
          <w:lang w:val="en"/>
        </w:rPr>
        <w:t xml:space="preserve"> of origin</w:t>
      </w:r>
      <w:r w:rsidRPr="009358A1">
        <w:rPr>
          <w:rStyle w:val="tlid-translation"/>
          <w:rFonts w:hint="eastAsia"/>
          <w:lang w:val="en"/>
        </w:rPr>
        <w:t xml:space="preserve"> the </w:t>
      </w:r>
      <w:r w:rsidRPr="009358A1">
        <w:rPr>
          <w:rStyle w:val="tlid-translation"/>
          <w:lang w:val="en"/>
        </w:rPr>
        <w:t>younger</w:t>
      </w:r>
      <w:r w:rsidRPr="009358A1">
        <w:rPr>
          <w:rStyle w:val="tlid-translation"/>
          <w:rFonts w:hint="eastAsia"/>
          <w:lang w:val="en"/>
        </w:rPr>
        <w:t xml:space="preserve"> the patients </w:t>
      </w:r>
      <w:r>
        <w:rPr>
          <w:rStyle w:val="tlid-translation"/>
          <w:lang w:val="en"/>
        </w:rPr>
        <w:t>were</w:t>
      </w:r>
      <w:r w:rsidRPr="009358A1">
        <w:rPr>
          <w:rStyle w:val="tlid-translation"/>
          <w:lang w:val="en"/>
        </w:rPr>
        <w:t xml:space="preserve"> and</w:t>
      </w:r>
      <w:r>
        <w:rPr>
          <w:rStyle w:val="tlid-translation"/>
          <w:lang w:val="en"/>
        </w:rPr>
        <w:t xml:space="preserve"> th</w:t>
      </w:r>
      <w:r>
        <w:rPr>
          <w:rStyle w:val="tlid-translation"/>
          <w:rFonts w:hint="eastAsia"/>
          <w:lang w:val="en"/>
        </w:rPr>
        <w:t>e</w:t>
      </w:r>
      <w:r>
        <w:rPr>
          <w:rStyle w:val="tlid-translation"/>
          <w:lang w:val="en"/>
        </w:rPr>
        <w:t xml:space="preserve"> higher the percentage </w:t>
      </w:r>
      <w:r w:rsidRPr="009358A1">
        <w:rPr>
          <w:rStyle w:val="tlid-translation"/>
          <w:rFonts w:hint="eastAsia"/>
          <w:lang w:val="en"/>
        </w:rPr>
        <w:t xml:space="preserve">suffering </w:t>
      </w:r>
      <w:r>
        <w:rPr>
          <w:rStyle w:val="tlid-translation"/>
          <w:lang w:val="en"/>
        </w:rPr>
        <w:t>from</w:t>
      </w:r>
      <w:r w:rsidR="006D4F88">
        <w:rPr>
          <w:rStyle w:val="tlid-translation"/>
          <w:lang w:val="en"/>
        </w:rPr>
        <w:t xml:space="preserve"> chronic </w:t>
      </w:r>
      <w:r w:rsidRPr="009358A1">
        <w:rPr>
          <w:rStyle w:val="tlid-translation"/>
          <w:rFonts w:hint="eastAsia"/>
          <w:lang w:val="en"/>
        </w:rPr>
        <w:t xml:space="preserve">hepatitis </w:t>
      </w:r>
      <w:r>
        <w:rPr>
          <w:rStyle w:val="tlid-translation"/>
          <w:lang w:val="en"/>
        </w:rPr>
        <w:t>B</w:t>
      </w:r>
      <w:r w:rsidRPr="009358A1">
        <w:rPr>
          <w:rStyle w:val="tlid-translation"/>
          <w:rFonts w:hint="eastAsia"/>
          <w:lang w:val="en"/>
        </w:rPr>
        <w:t xml:space="preserve"> or </w:t>
      </w:r>
      <w:r>
        <w:rPr>
          <w:rStyle w:val="tlid-translation"/>
          <w:lang w:val="en"/>
        </w:rPr>
        <w:t xml:space="preserve">C (p&lt;0.001). Conversely, </w:t>
      </w:r>
      <w:r w:rsidRPr="009358A1">
        <w:rPr>
          <w:rStyle w:val="tlid-translation"/>
          <w:rFonts w:hint="eastAsia"/>
          <w:lang w:val="en"/>
        </w:rPr>
        <w:t xml:space="preserve">the less </w:t>
      </w:r>
      <w:r>
        <w:rPr>
          <w:rStyle w:val="tlid-translation"/>
          <w:lang w:val="en"/>
        </w:rPr>
        <w:t xml:space="preserve">deprived </w:t>
      </w:r>
      <w:r w:rsidRPr="009358A1">
        <w:rPr>
          <w:rStyle w:val="tlid-translation"/>
          <w:rFonts w:hint="eastAsia"/>
          <w:lang w:val="en"/>
        </w:rPr>
        <w:t>the region</w:t>
      </w:r>
      <w:r>
        <w:rPr>
          <w:rStyle w:val="tlid-translation"/>
          <w:lang w:val="en"/>
        </w:rPr>
        <w:t xml:space="preserve"> of origin</w:t>
      </w:r>
      <w:r w:rsidRPr="009358A1">
        <w:rPr>
          <w:rStyle w:val="tlid-translation"/>
          <w:rFonts w:hint="eastAsia"/>
          <w:lang w:val="en"/>
        </w:rPr>
        <w:t xml:space="preserve"> the</w:t>
      </w:r>
      <w:r w:rsidR="006D4F88">
        <w:rPr>
          <w:rStyle w:val="tlid-translation"/>
          <w:lang w:val="en"/>
        </w:rPr>
        <w:t xml:space="preserve"> older the patients</w:t>
      </w:r>
      <w:r>
        <w:rPr>
          <w:rStyle w:val="tlid-translation"/>
          <w:lang w:val="en"/>
        </w:rPr>
        <w:t xml:space="preserve"> and</w:t>
      </w:r>
      <w:r w:rsidR="006D4F88">
        <w:rPr>
          <w:rStyle w:val="tlid-translation"/>
          <w:lang w:val="en"/>
        </w:rPr>
        <w:t xml:space="preserve"> more </w:t>
      </w:r>
      <w:r w:rsidR="004A4E56">
        <w:rPr>
          <w:rStyle w:val="tlid-translation"/>
          <w:lang w:val="en"/>
        </w:rPr>
        <w:t>likely the aetiolog</w:t>
      </w:r>
      <w:r w:rsidR="004A4E56">
        <w:rPr>
          <w:rStyle w:val="tlid-translation"/>
          <w:rFonts w:hint="eastAsia"/>
          <w:lang w:val="en"/>
        </w:rPr>
        <w:t>y</w:t>
      </w:r>
      <w:r w:rsidR="004A4E56">
        <w:rPr>
          <w:rStyle w:val="tlid-translation"/>
          <w:lang w:val="en"/>
        </w:rPr>
        <w:t xml:space="preserve"> was to be </w:t>
      </w:r>
      <w:r>
        <w:rPr>
          <w:rStyle w:val="tlid-translation"/>
          <w:lang w:val="en"/>
        </w:rPr>
        <w:t>non-alcoholic steato-hepatitis (NASH)</w:t>
      </w:r>
      <w:r w:rsidRPr="009358A1">
        <w:rPr>
          <w:rStyle w:val="tlid-translation"/>
          <w:rFonts w:hint="eastAsia"/>
          <w:lang w:val="en"/>
        </w:rPr>
        <w:t xml:space="preserve"> or alcoholi</w:t>
      </w:r>
      <w:r>
        <w:rPr>
          <w:rStyle w:val="tlid-translation"/>
          <w:lang w:val="en"/>
        </w:rPr>
        <w:t xml:space="preserve">c liver disease (p&lt;0.001; </w:t>
      </w:r>
      <w:r w:rsidRPr="00640E5D">
        <w:rPr>
          <w:rStyle w:val="tlid-translation"/>
          <w:i/>
          <w:iCs/>
          <w:lang w:val="en"/>
        </w:rPr>
        <w:t>Table 1</w:t>
      </w:r>
      <w:r w:rsidRPr="00640E5D">
        <w:rPr>
          <w:rStyle w:val="tlid-translation"/>
          <w:lang w:val="en"/>
        </w:rPr>
        <w:t>).</w:t>
      </w:r>
      <w:r>
        <w:rPr>
          <w:rStyle w:val="tlid-translation"/>
          <w:lang w:val="en"/>
        </w:rPr>
        <w:t xml:space="preserve"> </w:t>
      </w:r>
      <w:r w:rsidRPr="004A4E56">
        <w:rPr>
          <w:rStyle w:val="tlid-translation"/>
          <w:color w:val="000000" w:themeColor="text1"/>
          <w:lang w:val="en"/>
        </w:rPr>
        <w:t xml:space="preserve">Notably, </w:t>
      </w:r>
      <w:r w:rsidRPr="004A4E56">
        <w:rPr>
          <w:rFonts w:ascii="Times New Roman" w:hAnsi="Times New Roman"/>
          <w:color w:val="000000" w:themeColor="text1"/>
        </w:rPr>
        <w:t xml:space="preserve">patients from the least deprived regions were more frequently diagnosed </w:t>
      </w:r>
      <w:r w:rsidR="0000454D" w:rsidRPr="004A4E56">
        <w:rPr>
          <w:rFonts w:ascii="Times New Roman" w:hAnsi="Times New Roman"/>
          <w:color w:val="000000" w:themeColor="text1"/>
        </w:rPr>
        <w:t>during the course of investigation for some other complaint (</w:t>
      </w:r>
      <w:r w:rsidRPr="004A4E56">
        <w:rPr>
          <w:rFonts w:ascii="Times New Roman" w:hAnsi="Times New Roman"/>
          <w:color w:val="000000" w:themeColor="text1"/>
        </w:rPr>
        <w:t>incidental</w:t>
      </w:r>
      <w:r w:rsidR="0000454D" w:rsidRPr="004A4E56">
        <w:rPr>
          <w:rFonts w:ascii="Times New Roman" w:hAnsi="Times New Roman"/>
          <w:color w:val="000000" w:themeColor="text1"/>
        </w:rPr>
        <w:t xml:space="preserve"> diagnosis; </w:t>
      </w:r>
      <w:r w:rsidRPr="004A4E56">
        <w:rPr>
          <w:rFonts w:ascii="Times New Roman" w:hAnsi="Times New Roman"/>
          <w:color w:val="000000" w:themeColor="text1"/>
        </w:rPr>
        <w:t>p&lt;0.001)</w:t>
      </w:r>
      <w:r w:rsidR="0000454D" w:rsidRPr="004A4E56">
        <w:rPr>
          <w:rFonts w:ascii="Times New Roman" w:hAnsi="Times New Roman"/>
          <w:color w:val="000000" w:themeColor="text1"/>
        </w:rPr>
        <w:t xml:space="preserve"> </w:t>
      </w:r>
      <w:r>
        <w:rPr>
          <w:rFonts w:ascii="Times New Roman" w:hAnsi="Times New Roman"/>
        </w:rPr>
        <w:t xml:space="preserve">than those from other regions, whereas patients from more deprived regions were more frequently diagnosed through surveillance (p&lt;0.001). Symptomatic diagnosis was </w:t>
      </w:r>
      <w:r w:rsidR="004A4E56">
        <w:rPr>
          <w:rFonts w:ascii="Times New Roman" w:hAnsi="Times New Roman"/>
        </w:rPr>
        <w:t xml:space="preserve">distributed </w:t>
      </w:r>
      <w:r>
        <w:rPr>
          <w:rFonts w:ascii="Times New Roman" w:hAnsi="Times New Roman"/>
        </w:rPr>
        <w:t>similarly through</w:t>
      </w:r>
      <w:r w:rsidR="00DA58C6">
        <w:rPr>
          <w:rFonts w:ascii="Times New Roman" w:hAnsi="Times New Roman"/>
        </w:rPr>
        <w:t xml:space="preserve"> the</w:t>
      </w:r>
      <w:r>
        <w:rPr>
          <w:rFonts w:ascii="Times New Roman" w:hAnsi="Times New Roman"/>
        </w:rPr>
        <w:t xml:space="preserve"> regions (p=0.128).</w:t>
      </w:r>
    </w:p>
    <w:p w14:paraId="4961AD01" w14:textId="77777777" w:rsidR="001B5937" w:rsidRDefault="001B5937" w:rsidP="001B5937">
      <w:pPr>
        <w:spacing w:before="120" w:line="360" w:lineRule="auto"/>
        <w:jc w:val="both"/>
        <w:rPr>
          <w:rStyle w:val="tlid-translation"/>
          <w:rFonts w:hint="eastAsia"/>
          <w:lang w:val="en"/>
        </w:rPr>
      </w:pPr>
      <w:r>
        <w:rPr>
          <w:rFonts w:ascii="Times New Roman" w:hAnsi="Times New Roman"/>
          <w:b/>
          <w:bCs/>
        </w:rPr>
        <w:t>H</w:t>
      </w:r>
      <w:r w:rsidRPr="00CC623D">
        <w:rPr>
          <w:rFonts w:ascii="Times New Roman" w:hAnsi="Times New Roman"/>
          <w:b/>
          <w:bCs/>
        </w:rPr>
        <w:t>ealth migrants</w:t>
      </w:r>
    </w:p>
    <w:p w14:paraId="4336D9F4" w14:textId="2A538B6E" w:rsidR="001B5937" w:rsidRDefault="001B5937" w:rsidP="001B5937">
      <w:pPr>
        <w:spacing w:line="360" w:lineRule="auto"/>
        <w:jc w:val="both"/>
        <w:rPr>
          <w:rFonts w:ascii="Times New Roman" w:hAnsi="Times New Roman"/>
        </w:rPr>
      </w:pPr>
      <w:r>
        <w:rPr>
          <w:rStyle w:val="tlid-translation"/>
          <w:lang w:val="en"/>
        </w:rPr>
        <w:tab/>
        <w:t>Most patients were diagnosed a</w:t>
      </w:r>
      <w:r w:rsidR="00CE0A19">
        <w:rPr>
          <w:rStyle w:val="tlid-translation"/>
          <w:lang w:val="en"/>
        </w:rPr>
        <w:t>nd treated in hospitals located within their local region</w:t>
      </w:r>
      <w:r>
        <w:rPr>
          <w:rStyle w:val="tlid-translation"/>
          <w:lang w:val="en"/>
        </w:rPr>
        <w:t xml:space="preserve">. In fact, 93.6% of patients belonging to the least deprived regions were treated </w:t>
      </w:r>
      <w:r w:rsidR="00AF6E90">
        <w:rPr>
          <w:rStyle w:val="tlid-translation"/>
          <w:lang w:val="en"/>
        </w:rPr>
        <w:t>locally</w:t>
      </w:r>
      <w:r>
        <w:rPr>
          <w:rStyle w:val="tlid-translation"/>
          <w:lang w:val="en"/>
        </w:rPr>
        <w:t>, but this proportion progressively decreased as the deprivation worsened, being 87.8% in the intermediate deprived regions and 61.4% in the most deprived regions (p&lt;0.001). As a result, considering the whole patient population</w:t>
      </w:r>
      <w:r w:rsidR="00DA58C6">
        <w:rPr>
          <w:rStyle w:val="tlid-translation"/>
          <w:lang w:val="en"/>
        </w:rPr>
        <w:t>,</w:t>
      </w:r>
      <w:r>
        <w:rPr>
          <w:rStyle w:val="tlid-translation"/>
          <w:lang w:val="en"/>
        </w:rPr>
        <w:t xml:space="preserve"> </w:t>
      </w:r>
      <w:r>
        <w:rPr>
          <w:rFonts w:ascii="Times New Roman" w:hAnsi="Times New Roman"/>
        </w:rPr>
        <w:t>1716 patients (41.7%) were managed in hospitals located in the least deprived regions, 1319 were managed in hospitals of intermediate deprived regions (32.1%) and 1079 were managed in hospitals from the most deprived regions (26.2%).</w:t>
      </w:r>
    </w:p>
    <w:p w14:paraId="2A543045" w14:textId="77777777" w:rsidR="001B5937" w:rsidRDefault="001B5937" w:rsidP="001B5937">
      <w:pPr>
        <w:spacing w:before="120" w:line="360" w:lineRule="auto"/>
        <w:jc w:val="both"/>
        <w:rPr>
          <w:rFonts w:ascii="Times New Roman" w:hAnsi="Times New Roman"/>
          <w:b/>
          <w:bCs/>
        </w:rPr>
      </w:pPr>
      <w:r>
        <w:rPr>
          <w:rFonts w:ascii="Times New Roman" w:hAnsi="Times New Roman"/>
          <w:b/>
          <w:bCs/>
        </w:rPr>
        <w:t>Tumour characteristics and survival by hospital regions</w:t>
      </w:r>
    </w:p>
    <w:p w14:paraId="7ACC9D9B" w14:textId="6218D5D9" w:rsidR="001B5937" w:rsidRDefault="001B5937" w:rsidP="001B5937">
      <w:pPr>
        <w:spacing w:line="360" w:lineRule="auto"/>
        <w:jc w:val="both"/>
        <w:rPr>
          <w:rFonts w:ascii="Times New Roman" w:hAnsi="Times New Roman"/>
        </w:rPr>
      </w:pPr>
      <w:r>
        <w:rPr>
          <w:rFonts w:ascii="Times New Roman" w:hAnsi="Times New Roman"/>
        </w:rPr>
        <w:tab/>
        <w:t>Tumour features were similar among hospitals belonging to different regions (</w:t>
      </w:r>
      <w:r w:rsidRPr="00640E5D">
        <w:rPr>
          <w:rFonts w:ascii="Times New Roman" w:hAnsi="Times New Roman"/>
          <w:i/>
          <w:iCs/>
          <w:u w:val="single"/>
        </w:rPr>
        <w:t>Table 2</w:t>
      </w:r>
      <w:r>
        <w:rPr>
          <w:rFonts w:ascii="Times New Roman" w:hAnsi="Times New Roman"/>
        </w:rPr>
        <w:t xml:space="preserve">). Nevertheless, </w:t>
      </w:r>
      <w:r w:rsidRPr="009358A1">
        <w:rPr>
          <w:rStyle w:val="tlid-translation"/>
          <w:rFonts w:hint="eastAsia"/>
          <w:lang w:val="en"/>
        </w:rPr>
        <w:t xml:space="preserve">the more deprived the </w:t>
      </w:r>
      <w:r>
        <w:rPr>
          <w:rStyle w:val="tlid-translation"/>
          <w:lang w:val="en"/>
        </w:rPr>
        <w:t xml:space="preserve">hospitals’ </w:t>
      </w:r>
      <w:r w:rsidRPr="009358A1">
        <w:rPr>
          <w:rStyle w:val="tlid-translation"/>
          <w:rFonts w:hint="eastAsia"/>
          <w:lang w:val="en"/>
        </w:rPr>
        <w:t>region</w:t>
      </w:r>
      <w:r w:rsidR="00AF6E90">
        <w:rPr>
          <w:rStyle w:val="tlid-translation"/>
          <w:lang w:val="en"/>
        </w:rPr>
        <w:t>,</w:t>
      </w:r>
      <w:r>
        <w:rPr>
          <w:rStyle w:val="tlid-translation"/>
          <w:lang w:val="en"/>
        </w:rPr>
        <w:t xml:space="preserve"> </w:t>
      </w:r>
      <w:r w:rsidRPr="009358A1">
        <w:rPr>
          <w:rStyle w:val="tlid-translation"/>
          <w:rFonts w:hint="eastAsia"/>
          <w:lang w:val="en"/>
        </w:rPr>
        <w:t xml:space="preserve">the </w:t>
      </w:r>
      <w:r>
        <w:rPr>
          <w:rStyle w:val="tlid-translation"/>
          <w:lang w:val="en"/>
        </w:rPr>
        <w:t>lower the proportion of patients submitted to</w:t>
      </w:r>
      <w:r w:rsidR="00CE0A19">
        <w:rPr>
          <w:rStyle w:val="tlid-translation"/>
          <w:lang w:val="en"/>
        </w:rPr>
        <w:t xml:space="preserve"> potentially curative therapies</w:t>
      </w:r>
      <w:r w:rsidR="00AF6E90">
        <w:rPr>
          <w:rStyle w:val="tlid-translation"/>
          <w:lang w:val="en"/>
        </w:rPr>
        <w:t xml:space="preserve">. Thus </w:t>
      </w:r>
      <w:r>
        <w:rPr>
          <w:rFonts w:ascii="Times New Roman" w:hAnsi="Times New Roman"/>
          <w:lang w:val="en"/>
        </w:rPr>
        <w:t xml:space="preserve">56.9% </w:t>
      </w:r>
      <w:r w:rsidR="004A4E56">
        <w:rPr>
          <w:rFonts w:ascii="Times New Roman" w:hAnsi="Times New Roman"/>
        </w:rPr>
        <w:t xml:space="preserve">received potentially curative therapy </w:t>
      </w:r>
      <w:r w:rsidR="004A4E56">
        <w:rPr>
          <w:rFonts w:ascii="Times New Roman" w:hAnsi="Times New Roman"/>
          <w:lang w:val="en"/>
        </w:rPr>
        <w:t xml:space="preserve">in </w:t>
      </w:r>
      <w:r w:rsidR="006023C9">
        <w:rPr>
          <w:rFonts w:ascii="Times New Roman" w:hAnsi="Times New Roman"/>
          <w:lang w:val="en"/>
        </w:rPr>
        <w:t xml:space="preserve">hospitals located </w:t>
      </w:r>
      <w:r>
        <w:rPr>
          <w:rFonts w:ascii="Times New Roman" w:hAnsi="Times New Roman"/>
        </w:rPr>
        <w:t>in the least deprived regions</w:t>
      </w:r>
      <w:r w:rsidR="00DA58C6">
        <w:rPr>
          <w:rFonts w:ascii="Times New Roman" w:hAnsi="Times New Roman"/>
        </w:rPr>
        <w:t>,</w:t>
      </w:r>
      <w:r w:rsidR="00AF6E90">
        <w:rPr>
          <w:rFonts w:ascii="Times New Roman" w:hAnsi="Times New Roman"/>
        </w:rPr>
        <w:t xml:space="preserve"> compared to</w:t>
      </w:r>
      <w:r w:rsidR="006023C9">
        <w:rPr>
          <w:rFonts w:ascii="Times New Roman" w:hAnsi="Times New Roman"/>
        </w:rPr>
        <w:t xml:space="preserve"> </w:t>
      </w:r>
      <w:r>
        <w:rPr>
          <w:rFonts w:ascii="Times New Roman" w:hAnsi="Times New Roman"/>
        </w:rPr>
        <w:t>51.6%</w:t>
      </w:r>
      <w:r w:rsidR="006023C9">
        <w:rPr>
          <w:rFonts w:ascii="Times New Roman" w:hAnsi="Times New Roman"/>
        </w:rPr>
        <w:t xml:space="preserve"> and 50.3%</w:t>
      </w:r>
      <w:r>
        <w:rPr>
          <w:rFonts w:ascii="Times New Roman" w:hAnsi="Times New Roman"/>
        </w:rPr>
        <w:t xml:space="preserve"> </w:t>
      </w:r>
      <w:r w:rsidR="009B2711">
        <w:rPr>
          <w:rFonts w:ascii="Times New Roman" w:hAnsi="Times New Roman"/>
        </w:rPr>
        <w:t xml:space="preserve">for those of intermediate and </w:t>
      </w:r>
      <w:r w:rsidR="006023C9">
        <w:rPr>
          <w:rFonts w:ascii="Times New Roman" w:hAnsi="Times New Roman"/>
        </w:rPr>
        <w:t xml:space="preserve">most deprived regions respectively </w:t>
      </w:r>
      <w:r>
        <w:rPr>
          <w:rStyle w:val="tlid-translation"/>
          <w:lang w:val="en"/>
        </w:rPr>
        <w:t>(p&lt;0.001</w:t>
      </w:r>
      <w:r>
        <w:rPr>
          <w:rFonts w:ascii="Times New Roman" w:hAnsi="Times New Roman"/>
        </w:rPr>
        <w:t xml:space="preserve">). Overall survival </w:t>
      </w:r>
      <w:r w:rsidR="009B2711">
        <w:rPr>
          <w:rFonts w:ascii="Times New Roman" w:hAnsi="Times New Roman"/>
        </w:rPr>
        <w:t>was better in the less deprived regions, ranging from 42.2</w:t>
      </w:r>
      <w:r w:rsidR="004A4E56">
        <w:rPr>
          <w:rFonts w:ascii="Times New Roman" w:hAnsi="Times New Roman"/>
        </w:rPr>
        <w:t xml:space="preserve"> months</w:t>
      </w:r>
      <w:r w:rsidR="009B2711">
        <w:rPr>
          <w:rFonts w:ascii="Times New Roman" w:hAnsi="Times New Roman"/>
        </w:rPr>
        <w:t xml:space="preserve"> in the least to 35.2</w:t>
      </w:r>
      <w:r w:rsidR="004A4E56">
        <w:rPr>
          <w:rFonts w:ascii="Times New Roman" w:hAnsi="Times New Roman"/>
        </w:rPr>
        <w:t xml:space="preserve"> months</w:t>
      </w:r>
      <w:r w:rsidR="009B2711">
        <w:rPr>
          <w:rFonts w:ascii="Times New Roman" w:hAnsi="Times New Roman"/>
        </w:rPr>
        <w:t xml:space="preserve"> in the most deprived regions</w:t>
      </w:r>
      <w:r>
        <w:rPr>
          <w:rFonts w:ascii="Times New Roman" w:hAnsi="Times New Roman"/>
        </w:rPr>
        <w:t xml:space="preserve"> (p=0.008)</w:t>
      </w:r>
      <w:r w:rsidR="009B2711">
        <w:rPr>
          <w:rFonts w:ascii="Times New Roman" w:hAnsi="Times New Roman"/>
        </w:rPr>
        <w:t xml:space="preserve"> (Table 2)</w:t>
      </w:r>
      <w:r>
        <w:rPr>
          <w:rFonts w:ascii="Times New Roman" w:hAnsi="Times New Roman"/>
        </w:rPr>
        <w:t>.</w:t>
      </w:r>
    </w:p>
    <w:p w14:paraId="7447F7FD" w14:textId="77777777" w:rsidR="001B5937" w:rsidRDefault="001B5937" w:rsidP="001B5937">
      <w:pPr>
        <w:spacing w:before="120" w:line="360" w:lineRule="auto"/>
        <w:jc w:val="both"/>
        <w:rPr>
          <w:rFonts w:ascii="Times New Roman" w:hAnsi="Times New Roman"/>
          <w:b/>
          <w:bCs/>
        </w:rPr>
      </w:pPr>
      <w:r>
        <w:rPr>
          <w:rFonts w:ascii="Times New Roman" w:hAnsi="Times New Roman"/>
          <w:b/>
          <w:bCs/>
        </w:rPr>
        <w:t>Probability of being diagnosed during a surveillance program</w:t>
      </w:r>
    </w:p>
    <w:p w14:paraId="47235716" w14:textId="2106A4D4" w:rsidR="00136E82" w:rsidRPr="004A4E56" w:rsidRDefault="001B5937" w:rsidP="001B5937">
      <w:pPr>
        <w:spacing w:line="360" w:lineRule="auto"/>
        <w:jc w:val="both"/>
        <w:rPr>
          <w:rFonts w:ascii="Times New Roman" w:hAnsi="Times New Roman"/>
        </w:rPr>
      </w:pPr>
      <w:r>
        <w:rPr>
          <w:rFonts w:ascii="Times New Roman" w:hAnsi="Times New Roman"/>
        </w:rPr>
        <w:tab/>
        <w:t>The likelihood of being diagnosed with HCC during surveillance (</w:t>
      </w:r>
      <w:r w:rsidRPr="00640E5D">
        <w:rPr>
          <w:rFonts w:ascii="Times New Roman" w:hAnsi="Times New Roman"/>
          <w:i/>
          <w:iCs/>
          <w:u w:val="single"/>
        </w:rPr>
        <w:t>Table 3</w:t>
      </w:r>
      <w:r>
        <w:rPr>
          <w:rFonts w:ascii="Times New Roman" w:hAnsi="Times New Roman"/>
        </w:rPr>
        <w:t xml:space="preserve">) was higher for females, for patients with MELD score </w:t>
      </w:r>
      <w:r>
        <w:rPr>
          <w:rFonts w:ascii="Times New Roman" w:hAnsi="Times New Roman" w:cs="Times New Roman"/>
        </w:rPr>
        <w:t>≤</w:t>
      </w:r>
      <w:r>
        <w:rPr>
          <w:rFonts w:ascii="Times New Roman" w:hAnsi="Times New Roman"/>
        </w:rPr>
        <w:t xml:space="preserve">10, and for those bearing viral hepatitis regardless </w:t>
      </w:r>
      <w:r>
        <w:rPr>
          <w:rFonts w:ascii="Times New Roman" w:hAnsi="Times New Roman"/>
        </w:rPr>
        <w:lastRenderedPageBreak/>
        <w:t xml:space="preserve">of patients’ regions (p&lt;0.05 for these conditions in each region). </w:t>
      </w:r>
      <w:r w:rsidR="004A4E56">
        <w:rPr>
          <w:rFonts w:ascii="Times New Roman" w:hAnsi="Times New Roman"/>
        </w:rPr>
        <w:t xml:space="preserve">Travel to </w:t>
      </w:r>
      <w:r>
        <w:rPr>
          <w:rFonts w:ascii="Times New Roman" w:hAnsi="Times New Roman"/>
        </w:rPr>
        <w:t xml:space="preserve">less or more deprived regions did not affect the probability of being diagnosed during surveillance. </w:t>
      </w:r>
    </w:p>
    <w:p w14:paraId="1ECE5FA0" w14:textId="77777777" w:rsidR="004E7DC8" w:rsidRDefault="004E7DC8" w:rsidP="001B5937">
      <w:pPr>
        <w:spacing w:line="360" w:lineRule="auto"/>
        <w:jc w:val="both"/>
        <w:rPr>
          <w:rFonts w:ascii="Times New Roman" w:hAnsi="Times New Roman"/>
        </w:rPr>
      </w:pPr>
    </w:p>
    <w:p w14:paraId="4008D3CD" w14:textId="77777777" w:rsidR="001B5937" w:rsidRDefault="001B5937" w:rsidP="001B5937">
      <w:pPr>
        <w:spacing w:before="120" w:line="360" w:lineRule="auto"/>
        <w:jc w:val="both"/>
        <w:rPr>
          <w:rFonts w:ascii="Times New Roman" w:hAnsi="Times New Roman"/>
          <w:b/>
          <w:bCs/>
        </w:rPr>
      </w:pPr>
      <w:r>
        <w:rPr>
          <w:rFonts w:ascii="Times New Roman" w:hAnsi="Times New Roman"/>
          <w:b/>
          <w:bCs/>
        </w:rPr>
        <w:t>Probability of receiving potentially curative therapies</w:t>
      </w:r>
    </w:p>
    <w:p w14:paraId="2DB22C0D" w14:textId="7E3BC54C" w:rsidR="001B5937" w:rsidRDefault="001B5937" w:rsidP="001B5937">
      <w:pPr>
        <w:spacing w:line="360" w:lineRule="auto"/>
        <w:jc w:val="both"/>
        <w:rPr>
          <w:rFonts w:ascii="Times New Roman" w:hAnsi="Times New Roman"/>
        </w:rPr>
      </w:pPr>
      <w:r>
        <w:rPr>
          <w:rFonts w:ascii="Times New Roman" w:hAnsi="Times New Roman"/>
        </w:rPr>
        <w:tab/>
      </w:r>
      <w:r w:rsidRPr="00B6361D">
        <w:rPr>
          <w:rFonts w:ascii="Times New Roman" w:hAnsi="Times New Roman"/>
          <w:color w:val="auto"/>
        </w:rPr>
        <w:t xml:space="preserve">As expected, </w:t>
      </w:r>
      <w:r>
        <w:rPr>
          <w:rFonts w:ascii="Times New Roman" w:hAnsi="Times New Roman"/>
          <w:color w:val="auto"/>
        </w:rPr>
        <w:t xml:space="preserve">the adoption of </w:t>
      </w:r>
      <w:r w:rsidRPr="00B6361D">
        <w:rPr>
          <w:rFonts w:ascii="Times New Roman" w:hAnsi="Times New Roman"/>
          <w:color w:val="auto"/>
        </w:rPr>
        <w:t xml:space="preserve">potentially </w:t>
      </w:r>
      <w:r>
        <w:rPr>
          <w:rFonts w:ascii="Times New Roman" w:hAnsi="Times New Roman"/>
        </w:rPr>
        <w:t>curative treatments (</w:t>
      </w:r>
      <w:r w:rsidRPr="00640E5D">
        <w:rPr>
          <w:rFonts w:ascii="Times New Roman" w:hAnsi="Times New Roman"/>
          <w:i/>
          <w:iCs/>
          <w:u w:val="single"/>
        </w:rPr>
        <w:t>Table 4</w:t>
      </w:r>
      <w:r>
        <w:rPr>
          <w:rFonts w:ascii="Times New Roman" w:hAnsi="Times New Roman"/>
        </w:rPr>
        <w:t xml:space="preserve">) mostly depended on MELD score, tumour burden, performance status and the presence of neoplastic vascular invasion, with a similar magnitude across different regions (p&lt;0.05 for each variable in each region). However, multivariable analysis revealed that the migration from the most deprived regions toward </w:t>
      </w:r>
      <w:r w:rsidRPr="00A375CA">
        <w:rPr>
          <w:rFonts w:ascii="Times New Roman" w:hAnsi="Times New Roman"/>
        </w:rPr>
        <w:t>less deprived regions</w:t>
      </w:r>
      <w:r w:rsidR="00DA58C6">
        <w:rPr>
          <w:rFonts w:ascii="Times New Roman" w:hAnsi="Times New Roman"/>
        </w:rPr>
        <w:t>,</w:t>
      </w:r>
      <w:r w:rsidRPr="00A375CA">
        <w:rPr>
          <w:rFonts w:ascii="Times New Roman" w:hAnsi="Times New Roman"/>
        </w:rPr>
        <w:t xml:space="preserve"> increased the probability </w:t>
      </w:r>
      <w:r>
        <w:rPr>
          <w:rFonts w:ascii="Times New Roman" w:hAnsi="Times New Roman"/>
        </w:rPr>
        <w:t>of</w:t>
      </w:r>
      <w:r w:rsidRPr="00A375CA">
        <w:rPr>
          <w:rFonts w:ascii="Times New Roman" w:hAnsi="Times New Roman"/>
        </w:rPr>
        <w:t xml:space="preserve"> receiv</w:t>
      </w:r>
      <w:r>
        <w:rPr>
          <w:rFonts w:ascii="Times New Roman" w:hAnsi="Times New Roman"/>
        </w:rPr>
        <w:t>ing</w:t>
      </w:r>
      <w:r w:rsidRPr="00A375CA">
        <w:rPr>
          <w:rFonts w:ascii="Times New Roman" w:hAnsi="Times New Roman"/>
        </w:rPr>
        <w:t xml:space="preserve"> potentially curative treatment</w:t>
      </w:r>
      <w:r>
        <w:rPr>
          <w:rFonts w:ascii="Times New Roman" w:hAnsi="Times New Roman"/>
        </w:rPr>
        <w:t>s</w:t>
      </w:r>
      <w:r w:rsidRPr="00A375CA">
        <w:rPr>
          <w:rFonts w:ascii="Times New Roman" w:hAnsi="Times New Roman"/>
        </w:rPr>
        <w:t xml:space="preserve"> by </w:t>
      </w:r>
      <w:r w:rsidRPr="00A375CA">
        <w:rPr>
          <w:rFonts w:ascii="Times New Roman" w:hAnsi="Times New Roman" w:cs="Times New Roman"/>
        </w:rPr>
        <w:t>1.11 times (</w:t>
      </w:r>
      <w:r>
        <w:rPr>
          <w:rFonts w:ascii="Times New Roman" w:hAnsi="Times New Roman" w:cs="Times New Roman"/>
        </w:rPr>
        <w:t>relative risk; 9</w:t>
      </w:r>
      <w:r w:rsidRPr="00A375CA">
        <w:rPr>
          <w:rFonts w:ascii="Times New Roman" w:hAnsi="Times New Roman" w:cs="Times New Roman"/>
        </w:rPr>
        <w:t>5%C.I.: 1.03 – 1.19; p=0.006),</w:t>
      </w:r>
      <w:r>
        <w:rPr>
          <w:rFonts w:ascii="Times New Roman" w:hAnsi="Times New Roman" w:cs="Times New Roman"/>
        </w:rPr>
        <w:t xml:space="preserve"> independently from other features</w:t>
      </w:r>
      <w:r>
        <w:rPr>
          <w:rFonts w:ascii="Times New Roman" w:hAnsi="Times New Roman"/>
        </w:rPr>
        <w:t xml:space="preserve">. </w:t>
      </w:r>
    </w:p>
    <w:p w14:paraId="39A70C03" w14:textId="77777777" w:rsidR="004E7DC8" w:rsidRPr="004E7DC8" w:rsidRDefault="004E7DC8" w:rsidP="001B5937">
      <w:pPr>
        <w:spacing w:before="120" w:line="360" w:lineRule="auto"/>
        <w:jc w:val="both"/>
        <w:rPr>
          <w:rFonts w:ascii="Times New Roman" w:hAnsi="Times New Roman"/>
          <w:bCs/>
        </w:rPr>
      </w:pPr>
    </w:p>
    <w:p w14:paraId="2750BAA0" w14:textId="4587671E" w:rsidR="001B5937" w:rsidRDefault="001B5937" w:rsidP="001B5937">
      <w:pPr>
        <w:spacing w:before="120" w:line="360" w:lineRule="auto"/>
        <w:jc w:val="both"/>
        <w:rPr>
          <w:rFonts w:ascii="Times New Roman" w:hAnsi="Times New Roman"/>
          <w:b/>
          <w:bCs/>
        </w:rPr>
      </w:pPr>
      <w:r>
        <w:rPr>
          <w:rFonts w:ascii="Times New Roman" w:hAnsi="Times New Roman"/>
          <w:b/>
          <w:bCs/>
        </w:rPr>
        <w:t>Probability of receiving each</w:t>
      </w:r>
      <w:r w:rsidR="004A4E56">
        <w:rPr>
          <w:rFonts w:ascii="Times New Roman" w:hAnsi="Times New Roman"/>
          <w:b/>
          <w:bCs/>
        </w:rPr>
        <w:t xml:space="preserve"> type of </w:t>
      </w:r>
      <w:r>
        <w:rPr>
          <w:rFonts w:ascii="Times New Roman" w:hAnsi="Times New Roman"/>
          <w:b/>
          <w:bCs/>
        </w:rPr>
        <w:t>therapy</w:t>
      </w:r>
    </w:p>
    <w:p w14:paraId="5F14660A" w14:textId="05991CAB" w:rsidR="001B5937" w:rsidRPr="00B6361D" w:rsidRDefault="001B5937" w:rsidP="001B5937">
      <w:pPr>
        <w:spacing w:before="120" w:line="360" w:lineRule="auto"/>
        <w:jc w:val="both"/>
        <w:rPr>
          <w:rFonts w:ascii="Times New Roman" w:hAnsi="Times New Roman"/>
          <w:color w:val="auto"/>
        </w:rPr>
      </w:pPr>
      <w:r>
        <w:rPr>
          <w:rFonts w:ascii="Times New Roman" w:hAnsi="Times New Roman"/>
          <w:b/>
          <w:bCs/>
        </w:rPr>
        <w:tab/>
      </w:r>
      <w:r w:rsidRPr="00B6361D">
        <w:rPr>
          <w:rFonts w:ascii="Times New Roman" w:hAnsi="Times New Roman"/>
          <w:color w:val="auto"/>
        </w:rPr>
        <w:t xml:space="preserve">Details on the likelihood </w:t>
      </w:r>
      <w:r w:rsidR="004E7DC8">
        <w:rPr>
          <w:rFonts w:ascii="Times New Roman" w:hAnsi="Times New Roman"/>
          <w:color w:val="auto"/>
        </w:rPr>
        <w:t xml:space="preserve">of receiving </w:t>
      </w:r>
      <w:r w:rsidRPr="00B6361D">
        <w:rPr>
          <w:rFonts w:ascii="Times New Roman" w:hAnsi="Times New Roman"/>
          <w:color w:val="auto"/>
        </w:rPr>
        <w:t xml:space="preserve">each therapy with migration, resulting from multivariable multinomial regression, are reported in the </w:t>
      </w:r>
      <w:r w:rsidRPr="00B6361D">
        <w:rPr>
          <w:rFonts w:ascii="Times New Roman" w:hAnsi="Times New Roman"/>
          <w:i/>
          <w:iCs/>
          <w:color w:val="auto"/>
          <w:u w:val="single"/>
        </w:rPr>
        <w:t>Figure 2</w:t>
      </w:r>
      <w:r w:rsidRPr="00B6361D">
        <w:rPr>
          <w:rFonts w:ascii="Times New Roman" w:hAnsi="Times New Roman"/>
          <w:color w:val="auto"/>
        </w:rPr>
        <w:t xml:space="preserve">. </w:t>
      </w:r>
      <w:r>
        <w:rPr>
          <w:rFonts w:ascii="Times New Roman" w:hAnsi="Times New Roman"/>
          <w:color w:val="auto"/>
        </w:rPr>
        <w:t>T</w:t>
      </w:r>
      <w:r w:rsidRPr="00B6361D">
        <w:rPr>
          <w:rFonts w:ascii="Times New Roman" w:hAnsi="Times New Roman"/>
          <w:color w:val="auto"/>
        </w:rPr>
        <w:t xml:space="preserve">he migration of patients from the least deprived region toward more deprived regions returned a -6.8% probability of </w:t>
      </w:r>
      <w:r>
        <w:rPr>
          <w:rFonts w:ascii="Times New Roman" w:hAnsi="Times New Roman"/>
          <w:color w:val="auto"/>
        </w:rPr>
        <w:t>underg</w:t>
      </w:r>
      <w:r w:rsidR="00D5045C">
        <w:rPr>
          <w:rFonts w:ascii="Times New Roman" w:hAnsi="Times New Roman"/>
          <w:color w:val="auto"/>
        </w:rPr>
        <w:t>o</w:t>
      </w:r>
      <w:r w:rsidR="004A4E56">
        <w:rPr>
          <w:rFonts w:ascii="Times New Roman" w:hAnsi="Times New Roman"/>
          <w:color w:val="auto"/>
        </w:rPr>
        <w:t>ing</w:t>
      </w:r>
      <w:r>
        <w:rPr>
          <w:rFonts w:ascii="Times New Roman" w:hAnsi="Times New Roman"/>
          <w:color w:val="auto"/>
        </w:rPr>
        <w:t xml:space="preserve"> ABL </w:t>
      </w:r>
      <w:r w:rsidRPr="00B6361D">
        <w:rPr>
          <w:rFonts w:ascii="Times New Roman" w:hAnsi="Times New Roman"/>
          <w:color w:val="auto"/>
        </w:rPr>
        <w:t>(p=0.011) a</w:t>
      </w:r>
      <w:r>
        <w:rPr>
          <w:rFonts w:ascii="Times New Roman" w:hAnsi="Times New Roman"/>
          <w:color w:val="auto"/>
        </w:rPr>
        <w:t xml:space="preserve"> +</w:t>
      </w:r>
      <w:r w:rsidRPr="00B6361D">
        <w:rPr>
          <w:rFonts w:ascii="Times New Roman" w:hAnsi="Times New Roman"/>
          <w:color w:val="auto"/>
        </w:rPr>
        <w:t>2.9% of receiv</w:t>
      </w:r>
      <w:r>
        <w:rPr>
          <w:rFonts w:ascii="Times New Roman" w:hAnsi="Times New Roman"/>
          <w:color w:val="auto"/>
        </w:rPr>
        <w:t>ing</w:t>
      </w:r>
      <w:r w:rsidRPr="00B6361D">
        <w:rPr>
          <w:rFonts w:ascii="Times New Roman" w:hAnsi="Times New Roman"/>
          <w:color w:val="auto"/>
        </w:rPr>
        <w:t xml:space="preserve"> palliative therapies (p=0.041). Patients from the intermediate deprived regions had a </w:t>
      </w:r>
      <w:r>
        <w:rPr>
          <w:rFonts w:ascii="Times New Roman" w:hAnsi="Times New Roman"/>
          <w:color w:val="auto"/>
        </w:rPr>
        <w:t xml:space="preserve">2.4% </w:t>
      </w:r>
      <w:r w:rsidRPr="00B6361D">
        <w:rPr>
          <w:rFonts w:ascii="Times New Roman" w:hAnsi="Times New Roman"/>
          <w:color w:val="auto"/>
        </w:rPr>
        <w:t>reduction of probabilit</w:t>
      </w:r>
      <w:r>
        <w:rPr>
          <w:rFonts w:ascii="Times New Roman" w:hAnsi="Times New Roman"/>
          <w:color w:val="auto"/>
        </w:rPr>
        <w:t>y</w:t>
      </w:r>
      <w:r w:rsidRPr="00B6361D">
        <w:rPr>
          <w:rFonts w:ascii="Times New Roman" w:hAnsi="Times New Roman"/>
          <w:color w:val="auto"/>
        </w:rPr>
        <w:t xml:space="preserve"> of receiv</w:t>
      </w:r>
      <w:r>
        <w:rPr>
          <w:rFonts w:ascii="Times New Roman" w:hAnsi="Times New Roman"/>
          <w:color w:val="auto"/>
        </w:rPr>
        <w:t>ing</w:t>
      </w:r>
      <w:r w:rsidRPr="00B6361D">
        <w:rPr>
          <w:rFonts w:ascii="Times New Roman" w:hAnsi="Times New Roman"/>
          <w:color w:val="auto"/>
        </w:rPr>
        <w:t xml:space="preserve"> palliative therapies if they move</w:t>
      </w:r>
      <w:r w:rsidR="00D5045C">
        <w:rPr>
          <w:rFonts w:ascii="Times New Roman" w:hAnsi="Times New Roman"/>
          <w:color w:val="auto"/>
        </w:rPr>
        <w:t>d</w:t>
      </w:r>
      <w:r w:rsidRPr="00B6361D">
        <w:rPr>
          <w:rFonts w:ascii="Times New Roman" w:hAnsi="Times New Roman"/>
          <w:color w:val="auto"/>
        </w:rPr>
        <w:t xml:space="preserve"> toward the least deprived regions (p=0.002). </w:t>
      </w:r>
      <w:r>
        <w:rPr>
          <w:rFonts w:ascii="Times New Roman" w:hAnsi="Times New Roman"/>
          <w:color w:val="auto"/>
        </w:rPr>
        <w:t>P</w:t>
      </w:r>
      <w:r w:rsidRPr="00B6361D">
        <w:rPr>
          <w:rFonts w:ascii="Times New Roman" w:hAnsi="Times New Roman"/>
          <w:color w:val="auto"/>
        </w:rPr>
        <w:t xml:space="preserve">atients who moved from the most deprived regions to the less deprived regions, increased their probabilities of </w:t>
      </w:r>
      <w:r>
        <w:rPr>
          <w:rFonts w:ascii="Times New Roman" w:hAnsi="Times New Roman"/>
          <w:color w:val="auto"/>
        </w:rPr>
        <w:t>LT</w:t>
      </w:r>
      <w:r w:rsidRPr="00B6361D">
        <w:rPr>
          <w:rFonts w:ascii="Times New Roman" w:hAnsi="Times New Roman"/>
          <w:color w:val="auto"/>
        </w:rPr>
        <w:t xml:space="preserve"> of 2.5% (p=0.003) and of </w:t>
      </w:r>
      <w:r>
        <w:rPr>
          <w:rFonts w:ascii="Times New Roman" w:hAnsi="Times New Roman"/>
          <w:color w:val="auto"/>
        </w:rPr>
        <w:t xml:space="preserve">HR </w:t>
      </w:r>
      <w:r w:rsidRPr="00B6361D">
        <w:rPr>
          <w:rFonts w:ascii="Times New Roman" w:hAnsi="Times New Roman"/>
          <w:color w:val="auto"/>
        </w:rPr>
        <w:t xml:space="preserve">of 6.9% (p=0.007). </w:t>
      </w:r>
    </w:p>
    <w:p w14:paraId="2C9B6646" w14:textId="77777777" w:rsidR="001B5937" w:rsidRDefault="001B5937" w:rsidP="001B5937">
      <w:pPr>
        <w:spacing w:before="120" w:line="360" w:lineRule="auto"/>
        <w:jc w:val="both"/>
        <w:rPr>
          <w:rFonts w:ascii="Times New Roman" w:hAnsi="Times New Roman"/>
          <w:b/>
          <w:bCs/>
        </w:rPr>
      </w:pPr>
      <w:r>
        <w:rPr>
          <w:rFonts w:ascii="Times New Roman" w:hAnsi="Times New Roman"/>
          <w:b/>
          <w:bCs/>
        </w:rPr>
        <w:t>Final impact on overall survival</w:t>
      </w:r>
    </w:p>
    <w:p w14:paraId="60AF60B2" w14:textId="1E1A4147" w:rsidR="001B5937" w:rsidRDefault="001B5937" w:rsidP="001B5937">
      <w:pPr>
        <w:spacing w:line="360" w:lineRule="auto"/>
        <w:jc w:val="both"/>
        <w:rPr>
          <w:rFonts w:ascii="Times New Roman" w:hAnsi="Times New Roman"/>
        </w:rPr>
      </w:pPr>
      <w:r>
        <w:rPr>
          <w:rFonts w:ascii="Times New Roman" w:hAnsi="Times New Roman"/>
        </w:rPr>
        <w:tab/>
        <w:t>When survival was simply stratified by patients’ deprivation regions, no differences were observed between the three deprivation tertiles</w:t>
      </w:r>
      <w:r w:rsidR="004A4E56">
        <w:rPr>
          <w:rFonts w:ascii="Times New Roman" w:hAnsi="Times New Roman"/>
        </w:rPr>
        <w:t xml:space="preserve">. Thus the </w:t>
      </w:r>
      <w:r>
        <w:rPr>
          <w:rFonts w:ascii="Times New Roman" w:hAnsi="Times New Roman"/>
        </w:rPr>
        <w:t>median survival</w:t>
      </w:r>
      <w:r w:rsidR="004A4E56">
        <w:rPr>
          <w:rFonts w:ascii="Times New Roman" w:hAnsi="Times New Roman"/>
        </w:rPr>
        <w:t xml:space="preserve"> was </w:t>
      </w:r>
      <w:r>
        <w:rPr>
          <w:rFonts w:ascii="Times New Roman" w:hAnsi="Times New Roman"/>
        </w:rPr>
        <w:t>42 months (95%C.I.: 37.3 – 47.5) for patients belonging to the least deprived regions, 36.2 months (95%C.I.: 29.1 – 42.3) for the intermediate regions and 39.2 months (95%C.I.: 31.1 – 44.3) for patients from the most deprived regions (p=0.108).</w:t>
      </w:r>
    </w:p>
    <w:p w14:paraId="431D81A1" w14:textId="7EC4104D" w:rsidR="001B5937" w:rsidRDefault="001B5937" w:rsidP="001B5937">
      <w:pPr>
        <w:spacing w:line="360" w:lineRule="auto"/>
        <w:ind w:firstLine="420"/>
        <w:jc w:val="both"/>
        <w:rPr>
          <w:rFonts w:ascii="Times New Roman" w:hAnsi="Times New Roman"/>
        </w:rPr>
      </w:pPr>
      <w:r w:rsidRPr="00B6361D">
        <w:rPr>
          <w:rFonts w:ascii="Times New Roman" w:hAnsi="Times New Roman"/>
          <w:color w:val="auto"/>
        </w:rPr>
        <w:t>Determinants of patient survival (</w:t>
      </w:r>
      <w:r w:rsidRPr="00B6361D">
        <w:rPr>
          <w:rFonts w:ascii="Times New Roman" w:hAnsi="Times New Roman"/>
          <w:i/>
          <w:iCs/>
          <w:color w:val="auto"/>
          <w:u w:val="single"/>
        </w:rPr>
        <w:t>Table 5</w:t>
      </w:r>
      <w:r w:rsidRPr="00B6361D">
        <w:rPr>
          <w:rFonts w:ascii="Times New Roman" w:hAnsi="Times New Roman"/>
          <w:color w:val="auto"/>
        </w:rPr>
        <w:t xml:space="preserve">) were age, tumour burden, liver function, performance status and neoplastic vascular invasion, with a similar magnitude through different regions (p&lt;0.05 for each variable in each region). </w:t>
      </w:r>
      <w:r>
        <w:rPr>
          <w:rFonts w:ascii="Times New Roman" w:hAnsi="Times New Roman"/>
          <w:color w:val="auto"/>
        </w:rPr>
        <w:t>Moreover</w:t>
      </w:r>
      <w:r w:rsidRPr="00B6361D">
        <w:rPr>
          <w:rFonts w:ascii="Times New Roman" w:hAnsi="Times New Roman"/>
          <w:color w:val="auto"/>
        </w:rPr>
        <w:t>, multivariable analysis revealed that</w:t>
      </w:r>
      <w:r>
        <w:rPr>
          <w:rFonts w:ascii="Times New Roman" w:hAnsi="Times New Roman"/>
          <w:color w:val="auto"/>
        </w:rPr>
        <w:t>,</w:t>
      </w:r>
      <w:r w:rsidRPr="00B6361D">
        <w:rPr>
          <w:rFonts w:ascii="Times New Roman" w:hAnsi="Times New Roman"/>
          <w:color w:val="auto"/>
        </w:rPr>
        <w:t xml:space="preserve"> for </w:t>
      </w:r>
      <w:r w:rsidRPr="005D7325">
        <w:rPr>
          <w:rFonts w:ascii="Times New Roman" w:hAnsi="Times New Roman"/>
        </w:rPr>
        <w:t xml:space="preserve">patients belonging to the most deprived regions, the possibility </w:t>
      </w:r>
      <w:r w:rsidR="004A4E56">
        <w:rPr>
          <w:rFonts w:ascii="Times New Roman" w:hAnsi="Times New Roman"/>
        </w:rPr>
        <w:t xml:space="preserve">of travelling </w:t>
      </w:r>
      <w:r w:rsidRPr="005D7325">
        <w:rPr>
          <w:rFonts w:ascii="Times New Roman" w:hAnsi="Times New Roman"/>
        </w:rPr>
        <w:lastRenderedPageBreak/>
        <w:t xml:space="preserve">to </w:t>
      </w:r>
      <w:r w:rsidR="004A4E56">
        <w:rPr>
          <w:rFonts w:ascii="Times New Roman" w:hAnsi="Times New Roman"/>
        </w:rPr>
        <w:t xml:space="preserve">a </w:t>
      </w:r>
      <w:r w:rsidRPr="005D7325">
        <w:rPr>
          <w:rFonts w:ascii="Times New Roman" w:hAnsi="Times New Roman"/>
        </w:rPr>
        <w:t>less deprived regions increased survival probabilities</w:t>
      </w:r>
      <w:r>
        <w:rPr>
          <w:rFonts w:ascii="Times New Roman" w:hAnsi="Times New Roman"/>
        </w:rPr>
        <w:t>,</w:t>
      </w:r>
      <w:r w:rsidRPr="005D7325">
        <w:rPr>
          <w:rFonts w:ascii="Times New Roman" w:hAnsi="Times New Roman"/>
        </w:rPr>
        <w:t xml:space="preserve"> being the hazard ratio</w:t>
      </w:r>
      <w:r>
        <w:rPr>
          <w:rFonts w:ascii="Times New Roman" w:hAnsi="Times New Roman"/>
        </w:rPr>
        <w:t>, adjusted for clinical determinants,</w:t>
      </w:r>
      <w:r w:rsidRPr="005D7325">
        <w:rPr>
          <w:rFonts w:ascii="Times New Roman" w:hAnsi="Times New Roman"/>
        </w:rPr>
        <w:t xml:space="preserve"> of </w:t>
      </w:r>
      <w:r w:rsidRPr="005D7325">
        <w:rPr>
          <w:rFonts w:ascii="Times New Roman" w:hAnsi="Times New Roman" w:cs="Times New Roman"/>
        </w:rPr>
        <w:t xml:space="preserve"> 0.78 (95%C.I.: 0.67 – 0.90</w:t>
      </w:r>
      <w:r>
        <w:rPr>
          <w:rFonts w:ascii="Times New Roman" w:hAnsi="Times New Roman" w:cs="Times New Roman"/>
        </w:rPr>
        <w:t xml:space="preserve">; </w:t>
      </w:r>
      <w:r w:rsidRPr="005D7325">
        <w:rPr>
          <w:rFonts w:ascii="Times New Roman" w:hAnsi="Times New Roman" w:cs="Times New Roman"/>
        </w:rPr>
        <w:t>p=0.001).</w:t>
      </w:r>
      <w:r w:rsidRPr="005D7325">
        <w:rPr>
          <w:rFonts w:ascii="Times New Roman" w:hAnsi="Times New Roman"/>
        </w:rPr>
        <w:t xml:space="preserve"> </w:t>
      </w:r>
    </w:p>
    <w:p w14:paraId="230DD3EE" w14:textId="64882694" w:rsidR="00CF04FA" w:rsidRDefault="00CF04FA" w:rsidP="001B5937">
      <w:pPr>
        <w:spacing w:line="360" w:lineRule="auto"/>
        <w:ind w:firstLine="420"/>
        <w:jc w:val="both"/>
        <w:rPr>
          <w:rFonts w:ascii="Times New Roman" w:hAnsi="Times New Roman"/>
        </w:rPr>
      </w:pPr>
    </w:p>
    <w:p w14:paraId="50116D85" w14:textId="6B291A67" w:rsidR="001B5937" w:rsidRPr="001B0B38" w:rsidRDefault="001B5937" w:rsidP="009B1DA5">
      <w:pPr>
        <w:spacing w:after="120" w:line="360" w:lineRule="auto"/>
        <w:rPr>
          <w:rFonts w:ascii="Times New Roman" w:hAnsi="Times New Roman" w:cs="Times New Roman"/>
          <w:b/>
          <w:bCs/>
          <w:sz w:val="28"/>
          <w:szCs w:val="28"/>
        </w:rPr>
      </w:pPr>
      <w:r>
        <w:rPr>
          <w:rFonts w:ascii="Times New Roman" w:hAnsi="Times New Roman"/>
          <w:b/>
          <w:bCs/>
          <w:sz w:val="28"/>
          <w:szCs w:val="28"/>
        </w:rPr>
        <w:br w:type="page"/>
      </w:r>
      <w:r w:rsidRPr="001B0B38">
        <w:rPr>
          <w:rFonts w:ascii="Times New Roman" w:hAnsi="Times New Roman" w:cs="Times New Roman"/>
          <w:b/>
          <w:bCs/>
          <w:sz w:val="28"/>
          <w:szCs w:val="28"/>
        </w:rPr>
        <w:lastRenderedPageBreak/>
        <w:t>DISCUSSION</w:t>
      </w:r>
    </w:p>
    <w:p w14:paraId="5F081025" w14:textId="2A9B77C4" w:rsidR="002E58BF" w:rsidRDefault="007E1EDD" w:rsidP="001B5937">
      <w:pPr>
        <w:spacing w:line="360" w:lineRule="auto"/>
        <w:ind w:firstLine="420"/>
        <w:jc w:val="both"/>
        <w:rPr>
          <w:rFonts w:hint="eastAsia"/>
          <w:color w:val="auto"/>
        </w:rPr>
      </w:pPr>
      <w:r w:rsidRPr="001B0B38">
        <w:rPr>
          <w:rFonts w:ascii="Times New Roman" w:hAnsi="Times New Roman" w:cs="Times New Roman"/>
        </w:rPr>
        <w:t>The</w:t>
      </w:r>
      <w:r w:rsidR="001B5937" w:rsidRPr="001B0B38">
        <w:rPr>
          <w:rFonts w:ascii="Times New Roman" w:hAnsi="Times New Roman" w:cs="Times New Roman"/>
        </w:rPr>
        <w:t xml:space="preserve"> </w:t>
      </w:r>
      <w:r w:rsidR="001B5937" w:rsidRPr="001B0B38">
        <w:rPr>
          <w:rFonts w:ascii="Times New Roman" w:hAnsi="Times New Roman" w:cs="Times New Roman"/>
          <w:color w:val="auto"/>
        </w:rPr>
        <w:t xml:space="preserve">landmark study of Preston et al.in 1975, </w:t>
      </w:r>
      <w:r w:rsidRPr="001B0B38">
        <w:rPr>
          <w:rFonts w:ascii="Times New Roman" w:hAnsi="Times New Roman" w:cs="Times New Roman"/>
          <w:color w:val="auto"/>
        </w:rPr>
        <w:t>established the</w:t>
      </w:r>
      <w:r w:rsidR="001B5937" w:rsidRPr="001B0B38">
        <w:rPr>
          <w:rFonts w:ascii="Times New Roman" w:hAnsi="Times New Roman" w:cs="Times New Roman"/>
          <w:color w:val="auto"/>
        </w:rPr>
        <w:t xml:space="preserve"> relationship between the national income and life expectancy</w:t>
      </w:r>
      <w:r w:rsidR="001B0B38" w:rsidRPr="001B0B38">
        <w:rPr>
          <w:rFonts w:ascii="Times New Roman" w:hAnsi="Times New Roman" w:cs="Times New Roman"/>
          <w:color w:val="auto"/>
        </w:rPr>
        <w:t xml:space="preserve"> </w:t>
      </w:r>
      <w:r w:rsidR="001B0B38" w:rsidRPr="001B0B38">
        <w:rPr>
          <w:rFonts w:ascii="Times New Roman" w:hAnsi="Times New Roman" w:cs="Times New Roman"/>
          <w:i/>
          <w:iCs/>
          <w:color w:val="auto"/>
        </w:rPr>
        <w:t>[</w:t>
      </w:r>
      <w:r w:rsidR="001B0B38" w:rsidRPr="001B0B38">
        <w:rPr>
          <w:rFonts w:ascii="Times New Roman" w:eastAsia="Liberation Serif" w:hAnsi="Times New Roman" w:cs="Times New Roman"/>
          <w:i/>
          <w:iCs/>
          <w:lang w:val="en-US" w:eastAsia="en-GB" w:bidi="ar-SA"/>
        </w:rPr>
        <w:t>Population Studies 1975</w:t>
      </w:r>
      <w:proofErr w:type="gramStart"/>
      <w:r w:rsidR="001B0B38" w:rsidRPr="001B0B38">
        <w:rPr>
          <w:rFonts w:ascii="Times New Roman" w:eastAsia="Liberation Serif" w:hAnsi="Times New Roman" w:cs="Times New Roman"/>
          <w:i/>
          <w:iCs/>
          <w:lang w:val="en-US" w:eastAsia="en-GB" w:bidi="ar-SA"/>
        </w:rPr>
        <w:t>;29</w:t>
      </w:r>
      <w:proofErr w:type="gramEnd"/>
      <w:r w:rsidR="001B0B38" w:rsidRPr="001B0B38">
        <w:rPr>
          <w:rFonts w:ascii="Times New Roman" w:eastAsia="Liberation Serif" w:hAnsi="Times New Roman" w:cs="Times New Roman"/>
          <w:i/>
          <w:iCs/>
          <w:lang w:val="en-US" w:eastAsia="en-GB" w:bidi="ar-SA"/>
        </w:rPr>
        <w:t>(2):231-48]</w:t>
      </w:r>
      <w:r w:rsidRPr="001B0B38">
        <w:rPr>
          <w:rFonts w:ascii="Times New Roman" w:hAnsi="Times New Roman" w:cs="Times New Roman"/>
          <w:color w:val="auto"/>
        </w:rPr>
        <w:t xml:space="preserve">. At the </w:t>
      </w:r>
      <w:r w:rsidRPr="00C55611">
        <w:rPr>
          <w:rFonts w:ascii="Times New Roman" w:hAnsi="Times New Roman" w:cs="Times New Roman"/>
          <w:color w:val="000000" w:themeColor="text1"/>
        </w:rPr>
        <w:t xml:space="preserve">population-level </w:t>
      </w:r>
      <w:r w:rsidR="001B5937" w:rsidRPr="00C55611">
        <w:rPr>
          <w:rFonts w:ascii="Times New Roman" w:hAnsi="Times New Roman" w:cs="Times New Roman"/>
          <w:color w:val="000000" w:themeColor="text1"/>
        </w:rPr>
        <w:t xml:space="preserve">this is </w:t>
      </w:r>
      <w:r w:rsidRPr="00C55611">
        <w:rPr>
          <w:rFonts w:ascii="Times New Roman" w:hAnsi="Times New Roman" w:cs="Times New Roman"/>
          <w:color w:val="000000" w:themeColor="text1"/>
        </w:rPr>
        <w:t xml:space="preserve">to be expected as </w:t>
      </w:r>
      <w:r w:rsidR="001B5937" w:rsidRPr="00C55611">
        <w:rPr>
          <w:rFonts w:ascii="Times New Roman" w:hAnsi="Times New Roman" w:cs="Times New Roman"/>
          <w:color w:val="000000" w:themeColor="text1"/>
        </w:rPr>
        <w:t xml:space="preserve">the protective effects of income are substantial. </w:t>
      </w:r>
      <w:r w:rsidR="009B1DA5" w:rsidRPr="00C55611">
        <w:rPr>
          <w:rFonts w:ascii="Times New Roman" w:hAnsi="Times New Roman" w:cs="Times New Roman"/>
          <w:color w:val="000000" w:themeColor="text1"/>
        </w:rPr>
        <w:t>T</w:t>
      </w:r>
      <w:r w:rsidR="001B5937" w:rsidRPr="00C55611">
        <w:rPr>
          <w:rFonts w:ascii="Times New Roman" w:hAnsi="Times New Roman" w:cs="Times New Roman"/>
          <w:color w:val="000000" w:themeColor="text1"/>
        </w:rPr>
        <w:t>he present study</w:t>
      </w:r>
      <w:r w:rsidR="009B1DA5" w:rsidRPr="00C55611">
        <w:rPr>
          <w:rFonts w:ascii="Times New Roman" w:hAnsi="Times New Roman" w:cs="Times New Roman"/>
          <w:color w:val="000000" w:themeColor="text1"/>
        </w:rPr>
        <w:t xml:space="preserve"> </w:t>
      </w:r>
      <w:r w:rsidR="00C55611" w:rsidRPr="00C55611">
        <w:rPr>
          <w:rFonts w:ascii="Times New Roman" w:hAnsi="Times New Roman" w:cs="Times New Roman"/>
          <w:color w:val="000000" w:themeColor="text1"/>
        </w:rPr>
        <w:t xml:space="preserve">which </w:t>
      </w:r>
      <w:r w:rsidR="009B1DA5" w:rsidRPr="00C55611">
        <w:rPr>
          <w:rFonts w:ascii="Times New Roman" w:hAnsi="Times New Roman" w:cs="Times New Roman"/>
          <w:color w:val="000000" w:themeColor="text1"/>
        </w:rPr>
        <w:t>focused on HCC patients</w:t>
      </w:r>
      <w:r w:rsidR="00C55611" w:rsidRPr="00C55611">
        <w:rPr>
          <w:rFonts w:ascii="Times New Roman" w:hAnsi="Times New Roman" w:cs="Times New Roman"/>
          <w:color w:val="000000" w:themeColor="text1"/>
        </w:rPr>
        <w:t xml:space="preserve"> </w:t>
      </w:r>
      <w:r w:rsidR="001B5937" w:rsidRPr="00C55611">
        <w:rPr>
          <w:rFonts w:ascii="Times New Roman" w:hAnsi="Times New Roman" w:cs="Times New Roman"/>
          <w:color w:val="000000" w:themeColor="text1"/>
        </w:rPr>
        <w:t>suggests</w:t>
      </w:r>
      <w:r w:rsidR="009B1DA5" w:rsidRPr="00C55611">
        <w:rPr>
          <w:rFonts w:ascii="Times New Roman" w:hAnsi="Times New Roman" w:cs="Times New Roman"/>
          <w:color w:val="000000" w:themeColor="text1"/>
        </w:rPr>
        <w:t>,</w:t>
      </w:r>
      <w:r w:rsidR="001B5937" w:rsidRPr="00C55611">
        <w:rPr>
          <w:rFonts w:ascii="Times New Roman" w:hAnsi="Times New Roman" w:cs="Times New Roman"/>
          <w:color w:val="000000" w:themeColor="text1"/>
        </w:rPr>
        <w:t xml:space="preserve"> </w:t>
      </w:r>
      <w:r w:rsidR="009B1DA5" w:rsidRPr="00C55611">
        <w:rPr>
          <w:rFonts w:ascii="Times New Roman" w:hAnsi="Times New Roman" w:cs="Times New Roman"/>
          <w:color w:val="000000" w:themeColor="text1"/>
        </w:rPr>
        <w:t xml:space="preserve">however, that </w:t>
      </w:r>
      <w:r w:rsidR="001B5937" w:rsidRPr="00C55611">
        <w:rPr>
          <w:rFonts w:ascii="Times New Roman" w:hAnsi="Times New Roman" w:cs="Times New Roman"/>
          <w:color w:val="000000" w:themeColor="text1"/>
        </w:rPr>
        <w:t xml:space="preserve">there are other aspects to consider when </w:t>
      </w:r>
      <w:r w:rsidR="009B1DA5" w:rsidRPr="00C55611">
        <w:rPr>
          <w:rFonts w:ascii="Times New Roman" w:hAnsi="Times New Roman" w:cs="Times New Roman"/>
          <w:color w:val="000000" w:themeColor="text1"/>
        </w:rPr>
        <w:t xml:space="preserve">evaluating </w:t>
      </w:r>
      <w:r w:rsidR="001B5937" w:rsidRPr="00C55611">
        <w:rPr>
          <w:rFonts w:ascii="Times New Roman" w:hAnsi="Times New Roman" w:cs="Times New Roman"/>
          <w:color w:val="000000" w:themeColor="text1"/>
        </w:rPr>
        <w:t>how socio-economic status can affect health and outcome</w:t>
      </w:r>
      <w:r w:rsidR="00C55611" w:rsidRPr="00C55611">
        <w:rPr>
          <w:rFonts w:ascii="Times New Roman" w:hAnsi="Times New Roman" w:cs="Times New Roman"/>
          <w:color w:val="000000" w:themeColor="text1"/>
        </w:rPr>
        <w:t>.</w:t>
      </w:r>
    </w:p>
    <w:p w14:paraId="6423328F" w14:textId="0D0069E5" w:rsidR="001B5937" w:rsidRDefault="001B5937" w:rsidP="001B5937">
      <w:pPr>
        <w:spacing w:line="360" w:lineRule="auto"/>
        <w:ind w:firstLine="420"/>
        <w:jc w:val="both"/>
        <w:rPr>
          <w:rFonts w:hint="eastAsia"/>
          <w:color w:val="auto"/>
        </w:rPr>
      </w:pPr>
      <w:r w:rsidRPr="00B6361D">
        <w:rPr>
          <w:rFonts w:ascii="Times New Roman" w:hAnsi="Times New Roman"/>
          <w:color w:val="auto"/>
        </w:rPr>
        <w:t xml:space="preserve">Italy is classified by the World Bank as </w:t>
      </w:r>
      <w:r>
        <w:rPr>
          <w:rFonts w:ascii="Times New Roman" w:hAnsi="Times New Roman"/>
          <w:color w:val="auto"/>
        </w:rPr>
        <w:t>a country with</w:t>
      </w:r>
      <w:r w:rsidR="002E58BF">
        <w:rPr>
          <w:rFonts w:ascii="Times New Roman" w:hAnsi="Times New Roman"/>
          <w:color w:val="auto"/>
        </w:rPr>
        <w:t xml:space="preserve"> a</w:t>
      </w:r>
      <w:r>
        <w:rPr>
          <w:rFonts w:ascii="Times New Roman" w:hAnsi="Times New Roman"/>
          <w:color w:val="auto"/>
        </w:rPr>
        <w:t xml:space="preserve"> </w:t>
      </w:r>
      <w:r w:rsidRPr="00B6361D">
        <w:rPr>
          <w:rFonts w:ascii="Times New Roman" w:hAnsi="Times New Roman"/>
          <w:color w:val="auto"/>
        </w:rPr>
        <w:t xml:space="preserve">“high-income economy” </w:t>
      </w:r>
      <w:r w:rsidR="00D45277" w:rsidRPr="00D45277">
        <w:rPr>
          <w:rFonts w:ascii="Times New Roman" w:hAnsi="Times New Roman"/>
          <w:i/>
          <w:iCs/>
          <w:color w:val="auto"/>
        </w:rPr>
        <w:t>[</w:t>
      </w:r>
      <w:r w:rsidR="00D45277" w:rsidRPr="00D45277">
        <w:rPr>
          <w:rFonts w:ascii="Times New Roman" w:hAnsi="Times New Roman" w:hint="eastAsia"/>
          <w:i/>
          <w:iCs/>
          <w:color w:val="auto"/>
        </w:rPr>
        <w:t>Country and Lending Groups. World Bank. Accessed on March 1, 2020.</w:t>
      </w:r>
      <w:r w:rsidR="00D45277" w:rsidRPr="00D45277">
        <w:rPr>
          <w:rFonts w:ascii="Times New Roman" w:hAnsi="Times New Roman"/>
          <w:i/>
          <w:iCs/>
          <w:color w:val="auto"/>
        </w:rPr>
        <w:t>]</w:t>
      </w:r>
      <w:r w:rsidR="00D5045C">
        <w:rPr>
          <w:rFonts w:ascii="Times New Roman" w:hAnsi="Times New Roman"/>
          <w:i/>
          <w:iCs/>
          <w:color w:val="auto"/>
        </w:rPr>
        <w:t>,</w:t>
      </w:r>
      <w:r w:rsidR="00D45277">
        <w:rPr>
          <w:rFonts w:ascii="Times New Roman" w:hAnsi="Times New Roman"/>
          <w:color w:val="auto"/>
        </w:rPr>
        <w:t xml:space="preserve"> </w:t>
      </w:r>
      <w:r w:rsidRPr="00B6361D">
        <w:rPr>
          <w:rFonts w:ascii="Times New Roman" w:hAnsi="Times New Roman"/>
          <w:color w:val="auto"/>
        </w:rPr>
        <w:t xml:space="preserve">and with more than 20 </w:t>
      </w:r>
      <w:r>
        <w:rPr>
          <w:rFonts w:ascii="Times New Roman" w:hAnsi="Times New Roman"/>
          <w:color w:val="auto"/>
        </w:rPr>
        <w:t>LT</w:t>
      </w:r>
      <w:r w:rsidRPr="00B6361D">
        <w:rPr>
          <w:rFonts w:ascii="Times New Roman" w:hAnsi="Times New Roman"/>
          <w:color w:val="auto"/>
        </w:rPr>
        <w:t xml:space="preserve"> centres fulfils requirements for being considered as having high resources </w:t>
      </w:r>
      <w:r w:rsidR="002E58BF">
        <w:rPr>
          <w:rFonts w:ascii="Times New Roman" w:hAnsi="Times New Roman"/>
          <w:color w:val="auto"/>
        </w:rPr>
        <w:t>for</w:t>
      </w:r>
      <w:r w:rsidRPr="00B6361D">
        <w:rPr>
          <w:rFonts w:ascii="Times New Roman" w:hAnsi="Times New Roman"/>
          <w:color w:val="auto"/>
        </w:rPr>
        <w:t xml:space="preserve"> the treatment of HCC</w:t>
      </w:r>
      <w:r w:rsidR="00D45277">
        <w:rPr>
          <w:rFonts w:ascii="Times New Roman" w:hAnsi="Times New Roman"/>
          <w:color w:val="auto"/>
        </w:rPr>
        <w:t xml:space="preserve"> [</w:t>
      </w:r>
      <w:r w:rsidR="00D45277">
        <w:rPr>
          <w:rFonts w:ascii="Times New Roman" w:eastAsia="Times New Roman" w:hAnsi="Times New Roman" w:cs="Times New Roman"/>
          <w:i/>
        </w:rPr>
        <w:t>[Nat Rev Gastroenterol Hepatol. 2010</w:t>
      </w:r>
      <w:proofErr w:type="gramStart"/>
      <w:r w:rsidR="00D45277">
        <w:rPr>
          <w:rFonts w:ascii="Times New Roman" w:eastAsia="Times New Roman" w:hAnsi="Times New Roman" w:cs="Times New Roman"/>
          <w:i/>
        </w:rPr>
        <w:t>;7:448</w:t>
      </w:r>
      <w:proofErr w:type="gramEnd"/>
      <w:r w:rsidR="00D45277">
        <w:rPr>
          <w:rFonts w:ascii="Times New Roman" w:eastAsia="Times New Roman" w:hAnsi="Times New Roman" w:cs="Times New Roman"/>
          <w:i/>
        </w:rPr>
        <w:t>–458. Nat Rev Gastroenterol Hepatol. 2019</w:t>
      </w:r>
      <w:proofErr w:type="gramStart"/>
      <w:r w:rsidR="00D45277">
        <w:rPr>
          <w:rFonts w:ascii="Times New Roman" w:eastAsia="Times New Roman" w:hAnsi="Times New Roman" w:cs="Times New Roman"/>
          <w:i/>
        </w:rPr>
        <w:t>;16:589</w:t>
      </w:r>
      <w:proofErr w:type="gramEnd"/>
      <w:r w:rsidR="00D45277">
        <w:rPr>
          <w:rFonts w:ascii="Times New Roman" w:eastAsia="Times New Roman" w:hAnsi="Times New Roman" w:cs="Times New Roman"/>
          <w:i/>
        </w:rPr>
        <w:t>-604]</w:t>
      </w:r>
      <w:r w:rsidR="00D45277">
        <w:rPr>
          <w:rFonts w:ascii="Times New Roman" w:eastAsia="Times New Roman" w:hAnsi="Times New Roman" w:cs="Times New Roman"/>
        </w:rPr>
        <w:t>.</w:t>
      </w:r>
      <w:r>
        <w:rPr>
          <w:rFonts w:ascii="Times New Roman" w:hAnsi="Times New Roman"/>
          <w:color w:val="auto"/>
        </w:rPr>
        <w:t xml:space="preserve"> However, it </w:t>
      </w:r>
      <w:r w:rsidR="002E58BF">
        <w:rPr>
          <w:rFonts w:ascii="Times New Roman" w:hAnsi="Times New Roman"/>
          <w:color w:val="auto"/>
        </w:rPr>
        <w:t>is important to note</w:t>
      </w:r>
      <w:r>
        <w:rPr>
          <w:rFonts w:ascii="Times New Roman" w:hAnsi="Times New Roman"/>
          <w:color w:val="auto"/>
        </w:rPr>
        <w:t xml:space="preserve"> that Italy suffers from </w:t>
      </w:r>
      <w:r w:rsidRPr="00B6361D">
        <w:rPr>
          <w:rFonts w:ascii="Times New Roman" w:hAnsi="Times New Roman"/>
          <w:color w:val="auto"/>
        </w:rPr>
        <w:t xml:space="preserve">high income </w:t>
      </w:r>
      <w:r w:rsidR="002E58BF">
        <w:rPr>
          <w:rFonts w:ascii="Times New Roman" w:hAnsi="Times New Roman"/>
          <w:color w:val="auto"/>
        </w:rPr>
        <w:t>disparities. T</w:t>
      </w:r>
      <w:r>
        <w:rPr>
          <w:rFonts w:ascii="Times New Roman" w:hAnsi="Times New Roman"/>
        </w:rPr>
        <w:t xml:space="preserve">he European Statistical Office (Eurostat) currently places </w:t>
      </w:r>
      <w:r w:rsidR="002E58BF">
        <w:rPr>
          <w:rFonts w:ascii="Times New Roman" w:hAnsi="Times New Roman"/>
        </w:rPr>
        <w:t xml:space="preserve">Italy’s </w:t>
      </w:r>
      <w:r>
        <w:rPr>
          <w:rFonts w:ascii="Times New Roman" w:hAnsi="Times New Roman"/>
        </w:rPr>
        <w:t xml:space="preserve">income inequality ratio above the EU average and the most deprived Italian regions have SMD rates </w:t>
      </w:r>
      <w:r w:rsidR="00C55611">
        <w:rPr>
          <w:rFonts w:ascii="Times New Roman" w:hAnsi="Times New Roman"/>
        </w:rPr>
        <w:t xml:space="preserve">similar to </w:t>
      </w:r>
      <w:r w:rsidR="002E58BF">
        <w:rPr>
          <w:rFonts w:ascii="Times New Roman" w:hAnsi="Times New Roman"/>
        </w:rPr>
        <w:t>t</w:t>
      </w:r>
      <w:r>
        <w:rPr>
          <w:rFonts w:ascii="Times New Roman" w:hAnsi="Times New Roman"/>
        </w:rPr>
        <w:t>hose of lower-income countries</w:t>
      </w:r>
      <w:r w:rsidR="003829A9">
        <w:rPr>
          <w:rFonts w:ascii="Times New Roman" w:hAnsi="Times New Roman"/>
        </w:rPr>
        <w:t xml:space="preserve"> such as Greece, Lithuania and </w:t>
      </w:r>
      <w:r>
        <w:rPr>
          <w:rFonts w:ascii="Times New Roman" w:hAnsi="Times New Roman"/>
        </w:rPr>
        <w:t>Hungary</w:t>
      </w:r>
      <w:r w:rsidR="00D45277">
        <w:rPr>
          <w:rFonts w:ascii="Times New Roman" w:hAnsi="Times New Roman"/>
        </w:rPr>
        <w:t xml:space="preserve"> </w:t>
      </w:r>
      <w:r w:rsidR="00D45277" w:rsidRPr="00D45277">
        <w:rPr>
          <w:rFonts w:ascii="Times New Roman" w:hAnsi="Times New Roman"/>
          <w:i/>
          <w:iCs/>
        </w:rPr>
        <w:t>[</w:t>
      </w:r>
      <w:r w:rsidR="00D45277" w:rsidRPr="00D45277">
        <w:rPr>
          <w:rFonts w:ascii="Times New Roman" w:hAnsi="Times New Roman" w:hint="eastAsia"/>
          <w:i/>
          <w:iCs/>
        </w:rPr>
        <w:t>https://ec.europa.eu/eurostat/web/products-datasets/product?code=tespm151</w:t>
      </w:r>
      <w:r w:rsidR="00D45277" w:rsidRPr="00D45277">
        <w:rPr>
          <w:rFonts w:ascii="Times New Roman" w:hAnsi="Times New Roman"/>
          <w:i/>
          <w:iCs/>
        </w:rPr>
        <w:t>]</w:t>
      </w:r>
      <w:r>
        <w:rPr>
          <w:rFonts w:ascii="Times New Roman" w:hAnsi="Times New Roman"/>
        </w:rPr>
        <w:t>. Our study confirm</w:t>
      </w:r>
      <w:r w:rsidR="00490BFE">
        <w:rPr>
          <w:rFonts w:ascii="Times New Roman" w:hAnsi="Times New Roman"/>
        </w:rPr>
        <w:t>s</w:t>
      </w:r>
      <w:r>
        <w:rPr>
          <w:rFonts w:ascii="Times New Roman" w:hAnsi="Times New Roman"/>
        </w:rPr>
        <w:t xml:space="preserve"> the </w:t>
      </w:r>
      <w:r>
        <w:rPr>
          <w:color w:val="auto"/>
        </w:rPr>
        <w:t>relationship highlighted by the UK n</w:t>
      </w:r>
      <w:r>
        <w:t>ational statistic</w:t>
      </w:r>
      <w:r w:rsidR="00490BFE">
        <w:t>s</w:t>
      </w:r>
      <w:r w:rsidR="00D45277">
        <w:t xml:space="preserve"> </w:t>
      </w:r>
      <w:r w:rsidR="00D45277">
        <w:rPr>
          <w:rFonts w:ascii="Times New Roman" w:eastAsia="Times New Roman" w:hAnsi="Times New Roman" w:cs="Times New Roman"/>
          <w:i/>
        </w:rPr>
        <w:t>[https://www.cancerresearchuk.org/health-professional/cancer-statistics-for-the-uk]</w:t>
      </w:r>
      <w:r w:rsidR="00490BFE">
        <w:t xml:space="preserve">. </w:t>
      </w:r>
      <w:r>
        <w:t xml:space="preserve"> </w:t>
      </w:r>
      <w:r w:rsidR="005C5EB2">
        <w:t>Overall surv</w:t>
      </w:r>
      <w:r w:rsidR="009B1DA5">
        <w:t>iv</w:t>
      </w:r>
      <w:r w:rsidR="005C5EB2">
        <w:t>al figures are related to</w:t>
      </w:r>
      <w:r w:rsidR="00D5045C">
        <w:t xml:space="preserve"> a</w:t>
      </w:r>
      <w:r w:rsidR="005C5EB2">
        <w:t xml:space="preserve"> </w:t>
      </w:r>
      <w:r w:rsidRPr="00B6361D">
        <w:rPr>
          <w:color w:val="auto"/>
        </w:rPr>
        <w:t>worsening of deprivation</w:t>
      </w:r>
      <w:r>
        <w:rPr>
          <w:color w:val="auto"/>
        </w:rPr>
        <w:t xml:space="preserve"> when</w:t>
      </w:r>
      <w:r w:rsidRPr="00B6361D">
        <w:rPr>
          <w:color w:val="auto"/>
        </w:rPr>
        <w:t xml:space="preserve"> deprivation tertile</w:t>
      </w:r>
      <w:r>
        <w:rPr>
          <w:color w:val="auto"/>
        </w:rPr>
        <w:t>s</w:t>
      </w:r>
      <w:r w:rsidRPr="00B6361D">
        <w:rPr>
          <w:color w:val="auto"/>
        </w:rPr>
        <w:t xml:space="preserve"> </w:t>
      </w:r>
      <w:r>
        <w:rPr>
          <w:color w:val="auto"/>
        </w:rPr>
        <w:t xml:space="preserve">were </w:t>
      </w:r>
      <w:r w:rsidRPr="00B6361D">
        <w:rPr>
          <w:color w:val="auto"/>
        </w:rPr>
        <w:t xml:space="preserve">identified by hospitals’ regions, but not by patients’ regions. </w:t>
      </w:r>
      <w:r w:rsidRPr="00B6361D">
        <w:rPr>
          <w:rFonts w:ascii="Times New Roman" w:hAnsi="Times New Roman"/>
          <w:color w:val="auto"/>
        </w:rPr>
        <w:t xml:space="preserve">These findings suggest that from </w:t>
      </w:r>
      <w:r w:rsidR="00D5045C">
        <w:rPr>
          <w:rFonts w:ascii="Times New Roman" w:hAnsi="Times New Roman"/>
          <w:color w:val="auto"/>
        </w:rPr>
        <w:t xml:space="preserve">the </w:t>
      </w:r>
      <w:r w:rsidRPr="00B6361D">
        <w:rPr>
          <w:rFonts w:ascii="Times New Roman" w:hAnsi="Times New Roman"/>
          <w:color w:val="auto"/>
        </w:rPr>
        <w:t>patient</w:t>
      </w:r>
      <w:r>
        <w:rPr>
          <w:rFonts w:ascii="Times New Roman" w:hAnsi="Times New Roman"/>
          <w:color w:val="auto"/>
        </w:rPr>
        <w:t>s’</w:t>
      </w:r>
      <w:r w:rsidRPr="00B6361D">
        <w:rPr>
          <w:rFonts w:ascii="Times New Roman" w:hAnsi="Times New Roman"/>
          <w:color w:val="auto"/>
        </w:rPr>
        <w:t xml:space="preserve"> perspective, determinants of mortality for HCC are more complex than simply geographical</w:t>
      </w:r>
      <w:r>
        <w:rPr>
          <w:rFonts w:ascii="Times New Roman" w:hAnsi="Times New Roman"/>
          <w:color w:val="auto"/>
        </w:rPr>
        <w:t xml:space="preserve"> origin</w:t>
      </w:r>
      <w:r w:rsidRPr="00B6361D">
        <w:rPr>
          <w:rFonts w:ascii="Times New Roman" w:hAnsi="Times New Roman"/>
          <w:color w:val="auto"/>
        </w:rPr>
        <w:t xml:space="preserve">, and that </w:t>
      </w:r>
      <w:r w:rsidRPr="00B6361D">
        <w:rPr>
          <w:color w:val="auto"/>
        </w:rPr>
        <w:t xml:space="preserve">migration represents </w:t>
      </w:r>
      <w:r>
        <w:rPr>
          <w:color w:val="auto"/>
        </w:rPr>
        <w:t xml:space="preserve">a backbone </w:t>
      </w:r>
      <w:r w:rsidRPr="00B6361D">
        <w:rPr>
          <w:color w:val="auto"/>
        </w:rPr>
        <w:t>of them.</w:t>
      </w:r>
    </w:p>
    <w:p w14:paraId="63141494" w14:textId="6B9264F6" w:rsidR="005C5EB2" w:rsidRPr="005C5EB2" w:rsidRDefault="001B5937" w:rsidP="00C55611">
      <w:pPr>
        <w:spacing w:line="360" w:lineRule="auto"/>
        <w:ind w:firstLine="420"/>
        <w:jc w:val="both"/>
        <w:rPr>
          <w:rStyle w:val="tlid-translation"/>
          <w:rFonts w:hint="eastAsia"/>
          <w:color w:val="FF0000"/>
          <w:lang w:val="en"/>
        </w:rPr>
      </w:pPr>
      <w:r>
        <w:rPr>
          <w:rStyle w:val="tlid-translation"/>
          <w:color w:val="auto"/>
          <w:lang w:val="en"/>
        </w:rPr>
        <w:t>In our study, a</w:t>
      </w:r>
      <w:r w:rsidRPr="00B6361D">
        <w:rPr>
          <w:rStyle w:val="tlid-translation"/>
          <w:color w:val="auto"/>
          <w:lang w:val="en"/>
        </w:rPr>
        <w:t xml:space="preserve"> large proportion of patients </w:t>
      </w:r>
      <w:r>
        <w:rPr>
          <w:rStyle w:val="tlid-translation"/>
          <w:color w:val="auto"/>
          <w:lang w:val="en"/>
        </w:rPr>
        <w:t xml:space="preserve">moved from </w:t>
      </w:r>
      <w:r w:rsidRPr="00B6361D">
        <w:rPr>
          <w:rStyle w:val="tlid-translation"/>
          <w:color w:val="auto"/>
          <w:lang w:val="en"/>
        </w:rPr>
        <w:t>more deprived regions to less deprived</w:t>
      </w:r>
      <w:r>
        <w:rPr>
          <w:rStyle w:val="tlid-translation"/>
          <w:color w:val="auto"/>
          <w:lang w:val="en"/>
        </w:rPr>
        <w:t xml:space="preserve"> ones </w:t>
      </w:r>
      <w:r w:rsidRPr="00B6361D">
        <w:rPr>
          <w:rStyle w:val="tlid-translation"/>
          <w:color w:val="auto"/>
          <w:lang w:val="en"/>
        </w:rPr>
        <w:t xml:space="preserve">in search for </w:t>
      </w:r>
      <w:r w:rsidR="00D5045C">
        <w:rPr>
          <w:rStyle w:val="tlid-translation"/>
          <w:color w:val="auto"/>
          <w:lang w:val="en"/>
        </w:rPr>
        <w:t>better health</w:t>
      </w:r>
      <w:r w:rsidRPr="00B6361D">
        <w:rPr>
          <w:rStyle w:val="tlid-translation"/>
          <w:color w:val="auto"/>
          <w:lang w:val="en"/>
        </w:rPr>
        <w:t xml:space="preserve">care. </w:t>
      </w:r>
      <w:r>
        <w:rPr>
          <w:rStyle w:val="tlid-translation"/>
          <w:color w:val="auto"/>
          <w:lang w:val="en"/>
        </w:rPr>
        <w:t>This phenomenon was particularly evident for individual</w:t>
      </w:r>
      <w:r w:rsidR="00C55611">
        <w:rPr>
          <w:rStyle w:val="tlid-translation"/>
          <w:color w:val="auto"/>
          <w:lang w:val="en"/>
        </w:rPr>
        <w:t>s</w:t>
      </w:r>
      <w:r>
        <w:rPr>
          <w:rStyle w:val="tlid-translation"/>
          <w:color w:val="auto"/>
          <w:lang w:val="en"/>
        </w:rPr>
        <w:t xml:space="preserve"> from the most deprived areas, where it occurred in up to 40% of cases, so that it reversed</w:t>
      </w:r>
      <w:r w:rsidRPr="00B6361D">
        <w:rPr>
          <w:rStyle w:val="tlid-translation"/>
          <w:color w:val="auto"/>
          <w:lang w:val="en"/>
        </w:rPr>
        <w:t xml:space="preserve"> the proportions </w:t>
      </w:r>
      <w:r>
        <w:rPr>
          <w:rStyle w:val="tlid-translation"/>
          <w:color w:val="auto"/>
          <w:lang w:val="en"/>
        </w:rPr>
        <w:t xml:space="preserve">between </w:t>
      </w:r>
      <w:r w:rsidR="00D5045C">
        <w:rPr>
          <w:rStyle w:val="tlid-translation"/>
          <w:color w:val="auto"/>
          <w:lang w:val="en"/>
        </w:rPr>
        <w:t xml:space="preserve">the </w:t>
      </w:r>
      <w:r w:rsidRPr="00B6361D">
        <w:rPr>
          <w:rStyle w:val="tlid-translation"/>
          <w:color w:val="auto"/>
          <w:lang w:val="en"/>
        </w:rPr>
        <w:t xml:space="preserve">patients’ origin </w:t>
      </w:r>
      <w:r>
        <w:rPr>
          <w:rStyle w:val="tlid-translation"/>
          <w:color w:val="auto"/>
          <w:lang w:val="en"/>
        </w:rPr>
        <w:t xml:space="preserve">region </w:t>
      </w:r>
      <w:r w:rsidRPr="00B6361D">
        <w:rPr>
          <w:rStyle w:val="tlid-translation"/>
          <w:color w:val="auto"/>
          <w:lang w:val="en"/>
        </w:rPr>
        <w:t>and hospital region</w:t>
      </w:r>
      <w:r>
        <w:rPr>
          <w:rStyle w:val="tlid-translation"/>
          <w:color w:val="auto"/>
          <w:lang w:val="en"/>
        </w:rPr>
        <w:t xml:space="preserve">. </w:t>
      </w:r>
    </w:p>
    <w:p w14:paraId="355792C2" w14:textId="55F9BBE7" w:rsidR="001B5937" w:rsidRDefault="001B5937" w:rsidP="001B5937">
      <w:pPr>
        <w:spacing w:line="360" w:lineRule="auto"/>
        <w:ind w:firstLine="420"/>
        <w:jc w:val="both"/>
        <w:rPr>
          <w:rStyle w:val="tlid-translation"/>
          <w:rFonts w:hint="eastAsia"/>
          <w:color w:val="auto"/>
          <w:lang w:val="en"/>
        </w:rPr>
      </w:pPr>
      <w:r>
        <w:rPr>
          <w:rStyle w:val="tlid-translation"/>
          <w:color w:val="auto"/>
          <w:lang w:val="en"/>
        </w:rPr>
        <w:t xml:space="preserve">In fact, </w:t>
      </w:r>
      <w:r w:rsidRPr="00B6361D">
        <w:rPr>
          <w:rStyle w:val="tlid-translation"/>
          <w:color w:val="auto"/>
          <w:lang w:val="en"/>
        </w:rPr>
        <w:t xml:space="preserve">most patients </w:t>
      </w:r>
      <w:r>
        <w:rPr>
          <w:rStyle w:val="tlid-translation"/>
          <w:color w:val="auto"/>
          <w:lang w:val="en"/>
        </w:rPr>
        <w:t xml:space="preserve">came from </w:t>
      </w:r>
      <w:r w:rsidRPr="00B6361D">
        <w:rPr>
          <w:rStyle w:val="tlid-translation"/>
          <w:color w:val="auto"/>
          <w:lang w:val="en"/>
        </w:rPr>
        <w:t>more deprived regions</w:t>
      </w:r>
      <w:r w:rsidRPr="00B6361D">
        <w:rPr>
          <w:rStyle w:val="tlid-translation"/>
          <w:rFonts w:hint="eastAsia"/>
          <w:color w:val="auto"/>
          <w:lang w:val="en"/>
        </w:rPr>
        <w:t>,</w:t>
      </w:r>
      <w:r w:rsidRPr="00B6361D">
        <w:rPr>
          <w:rStyle w:val="tlid-translation"/>
          <w:color w:val="auto"/>
          <w:lang w:val="en"/>
        </w:rPr>
        <w:t xml:space="preserve"> but </w:t>
      </w:r>
      <w:r w:rsidR="00D5045C">
        <w:rPr>
          <w:rStyle w:val="tlid-translation"/>
          <w:color w:val="auto"/>
          <w:lang w:val="en"/>
        </w:rPr>
        <w:t xml:space="preserve">the </w:t>
      </w:r>
      <w:r>
        <w:rPr>
          <w:rStyle w:val="tlid-translation"/>
          <w:color w:val="auto"/>
          <w:lang w:val="en"/>
        </w:rPr>
        <w:t>hospitals of less deprived regions managed most individuals in need</w:t>
      </w:r>
      <w:r w:rsidRPr="00B6361D">
        <w:rPr>
          <w:rStyle w:val="tlid-translation"/>
          <w:color w:val="auto"/>
          <w:lang w:val="en"/>
        </w:rPr>
        <w:t xml:space="preserve">. </w:t>
      </w:r>
      <w:r w:rsidR="00FA1C09">
        <w:rPr>
          <w:rStyle w:val="tlid-translation"/>
          <w:color w:val="auto"/>
          <w:lang w:val="en"/>
        </w:rPr>
        <w:t xml:space="preserve">This observation has important implications for the Italian </w:t>
      </w:r>
      <w:r>
        <w:rPr>
          <w:rStyle w:val="tlid-translation"/>
          <w:color w:val="auto"/>
          <w:lang w:val="en"/>
        </w:rPr>
        <w:t>national health system</w:t>
      </w:r>
      <w:r w:rsidR="00FA1C09">
        <w:rPr>
          <w:rStyle w:val="tlid-translation"/>
          <w:color w:val="auto"/>
          <w:lang w:val="en"/>
        </w:rPr>
        <w:t xml:space="preserve">. Specifically, </w:t>
      </w:r>
      <w:r>
        <w:rPr>
          <w:rStyle w:val="tlid-translation"/>
          <w:lang w:val="en"/>
        </w:rPr>
        <w:t>health migration toward hospitals located in the least deprived regions increased the chances of receiv</w:t>
      </w:r>
      <w:r w:rsidR="00FA1C09">
        <w:rPr>
          <w:rStyle w:val="tlid-translation"/>
          <w:lang w:val="en"/>
        </w:rPr>
        <w:t>ing</w:t>
      </w:r>
      <w:r>
        <w:rPr>
          <w:rStyle w:val="tlid-translation"/>
          <w:lang w:val="en"/>
        </w:rPr>
        <w:t xml:space="preserve"> potentially curative </w:t>
      </w:r>
      <w:r w:rsidRPr="00B6361D">
        <w:rPr>
          <w:rStyle w:val="tlid-translation"/>
          <w:color w:val="auto"/>
          <w:lang w:val="en"/>
        </w:rPr>
        <w:t xml:space="preserve">therapies by about 4-8% (corresponding to the RR of 1.11 of </w:t>
      </w:r>
      <w:r w:rsidRPr="00B6361D">
        <w:rPr>
          <w:rStyle w:val="tlid-translation"/>
          <w:i/>
          <w:iCs/>
          <w:color w:val="auto"/>
          <w:lang w:val="en"/>
        </w:rPr>
        <w:t>Table 4</w:t>
      </w:r>
      <w:r w:rsidRPr="00B6361D">
        <w:rPr>
          <w:rStyle w:val="tlid-translation"/>
          <w:color w:val="auto"/>
          <w:lang w:val="en"/>
        </w:rPr>
        <w:t>) and</w:t>
      </w:r>
      <w:r>
        <w:rPr>
          <w:rStyle w:val="tlid-translation"/>
          <w:color w:val="auto"/>
          <w:lang w:val="en"/>
        </w:rPr>
        <w:t>, even more important</w:t>
      </w:r>
      <w:r w:rsidR="00FA1C09">
        <w:rPr>
          <w:rStyle w:val="tlid-translation"/>
          <w:color w:val="auto"/>
          <w:lang w:val="en"/>
        </w:rPr>
        <w:t>ly</w:t>
      </w:r>
      <w:r>
        <w:rPr>
          <w:rStyle w:val="tlid-translation"/>
          <w:color w:val="auto"/>
          <w:lang w:val="en"/>
        </w:rPr>
        <w:t>,</w:t>
      </w:r>
      <w:r w:rsidRPr="00B6361D">
        <w:rPr>
          <w:rStyle w:val="tlid-translation"/>
          <w:color w:val="auto"/>
          <w:lang w:val="en"/>
        </w:rPr>
        <w:t xml:space="preserve"> increased the median survival </w:t>
      </w:r>
      <w:r w:rsidR="00FA1C09">
        <w:rPr>
          <w:rStyle w:val="tlid-translation"/>
          <w:color w:val="auto"/>
          <w:lang w:val="en"/>
        </w:rPr>
        <w:t>by</w:t>
      </w:r>
      <w:r w:rsidRPr="00B6361D">
        <w:rPr>
          <w:rStyle w:val="tlid-translation"/>
          <w:color w:val="auto"/>
          <w:lang w:val="en"/>
        </w:rPr>
        <w:t xml:space="preserve"> about 12 months  (corresponding to </w:t>
      </w:r>
      <w:r w:rsidR="00FA1C09">
        <w:rPr>
          <w:rStyle w:val="tlid-translation"/>
          <w:color w:val="auto"/>
          <w:lang w:val="en"/>
        </w:rPr>
        <w:t>an</w:t>
      </w:r>
      <w:r w:rsidRPr="00B6361D">
        <w:rPr>
          <w:rStyle w:val="tlid-translation"/>
          <w:color w:val="auto"/>
          <w:lang w:val="en"/>
        </w:rPr>
        <w:t xml:space="preserve"> HR of 0.78</w:t>
      </w:r>
      <w:r w:rsidR="00FA1C09">
        <w:rPr>
          <w:rStyle w:val="tlid-translation"/>
          <w:color w:val="auto"/>
          <w:lang w:val="en"/>
        </w:rPr>
        <w:t>,</w:t>
      </w:r>
      <w:r w:rsidRPr="00B6361D">
        <w:rPr>
          <w:rStyle w:val="tlid-translation"/>
          <w:color w:val="auto"/>
          <w:lang w:val="en"/>
        </w:rPr>
        <w:t xml:space="preserve"> </w:t>
      </w:r>
      <w:r w:rsidRPr="00B6361D">
        <w:rPr>
          <w:rStyle w:val="tlid-translation"/>
          <w:i/>
          <w:iCs/>
          <w:color w:val="auto"/>
          <w:lang w:val="en"/>
        </w:rPr>
        <w:t>Table 5</w:t>
      </w:r>
      <w:r w:rsidRPr="00B6361D">
        <w:rPr>
          <w:rStyle w:val="tlid-translation"/>
          <w:color w:val="auto"/>
          <w:lang w:val="en"/>
        </w:rPr>
        <w:t xml:space="preserve">). </w:t>
      </w:r>
      <w:r w:rsidR="00FA1C09" w:rsidRPr="009B1DA5">
        <w:rPr>
          <w:rStyle w:val="tlid-translation"/>
          <w:color w:val="auto"/>
          <w:lang w:val="en"/>
        </w:rPr>
        <w:t>Having identifie</w:t>
      </w:r>
      <w:r w:rsidR="00FA1C09" w:rsidRPr="009B1DA5">
        <w:rPr>
          <w:rStyle w:val="tlid-translation"/>
          <w:rFonts w:hint="eastAsia"/>
          <w:color w:val="auto"/>
          <w:lang w:val="en"/>
        </w:rPr>
        <w:t>d</w:t>
      </w:r>
      <w:r w:rsidR="00FA1C09" w:rsidRPr="009B1DA5">
        <w:rPr>
          <w:rStyle w:val="tlid-translation"/>
          <w:color w:val="auto"/>
          <w:lang w:val="en"/>
        </w:rPr>
        <w:t xml:space="preserve"> such a </w:t>
      </w:r>
      <w:r w:rsidR="00F228CB" w:rsidRPr="009B1DA5">
        <w:rPr>
          <w:rStyle w:val="tlid-translation"/>
          <w:color w:val="auto"/>
          <w:lang w:val="en"/>
        </w:rPr>
        <w:t>large</w:t>
      </w:r>
      <w:r w:rsidR="00FA1C09" w:rsidRPr="009B1DA5">
        <w:rPr>
          <w:rStyle w:val="tlid-translation"/>
          <w:color w:val="auto"/>
          <w:lang w:val="en"/>
        </w:rPr>
        <w:t xml:space="preserve"> geographical variation</w:t>
      </w:r>
      <w:r w:rsidRPr="009B1DA5">
        <w:rPr>
          <w:rStyle w:val="tlid-translation"/>
          <w:color w:val="auto"/>
          <w:lang w:val="en"/>
        </w:rPr>
        <w:t xml:space="preserve"> </w:t>
      </w:r>
      <w:r w:rsidR="00FA1C09" w:rsidRPr="009B1DA5">
        <w:rPr>
          <w:rStyle w:val="tlid-translation"/>
          <w:color w:val="auto"/>
          <w:lang w:val="en"/>
        </w:rPr>
        <w:t>across a h</w:t>
      </w:r>
      <w:r w:rsidRPr="009B1DA5">
        <w:rPr>
          <w:rStyle w:val="tlid-translation"/>
          <w:color w:val="auto"/>
          <w:lang w:val="en"/>
        </w:rPr>
        <w:t>igh-income country</w:t>
      </w:r>
      <w:r w:rsidR="00FA1C09" w:rsidRPr="009B1DA5">
        <w:rPr>
          <w:rStyle w:val="tlid-translation"/>
          <w:color w:val="auto"/>
          <w:lang w:val="en"/>
        </w:rPr>
        <w:t xml:space="preserve"> such as Italy</w:t>
      </w:r>
      <w:r w:rsidRPr="009B1DA5">
        <w:rPr>
          <w:rStyle w:val="tlid-translation"/>
          <w:color w:val="auto"/>
          <w:lang w:val="en"/>
        </w:rPr>
        <w:t xml:space="preserve">, we </w:t>
      </w:r>
      <w:r w:rsidR="00FA1C09" w:rsidRPr="009B1DA5">
        <w:rPr>
          <w:rStyle w:val="tlid-translation"/>
          <w:color w:val="auto"/>
          <w:lang w:val="en"/>
        </w:rPr>
        <w:t>examined</w:t>
      </w:r>
      <w:r w:rsidRPr="009B1DA5">
        <w:rPr>
          <w:rStyle w:val="tlid-translation"/>
          <w:color w:val="auto"/>
          <w:lang w:val="en"/>
        </w:rPr>
        <w:t xml:space="preserve"> possible causes.</w:t>
      </w:r>
    </w:p>
    <w:p w14:paraId="1E9470C4" w14:textId="37589123" w:rsidR="00767E0C" w:rsidRDefault="00C74246" w:rsidP="001B5937">
      <w:pPr>
        <w:spacing w:line="360" w:lineRule="auto"/>
        <w:ind w:firstLine="420"/>
        <w:jc w:val="both"/>
        <w:rPr>
          <w:rFonts w:hint="eastAsia"/>
          <w:lang w:val="en"/>
        </w:rPr>
      </w:pPr>
      <w:r w:rsidRPr="00CD1DAF">
        <w:rPr>
          <w:color w:val="auto"/>
          <w:lang w:val="en"/>
        </w:rPr>
        <w:lastRenderedPageBreak/>
        <w:t xml:space="preserve">First, </w:t>
      </w:r>
      <w:r w:rsidR="00D5045C">
        <w:rPr>
          <w:color w:val="auto"/>
          <w:lang w:val="en"/>
        </w:rPr>
        <w:t xml:space="preserve">the </w:t>
      </w:r>
      <w:r w:rsidR="001B5937" w:rsidRPr="00CD1DAF">
        <w:rPr>
          <w:color w:val="auto"/>
          <w:lang w:val="en"/>
        </w:rPr>
        <w:t xml:space="preserve">chance </w:t>
      </w:r>
      <w:r w:rsidRPr="00CD1DAF">
        <w:rPr>
          <w:color w:val="auto"/>
          <w:lang w:val="en"/>
        </w:rPr>
        <w:t xml:space="preserve">of </w:t>
      </w:r>
      <w:r w:rsidR="001B5937" w:rsidRPr="00CD1DAF">
        <w:rPr>
          <w:color w:val="auto"/>
          <w:lang w:val="en"/>
        </w:rPr>
        <w:t xml:space="preserve">cure was not </w:t>
      </w:r>
      <w:r w:rsidR="00FA1C09" w:rsidRPr="00CD1DAF">
        <w:rPr>
          <w:color w:val="auto"/>
          <w:lang w:val="en"/>
        </w:rPr>
        <w:t>determined by acces</w:t>
      </w:r>
      <w:r w:rsidR="00FA1C09" w:rsidRPr="00CD1DAF">
        <w:rPr>
          <w:rFonts w:hint="eastAsia"/>
          <w:color w:val="auto"/>
          <w:lang w:val="en"/>
        </w:rPr>
        <w:t>s</w:t>
      </w:r>
      <w:r w:rsidR="00FA1C09" w:rsidRPr="00CD1DAF">
        <w:rPr>
          <w:color w:val="auto"/>
          <w:lang w:val="en"/>
        </w:rPr>
        <w:t xml:space="preserve"> to </w:t>
      </w:r>
      <w:r w:rsidR="00FA1C09" w:rsidRPr="00CD1DAF">
        <w:rPr>
          <w:i/>
          <w:color w:val="auto"/>
          <w:lang w:val="en"/>
        </w:rPr>
        <w:t>diagnostic</w:t>
      </w:r>
      <w:r w:rsidR="00FA1C09" w:rsidRPr="00CD1DAF">
        <w:rPr>
          <w:color w:val="auto"/>
          <w:lang w:val="en"/>
        </w:rPr>
        <w:t xml:space="preserve"> facilitie</w:t>
      </w:r>
      <w:r w:rsidR="00FA1C09" w:rsidRPr="00CD1DAF">
        <w:rPr>
          <w:rFonts w:hint="eastAsia"/>
          <w:color w:val="auto"/>
          <w:lang w:val="en"/>
        </w:rPr>
        <w:t>s</w:t>
      </w:r>
      <w:r w:rsidR="00FA1C09" w:rsidRPr="00CD1DAF">
        <w:rPr>
          <w:color w:val="auto"/>
          <w:lang w:val="en"/>
        </w:rPr>
        <w:t>.</w:t>
      </w:r>
      <w:r w:rsidR="001B5937" w:rsidRPr="00CD1DAF">
        <w:rPr>
          <w:color w:val="auto"/>
          <w:lang w:val="en"/>
        </w:rPr>
        <w:t xml:space="preserve"> When stratified by patients’ region, HCC diagnosis was more frequently obtained during surveillance in patients living in more deprived regions, </w:t>
      </w:r>
      <w:r w:rsidR="00FA1C09" w:rsidRPr="00CD1DAF">
        <w:rPr>
          <w:color w:val="auto"/>
          <w:lang w:val="en"/>
        </w:rPr>
        <w:t xml:space="preserve">most likely </w:t>
      </w:r>
      <w:r w:rsidR="001B5937" w:rsidRPr="00CD1DAF">
        <w:rPr>
          <w:color w:val="auto"/>
          <w:lang w:val="en"/>
        </w:rPr>
        <w:t xml:space="preserve">due to the higher prevalence of </w:t>
      </w:r>
      <w:r w:rsidR="00FA1C09" w:rsidRPr="00CD1DAF">
        <w:rPr>
          <w:color w:val="auto"/>
          <w:lang w:val="en"/>
        </w:rPr>
        <w:t xml:space="preserve">chronic </w:t>
      </w:r>
      <w:r w:rsidR="001B5937" w:rsidRPr="00CD1DAF">
        <w:rPr>
          <w:color w:val="auto"/>
          <w:lang w:val="en"/>
        </w:rPr>
        <w:t>viral hepatitis</w:t>
      </w:r>
      <w:r w:rsidR="00D5045C">
        <w:rPr>
          <w:color w:val="auto"/>
          <w:lang w:val="en"/>
        </w:rPr>
        <w:t>,</w:t>
      </w:r>
      <w:r w:rsidR="001B5937" w:rsidRPr="00CD1DAF">
        <w:rPr>
          <w:color w:val="auto"/>
          <w:lang w:val="en"/>
        </w:rPr>
        <w:t xml:space="preserve"> for which </w:t>
      </w:r>
      <w:r w:rsidR="00D5045C">
        <w:rPr>
          <w:color w:val="auto"/>
          <w:lang w:val="en"/>
        </w:rPr>
        <w:t xml:space="preserve">the </w:t>
      </w:r>
      <w:r w:rsidR="001B5937" w:rsidRPr="00CD1DAF">
        <w:rPr>
          <w:color w:val="auto"/>
          <w:lang w:val="en"/>
        </w:rPr>
        <w:t xml:space="preserve">guidelines indicate </w:t>
      </w:r>
      <w:r w:rsidRPr="00CD1DAF">
        <w:rPr>
          <w:color w:val="auto"/>
          <w:lang w:val="en"/>
        </w:rPr>
        <w:t xml:space="preserve">precisely </w:t>
      </w:r>
      <w:r w:rsidR="001B5937" w:rsidRPr="00CD1DAF">
        <w:rPr>
          <w:color w:val="auto"/>
          <w:lang w:val="en"/>
        </w:rPr>
        <w:t>when s</w:t>
      </w:r>
      <w:r w:rsidRPr="00CD1DAF">
        <w:rPr>
          <w:color w:val="auto"/>
          <w:lang w:val="en"/>
        </w:rPr>
        <w:t xml:space="preserve">uch patients should enter a </w:t>
      </w:r>
      <w:r w:rsidR="00F26CC7" w:rsidRPr="00CD1DAF">
        <w:rPr>
          <w:color w:val="auto"/>
          <w:lang w:val="en"/>
        </w:rPr>
        <w:t>s</w:t>
      </w:r>
      <w:r w:rsidR="001B5937" w:rsidRPr="00CD1DAF">
        <w:rPr>
          <w:color w:val="auto"/>
          <w:lang w:val="en"/>
        </w:rPr>
        <w:t>urveillance</w:t>
      </w:r>
      <w:r w:rsidRPr="00CD1DAF">
        <w:rPr>
          <w:color w:val="auto"/>
          <w:lang w:val="en"/>
        </w:rPr>
        <w:t xml:space="preserve"> progra</w:t>
      </w:r>
      <w:r w:rsidRPr="00CD1DAF">
        <w:rPr>
          <w:rFonts w:hint="eastAsia"/>
          <w:color w:val="auto"/>
          <w:lang w:val="en"/>
        </w:rPr>
        <w:t>m</w:t>
      </w:r>
      <w:r w:rsidR="00D45277" w:rsidRPr="00CD1DAF">
        <w:rPr>
          <w:color w:val="auto"/>
          <w:lang w:val="en"/>
        </w:rPr>
        <w:t xml:space="preserve"> </w:t>
      </w:r>
      <w:r w:rsidR="00D45277" w:rsidRPr="00CD1DAF">
        <w:rPr>
          <w:rFonts w:ascii="Times New Roman" w:eastAsia="Times New Roman" w:hAnsi="Times New Roman" w:cs="Times New Roman"/>
          <w:i/>
          <w:color w:val="auto"/>
        </w:rPr>
        <w:t xml:space="preserve">[J Hepatol. 2008;48 </w:t>
      </w:r>
      <w:proofErr w:type="spellStart"/>
      <w:r w:rsidR="00D45277" w:rsidRPr="00CD1DAF">
        <w:rPr>
          <w:rFonts w:ascii="Times New Roman" w:eastAsia="Times New Roman" w:hAnsi="Times New Roman" w:cs="Times New Roman"/>
          <w:i/>
          <w:color w:val="auto"/>
        </w:rPr>
        <w:t>Suppl</w:t>
      </w:r>
      <w:proofErr w:type="spellEnd"/>
      <w:r w:rsidR="00D45277" w:rsidRPr="00CD1DAF">
        <w:rPr>
          <w:rFonts w:ascii="Times New Roman" w:eastAsia="Times New Roman" w:hAnsi="Times New Roman" w:cs="Times New Roman"/>
          <w:i/>
          <w:color w:val="auto"/>
        </w:rPr>
        <w:t xml:space="preserve"> 1:S20-37; </w:t>
      </w:r>
      <w:r w:rsidR="00D45277" w:rsidRPr="00CD1DAF">
        <w:rPr>
          <w:rStyle w:val="jrnl"/>
          <w:i/>
          <w:iCs/>
          <w:color w:val="auto"/>
        </w:rPr>
        <w:t>Dig Liver Dis</w:t>
      </w:r>
      <w:r w:rsidR="00D45277" w:rsidRPr="00CD1DAF">
        <w:rPr>
          <w:i/>
          <w:iCs/>
          <w:color w:val="auto"/>
        </w:rPr>
        <w:t>. 2013 Sep;45(9):712-23.]</w:t>
      </w:r>
      <w:r w:rsidR="00690077" w:rsidRPr="00CD1DAF">
        <w:rPr>
          <w:i/>
          <w:iCs/>
          <w:color w:val="auto"/>
        </w:rPr>
        <w:t>.</w:t>
      </w:r>
      <w:r w:rsidR="00D45277" w:rsidRPr="00CD1DAF">
        <w:rPr>
          <w:color w:val="auto"/>
          <w:lang w:val="en"/>
        </w:rPr>
        <w:t xml:space="preserve"> </w:t>
      </w:r>
      <w:r w:rsidR="001B5937" w:rsidRPr="00CD1DAF">
        <w:rPr>
          <w:lang w:val="en"/>
        </w:rPr>
        <w:t>When data we</w:t>
      </w:r>
      <w:r w:rsidR="001B5937">
        <w:rPr>
          <w:lang w:val="en"/>
        </w:rPr>
        <w:t>re segregated by hospitals’ region deprivation, no differences were observed among tumor characteristics (</w:t>
      </w:r>
      <w:r w:rsidR="001B5937" w:rsidRPr="00640E5D">
        <w:rPr>
          <w:i/>
          <w:iCs/>
          <w:u w:val="single"/>
          <w:lang w:val="en"/>
        </w:rPr>
        <w:t>Table 2</w:t>
      </w:r>
      <w:r w:rsidR="00F26CC7">
        <w:rPr>
          <w:lang w:val="en"/>
        </w:rPr>
        <w:t>) or diagnostic modality</w:t>
      </w:r>
      <w:r w:rsidR="005A4553">
        <w:rPr>
          <w:lang w:val="en"/>
        </w:rPr>
        <w:t xml:space="preserve"> </w:t>
      </w:r>
      <w:r w:rsidR="00F26CC7">
        <w:rPr>
          <w:lang w:val="en"/>
        </w:rPr>
        <w:t>(</w:t>
      </w:r>
      <w:r w:rsidR="00F26CC7" w:rsidRPr="00640E5D">
        <w:rPr>
          <w:i/>
          <w:iCs/>
          <w:u w:val="single"/>
          <w:lang w:val="en"/>
        </w:rPr>
        <w:t>Table 3</w:t>
      </w:r>
      <w:r w:rsidR="00F26CC7">
        <w:rPr>
          <w:lang w:val="en"/>
        </w:rPr>
        <w:t xml:space="preserve">).  </w:t>
      </w:r>
    </w:p>
    <w:p w14:paraId="273B065E" w14:textId="5BC4AC3A" w:rsidR="001B5937" w:rsidRDefault="001B5937" w:rsidP="001B5937">
      <w:pPr>
        <w:spacing w:line="360" w:lineRule="auto"/>
        <w:ind w:firstLine="420"/>
        <w:jc w:val="both"/>
        <w:rPr>
          <w:rStyle w:val="tlid-translation"/>
          <w:rFonts w:hint="eastAsia"/>
          <w:color w:val="auto"/>
          <w:lang w:val="en"/>
        </w:rPr>
      </w:pPr>
      <w:r w:rsidRPr="0000178C">
        <w:rPr>
          <w:color w:val="auto"/>
        </w:rPr>
        <w:t xml:space="preserve">The most </w:t>
      </w:r>
      <w:r w:rsidR="00F26CC7">
        <w:rPr>
          <w:color w:val="auto"/>
        </w:rPr>
        <w:t xml:space="preserve">striking </w:t>
      </w:r>
      <w:r>
        <w:rPr>
          <w:color w:val="auto"/>
        </w:rPr>
        <w:t xml:space="preserve">observation </w:t>
      </w:r>
      <w:r w:rsidR="00F26CC7">
        <w:rPr>
          <w:color w:val="auto"/>
        </w:rPr>
        <w:t>is that</w:t>
      </w:r>
      <w:r w:rsidRPr="0000178C">
        <w:rPr>
          <w:rStyle w:val="tlid-translation"/>
          <w:rFonts w:hint="eastAsia"/>
          <w:color w:val="auto"/>
          <w:lang w:val="en"/>
        </w:rPr>
        <w:t xml:space="preserve"> </w:t>
      </w:r>
      <w:r w:rsidR="00F26CC7">
        <w:rPr>
          <w:rStyle w:val="tlid-translation"/>
          <w:color w:val="auto"/>
          <w:lang w:val="en"/>
        </w:rPr>
        <w:t xml:space="preserve"> the </w:t>
      </w:r>
      <w:r w:rsidRPr="0000178C">
        <w:rPr>
          <w:rStyle w:val="tlid-translation"/>
          <w:rFonts w:hint="eastAsia"/>
          <w:color w:val="auto"/>
          <w:lang w:val="en"/>
        </w:rPr>
        <w:t xml:space="preserve">more deprived the </w:t>
      </w:r>
      <w:r w:rsidRPr="0000178C">
        <w:rPr>
          <w:rStyle w:val="tlid-translation"/>
          <w:color w:val="auto"/>
          <w:lang w:val="en"/>
        </w:rPr>
        <w:t>hospital</w:t>
      </w:r>
      <w:r>
        <w:rPr>
          <w:rStyle w:val="tlid-translation"/>
          <w:color w:val="auto"/>
          <w:lang w:val="en"/>
        </w:rPr>
        <w:t>s’</w:t>
      </w:r>
      <w:r w:rsidRPr="0000178C">
        <w:rPr>
          <w:rStyle w:val="tlid-translation"/>
          <w:color w:val="auto"/>
          <w:lang w:val="en"/>
        </w:rPr>
        <w:t xml:space="preserve"> </w:t>
      </w:r>
      <w:r w:rsidRPr="0000178C">
        <w:rPr>
          <w:rStyle w:val="tlid-translation"/>
          <w:rFonts w:hint="eastAsia"/>
          <w:color w:val="auto"/>
          <w:lang w:val="en"/>
        </w:rPr>
        <w:t>region</w:t>
      </w:r>
      <w:r w:rsidRPr="0000178C">
        <w:rPr>
          <w:rStyle w:val="tlid-translation"/>
          <w:color w:val="auto"/>
          <w:lang w:val="en"/>
        </w:rPr>
        <w:t xml:space="preserve"> </w:t>
      </w:r>
      <w:r w:rsidRPr="0000178C">
        <w:rPr>
          <w:rStyle w:val="tlid-translation"/>
          <w:rFonts w:hint="eastAsia"/>
          <w:color w:val="auto"/>
          <w:lang w:val="en"/>
        </w:rPr>
        <w:t xml:space="preserve">the </w:t>
      </w:r>
      <w:r w:rsidRPr="0000178C">
        <w:rPr>
          <w:rStyle w:val="tlid-translation"/>
          <w:color w:val="auto"/>
          <w:lang w:val="en"/>
        </w:rPr>
        <w:t>lower the proportion of patients submitted to potentially curative therapies (</w:t>
      </w:r>
      <w:r w:rsidRPr="00690077">
        <w:rPr>
          <w:rStyle w:val="tlid-translation"/>
          <w:i/>
          <w:iCs/>
          <w:color w:val="auto"/>
          <w:u w:val="single"/>
          <w:lang w:val="en"/>
        </w:rPr>
        <w:t>Tables 2 and 4</w:t>
      </w:r>
      <w:r w:rsidRPr="0000178C">
        <w:rPr>
          <w:rStyle w:val="tlid-translation"/>
          <w:color w:val="auto"/>
          <w:lang w:val="en"/>
        </w:rPr>
        <w:t>)</w:t>
      </w:r>
      <w:r>
        <w:rPr>
          <w:rStyle w:val="tlid-translation"/>
          <w:color w:val="auto"/>
          <w:lang w:val="en"/>
        </w:rPr>
        <w:t xml:space="preserve"> and that </w:t>
      </w:r>
      <w:r w:rsidR="00F26CC7" w:rsidRPr="0000178C">
        <w:rPr>
          <w:rStyle w:val="tlid-translation"/>
          <w:color w:val="auto"/>
          <w:lang w:val="en"/>
        </w:rPr>
        <w:t xml:space="preserve">migration </w:t>
      </w:r>
      <w:r w:rsidRPr="0000178C">
        <w:rPr>
          <w:rStyle w:val="tlid-translation"/>
          <w:color w:val="auto"/>
          <w:lang w:val="en"/>
        </w:rPr>
        <w:t xml:space="preserve">from </w:t>
      </w:r>
      <w:r w:rsidR="00F26CC7">
        <w:rPr>
          <w:rStyle w:val="tlid-translation"/>
          <w:color w:val="auto"/>
          <w:lang w:val="en"/>
        </w:rPr>
        <w:t xml:space="preserve"> the </w:t>
      </w:r>
      <w:r w:rsidRPr="0000178C">
        <w:rPr>
          <w:rStyle w:val="tlid-translation"/>
          <w:color w:val="auto"/>
          <w:lang w:val="en"/>
        </w:rPr>
        <w:t>most deprived regions to</w:t>
      </w:r>
      <w:r>
        <w:rPr>
          <w:rStyle w:val="tlid-translation"/>
          <w:color w:val="auto"/>
          <w:lang w:val="en"/>
        </w:rPr>
        <w:t>ward</w:t>
      </w:r>
      <w:r w:rsidRPr="0000178C">
        <w:rPr>
          <w:rStyle w:val="tlid-translation"/>
          <w:color w:val="auto"/>
          <w:lang w:val="en"/>
        </w:rPr>
        <w:t xml:space="preserve"> hospitals located in the least deprived regions</w:t>
      </w:r>
      <w:r w:rsidR="00F26CC7">
        <w:rPr>
          <w:rStyle w:val="tlid-translation"/>
          <w:color w:val="auto"/>
          <w:lang w:val="en"/>
        </w:rPr>
        <w:t xml:space="preserve"> was associate</w:t>
      </w:r>
      <w:r w:rsidR="00F26CC7">
        <w:rPr>
          <w:rStyle w:val="tlid-translation"/>
          <w:rFonts w:hint="eastAsia"/>
          <w:color w:val="auto"/>
          <w:lang w:val="en"/>
        </w:rPr>
        <w:t>d</w:t>
      </w:r>
      <w:r w:rsidR="00F26CC7">
        <w:rPr>
          <w:rStyle w:val="tlid-translation"/>
          <w:color w:val="auto"/>
          <w:lang w:val="en"/>
        </w:rPr>
        <w:t xml:space="preserve"> with a higher chance</w:t>
      </w:r>
      <w:r w:rsidRPr="0000178C">
        <w:rPr>
          <w:rStyle w:val="tlid-translation"/>
          <w:color w:val="auto"/>
          <w:lang w:val="en"/>
        </w:rPr>
        <w:t xml:space="preserve"> </w:t>
      </w:r>
      <w:r>
        <w:rPr>
          <w:rStyle w:val="tlid-translation"/>
          <w:color w:val="auto"/>
          <w:lang w:val="en"/>
        </w:rPr>
        <w:t xml:space="preserve">of receiving </w:t>
      </w:r>
      <w:r w:rsidRPr="0000178C">
        <w:rPr>
          <w:rStyle w:val="tlid-translation"/>
          <w:color w:val="auto"/>
          <w:lang w:val="en"/>
        </w:rPr>
        <w:t>such therapies</w:t>
      </w:r>
      <w:r w:rsidRPr="006C3802">
        <w:rPr>
          <w:rStyle w:val="tlid-translation"/>
          <w:color w:val="auto"/>
          <w:lang w:val="en"/>
        </w:rPr>
        <w:t>. T</w:t>
      </w:r>
      <w:r w:rsidRPr="006C3802">
        <w:rPr>
          <w:rStyle w:val="tlid-translation"/>
          <w:lang w:val="en"/>
        </w:rPr>
        <w:t xml:space="preserve">he exact opposite was </w:t>
      </w:r>
      <w:r w:rsidRPr="006C3802">
        <w:rPr>
          <w:rStyle w:val="tlid-translation"/>
          <w:rFonts w:hint="eastAsia"/>
          <w:lang w:val="en"/>
        </w:rPr>
        <w:t>observed</w:t>
      </w:r>
      <w:r w:rsidRPr="006C3802">
        <w:rPr>
          <w:rStyle w:val="tlid-translation"/>
          <w:lang w:val="en"/>
        </w:rPr>
        <w:t xml:space="preserve"> when migration was directed </w:t>
      </w:r>
      <w:r>
        <w:rPr>
          <w:rStyle w:val="tlid-translation"/>
          <w:lang w:val="en"/>
        </w:rPr>
        <w:t xml:space="preserve">from less deprived regions </w:t>
      </w:r>
      <w:r w:rsidRPr="006C3802">
        <w:rPr>
          <w:rStyle w:val="tlid-translation"/>
          <w:lang w:val="en"/>
        </w:rPr>
        <w:t>toward hospital</w:t>
      </w:r>
      <w:r w:rsidR="00D5045C">
        <w:rPr>
          <w:rStyle w:val="tlid-translation"/>
          <w:lang w:val="en"/>
        </w:rPr>
        <w:t>s</w:t>
      </w:r>
      <w:r w:rsidRPr="006C3802">
        <w:rPr>
          <w:rStyle w:val="tlid-translation"/>
          <w:lang w:val="en"/>
        </w:rPr>
        <w:t xml:space="preserve"> located in more deprived regions</w:t>
      </w:r>
      <w:r w:rsidRPr="006C3802">
        <w:rPr>
          <w:rStyle w:val="tlid-translation"/>
          <w:color w:val="auto"/>
          <w:lang w:val="en"/>
        </w:rPr>
        <w:t xml:space="preserve"> (</w:t>
      </w:r>
      <w:r w:rsidRPr="00690077">
        <w:rPr>
          <w:rStyle w:val="tlid-translation"/>
          <w:i/>
          <w:iCs/>
          <w:color w:val="auto"/>
          <w:u w:val="single"/>
          <w:lang w:val="en"/>
        </w:rPr>
        <w:t>Table 4</w:t>
      </w:r>
      <w:r w:rsidRPr="0000178C">
        <w:rPr>
          <w:rStyle w:val="tlid-translation"/>
          <w:color w:val="auto"/>
          <w:lang w:val="en"/>
        </w:rPr>
        <w:t xml:space="preserve">). </w:t>
      </w:r>
    </w:p>
    <w:p w14:paraId="1E701DD7" w14:textId="6B8F18E0" w:rsidR="001B5937" w:rsidRDefault="00266CA4" w:rsidP="001B5937">
      <w:pPr>
        <w:spacing w:line="360" w:lineRule="auto"/>
        <w:ind w:firstLine="420"/>
        <w:jc w:val="both"/>
        <w:rPr>
          <w:rStyle w:val="tlid-translation"/>
          <w:rFonts w:hint="eastAsia"/>
          <w:color w:val="FF0000"/>
          <w:lang w:val="en"/>
        </w:rPr>
      </w:pPr>
      <w:r>
        <w:rPr>
          <w:rStyle w:val="tlid-translation"/>
          <w:color w:val="auto"/>
          <w:lang w:val="en"/>
        </w:rPr>
        <w:t>M</w:t>
      </w:r>
      <w:r w:rsidR="001B5937">
        <w:rPr>
          <w:rStyle w:val="tlid-translation"/>
          <w:color w:val="auto"/>
          <w:lang w:val="en"/>
        </w:rPr>
        <w:t xml:space="preserve">igration </w:t>
      </w:r>
      <w:r w:rsidR="001B5937" w:rsidRPr="0000178C">
        <w:rPr>
          <w:rStyle w:val="tlid-translation"/>
          <w:color w:val="auto"/>
          <w:lang w:val="en"/>
        </w:rPr>
        <w:t xml:space="preserve">from the least </w:t>
      </w:r>
      <w:r w:rsidR="001B5937">
        <w:rPr>
          <w:rStyle w:val="tlid-translation"/>
          <w:color w:val="auto"/>
          <w:lang w:val="en"/>
        </w:rPr>
        <w:t xml:space="preserve">deprived regions </w:t>
      </w:r>
      <w:r w:rsidR="001B5937" w:rsidRPr="0000178C">
        <w:rPr>
          <w:rStyle w:val="tlid-translation"/>
          <w:color w:val="auto"/>
          <w:lang w:val="en"/>
        </w:rPr>
        <w:t xml:space="preserve">to more deprived regions decreased </w:t>
      </w:r>
      <w:r w:rsidR="001B5937">
        <w:rPr>
          <w:rStyle w:val="tlid-translation"/>
          <w:color w:val="auto"/>
          <w:lang w:val="en"/>
        </w:rPr>
        <w:t xml:space="preserve">the </w:t>
      </w:r>
      <w:r w:rsidR="001B5937" w:rsidRPr="0000178C">
        <w:rPr>
          <w:rStyle w:val="tlid-translation"/>
          <w:color w:val="auto"/>
          <w:lang w:val="en"/>
        </w:rPr>
        <w:t>probabilit</w:t>
      </w:r>
      <w:r w:rsidR="001B5937">
        <w:rPr>
          <w:rStyle w:val="tlid-translation"/>
          <w:color w:val="auto"/>
          <w:lang w:val="en"/>
        </w:rPr>
        <w:t>y</w:t>
      </w:r>
      <w:r w:rsidR="001B5937" w:rsidRPr="0000178C">
        <w:rPr>
          <w:rStyle w:val="tlid-translation"/>
          <w:color w:val="auto"/>
          <w:lang w:val="en"/>
        </w:rPr>
        <w:t xml:space="preserve"> (-6.8%) </w:t>
      </w:r>
      <w:r w:rsidR="001B5937">
        <w:rPr>
          <w:rStyle w:val="tlid-translation"/>
          <w:color w:val="auto"/>
          <w:lang w:val="en"/>
        </w:rPr>
        <w:t>of being treated with ABL</w:t>
      </w:r>
      <w:r w:rsidR="001B5937" w:rsidRPr="0000178C">
        <w:rPr>
          <w:rStyle w:val="tlid-translation"/>
          <w:color w:val="auto"/>
          <w:lang w:val="en"/>
        </w:rPr>
        <w:t xml:space="preserve"> (</w:t>
      </w:r>
      <w:r w:rsidR="001B5937" w:rsidRPr="00690077">
        <w:rPr>
          <w:rStyle w:val="tlid-translation"/>
          <w:i/>
          <w:iCs/>
          <w:color w:val="auto"/>
          <w:u w:val="single"/>
          <w:lang w:val="en"/>
        </w:rPr>
        <w:t>Figure 2</w:t>
      </w:r>
      <w:r w:rsidR="001B5937" w:rsidRPr="0000178C">
        <w:rPr>
          <w:rStyle w:val="tlid-translation"/>
          <w:color w:val="auto"/>
          <w:lang w:val="en"/>
        </w:rPr>
        <w:t>)</w:t>
      </w:r>
      <w:r>
        <w:rPr>
          <w:rStyle w:val="tlid-translation"/>
          <w:color w:val="auto"/>
          <w:lang w:val="en"/>
        </w:rPr>
        <w:t xml:space="preserve"> which </w:t>
      </w:r>
      <w:r w:rsidR="001B5937" w:rsidRPr="00405F5B">
        <w:rPr>
          <w:rStyle w:val="tlid-translation"/>
          <w:lang w:val="en"/>
        </w:rPr>
        <w:t>is m</w:t>
      </w:r>
      <w:r>
        <w:rPr>
          <w:rStyle w:val="tlid-translation"/>
          <w:lang w:val="en"/>
        </w:rPr>
        <w:t>ainly indicated for small tumors</w:t>
      </w:r>
      <w:r w:rsidR="00690077">
        <w:rPr>
          <w:rStyle w:val="tlid-translation"/>
          <w:lang w:val="en"/>
        </w:rPr>
        <w:t xml:space="preserve"> </w:t>
      </w:r>
      <w:r w:rsidR="00690077">
        <w:rPr>
          <w:rFonts w:ascii="Times New Roman" w:eastAsia="Times New Roman" w:hAnsi="Times New Roman" w:cs="Times New Roman"/>
          <w:i/>
        </w:rPr>
        <w:t>[J Hepatol. 2018</w:t>
      </w:r>
      <w:proofErr w:type="gramStart"/>
      <w:r w:rsidR="00690077">
        <w:rPr>
          <w:rFonts w:ascii="Times New Roman" w:eastAsia="Times New Roman" w:hAnsi="Times New Roman" w:cs="Times New Roman"/>
          <w:i/>
        </w:rPr>
        <w:t>;69:182</w:t>
      </w:r>
      <w:proofErr w:type="gramEnd"/>
      <w:r w:rsidR="00690077">
        <w:rPr>
          <w:rFonts w:ascii="Times New Roman" w:eastAsia="Times New Roman" w:hAnsi="Times New Roman" w:cs="Times New Roman"/>
          <w:i/>
        </w:rPr>
        <w:t>-236]</w:t>
      </w:r>
      <w:r w:rsidR="00690077">
        <w:rPr>
          <w:rFonts w:ascii="Times New Roman" w:eastAsia="Times New Roman" w:hAnsi="Times New Roman" w:cs="Times New Roman"/>
        </w:rPr>
        <w:t>.</w:t>
      </w:r>
      <w:r>
        <w:rPr>
          <w:rStyle w:val="tlid-translation"/>
          <w:lang w:val="en"/>
        </w:rPr>
        <w:t xml:space="preserve">  It is possible that </w:t>
      </w:r>
      <w:r w:rsidR="001B5937" w:rsidRPr="00405F5B">
        <w:rPr>
          <w:rStyle w:val="tlid-translation"/>
          <w:lang w:val="en"/>
        </w:rPr>
        <w:t xml:space="preserve">these small tumors </w:t>
      </w:r>
      <w:r w:rsidR="001B5937">
        <w:rPr>
          <w:rStyle w:val="tlid-translation"/>
          <w:lang w:val="en"/>
        </w:rPr>
        <w:t>were</w:t>
      </w:r>
      <w:r w:rsidR="001B5937" w:rsidRPr="00405F5B">
        <w:rPr>
          <w:rStyle w:val="tlid-translation"/>
          <w:lang w:val="en"/>
        </w:rPr>
        <w:t xml:space="preserve"> shifted to surgery (+5.1%) </w:t>
      </w:r>
      <w:r>
        <w:rPr>
          <w:rStyle w:val="tlid-translation"/>
          <w:lang w:val="en"/>
        </w:rPr>
        <w:t xml:space="preserve">which is easier in small </w:t>
      </w:r>
      <w:r w:rsidR="001B5937" w:rsidRPr="00405F5B">
        <w:rPr>
          <w:rStyle w:val="tlid-translation"/>
          <w:lang w:val="en"/>
        </w:rPr>
        <w:t xml:space="preserve">superficial </w:t>
      </w:r>
      <w:r>
        <w:rPr>
          <w:rStyle w:val="tlid-translation"/>
          <w:lang w:val="en"/>
        </w:rPr>
        <w:t xml:space="preserve">lesions </w:t>
      </w:r>
      <w:r w:rsidR="001B5937" w:rsidRPr="00405F5B">
        <w:rPr>
          <w:rStyle w:val="tlid-translation"/>
          <w:lang w:val="en"/>
        </w:rPr>
        <w:t>which would require</w:t>
      </w:r>
      <w:r>
        <w:rPr>
          <w:rStyle w:val="tlid-translation"/>
          <w:lang w:val="en"/>
        </w:rPr>
        <w:t xml:space="preserve"> a</w:t>
      </w:r>
      <w:r w:rsidR="001B5937" w:rsidRPr="00405F5B">
        <w:rPr>
          <w:rStyle w:val="tlid-translation"/>
          <w:lang w:val="en"/>
        </w:rPr>
        <w:t xml:space="preserve"> more demanding ablation approach</w:t>
      </w:r>
      <w:r w:rsidR="00690077">
        <w:rPr>
          <w:rStyle w:val="tlid-translation"/>
          <w:lang w:val="en"/>
        </w:rPr>
        <w:t xml:space="preserve"> </w:t>
      </w:r>
      <w:r w:rsidR="00690077" w:rsidRPr="00690077">
        <w:rPr>
          <w:rStyle w:val="tlid-translation"/>
          <w:i/>
          <w:iCs/>
          <w:lang w:val="en"/>
        </w:rPr>
        <w:t>[</w:t>
      </w:r>
      <w:r w:rsidR="00690077" w:rsidRPr="00690077">
        <w:rPr>
          <w:rStyle w:val="tlid-translation"/>
          <w:rFonts w:hint="eastAsia"/>
          <w:i/>
          <w:iCs/>
          <w:lang w:val="en"/>
        </w:rPr>
        <w:t>Dig Surg. 2018</w:t>
      </w:r>
      <w:proofErr w:type="gramStart"/>
      <w:r w:rsidR="00690077" w:rsidRPr="00690077">
        <w:rPr>
          <w:rStyle w:val="tlid-translation"/>
          <w:rFonts w:hint="eastAsia"/>
          <w:i/>
          <w:iCs/>
          <w:lang w:val="en"/>
        </w:rPr>
        <w:t>;35</w:t>
      </w:r>
      <w:proofErr w:type="gramEnd"/>
      <w:r w:rsidR="00690077" w:rsidRPr="00690077">
        <w:rPr>
          <w:rStyle w:val="tlid-translation"/>
          <w:rFonts w:hint="eastAsia"/>
          <w:i/>
          <w:iCs/>
          <w:lang w:val="en"/>
        </w:rPr>
        <w:t>(4):359-371.</w:t>
      </w:r>
      <w:r w:rsidR="00690077" w:rsidRPr="00690077">
        <w:rPr>
          <w:rStyle w:val="tlid-translation"/>
          <w:i/>
          <w:iCs/>
          <w:lang w:val="en"/>
        </w:rPr>
        <w:t>]</w:t>
      </w:r>
      <w:r>
        <w:rPr>
          <w:rStyle w:val="tlid-translation"/>
          <w:lang w:val="en"/>
        </w:rPr>
        <w:t>.</w:t>
      </w:r>
      <w:r w:rsidR="001B5937" w:rsidRPr="00405F5B">
        <w:rPr>
          <w:rStyle w:val="tlid-translation"/>
          <w:lang w:val="en"/>
        </w:rPr>
        <w:t xml:space="preserve"> The increase in costs would be minimal and affordable since only 6.4% of patients </w:t>
      </w:r>
      <w:r w:rsidR="00690077">
        <w:rPr>
          <w:rStyle w:val="tlid-translation"/>
          <w:lang w:val="en"/>
        </w:rPr>
        <w:t xml:space="preserve">travelled </w:t>
      </w:r>
      <w:r w:rsidR="001B5937" w:rsidRPr="00405F5B">
        <w:rPr>
          <w:rStyle w:val="tlid-translation"/>
          <w:lang w:val="en"/>
        </w:rPr>
        <w:t>to these regions. Alternatively, even if these patients had small tumors</w:t>
      </w:r>
      <w:r w:rsidR="001B5937" w:rsidRPr="00405F5B">
        <w:rPr>
          <w:rStyle w:val="tlid-translation"/>
          <w:rFonts w:hint="eastAsia"/>
          <w:lang w:val="en"/>
        </w:rPr>
        <w:t>,</w:t>
      </w:r>
      <w:r w:rsidR="001B5937" w:rsidRPr="00405F5B">
        <w:rPr>
          <w:rStyle w:val="tlid-translation"/>
          <w:lang w:val="en"/>
        </w:rPr>
        <w:t xml:space="preserve"> they did not represent ideal surgical candidates and were consequently shifted to intra-arterial therapies (+5.7%).</w:t>
      </w:r>
      <w:r w:rsidR="001B5937" w:rsidRPr="00476155">
        <w:rPr>
          <w:rStyle w:val="tlid-translation"/>
          <w:color w:val="FF0000"/>
          <w:lang w:val="en"/>
        </w:rPr>
        <w:t xml:space="preserve"> </w:t>
      </w:r>
    </w:p>
    <w:p w14:paraId="4E3584D7" w14:textId="5E9F8F09" w:rsidR="001B5937" w:rsidRPr="0004712D" w:rsidRDefault="001B5937" w:rsidP="001B5937">
      <w:pPr>
        <w:spacing w:line="360" w:lineRule="auto"/>
        <w:ind w:firstLine="420"/>
        <w:jc w:val="both"/>
        <w:rPr>
          <w:rStyle w:val="tlid-translation"/>
          <w:rFonts w:hint="eastAsia"/>
          <w:b/>
          <w:color w:val="0070C0"/>
          <w:lang w:val="en"/>
        </w:rPr>
      </w:pPr>
      <w:r w:rsidRPr="0000178C">
        <w:rPr>
          <w:rStyle w:val="tlid-translation"/>
          <w:color w:val="auto"/>
          <w:lang w:val="en"/>
        </w:rPr>
        <w:t>The fact that patients who moved from the least to the more deprived regions had increased probabilities of receiving palliative therapies</w:t>
      </w:r>
      <w:r>
        <w:rPr>
          <w:rStyle w:val="tlid-translation"/>
          <w:color w:val="auto"/>
          <w:lang w:val="en"/>
        </w:rPr>
        <w:t xml:space="preserve"> (+2.9%)</w:t>
      </w:r>
      <w:r w:rsidR="00A33FD8">
        <w:rPr>
          <w:rStyle w:val="tlid-translation"/>
          <w:color w:val="auto"/>
          <w:lang w:val="en"/>
        </w:rPr>
        <w:t xml:space="preserve"> should </w:t>
      </w:r>
      <w:r>
        <w:rPr>
          <w:rStyle w:val="tlid-translation"/>
          <w:color w:val="auto"/>
          <w:lang w:val="en"/>
        </w:rPr>
        <w:t>also</w:t>
      </w:r>
      <w:r w:rsidR="00A33FD8">
        <w:rPr>
          <w:rStyle w:val="tlid-translation"/>
          <w:color w:val="auto"/>
          <w:lang w:val="en"/>
        </w:rPr>
        <w:t xml:space="preserve"> be</w:t>
      </w:r>
      <w:r>
        <w:rPr>
          <w:rStyle w:val="tlid-translation"/>
          <w:color w:val="auto"/>
          <w:lang w:val="en"/>
        </w:rPr>
        <w:t xml:space="preserve"> </w:t>
      </w:r>
      <w:r w:rsidRPr="0000178C">
        <w:rPr>
          <w:rStyle w:val="tlid-translation"/>
          <w:color w:val="auto"/>
          <w:lang w:val="en"/>
        </w:rPr>
        <w:t xml:space="preserve">interpreted </w:t>
      </w:r>
      <w:r w:rsidR="00A33FD8">
        <w:rPr>
          <w:rStyle w:val="tlid-translation"/>
          <w:color w:val="auto"/>
          <w:lang w:val="en"/>
        </w:rPr>
        <w:t>i</w:t>
      </w:r>
      <w:r>
        <w:rPr>
          <w:rStyle w:val="tlid-translation"/>
          <w:color w:val="auto"/>
          <w:lang w:val="en"/>
        </w:rPr>
        <w:t>n the light of the opposite observation</w:t>
      </w:r>
      <w:r w:rsidR="00A33FD8">
        <w:rPr>
          <w:rStyle w:val="tlid-translation"/>
          <w:color w:val="auto"/>
          <w:lang w:val="en"/>
        </w:rPr>
        <w:t>,</w:t>
      </w:r>
      <w:r>
        <w:rPr>
          <w:rStyle w:val="tlid-translation"/>
          <w:color w:val="auto"/>
          <w:lang w:val="en"/>
        </w:rPr>
        <w:t xml:space="preserve"> that patients who</w:t>
      </w:r>
      <w:r w:rsidR="00690077">
        <w:rPr>
          <w:rStyle w:val="tlid-translation"/>
          <w:color w:val="auto"/>
          <w:lang w:val="en"/>
        </w:rPr>
        <w:t xml:space="preserve"> travelled</w:t>
      </w:r>
      <w:r>
        <w:rPr>
          <w:rStyle w:val="tlid-translation"/>
          <w:color w:val="auto"/>
          <w:lang w:val="en"/>
        </w:rPr>
        <w:t xml:space="preserve"> from the intermediate to the least deprived regions had decreased probabilities of receiving these therapies (-2.4%)</w:t>
      </w:r>
      <w:r w:rsidR="00690077">
        <w:rPr>
          <w:rStyle w:val="tlid-translation"/>
          <w:color w:val="auto"/>
          <w:lang w:val="en"/>
        </w:rPr>
        <w:t>. This</w:t>
      </w:r>
      <w:r>
        <w:rPr>
          <w:rStyle w:val="tlid-translation"/>
          <w:color w:val="auto"/>
          <w:lang w:val="en"/>
        </w:rPr>
        <w:t xml:space="preserve"> </w:t>
      </w:r>
      <w:r>
        <w:rPr>
          <w:rStyle w:val="tlid-translation"/>
          <w:lang w:val="en"/>
        </w:rPr>
        <w:t>suggest</w:t>
      </w:r>
      <w:r w:rsidR="00690077">
        <w:rPr>
          <w:rStyle w:val="tlid-translation"/>
          <w:lang w:val="en"/>
        </w:rPr>
        <w:t>s</w:t>
      </w:r>
      <w:r>
        <w:rPr>
          <w:rStyle w:val="tlid-translation"/>
          <w:lang w:val="en"/>
        </w:rPr>
        <w:t xml:space="preserve"> that in</w:t>
      </w:r>
      <w:r w:rsidR="00A33FD8">
        <w:rPr>
          <w:rStyle w:val="tlid-translation"/>
          <w:lang w:val="en"/>
        </w:rPr>
        <w:t xml:space="preserve"> the</w:t>
      </w:r>
      <w:r>
        <w:rPr>
          <w:rStyle w:val="tlid-translation"/>
          <w:lang w:val="en"/>
        </w:rPr>
        <w:t xml:space="preserve"> least deprived regions</w:t>
      </w:r>
      <w:r w:rsidDel="00CA0CD0">
        <w:rPr>
          <w:rStyle w:val="tlid-translation"/>
          <w:lang w:val="en"/>
        </w:rPr>
        <w:t xml:space="preserve"> </w:t>
      </w:r>
      <w:r>
        <w:rPr>
          <w:rStyle w:val="tlid-translation"/>
          <w:lang w:val="en"/>
        </w:rPr>
        <w:t xml:space="preserve">non-palliative therapies are more </w:t>
      </w:r>
      <w:r>
        <w:rPr>
          <w:rStyle w:val="tlid-translation"/>
          <w:rFonts w:hint="eastAsia"/>
          <w:lang w:val="en"/>
        </w:rPr>
        <w:t>frequently</w:t>
      </w:r>
      <w:r>
        <w:rPr>
          <w:rStyle w:val="tlid-translation"/>
          <w:lang w:val="en"/>
        </w:rPr>
        <w:t xml:space="preserve"> adopted even </w:t>
      </w:r>
      <w:r w:rsidR="00A33FD8">
        <w:rPr>
          <w:rStyle w:val="tlid-translation"/>
          <w:lang w:val="en"/>
        </w:rPr>
        <w:t xml:space="preserve">for </w:t>
      </w:r>
      <w:r>
        <w:rPr>
          <w:rStyle w:val="tlid-translation"/>
          <w:lang w:val="en"/>
        </w:rPr>
        <w:t>patients with advanced stages.</w:t>
      </w:r>
      <w:r w:rsidR="00266CA4">
        <w:rPr>
          <w:rStyle w:val="tlid-translation"/>
          <w:lang w:val="en"/>
        </w:rPr>
        <w:t xml:space="preserve"> </w:t>
      </w:r>
      <w:r w:rsidR="00A33FD8">
        <w:rPr>
          <w:rStyle w:val="tlid-translation"/>
          <w:color w:val="FF0000"/>
          <w:lang w:val="en"/>
        </w:rPr>
        <w:t>These changes</w:t>
      </w:r>
      <w:r w:rsidR="00266CA4" w:rsidRPr="00127CAF">
        <w:rPr>
          <w:rStyle w:val="tlid-translation"/>
          <w:color w:val="FF0000"/>
          <w:lang w:val="en"/>
        </w:rPr>
        <w:t xml:space="preserve"> are very small. This paragraph isn’</w:t>
      </w:r>
      <w:r w:rsidR="00266CA4" w:rsidRPr="00127CAF">
        <w:rPr>
          <w:rStyle w:val="tlid-translation"/>
          <w:rFonts w:hint="eastAsia"/>
          <w:color w:val="FF0000"/>
          <w:lang w:val="en"/>
        </w:rPr>
        <w:t>t</w:t>
      </w:r>
      <w:r w:rsidR="00266CA4" w:rsidRPr="00127CAF">
        <w:rPr>
          <w:rStyle w:val="tlid-translation"/>
          <w:color w:val="FF0000"/>
          <w:lang w:val="en"/>
        </w:rPr>
        <w:t xml:space="preserve"> very convincing and doesn’</w:t>
      </w:r>
      <w:r w:rsidR="00266CA4" w:rsidRPr="00127CAF">
        <w:rPr>
          <w:rStyle w:val="tlid-translation"/>
          <w:rFonts w:hint="eastAsia"/>
          <w:color w:val="FF0000"/>
          <w:lang w:val="en"/>
        </w:rPr>
        <w:t>t</w:t>
      </w:r>
      <w:r w:rsidR="00266CA4" w:rsidRPr="00127CAF">
        <w:rPr>
          <w:rStyle w:val="tlid-translation"/>
          <w:color w:val="FF0000"/>
          <w:lang w:val="en"/>
        </w:rPr>
        <w:t xml:space="preserve"> add much to the</w:t>
      </w:r>
      <w:r w:rsidR="00127CAF" w:rsidRPr="00127CAF">
        <w:rPr>
          <w:rStyle w:val="tlid-translation"/>
          <w:color w:val="FF0000"/>
          <w:lang w:val="en"/>
        </w:rPr>
        <w:t xml:space="preserve"> discussi</w:t>
      </w:r>
      <w:r w:rsidR="00127CAF" w:rsidRPr="00127CAF">
        <w:rPr>
          <w:rStyle w:val="tlid-translation"/>
          <w:rFonts w:hint="eastAsia"/>
          <w:color w:val="FF0000"/>
          <w:lang w:val="en"/>
        </w:rPr>
        <w:t>on</w:t>
      </w:r>
      <w:r w:rsidR="00690077">
        <w:rPr>
          <w:rStyle w:val="tlid-translation"/>
          <w:lang w:val="en"/>
        </w:rPr>
        <w:t xml:space="preserve"> </w:t>
      </w:r>
      <w:r w:rsidR="00690077" w:rsidRPr="00690077">
        <w:rPr>
          <w:rStyle w:val="tlid-translation"/>
          <w:lang w:val="en"/>
        </w:rPr>
        <w:sym w:font="Wingdings" w:char="F0E0"/>
      </w:r>
      <w:r w:rsidR="00690077">
        <w:rPr>
          <w:rStyle w:val="tlid-translation"/>
          <w:lang w:val="en"/>
        </w:rPr>
        <w:t xml:space="preserve"> </w:t>
      </w:r>
      <w:r w:rsidR="00690077" w:rsidRPr="00690077">
        <w:rPr>
          <w:rStyle w:val="tlid-translation"/>
          <w:color w:val="7030A0"/>
          <w:lang w:val="en"/>
        </w:rPr>
        <w:t>I agree, do we remove it</w:t>
      </w:r>
      <w:proofErr w:type="gramStart"/>
      <w:r w:rsidR="00690077" w:rsidRPr="00690077">
        <w:rPr>
          <w:rStyle w:val="tlid-translation"/>
          <w:color w:val="7030A0"/>
          <w:lang w:val="en"/>
        </w:rPr>
        <w:t>?</w:t>
      </w:r>
      <w:r w:rsidR="00C55611">
        <w:rPr>
          <w:rStyle w:val="tlid-translation"/>
          <w:color w:val="7030A0"/>
          <w:lang w:val="en"/>
        </w:rPr>
        <w:t>..</w:t>
      </w:r>
      <w:proofErr w:type="gramEnd"/>
      <w:r w:rsidR="00C55611">
        <w:rPr>
          <w:rStyle w:val="tlid-translation"/>
          <w:color w:val="7030A0"/>
          <w:lang w:val="en"/>
        </w:rPr>
        <w:t xml:space="preserve"> </w:t>
      </w:r>
      <w:proofErr w:type="gramStart"/>
      <w:r w:rsidR="0004712D" w:rsidRPr="0004712D">
        <w:rPr>
          <w:rStyle w:val="tlid-translation"/>
          <w:b/>
          <w:color w:val="0070C0"/>
          <w:lang w:val="en"/>
        </w:rPr>
        <w:t>your</w:t>
      </w:r>
      <w:proofErr w:type="gramEnd"/>
      <w:r w:rsidR="00C55611" w:rsidRPr="0004712D">
        <w:rPr>
          <w:rStyle w:val="tlid-translation"/>
          <w:b/>
          <w:color w:val="0070C0"/>
          <w:lang w:val="en"/>
        </w:rPr>
        <w:t xml:space="preserve"> </w:t>
      </w:r>
      <w:r w:rsidR="0004712D" w:rsidRPr="0004712D">
        <w:rPr>
          <w:rStyle w:val="tlid-translation"/>
          <w:b/>
          <w:color w:val="0070C0"/>
          <w:lang w:val="en"/>
        </w:rPr>
        <w:t>decisio</w:t>
      </w:r>
      <w:r w:rsidR="0004712D" w:rsidRPr="0004712D">
        <w:rPr>
          <w:rStyle w:val="tlid-translation"/>
          <w:rFonts w:hint="eastAsia"/>
          <w:b/>
          <w:color w:val="0070C0"/>
          <w:lang w:val="en"/>
        </w:rPr>
        <w:t>n</w:t>
      </w:r>
      <w:r w:rsidR="00C55611" w:rsidRPr="0004712D">
        <w:rPr>
          <w:rStyle w:val="tlid-translation"/>
          <w:b/>
          <w:color w:val="0070C0"/>
          <w:lang w:val="en"/>
        </w:rPr>
        <w:t xml:space="preserve"> but I would leave it out -PJ</w:t>
      </w:r>
    </w:p>
    <w:p w14:paraId="6C6E186B" w14:textId="5A9A8B7D" w:rsidR="00127CAF" w:rsidRPr="0004712D" w:rsidRDefault="00690077" w:rsidP="0004712D">
      <w:pPr>
        <w:spacing w:line="360" w:lineRule="auto"/>
        <w:ind w:firstLine="420"/>
        <w:jc w:val="both"/>
        <w:rPr>
          <w:rStyle w:val="tlid-translation"/>
          <w:rFonts w:hint="eastAsia"/>
          <w:lang w:val="en"/>
        </w:rPr>
      </w:pPr>
      <w:r w:rsidRPr="0004712D">
        <w:rPr>
          <w:rStyle w:val="tlid-translation"/>
          <w:color w:val="auto"/>
          <w:lang w:val="en"/>
        </w:rPr>
        <w:t>The most impactful finding was that p</w:t>
      </w:r>
      <w:r w:rsidR="001B5937" w:rsidRPr="0004712D">
        <w:rPr>
          <w:rStyle w:val="tlid-translation"/>
          <w:color w:val="auto"/>
          <w:lang w:val="en"/>
        </w:rPr>
        <w:t xml:space="preserve">atients who </w:t>
      </w:r>
      <w:r w:rsidR="00C55611" w:rsidRPr="0004712D">
        <w:rPr>
          <w:rStyle w:val="tlid-translation"/>
          <w:color w:val="auto"/>
          <w:lang w:val="en"/>
        </w:rPr>
        <w:t xml:space="preserve">travelled </w:t>
      </w:r>
      <w:r w:rsidR="001B5937" w:rsidRPr="0004712D">
        <w:rPr>
          <w:rStyle w:val="tlid-translation"/>
          <w:color w:val="auto"/>
          <w:lang w:val="en"/>
        </w:rPr>
        <w:t xml:space="preserve">from the most deprived to the less deprived regions had </w:t>
      </w:r>
      <w:r w:rsidR="00127CAF" w:rsidRPr="0004712D">
        <w:rPr>
          <w:rStyle w:val="tlid-translation"/>
          <w:color w:val="auto"/>
          <w:lang w:val="en"/>
        </w:rPr>
        <w:t xml:space="preserve">an </w:t>
      </w:r>
      <w:r w:rsidR="001B5937" w:rsidRPr="0004712D">
        <w:rPr>
          <w:rStyle w:val="tlid-translation"/>
          <w:color w:val="auto"/>
          <w:lang w:val="en"/>
        </w:rPr>
        <w:t>increased probabilit</w:t>
      </w:r>
      <w:r w:rsidR="00127CAF" w:rsidRPr="0004712D">
        <w:rPr>
          <w:rStyle w:val="tlid-translation"/>
          <w:color w:val="auto"/>
          <w:lang w:val="en"/>
        </w:rPr>
        <w:t xml:space="preserve">y of receiving either </w:t>
      </w:r>
      <w:r w:rsidR="001B5937" w:rsidRPr="0004712D">
        <w:rPr>
          <w:rStyle w:val="tlid-translation"/>
          <w:color w:val="auto"/>
          <w:lang w:val="en"/>
        </w:rPr>
        <w:t xml:space="preserve">LT (+2.5%) and HR (+6.9%), whereas the ABL rate remained unaffected. It can be speculated that a different referral rate to </w:t>
      </w:r>
      <w:r w:rsidR="00A33FD8">
        <w:rPr>
          <w:rStyle w:val="tlid-translation"/>
          <w:color w:val="auto"/>
          <w:lang w:val="en"/>
        </w:rPr>
        <w:t xml:space="preserve">a </w:t>
      </w:r>
      <w:r w:rsidR="001B5937" w:rsidRPr="0004712D">
        <w:rPr>
          <w:rStyle w:val="tlid-translation"/>
          <w:color w:val="auto"/>
          <w:lang w:val="en"/>
        </w:rPr>
        <w:t xml:space="preserve">hepatic or transplant surgeon exists between less and most deprived </w:t>
      </w:r>
      <w:r w:rsidR="00127CAF" w:rsidRPr="0004712D">
        <w:rPr>
          <w:rStyle w:val="tlid-translation"/>
          <w:color w:val="auto"/>
          <w:lang w:val="en"/>
        </w:rPr>
        <w:t>regions o</w:t>
      </w:r>
      <w:r w:rsidR="00127CAF" w:rsidRPr="0004712D">
        <w:rPr>
          <w:rStyle w:val="tlid-translation"/>
          <w:rFonts w:hint="eastAsia"/>
          <w:color w:val="auto"/>
          <w:lang w:val="en"/>
        </w:rPr>
        <w:t>r</w:t>
      </w:r>
      <w:r w:rsidR="00127CAF" w:rsidRPr="0004712D">
        <w:rPr>
          <w:rStyle w:val="tlid-translation"/>
          <w:color w:val="auto"/>
          <w:lang w:val="en"/>
        </w:rPr>
        <w:t xml:space="preserve"> </w:t>
      </w:r>
      <w:r w:rsidR="001B5937" w:rsidRPr="0004712D">
        <w:rPr>
          <w:rStyle w:val="tlid-translation"/>
          <w:color w:val="auto"/>
          <w:lang w:val="en"/>
        </w:rPr>
        <w:t xml:space="preserve">that different </w:t>
      </w:r>
      <w:proofErr w:type="gramStart"/>
      <w:r w:rsidR="001B5937" w:rsidRPr="0004712D">
        <w:rPr>
          <w:rStyle w:val="tlid-translation"/>
          <w:color w:val="auto"/>
          <w:lang w:val="en"/>
        </w:rPr>
        <w:t>surgeons</w:t>
      </w:r>
      <w:proofErr w:type="gramEnd"/>
      <w:r w:rsidR="001B5937" w:rsidRPr="0004712D">
        <w:rPr>
          <w:rStyle w:val="tlid-translation"/>
          <w:color w:val="auto"/>
          <w:lang w:val="en"/>
        </w:rPr>
        <w:t xml:space="preserve"> act differently among regions. That is, HCC patients which did not </w:t>
      </w:r>
      <w:r w:rsidR="001B5937" w:rsidRPr="0004712D">
        <w:rPr>
          <w:rStyle w:val="tlid-translation"/>
          <w:color w:val="auto"/>
          <w:lang w:val="en"/>
        </w:rPr>
        <w:lastRenderedPageBreak/>
        <w:t>represent ideal candid</w:t>
      </w:r>
      <w:r w:rsidR="001B5937">
        <w:rPr>
          <w:rStyle w:val="tlid-translation"/>
          <w:lang w:val="en"/>
        </w:rPr>
        <w:t>ates for HR or LT in they own regions may have migrated to less deprived regions</w:t>
      </w:r>
      <w:r w:rsidR="00A33FD8">
        <w:rPr>
          <w:rStyle w:val="tlid-translation"/>
          <w:lang w:val="en"/>
        </w:rPr>
        <w:t xml:space="preserve"> which are</w:t>
      </w:r>
      <w:r w:rsidR="001B5937">
        <w:rPr>
          <w:rStyle w:val="tlid-translation"/>
          <w:lang w:val="en"/>
        </w:rPr>
        <w:t xml:space="preserve"> able to sustain higher costs for these surgical procedures. </w:t>
      </w:r>
    </w:p>
    <w:p w14:paraId="14D5F657" w14:textId="77777777" w:rsidR="00127CAF" w:rsidRPr="00127CAF" w:rsidRDefault="00127CAF" w:rsidP="001B5937">
      <w:pPr>
        <w:spacing w:line="360" w:lineRule="auto"/>
        <w:ind w:firstLine="420"/>
        <w:jc w:val="both"/>
        <w:rPr>
          <w:rStyle w:val="tlid-translation"/>
          <w:rFonts w:hint="eastAsia"/>
          <w:color w:val="FF0000"/>
          <w:lang w:val="en"/>
        </w:rPr>
      </w:pPr>
    </w:p>
    <w:p w14:paraId="76360DBC" w14:textId="4967462E" w:rsidR="001B5937" w:rsidRDefault="001B5937" w:rsidP="001B5937">
      <w:pPr>
        <w:spacing w:line="360" w:lineRule="auto"/>
        <w:ind w:firstLine="420"/>
        <w:jc w:val="both"/>
        <w:rPr>
          <w:rStyle w:val="tlid-translation"/>
          <w:rFonts w:hint="eastAsia"/>
          <w:lang w:val="en"/>
        </w:rPr>
      </w:pPr>
      <w:r>
        <w:rPr>
          <w:rStyle w:val="tlid-translation"/>
          <w:lang w:val="en"/>
        </w:rPr>
        <w:t xml:space="preserve">A large body of literature indicates that non-ideal candidates </w:t>
      </w:r>
      <w:r w:rsidR="00A33FD8">
        <w:rPr>
          <w:rStyle w:val="tlid-translation"/>
          <w:lang w:val="en"/>
        </w:rPr>
        <w:t>for</w:t>
      </w:r>
      <w:r>
        <w:rPr>
          <w:rStyle w:val="tlid-translation"/>
          <w:lang w:val="en"/>
        </w:rPr>
        <w:t xml:space="preserve"> HR can safe</w:t>
      </w:r>
      <w:r w:rsidR="00A33FD8">
        <w:rPr>
          <w:rStyle w:val="tlid-translation"/>
          <w:lang w:val="en"/>
        </w:rPr>
        <w:t>l</w:t>
      </w:r>
      <w:r>
        <w:rPr>
          <w:rStyle w:val="tlid-translation"/>
          <w:lang w:val="en"/>
        </w:rPr>
        <w:t>y undergo this surgery, but also that surgery in these patients is demanding</w:t>
      </w:r>
      <w:r w:rsidR="00A33FD8">
        <w:rPr>
          <w:rStyle w:val="tlid-translation"/>
          <w:lang w:val="en"/>
        </w:rPr>
        <w:t xml:space="preserve"> and</w:t>
      </w:r>
      <w:r>
        <w:rPr>
          <w:rStyle w:val="tlid-translation"/>
          <w:lang w:val="en"/>
        </w:rPr>
        <w:t xml:space="preserve"> requires additional preoperative evaluation of functional reserve</w:t>
      </w:r>
      <w:r w:rsidR="0004712D">
        <w:rPr>
          <w:rStyle w:val="tlid-translation"/>
          <w:lang w:val="en"/>
        </w:rPr>
        <w:t xml:space="preserve">. This </w:t>
      </w:r>
      <w:r>
        <w:rPr>
          <w:rStyle w:val="tlid-translation"/>
          <w:lang w:val="en"/>
        </w:rPr>
        <w:t xml:space="preserve">may prolong the post-operative course, ultimately resulting </w:t>
      </w:r>
      <w:r w:rsidR="00A33FD8">
        <w:rPr>
          <w:rStyle w:val="tlid-translation"/>
          <w:lang w:val="en"/>
        </w:rPr>
        <w:t xml:space="preserve">in </w:t>
      </w:r>
      <w:r w:rsidR="0004712D">
        <w:rPr>
          <w:rStyle w:val="tlid-translation"/>
          <w:lang w:val="en"/>
        </w:rPr>
        <w:t>greater expense</w:t>
      </w:r>
      <w:r>
        <w:rPr>
          <w:rStyle w:val="tlid-translation"/>
          <w:lang w:val="en"/>
        </w:rPr>
        <w:t xml:space="preserve"> from the health-care provider</w:t>
      </w:r>
      <w:r w:rsidR="0004712D">
        <w:rPr>
          <w:rStyle w:val="tlid-translation"/>
          <w:lang w:val="en"/>
        </w:rPr>
        <w:t>s’</w:t>
      </w:r>
      <w:r>
        <w:rPr>
          <w:rStyle w:val="tlid-translation"/>
          <w:lang w:val="en"/>
        </w:rPr>
        <w:t xml:space="preserve"> perspective</w:t>
      </w:r>
      <w:r w:rsidR="006C498D">
        <w:rPr>
          <w:rStyle w:val="tlid-translation"/>
          <w:lang w:val="en"/>
        </w:rPr>
        <w:t xml:space="preserve"> </w:t>
      </w:r>
      <w:r w:rsidR="006C498D" w:rsidRPr="006C498D">
        <w:rPr>
          <w:rStyle w:val="tlid-translation"/>
          <w:i/>
          <w:iCs/>
          <w:lang w:val="en"/>
        </w:rPr>
        <w:t>[</w:t>
      </w:r>
      <w:r w:rsidR="006C498D" w:rsidRPr="006C498D">
        <w:rPr>
          <w:rStyle w:val="jrnl"/>
          <w:i/>
          <w:iCs/>
        </w:rPr>
        <w:t xml:space="preserve">Ann </w:t>
      </w:r>
      <w:proofErr w:type="spellStart"/>
      <w:r w:rsidR="006C498D" w:rsidRPr="006C498D">
        <w:rPr>
          <w:rStyle w:val="jrnl"/>
          <w:i/>
          <w:iCs/>
        </w:rPr>
        <w:t>Surg</w:t>
      </w:r>
      <w:proofErr w:type="spellEnd"/>
      <w:r w:rsidR="006C498D" w:rsidRPr="006C498D">
        <w:rPr>
          <w:rStyle w:val="jrnl"/>
          <w:i/>
          <w:iCs/>
        </w:rPr>
        <w:t xml:space="preserve"> </w:t>
      </w:r>
      <w:proofErr w:type="spellStart"/>
      <w:r w:rsidR="006C498D" w:rsidRPr="006C498D">
        <w:rPr>
          <w:rStyle w:val="jrnl"/>
          <w:i/>
          <w:iCs/>
        </w:rPr>
        <w:t>Oncol</w:t>
      </w:r>
      <w:proofErr w:type="spellEnd"/>
      <w:r w:rsidR="006C498D" w:rsidRPr="006C498D">
        <w:rPr>
          <w:i/>
          <w:iCs/>
        </w:rPr>
        <w:t xml:space="preserve">. 2020 Apr 9. </w:t>
      </w:r>
      <w:proofErr w:type="spellStart"/>
      <w:r w:rsidR="006C498D" w:rsidRPr="006C498D">
        <w:rPr>
          <w:i/>
          <w:iCs/>
        </w:rPr>
        <w:t>doi</w:t>
      </w:r>
      <w:proofErr w:type="spellEnd"/>
      <w:r w:rsidR="006C498D" w:rsidRPr="006C498D">
        <w:rPr>
          <w:i/>
          <w:iCs/>
        </w:rPr>
        <w:t xml:space="preserve">: 10.1245/s10434-020-08444-3; </w:t>
      </w:r>
      <w:r w:rsidR="006C498D" w:rsidRPr="006C498D">
        <w:rPr>
          <w:rStyle w:val="jrnl"/>
          <w:i/>
          <w:iCs/>
        </w:rPr>
        <w:t>J Hepatol</w:t>
      </w:r>
      <w:r w:rsidR="006C498D" w:rsidRPr="006C498D">
        <w:rPr>
          <w:i/>
          <w:iCs/>
        </w:rPr>
        <w:t>. 2016 Jan</w:t>
      </w:r>
      <w:proofErr w:type="gramStart"/>
      <w:r w:rsidR="006C498D" w:rsidRPr="006C498D">
        <w:rPr>
          <w:i/>
          <w:iCs/>
        </w:rPr>
        <w:t>;64</w:t>
      </w:r>
      <w:proofErr w:type="gramEnd"/>
      <w:r w:rsidR="006C498D" w:rsidRPr="006C498D">
        <w:rPr>
          <w:i/>
          <w:iCs/>
        </w:rPr>
        <w:t xml:space="preserve">(1):79-86.; </w:t>
      </w:r>
      <w:r w:rsidR="006C498D" w:rsidRPr="006C498D">
        <w:rPr>
          <w:rStyle w:val="jrnl"/>
          <w:i/>
          <w:iCs/>
        </w:rPr>
        <w:t>Ann Surg</w:t>
      </w:r>
      <w:r w:rsidR="006C498D" w:rsidRPr="006C498D">
        <w:rPr>
          <w:i/>
          <w:iCs/>
        </w:rPr>
        <w:t xml:space="preserve">. 2019 Jul 10. </w:t>
      </w:r>
      <w:proofErr w:type="spellStart"/>
      <w:r w:rsidR="006C498D" w:rsidRPr="006C498D">
        <w:rPr>
          <w:i/>
          <w:iCs/>
        </w:rPr>
        <w:t>doi</w:t>
      </w:r>
      <w:proofErr w:type="spellEnd"/>
      <w:r w:rsidR="006C498D" w:rsidRPr="006C498D">
        <w:rPr>
          <w:i/>
          <w:iCs/>
        </w:rPr>
        <w:t>: 10.1097/SLA.0000000000003433]</w:t>
      </w:r>
      <w:r w:rsidRPr="006C498D">
        <w:rPr>
          <w:rStyle w:val="tlid-translation"/>
          <w:i/>
          <w:iCs/>
          <w:lang w:val="en"/>
        </w:rPr>
        <w:t>.</w:t>
      </w:r>
      <w:r>
        <w:rPr>
          <w:rStyle w:val="tlid-translation"/>
          <w:lang w:val="en"/>
        </w:rPr>
        <w:t xml:space="preserve"> </w:t>
      </w:r>
    </w:p>
    <w:p w14:paraId="016AFF21" w14:textId="77777777" w:rsidR="00127CAF" w:rsidRPr="007A1370" w:rsidRDefault="00127CAF" w:rsidP="001B5937">
      <w:pPr>
        <w:spacing w:line="360" w:lineRule="auto"/>
        <w:ind w:firstLine="420"/>
        <w:jc w:val="both"/>
        <w:rPr>
          <w:rStyle w:val="tlid-translation"/>
          <w:rFonts w:hint="eastAsia"/>
          <w:highlight w:val="yellow"/>
          <w:lang w:val="en"/>
        </w:rPr>
      </w:pPr>
    </w:p>
    <w:p w14:paraId="641AFD75" w14:textId="6459B8D9" w:rsidR="00127CAF" w:rsidRDefault="001B5937" w:rsidP="001B5937">
      <w:pPr>
        <w:spacing w:line="360" w:lineRule="auto"/>
        <w:ind w:firstLine="420"/>
        <w:jc w:val="both"/>
        <w:rPr>
          <w:rStyle w:val="tlid-translation"/>
          <w:rFonts w:hint="eastAsia"/>
          <w:lang w:val="en"/>
        </w:rPr>
      </w:pPr>
      <w:r>
        <w:rPr>
          <w:rStyle w:val="tlid-translation"/>
          <w:lang w:val="en"/>
        </w:rPr>
        <w:t xml:space="preserve"> For LT the scenario is more complex. In Italy, there is a great </w:t>
      </w:r>
      <w:r w:rsidR="00127CAF">
        <w:rPr>
          <w:rStyle w:val="tlid-translation"/>
          <w:lang w:val="en"/>
        </w:rPr>
        <w:t>variation</w:t>
      </w:r>
      <w:r w:rsidR="00A33FD8">
        <w:rPr>
          <w:rStyle w:val="tlid-translation"/>
          <w:lang w:val="en"/>
        </w:rPr>
        <w:t xml:space="preserve"> in</w:t>
      </w:r>
      <w:r>
        <w:rPr>
          <w:rStyle w:val="tlid-translation"/>
          <w:lang w:val="en"/>
        </w:rPr>
        <w:t xml:space="preserve"> organ donation </w:t>
      </w:r>
      <w:r w:rsidR="00127CAF">
        <w:rPr>
          <w:rStyle w:val="tlid-translation"/>
          <w:lang w:val="en"/>
        </w:rPr>
        <w:t>rate</w:t>
      </w:r>
      <w:r w:rsidR="005A4553">
        <w:rPr>
          <w:rStyle w:val="tlid-translation"/>
          <w:lang w:val="en"/>
        </w:rPr>
        <w:t xml:space="preserve"> </w:t>
      </w:r>
      <w:r>
        <w:rPr>
          <w:rStyle w:val="tlid-translation"/>
          <w:lang w:val="en"/>
        </w:rPr>
        <w:t>between</w:t>
      </w:r>
      <w:r w:rsidR="00A33FD8">
        <w:rPr>
          <w:rStyle w:val="tlid-translation"/>
          <w:lang w:val="en"/>
        </w:rPr>
        <w:t xml:space="preserve"> the</w:t>
      </w:r>
      <w:r>
        <w:rPr>
          <w:rStyle w:val="tlid-translation"/>
          <w:lang w:val="en"/>
        </w:rPr>
        <w:t xml:space="preserve"> deprived regions</w:t>
      </w:r>
      <w:r w:rsidR="00127CAF">
        <w:rPr>
          <w:rStyle w:val="tlid-translation"/>
          <w:lang w:val="en"/>
        </w:rPr>
        <w:t xml:space="preserve"> </w:t>
      </w:r>
      <w:r w:rsidR="006C498D">
        <w:rPr>
          <w:rStyle w:val="tlid-translation"/>
          <w:lang w:val="en"/>
        </w:rPr>
        <w:t>(</w:t>
      </w:r>
      <w:r>
        <w:rPr>
          <w:rStyle w:val="tlid-translation"/>
          <w:lang w:val="en"/>
        </w:rPr>
        <w:t>lowest</w:t>
      </w:r>
      <w:r w:rsidR="006C498D">
        <w:rPr>
          <w:rStyle w:val="tlid-translation"/>
          <w:lang w:val="en"/>
        </w:rPr>
        <w:t>)</w:t>
      </w:r>
      <w:r>
        <w:rPr>
          <w:rStyle w:val="tlid-translation"/>
          <w:lang w:val="en"/>
        </w:rPr>
        <w:t xml:space="preserve"> </w:t>
      </w:r>
      <w:r w:rsidR="00127CAF">
        <w:rPr>
          <w:rStyle w:val="tlid-translation"/>
          <w:lang w:val="en"/>
        </w:rPr>
        <w:t>a</w:t>
      </w:r>
      <w:r w:rsidR="005A4553">
        <w:rPr>
          <w:rStyle w:val="tlid-translation"/>
          <w:lang w:val="en"/>
        </w:rPr>
        <w:t>nd</w:t>
      </w:r>
      <w:r w:rsidR="00127CAF">
        <w:rPr>
          <w:rStyle w:val="tlid-translation"/>
          <w:lang w:val="en"/>
        </w:rPr>
        <w:t xml:space="preserve"> </w:t>
      </w:r>
      <w:r>
        <w:rPr>
          <w:rStyle w:val="tlid-translation"/>
          <w:lang w:val="en"/>
        </w:rPr>
        <w:t>less deprived regions</w:t>
      </w:r>
      <w:r w:rsidR="00127CAF">
        <w:rPr>
          <w:rStyle w:val="tlid-translation"/>
          <w:lang w:val="en"/>
        </w:rPr>
        <w:t xml:space="preserve"> </w:t>
      </w:r>
      <w:r w:rsidR="006C498D">
        <w:rPr>
          <w:rStyle w:val="tlid-translation"/>
          <w:lang w:val="en"/>
        </w:rPr>
        <w:t>(</w:t>
      </w:r>
      <w:r w:rsidR="00127CAF">
        <w:rPr>
          <w:rStyle w:val="tlid-translation"/>
          <w:lang w:val="en"/>
        </w:rPr>
        <w:t>highest</w:t>
      </w:r>
      <w:r w:rsidR="006C498D">
        <w:rPr>
          <w:rStyle w:val="tlid-translation"/>
          <w:lang w:val="en"/>
        </w:rPr>
        <w:t xml:space="preserve">) </w:t>
      </w:r>
      <w:r w:rsidR="006C498D" w:rsidRPr="006C498D">
        <w:rPr>
          <w:rStyle w:val="tlid-translation"/>
          <w:i/>
          <w:iCs/>
          <w:lang w:val="en"/>
        </w:rPr>
        <w:t>[</w:t>
      </w:r>
      <w:r w:rsidR="006C498D" w:rsidRPr="006C498D">
        <w:rPr>
          <w:rStyle w:val="tlid-translation"/>
          <w:rFonts w:hint="eastAsia"/>
          <w:i/>
          <w:iCs/>
          <w:lang w:val="en"/>
        </w:rPr>
        <w:t>http://www.trapianti.salute.gov.it/trapianti/archivioDatiCnt.jsp</w:t>
      </w:r>
      <w:r w:rsidR="006C498D" w:rsidRPr="006C498D">
        <w:rPr>
          <w:rStyle w:val="tlid-translation"/>
          <w:i/>
          <w:iCs/>
          <w:lang w:val="en"/>
        </w:rPr>
        <w:t>]</w:t>
      </w:r>
      <w:r>
        <w:rPr>
          <w:rStyle w:val="tlid-translation"/>
          <w:lang w:val="en"/>
        </w:rPr>
        <w:t xml:space="preserve">. Moreover, there are </w:t>
      </w:r>
      <w:r>
        <w:rPr>
          <w:rStyle w:val="tlid-translation"/>
          <w:rFonts w:hint="eastAsia"/>
          <w:lang w:val="en"/>
        </w:rPr>
        <w:t>different</w:t>
      </w:r>
      <w:r>
        <w:rPr>
          <w:rStyle w:val="tlid-translation"/>
          <w:lang w:val="en"/>
        </w:rPr>
        <w:t xml:space="preserve"> graft allocation systems among </w:t>
      </w:r>
      <w:r>
        <w:rPr>
          <w:rStyle w:val="tlid-translation"/>
          <w:rFonts w:hint="eastAsia"/>
          <w:lang w:val="en"/>
        </w:rPr>
        <w:t>different</w:t>
      </w:r>
      <w:r>
        <w:rPr>
          <w:rStyle w:val="tlid-translation"/>
          <w:lang w:val="en"/>
        </w:rPr>
        <w:t xml:space="preserve"> regions, so that donated organs are not distributed with a nationwide modality</w:t>
      </w:r>
      <w:r w:rsidR="006C498D">
        <w:rPr>
          <w:rStyle w:val="tlid-translation"/>
          <w:lang w:val="en"/>
        </w:rPr>
        <w:t xml:space="preserve"> </w:t>
      </w:r>
      <w:r w:rsidR="006C498D" w:rsidRPr="006C498D">
        <w:rPr>
          <w:rStyle w:val="tlid-translation"/>
          <w:i/>
          <w:iCs/>
          <w:lang w:val="en"/>
        </w:rPr>
        <w:t>[</w:t>
      </w:r>
      <w:r w:rsidR="006C498D" w:rsidRPr="006C498D">
        <w:rPr>
          <w:rStyle w:val="tlid-translation"/>
          <w:rFonts w:hint="eastAsia"/>
          <w:i/>
          <w:iCs/>
          <w:lang w:val="en"/>
        </w:rPr>
        <w:t>Am J Transplant. 2015 Oct</w:t>
      </w:r>
      <w:proofErr w:type="gramStart"/>
      <w:r w:rsidR="006C498D" w:rsidRPr="006C498D">
        <w:rPr>
          <w:rStyle w:val="tlid-translation"/>
          <w:rFonts w:hint="eastAsia"/>
          <w:i/>
          <w:iCs/>
          <w:lang w:val="en"/>
        </w:rPr>
        <w:t>;15</w:t>
      </w:r>
      <w:proofErr w:type="gramEnd"/>
      <w:r w:rsidR="006C498D" w:rsidRPr="006C498D">
        <w:rPr>
          <w:rStyle w:val="tlid-translation"/>
          <w:rFonts w:hint="eastAsia"/>
          <w:i/>
          <w:iCs/>
          <w:lang w:val="en"/>
        </w:rPr>
        <w:t>(10):2552-61.</w:t>
      </w:r>
      <w:r w:rsidR="006C498D" w:rsidRPr="006C498D">
        <w:rPr>
          <w:rStyle w:val="tlid-translation"/>
          <w:i/>
          <w:iCs/>
          <w:lang w:val="en"/>
        </w:rPr>
        <w:t>]</w:t>
      </w:r>
      <w:r w:rsidRPr="006C498D">
        <w:rPr>
          <w:rStyle w:val="tlid-translation"/>
          <w:i/>
          <w:iCs/>
          <w:lang w:val="en"/>
        </w:rPr>
        <w:t>.</w:t>
      </w:r>
      <w:r>
        <w:rPr>
          <w:rStyle w:val="tlid-translation"/>
          <w:lang w:val="en"/>
        </w:rPr>
        <w:t xml:space="preserve"> </w:t>
      </w:r>
    </w:p>
    <w:p w14:paraId="4418D911" w14:textId="37AB19D6" w:rsidR="00127CAF" w:rsidRPr="009D2A87" w:rsidRDefault="009D2A87" w:rsidP="001B5937">
      <w:pPr>
        <w:spacing w:line="360" w:lineRule="auto"/>
        <w:ind w:firstLine="420"/>
        <w:jc w:val="both"/>
        <w:rPr>
          <w:rStyle w:val="tlid-translation"/>
          <w:rFonts w:hint="eastAsia"/>
          <w:color w:val="FF0000"/>
          <w:lang w:val="en"/>
        </w:rPr>
      </w:pPr>
      <w:r w:rsidRPr="009D2A87">
        <w:rPr>
          <w:rStyle w:val="tlid-translation"/>
          <w:color w:val="FF0000"/>
          <w:lang w:val="en"/>
        </w:rPr>
        <w:t>This</w:t>
      </w:r>
      <w:r w:rsidR="00127CAF" w:rsidRPr="009D2A87">
        <w:rPr>
          <w:rStyle w:val="tlid-translation"/>
          <w:color w:val="FF0000"/>
          <w:lang w:val="en"/>
        </w:rPr>
        <w:t xml:space="preserve"> will be an </w:t>
      </w:r>
      <w:r w:rsidRPr="009D2A87">
        <w:rPr>
          <w:rStyle w:val="tlid-translation"/>
          <w:color w:val="FF0000"/>
          <w:lang w:val="en"/>
        </w:rPr>
        <w:t>interestin</w:t>
      </w:r>
      <w:r w:rsidRPr="009D2A87">
        <w:rPr>
          <w:rStyle w:val="tlid-translation"/>
          <w:rFonts w:hint="eastAsia"/>
          <w:color w:val="FF0000"/>
          <w:lang w:val="en"/>
        </w:rPr>
        <w:t>g</w:t>
      </w:r>
      <w:r w:rsidR="00127CAF" w:rsidRPr="009D2A87">
        <w:rPr>
          <w:rStyle w:val="tlid-translation"/>
          <w:color w:val="FF0000"/>
          <w:lang w:val="en"/>
        </w:rPr>
        <w:t xml:space="preserve"> research area for our next paper </w:t>
      </w:r>
      <w:r w:rsidRPr="009D2A87">
        <w:rPr>
          <w:rStyle w:val="tlid-translation"/>
          <w:color w:val="FF0000"/>
          <w:lang w:val="en"/>
        </w:rPr>
        <w:t>which</w:t>
      </w:r>
      <w:r w:rsidR="00127CAF" w:rsidRPr="009D2A87">
        <w:rPr>
          <w:rStyle w:val="tlid-translation"/>
          <w:color w:val="FF0000"/>
          <w:lang w:val="en"/>
        </w:rPr>
        <w:t xml:space="preserve"> </w:t>
      </w:r>
      <w:r w:rsidRPr="009D2A87">
        <w:rPr>
          <w:rStyle w:val="tlid-translation"/>
          <w:color w:val="FF0000"/>
          <w:lang w:val="en"/>
        </w:rPr>
        <w:t>wil</w:t>
      </w:r>
      <w:r w:rsidRPr="009D2A87">
        <w:rPr>
          <w:rStyle w:val="tlid-translation"/>
          <w:rFonts w:hint="eastAsia"/>
          <w:color w:val="FF0000"/>
          <w:lang w:val="en"/>
        </w:rPr>
        <w:t>l</w:t>
      </w:r>
      <w:r w:rsidR="00127CAF" w:rsidRPr="009D2A87">
        <w:rPr>
          <w:rStyle w:val="tlid-translation"/>
          <w:color w:val="FF0000"/>
          <w:lang w:val="en"/>
        </w:rPr>
        <w:t xml:space="preserve"> </w:t>
      </w:r>
      <w:r w:rsidRPr="009D2A87">
        <w:rPr>
          <w:rStyle w:val="tlid-translation"/>
          <w:color w:val="FF0000"/>
          <w:lang w:val="en"/>
        </w:rPr>
        <w:t>include</w:t>
      </w:r>
      <w:r w:rsidR="00127CAF" w:rsidRPr="009D2A87">
        <w:rPr>
          <w:rStyle w:val="tlid-translation"/>
          <w:color w:val="FF0000"/>
          <w:lang w:val="en"/>
        </w:rPr>
        <w:t xml:space="preserve"> the UK where the</w:t>
      </w:r>
      <w:r w:rsidR="00F228CB">
        <w:rPr>
          <w:rStyle w:val="tlid-translation"/>
          <w:color w:val="FF0000"/>
          <w:lang w:val="en"/>
        </w:rPr>
        <w:t>re</w:t>
      </w:r>
      <w:r w:rsidR="00127CAF" w:rsidRPr="009D2A87">
        <w:rPr>
          <w:rStyle w:val="tlid-translation"/>
          <w:color w:val="FF0000"/>
          <w:lang w:val="en"/>
        </w:rPr>
        <w:t xml:space="preserve"> is</w:t>
      </w:r>
      <w:r w:rsidRPr="009D2A87">
        <w:rPr>
          <w:rStyle w:val="tlid-translation"/>
          <w:color w:val="FF0000"/>
          <w:lang w:val="en"/>
        </w:rPr>
        <w:t xml:space="preserve"> </w:t>
      </w:r>
      <w:r w:rsidR="00B60620" w:rsidRPr="009D2A87">
        <w:rPr>
          <w:rStyle w:val="tlid-translation"/>
          <w:color w:val="FF0000"/>
          <w:lang w:val="en"/>
        </w:rPr>
        <w:t>nationwide</w:t>
      </w:r>
      <w:r w:rsidRPr="009D2A87">
        <w:rPr>
          <w:rStyle w:val="tlid-translation"/>
          <w:color w:val="FF0000"/>
          <w:lang w:val="en"/>
        </w:rPr>
        <w:t xml:space="preserve"> sharing.</w:t>
      </w:r>
      <w:r w:rsidR="00CD1DAF">
        <w:rPr>
          <w:rStyle w:val="tlid-translation"/>
          <w:color w:val="FF0000"/>
          <w:lang w:val="en"/>
        </w:rPr>
        <w:t xml:space="preserve"> </w:t>
      </w:r>
      <w:r w:rsidR="00CD1DAF" w:rsidRPr="00CD1DAF">
        <w:rPr>
          <w:rStyle w:val="tlid-translation"/>
          <w:color w:val="FF0000"/>
          <w:lang w:val="en"/>
        </w:rPr>
        <w:sym w:font="Wingdings" w:char="F0E0"/>
      </w:r>
      <w:r w:rsidR="00CD1DAF">
        <w:rPr>
          <w:rStyle w:val="tlid-translation"/>
          <w:color w:val="FF0000"/>
          <w:lang w:val="en"/>
        </w:rPr>
        <w:t xml:space="preserve"> </w:t>
      </w:r>
      <w:r w:rsidR="00CD1DAF">
        <w:rPr>
          <w:rStyle w:val="tlid-translation"/>
          <w:color w:val="7030A0"/>
          <w:lang w:val="en"/>
        </w:rPr>
        <w:t xml:space="preserve">I need to think about it… </w:t>
      </w:r>
      <w:r w:rsidR="00CD1DAF" w:rsidRPr="00CD1DAF">
        <w:rPr>
          <w:rStyle w:val="tlid-translation"/>
          <w:rFonts w:hint="eastAsia"/>
          <w:color w:val="7030A0"/>
          <w:lang w:val="en"/>
        </w:rPr>
        <w:t xml:space="preserve">let's talk about it at the next </w:t>
      </w:r>
      <w:r w:rsidR="00CD1DAF">
        <w:rPr>
          <w:rStyle w:val="tlid-translation"/>
          <w:color w:val="7030A0"/>
          <w:lang w:val="en"/>
        </w:rPr>
        <w:t>work</w:t>
      </w:r>
    </w:p>
    <w:p w14:paraId="702D525D" w14:textId="77777777" w:rsidR="00127CAF" w:rsidRDefault="00127CAF" w:rsidP="001B5937">
      <w:pPr>
        <w:spacing w:line="360" w:lineRule="auto"/>
        <w:ind w:firstLine="420"/>
        <w:jc w:val="both"/>
        <w:rPr>
          <w:rStyle w:val="tlid-translation"/>
          <w:rFonts w:hint="eastAsia"/>
          <w:lang w:val="en"/>
        </w:rPr>
      </w:pPr>
    </w:p>
    <w:p w14:paraId="12B9D924" w14:textId="06C80BAF" w:rsidR="001B5937" w:rsidRDefault="001B5937" w:rsidP="001B5937">
      <w:pPr>
        <w:spacing w:line="360" w:lineRule="auto"/>
        <w:ind w:firstLine="420"/>
        <w:jc w:val="both"/>
        <w:rPr>
          <w:rStyle w:val="tlid-translation"/>
          <w:rFonts w:hint="eastAsia"/>
          <w:lang w:val="en"/>
        </w:rPr>
      </w:pPr>
      <w:r>
        <w:rPr>
          <w:rStyle w:val="tlid-translation"/>
          <w:lang w:val="en"/>
        </w:rPr>
        <w:t>Consequently,  the scarcity of donors</w:t>
      </w:r>
      <w:r w:rsidDel="002221A8">
        <w:rPr>
          <w:rStyle w:val="tlid-translation"/>
          <w:lang w:val="en"/>
        </w:rPr>
        <w:t xml:space="preserve"> </w:t>
      </w:r>
      <w:r>
        <w:rPr>
          <w:rStyle w:val="tlid-translation"/>
          <w:lang w:val="en"/>
        </w:rPr>
        <w:t>adversely affects the actual feasibility</w:t>
      </w:r>
      <w:r w:rsidRPr="0036016C">
        <w:rPr>
          <w:rStyle w:val="tlid-translation"/>
          <w:lang w:val="en"/>
        </w:rPr>
        <w:t xml:space="preserve"> </w:t>
      </w:r>
      <w:r>
        <w:rPr>
          <w:rStyle w:val="tlid-translation"/>
          <w:lang w:val="en"/>
        </w:rPr>
        <w:t>of LT in centers located in the most deprived regions</w:t>
      </w:r>
      <w:r w:rsidR="006C498D">
        <w:rPr>
          <w:rStyle w:val="tlid-translation"/>
          <w:lang w:val="en"/>
        </w:rPr>
        <w:t xml:space="preserve"> </w:t>
      </w:r>
      <w:r w:rsidR="006C498D" w:rsidRPr="006C498D">
        <w:rPr>
          <w:rStyle w:val="tlid-translation"/>
          <w:i/>
          <w:iCs/>
          <w:lang w:val="en"/>
        </w:rPr>
        <w:t>[</w:t>
      </w:r>
      <w:r w:rsidR="006C498D" w:rsidRPr="006C498D">
        <w:rPr>
          <w:rStyle w:val="tlid-translation"/>
          <w:rFonts w:hint="eastAsia"/>
          <w:i/>
          <w:iCs/>
          <w:lang w:val="en"/>
        </w:rPr>
        <w:t>http://www.trapianti.salute.gov.it/trapianti/archivioDatiCnt.jsp</w:t>
      </w:r>
      <w:r w:rsidR="006C498D" w:rsidRPr="006C498D">
        <w:rPr>
          <w:rStyle w:val="tlid-translation"/>
          <w:i/>
          <w:iCs/>
          <w:lang w:val="en"/>
        </w:rPr>
        <w:t>]</w:t>
      </w:r>
      <w:r>
        <w:rPr>
          <w:rStyle w:val="tlid-translation"/>
          <w:lang w:val="en"/>
        </w:rPr>
        <w:t>, whereas LT centers located in less deprived regions can afford to transplant patients coming from other regions thanks to the more generous donation rate and the use of extend</w:t>
      </w:r>
      <w:r w:rsidR="00A33FD8">
        <w:rPr>
          <w:rStyle w:val="tlid-translation"/>
          <w:lang w:val="en"/>
        </w:rPr>
        <w:t>ed</w:t>
      </w:r>
      <w:r>
        <w:rPr>
          <w:rStyle w:val="tlid-translation"/>
          <w:lang w:val="en"/>
        </w:rPr>
        <w:t xml:space="preserve"> transplant criteria and down-staging procedures</w:t>
      </w:r>
      <w:r w:rsidR="006C498D">
        <w:rPr>
          <w:rStyle w:val="tlid-translation"/>
          <w:lang w:val="en"/>
        </w:rPr>
        <w:t xml:space="preserve"> </w:t>
      </w:r>
      <w:r w:rsidR="006C498D" w:rsidRPr="006C498D">
        <w:rPr>
          <w:rStyle w:val="tlid-translation"/>
          <w:i/>
          <w:iCs/>
          <w:lang w:val="en"/>
        </w:rPr>
        <w:t>[</w:t>
      </w:r>
      <w:r w:rsidR="006C498D" w:rsidRPr="006C498D">
        <w:rPr>
          <w:rStyle w:val="tlid-translation"/>
          <w:rFonts w:hint="eastAsia"/>
          <w:i/>
          <w:iCs/>
          <w:lang w:val="en"/>
        </w:rPr>
        <w:t>Am J Transplant. 2015 Oct;15(10):2552-61</w:t>
      </w:r>
      <w:r w:rsidR="006C498D" w:rsidRPr="006C498D">
        <w:rPr>
          <w:rStyle w:val="tlid-translation"/>
          <w:i/>
          <w:iCs/>
          <w:lang w:val="en"/>
        </w:rPr>
        <w:t xml:space="preserve">; </w:t>
      </w:r>
      <w:r w:rsidR="006C498D" w:rsidRPr="006C498D">
        <w:rPr>
          <w:rStyle w:val="jrnl"/>
          <w:i/>
          <w:iCs/>
        </w:rPr>
        <w:t>J Hepatol</w:t>
      </w:r>
      <w:r w:rsidR="006C498D" w:rsidRPr="006C498D">
        <w:rPr>
          <w:i/>
          <w:iCs/>
        </w:rPr>
        <w:t>. 2013 Mar;58(3):609-18.</w:t>
      </w:r>
      <w:r w:rsidR="006C498D" w:rsidRPr="006C498D">
        <w:rPr>
          <w:rStyle w:val="tlid-translation"/>
          <w:i/>
          <w:iCs/>
          <w:lang w:val="en"/>
        </w:rPr>
        <w:t>]</w:t>
      </w:r>
      <w:r w:rsidR="006C498D">
        <w:rPr>
          <w:rStyle w:val="tlid-translation"/>
          <w:lang w:val="en"/>
        </w:rPr>
        <w:t>.</w:t>
      </w:r>
      <w:r>
        <w:rPr>
          <w:rStyle w:val="tlid-translation"/>
          <w:lang w:val="en"/>
        </w:rPr>
        <w:t>. Of course, this policy</w:t>
      </w:r>
      <w:r w:rsidRPr="00D84AF9">
        <w:rPr>
          <w:rStyle w:val="tlid-translation"/>
          <w:rFonts w:hint="eastAsia"/>
          <w:lang w:val="en"/>
        </w:rPr>
        <w:t xml:space="preserve"> </w:t>
      </w:r>
      <w:r>
        <w:rPr>
          <w:rStyle w:val="tlid-translation"/>
          <w:lang w:val="en"/>
        </w:rPr>
        <w:t>is</w:t>
      </w:r>
      <w:r w:rsidRPr="00D84AF9">
        <w:rPr>
          <w:rStyle w:val="tlid-translation"/>
          <w:rFonts w:hint="eastAsia"/>
          <w:lang w:val="en"/>
        </w:rPr>
        <w:t xml:space="preserve"> expensive</w:t>
      </w:r>
      <w:r>
        <w:rPr>
          <w:rStyle w:val="tlid-translation"/>
          <w:lang w:val="en"/>
        </w:rPr>
        <w:t xml:space="preserve"> and, </w:t>
      </w:r>
      <w:r>
        <w:rPr>
          <w:rStyle w:val="tlid-translation"/>
          <w:rFonts w:hint="eastAsia"/>
          <w:lang w:val="en"/>
        </w:rPr>
        <w:t>considering</w:t>
      </w:r>
      <w:r>
        <w:rPr>
          <w:rStyle w:val="tlid-translation"/>
          <w:lang w:val="en"/>
        </w:rPr>
        <w:t xml:space="preserve"> that the proportion of migrants toward less deprived</w:t>
      </w:r>
      <w:r w:rsidRPr="00D84AF9">
        <w:rPr>
          <w:rStyle w:val="tlid-translation"/>
          <w:rFonts w:hint="eastAsia"/>
          <w:lang w:val="en"/>
        </w:rPr>
        <w:t xml:space="preserve"> </w:t>
      </w:r>
      <w:r>
        <w:rPr>
          <w:rStyle w:val="tlid-translation"/>
          <w:lang w:val="en"/>
        </w:rPr>
        <w:t>regions is consistent (38.6% in our study), it is</w:t>
      </w:r>
      <w:r w:rsidRPr="00D84AF9">
        <w:rPr>
          <w:rStyle w:val="tlid-translation"/>
          <w:rFonts w:hint="eastAsia"/>
          <w:lang w:val="en"/>
        </w:rPr>
        <w:t xml:space="preserve"> </w:t>
      </w:r>
      <w:r>
        <w:rPr>
          <w:rStyle w:val="tlid-translation"/>
          <w:lang w:val="en"/>
        </w:rPr>
        <w:t xml:space="preserve">affordable only in regions with </w:t>
      </w:r>
      <w:r>
        <w:rPr>
          <w:color w:val="000000"/>
          <w:shd w:val="clear" w:color="auto" w:fill="FFFFFF"/>
        </w:rPr>
        <w:t>h</w:t>
      </w:r>
      <w:r w:rsidRPr="00C72BA1">
        <w:rPr>
          <w:color w:val="000000"/>
          <w:shd w:val="clear" w:color="auto" w:fill="FFFFFF"/>
        </w:rPr>
        <w:t>igher per capita total health care expenditure</w:t>
      </w:r>
      <w:r>
        <w:rPr>
          <w:rStyle w:val="tlid-translation"/>
          <w:lang w:val="en"/>
        </w:rPr>
        <w:t xml:space="preserve">. </w:t>
      </w:r>
    </w:p>
    <w:p w14:paraId="1496C4E6" w14:textId="77777777" w:rsidR="00B60620" w:rsidRDefault="00B60620" w:rsidP="001B5937">
      <w:pPr>
        <w:spacing w:line="360" w:lineRule="auto"/>
        <w:ind w:firstLine="420"/>
        <w:jc w:val="both"/>
        <w:rPr>
          <w:rFonts w:hint="eastAsia"/>
        </w:rPr>
      </w:pPr>
    </w:p>
    <w:p w14:paraId="603CA624" w14:textId="372B75FA" w:rsidR="00370F5D" w:rsidRDefault="00B60620" w:rsidP="0004712D">
      <w:pPr>
        <w:spacing w:line="360" w:lineRule="auto"/>
        <w:ind w:firstLine="420"/>
        <w:rPr>
          <w:rFonts w:hint="eastAsia"/>
        </w:rPr>
      </w:pPr>
      <w:r>
        <w:t xml:space="preserve"> The major l</w:t>
      </w:r>
      <w:r w:rsidR="001B5937">
        <w:t xml:space="preserve">imitation of the present study </w:t>
      </w:r>
      <w:r>
        <w:t>is the extent to which</w:t>
      </w:r>
      <w:r w:rsidR="00370F5D">
        <w:t xml:space="preserve"> the </w:t>
      </w:r>
      <w:r w:rsidR="001B5937">
        <w:t>population</w:t>
      </w:r>
      <w:r w:rsidR="00370F5D">
        <w:t>s studied are</w:t>
      </w:r>
      <w:r w:rsidR="001B5937">
        <w:t xml:space="preserve"> representative of the whole</w:t>
      </w:r>
      <w:r w:rsidR="00370F5D">
        <w:t xml:space="preserve"> Italian </w:t>
      </w:r>
      <w:r w:rsidR="001B5937">
        <w:t>HCC population and the sample size of some subgroups. Regarding the first problem, we compared our data with those provided by the Italian National Statistics Institute (ISTAT) for the period 2008 and 2018, by patients’ region of residence (thus, not by hospitals ICD registrations)</w:t>
      </w:r>
      <w:r w:rsidR="00CD1DAF">
        <w:t xml:space="preserve"> </w:t>
      </w:r>
      <w:r w:rsidR="00CD1DAF" w:rsidRPr="00CD1DAF">
        <w:rPr>
          <w:i/>
          <w:iCs/>
        </w:rPr>
        <w:t xml:space="preserve">[hhtp://dati.istat.it; </w:t>
      </w:r>
      <w:r w:rsidR="00CD1DAF" w:rsidRPr="00CD1DAF">
        <w:rPr>
          <w:rFonts w:hint="eastAsia"/>
          <w:i/>
          <w:iCs/>
        </w:rPr>
        <w:lastRenderedPageBreak/>
        <w:t>https://www.epicentro.iss.it/tumori/registri</w:t>
      </w:r>
      <w:r w:rsidR="00CD1DAF" w:rsidRPr="00CD1DAF">
        <w:rPr>
          <w:i/>
          <w:iCs/>
        </w:rPr>
        <w:t>]</w:t>
      </w:r>
      <w:r w:rsidR="001B5937">
        <w:t xml:space="preserve">. In this period, the least deprived regions had a SMD index of 5.6% and the mortality for liver cancers </w:t>
      </w:r>
      <w:r w:rsidR="001B5937" w:rsidRPr="006C3802">
        <w:t>was of 15.0</w:t>
      </w:r>
      <w:r w:rsidR="0004712D">
        <w:t>/1</w:t>
      </w:r>
      <w:r w:rsidR="001B5937" w:rsidRPr="006C3802">
        <w:t>00.000 inhabitants. This figure is very similar to that seen in the most depr</w:t>
      </w:r>
      <w:r w:rsidR="0004712D">
        <w:t>ived regions, which was of 14.5/</w:t>
      </w:r>
      <w:r w:rsidR="001B5937" w:rsidRPr="006C3802">
        <w:t>100.000 but in the presence of a SMD of 15.5%. Intermediate deprived regions had a mortality of 11.5</w:t>
      </w:r>
      <w:r w:rsidR="0004712D">
        <w:t>/</w:t>
      </w:r>
      <w:r w:rsidR="001B5937" w:rsidRPr="006C3802">
        <w:t>100.000 with a SMD of 7.2%.</w:t>
      </w:r>
    </w:p>
    <w:p w14:paraId="56AF5F5A" w14:textId="77777777" w:rsidR="00370F5D" w:rsidRDefault="00370F5D" w:rsidP="001B5937">
      <w:pPr>
        <w:spacing w:line="360" w:lineRule="auto"/>
        <w:ind w:firstLine="420"/>
        <w:jc w:val="both"/>
        <w:rPr>
          <w:rFonts w:hint="eastAsia"/>
        </w:rPr>
      </w:pPr>
    </w:p>
    <w:p w14:paraId="7ECBE6A8" w14:textId="5C8B1502" w:rsidR="001B5937" w:rsidRPr="00020A5E" w:rsidRDefault="001B5937" w:rsidP="001B5937">
      <w:pPr>
        <w:spacing w:line="360" w:lineRule="auto"/>
        <w:ind w:firstLine="420"/>
        <w:jc w:val="both"/>
        <w:rPr>
          <w:rFonts w:hint="eastAsia"/>
          <w:color w:val="FF0000"/>
        </w:rPr>
      </w:pPr>
      <w:r w:rsidRPr="006C3802">
        <w:t xml:space="preserve"> It can be noted that there was no clear relationship between SMD </w:t>
      </w:r>
      <w:r>
        <w:t>worsening</w:t>
      </w:r>
      <w:r w:rsidRPr="006C3802">
        <w:t xml:space="preserve"> and mortality, by </w:t>
      </w:r>
      <w:r w:rsidRPr="00020A5E">
        <w:rPr>
          <w:i/>
        </w:rPr>
        <w:t>patient</w:t>
      </w:r>
      <w:r w:rsidRPr="006C3802">
        <w:t xml:space="preserve"> region</w:t>
      </w:r>
      <w:r w:rsidR="0004712D">
        <w:t>.  Thus</w:t>
      </w:r>
      <w:r w:rsidR="00A33FD8">
        <w:t>,</w:t>
      </w:r>
      <w:r>
        <w:t xml:space="preserve"> national data give</w:t>
      </w:r>
      <w:r w:rsidR="00A33FD8">
        <w:t>s</w:t>
      </w:r>
      <w:r>
        <w:t xml:space="preserve"> support to our results because the simple segregation of survival according to the deprivation tertile of patients’ region did </w:t>
      </w:r>
      <w:r w:rsidR="00FC2EE9">
        <w:t>produce</w:t>
      </w:r>
      <w:r>
        <w:t xml:space="preserve"> clear differences. On the </w:t>
      </w:r>
      <w:r w:rsidR="00020A5E">
        <w:t>other hand</w:t>
      </w:r>
      <w:r>
        <w:t>, when our results were segregated by</w:t>
      </w:r>
      <w:r w:rsidRPr="00020A5E">
        <w:rPr>
          <w:i/>
        </w:rPr>
        <w:t xml:space="preserve"> hospital</w:t>
      </w:r>
      <w:r>
        <w:t xml:space="preserve"> region deprivation</w:t>
      </w:r>
      <w:r w:rsidR="00020A5E">
        <w:t>, there was a relatio</w:t>
      </w:r>
      <w:r w:rsidR="00020A5E">
        <w:rPr>
          <w:rFonts w:hint="eastAsia"/>
        </w:rPr>
        <w:t>n</w:t>
      </w:r>
      <w:r w:rsidR="00020A5E">
        <w:t xml:space="preserve"> to mortality</w:t>
      </w:r>
      <w:r w:rsidR="00A33FD8">
        <w:t>,</w:t>
      </w:r>
      <w:r w:rsidR="00020A5E">
        <w:t xml:space="preserve"> as </w:t>
      </w:r>
      <w:r w:rsidR="00A33FD8">
        <w:t xml:space="preserve">we observe is </w:t>
      </w:r>
      <w:r w:rsidR="00020A5E">
        <w:t>also</w:t>
      </w:r>
      <w:r>
        <w:t xml:space="preserve"> </w:t>
      </w:r>
      <w:r w:rsidR="00020A5E">
        <w:t xml:space="preserve">reported </w:t>
      </w:r>
      <w:r w:rsidR="00FC2EE9">
        <w:t>in</w:t>
      </w:r>
      <w:r w:rsidR="00A33FD8">
        <w:t xml:space="preserve"> the</w:t>
      </w:r>
      <w:r w:rsidR="00FC2EE9">
        <w:t xml:space="preserve"> </w:t>
      </w:r>
      <w:r w:rsidR="00A33FD8">
        <w:t>UK statistics.</w:t>
      </w:r>
      <w:r>
        <w:t xml:space="preserve"> </w:t>
      </w:r>
      <w:r w:rsidR="00020A5E">
        <w:t xml:space="preserve">It thus appears that </w:t>
      </w:r>
      <w:r w:rsidRPr="00B03E09">
        <w:t>th</w:t>
      </w:r>
      <w:r w:rsidR="003B3678">
        <w:t>e</w:t>
      </w:r>
      <w:r w:rsidRPr="00B03E09">
        <w:t xml:space="preserve"> present results </w:t>
      </w:r>
      <w:r w:rsidR="00020A5E">
        <w:t xml:space="preserve">are likely to be </w:t>
      </w:r>
      <w:r w:rsidR="00020A5E" w:rsidRPr="00B03E09">
        <w:t>representativ</w:t>
      </w:r>
      <w:r w:rsidR="00020A5E" w:rsidRPr="00B03E09">
        <w:rPr>
          <w:rFonts w:hint="eastAsia"/>
        </w:rPr>
        <w:t>e</w:t>
      </w:r>
      <w:r w:rsidRPr="00B03E09">
        <w:t xml:space="preserve"> of</w:t>
      </w:r>
      <w:r>
        <w:t xml:space="preserve"> the majority of </w:t>
      </w:r>
      <w:r w:rsidR="00020A5E">
        <w:t xml:space="preserve">the </w:t>
      </w:r>
      <w:r>
        <w:t xml:space="preserve">HCC population diagnosed in our country. </w:t>
      </w:r>
      <w:r w:rsidRPr="0000178C">
        <w:rPr>
          <w:color w:val="auto"/>
        </w:rPr>
        <w:t xml:space="preserve">The second </w:t>
      </w:r>
      <w:r w:rsidR="00020A5E" w:rsidRPr="0000178C">
        <w:rPr>
          <w:color w:val="auto"/>
        </w:rPr>
        <w:t>limit</w:t>
      </w:r>
      <w:r w:rsidR="00020A5E">
        <w:rPr>
          <w:color w:val="auto"/>
        </w:rPr>
        <w:t>ation of our study relates to</w:t>
      </w:r>
      <w:r w:rsidRPr="0000178C">
        <w:rPr>
          <w:color w:val="auto"/>
        </w:rPr>
        <w:t xml:space="preserve"> the subgroup of patients who </w:t>
      </w:r>
      <w:r w:rsidR="00020A5E" w:rsidRPr="0000178C">
        <w:rPr>
          <w:color w:val="auto"/>
        </w:rPr>
        <w:t>t</w:t>
      </w:r>
      <w:r w:rsidR="00020A5E">
        <w:rPr>
          <w:color w:val="auto"/>
        </w:rPr>
        <w:t>ravelled</w:t>
      </w:r>
      <w:r w:rsidRPr="0000178C">
        <w:rPr>
          <w:color w:val="auto"/>
        </w:rPr>
        <w:t xml:space="preserve"> from the least to the more deprived regions</w:t>
      </w:r>
      <w:r>
        <w:rPr>
          <w:color w:val="auto"/>
        </w:rPr>
        <w:t>, which represent</w:t>
      </w:r>
      <w:r w:rsidR="003B3678">
        <w:rPr>
          <w:color w:val="auto"/>
        </w:rPr>
        <w:t>s</w:t>
      </w:r>
      <w:r>
        <w:rPr>
          <w:color w:val="auto"/>
        </w:rPr>
        <w:t xml:space="preserve"> only 6.4% of the 1350 patients forming this tertile (86 patients)</w:t>
      </w:r>
      <w:r w:rsidRPr="0000178C">
        <w:rPr>
          <w:color w:val="auto"/>
        </w:rPr>
        <w:t xml:space="preserve">. </w:t>
      </w:r>
      <w:r>
        <w:rPr>
          <w:color w:val="auto"/>
        </w:rPr>
        <w:t>W</w:t>
      </w:r>
      <w:r w:rsidRPr="0000178C">
        <w:rPr>
          <w:color w:val="auto"/>
        </w:rPr>
        <w:t>e</w:t>
      </w:r>
      <w:r w:rsidR="00020A5E">
        <w:rPr>
          <w:color w:val="auto"/>
        </w:rPr>
        <w:t xml:space="preserve"> acknowledge that</w:t>
      </w:r>
      <w:r>
        <w:rPr>
          <w:color w:val="auto"/>
        </w:rPr>
        <w:t xml:space="preserve"> data on </w:t>
      </w:r>
      <w:r w:rsidRPr="0000178C">
        <w:rPr>
          <w:color w:val="auto"/>
        </w:rPr>
        <w:t xml:space="preserve">treatment migration data reported </w:t>
      </w:r>
      <w:r>
        <w:rPr>
          <w:color w:val="auto"/>
        </w:rPr>
        <w:t>in</w:t>
      </w:r>
      <w:r w:rsidRPr="0000178C">
        <w:rPr>
          <w:color w:val="auto"/>
        </w:rPr>
        <w:t xml:space="preserve"> </w:t>
      </w:r>
      <w:r w:rsidRPr="00B03E09">
        <w:rPr>
          <w:i/>
          <w:iCs/>
          <w:color w:val="auto"/>
          <w:u w:val="single"/>
        </w:rPr>
        <w:t>Figure 2</w:t>
      </w:r>
      <w:r w:rsidRPr="0000178C">
        <w:rPr>
          <w:color w:val="auto"/>
        </w:rPr>
        <w:t xml:space="preserve"> should be </w:t>
      </w:r>
      <w:r w:rsidR="00020A5E">
        <w:rPr>
          <w:color w:val="auto"/>
        </w:rPr>
        <w:t>treated wi</w:t>
      </w:r>
      <w:r w:rsidRPr="0000178C">
        <w:rPr>
          <w:color w:val="auto"/>
        </w:rPr>
        <w:t>th caution</w:t>
      </w:r>
      <w:r w:rsidR="00020A5E">
        <w:rPr>
          <w:color w:val="auto"/>
        </w:rPr>
        <w:t>.</w:t>
      </w:r>
      <w:r w:rsidRPr="0000178C">
        <w:rPr>
          <w:color w:val="auto"/>
        </w:rPr>
        <w:t xml:space="preserve"> </w:t>
      </w:r>
      <w:r w:rsidR="00020A5E">
        <w:rPr>
          <w:color w:val="auto"/>
        </w:rPr>
        <w:t xml:space="preserve"> </w:t>
      </w:r>
      <w:r w:rsidR="00020A5E" w:rsidRPr="00020A5E">
        <w:rPr>
          <w:color w:val="FF0000"/>
        </w:rPr>
        <w:t>You need to review thi</w:t>
      </w:r>
      <w:r w:rsidR="00020A5E" w:rsidRPr="00020A5E">
        <w:rPr>
          <w:rFonts w:hint="eastAsia"/>
          <w:color w:val="FF0000"/>
        </w:rPr>
        <w:t>s</w:t>
      </w:r>
      <w:r w:rsidR="00020A5E" w:rsidRPr="00020A5E">
        <w:rPr>
          <w:color w:val="FF0000"/>
        </w:rPr>
        <w:t xml:space="preserve"> paragraph</w:t>
      </w:r>
    </w:p>
    <w:p w14:paraId="25A68BE0" w14:textId="77777777" w:rsidR="00370F5D" w:rsidRPr="0000178C" w:rsidRDefault="00370F5D" w:rsidP="001B5937">
      <w:pPr>
        <w:spacing w:line="360" w:lineRule="auto"/>
        <w:ind w:firstLine="420"/>
        <w:jc w:val="both"/>
        <w:rPr>
          <w:rFonts w:hint="eastAsia"/>
          <w:color w:val="auto"/>
        </w:rPr>
      </w:pPr>
    </w:p>
    <w:p w14:paraId="6F5CBE27" w14:textId="196295AA" w:rsidR="001B5937" w:rsidRDefault="001B5937" w:rsidP="001B5937">
      <w:pPr>
        <w:spacing w:line="360" w:lineRule="auto"/>
        <w:ind w:firstLine="420"/>
        <w:jc w:val="both"/>
        <w:rPr>
          <w:rFonts w:hint="eastAsia"/>
          <w:b/>
          <w:bCs/>
        </w:rPr>
      </w:pPr>
      <w:r w:rsidRPr="00020A5E">
        <w:rPr>
          <w:color w:val="auto"/>
        </w:rPr>
        <w:t xml:space="preserve">In conclusion, the present study dissected the causes of mortality in a large cohort of HCC patients living in a high-resource environment area. A complex inter-relationship exists among etiology of liver disease, surveillance adoption and inter-regional </w:t>
      </w:r>
      <w:r w:rsidR="00020A5E" w:rsidRPr="00020A5E">
        <w:rPr>
          <w:color w:val="auto"/>
        </w:rPr>
        <w:t xml:space="preserve">travel in </w:t>
      </w:r>
      <w:r w:rsidRPr="00020A5E">
        <w:rPr>
          <w:color w:val="auto"/>
        </w:rPr>
        <w:t>search</w:t>
      </w:r>
      <w:r w:rsidR="00CD1DAF" w:rsidRPr="00020A5E">
        <w:rPr>
          <w:color w:val="auto"/>
        </w:rPr>
        <w:t xml:space="preserve"> </w:t>
      </w:r>
      <w:r w:rsidR="00020A5E" w:rsidRPr="00020A5E">
        <w:rPr>
          <w:color w:val="auto"/>
        </w:rPr>
        <w:t xml:space="preserve">of better health </w:t>
      </w:r>
      <w:r w:rsidR="00CD1DAF" w:rsidRPr="00020A5E">
        <w:rPr>
          <w:color w:val="auto"/>
        </w:rPr>
        <w:t>care</w:t>
      </w:r>
      <w:r>
        <w:rPr>
          <w:color w:val="auto"/>
        </w:rPr>
        <w:t xml:space="preserve">. </w:t>
      </w:r>
      <w:r>
        <w:t xml:space="preserve">Migration of patients from the most deprived regions to hospitals located in less deprived areas resulted in a considerable increase </w:t>
      </w:r>
      <w:r w:rsidR="003B3678">
        <w:t>in</w:t>
      </w:r>
      <w:r>
        <w:t xml:space="preserve"> the adoption of potentially curative therapies and of surgical therapies, with the ultimate result of improved survival. These findings</w:t>
      </w:r>
      <w:r w:rsidR="00815F80">
        <w:t xml:space="preserve"> have significant </w:t>
      </w:r>
      <w:r w:rsidR="00F228CB">
        <w:t>implication</w:t>
      </w:r>
      <w:r w:rsidR="00F228CB">
        <w:rPr>
          <w:rFonts w:hint="eastAsia"/>
        </w:rPr>
        <w:t>s</w:t>
      </w:r>
      <w:r w:rsidR="00815F80">
        <w:t xml:space="preserve"> for n</w:t>
      </w:r>
      <w:r>
        <w:t>ational health system</w:t>
      </w:r>
      <w:r w:rsidR="00815F80">
        <w:t>s and measure</w:t>
      </w:r>
      <w:r w:rsidR="00F228CB">
        <w:t>s/policies</w:t>
      </w:r>
      <w:r w:rsidR="00815F80">
        <w:t xml:space="preserve"> that might mitigate </w:t>
      </w:r>
      <w:r w:rsidR="00F228CB">
        <w:t>regiona</w:t>
      </w:r>
      <w:r w:rsidR="00F228CB">
        <w:rPr>
          <w:rFonts w:hint="eastAsia"/>
        </w:rPr>
        <w:t>l</w:t>
      </w:r>
      <w:r w:rsidR="00815F80">
        <w:t xml:space="preserve"> disparities</w:t>
      </w:r>
      <w:r>
        <w:t>.</w:t>
      </w:r>
      <w:r>
        <w:rPr>
          <w:rFonts w:hint="eastAsia"/>
          <w:b/>
          <w:bCs/>
        </w:rPr>
        <w:br w:type="page"/>
      </w:r>
    </w:p>
    <w:p w14:paraId="53F7D993" w14:textId="77777777" w:rsidR="001B5937" w:rsidRDefault="001B5937" w:rsidP="001B5937">
      <w:pPr>
        <w:rPr>
          <w:rFonts w:hint="eastAsia"/>
          <w:b/>
          <w:bCs/>
        </w:rPr>
      </w:pPr>
      <w:r>
        <w:rPr>
          <w:b/>
          <w:bCs/>
        </w:rPr>
        <w:lastRenderedPageBreak/>
        <w:t>LEGENDS TO FIGURES</w:t>
      </w:r>
    </w:p>
    <w:p w14:paraId="6662BC89" w14:textId="77777777" w:rsidR="001B5937" w:rsidRPr="00DB7CAA" w:rsidRDefault="001B5937" w:rsidP="001B5937">
      <w:pPr>
        <w:rPr>
          <w:rFonts w:ascii="Times New Roman" w:hAnsi="Times New Roman" w:cs="Times New Roman"/>
          <w:b/>
          <w:bCs/>
        </w:rPr>
      </w:pPr>
    </w:p>
    <w:p w14:paraId="74E7AF54" w14:textId="77777777" w:rsidR="001B5937" w:rsidRPr="00DB7CAA" w:rsidRDefault="001B5937" w:rsidP="001B5937">
      <w:pPr>
        <w:spacing w:line="360" w:lineRule="auto"/>
        <w:jc w:val="both"/>
        <w:rPr>
          <w:rFonts w:ascii="Times New Roman" w:hAnsi="Times New Roman" w:cs="Times New Roman"/>
        </w:rPr>
      </w:pPr>
      <w:r w:rsidRPr="00DB7CAA">
        <w:rPr>
          <w:rFonts w:ascii="Times New Roman" w:hAnsi="Times New Roman" w:cs="Times New Roman"/>
          <w:b/>
          <w:bCs/>
        </w:rPr>
        <w:t xml:space="preserve">Figure 1. </w:t>
      </w:r>
      <w:r w:rsidRPr="00DB7CAA">
        <w:rPr>
          <w:rFonts w:ascii="Times New Roman" w:hAnsi="Times New Roman" w:cs="Times New Roman"/>
        </w:rPr>
        <w:t xml:space="preserve">Average distribution of the Severe Material Deprivation (SMD) ratio between different regions in Italy between 2008 and 2018. Based on </w:t>
      </w:r>
      <w:r>
        <w:rPr>
          <w:rFonts w:ascii="Times New Roman" w:hAnsi="Times New Roman" w:cs="Times New Roman"/>
        </w:rPr>
        <w:t xml:space="preserve">SMD </w:t>
      </w:r>
      <w:r w:rsidRPr="00DB7CAA">
        <w:rPr>
          <w:rFonts w:ascii="Times New Roman" w:hAnsi="Times New Roman" w:cs="Times New Roman"/>
        </w:rPr>
        <w:t xml:space="preserve">tertiles, three areas were identified as least deprived (Q1), intermediate deprived (Q2) and most deprived (Q3). </w:t>
      </w:r>
      <w:r w:rsidRPr="00E318B7">
        <w:rPr>
          <w:rFonts w:ascii="Times New Roman" w:hAnsi="Times New Roman" w:cs="Times New Roman" w:hint="eastAsia"/>
        </w:rPr>
        <w:t xml:space="preserve">The same region may have belonged to </w:t>
      </w:r>
      <w:r>
        <w:rPr>
          <w:rFonts w:ascii="Times New Roman" w:hAnsi="Times New Roman" w:cs="Times New Roman"/>
        </w:rPr>
        <w:t xml:space="preserve">different </w:t>
      </w:r>
      <w:r w:rsidRPr="00E318B7">
        <w:rPr>
          <w:rFonts w:ascii="Times New Roman" w:hAnsi="Times New Roman" w:cs="Times New Roman" w:hint="eastAsia"/>
        </w:rPr>
        <w:t>deprivation tertiles between 2008 and 2018</w:t>
      </w:r>
      <w:r>
        <w:rPr>
          <w:rFonts w:ascii="Times New Roman" w:hAnsi="Times New Roman" w:cs="Times New Roman"/>
        </w:rPr>
        <w:t xml:space="preserve"> (i.e. </w:t>
      </w:r>
      <w:r w:rsidRPr="00E318B7">
        <w:rPr>
          <w:rFonts w:ascii="Times New Roman" w:hAnsi="Times New Roman" w:cs="Times New Roman" w:hint="eastAsia"/>
        </w:rPr>
        <w:t>Abruzzo belonged to Q1 for one year (2012), belonged</w:t>
      </w:r>
      <w:r>
        <w:rPr>
          <w:rFonts w:ascii="Times New Roman" w:hAnsi="Times New Roman" w:cs="Times New Roman"/>
        </w:rPr>
        <w:t xml:space="preserve"> to Q2 for</w:t>
      </w:r>
      <w:r w:rsidRPr="00E318B7">
        <w:rPr>
          <w:rFonts w:ascii="Times New Roman" w:hAnsi="Times New Roman" w:cs="Times New Roman" w:hint="eastAsia"/>
        </w:rPr>
        <w:t xml:space="preserve"> 7 years </w:t>
      </w:r>
      <w:r>
        <w:rPr>
          <w:rFonts w:ascii="Times New Roman" w:hAnsi="Times New Roman" w:cs="Times New Roman"/>
        </w:rPr>
        <w:t xml:space="preserve">and </w:t>
      </w:r>
      <w:r w:rsidRPr="00E318B7">
        <w:rPr>
          <w:rFonts w:ascii="Times New Roman" w:hAnsi="Times New Roman" w:cs="Times New Roman" w:hint="eastAsia"/>
        </w:rPr>
        <w:t>to Q</w:t>
      </w:r>
      <w:r>
        <w:rPr>
          <w:rFonts w:ascii="Times New Roman" w:hAnsi="Times New Roman" w:cs="Times New Roman"/>
        </w:rPr>
        <w:t>3</w:t>
      </w:r>
      <w:r w:rsidRPr="00E318B7">
        <w:rPr>
          <w:rFonts w:ascii="Times New Roman" w:hAnsi="Times New Roman" w:cs="Times New Roman" w:hint="eastAsia"/>
        </w:rPr>
        <w:t xml:space="preserve"> </w:t>
      </w:r>
      <w:r>
        <w:rPr>
          <w:rFonts w:ascii="Times New Roman" w:hAnsi="Times New Roman" w:cs="Times New Roman"/>
        </w:rPr>
        <w:t xml:space="preserve">for </w:t>
      </w:r>
      <w:r w:rsidRPr="00E318B7">
        <w:rPr>
          <w:rFonts w:ascii="Times New Roman" w:hAnsi="Times New Roman" w:cs="Times New Roman" w:hint="eastAsia"/>
        </w:rPr>
        <w:t>4 years</w:t>
      </w:r>
      <w:r>
        <w:rPr>
          <w:rFonts w:ascii="Times New Roman" w:hAnsi="Times New Roman" w:cs="Times New Roman"/>
        </w:rPr>
        <w:t>.)</w:t>
      </w:r>
    </w:p>
    <w:p w14:paraId="773E285E" w14:textId="77777777" w:rsidR="001B5937" w:rsidRPr="00DB7CAA" w:rsidRDefault="001B5937" w:rsidP="001B5937">
      <w:pPr>
        <w:spacing w:line="360" w:lineRule="auto"/>
        <w:jc w:val="both"/>
        <w:rPr>
          <w:rFonts w:ascii="Times New Roman" w:hAnsi="Times New Roman" w:cs="Times New Roman"/>
        </w:rPr>
      </w:pPr>
    </w:p>
    <w:p w14:paraId="269F8BEC" w14:textId="77777777" w:rsidR="001B5937" w:rsidRPr="00DB7CAA" w:rsidRDefault="001B5937" w:rsidP="001B5937">
      <w:pPr>
        <w:spacing w:line="360" w:lineRule="auto"/>
        <w:jc w:val="both"/>
        <w:rPr>
          <w:rFonts w:ascii="Times New Roman" w:hAnsi="Times New Roman" w:cs="Times New Roman"/>
          <w:b/>
          <w:bCs/>
        </w:rPr>
      </w:pPr>
      <w:r w:rsidRPr="00DB7CAA">
        <w:rPr>
          <w:rFonts w:ascii="Times New Roman" w:hAnsi="Times New Roman" w:cs="Times New Roman"/>
          <w:b/>
          <w:bCs/>
        </w:rPr>
        <w:t xml:space="preserve">Figure 2. </w:t>
      </w:r>
      <w:r w:rsidRPr="00DB7CAA">
        <w:rPr>
          <w:rFonts w:ascii="Times New Roman" w:hAnsi="Times New Roman" w:cs="Times New Roman"/>
        </w:rPr>
        <w:t xml:space="preserve">Results from multinomial logistic regression model </w:t>
      </w:r>
      <w:r>
        <w:rPr>
          <w:rFonts w:ascii="Times New Roman" w:hAnsi="Times New Roman" w:cs="Times New Roman"/>
        </w:rPr>
        <w:t xml:space="preserve">showing that the </w:t>
      </w:r>
      <w:r w:rsidRPr="00DB7CAA">
        <w:rPr>
          <w:rFonts w:ascii="Times New Roman" w:hAnsi="Times New Roman" w:cs="Times New Roman"/>
        </w:rPr>
        <w:t>probabilit</w:t>
      </w:r>
      <w:r>
        <w:rPr>
          <w:rFonts w:ascii="Times New Roman" w:hAnsi="Times New Roman" w:cs="Times New Roman"/>
        </w:rPr>
        <w:t>y</w:t>
      </w:r>
      <w:r w:rsidRPr="00DB7CAA">
        <w:rPr>
          <w:rFonts w:ascii="Times New Roman" w:hAnsi="Times New Roman" w:cs="Times New Roman"/>
        </w:rPr>
        <w:t xml:space="preserve"> of receiv</w:t>
      </w:r>
      <w:r>
        <w:rPr>
          <w:rFonts w:ascii="Times New Roman" w:hAnsi="Times New Roman" w:cs="Times New Roman"/>
        </w:rPr>
        <w:t>ing</w:t>
      </w:r>
      <w:r w:rsidRPr="00DB7CAA">
        <w:rPr>
          <w:rFonts w:ascii="Times New Roman" w:hAnsi="Times New Roman" w:cs="Times New Roman"/>
        </w:rPr>
        <w:t xml:space="preserve"> </w:t>
      </w:r>
      <w:r>
        <w:rPr>
          <w:rFonts w:ascii="Times New Roman" w:hAnsi="Times New Roman" w:cs="Times New Roman"/>
        </w:rPr>
        <w:t>a given</w:t>
      </w:r>
      <w:r w:rsidRPr="00DB7CAA">
        <w:rPr>
          <w:rFonts w:ascii="Times New Roman" w:hAnsi="Times New Roman" w:cs="Times New Roman"/>
        </w:rPr>
        <w:t xml:space="preserve"> treatment was modified by </w:t>
      </w:r>
      <w:r>
        <w:rPr>
          <w:rFonts w:ascii="Times New Roman" w:hAnsi="Times New Roman" w:cs="Times New Roman"/>
        </w:rPr>
        <w:t xml:space="preserve">patient </w:t>
      </w:r>
      <w:r w:rsidRPr="00DB7CAA">
        <w:rPr>
          <w:rFonts w:ascii="Times New Roman" w:hAnsi="Times New Roman" w:cs="Times New Roman"/>
        </w:rPr>
        <w:t xml:space="preserve">migration </w:t>
      </w:r>
      <w:r>
        <w:rPr>
          <w:rFonts w:ascii="Times New Roman" w:hAnsi="Times New Roman" w:cs="Times New Roman"/>
        </w:rPr>
        <w:t>across</w:t>
      </w:r>
      <w:r w:rsidRPr="00DB7CAA">
        <w:rPr>
          <w:rFonts w:ascii="Times New Roman" w:hAnsi="Times New Roman" w:cs="Times New Roman"/>
        </w:rPr>
        <w:t xml:space="preserve"> different </w:t>
      </w:r>
      <w:r>
        <w:rPr>
          <w:rFonts w:ascii="Times New Roman" w:hAnsi="Times New Roman" w:cs="Times New Roman"/>
        </w:rPr>
        <w:t>deprived regions.</w:t>
      </w:r>
      <w:r w:rsidRPr="00DB7CAA">
        <w:rPr>
          <w:rFonts w:ascii="Times New Roman" w:hAnsi="Times New Roman" w:cs="Times New Roman"/>
          <w:b/>
          <w:bCs/>
        </w:rPr>
        <w:br w:type="page"/>
      </w:r>
    </w:p>
    <w:p w14:paraId="51C79441" w14:textId="77777777" w:rsidR="001B5937" w:rsidRDefault="001B5937" w:rsidP="001B5937">
      <w:pPr>
        <w:ind w:right="-284"/>
        <w:jc w:val="both"/>
        <w:rPr>
          <w:rFonts w:hint="eastAsia"/>
        </w:rPr>
      </w:pPr>
      <w:r w:rsidRPr="00B90B55">
        <w:rPr>
          <w:b/>
          <w:bCs/>
        </w:rPr>
        <w:lastRenderedPageBreak/>
        <w:t>Table 1.</w:t>
      </w:r>
      <w:r>
        <w:t xml:space="preserve"> Some epidemiological and clinical characteristics of 4114 patients diagnosed with HCC between </w:t>
      </w:r>
      <w:r>
        <w:rPr>
          <w:rFonts w:ascii="Times New Roman" w:hAnsi="Times New Roman"/>
        </w:rPr>
        <w:t>January 2008 and December 2018</w:t>
      </w:r>
      <w:r>
        <w:t xml:space="preserve"> by severe material deprivation tertiles.</w:t>
      </w:r>
    </w:p>
    <w:p w14:paraId="708F724E" w14:textId="77777777" w:rsidR="001B5937" w:rsidRDefault="001B5937" w:rsidP="001B5937">
      <w:pPr>
        <w:spacing w:line="360" w:lineRule="auto"/>
        <w:jc w:val="both"/>
        <w:rPr>
          <w:rFonts w:hint="eastAsia"/>
        </w:rPr>
      </w:pP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2268"/>
        <w:gridCol w:w="1701"/>
        <w:gridCol w:w="1241"/>
      </w:tblGrid>
      <w:tr w:rsidR="001B5937" w14:paraId="0F90A5FD" w14:textId="77777777" w:rsidTr="00CF04FA">
        <w:tc>
          <w:tcPr>
            <w:tcW w:w="3369" w:type="dxa"/>
            <w:tcBorders>
              <w:top w:val="single" w:sz="12" w:space="0" w:color="auto"/>
            </w:tcBorders>
          </w:tcPr>
          <w:p w14:paraId="4A20FB5E" w14:textId="77777777" w:rsidR="001B5937" w:rsidRPr="00765475" w:rsidRDefault="001B5937" w:rsidP="00CF04FA">
            <w:pPr>
              <w:spacing w:line="360" w:lineRule="auto"/>
              <w:jc w:val="both"/>
              <w:rPr>
                <w:rFonts w:hint="eastAsia"/>
                <w:sz w:val="22"/>
                <w:szCs w:val="22"/>
              </w:rPr>
            </w:pPr>
          </w:p>
        </w:tc>
        <w:tc>
          <w:tcPr>
            <w:tcW w:w="5528" w:type="dxa"/>
            <w:gridSpan w:val="3"/>
            <w:tcBorders>
              <w:top w:val="single" w:sz="12" w:space="0" w:color="auto"/>
              <w:bottom w:val="single" w:sz="12" w:space="0" w:color="auto"/>
            </w:tcBorders>
          </w:tcPr>
          <w:p w14:paraId="6E5827AD" w14:textId="77777777" w:rsidR="001B5937" w:rsidRPr="00765475" w:rsidRDefault="001B5937" w:rsidP="00CF04FA">
            <w:pPr>
              <w:spacing w:line="360" w:lineRule="auto"/>
              <w:jc w:val="center"/>
              <w:rPr>
                <w:rFonts w:hint="eastAsia"/>
                <w:sz w:val="22"/>
                <w:szCs w:val="22"/>
              </w:rPr>
            </w:pPr>
            <w:r w:rsidRPr="00765475">
              <w:rPr>
                <w:sz w:val="22"/>
                <w:szCs w:val="22"/>
              </w:rPr>
              <w:t xml:space="preserve">Region of </w:t>
            </w:r>
            <w:r>
              <w:rPr>
                <w:sz w:val="22"/>
                <w:szCs w:val="22"/>
              </w:rPr>
              <w:t>patients</w:t>
            </w:r>
          </w:p>
        </w:tc>
        <w:tc>
          <w:tcPr>
            <w:tcW w:w="1241" w:type="dxa"/>
            <w:tcBorders>
              <w:top w:val="single" w:sz="12" w:space="0" w:color="auto"/>
            </w:tcBorders>
          </w:tcPr>
          <w:p w14:paraId="46F71295" w14:textId="77777777" w:rsidR="001B5937" w:rsidRPr="00765475" w:rsidRDefault="001B5937" w:rsidP="00CF04FA">
            <w:pPr>
              <w:spacing w:line="360" w:lineRule="auto"/>
              <w:jc w:val="center"/>
              <w:rPr>
                <w:rFonts w:hint="eastAsia"/>
                <w:sz w:val="22"/>
                <w:szCs w:val="22"/>
              </w:rPr>
            </w:pPr>
          </w:p>
        </w:tc>
      </w:tr>
      <w:tr w:rsidR="001B5937" w14:paraId="1EE2AF35" w14:textId="77777777" w:rsidTr="00CF04FA">
        <w:tc>
          <w:tcPr>
            <w:tcW w:w="3369" w:type="dxa"/>
            <w:tcBorders>
              <w:bottom w:val="single" w:sz="12" w:space="0" w:color="auto"/>
            </w:tcBorders>
          </w:tcPr>
          <w:p w14:paraId="3B3C95CE" w14:textId="77777777" w:rsidR="001B5937" w:rsidRDefault="001B5937" w:rsidP="00CF04FA">
            <w:pPr>
              <w:jc w:val="both"/>
              <w:rPr>
                <w:rFonts w:hint="eastAsia"/>
                <w:sz w:val="22"/>
                <w:szCs w:val="22"/>
              </w:rPr>
            </w:pPr>
          </w:p>
          <w:p w14:paraId="1E4BD0D6" w14:textId="77777777" w:rsidR="001B5937" w:rsidRPr="00765475" w:rsidRDefault="001B5937" w:rsidP="00CF04FA">
            <w:pPr>
              <w:jc w:val="both"/>
              <w:rPr>
                <w:rFonts w:hint="eastAsia"/>
                <w:sz w:val="22"/>
                <w:szCs w:val="22"/>
              </w:rPr>
            </w:pPr>
            <w:r>
              <w:rPr>
                <w:rFonts w:ascii="Times New Roman" w:hAnsi="Times New Roman" w:cs="Times New Roman"/>
                <w:sz w:val="22"/>
                <w:szCs w:val="22"/>
              </w:rPr>
              <w:t>Variables</w:t>
            </w:r>
          </w:p>
        </w:tc>
        <w:tc>
          <w:tcPr>
            <w:tcW w:w="1559" w:type="dxa"/>
            <w:tcBorders>
              <w:top w:val="single" w:sz="12" w:space="0" w:color="auto"/>
              <w:bottom w:val="single" w:sz="12" w:space="0" w:color="auto"/>
            </w:tcBorders>
          </w:tcPr>
          <w:p w14:paraId="5D9762C7" w14:textId="77777777" w:rsidR="001B5937" w:rsidRPr="00765475" w:rsidRDefault="001B5937" w:rsidP="00CF04FA">
            <w:pPr>
              <w:jc w:val="center"/>
              <w:rPr>
                <w:rFonts w:hint="eastAsia"/>
                <w:sz w:val="22"/>
                <w:szCs w:val="22"/>
              </w:rPr>
            </w:pPr>
            <w:r w:rsidRPr="00765475">
              <w:rPr>
                <w:sz w:val="22"/>
                <w:szCs w:val="22"/>
              </w:rPr>
              <w:t>Least deprived (n=1</w:t>
            </w:r>
            <w:r>
              <w:rPr>
                <w:sz w:val="22"/>
                <w:szCs w:val="22"/>
              </w:rPr>
              <w:t>350</w:t>
            </w:r>
            <w:r w:rsidRPr="00765475">
              <w:rPr>
                <w:sz w:val="22"/>
                <w:szCs w:val="22"/>
              </w:rPr>
              <w:t>)</w:t>
            </w:r>
          </w:p>
        </w:tc>
        <w:tc>
          <w:tcPr>
            <w:tcW w:w="2268" w:type="dxa"/>
            <w:tcBorders>
              <w:top w:val="single" w:sz="12" w:space="0" w:color="auto"/>
              <w:bottom w:val="single" w:sz="12" w:space="0" w:color="auto"/>
            </w:tcBorders>
          </w:tcPr>
          <w:p w14:paraId="13B55F9C" w14:textId="77777777" w:rsidR="001B5937" w:rsidRPr="00765475" w:rsidRDefault="001B5937" w:rsidP="00CF04FA">
            <w:pPr>
              <w:jc w:val="center"/>
              <w:rPr>
                <w:rFonts w:hint="eastAsia"/>
                <w:sz w:val="22"/>
                <w:szCs w:val="22"/>
              </w:rPr>
            </w:pPr>
            <w:r w:rsidRPr="00765475">
              <w:rPr>
                <w:sz w:val="22"/>
                <w:szCs w:val="22"/>
              </w:rPr>
              <w:t>Intermediate Deprived (n=</w:t>
            </w:r>
            <w:r>
              <w:rPr>
                <w:sz w:val="22"/>
                <w:szCs w:val="22"/>
              </w:rPr>
              <w:t>1067)</w:t>
            </w:r>
          </w:p>
        </w:tc>
        <w:tc>
          <w:tcPr>
            <w:tcW w:w="1701" w:type="dxa"/>
            <w:tcBorders>
              <w:top w:val="single" w:sz="12" w:space="0" w:color="auto"/>
              <w:bottom w:val="single" w:sz="12" w:space="0" w:color="auto"/>
            </w:tcBorders>
          </w:tcPr>
          <w:p w14:paraId="3021AC0E" w14:textId="77777777" w:rsidR="001B5937" w:rsidRPr="00765475" w:rsidRDefault="001B5937" w:rsidP="00CF04FA">
            <w:pPr>
              <w:spacing w:after="120"/>
              <w:jc w:val="center"/>
              <w:rPr>
                <w:rFonts w:hint="eastAsia"/>
                <w:sz w:val="22"/>
                <w:szCs w:val="22"/>
              </w:rPr>
            </w:pPr>
            <w:r w:rsidRPr="00765475">
              <w:rPr>
                <w:sz w:val="22"/>
                <w:szCs w:val="22"/>
              </w:rPr>
              <w:t>Most Deprived (n=</w:t>
            </w:r>
            <w:r>
              <w:rPr>
                <w:sz w:val="22"/>
                <w:szCs w:val="22"/>
              </w:rPr>
              <w:t>1697)</w:t>
            </w:r>
          </w:p>
        </w:tc>
        <w:tc>
          <w:tcPr>
            <w:tcW w:w="1241" w:type="dxa"/>
            <w:tcBorders>
              <w:bottom w:val="single" w:sz="12" w:space="0" w:color="auto"/>
            </w:tcBorders>
          </w:tcPr>
          <w:p w14:paraId="16D25A66" w14:textId="77777777" w:rsidR="001B5937" w:rsidRPr="00765475" w:rsidRDefault="001B5937" w:rsidP="00CF04FA">
            <w:pPr>
              <w:jc w:val="center"/>
              <w:rPr>
                <w:rFonts w:hint="eastAsia"/>
                <w:sz w:val="22"/>
                <w:szCs w:val="22"/>
              </w:rPr>
            </w:pPr>
            <w:r w:rsidRPr="00765475">
              <w:rPr>
                <w:sz w:val="22"/>
                <w:szCs w:val="22"/>
              </w:rPr>
              <w:t>p-value</w:t>
            </w:r>
            <w:r>
              <w:rPr>
                <w:sz w:val="22"/>
                <w:szCs w:val="22"/>
              </w:rPr>
              <w:t xml:space="preserve">* </w:t>
            </w:r>
          </w:p>
        </w:tc>
      </w:tr>
      <w:tr w:rsidR="001B5937" w:rsidRPr="00F36E37" w14:paraId="44BFF553" w14:textId="77777777" w:rsidTr="00CF04FA">
        <w:tc>
          <w:tcPr>
            <w:tcW w:w="3369" w:type="dxa"/>
            <w:tcBorders>
              <w:top w:val="single" w:sz="12" w:space="0" w:color="auto"/>
            </w:tcBorders>
          </w:tcPr>
          <w:p w14:paraId="796847E9" w14:textId="77777777" w:rsidR="001B5937" w:rsidRPr="00F36E37" w:rsidRDefault="001B5937" w:rsidP="00CF04FA">
            <w:pPr>
              <w:spacing w:before="120" w:line="360" w:lineRule="auto"/>
              <w:jc w:val="both"/>
              <w:rPr>
                <w:rFonts w:ascii="Times New Roman" w:hAnsi="Times New Roman" w:cs="Times New Roman"/>
                <w:sz w:val="22"/>
                <w:szCs w:val="22"/>
              </w:rPr>
            </w:pPr>
            <w:r w:rsidRPr="00F36E37">
              <w:rPr>
                <w:rFonts w:ascii="Times New Roman" w:hAnsi="Times New Roman" w:cs="Times New Roman"/>
                <w:sz w:val="22"/>
                <w:szCs w:val="22"/>
              </w:rPr>
              <w:t>Age [years, mean (SD)]</w:t>
            </w:r>
          </w:p>
        </w:tc>
        <w:tc>
          <w:tcPr>
            <w:tcW w:w="1559" w:type="dxa"/>
            <w:tcBorders>
              <w:top w:val="single" w:sz="12" w:space="0" w:color="auto"/>
            </w:tcBorders>
          </w:tcPr>
          <w:p w14:paraId="309BB6AC" w14:textId="77777777" w:rsidR="001B5937" w:rsidRPr="00F36E37" w:rsidRDefault="001B5937" w:rsidP="00CF04FA">
            <w:pPr>
              <w:spacing w:before="120" w:line="360" w:lineRule="auto"/>
              <w:jc w:val="center"/>
              <w:rPr>
                <w:rFonts w:ascii="Times New Roman" w:hAnsi="Times New Roman" w:cs="Times New Roman"/>
                <w:sz w:val="22"/>
                <w:szCs w:val="22"/>
              </w:rPr>
            </w:pPr>
            <w:r w:rsidRPr="00F36E37">
              <w:rPr>
                <w:rFonts w:ascii="Times New Roman" w:hAnsi="Times New Roman" w:cs="Times New Roman"/>
                <w:sz w:val="22"/>
                <w:szCs w:val="22"/>
              </w:rPr>
              <w:t>69.0 (11.2)</w:t>
            </w:r>
          </w:p>
        </w:tc>
        <w:tc>
          <w:tcPr>
            <w:tcW w:w="2268" w:type="dxa"/>
            <w:tcBorders>
              <w:top w:val="single" w:sz="12" w:space="0" w:color="auto"/>
            </w:tcBorders>
          </w:tcPr>
          <w:p w14:paraId="60BBB63B" w14:textId="77777777" w:rsidR="001B5937" w:rsidRPr="00F36E37" w:rsidRDefault="001B5937" w:rsidP="00CF04FA">
            <w:pPr>
              <w:spacing w:before="120" w:line="360" w:lineRule="auto"/>
              <w:jc w:val="center"/>
              <w:rPr>
                <w:rFonts w:ascii="Times New Roman" w:hAnsi="Times New Roman" w:cs="Times New Roman"/>
                <w:sz w:val="22"/>
                <w:szCs w:val="22"/>
              </w:rPr>
            </w:pPr>
            <w:r w:rsidRPr="00F36E37">
              <w:rPr>
                <w:rFonts w:ascii="Times New Roman" w:hAnsi="Times New Roman" w:cs="Times New Roman"/>
                <w:sz w:val="22"/>
                <w:szCs w:val="22"/>
              </w:rPr>
              <w:t>67.6 (12.9)</w:t>
            </w:r>
          </w:p>
        </w:tc>
        <w:tc>
          <w:tcPr>
            <w:tcW w:w="1701" w:type="dxa"/>
            <w:tcBorders>
              <w:top w:val="single" w:sz="12" w:space="0" w:color="auto"/>
            </w:tcBorders>
          </w:tcPr>
          <w:p w14:paraId="1C4AD5CB" w14:textId="77777777" w:rsidR="001B5937" w:rsidRPr="00F36E37" w:rsidRDefault="001B5937" w:rsidP="00CF04FA">
            <w:pPr>
              <w:spacing w:before="120" w:line="360" w:lineRule="auto"/>
              <w:jc w:val="center"/>
              <w:rPr>
                <w:rFonts w:ascii="Times New Roman" w:hAnsi="Times New Roman" w:cs="Times New Roman"/>
                <w:sz w:val="22"/>
                <w:szCs w:val="22"/>
              </w:rPr>
            </w:pPr>
            <w:r w:rsidRPr="00F36E37">
              <w:rPr>
                <w:rFonts w:ascii="Times New Roman" w:hAnsi="Times New Roman" w:cs="Times New Roman"/>
                <w:sz w:val="22"/>
                <w:szCs w:val="22"/>
              </w:rPr>
              <w:t>66.9 (12.1)</w:t>
            </w:r>
          </w:p>
        </w:tc>
        <w:tc>
          <w:tcPr>
            <w:tcW w:w="1241" w:type="dxa"/>
            <w:tcBorders>
              <w:top w:val="single" w:sz="12" w:space="0" w:color="auto"/>
            </w:tcBorders>
          </w:tcPr>
          <w:p w14:paraId="7DF896D9" w14:textId="77777777" w:rsidR="001B5937" w:rsidRPr="000A6D42" w:rsidRDefault="001B5937" w:rsidP="00CF04FA">
            <w:pPr>
              <w:spacing w:before="120"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28E247DD" w14:textId="77777777" w:rsidTr="00CF04FA">
        <w:tc>
          <w:tcPr>
            <w:tcW w:w="3369" w:type="dxa"/>
          </w:tcPr>
          <w:p w14:paraId="1333399C" w14:textId="77777777" w:rsidR="001B5937" w:rsidRPr="00F36E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&gt;65 years</w:t>
            </w:r>
          </w:p>
        </w:tc>
        <w:tc>
          <w:tcPr>
            <w:tcW w:w="1559" w:type="dxa"/>
          </w:tcPr>
          <w:p w14:paraId="2F35E1F3"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901 (66.7%)</w:t>
            </w:r>
          </w:p>
        </w:tc>
        <w:tc>
          <w:tcPr>
            <w:tcW w:w="2268" w:type="dxa"/>
          </w:tcPr>
          <w:p w14:paraId="4129FDAB"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673 (63.1%)</w:t>
            </w:r>
          </w:p>
        </w:tc>
        <w:tc>
          <w:tcPr>
            <w:tcW w:w="1701" w:type="dxa"/>
          </w:tcPr>
          <w:p w14:paraId="02F57386"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1054 (62.1%)</w:t>
            </w:r>
          </w:p>
        </w:tc>
        <w:tc>
          <w:tcPr>
            <w:tcW w:w="1241" w:type="dxa"/>
          </w:tcPr>
          <w:p w14:paraId="1D5D8C76"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0.009</w:t>
            </w:r>
          </w:p>
        </w:tc>
      </w:tr>
      <w:tr w:rsidR="001B5937" w:rsidRPr="00F36E37" w14:paraId="3EC502AA" w14:textId="77777777" w:rsidTr="00CF04FA">
        <w:tc>
          <w:tcPr>
            <w:tcW w:w="3369" w:type="dxa"/>
          </w:tcPr>
          <w:p w14:paraId="0BEBAE39" w14:textId="77777777" w:rsidR="001B5937" w:rsidRPr="00F36E37" w:rsidRDefault="001B5937" w:rsidP="00CF04FA">
            <w:pPr>
              <w:spacing w:line="360" w:lineRule="auto"/>
              <w:jc w:val="both"/>
              <w:rPr>
                <w:rFonts w:ascii="Times New Roman" w:hAnsi="Times New Roman" w:cs="Times New Roman"/>
                <w:sz w:val="22"/>
                <w:szCs w:val="22"/>
              </w:rPr>
            </w:pPr>
            <w:r w:rsidRPr="00F36E37">
              <w:rPr>
                <w:rFonts w:ascii="Times New Roman" w:hAnsi="Times New Roman" w:cs="Times New Roman"/>
                <w:sz w:val="22"/>
                <w:szCs w:val="22"/>
              </w:rPr>
              <w:t xml:space="preserve">Male gender </w:t>
            </w:r>
          </w:p>
        </w:tc>
        <w:tc>
          <w:tcPr>
            <w:tcW w:w="1559" w:type="dxa"/>
          </w:tcPr>
          <w:p w14:paraId="6B877860"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1070 (79.3%)</w:t>
            </w:r>
          </w:p>
        </w:tc>
        <w:tc>
          <w:tcPr>
            <w:tcW w:w="2268" w:type="dxa"/>
          </w:tcPr>
          <w:p w14:paraId="4721F981"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826 (77.4%)</w:t>
            </w:r>
          </w:p>
        </w:tc>
        <w:tc>
          <w:tcPr>
            <w:tcW w:w="1701" w:type="dxa"/>
          </w:tcPr>
          <w:p w14:paraId="7D6DA2CD"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1297 (76.4%)</w:t>
            </w:r>
          </w:p>
        </w:tc>
        <w:tc>
          <w:tcPr>
            <w:tcW w:w="1241" w:type="dxa"/>
          </w:tcPr>
          <w:p w14:paraId="720B839D"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0.065</w:t>
            </w:r>
          </w:p>
        </w:tc>
      </w:tr>
      <w:tr w:rsidR="001B5937" w:rsidRPr="00F36E37" w14:paraId="21E79645" w14:textId="77777777" w:rsidTr="00CF04FA">
        <w:tc>
          <w:tcPr>
            <w:tcW w:w="3369" w:type="dxa"/>
          </w:tcPr>
          <w:p w14:paraId="27040B80" w14:textId="77777777" w:rsidR="001B5937" w:rsidRPr="00F36E37" w:rsidRDefault="001B5937" w:rsidP="00CF04FA">
            <w:pPr>
              <w:spacing w:line="360" w:lineRule="auto"/>
              <w:jc w:val="both"/>
              <w:rPr>
                <w:rFonts w:ascii="Times New Roman" w:hAnsi="Times New Roman" w:cs="Times New Roman"/>
                <w:sz w:val="22"/>
                <w:szCs w:val="22"/>
              </w:rPr>
            </w:pPr>
            <w:r w:rsidRPr="00F36E37">
              <w:rPr>
                <w:rFonts w:ascii="Times New Roman" w:hAnsi="Times New Roman" w:cs="Times New Roman"/>
                <w:sz w:val="22"/>
                <w:szCs w:val="22"/>
              </w:rPr>
              <w:t>Etiology</w:t>
            </w:r>
          </w:p>
        </w:tc>
        <w:tc>
          <w:tcPr>
            <w:tcW w:w="1559" w:type="dxa"/>
          </w:tcPr>
          <w:p w14:paraId="6139FBE0" w14:textId="77777777" w:rsidR="001B5937" w:rsidRPr="00F36E37" w:rsidRDefault="001B5937" w:rsidP="00CF04FA">
            <w:pPr>
              <w:spacing w:line="360" w:lineRule="auto"/>
              <w:jc w:val="center"/>
              <w:rPr>
                <w:rFonts w:ascii="Times New Roman" w:hAnsi="Times New Roman" w:cs="Times New Roman"/>
                <w:sz w:val="22"/>
                <w:szCs w:val="22"/>
              </w:rPr>
            </w:pPr>
          </w:p>
        </w:tc>
        <w:tc>
          <w:tcPr>
            <w:tcW w:w="2268" w:type="dxa"/>
          </w:tcPr>
          <w:p w14:paraId="08809A11" w14:textId="77777777" w:rsidR="001B5937" w:rsidRPr="00F36E37" w:rsidRDefault="001B5937" w:rsidP="00CF04FA">
            <w:pPr>
              <w:spacing w:line="360" w:lineRule="auto"/>
              <w:jc w:val="center"/>
              <w:rPr>
                <w:rFonts w:ascii="Times New Roman" w:hAnsi="Times New Roman" w:cs="Times New Roman"/>
                <w:sz w:val="22"/>
                <w:szCs w:val="22"/>
              </w:rPr>
            </w:pPr>
          </w:p>
        </w:tc>
        <w:tc>
          <w:tcPr>
            <w:tcW w:w="1701" w:type="dxa"/>
          </w:tcPr>
          <w:p w14:paraId="48A341E9" w14:textId="77777777" w:rsidR="001B5937" w:rsidRPr="00F36E37" w:rsidRDefault="001B5937" w:rsidP="00CF04FA">
            <w:pPr>
              <w:spacing w:line="360" w:lineRule="auto"/>
              <w:jc w:val="center"/>
              <w:rPr>
                <w:rFonts w:ascii="Times New Roman" w:hAnsi="Times New Roman" w:cs="Times New Roman"/>
                <w:sz w:val="22"/>
                <w:szCs w:val="22"/>
              </w:rPr>
            </w:pPr>
          </w:p>
        </w:tc>
        <w:tc>
          <w:tcPr>
            <w:tcW w:w="1241" w:type="dxa"/>
          </w:tcPr>
          <w:p w14:paraId="3A246947" w14:textId="77777777" w:rsidR="001B5937" w:rsidRPr="00F36E37" w:rsidRDefault="001B5937" w:rsidP="00CF04FA">
            <w:pPr>
              <w:spacing w:line="360" w:lineRule="auto"/>
              <w:jc w:val="center"/>
              <w:rPr>
                <w:rFonts w:ascii="Times New Roman" w:hAnsi="Times New Roman" w:cs="Times New Roman"/>
                <w:sz w:val="22"/>
                <w:szCs w:val="22"/>
              </w:rPr>
            </w:pPr>
          </w:p>
        </w:tc>
      </w:tr>
      <w:tr w:rsidR="001B5937" w:rsidRPr="00F36E37" w14:paraId="71657052" w14:textId="77777777" w:rsidTr="00CF04FA">
        <w:tc>
          <w:tcPr>
            <w:tcW w:w="3369" w:type="dxa"/>
          </w:tcPr>
          <w:p w14:paraId="4C7CA7DD" w14:textId="77777777" w:rsidR="001B5937" w:rsidRPr="00F36E37" w:rsidRDefault="001B5937" w:rsidP="00CF04FA">
            <w:pPr>
              <w:spacing w:line="360" w:lineRule="auto"/>
              <w:ind w:firstLine="284"/>
              <w:jc w:val="both"/>
              <w:rPr>
                <w:rFonts w:ascii="Times New Roman" w:hAnsi="Times New Roman" w:cs="Times New Roman"/>
                <w:sz w:val="22"/>
                <w:szCs w:val="22"/>
              </w:rPr>
            </w:pPr>
            <w:r w:rsidRPr="00F36E37">
              <w:rPr>
                <w:rFonts w:ascii="Times New Roman" w:hAnsi="Times New Roman" w:cs="Times New Roman"/>
                <w:sz w:val="22"/>
                <w:szCs w:val="22"/>
              </w:rPr>
              <w:t xml:space="preserve">Hepatitis C </w:t>
            </w:r>
          </w:p>
        </w:tc>
        <w:tc>
          <w:tcPr>
            <w:tcW w:w="1559" w:type="dxa"/>
          </w:tcPr>
          <w:p w14:paraId="6540981C"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597 (44.2%)</w:t>
            </w:r>
          </w:p>
        </w:tc>
        <w:tc>
          <w:tcPr>
            <w:tcW w:w="2268" w:type="dxa"/>
          </w:tcPr>
          <w:p w14:paraId="7A18474E"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562 (52.7%)</w:t>
            </w:r>
          </w:p>
        </w:tc>
        <w:tc>
          <w:tcPr>
            <w:tcW w:w="1701" w:type="dxa"/>
          </w:tcPr>
          <w:p w14:paraId="10747313"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1004 (59.2%)</w:t>
            </w:r>
          </w:p>
        </w:tc>
        <w:tc>
          <w:tcPr>
            <w:tcW w:w="1241" w:type="dxa"/>
          </w:tcPr>
          <w:p w14:paraId="5E6F5D91"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1441A847" w14:textId="77777777" w:rsidTr="00CF04FA">
        <w:tc>
          <w:tcPr>
            <w:tcW w:w="3369" w:type="dxa"/>
          </w:tcPr>
          <w:p w14:paraId="5B92E22A" w14:textId="77777777" w:rsidR="001B5937" w:rsidRPr="00F36E37" w:rsidRDefault="001B5937" w:rsidP="00CF04FA">
            <w:pPr>
              <w:spacing w:line="360" w:lineRule="auto"/>
              <w:ind w:firstLine="284"/>
              <w:jc w:val="both"/>
              <w:rPr>
                <w:rFonts w:ascii="Times New Roman" w:hAnsi="Times New Roman" w:cs="Times New Roman"/>
                <w:sz w:val="22"/>
                <w:szCs w:val="22"/>
              </w:rPr>
            </w:pPr>
            <w:r w:rsidRPr="00F36E37">
              <w:rPr>
                <w:rFonts w:ascii="Times New Roman" w:hAnsi="Times New Roman" w:cs="Times New Roman"/>
                <w:sz w:val="22"/>
                <w:szCs w:val="22"/>
              </w:rPr>
              <w:t xml:space="preserve">Hepatitis B </w:t>
            </w:r>
          </w:p>
        </w:tc>
        <w:tc>
          <w:tcPr>
            <w:tcW w:w="1559" w:type="dxa"/>
          </w:tcPr>
          <w:p w14:paraId="2CFB4026"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110 (8.2%)</w:t>
            </w:r>
          </w:p>
        </w:tc>
        <w:tc>
          <w:tcPr>
            <w:tcW w:w="2268" w:type="dxa"/>
          </w:tcPr>
          <w:p w14:paraId="3DD8B1F2"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98 (9.2%)</w:t>
            </w:r>
          </w:p>
        </w:tc>
        <w:tc>
          <w:tcPr>
            <w:tcW w:w="1701" w:type="dxa"/>
          </w:tcPr>
          <w:p w14:paraId="3D2F56F9"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213 (12.6%)</w:t>
            </w:r>
          </w:p>
        </w:tc>
        <w:tc>
          <w:tcPr>
            <w:tcW w:w="1241" w:type="dxa"/>
          </w:tcPr>
          <w:p w14:paraId="5C2861ED"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473BC52D" w14:textId="77777777" w:rsidTr="00CF04FA">
        <w:tc>
          <w:tcPr>
            <w:tcW w:w="3369" w:type="dxa"/>
          </w:tcPr>
          <w:p w14:paraId="35E163D7" w14:textId="77777777" w:rsidR="001B5937" w:rsidRPr="00F36E37" w:rsidRDefault="001B5937" w:rsidP="00CF04FA">
            <w:pPr>
              <w:spacing w:line="360" w:lineRule="auto"/>
              <w:ind w:firstLine="284"/>
              <w:jc w:val="both"/>
              <w:rPr>
                <w:rFonts w:ascii="Times New Roman" w:hAnsi="Times New Roman" w:cs="Times New Roman"/>
                <w:sz w:val="22"/>
                <w:szCs w:val="22"/>
              </w:rPr>
            </w:pPr>
            <w:r w:rsidRPr="00F36E37">
              <w:rPr>
                <w:rFonts w:ascii="Times New Roman" w:hAnsi="Times New Roman" w:cs="Times New Roman"/>
                <w:sz w:val="22"/>
                <w:szCs w:val="22"/>
              </w:rPr>
              <w:t>NASH</w:t>
            </w:r>
          </w:p>
        </w:tc>
        <w:tc>
          <w:tcPr>
            <w:tcW w:w="1559" w:type="dxa"/>
          </w:tcPr>
          <w:p w14:paraId="22C003DA"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211 (15.6%)</w:t>
            </w:r>
          </w:p>
        </w:tc>
        <w:tc>
          <w:tcPr>
            <w:tcW w:w="2268" w:type="dxa"/>
          </w:tcPr>
          <w:p w14:paraId="3B608661"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124 (11.6%)</w:t>
            </w:r>
          </w:p>
        </w:tc>
        <w:tc>
          <w:tcPr>
            <w:tcW w:w="1701" w:type="dxa"/>
          </w:tcPr>
          <w:p w14:paraId="01101C52"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169 (9.9%)</w:t>
            </w:r>
          </w:p>
        </w:tc>
        <w:tc>
          <w:tcPr>
            <w:tcW w:w="1241" w:type="dxa"/>
          </w:tcPr>
          <w:p w14:paraId="621B2A89"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0F0F045E" w14:textId="77777777" w:rsidTr="00CF04FA">
        <w:tc>
          <w:tcPr>
            <w:tcW w:w="3369" w:type="dxa"/>
          </w:tcPr>
          <w:p w14:paraId="5B083ADE" w14:textId="77777777" w:rsidR="001B5937" w:rsidRPr="00F36E37" w:rsidRDefault="001B5937" w:rsidP="00CF04FA">
            <w:pPr>
              <w:spacing w:line="360" w:lineRule="auto"/>
              <w:ind w:firstLine="284"/>
              <w:jc w:val="both"/>
              <w:rPr>
                <w:rFonts w:ascii="Times New Roman" w:hAnsi="Times New Roman" w:cs="Times New Roman"/>
                <w:sz w:val="22"/>
                <w:szCs w:val="22"/>
              </w:rPr>
            </w:pPr>
            <w:r w:rsidRPr="00F36E37">
              <w:rPr>
                <w:rFonts w:ascii="Times New Roman" w:hAnsi="Times New Roman" w:cs="Times New Roman"/>
                <w:sz w:val="22"/>
                <w:szCs w:val="22"/>
              </w:rPr>
              <w:t>Alcohol</w:t>
            </w:r>
          </w:p>
        </w:tc>
        <w:tc>
          <w:tcPr>
            <w:tcW w:w="1559" w:type="dxa"/>
          </w:tcPr>
          <w:p w14:paraId="65C74996"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427 (31.6%)</w:t>
            </w:r>
          </w:p>
        </w:tc>
        <w:tc>
          <w:tcPr>
            <w:tcW w:w="2268" w:type="dxa"/>
          </w:tcPr>
          <w:p w14:paraId="295EF1C2"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229 (21.5%)</w:t>
            </w:r>
          </w:p>
        </w:tc>
        <w:tc>
          <w:tcPr>
            <w:tcW w:w="1701" w:type="dxa"/>
          </w:tcPr>
          <w:p w14:paraId="3A6D7964"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214 (12.6%)</w:t>
            </w:r>
          </w:p>
        </w:tc>
        <w:tc>
          <w:tcPr>
            <w:tcW w:w="1241" w:type="dxa"/>
          </w:tcPr>
          <w:p w14:paraId="14D6C9F9"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1FC64E2A" w14:textId="77777777" w:rsidTr="00CF04FA">
        <w:tc>
          <w:tcPr>
            <w:tcW w:w="3369" w:type="dxa"/>
          </w:tcPr>
          <w:p w14:paraId="4E273262" w14:textId="77777777" w:rsidR="001B5937" w:rsidRPr="00F36E37" w:rsidRDefault="001B5937" w:rsidP="00CF04FA">
            <w:pPr>
              <w:spacing w:line="360" w:lineRule="auto"/>
              <w:jc w:val="both"/>
              <w:rPr>
                <w:rFonts w:ascii="Times New Roman" w:hAnsi="Times New Roman" w:cs="Times New Roman"/>
                <w:sz w:val="22"/>
                <w:szCs w:val="22"/>
              </w:rPr>
            </w:pPr>
            <w:r w:rsidRPr="00F36E37">
              <w:rPr>
                <w:rFonts w:ascii="Times New Roman" w:hAnsi="Times New Roman" w:cs="Times New Roman"/>
                <w:sz w:val="22"/>
                <w:szCs w:val="22"/>
              </w:rPr>
              <w:t>MELD [score, mean (SD)]</w:t>
            </w:r>
          </w:p>
        </w:tc>
        <w:tc>
          <w:tcPr>
            <w:tcW w:w="1559" w:type="dxa"/>
          </w:tcPr>
          <w:p w14:paraId="50C4C832"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10.1 (3.9)</w:t>
            </w:r>
          </w:p>
        </w:tc>
        <w:tc>
          <w:tcPr>
            <w:tcW w:w="2268" w:type="dxa"/>
          </w:tcPr>
          <w:p w14:paraId="284103E7"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10.4 (3.7)</w:t>
            </w:r>
          </w:p>
        </w:tc>
        <w:tc>
          <w:tcPr>
            <w:tcW w:w="1701" w:type="dxa"/>
          </w:tcPr>
          <w:p w14:paraId="613F714F"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10.1 (3.8)</w:t>
            </w:r>
          </w:p>
        </w:tc>
        <w:tc>
          <w:tcPr>
            <w:tcW w:w="1241" w:type="dxa"/>
          </w:tcPr>
          <w:p w14:paraId="59EACCF9" w14:textId="77777777" w:rsidR="001B5937" w:rsidRPr="00F36E37" w:rsidRDefault="001B5937" w:rsidP="00CF04FA">
            <w:pPr>
              <w:spacing w:line="360" w:lineRule="auto"/>
              <w:jc w:val="center"/>
              <w:rPr>
                <w:rFonts w:ascii="Times New Roman" w:hAnsi="Times New Roman" w:cs="Times New Roman"/>
                <w:sz w:val="22"/>
                <w:szCs w:val="22"/>
              </w:rPr>
            </w:pPr>
            <w:r w:rsidRPr="00F36E37">
              <w:rPr>
                <w:rFonts w:ascii="Times New Roman" w:hAnsi="Times New Roman" w:cs="Times New Roman"/>
                <w:sz w:val="22"/>
                <w:szCs w:val="22"/>
              </w:rPr>
              <w:t>0.952</w:t>
            </w:r>
          </w:p>
        </w:tc>
      </w:tr>
      <w:tr w:rsidR="001B5937" w:rsidRPr="00F36E37" w14:paraId="704C75E2" w14:textId="77777777" w:rsidTr="00CF04FA">
        <w:tc>
          <w:tcPr>
            <w:tcW w:w="3369" w:type="dxa"/>
          </w:tcPr>
          <w:p w14:paraId="15B175B4" w14:textId="77777777" w:rsidR="001B5937" w:rsidRPr="00F36E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&gt;10</w:t>
            </w:r>
          </w:p>
        </w:tc>
        <w:tc>
          <w:tcPr>
            <w:tcW w:w="1559" w:type="dxa"/>
          </w:tcPr>
          <w:p w14:paraId="53FD4910"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431 (31.9%)</w:t>
            </w:r>
          </w:p>
        </w:tc>
        <w:tc>
          <w:tcPr>
            <w:tcW w:w="2268" w:type="dxa"/>
          </w:tcPr>
          <w:p w14:paraId="36E8E060"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407 (38.1%)</w:t>
            </w:r>
          </w:p>
        </w:tc>
        <w:tc>
          <w:tcPr>
            <w:tcW w:w="1701" w:type="dxa"/>
          </w:tcPr>
          <w:p w14:paraId="1EF49C7E"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559 (32.9%)</w:t>
            </w:r>
          </w:p>
        </w:tc>
        <w:tc>
          <w:tcPr>
            <w:tcW w:w="1241" w:type="dxa"/>
          </w:tcPr>
          <w:p w14:paraId="29244A8B"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0.696</w:t>
            </w:r>
          </w:p>
        </w:tc>
      </w:tr>
      <w:tr w:rsidR="001B5937" w:rsidRPr="00F36E37" w14:paraId="2C44E17E" w14:textId="77777777" w:rsidTr="00CF04FA">
        <w:tc>
          <w:tcPr>
            <w:tcW w:w="3369" w:type="dxa"/>
          </w:tcPr>
          <w:p w14:paraId="40535291" w14:textId="77777777" w:rsidR="001B5937" w:rsidRPr="00F36E37"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Diagnosis modality</w:t>
            </w:r>
          </w:p>
        </w:tc>
        <w:tc>
          <w:tcPr>
            <w:tcW w:w="1559" w:type="dxa"/>
          </w:tcPr>
          <w:p w14:paraId="57935B11" w14:textId="77777777" w:rsidR="001B5937" w:rsidRPr="00F36E37" w:rsidRDefault="001B5937" w:rsidP="00CF04FA">
            <w:pPr>
              <w:spacing w:line="360" w:lineRule="auto"/>
              <w:jc w:val="center"/>
              <w:rPr>
                <w:rFonts w:ascii="Times New Roman" w:hAnsi="Times New Roman" w:cs="Times New Roman"/>
                <w:sz w:val="22"/>
                <w:szCs w:val="22"/>
              </w:rPr>
            </w:pPr>
          </w:p>
        </w:tc>
        <w:tc>
          <w:tcPr>
            <w:tcW w:w="2268" w:type="dxa"/>
          </w:tcPr>
          <w:p w14:paraId="4B198593" w14:textId="77777777" w:rsidR="001B5937" w:rsidRPr="00F36E37" w:rsidRDefault="001B5937" w:rsidP="00CF04FA">
            <w:pPr>
              <w:spacing w:line="360" w:lineRule="auto"/>
              <w:jc w:val="center"/>
              <w:rPr>
                <w:rFonts w:ascii="Times New Roman" w:hAnsi="Times New Roman" w:cs="Times New Roman"/>
                <w:sz w:val="22"/>
                <w:szCs w:val="22"/>
              </w:rPr>
            </w:pPr>
          </w:p>
        </w:tc>
        <w:tc>
          <w:tcPr>
            <w:tcW w:w="1701" w:type="dxa"/>
          </w:tcPr>
          <w:p w14:paraId="2D262F8C" w14:textId="77777777" w:rsidR="001B5937" w:rsidRPr="00F36E37" w:rsidRDefault="001B5937" w:rsidP="00CF04FA">
            <w:pPr>
              <w:spacing w:line="360" w:lineRule="auto"/>
              <w:jc w:val="center"/>
              <w:rPr>
                <w:rFonts w:ascii="Times New Roman" w:hAnsi="Times New Roman" w:cs="Times New Roman"/>
                <w:sz w:val="22"/>
                <w:szCs w:val="22"/>
              </w:rPr>
            </w:pPr>
          </w:p>
        </w:tc>
        <w:tc>
          <w:tcPr>
            <w:tcW w:w="1241" w:type="dxa"/>
          </w:tcPr>
          <w:p w14:paraId="2CFACADA" w14:textId="77777777" w:rsidR="001B5937" w:rsidRPr="00F36E37" w:rsidRDefault="001B5937" w:rsidP="00CF04FA">
            <w:pPr>
              <w:spacing w:line="360" w:lineRule="auto"/>
              <w:jc w:val="center"/>
              <w:rPr>
                <w:rFonts w:ascii="Times New Roman" w:hAnsi="Times New Roman" w:cs="Times New Roman"/>
                <w:sz w:val="22"/>
                <w:szCs w:val="22"/>
              </w:rPr>
            </w:pPr>
          </w:p>
        </w:tc>
      </w:tr>
      <w:tr w:rsidR="001B5937" w:rsidRPr="00F36E37" w14:paraId="19F53C91" w14:textId="77777777" w:rsidTr="00CF04FA">
        <w:tc>
          <w:tcPr>
            <w:tcW w:w="3369" w:type="dxa"/>
          </w:tcPr>
          <w:p w14:paraId="698B5F82" w14:textId="77777777" w:rsidR="001B5937" w:rsidRPr="00F36E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Surveillance </w:t>
            </w:r>
            <w:r w:rsidRPr="00C07D9C">
              <w:rPr>
                <w:rStyle w:val="e24kjd"/>
                <w:rFonts w:ascii="Times New Roman" w:hAnsi="Times New Roman" w:cs="Times New Roman"/>
                <w:szCs w:val="20"/>
              </w:rPr>
              <w:t>†</w:t>
            </w:r>
          </w:p>
        </w:tc>
        <w:tc>
          <w:tcPr>
            <w:tcW w:w="1559" w:type="dxa"/>
          </w:tcPr>
          <w:p w14:paraId="22DBFC09"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706 (52.3%)</w:t>
            </w:r>
          </w:p>
        </w:tc>
        <w:tc>
          <w:tcPr>
            <w:tcW w:w="2268" w:type="dxa"/>
          </w:tcPr>
          <w:p w14:paraId="6C6097C5"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558 (52.3%)</w:t>
            </w:r>
          </w:p>
        </w:tc>
        <w:tc>
          <w:tcPr>
            <w:tcW w:w="1701" w:type="dxa"/>
          </w:tcPr>
          <w:p w14:paraId="50AB4ABD"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1035 (61.0%)</w:t>
            </w:r>
          </w:p>
        </w:tc>
        <w:tc>
          <w:tcPr>
            <w:tcW w:w="1241" w:type="dxa"/>
          </w:tcPr>
          <w:p w14:paraId="565F1D55"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19EE3D2A" w14:textId="77777777" w:rsidTr="00CF04FA">
        <w:tc>
          <w:tcPr>
            <w:tcW w:w="3369" w:type="dxa"/>
          </w:tcPr>
          <w:p w14:paraId="702155B9" w14:textId="77777777" w:rsidR="001B59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Incidental</w:t>
            </w:r>
          </w:p>
        </w:tc>
        <w:tc>
          <w:tcPr>
            <w:tcW w:w="1559" w:type="dxa"/>
          </w:tcPr>
          <w:p w14:paraId="49E28C3F"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473 (35.0%)</w:t>
            </w:r>
          </w:p>
        </w:tc>
        <w:tc>
          <w:tcPr>
            <w:tcW w:w="2268" w:type="dxa"/>
          </w:tcPr>
          <w:p w14:paraId="132B3869"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348 (32.6%)</w:t>
            </w:r>
          </w:p>
        </w:tc>
        <w:tc>
          <w:tcPr>
            <w:tcW w:w="1701" w:type="dxa"/>
          </w:tcPr>
          <w:p w14:paraId="7C1FE0B8"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475 (28.0%)</w:t>
            </w:r>
          </w:p>
        </w:tc>
        <w:tc>
          <w:tcPr>
            <w:tcW w:w="1241" w:type="dxa"/>
          </w:tcPr>
          <w:p w14:paraId="6DFCE51B"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1AC830C2" w14:textId="77777777" w:rsidTr="00CF04FA">
        <w:tc>
          <w:tcPr>
            <w:tcW w:w="3369" w:type="dxa"/>
            <w:tcBorders>
              <w:bottom w:val="single" w:sz="12" w:space="0" w:color="auto"/>
            </w:tcBorders>
          </w:tcPr>
          <w:p w14:paraId="63AD2D93" w14:textId="77777777" w:rsidR="001B59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Symptoms</w:t>
            </w:r>
          </w:p>
        </w:tc>
        <w:tc>
          <w:tcPr>
            <w:tcW w:w="1559" w:type="dxa"/>
            <w:tcBorders>
              <w:bottom w:val="single" w:sz="12" w:space="0" w:color="auto"/>
            </w:tcBorders>
          </w:tcPr>
          <w:p w14:paraId="05BA5EE3"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171 (12.7%)</w:t>
            </w:r>
          </w:p>
        </w:tc>
        <w:tc>
          <w:tcPr>
            <w:tcW w:w="2268" w:type="dxa"/>
            <w:tcBorders>
              <w:bottom w:val="single" w:sz="12" w:space="0" w:color="auto"/>
            </w:tcBorders>
          </w:tcPr>
          <w:p w14:paraId="59D6CEF4"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161 (15.1%)</w:t>
            </w:r>
          </w:p>
        </w:tc>
        <w:tc>
          <w:tcPr>
            <w:tcW w:w="1701" w:type="dxa"/>
            <w:tcBorders>
              <w:bottom w:val="single" w:sz="12" w:space="0" w:color="auto"/>
            </w:tcBorders>
          </w:tcPr>
          <w:p w14:paraId="20CE5217"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187 (11.0%)</w:t>
            </w:r>
          </w:p>
        </w:tc>
        <w:tc>
          <w:tcPr>
            <w:tcW w:w="1241" w:type="dxa"/>
            <w:tcBorders>
              <w:bottom w:val="single" w:sz="12" w:space="0" w:color="auto"/>
            </w:tcBorders>
          </w:tcPr>
          <w:p w14:paraId="263001F7"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0.128</w:t>
            </w:r>
          </w:p>
        </w:tc>
      </w:tr>
    </w:tbl>
    <w:p w14:paraId="0D0335A8" w14:textId="77777777" w:rsidR="001B5937" w:rsidRDefault="001B5937" w:rsidP="001B5937">
      <w:pPr>
        <w:spacing w:line="360" w:lineRule="auto"/>
        <w:jc w:val="both"/>
        <w:rPr>
          <w:rFonts w:ascii="Times New Roman" w:hAnsi="Times New Roman" w:cs="Times New Roman"/>
          <w:sz w:val="18"/>
          <w:szCs w:val="18"/>
          <w:u w:val="single"/>
          <w:lang w:val="en-US"/>
        </w:rPr>
      </w:pPr>
    </w:p>
    <w:p w14:paraId="4F2E23D4" w14:textId="77777777" w:rsidR="001B5937" w:rsidRDefault="001B5937" w:rsidP="001B5937">
      <w:pPr>
        <w:spacing w:line="360" w:lineRule="auto"/>
        <w:jc w:val="both"/>
        <w:rPr>
          <w:rFonts w:hint="eastAsia"/>
          <w:sz w:val="20"/>
          <w:szCs w:val="20"/>
        </w:rPr>
      </w:pPr>
      <w:r w:rsidRPr="00067DB5">
        <w:rPr>
          <w:sz w:val="20"/>
          <w:szCs w:val="20"/>
        </w:rPr>
        <w:t xml:space="preserve">* </w:t>
      </w:r>
      <w:r w:rsidRPr="00067DB5">
        <w:rPr>
          <w:rFonts w:hint="eastAsia"/>
          <w:sz w:val="20"/>
          <w:szCs w:val="20"/>
        </w:rPr>
        <w:t>P</w:t>
      </w:r>
      <w:r w:rsidRPr="00067DB5">
        <w:rPr>
          <w:sz w:val="20"/>
          <w:szCs w:val="20"/>
        </w:rPr>
        <w:t>-value for linear trend</w:t>
      </w:r>
    </w:p>
    <w:p w14:paraId="382165E4" w14:textId="77777777" w:rsidR="001B5937" w:rsidRDefault="001B5937" w:rsidP="001B5937">
      <w:pPr>
        <w:ind w:right="-285"/>
        <w:jc w:val="both"/>
        <w:rPr>
          <w:rFonts w:ascii="Times New Roman" w:hAnsi="Times New Roman" w:cs="Times New Roman"/>
          <w:sz w:val="20"/>
          <w:szCs w:val="20"/>
          <w:lang w:val="en-US"/>
        </w:rPr>
      </w:pPr>
      <w:r w:rsidRPr="00C07D9C">
        <w:rPr>
          <w:rStyle w:val="e24kjd"/>
          <w:rFonts w:ascii="Times New Roman" w:hAnsi="Times New Roman" w:cs="Times New Roman"/>
          <w:sz w:val="20"/>
          <w:szCs w:val="20"/>
        </w:rPr>
        <w:t>†</w:t>
      </w:r>
      <w:r>
        <w:rPr>
          <w:rStyle w:val="e24kjd"/>
          <w:rFonts w:ascii="Times New Roman" w:hAnsi="Times New Roman" w:cs="Times New Roman"/>
          <w:sz w:val="20"/>
          <w:szCs w:val="20"/>
        </w:rPr>
        <w:t xml:space="preserve"> </w:t>
      </w:r>
      <w:r w:rsidRPr="000F7613">
        <w:rPr>
          <w:rFonts w:ascii="Times New Roman" w:hAnsi="Times New Roman" w:cs="Times New Roman"/>
          <w:sz w:val="20"/>
          <w:szCs w:val="20"/>
          <w:lang w:val="en-US"/>
        </w:rPr>
        <w:t xml:space="preserve">Patients with viral hepatitis (HBV/HCV) had HCC diagnosed through surveillance in 1655 cases out of 2559 (64.7%) whereas, whereas non-viral patients had surveillance in 644 cases out of 1555 (41.4%; p&lt;0.001). </w:t>
      </w:r>
    </w:p>
    <w:p w14:paraId="744EA88D" w14:textId="77777777" w:rsidR="001B5937" w:rsidRDefault="001B5937" w:rsidP="001B5937">
      <w:pPr>
        <w:ind w:right="-285"/>
        <w:jc w:val="both"/>
        <w:rPr>
          <w:rFonts w:ascii="Times New Roman" w:hAnsi="Times New Roman" w:cs="Times New Roman"/>
          <w:sz w:val="20"/>
          <w:szCs w:val="20"/>
          <w:lang w:val="en-US"/>
        </w:rPr>
      </w:pPr>
    </w:p>
    <w:p w14:paraId="08A5296E" w14:textId="77777777" w:rsidR="001B5937" w:rsidRPr="00DB7CAA" w:rsidRDefault="001B5937" w:rsidP="001B5937">
      <w:pPr>
        <w:jc w:val="both"/>
        <w:rPr>
          <w:rFonts w:ascii="Times New Roman" w:hAnsi="Times New Roman" w:cs="Times New Roman"/>
          <w:sz w:val="20"/>
          <w:szCs w:val="20"/>
        </w:rPr>
      </w:pPr>
      <w:r>
        <w:rPr>
          <w:rFonts w:ascii="Times New Roman" w:hAnsi="Times New Roman" w:cs="Times New Roman"/>
          <w:sz w:val="20"/>
          <w:szCs w:val="20"/>
        </w:rPr>
        <w:t>Abbreviations: MELD = model for end-stage liver disease.</w:t>
      </w:r>
    </w:p>
    <w:p w14:paraId="43330C58" w14:textId="77777777" w:rsidR="001B5937" w:rsidRDefault="001B5937" w:rsidP="001B5937">
      <w:pPr>
        <w:ind w:right="-284"/>
        <w:jc w:val="both"/>
        <w:rPr>
          <w:rFonts w:hint="eastAsia"/>
          <w:b/>
          <w:bCs/>
        </w:rPr>
      </w:pPr>
    </w:p>
    <w:p w14:paraId="186D6C54" w14:textId="77777777" w:rsidR="001B5937" w:rsidRDefault="001B5937" w:rsidP="001B5937">
      <w:pPr>
        <w:rPr>
          <w:rFonts w:hint="eastAsia"/>
          <w:b/>
          <w:bCs/>
        </w:rPr>
      </w:pPr>
      <w:r>
        <w:rPr>
          <w:rFonts w:hint="eastAsia"/>
          <w:b/>
          <w:bCs/>
        </w:rPr>
        <w:br w:type="page"/>
      </w:r>
    </w:p>
    <w:p w14:paraId="38E19C9F" w14:textId="77777777" w:rsidR="001B5937" w:rsidRDefault="001B5937" w:rsidP="001B5937">
      <w:pPr>
        <w:ind w:right="-284"/>
        <w:jc w:val="both"/>
        <w:rPr>
          <w:rFonts w:hint="eastAsia"/>
        </w:rPr>
      </w:pPr>
      <w:r w:rsidRPr="00B90B55">
        <w:rPr>
          <w:b/>
          <w:bCs/>
        </w:rPr>
        <w:lastRenderedPageBreak/>
        <w:t xml:space="preserve">Table </w:t>
      </w:r>
      <w:r>
        <w:rPr>
          <w:b/>
          <w:bCs/>
        </w:rPr>
        <w:t>2</w:t>
      </w:r>
      <w:r w:rsidRPr="00B90B55">
        <w:rPr>
          <w:b/>
          <w:bCs/>
        </w:rPr>
        <w:t>.</w:t>
      </w:r>
      <w:r>
        <w:t xml:space="preserve"> Tumour features, adoption of potentially curative treatments and survival</w:t>
      </w:r>
      <w:r w:rsidRPr="00C07D9C">
        <w:rPr>
          <w:rStyle w:val="e24kjd"/>
          <w:rFonts w:ascii="Times New Roman" w:hAnsi="Times New Roman" w:cs="Times New Roman"/>
          <w:sz w:val="20"/>
          <w:szCs w:val="20"/>
        </w:rPr>
        <w:t>†</w:t>
      </w:r>
      <w:r>
        <w:t xml:space="preserve"> in the 4114 patients according to the regional deprivation of the managing hospital.  </w:t>
      </w:r>
    </w:p>
    <w:p w14:paraId="42424BE4" w14:textId="77777777" w:rsidR="001B5937" w:rsidRDefault="001B5937" w:rsidP="001B5937">
      <w:pPr>
        <w:spacing w:line="360" w:lineRule="auto"/>
        <w:ind w:right="-285"/>
        <w:jc w:val="both"/>
        <w:rPr>
          <w:rFonts w:hint="eastAsia"/>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1984"/>
        <w:gridCol w:w="1843"/>
        <w:gridCol w:w="992"/>
      </w:tblGrid>
      <w:tr w:rsidR="001B5937" w:rsidRPr="00765475" w14:paraId="1DD276E7" w14:textId="77777777" w:rsidTr="00CF04FA">
        <w:tc>
          <w:tcPr>
            <w:tcW w:w="3652" w:type="dxa"/>
            <w:tcBorders>
              <w:top w:val="single" w:sz="12" w:space="0" w:color="auto"/>
            </w:tcBorders>
          </w:tcPr>
          <w:p w14:paraId="0466324A" w14:textId="77777777" w:rsidR="001B5937" w:rsidRPr="00765475" w:rsidRDefault="001B5937" w:rsidP="00CF04FA">
            <w:pPr>
              <w:spacing w:line="360" w:lineRule="auto"/>
              <w:jc w:val="both"/>
              <w:rPr>
                <w:rFonts w:hint="eastAsia"/>
                <w:sz w:val="22"/>
                <w:szCs w:val="22"/>
              </w:rPr>
            </w:pPr>
          </w:p>
        </w:tc>
        <w:tc>
          <w:tcPr>
            <w:tcW w:w="5670" w:type="dxa"/>
            <w:gridSpan w:val="3"/>
            <w:tcBorders>
              <w:top w:val="single" w:sz="12" w:space="0" w:color="auto"/>
              <w:bottom w:val="single" w:sz="12" w:space="0" w:color="auto"/>
            </w:tcBorders>
          </w:tcPr>
          <w:p w14:paraId="5FA3E6CC" w14:textId="77777777" w:rsidR="001B5937" w:rsidRPr="00765475" w:rsidRDefault="001B5937" w:rsidP="00CF04FA">
            <w:pPr>
              <w:spacing w:line="360" w:lineRule="auto"/>
              <w:jc w:val="center"/>
              <w:rPr>
                <w:rFonts w:hint="eastAsia"/>
                <w:sz w:val="22"/>
                <w:szCs w:val="22"/>
              </w:rPr>
            </w:pPr>
            <w:r w:rsidRPr="00765475">
              <w:rPr>
                <w:sz w:val="22"/>
                <w:szCs w:val="22"/>
              </w:rPr>
              <w:t xml:space="preserve">Region of </w:t>
            </w:r>
            <w:r>
              <w:rPr>
                <w:sz w:val="22"/>
                <w:szCs w:val="22"/>
              </w:rPr>
              <w:t>the hospital</w:t>
            </w:r>
          </w:p>
        </w:tc>
        <w:tc>
          <w:tcPr>
            <w:tcW w:w="992" w:type="dxa"/>
            <w:tcBorders>
              <w:top w:val="single" w:sz="12" w:space="0" w:color="auto"/>
            </w:tcBorders>
          </w:tcPr>
          <w:p w14:paraId="2DD9F681" w14:textId="77777777" w:rsidR="001B5937" w:rsidRPr="00765475" w:rsidRDefault="001B5937" w:rsidP="00CF04FA">
            <w:pPr>
              <w:spacing w:line="360" w:lineRule="auto"/>
              <w:jc w:val="center"/>
              <w:rPr>
                <w:rFonts w:hint="eastAsia"/>
                <w:sz w:val="22"/>
                <w:szCs w:val="22"/>
              </w:rPr>
            </w:pPr>
          </w:p>
        </w:tc>
      </w:tr>
      <w:tr w:rsidR="001B5937" w:rsidRPr="00765475" w14:paraId="20D2936C" w14:textId="77777777" w:rsidTr="00CF04FA">
        <w:tc>
          <w:tcPr>
            <w:tcW w:w="3652" w:type="dxa"/>
            <w:tcBorders>
              <w:bottom w:val="single" w:sz="12" w:space="0" w:color="auto"/>
            </w:tcBorders>
          </w:tcPr>
          <w:p w14:paraId="2E282CB3" w14:textId="77777777" w:rsidR="001B5937" w:rsidRDefault="001B5937" w:rsidP="00CF04FA">
            <w:pPr>
              <w:jc w:val="both"/>
              <w:rPr>
                <w:rFonts w:hint="eastAsia"/>
                <w:sz w:val="22"/>
                <w:szCs w:val="22"/>
              </w:rPr>
            </w:pPr>
          </w:p>
          <w:p w14:paraId="56478C05" w14:textId="77777777" w:rsidR="001B5937" w:rsidRPr="00765475" w:rsidRDefault="001B5937" w:rsidP="00CF04FA">
            <w:pPr>
              <w:jc w:val="both"/>
              <w:rPr>
                <w:rFonts w:hint="eastAsia"/>
                <w:sz w:val="22"/>
                <w:szCs w:val="22"/>
              </w:rPr>
            </w:pPr>
            <w:r>
              <w:rPr>
                <w:rFonts w:ascii="Times New Roman" w:hAnsi="Times New Roman" w:cs="Times New Roman"/>
                <w:sz w:val="22"/>
                <w:szCs w:val="22"/>
              </w:rPr>
              <w:t>Variables</w:t>
            </w:r>
          </w:p>
        </w:tc>
        <w:tc>
          <w:tcPr>
            <w:tcW w:w="1843" w:type="dxa"/>
            <w:tcBorders>
              <w:top w:val="single" w:sz="12" w:space="0" w:color="auto"/>
              <w:bottom w:val="single" w:sz="12" w:space="0" w:color="auto"/>
            </w:tcBorders>
          </w:tcPr>
          <w:p w14:paraId="11D3701D" w14:textId="77777777" w:rsidR="001B5937" w:rsidRPr="00765475" w:rsidRDefault="001B5937" w:rsidP="00CF04FA">
            <w:pPr>
              <w:jc w:val="center"/>
              <w:rPr>
                <w:rFonts w:hint="eastAsia"/>
                <w:sz w:val="22"/>
                <w:szCs w:val="22"/>
              </w:rPr>
            </w:pPr>
            <w:r w:rsidRPr="00765475">
              <w:rPr>
                <w:sz w:val="22"/>
                <w:szCs w:val="22"/>
              </w:rPr>
              <w:t>Least deprived (n=1</w:t>
            </w:r>
            <w:r>
              <w:rPr>
                <w:sz w:val="22"/>
                <w:szCs w:val="22"/>
              </w:rPr>
              <w:t>716</w:t>
            </w:r>
            <w:r w:rsidRPr="00765475">
              <w:rPr>
                <w:sz w:val="22"/>
                <w:szCs w:val="22"/>
              </w:rPr>
              <w:t>)</w:t>
            </w:r>
          </w:p>
        </w:tc>
        <w:tc>
          <w:tcPr>
            <w:tcW w:w="1984" w:type="dxa"/>
            <w:tcBorders>
              <w:top w:val="single" w:sz="12" w:space="0" w:color="auto"/>
              <w:bottom w:val="single" w:sz="12" w:space="0" w:color="auto"/>
            </w:tcBorders>
          </w:tcPr>
          <w:p w14:paraId="7780C945" w14:textId="77777777" w:rsidR="001B5937" w:rsidRPr="00765475" w:rsidRDefault="001B5937" w:rsidP="00CF04FA">
            <w:pPr>
              <w:jc w:val="center"/>
              <w:rPr>
                <w:rFonts w:hint="eastAsia"/>
                <w:sz w:val="22"/>
                <w:szCs w:val="22"/>
              </w:rPr>
            </w:pPr>
            <w:r w:rsidRPr="00765475">
              <w:rPr>
                <w:sz w:val="22"/>
                <w:szCs w:val="22"/>
              </w:rPr>
              <w:t>Intermediate Deprived (n=1</w:t>
            </w:r>
            <w:r>
              <w:rPr>
                <w:sz w:val="22"/>
                <w:szCs w:val="22"/>
              </w:rPr>
              <w:t>319</w:t>
            </w:r>
            <w:r w:rsidRPr="00765475">
              <w:rPr>
                <w:sz w:val="22"/>
                <w:szCs w:val="22"/>
              </w:rPr>
              <w:t>)</w:t>
            </w:r>
          </w:p>
        </w:tc>
        <w:tc>
          <w:tcPr>
            <w:tcW w:w="1843" w:type="dxa"/>
            <w:tcBorders>
              <w:top w:val="single" w:sz="12" w:space="0" w:color="auto"/>
              <w:bottom w:val="single" w:sz="12" w:space="0" w:color="auto"/>
            </w:tcBorders>
          </w:tcPr>
          <w:p w14:paraId="22B659E0" w14:textId="77777777" w:rsidR="001B5937" w:rsidRPr="00765475" w:rsidRDefault="001B5937" w:rsidP="00CF04FA">
            <w:pPr>
              <w:spacing w:after="120"/>
              <w:jc w:val="center"/>
              <w:rPr>
                <w:rFonts w:hint="eastAsia"/>
                <w:sz w:val="22"/>
                <w:szCs w:val="22"/>
              </w:rPr>
            </w:pPr>
            <w:r w:rsidRPr="00765475">
              <w:rPr>
                <w:sz w:val="22"/>
                <w:szCs w:val="22"/>
              </w:rPr>
              <w:t>Most Deprived (n=1</w:t>
            </w:r>
            <w:r>
              <w:rPr>
                <w:sz w:val="22"/>
                <w:szCs w:val="22"/>
              </w:rPr>
              <w:t>079</w:t>
            </w:r>
            <w:r w:rsidRPr="00765475">
              <w:rPr>
                <w:sz w:val="22"/>
                <w:szCs w:val="22"/>
              </w:rPr>
              <w:t>)</w:t>
            </w:r>
          </w:p>
        </w:tc>
        <w:tc>
          <w:tcPr>
            <w:tcW w:w="992" w:type="dxa"/>
            <w:tcBorders>
              <w:bottom w:val="single" w:sz="12" w:space="0" w:color="auto"/>
            </w:tcBorders>
          </w:tcPr>
          <w:p w14:paraId="48A298F4" w14:textId="77777777" w:rsidR="001B5937" w:rsidRPr="00765475" w:rsidRDefault="001B5937" w:rsidP="00CF04FA">
            <w:pPr>
              <w:jc w:val="center"/>
              <w:rPr>
                <w:rFonts w:hint="eastAsia"/>
                <w:sz w:val="22"/>
                <w:szCs w:val="22"/>
              </w:rPr>
            </w:pPr>
            <w:r w:rsidRPr="00765475">
              <w:rPr>
                <w:sz w:val="22"/>
                <w:szCs w:val="22"/>
              </w:rPr>
              <w:t>p-value</w:t>
            </w:r>
            <w:r>
              <w:rPr>
                <w:sz w:val="22"/>
                <w:szCs w:val="22"/>
              </w:rPr>
              <w:t xml:space="preserve">* </w:t>
            </w:r>
          </w:p>
        </w:tc>
      </w:tr>
      <w:tr w:rsidR="001B5937" w:rsidRPr="00F36E37" w14:paraId="4F04F736" w14:textId="77777777" w:rsidTr="00CF04FA">
        <w:tc>
          <w:tcPr>
            <w:tcW w:w="3652" w:type="dxa"/>
          </w:tcPr>
          <w:p w14:paraId="496E545A" w14:textId="77777777" w:rsidR="001B5937" w:rsidRPr="00F36E37" w:rsidRDefault="001B5937" w:rsidP="00CF04FA">
            <w:pPr>
              <w:spacing w:before="120" w:line="360" w:lineRule="auto"/>
              <w:jc w:val="both"/>
              <w:rPr>
                <w:rFonts w:ascii="Times New Roman" w:hAnsi="Times New Roman" w:cs="Times New Roman"/>
                <w:sz w:val="22"/>
                <w:szCs w:val="22"/>
              </w:rPr>
            </w:pPr>
            <w:r>
              <w:rPr>
                <w:rFonts w:ascii="Times New Roman" w:hAnsi="Times New Roman" w:cs="Times New Roman"/>
                <w:sz w:val="22"/>
                <w:szCs w:val="22"/>
              </w:rPr>
              <w:t>Tumour size [cm, (mean, SD)]</w:t>
            </w:r>
          </w:p>
        </w:tc>
        <w:tc>
          <w:tcPr>
            <w:tcW w:w="1843" w:type="dxa"/>
          </w:tcPr>
          <w:p w14:paraId="28A6CA6D" w14:textId="77777777" w:rsidR="001B5937" w:rsidRPr="00F36E37"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3.8 (2.8)</w:t>
            </w:r>
          </w:p>
        </w:tc>
        <w:tc>
          <w:tcPr>
            <w:tcW w:w="1984" w:type="dxa"/>
          </w:tcPr>
          <w:p w14:paraId="21B08740" w14:textId="77777777" w:rsidR="001B5937" w:rsidRPr="00F36E37"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3.9 (2.9)</w:t>
            </w:r>
          </w:p>
        </w:tc>
        <w:tc>
          <w:tcPr>
            <w:tcW w:w="1843" w:type="dxa"/>
          </w:tcPr>
          <w:p w14:paraId="0C4158F3" w14:textId="77777777" w:rsidR="001B5937" w:rsidRPr="00F36E37"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3.6 (2.6)</w:t>
            </w:r>
          </w:p>
        </w:tc>
        <w:tc>
          <w:tcPr>
            <w:tcW w:w="992" w:type="dxa"/>
          </w:tcPr>
          <w:p w14:paraId="41FE2CAE" w14:textId="77777777" w:rsidR="001B5937" w:rsidRPr="00F36E37"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0.102</w:t>
            </w:r>
          </w:p>
        </w:tc>
      </w:tr>
      <w:tr w:rsidR="001B5937" w:rsidRPr="00F36E37" w14:paraId="2EBB37B5" w14:textId="77777777" w:rsidTr="00CF04FA">
        <w:tc>
          <w:tcPr>
            <w:tcW w:w="3652" w:type="dxa"/>
          </w:tcPr>
          <w:p w14:paraId="0C8CB0F5" w14:textId="77777777" w:rsidR="001B5937" w:rsidRPr="00F36E37"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Tumour number</w:t>
            </w:r>
          </w:p>
        </w:tc>
        <w:tc>
          <w:tcPr>
            <w:tcW w:w="1843" w:type="dxa"/>
          </w:tcPr>
          <w:p w14:paraId="0C6D4E6B" w14:textId="77777777" w:rsidR="001B5937" w:rsidRPr="00F36E37" w:rsidRDefault="001B5937" w:rsidP="00CF04FA">
            <w:pPr>
              <w:spacing w:line="360" w:lineRule="auto"/>
              <w:jc w:val="center"/>
              <w:rPr>
                <w:rFonts w:ascii="Times New Roman" w:hAnsi="Times New Roman" w:cs="Times New Roman"/>
                <w:sz w:val="22"/>
                <w:szCs w:val="22"/>
              </w:rPr>
            </w:pPr>
          </w:p>
        </w:tc>
        <w:tc>
          <w:tcPr>
            <w:tcW w:w="1984" w:type="dxa"/>
          </w:tcPr>
          <w:p w14:paraId="5866272D" w14:textId="77777777" w:rsidR="001B5937" w:rsidRPr="00F36E37" w:rsidRDefault="001B5937" w:rsidP="00CF04FA">
            <w:pPr>
              <w:spacing w:line="360" w:lineRule="auto"/>
              <w:jc w:val="center"/>
              <w:rPr>
                <w:rFonts w:ascii="Times New Roman" w:hAnsi="Times New Roman" w:cs="Times New Roman"/>
                <w:sz w:val="22"/>
                <w:szCs w:val="22"/>
              </w:rPr>
            </w:pPr>
          </w:p>
        </w:tc>
        <w:tc>
          <w:tcPr>
            <w:tcW w:w="1843" w:type="dxa"/>
          </w:tcPr>
          <w:p w14:paraId="61F9CE0D" w14:textId="77777777" w:rsidR="001B5937" w:rsidRPr="00F36E37" w:rsidRDefault="001B5937" w:rsidP="00CF04FA">
            <w:pPr>
              <w:spacing w:line="360" w:lineRule="auto"/>
              <w:jc w:val="center"/>
              <w:rPr>
                <w:rFonts w:ascii="Times New Roman" w:hAnsi="Times New Roman" w:cs="Times New Roman"/>
                <w:sz w:val="22"/>
                <w:szCs w:val="22"/>
              </w:rPr>
            </w:pPr>
          </w:p>
        </w:tc>
        <w:tc>
          <w:tcPr>
            <w:tcW w:w="992" w:type="dxa"/>
          </w:tcPr>
          <w:p w14:paraId="4762A75B" w14:textId="77777777" w:rsidR="001B5937" w:rsidRPr="00F36E37" w:rsidRDefault="001B5937" w:rsidP="00CF04FA">
            <w:pPr>
              <w:spacing w:line="360" w:lineRule="auto"/>
              <w:jc w:val="center"/>
              <w:rPr>
                <w:rFonts w:ascii="Times New Roman" w:hAnsi="Times New Roman" w:cs="Times New Roman"/>
                <w:sz w:val="22"/>
                <w:szCs w:val="22"/>
              </w:rPr>
            </w:pPr>
          </w:p>
        </w:tc>
      </w:tr>
      <w:tr w:rsidR="001B5937" w:rsidRPr="00F36E37" w14:paraId="411D2E4C" w14:textId="77777777" w:rsidTr="00CF04FA">
        <w:tc>
          <w:tcPr>
            <w:tcW w:w="3652" w:type="dxa"/>
          </w:tcPr>
          <w:p w14:paraId="5F54F8F0" w14:textId="77777777" w:rsidR="001B5937" w:rsidRPr="00F36E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Single</w:t>
            </w:r>
          </w:p>
        </w:tc>
        <w:tc>
          <w:tcPr>
            <w:tcW w:w="1843" w:type="dxa"/>
          </w:tcPr>
          <w:p w14:paraId="59DEF563"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978 (57.0%)</w:t>
            </w:r>
          </w:p>
        </w:tc>
        <w:tc>
          <w:tcPr>
            <w:tcW w:w="1984" w:type="dxa"/>
          </w:tcPr>
          <w:p w14:paraId="5978CDE0"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742 (56.3%)</w:t>
            </w:r>
          </w:p>
        </w:tc>
        <w:tc>
          <w:tcPr>
            <w:tcW w:w="1843" w:type="dxa"/>
          </w:tcPr>
          <w:p w14:paraId="0A7EEE55"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610 (56.5%)</w:t>
            </w:r>
          </w:p>
        </w:tc>
        <w:tc>
          <w:tcPr>
            <w:tcW w:w="992" w:type="dxa"/>
          </w:tcPr>
          <w:p w14:paraId="4289F232"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0.779</w:t>
            </w:r>
          </w:p>
        </w:tc>
      </w:tr>
      <w:tr w:rsidR="001B5937" w:rsidRPr="00F36E37" w14:paraId="7182E1B8" w14:textId="77777777" w:rsidTr="00CF04FA">
        <w:tc>
          <w:tcPr>
            <w:tcW w:w="3652" w:type="dxa"/>
          </w:tcPr>
          <w:p w14:paraId="1785F40D" w14:textId="77777777" w:rsidR="001B5937" w:rsidRPr="00F36E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2 – 3 nodules</w:t>
            </w:r>
          </w:p>
        </w:tc>
        <w:tc>
          <w:tcPr>
            <w:tcW w:w="1843" w:type="dxa"/>
          </w:tcPr>
          <w:p w14:paraId="08F0536B"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552 (32.2%)</w:t>
            </w:r>
          </w:p>
        </w:tc>
        <w:tc>
          <w:tcPr>
            <w:tcW w:w="1984" w:type="dxa"/>
          </w:tcPr>
          <w:p w14:paraId="06BCE84C"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434 (32.9%)</w:t>
            </w:r>
          </w:p>
        </w:tc>
        <w:tc>
          <w:tcPr>
            <w:tcW w:w="1843" w:type="dxa"/>
          </w:tcPr>
          <w:p w14:paraId="18285679"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360 (33.4%)</w:t>
            </w:r>
          </w:p>
        </w:tc>
        <w:tc>
          <w:tcPr>
            <w:tcW w:w="992" w:type="dxa"/>
          </w:tcPr>
          <w:p w14:paraId="5E8A0F89"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0.501</w:t>
            </w:r>
          </w:p>
        </w:tc>
      </w:tr>
      <w:tr w:rsidR="001B5937" w:rsidRPr="00F36E37" w14:paraId="7D34BDE0" w14:textId="77777777" w:rsidTr="00CF04FA">
        <w:tc>
          <w:tcPr>
            <w:tcW w:w="3652" w:type="dxa"/>
          </w:tcPr>
          <w:p w14:paraId="451A3FB6" w14:textId="77777777" w:rsidR="001B5937" w:rsidRDefault="001B5937" w:rsidP="00CF04FA">
            <w:pPr>
              <w:spacing w:line="360" w:lineRule="auto"/>
              <w:ind w:firstLine="284"/>
              <w:jc w:val="both"/>
              <w:rPr>
                <w:rFonts w:ascii="Times New Roman" w:hAnsi="Times New Roman" w:cs="Times New Roman"/>
                <w:sz w:val="22"/>
                <w:szCs w:val="22"/>
              </w:rPr>
            </w:pPr>
            <w:r>
              <w:rPr>
                <w:rFonts w:ascii="Times New Roman" w:hAnsi="Times New Roman" w:cs="Times New Roman"/>
                <w:sz w:val="22"/>
                <w:szCs w:val="22"/>
              </w:rPr>
              <w:t>More than 3 nodules</w:t>
            </w:r>
          </w:p>
        </w:tc>
        <w:tc>
          <w:tcPr>
            <w:tcW w:w="1843" w:type="dxa"/>
          </w:tcPr>
          <w:p w14:paraId="1B0B0A4D"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186 (10.8%)</w:t>
            </w:r>
          </w:p>
        </w:tc>
        <w:tc>
          <w:tcPr>
            <w:tcW w:w="1984" w:type="dxa"/>
          </w:tcPr>
          <w:p w14:paraId="1196F601"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143 (10.8%)</w:t>
            </w:r>
          </w:p>
        </w:tc>
        <w:tc>
          <w:tcPr>
            <w:tcW w:w="1843" w:type="dxa"/>
          </w:tcPr>
          <w:p w14:paraId="67684985"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109 (10.1%)</w:t>
            </w:r>
          </w:p>
        </w:tc>
        <w:tc>
          <w:tcPr>
            <w:tcW w:w="992" w:type="dxa"/>
          </w:tcPr>
          <w:p w14:paraId="26D96642"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0.567</w:t>
            </w:r>
          </w:p>
        </w:tc>
      </w:tr>
      <w:tr w:rsidR="001B5937" w:rsidRPr="00F36E37" w14:paraId="516832DF" w14:textId="77777777" w:rsidTr="00CF04FA">
        <w:tc>
          <w:tcPr>
            <w:tcW w:w="3652" w:type="dxa"/>
          </w:tcPr>
          <w:p w14:paraId="6B653AA6" w14:textId="77777777" w:rsidR="001B5937"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Presence of MaVI</w:t>
            </w:r>
          </w:p>
        </w:tc>
        <w:tc>
          <w:tcPr>
            <w:tcW w:w="1843" w:type="dxa"/>
          </w:tcPr>
          <w:p w14:paraId="2587F14F"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203 (11.9%)</w:t>
            </w:r>
          </w:p>
        </w:tc>
        <w:tc>
          <w:tcPr>
            <w:tcW w:w="1984" w:type="dxa"/>
          </w:tcPr>
          <w:p w14:paraId="6B41390A"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160 (12.2%)</w:t>
            </w:r>
          </w:p>
        </w:tc>
        <w:tc>
          <w:tcPr>
            <w:tcW w:w="1843" w:type="dxa"/>
          </w:tcPr>
          <w:p w14:paraId="40363091"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128 (11.9%)</w:t>
            </w:r>
          </w:p>
        </w:tc>
        <w:tc>
          <w:tcPr>
            <w:tcW w:w="992" w:type="dxa"/>
          </w:tcPr>
          <w:p w14:paraId="79F1EEEF"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0.947</w:t>
            </w:r>
          </w:p>
        </w:tc>
      </w:tr>
      <w:tr w:rsidR="001B5937" w:rsidRPr="00F36E37" w14:paraId="7D9FAE15" w14:textId="77777777" w:rsidTr="00CF04FA">
        <w:tc>
          <w:tcPr>
            <w:tcW w:w="3652" w:type="dxa"/>
          </w:tcPr>
          <w:p w14:paraId="25746C28" w14:textId="77777777" w:rsidR="001B5937"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Within Milan criteria</w:t>
            </w:r>
          </w:p>
        </w:tc>
        <w:tc>
          <w:tcPr>
            <w:tcW w:w="1843" w:type="dxa"/>
          </w:tcPr>
          <w:p w14:paraId="7E65F785"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1103 (64.3%)</w:t>
            </w:r>
          </w:p>
        </w:tc>
        <w:tc>
          <w:tcPr>
            <w:tcW w:w="1984" w:type="dxa"/>
          </w:tcPr>
          <w:p w14:paraId="28D5A3FA"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818 (62.0%)</w:t>
            </w:r>
          </w:p>
        </w:tc>
        <w:tc>
          <w:tcPr>
            <w:tcW w:w="1843" w:type="dxa"/>
          </w:tcPr>
          <w:p w14:paraId="27006EA3"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718 (66.5%)</w:t>
            </w:r>
          </w:p>
        </w:tc>
        <w:tc>
          <w:tcPr>
            <w:tcW w:w="992" w:type="dxa"/>
          </w:tcPr>
          <w:p w14:paraId="56A11B43"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0.343</w:t>
            </w:r>
          </w:p>
        </w:tc>
      </w:tr>
      <w:tr w:rsidR="001B5937" w:rsidRPr="00F36E37" w14:paraId="4FF1DC2D" w14:textId="77777777" w:rsidTr="00CF04FA">
        <w:tc>
          <w:tcPr>
            <w:tcW w:w="3652" w:type="dxa"/>
          </w:tcPr>
          <w:p w14:paraId="71E6462D" w14:textId="77777777" w:rsidR="001B5937" w:rsidRPr="00F36E37"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ECOG 0-1</w:t>
            </w:r>
          </w:p>
        </w:tc>
        <w:tc>
          <w:tcPr>
            <w:tcW w:w="1843" w:type="dxa"/>
          </w:tcPr>
          <w:p w14:paraId="2A1F1194"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1553 (90.5%)</w:t>
            </w:r>
          </w:p>
        </w:tc>
        <w:tc>
          <w:tcPr>
            <w:tcW w:w="1984" w:type="dxa"/>
          </w:tcPr>
          <w:p w14:paraId="04F21D88"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1169 (88.6%)</w:t>
            </w:r>
          </w:p>
        </w:tc>
        <w:tc>
          <w:tcPr>
            <w:tcW w:w="1843" w:type="dxa"/>
          </w:tcPr>
          <w:p w14:paraId="576397D0"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956 (88.6%)</w:t>
            </w:r>
          </w:p>
        </w:tc>
        <w:tc>
          <w:tcPr>
            <w:tcW w:w="992" w:type="dxa"/>
          </w:tcPr>
          <w:p w14:paraId="22C3E340" w14:textId="77777777" w:rsidR="001B5937" w:rsidRPr="00F36E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0.085</w:t>
            </w:r>
          </w:p>
        </w:tc>
      </w:tr>
      <w:tr w:rsidR="001B5937" w:rsidRPr="00F36E37" w14:paraId="7D1509EE" w14:textId="77777777" w:rsidTr="00CF04FA">
        <w:tc>
          <w:tcPr>
            <w:tcW w:w="3652" w:type="dxa"/>
          </w:tcPr>
          <w:p w14:paraId="0C988098" w14:textId="77777777" w:rsidR="001B5937"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Potentially curative therapies</w:t>
            </w:r>
          </w:p>
        </w:tc>
        <w:tc>
          <w:tcPr>
            <w:tcW w:w="1843" w:type="dxa"/>
          </w:tcPr>
          <w:p w14:paraId="5189FD51"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977 (56.9%)</w:t>
            </w:r>
          </w:p>
        </w:tc>
        <w:tc>
          <w:tcPr>
            <w:tcW w:w="1984" w:type="dxa"/>
          </w:tcPr>
          <w:p w14:paraId="35C7EBCF"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680 (51.6%)</w:t>
            </w:r>
          </w:p>
        </w:tc>
        <w:tc>
          <w:tcPr>
            <w:tcW w:w="1843" w:type="dxa"/>
          </w:tcPr>
          <w:p w14:paraId="51AE46CE"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543 (50.3%)</w:t>
            </w:r>
          </w:p>
        </w:tc>
        <w:tc>
          <w:tcPr>
            <w:tcW w:w="992" w:type="dxa"/>
          </w:tcPr>
          <w:p w14:paraId="25DF282D"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&lt;0.001</w:t>
            </w:r>
          </w:p>
        </w:tc>
      </w:tr>
      <w:tr w:rsidR="001B5937" w:rsidRPr="00F36E37" w14:paraId="4188166E" w14:textId="77777777" w:rsidTr="00CF04FA">
        <w:tc>
          <w:tcPr>
            <w:tcW w:w="3652" w:type="dxa"/>
            <w:tcBorders>
              <w:bottom w:val="single" w:sz="12" w:space="0" w:color="auto"/>
            </w:tcBorders>
          </w:tcPr>
          <w:p w14:paraId="2B2AE985" w14:textId="77777777" w:rsidR="001B5937" w:rsidRDefault="001B5937" w:rsidP="00CF04FA">
            <w:pPr>
              <w:spacing w:line="360" w:lineRule="auto"/>
              <w:jc w:val="both"/>
              <w:rPr>
                <w:rFonts w:ascii="Times New Roman" w:hAnsi="Times New Roman" w:cs="Times New Roman"/>
                <w:sz w:val="22"/>
                <w:szCs w:val="22"/>
              </w:rPr>
            </w:pPr>
            <w:r>
              <w:rPr>
                <w:sz w:val="22"/>
                <w:szCs w:val="22"/>
              </w:rPr>
              <w:t xml:space="preserve">Survival </w:t>
            </w:r>
            <w:r>
              <w:rPr>
                <w:rFonts w:ascii="Times New Roman" w:hAnsi="Times New Roman" w:cs="Times New Roman"/>
                <w:sz w:val="22"/>
                <w:szCs w:val="22"/>
              </w:rPr>
              <w:t>[m</w:t>
            </w:r>
            <w:r>
              <w:rPr>
                <w:sz w:val="22"/>
                <w:szCs w:val="22"/>
              </w:rPr>
              <w:t>onths,</w:t>
            </w:r>
            <w:r>
              <w:rPr>
                <w:rFonts w:ascii="Times New Roman" w:hAnsi="Times New Roman" w:cs="Times New Roman"/>
                <w:sz w:val="22"/>
                <w:szCs w:val="22"/>
              </w:rPr>
              <w:t xml:space="preserve"> (med</w:t>
            </w:r>
            <w:r>
              <w:rPr>
                <w:sz w:val="22"/>
                <w:szCs w:val="22"/>
              </w:rPr>
              <w:t>i</w:t>
            </w:r>
            <w:r>
              <w:rPr>
                <w:rFonts w:ascii="Times New Roman" w:hAnsi="Times New Roman" w:cs="Times New Roman"/>
                <w:sz w:val="22"/>
                <w:szCs w:val="22"/>
              </w:rPr>
              <w:t>an, 9</w:t>
            </w:r>
            <w:r>
              <w:rPr>
                <w:sz w:val="22"/>
                <w:szCs w:val="22"/>
              </w:rPr>
              <w:t>5%C.I.</w:t>
            </w:r>
            <w:r>
              <w:rPr>
                <w:rFonts w:ascii="Times New Roman" w:hAnsi="Times New Roman" w:cs="Times New Roman"/>
                <w:sz w:val="22"/>
                <w:szCs w:val="22"/>
              </w:rPr>
              <w:t>)]</w:t>
            </w:r>
          </w:p>
        </w:tc>
        <w:tc>
          <w:tcPr>
            <w:tcW w:w="1843" w:type="dxa"/>
            <w:tcBorders>
              <w:bottom w:val="single" w:sz="12" w:space="0" w:color="auto"/>
            </w:tcBorders>
          </w:tcPr>
          <w:p w14:paraId="284D691C"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42.2 (38.2 – 46.9)</w:t>
            </w:r>
          </w:p>
        </w:tc>
        <w:tc>
          <w:tcPr>
            <w:tcW w:w="1984" w:type="dxa"/>
            <w:tcBorders>
              <w:bottom w:val="single" w:sz="12" w:space="0" w:color="auto"/>
            </w:tcBorders>
          </w:tcPr>
          <w:p w14:paraId="3CC63030"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Pr>
                <w:sz w:val="22"/>
                <w:szCs w:val="22"/>
              </w:rPr>
              <w:t>8.3 (35.5 – 45.1)</w:t>
            </w:r>
          </w:p>
        </w:tc>
        <w:tc>
          <w:tcPr>
            <w:tcW w:w="1843" w:type="dxa"/>
            <w:tcBorders>
              <w:bottom w:val="single" w:sz="12" w:space="0" w:color="auto"/>
            </w:tcBorders>
          </w:tcPr>
          <w:p w14:paraId="1A337330"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35.2 (31.2 – 41.2)</w:t>
            </w:r>
          </w:p>
        </w:tc>
        <w:tc>
          <w:tcPr>
            <w:tcW w:w="992" w:type="dxa"/>
            <w:tcBorders>
              <w:bottom w:val="single" w:sz="12" w:space="0" w:color="auto"/>
            </w:tcBorders>
          </w:tcPr>
          <w:p w14:paraId="42D6B26F" w14:textId="77777777" w:rsidR="001B5937" w:rsidRPr="000A6D42" w:rsidRDefault="001B5937" w:rsidP="00CF04FA">
            <w:pPr>
              <w:spacing w:line="360" w:lineRule="auto"/>
              <w:jc w:val="center"/>
              <w:rPr>
                <w:rFonts w:ascii="Times New Roman" w:hAnsi="Times New Roman" w:cs="Times New Roman"/>
                <w:b/>
                <w:bCs/>
                <w:sz w:val="22"/>
                <w:szCs w:val="22"/>
              </w:rPr>
            </w:pPr>
            <w:r w:rsidRPr="000A6D42">
              <w:rPr>
                <w:rFonts w:ascii="Times New Roman" w:hAnsi="Times New Roman" w:cs="Times New Roman"/>
                <w:b/>
                <w:bCs/>
                <w:sz w:val="22"/>
                <w:szCs w:val="22"/>
              </w:rPr>
              <w:t>0.008</w:t>
            </w:r>
          </w:p>
        </w:tc>
      </w:tr>
    </w:tbl>
    <w:p w14:paraId="1CD14617" w14:textId="77777777" w:rsidR="001B5937" w:rsidRDefault="001B5937" w:rsidP="001B5937">
      <w:pPr>
        <w:spacing w:line="360" w:lineRule="auto"/>
        <w:jc w:val="both"/>
        <w:rPr>
          <w:rFonts w:hint="eastAsia"/>
          <w:sz w:val="20"/>
          <w:szCs w:val="20"/>
        </w:rPr>
      </w:pPr>
    </w:p>
    <w:p w14:paraId="237AA8D0" w14:textId="77777777" w:rsidR="001B5937" w:rsidRDefault="001B5937" w:rsidP="001B5937">
      <w:pPr>
        <w:spacing w:line="360" w:lineRule="auto"/>
        <w:jc w:val="both"/>
        <w:rPr>
          <w:rFonts w:hint="eastAsia"/>
          <w:sz w:val="20"/>
          <w:szCs w:val="20"/>
        </w:rPr>
      </w:pPr>
      <w:r w:rsidRPr="00067DB5">
        <w:rPr>
          <w:sz w:val="20"/>
          <w:szCs w:val="20"/>
        </w:rPr>
        <w:t xml:space="preserve">* </w:t>
      </w:r>
      <w:r w:rsidRPr="00067DB5">
        <w:rPr>
          <w:rFonts w:hint="eastAsia"/>
          <w:sz w:val="20"/>
          <w:szCs w:val="20"/>
        </w:rPr>
        <w:t>P</w:t>
      </w:r>
      <w:r w:rsidRPr="00067DB5">
        <w:rPr>
          <w:sz w:val="20"/>
          <w:szCs w:val="20"/>
        </w:rPr>
        <w:t>-value for linear trend</w:t>
      </w:r>
    </w:p>
    <w:p w14:paraId="33AAFFD7" w14:textId="77777777" w:rsidR="001B5937" w:rsidRDefault="001B5937" w:rsidP="001B5937">
      <w:pPr>
        <w:spacing w:line="360" w:lineRule="auto"/>
        <w:jc w:val="both"/>
        <w:rPr>
          <w:rStyle w:val="e24kjd"/>
          <w:rFonts w:ascii="Times New Roman" w:hAnsi="Times New Roman" w:cs="Times New Roman"/>
          <w:sz w:val="20"/>
          <w:szCs w:val="20"/>
        </w:rPr>
      </w:pPr>
      <w:r w:rsidRPr="00C07D9C">
        <w:rPr>
          <w:rStyle w:val="e24kjd"/>
          <w:rFonts w:ascii="Times New Roman" w:hAnsi="Times New Roman" w:cs="Times New Roman"/>
          <w:sz w:val="20"/>
          <w:szCs w:val="20"/>
        </w:rPr>
        <w:t>†</w:t>
      </w:r>
      <w:r>
        <w:rPr>
          <w:rStyle w:val="e24kjd"/>
          <w:rFonts w:ascii="Times New Roman" w:hAnsi="Times New Roman" w:cs="Times New Roman"/>
          <w:sz w:val="20"/>
          <w:szCs w:val="20"/>
        </w:rPr>
        <w:t xml:space="preserve"> </w:t>
      </w:r>
      <w:proofErr w:type="gramStart"/>
      <w:r>
        <w:rPr>
          <w:rStyle w:val="e24kjd"/>
          <w:rFonts w:ascii="Times New Roman" w:hAnsi="Times New Roman" w:cs="Times New Roman"/>
          <w:sz w:val="20"/>
          <w:szCs w:val="20"/>
        </w:rPr>
        <w:t>survival</w:t>
      </w:r>
      <w:proofErr w:type="gramEnd"/>
      <w:r>
        <w:rPr>
          <w:rStyle w:val="e24kjd"/>
          <w:rFonts w:ascii="Times New Roman" w:hAnsi="Times New Roman" w:cs="Times New Roman"/>
          <w:sz w:val="20"/>
          <w:szCs w:val="20"/>
        </w:rPr>
        <w:t xml:space="preserve"> was adjusted for lead-time bias for patients diagnosed through surveillance.</w:t>
      </w:r>
    </w:p>
    <w:p w14:paraId="4225B17F" w14:textId="77777777" w:rsidR="001B5937" w:rsidRDefault="001B5937" w:rsidP="001B5937">
      <w:pPr>
        <w:jc w:val="both"/>
        <w:rPr>
          <w:rFonts w:ascii="Times New Roman" w:hAnsi="Times New Roman" w:cs="Times New Roman"/>
          <w:sz w:val="20"/>
          <w:szCs w:val="20"/>
        </w:rPr>
      </w:pPr>
      <w:r>
        <w:rPr>
          <w:rFonts w:ascii="Times New Roman" w:hAnsi="Times New Roman" w:cs="Times New Roman"/>
          <w:sz w:val="20"/>
          <w:szCs w:val="20"/>
        </w:rPr>
        <w:t xml:space="preserve">Abbreviations: ECOG = </w:t>
      </w:r>
      <w:r w:rsidRPr="00DB7CAA">
        <w:rPr>
          <w:rFonts w:ascii="Times New Roman" w:hAnsi="Times New Roman" w:cs="Times New Roman" w:hint="eastAsia"/>
          <w:sz w:val="20"/>
          <w:szCs w:val="20"/>
        </w:rPr>
        <w:t>Eastern Cooperative Oncology Group</w:t>
      </w:r>
      <w:r>
        <w:rPr>
          <w:rFonts w:ascii="Times New Roman" w:hAnsi="Times New Roman" w:cs="Times New Roman"/>
          <w:sz w:val="20"/>
          <w:szCs w:val="20"/>
        </w:rPr>
        <w:t>; MaVI = macroscopic (neoplastic) vascular invasion.</w:t>
      </w:r>
    </w:p>
    <w:p w14:paraId="3B173F89" w14:textId="77777777" w:rsidR="001B5937" w:rsidRDefault="001B5937" w:rsidP="001B5937">
      <w:pPr>
        <w:spacing w:line="360" w:lineRule="auto"/>
        <w:jc w:val="both"/>
        <w:rPr>
          <w:rFonts w:hint="eastAsia"/>
          <w:sz w:val="20"/>
          <w:szCs w:val="20"/>
        </w:rPr>
      </w:pPr>
    </w:p>
    <w:p w14:paraId="05ED41EA" w14:textId="77777777" w:rsidR="001B5937" w:rsidRDefault="001B5937" w:rsidP="001B5937">
      <w:pPr>
        <w:rPr>
          <w:rFonts w:hint="eastAsia"/>
          <w:b/>
          <w:bCs/>
        </w:rPr>
      </w:pPr>
      <w:r>
        <w:rPr>
          <w:rFonts w:hint="eastAsia"/>
          <w:b/>
          <w:bCs/>
        </w:rPr>
        <w:br w:type="page"/>
      </w:r>
    </w:p>
    <w:p w14:paraId="7A066AFF" w14:textId="77777777" w:rsidR="001B5937" w:rsidRPr="00C07D9C" w:rsidRDefault="001B5937" w:rsidP="001B5937">
      <w:pPr>
        <w:ind w:right="-284"/>
        <w:jc w:val="both"/>
        <w:rPr>
          <w:rFonts w:ascii="Times New Roman" w:hAnsi="Times New Roman" w:cs="Times New Roman"/>
        </w:rPr>
      </w:pPr>
      <w:r w:rsidRPr="00C07D9C">
        <w:rPr>
          <w:rFonts w:ascii="Times New Roman" w:hAnsi="Times New Roman" w:cs="Times New Roman"/>
          <w:b/>
          <w:bCs/>
        </w:rPr>
        <w:lastRenderedPageBreak/>
        <w:t>Table 3.</w:t>
      </w:r>
      <w:r w:rsidRPr="00C07D9C">
        <w:rPr>
          <w:rFonts w:ascii="Times New Roman" w:hAnsi="Times New Roman" w:cs="Times New Roman"/>
        </w:rPr>
        <w:t xml:space="preserve"> </w:t>
      </w:r>
      <w:r>
        <w:rPr>
          <w:rFonts w:ascii="Times New Roman" w:hAnsi="Times New Roman" w:cs="Times New Roman"/>
        </w:rPr>
        <w:t xml:space="preserve">Probability (relative risk) </w:t>
      </w:r>
      <w:r w:rsidRPr="00C07D9C">
        <w:rPr>
          <w:rFonts w:ascii="Times New Roman" w:hAnsi="Times New Roman" w:cs="Times New Roman"/>
        </w:rPr>
        <w:t>of receiv</w:t>
      </w:r>
      <w:r>
        <w:rPr>
          <w:rFonts w:ascii="Times New Roman" w:hAnsi="Times New Roman" w:cs="Times New Roman"/>
        </w:rPr>
        <w:t>ing</w:t>
      </w:r>
      <w:r w:rsidRPr="00C07D9C">
        <w:rPr>
          <w:rFonts w:ascii="Times New Roman" w:hAnsi="Times New Roman" w:cs="Times New Roman"/>
        </w:rPr>
        <w:t xml:space="preserve"> </w:t>
      </w:r>
      <w:r>
        <w:rPr>
          <w:rFonts w:ascii="Times New Roman" w:hAnsi="Times New Roman" w:cs="Times New Roman"/>
        </w:rPr>
        <w:t xml:space="preserve">potentially curative treatments for HCC in </w:t>
      </w:r>
      <w:r w:rsidRPr="00C07D9C">
        <w:rPr>
          <w:rFonts w:ascii="Times New Roman" w:hAnsi="Times New Roman" w:cs="Times New Roman"/>
        </w:rPr>
        <w:t>different material deprivation regions according to patients’ characteristics.</w:t>
      </w:r>
    </w:p>
    <w:p w14:paraId="6343B34B" w14:textId="77777777" w:rsidR="001B5937" w:rsidRPr="00C07D9C" w:rsidRDefault="001B5937" w:rsidP="001B5937">
      <w:pPr>
        <w:spacing w:line="360" w:lineRule="auto"/>
        <w:ind w:right="-285"/>
        <w:jc w:val="both"/>
        <w:rPr>
          <w:rFonts w:ascii="Times New Roman" w:hAnsi="Times New Roman" w:cs="Times New Roman"/>
        </w:rPr>
      </w:pPr>
    </w:p>
    <w:tbl>
      <w:tblPr>
        <w:tblStyle w:val="TableGrid"/>
        <w:tblW w:w="51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1867"/>
        <w:gridCol w:w="2258"/>
        <w:gridCol w:w="2082"/>
      </w:tblGrid>
      <w:tr w:rsidR="001B5937" w:rsidRPr="00C07D9C" w14:paraId="16540AB0" w14:textId="77777777" w:rsidTr="00CF04FA">
        <w:tc>
          <w:tcPr>
            <w:tcW w:w="1649" w:type="pct"/>
            <w:tcBorders>
              <w:top w:val="single" w:sz="12" w:space="0" w:color="auto"/>
            </w:tcBorders>
          </w:tcPr>
          <w:p w14:paraId="37422B6C" w14:textId="77777777" w:rsidR="001B5937" w:rsidRPr="00C07D9C" w:rsidRDefault="001B5937" w:rsidP="00CF04FA">
            <w:pPr>
              <w:spacing w:line="360" w:lineRule="auto"/>
              <w:jc w:val="both"/>
              <w:rPr>
                <w:rFonts w:ascii="Times New Roman" w:hAnsi="Times New Roman" w:cs="Times New Roman"/>
                <w:sz w:val="22"/>
                <w:szCs w:val="22"/>
              </w:rPr>
            </w:pPr>
          </w:p>
        </w:tc>
        <w:tc>
          <w:tcPr>
            <w:tcW w:w="3351" w:type="pct"/>
            <w:gridSpan w:val="3"/>
            <w:tcBorders>
              <w:top w:val="single" w:sz="12" w:space="0" w:color="auto"/>
              <w:bottom w:val="single" w:sz="12" w:space="0" w:color="auto"/>
            </w:tcBorders>
          </w:tcPr>
          <w:p w14:paraId="0088ACA6" w14:textId="77777777" w:rsidR="001B5937" w:rsidRPr="00C07D9C" w:rsidRDefault="001B5937" w:rsidP="00CF04FA">
            <w:pPr>
              <w:spacing w:line="360" w:lineRule="auto"/>
              <w:jc w:val="center"/>
              <w:rPr>
                <w:rFonts w:ascii="Times New Roman" w:hAnsi="Times New Roman" w:cs="Times New Roman"/>
                <w:sz w:val="22"/>
                <w:szCs w:val="22"/>
              </w:rPr>
            </w:pPr>
            <w:r w:rsidRPr="00C07D9C">
              <w:rPr>
                <w:rFonts w:ascii="Times New Roman" w:hAnsi="Times New Roman" w:cs="Times New Roman"/>
                <w:sz w:val="22"/>
                <w:szCs w:val="22"/>
              </w:rPr>
              <w:t>Region of patients</w:t>
            </w:r>
          </w:p>
        </w:tc>
      </w:tr>
      <w:tr w:rsidR="001B5937" w:rsidRPr="00C07D9C" w14:paraId="4A8DF678" w14:textId="77777777" w:rsidTr="00CF04FA">
        <w:tc>
          <w:tcPr>
            <w:tcW w:w="1649" w:type="pct"/>
            <w:tcBorders>
              <w:bottom w:val="single" w:sz="12" w:space="0" w:color="auto"/>
            </w:tcBorders>
          </w:tcPr>
          <w:p w14:paraId="312AC620" w14:textId="77777777" w:rsidR="001B5937" w:rsidRDefault="001B5937" w:rsidP="00CF04FA">
            <w:pPr>
              <w:jc w:val="both"/>
              <w:rPr>
                <w:rFonts w:ascii="Times New Roman" w:hAnsi="Times New Roman" w:cs="Times New Roman"/>
                <w:sz w:val="22"/>
                <w:szCs w:val="22"/>
              </w:rPr>
            </w:pPr>
          </w:p>
          <w:p w14:paraId="50FF83D7" w14:textId="77777777" w:rsidR="001B5937" w:rsidRPr="00C07D9C" w:rsidRDefault="001B5937" w:rsidP="00CF04FA">
            <w:pPr>
              <w:jc w:val="both"/>
              <w:rPr>
                <w:rFonts w:ascii="Times New Roman" w:hAnsi="Times New Roman" w:cs="Times New Roman"/>
                <w:sz w:val="22"/>
                <w:szCs w:val="22"/>
              </w:rPr>
            </w:pPr>
            <w:r>
              <w:rPr>
                <w:rFonts w:ascii="Times New Roman" w:hAnsi="Times New Roman" w:cs="Times New Roman"/>
                <w:sz w:val="22"/>
                <w:szCs w:val="22"/>
              </w:rPr>
              <w:t>Variables</w:t>
            </w:r>
          </w:p>
        </w:tc>
        <w:tc>
          <w:tcPr>
            <w:tcW w:w="1008" w:type="pct"/>
            <w:tcBorders>
              <w:top w:val="single" w:sz="12" w:space="0" w:color="auto"/>
              <w:bottom w:val="single" w:sz="12" w:space="0" w:color="auto"/>
            </w:tcBorders>
          </w:tcPr>
          <w:p w14:paraId="7571B8DD" w14:textId="77777777" w:rsidR="001B5937" w:rsidRPr="00C07D9C" w:rsidRDefault="001B5937" w:rsidP="00CF04FA">
            <w:pPr>
              <w:jc w:val="center"/>
              <w:rPr>
                <w:rFonts w:ascii="Times New Roman" w:hAnsi="Times New Roman" w:cs="Times New Roman"/>
                <w:sz w:val="22"/>
                <w:szCs w:val="22"/>
              </w:rPr>
            </w:pPr>
            <w:r w:rsidRPr="00C07D9C">
              <w:rPr>
                <w:rFonts w:ascii="Times New Roman" w:hAnsi="Times New Roman" w:cs="Times New Roman"/>
                <w:sz w:val="22"/>
                <w:szCs w:val="22"/>
              </w:rPr>
              <w:t>Least deprived (n=1350)</w:t>
            </w:r>
          </w:p>
        </w:tc>
        <w:tc>
          <w:tcPr>
            <w:tcW w:w="1219" w:type="pct"/>
            <w:tcBorders>
              <w:top w:val="single" w:sz="12" w:space="0" w:color="auto"/>
              <w:bottom w:val="single" w:sz="12" w:space="0" w:color="auto"/>
            </w:tcBorders>
          </w:tcPr>
          <w:p w14:paraId="26CDF212" w14:textId="77777777" w:rsidR="001B5937" w:rsidRPr="00C07D9C" w:rsidRDefault="001B5937" w:rsidP="00CF04FA">
            <w:pPr>
              <w:jc w:val="center"/>
              <w:rPr>
                <w:rFonts w:ascii="Times New Roman" w:hAnsi="Times New Roman" w:cs="Times New Roman"/>
                <w:sz w:val="22"/>
                <w:szCs w:val="22"/>
              </w:rPr>
            </w:pPr>
            <w:r w:rsidRPr="00C07D9C">
              <w:rPr>
                <w:rFonts w:ascii="Times New Roman" w:hAnsi="Times New Roman" w:cs="Times New Roman"/>
                <w:sz w:val="22"/>
                <w:szCs w:val="22"/>
              </w:rPr>
              <w:t>Intermediate Deprived (n=1127)</w:t>
            </w:r>
          </w:p>
        </w:tc>
        <w:tc>
          <w:tcPr>
            <w:tcW w:w="1124" w:type="pct"/>
            <w:tcBorders>
              <w:top w:val="single" w:sz="12" w:space="0" w:color="auto"/>
              <w:bottom w:val="single" w:sz="12" w:space="0" w:color="auto"/>
            </w:tcBorders>
          </w:tcPr>
          <w:p w14:paraId="45CC52B6" w14:textId="77777777" w:rsidR="001B5937" w:rsidRPr="00C07D9C" w:rsidRDefault="001B5937" w:rsidP="00CF04FA">
            <w:pPr>
              <w:spacing w:after="120"/>
              <w:jc w:val="center"/>
              <w:rPr>
                <w:rFonts w:ascii="Times New Roman" w:hAnsi="Times New Roman" w:cs="Times New Roman"/>
                <w:sz w:val="22"/>
                <w:szCs w:val="22"/>
              </w:rPr>
            </w:pPr>
            <w:r w:rsidRPr="00C07D9C">
              <w:rPr>
                <w:rFonts w:ascii="Times New Roman" w:hAnsi="Times New Roman" w:cs="Times New Roman"/>
                <w:sz w:val="22"/>
                <w:szCs w:val="22"/>
              </w:rPr>
              <w:t>Most Deprived (n=1785)</w:t>
            </w:r>
          </w:p>
        </w:tc>
      </w:tr>
      <w:tr w:rsidR="001B5937" w:rsidRPr="00C07D9C" w14:paraId="0ECBFE12" w14:textId="77777777" w:rsidTr="00CF04FA">
        <w:tc>
          <w:tcPr>
            <w:tcW w:w="1649" w:type="pct"/>
          </w:tcPr>
          <w:p w14:paraId="43353814" w14:textId="77777777" w:rsidR="001B5937" w:rsidRPr="00C07D9C" w:rsidRDefault="001B5937" w:rsidP="00CF04FA">
            <w:pPr>
              <w:spacing w:before="120" w:line="360" w:lineRule="auto"/>
              <w:jc w:val="both"/>
              <w:rPr>
                <w:rFonts w:ascii="Times New Roman" w:hAnsi="Times New Roman" w:cs="Times New Roman"/>
                <w:sz w:val="22"/>
                <w:szCs w:val="22"/>
              </w:rPr>
            </w:pPr>
            <w:r w:rsidRPr="00C07D9C">
              <w:rPr>
                <w:rFonts w:ascii="Times New Roman" w:hAnsi="Times New Roman" w:cs="Times New Roman"/>
                <w:sz w:val="22"/>
                <w:szCs w:val="22"/>
              </w:rPr>
              <w:t xml:space="preserve">Age </w:t>
            </w:r>
            <w:r>
              <w:rPr>
                <w:rFonts w:ascii="Times New Roman" w:hAnsi="Times New Roman" w:cs="Times New Roman"/>
                <w:sz w:val="22"/>
                <w:szCs w:val="22"/>
              </w:rPr>
              <w:t xml:space="preserve">≤ </w:t>
            </w:r>
            <w:r w:rsidRPr="00C07D9C">
              <w:rPr>
                <w:rFonts w:ascii="Times New Roman" w:hAnsi="Times New Roman" w:cs="Times New Roman"/>
                <w:sz w:val="22"/>
                <w:szCs w:val="22"/>
              </w:rPr>
              <w:t>65 years</w:t>
            </w:r>
          </w:p>
        </w:tc>
        <w:tc>
          <w:tcPr>
            <w:tcW w:w="1008" w:type="pct"/>
          </w:tcPr>
          <w:p w14:paraId="6BB532FA"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0</w:t>
            </w:r>
            <w:r>
              <w:rPr>
                <w:sz w:val="22"/>
                <w:szCs w:val="22"/>
              </w:rPr>
              <w:t>.93</w:t>
            </w:r>
            <w:r>
              <w:rPr>
                <w:rFonts w:ascii="Times New Roman" w:hAnsi="Times New Roman" w:cs="Times New Roman"/>
                <w:sz w:val="22"/>
                <w:szCs w:val="22"/>
              </w:rPr>
              <w:t xml:space="preserve"> (0</w:t>
            </w:r>
            <w:r>
              <w:rPr>
                <w:sz w:val="22"/>
                <w:szCs w:val="22"/>
              </w:rPr>
              <w:t>.83</w:t>
            </w:r>
            <w:r>
              <w:rPr>
                <w:rFonts w:ascii="Times New Roman" w:hAnsi="Times New Roman" w:cs="Times New Roman"/>
                <w:sz w:val="22"/>
                <w:szCs w:val="22"/>
              </w:rPr>
              <w:t xml:space="preserve"> – 1.0</w:t>
            </w:r>
            <w:r>
              <w:rPr>
                <w:sz w:val="22"/>
                <w:szCs w:val="22"/>
              </w:rPr>
              <w:t>4</w:t>
            </w:r>
            <w:r>
              <w:rPr>
                <w:rFonts w:ascii="Times New Roman" w:hAnsi="Times New Roman" w:cs="Times New Roman"/>
                <w:sz w:val="22"/>
                <w:szCs w:val="22"/>
              </w:rPr>
              <w:t>)</w:t>
            </w:r>
          </w:p>
        </w:tc>
        <w:tc>
          <w:tcPr>
            <w:tcW w:w="1219" w:type="pct"/>
          </w:tcPr>
          <w:p w14:paraId="21718740"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0</w:t>
            </w:r>
            <w:r>
              <w:rPr>
                <w:sz w:val="22"/>
                <w:szCs w:val="22"/>
              </w:rPr>
              <w:t>.95</w:t>
            </w:r>
            <w:r>
              <w:rPr>
                <w:rFonts w:ascii="Times New Roman" w:hAnsi="Times New Roman" w:cs="Times New Roman"/>
                <w:sz w:val="22"/>
                <w:szCs w:val="22"/>
              </w:rPr>
              <w:t xml:space="preserve"> (0</w:t>
            </w:r>
            <w:r>
              <w:rPr>
                <w:sz w:val="22"/>
                <w:szCs w:val="22"/>
              </w:rPr>
              <w:t>.85 – 1.09</w:t>
            </w:r>
            <w:r>
              <w:rPr>
                <w:rFonts w:ascii="Times New Roman" w:hAnsi="Times New Roman" w:cs="Times New Roman"/>
                <w:sz w:val="22"/>
                <w:szCs w:val="22"/>
              </w:rPr>
              <w:t>)</w:t>
            </w:r>
          </w:p>
        </w:tc>
        <w:tc>
          <w:tcPr>
            <w:tcW w:w="1124" w:type="pct"/>
          </w:tcPr>
          <w:p w14:paraId="1B5E616B"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0</w:t>
            </w:r>
            <w:r>
              <w:rPr>
                <w:sz w:val="22"/>
                <w:szCs w:val="22"/>
              </w:rPr>
              <w:t>.99</w:t>
            </w:r>
            <w:r>
              <w:rPr>
                <w:rFonts w:ascii="Times New Roman" w:hAnsi="Times New Roman" w:cs="Times New Roman"/>
                <w:sz w:val="22"/>
                <w:szCs w:val="22"/>
              </w:rPr>
              <w:t xml:space="preserve"> (0.98 – 1.01)</w:t>
            </w:r>
          </w:p>
        </w:tc>
      </w:tr>
      <w:tr w:rsidR="001B5937" w:rsidRPr="00C07D9C" w14:paraId="3FFA7F73" w14:textId="77777777" w:rsidTr="00CF04FA">
        <w:tc>
          <w:tcPr>
            <w:tcW w:w="1649" w:type="pct"/>
          </w:tcPr>
          <w:p w14:paraId="42DEB4DB" w14:textId="77777777" w:rsidR="001B5937" w:rsidRPr="00C07D9C" w:rsidRDefault="001B5937" w:rsidP="00CF04FA">
            <w:pPr>
              <w:spacing w:line="360" w:lineRule="auto"/>
              <w:jc w:val="both"/>
              <w:rPr>
                <w:rFonts w:ascii="Times New Roman" w:hAnsi="Times New Roman" w:cs="Times New Roman"/>
                <w:sz w:val="22"/>
                <w:szCs w:val="22"/>
              </w:rPr>
            </w:pPr>
            <w:r w:rsidRPr="002A3866">
              <w:rPr>
                <w:rFonts w:ascii="Times New Roman" w:hAnsi="Times New Roman" w:cs="Times New Roman"/>
                <w:sz w:val="22"/>
                <w:szCs w:val="22"/>
              </w:rPr>
              <w:t>F</w:t>
            </w:r>
            <w:r w:rsidRPr="002A3866">
              <w:rPr>
                <w:sz w:val="22"/>
                <w:szCs w:val="22"/>
              </w:rPr>
              <w:t>emale</w:t>
            </w:r>
            <w:r w:rsidRPr="00C07D9C">
              <w:rPr>
                <w:rFonts w:ascii="Times New Roman" w:hAnsi="Times New Roman" w:cs="Times New Roman"/>
                <w:sz w:val="22"/>
                <w:szCs w:val="22"/>
              </w:rPr>
              <w:t xml:space="preserve"> </w:t>
            </w:r>
          </w:p>
        </w:tc>
        <w:tc>
          <w:tcPr>
            <w:tcW w:w="1008" w:type="pct"/>
          </w:tcPr>
          <w:p w14:paraId="74CD17DD"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Pr>
                <w:sz w:val="22"/>
                <w:szCs w:val="22"/>
              </w:rPr>
              <w:t>.25</w:t>
            </w:r>
            <w:r>
              <w:rPr>
                <w:rFonts w:ascii="Times New Roman" w:hAnsi="Times New Roman" w:cs="Times New Roman"/>
                <w:sz w:val="22"/>
                <w:szCs w:val="22"/>
              </w:rPr>
              <w:t xml:space="preserve"> (1.1</w:t>
            </w:r>
            <w:r>
              <w:rPr>
                <w:sz w:val="22"/>
                <w:szCs w:val="22"/>
              </w:rPr>
              <w:t>4</w:t>
            </w:r>
            <w:r>
              <w:rPr>
                <w:rFonts w:ascii="Times New Roman" w:hAnsi="Times New Roman" w:cs="Times New Roman"/>
                <w:sz w:val="22"/>
                <w:szCs w:val="22"/>
              </w:rPr>
              <w:t xml:space="preserve"> – 1.3</w:t>
            </w:r>
            <w:r>
              <w:rPr>
                <w:sz w:val="22"/>
                <w:szCs w:val="22"/>
              </w:rPr>
              <w:t>9</w:t>
            </w:r>
            <w:r>
              <w:rPr>
                <w:rFonts w:ascii="Times New Roman" w:hAnsi="Times New Roman" w:cs="Times New Roman"/>
                <w:sz w:val="22"/>
                <w:szCs w:val="22"/>
              </w:rPr>
              <w:t>) *</w:t>
            </w:r>
          </w:p>
        </w:tc>
        <w:tc>
          <w:tcPr>
            <w:tcW w:w="1219" w:type="pct"/>
          </w:tcPr>
          <w:p w14:paraId="7B195F1C"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Pr>
                <w:sz w:val="22"/>
                <w:szCs w:val="22"/>
              </w:rPr>
              <w:t>.22</w:t>
            </w:r>
            <w:r>
              <w:rPr>
                <w:rFonts w:ascii="Times New Roman" w:hAnsi="Times New Roman" w:cs="Times New Roman"/>
                <w:sz w:val="22"/>
                <w:szCs w:val="22"/>
              </w:rPr>
              <w:t xml:space="preserve"> (1.1</w:t>
            </w:r>
            <w:r>
              <w:rPr>
                <w:sz w:val="22"/>
                <w:szCs w:val="22"/>
              </w:rPr>
              <w:t>0</w:t>
            </w:r>
            <w:r>
              <w:rPr>
                <w:rFonts w:ascii="Times New Roman" w:hAnsi="Times New Roman" w:cs="Times New Roman"/>
                <w:sz w:val="22"/>
                <w:szCs w:val="22"/>
              </w:rPr>
              <w:t xml:space="preserve"> – 1.3</w:t>
            </w:r>
            <w:r>
              <w:rPr>
                <w:sz w:val="22"/>
                <w:szCs w:val="22"/>
              </w:rPr>
              <w:t>7</w:t>
            </w:r>
            <w:r>
              <w:rPr>
                <w:rFonts w:ascii="Times New Roman" w:hAnsi="Times New Roman" w:cs="Times New Roman"/>
                <w:sz w:val="22"/>
                <w:szCs w:val="22"/>
              </w:rPr>
              <w:t>) *</w:t>
            </w:r>
          </w:p>
        </w:tc>
        <w:tc>
          <w:tcPr>
            <w:tcW w:w="1124" w:type="pct"/>
          </w:tcPr>
          <w:p w14:paraId="1762AFAF"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Pr>
                <w:sz w:val="22"/>
                <w:szCs w:val="22"/>
              </w:rPr>
              <w:t>9</w:t>
            </w:r>
            <w:r>
              <w:rPr>
                <w:rFonts w:ascii="Times New Roman" w:hAnsi="Times New Roman" w:cs="Times New Roman"/>
                <w:sz w:val="22"/>
                <w:szCs w:val="22"/>
              </w:rPr>
              <w:t xml:space="preserve"> (1.0</w:t>
            </w:r>
            <w:r>
              <w:rPr>
                <w:sz w:val="22"/>
                <w:szCs w:val="22"/>
              </w:rPr>
              <w:t>3</w:t>
            </w:r>
            <w:r>
              <w:rPr>
                <w:rFonts w:ascii="Times New Roman" w:hAnsi="Times New Roman" w:cs="Times New Roman"/>
                <w:sz w:val="22"/>
                <w:szCs w:val="22"/>
              </w:rPr>
              <w:t xml:space="preserve"> – 1.1</w:t>
            </w:r>
            <w:r>
              <w:rPr>
                <w:sz w:val="22"/>
                <w:szCs w:val="22"/>
              </w:rPr>
              <w:t>5</w:t>
            </w:r>
            <w:r>
              <w:rPr>
                <w:rFonts w:ascii="Times New Roman" w:hAnsi="Times New Roman" w:cs="Times New Roman"/>
                <w:sz w:val="22"/>
                <w:szCs w:val="22"/>
              </w:rPr>
              <w:t xml:space="preserve">) </w:t>
            </w:r>
            <w:r w:rsidRPr="007954D3">
              <w:rPr>
                <w:rStyle w:val="e24kjd"/>
                <w:rFonts w:ascii="Times New Roman" w:hAnsi="Times New Roman" w:cs="Times New Roman"/>
                <w:sz w:val="22"/>
                <w:szCs w:val="22"/>
              </w:rPr>
              <w:t>†</w:t>
            </w:r>
          </w:p>
        </w:tc>
      </w:tr>
      <w:tr w:rsidR="001B5937" w:rsidRPr="00C07D9C" w14:paraId="20F1F5CA" w14:textId="77777777" w:rsidTr="00CF04FA">
        <w:tc>
          <w:tcPr>
            <w:tcW w:w="1649" w:type="pct"/>
          </w:tcPr>
          <w:p w14:paraId="07F8456F"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Viral hepatitis </w:t>
            </w:r>
          </w:p>
        </w:tc>
        <w:tc>
          <w:tcPr>
            <w:tcW w:w="1008" w:type="pct"/>
          </w:tcPr>
          <w:p w14:paraId="5A8C60F4"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1.51 (1.35 – 1.70) *</w:t>
            </w:r>
          </w:p>
        </w:tc>
        <w:tc>
          <w:tcPr>
            <w:tcW w:w="1219" w:type="pct"/>
          </w:tcPr>
          <w:p w14:paraId="5670623B"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1.67 (1.45 – 1.92) *</w:t>
            </w:r>
          </w:p>
        </w:tc>
        <w:tc>
          <w:tcPr>
            <w:tcW w:w="1124" w:type="pct"/>
          </w:tcPr>
          <w:p w14:paraId="3075595C"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1.38 (1.25 – 1.53) *</w:t>
            </w:r>
          </w:p>
        </w:tc>
      </w:tr>
      <w:tr w:rsidR="001B5937" w:rsidRPr="00C07D9C" w14:paraId="7B0B5F1E" w14:textId="77777777" w:rsidTr="00CF04FA">
        <w:tc>
          <w:tcPr>
            <w:tcW w:w="1649" w:type="pct"/>
          </w:tcPr>
          <w:p w14:paraId="7D6F1847"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 xml:space="preserve">MELD </w:t>
            </w:r>
            <w:r>
              <w:rPr>
                <w:rFonts w:ascii="Times New Roman" w:hAnsi="Times New Roman" w:cs="Times New Roman"/>
                <w:sz w:val="22"/>
                <w:szCs w:val="22"/>
              </w:rPr>
              <w:t>≤</w:t>
            </w:r>
            <w:r w:rsidRPr="00C07D9C">
              <w:rPr>
                <w:rFonts w:ascii="Times New Roman" w:hAnsi="Times New Roman" w:cs="Times New Roman"/>
                <w:sz w:val="22"/>
                <w:szCs w:val="22"/>
              </w:rPr>
              <w:t xml:space="preserve"> 10</w:t>
            </w:r>
          </w:p>
        </w:tc>
        <w:tc>
          <w:tcPr>
            <w:tcW w:w="1008" w:type="pct"/>
          </w:tcPr>
          <w:p w14:paraId="2A034A17"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Pr>
                <w:sz w:val="22"/>
                <w:szCs w:val="22"/>
              </w:rPr>
              <w:t>.15</w:t>
            </w:r>
            <w:r>
              <w:rPr>
                <w:rFonts w:ascii="Times New Roman" w:hAnsi="Times New Roman" w:cs="Times New Roman"/>
                <w:sz w:val="22"/>
                <w:szCs w:val="22"/>
              </w:rPr>
              <w:t xml:space="preserve"> (1.0</w:t>
            </w:r>
            <w:r>
              <w:rPr>
                <w:sz w:val="22"/>
                <w:szCs w:val="22"/>
              </w:rPr>
              <w:t>3</w:t>
            </w:r>
            <w:r>
              <w:rPr>
                <w:rFonts w:ascii="Times New Roman" w:hAnsi="Times New Roman" w:cs="Times New Roman"/>
                <w:sz w:val="22"/>
                <w:szCs w:val="22"/>
              </w:rPr>
              <w:t xml:space="preserve"> – 1.2</w:t>
            </w:r>
            <w:r>
              <w:rPr>
                <w:sz w:val="22"/>
                <w:szCs w:val="22"/>
              </w:rPr>
              <w:t>8</w:t>
            </w:r>
            <w:r>
              <w:rPr>
                <w:rFonts w:ascii="Times New Roman" w:hAnsi="Times New Roman" w:cs="Times New Roman"/>
                <w:sz w:val="22"/>
                <w:szCs w:val="22"/>
              </w:rPr>
              <w:t xml:space="preserve">) </w:t>
            </w:r>
            <w:r w:rsidRPr="007954D3">
              <w:rPr>
                <w:rStyle w:val="e24kjd"/>
                <w:rFonts w:ascii="Times New Roman" w:hAnsi="Times New Roman" w:cs="Times New Roman"/>
                <w:sz w:val="22"/>
                <w:szCs w:val="22"/>
              </w:rPr>
              <w:t>†</w:t>
            </w:r>
          </w:p>
        </w:tc>
        <w:tc>
          <w:tcPr>
            <w:tcW w:w="1219" w:type="pct"/>
          </w:tcPr>
          <w:p w14:paraId="5B3E1637"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1.2</w:t>
            </w:r>
            <w:r>
              <w:rPr>
                <w:sz w:val="22"/>
                <w:szCs w:val="22"/>
              </w:rPr>
              <w:t>2</w:t>
            </w:r>
            <w:r>
              <w:rPr>
                <w:rFonts w:ascii="Times New Roman" w:hAnsi="Times New Roman" w:cs="Times New Roman"/>
                <w:sz w:val="22"/>
                <w:szCs w:val="22"/>
              </w:rPr>
              <w:t xml:space="preserve"> (1.0</w:t>
            </w:r>
            <w:r>
              <w:rPr>
                <w:sz w:val="22"/>
                <w:szCs w:val="22"/>
              </w:rPr>
              <w:t>9</w:t>
            </w:r>
            <w:r>
              <w:rPr>
                <w:rFonts w:ascii="Times New Roman" w:hAnsi="Times New Roman" w:cs="Times New Roman"/>
                <w:sz w:val="22"/>
                <w:szCs w:val="22"/>
              </w:rPr>
              <w:t xml:space="preserve"> – 1.3</w:t>
            </w:r>
            <w:r>
              <w:rPr>
                <w:sz w:val="22"/>
                <w:szCs w:val="22"/>
              </w:rPr>
              <w:t>9</w:t>
            </w:r>
            <w:r>
              <w:rPr>
                <w:rFonts w:ascii="Times New Roman" w:hAnsi="Times New Roman" w:cs="Times New Roman"/>
                <w:sz w:val="22"/>
                <w:szCs w:val="22"/>
              </w:rPr>
              <w:t xml:space="preserve">) </w:t>
            </w:r>
            <w:r w:rsidRPr="007954D3">
              <w:rPr>
                <w:rStyle w:val="e24kjd"/>
                <w:rFonts w:ascii="Times New Roman" w:hAnsi="Times New Roman" w:cs="Times New Roman"/>
                <w:sz w:val="22"/>
                <w:szCs w:val="22"/>
              </w:rPr>
              <w:t>†</w:t>
            </w:r>
          </w:p>
        </w:tc>
        <w:tc>
          <w:tcPr>
            <w:tcW w:w="1124" w:type="pct"/>
          </w:tcPr>
          <w:p w14:paraId="77E72F38"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1.1</w:t>
            </w:r>
            <w:r>
              <w:rPr>
                <w:sz w:val="22"/>
                <w:szCs w:val="22"/>
              </w:rPr>
              <w:t>1</w:t>
            </w:r>
            <w:r>
              <w:rPr>
                <w:rFonts w:ascii="Times New Roman" w:hAnsi="Times New Roman" w:cs="Times New Roman"/>
                <w:sz w:val="22"/>
                <w:szCs w:val="22"/>
              </w:rPr>
              <w:t xml:space="preserve"> (1.0</w:t>
            </w:r>
            <w:r>
              <w:rPr>
                <w:sz w:val="22"/>
                <w:szCs w:val="22"/>
              </w:rPr>
              <w:t>2</w:t>
            </w:r>
            <w:r>
              <w:rPr>
                <w:rFonts w:ascii="Times New Roman" w:hAnsi="Times New Roman" w:cs="Times New Roman"/>
                <w:sz w:val="22"/>
                <w:szCs w:val="22"/>
              </w:rPr>
              <w:t xml:space="preserve"> – 1.2</w:t>
            </w:r>
            <w:r>
              <w:rPr>
                <w:sz w:val="22"/>
                <w:szCs w:val="22"/>
              </w:rPr>
              <w:t>0</w:t>
            </w:r>
            <w:r>
              <w:rPr>
                <w:rFonts w:ascii="Times New Roman" w:hAnsi="Times New Roman" w:cs="Times New Roman"/>
                <w:sz w:val="22"/>
                <w:szCs w:val="22"/>
              </w:rPr>
              <w:t xml:space="preserve">) </w:t>
            </w:r>
            <w:r w:rsidRPr="007954D3">
              <w:rPr>
                <w:rStyle w:val="e24kjd"/>
                <w:rFonts w:ascii="Times New Roman" w:hAnsi="Times New Roman" w:cs="Times New Roman"/>
                <w:sz w:val="22"/>
                <w:szCs w:val="22"/>
              </w:rPr>
              <w:t>†</w:t>
            </w:r>
          </w:p>
        </w:tc>
      </w:tr>
      <w:tr w:rsidR="001B5937" w:rsidRPr="00C07D9C" w14:paraId="45E6CF94" w14:textId="77777777" w:rsidTr="00CF04FA">
        <w:tc>
          <w:tcPr>
            <w:tcW w:w="1649" w:type="pct"/>
          </w:tcPr>
          <w:p w14:paraId="7E4CF1C3"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Migrate to mo</w:t>
            </w:r>
            <w:r>
              <w:rPr>
                <w:rFonts w:ascii="Times New Roman" w:hAnsi="Times New Roman" w:cs="Times New Roman"/>
                <w:sz w:val="22"/>
                <w:szCs w:val="22"/>
              </w:rPr>
              <w:t>re</w:t>
            </w:r>
            <w:r w:rsidRPr="00C07D9C">
              <w:rPr>
                <w:rFonts w:ascii="Times New Roman" w:hAnsi="Times New Roman" w:cs="Times New Roman"/>
                <w:sz w:val="22"/>
                <w:szCs w:val="22"/>
              </w:rPr>
              <w:t xml:space="preserve"> deprived</w:t>
            </w:r>
            <w:r>
              <w:rPr>
                <w:rFonts w:ascii="Times New Roman" w:hAnsi="Times New Roman" w:cs="Times New Roman"/>
                <w:sz w:val="22"/>
                <w:szCs w:val="22"/>
              </w:rPr>
              <w:t xml:space="preserve"> regions </w:t>
            </w:r>
          </w:p>
        </w:tc>
        <w:tc>
          <w:tcPr>
            <w:tcW w:w="1008" w:type="pct"/>
          </w:tcPr>
          <w:p w14:paraId="68E3CD62"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0.79 (0.61 – 1.02)</w:t>
            </w:r>
          </w:p>
        </w:tc>
        <w:tc>
          <w:tcPr>
            <w:tcW w:w="1219" w:type="pct"/>
          </w:tcPr>
          <w:p w14:paraId="064B1913"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0.98 (0.81 – 1.19)</w:t>
            </w:r>
          </w:p>
        </w:tc>
        <w:tc>
          <w:tcPr>
            <w:tcW w:w="1124" w:type="pct"/>
          </w:tcPr>
          <w:p w14:paraId="0A0D93AB"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p>
        </w:tc>
      </w:tr>
      <w:tr w:rsidR="001B5937" w:rsidRPr="00C07D9C" w14:paraId="61D63E73" w14:textId="77777777" w:rsidTr="00CF04FA">
        <w:tc>
          <w:tcPr>
            <w:tcW w:w="1649" w:type="pct"/>
            <w:tcBorders>
              <w:bottom w:val="single" w:sz="12" w:space="0" w:color="auto"/>
            </w:tcBorders>
          </w:tcPr>
          <w:p w14:paraId="42B62D0B"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Migrate to le</w:t>
            </w:r>
            <w:r>
              <w:rPr>
                <w:rFonts w:ascii="Times New Roman" w:hAnsi="Times New Roman" w:cs="Times New Roman"/>
                <w:sz w:val="22"/>
                <w:szCs w:val="22"/>
              </w:rPr>
              <w:t>ss</w:t>
            </w:r>
            <w:r w:rsidRPr="00C07D9C">
              <w:rPr>
                <w:rFonts w:ascii="Times New Roman" w:hAnsi="Times New Roman" w:cs="Times New Roman"/>
                <w:sz w:val="22"/>
                <w:szCs w:val="22"/>
              </w:rPr>
              <w:t xml:space="preserve"> deprived</w:t>
            </w:r>
            <w:r>
              <w:rPr>
                <w:rFonts w:ascii="Times New Roman" w:hAnsi="Times New Roman" w:cs="Times New Roman"/>
                <w:sz w:val="22"/>
                <w:szCs w:val="22"/>
              </w:rPr>
              <w:t xml:space="preserve"> regions</w:t>
            </w:r>
          </w:p>
        </w:tc>
        <w:tc>
          <w:tcPr>
            <w:tcW w:w="1008" w:type="pct"/>
            <w:tcBorders>
              <w:bottom w:val="single" w:sz="12" w:space="0" w:color="auto"/>
            </w:tcBorders>
          </w:tcPr>
          <w:p w14:paraId="61EAD563"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219" w:type="pct"/>
            <w:tcBorders>
              <w:bottom w:val="single" w:sz="12" w:space="0" w:color="auto"/>
            </w:tcBorders>
          </w:tcPr>
          <w:p w14:paraId="0909215E"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0.86 (0.52 – 1.39)</w:t>
            </w:r>
          </w:p>
        </w:tc>
        <w:tc>
          <w:tcPr>
            <w:tcW w:w="1124" w:type="pct"/>
            <w:tcBorders>
              <w:bottom w:val="single" w:sz="12" w:space="0" w:color="auto"/>
            </w:tcBorders>
          </w:tcPr>
          <w:p w14:paraId="3E51C3ED"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0.96 (0.89 – 1.04)</w:t>
            </w:r>
          </w:p>
        </w:tc>
      </w:tr>
    </w:tbl>
    <w:p w14:paraId="7326BC6F" w14:textId="77777777" w:rsidR="001B5937" w:rsidRDefault="001B5937" w:rsidP="001B5937">
      <w:pPr>
        <w:spacing w:line="360" w:lineRule="auto"/>
        <w:jc w:val="both"/>
        <w:rPr>
          <w:rFonts w:ascii="Times New Roman" w:hAnsi="Times New Roman" w:cs="Times New Roman"/>
          <w:sz w:val="20"/>
          <w:szCs w:val="20"/>
        </w:rPr>
      </w:pPr>
    </w:p>
    <w:p w14:paraId="3017D56D" w14:textId="77777777" w:rsidR="001B5937" w:rsidRDefault="001B5937" w:rsidP="001B5937">
      <w:pPr>
        <w:jc w:val="both"/>
        <w:rPr>
          <w:rFonts w:ascii="Times New Roman" w:hAnsi="Times New Roman" w:cs="Times New Roman"/>
          <w:sz w:val="20"/>
          <w:szCs w:val="20"/>
        </w:rPr>
      </w:pPr>
      <w:r>
        <w:rPr>
          <w:rFonts w:ascii="Times New Roman" w:hAnsi="Times New Roman" w:cs="Times New Roman"/>
          <w:sz w:val="20"/>
          <w:szCs w:val="20"/>
        </w:rPr>
        <w:t xml:space="preserve">Numbers in parenthesis represent 95% confidence bands. </w:t>
      </w:r>
      <w:r w:rsidRPr="005225CE">
        <w:rPr>
          <w:rFonts w:ascii="Times New Roman" w:hAnsi="Times New Roman" w:cs="Times New Roman"/>
          <w:sz w:val="20"/>
          <w:szCs w:val="20"/>
        </w:rPr>
        <w:t xml:space="preserve">Results derived from simple </w:t>
      </w:r>
      <w:r w:rsidRPr="005225CE">
        <w:rPr>
          <w:rStyle w:val="st"/>
          <w:rFonts w:ascii="Times New Roman" w:hAnsi="Times New Roman" w:cs="Times New Roman"/>
          <w:sz w:val="20"/>
          <w:szCs w:val="20"/>
        </w:rPr>
        <w:t xml:space="preserve">generalized linear models for the binomial family </w:t>
      </w:r>
      <w:r w:rsidRPr="005225CE">
        <w:rPr>
          <w:rFonts w:ascii="Times New Roman" w:hAnsi="Times New Roman" w:cs="Times New Roman"/>
          <w:sz w:val="20"/>
          <w:szCs w:val="20"/>
        </w:rPr>
        <w:t xml:space="preserve">regression of each variable with p&gt;0.10 or from the moment of exit at the backward selection of multivariable </w:t>
      </w:r>
      <w:r>
        <w:rPr>
          <w:rFonts w:ascii="Times New Roman" w:hAnsi="Times New Roman" w:cs="Times New Roman"/>
          <w:sz w:val="20"/>
          <w:szCs w:val="20"/>
        </w:rPr>
        <w:t>approach</w:t>
      </w:r>
      <w:r w:rsidRPr="005225CE">
        <w:rPr>
          <w:rFonts w:ascii="Times New Roman" w:hAnsi="Times New Roman" w:cs="Times New Roman"/>
          <w:sz w:val="20"/>
          <w:szCs w:val="20"/>
        </w:rPr>
        <w:t xml:space="preserve"> when p&gt;0.10. Each univariable result is omitted for simplicity</w:t>
      </w:r>
      <w:r>
        <w:rPr>
          <w:rFonts w:ascii="Times New Roman" w:hAnsi="Times New Roman" w:cs="Times New Roman"/>
          <w:sz w:val="20"/>
          <w:szCs w:val="20"/>
        </w:rPr>
        <w:t>.</w:t>
      </w:r>
    </w:p>
    <w:p w14:paraId="1D638E0B" w14:textId="77777777" w:rsidR="001B5937" w:rsidRDefault="001B5937" w:rsidP="001B5937">
      <w:pPr>
        <w:jc w:val="both"/>
        <w:rPr>
          <w:rFonts w:ascii="Times New Roman" w:hAnsi="Times New Roman" w:cs="Times New Roman"/>
          <w:sz w:val="20"/>
          <w:szCs w:val="20"/>
        </w:rPr>
      </w:pPr>
    </w:p>
    <w:p w14:paraId="0F4CEE80" w14:textId="77777777" w:rsidR="001B5937" w:rsidRDefault="001B5937" w:rsidP="001B5937">
      <w:pPr>
        <w:jc w:val="both"/>
        <w:rPr>
          <w:rFonts w:ascii="Times New Roman" w:hAnsi="Times New Roman" w:cs="Times New Roman"/>
          <w:sz w:val="20"/>
          <w:szCs w:val="20"/>
        </w:rPr>
      </w:pPr>
      <w:r>
        <w:rPr>
          <w:rFonts w:ascii="Times New Roman" w:hAnsi="Times New Roman" w:cs="Times New Roman"/>
          <w:sz w:val="20"/>
          <w:szCs w:val="20"/>
        </w:rPr>
        <w:t>Abbreviations: MELD = model for end-stage liver disease</w:t>
      </w:r>
    </w:p>
    <w:p w14:paraId="15666850" w14:textId="77777777" w:rsidR="001B5937" w:rsidRPr="00C07D9C" w:rsidRDefault="001B5937" w:rsidP="001B5937">
      <w:pPr>
        <w:jc w:val="both"/>
        <w:rPr>
          <w:rFonts w:ascii="Times New Roman" w:hAnsi="Times New Roman" w:cs="Times New Roman"/>
          <w:sz w:val="20"/>
          <w:szCs w:val="20"/>
        </w:rPr>
      </w:pPr>
    </w:p>
    <w:p w14:paraId="14BC874D" w14:textId="77777777" w:rsidR="001B5937" w:rsidRPr="00C07D9C" w:rsidRDefault="001B5937" w:rsidP="001B5937">
      <w:pPr>
        <w:jc w:val="both"/>
        <w:rPr>
          <w:rFonts w:ascii="Times New Roman" w:hAnsi="Times New Roman" w:cs="Times New Roman"/>
          <w:sz w:val="20"/>
          <w:szCs w:val="20"/>
        </w:rPr>
      </w:pPr>
      <w:r w:rsidRPr="00C07D9C">
        <w:rPr>
          <w:rFonts w:ascii="Times New Roman" w:hAnsi="Times New Roman" w:cs="Times New Roman"/>
          <w:sz w:val="20"/>
          <w:szCs w:val="20"/>
        </w:rPr>
        <w:t>* &lt;0.001</w:t>
      </w:r>
    </w:p>
    <w:p w14:paraId="1F9F5E54" w14:textId="77777777" w:rsidR="001B5937" w:rsidRPr="00C07D9C" w:rsidRDefault="001B5937" w:rsidP="001B5937">
      <w:pPr>
        <w:jc w:val="both"/>
        <w:rPr>
          <w:rStyle w:val="e24kjd"/>
          <w:rFonts w:ascii="Times New Roman" w:hAnsi="Times New Roman" w:cs="Times New Roman"/>
          <w:sz w:val="20"/>
          <w:szCs w:val="20"/>
        </w:rPr>
      </w:pPr>
      <w:r w:rsidRPr="00C07D9C">
        <w:rPr>
          <w:rStyle w:val="e24kjd"/>
          <w:rFonts w:ascii="Times New Roman" w:hAnsi="Times New Roman" w:cs="Times New Roman"/>
          <w:sz w:val="20"/>
          <w:szCs w:val="20"/>
        </w:rPr>
        <w:t>† &lt;0.05</w:t>
      </w:r>
    </w:p>
    <w:p w14:paraId="3FF28FB0" w14:textId="77777777" w:rsidR="001B5937" w:rsidRPr="00C07D9C" w:rsidRDefault="001B5937" w:rsidP="001B5937">
      <w:pPr>
        <w:jc w:val="both"/>
        <w:rPr>
          <w:rStyle w:val="e24kjd"/>
          <w:rFonts w:ascii="Times New Roman" w:hAnsi="Times New Roman" w:cs="Times New Roman"/>
          <w:sz w:val="20"/>
          <w:szCs w:val="20"/>
        </w:rPr>
      </w:pPr>
      <w:r w:rsidRPr="00C07D9C">
        <w:rPr>
          <w:rStyle w:val="e24kjd"/>
          <w:rFonts w:ascii="Times New Roman" w:hAnsi="Times New Roman" w:cs="Times New Roman"/>
          <w:sz w:val="20"/>
          <w:szCs w:val="20"/>
        </w:rPr>
        <w:t>‡ &lt;0.10</w:t>
      </w:r>
    </w:p>
    <w:p w14:paraId="577F1E3D" w14:textId="77777777" w:rsidR="001B5937" w:rsidRPr="00C07D9C" w:rsidRDefault="001B5937" w:rsidP="001B5937">
      <w:pPr>
        <w:ind w:right="-284"/>
        <w:jc w:val="both"/>
        <w:rPr>
          <w:rFonts w:ascii="Times New Roman" w:hAnsi="Times New Roman" w:cs="Times New Roman"/>
        </w:rPr>
      </w:pPr>
      <w:r>
        <w:rPr>
          <w:rFonts w:hint="eastAsia"/>
          <w:sz w:val="20"/>
          <w:szCs w:val="20"/>
        </w:rPr>
        <w:br w:type="page"/>
      </w:r>
      <w:r w:rsidRPr="00C07D9C">
        <w:rPr>
          <w:rFonts w:ascii="Times New Roman" w:hAnsi="Times New Roman" w:cs="Times New Roman"/>
          <w:b/>
          <w:bCs/>
        </w:rPr>
        <w:lastRenderedPageBreak/>
        <w:t xml:space="preserve">Table </w:t>
      </w:r>
      <w:r>
        <w:rPr>
          <w:rFonts w:ascii="Times New Roman" w:hAnsi="Times New Roman" w:cs="Times New Roman"/>
          <w:b/>
          <w:bCs/>
        </w:rPr>
        <w:t>4</w:t>
      </w:r>
      <w:r w:rsidRPr="00C07D9C">
        <w:rPr>
          <w:rFonts w:ascii="Times New Roman" w:hAnsi="Times New Roman" w:cs="Times New Roman"/>
          <w:b/>
          <w:bCs/>
        </w:rPr>
        <w:t>.</w:t>
      </w:r>
      <w:r w:rsidRPr="00C07D9C">
        <w:rPr>
          <w:rFonts w:ascii="Times New Roman" w:hAnsi="Times New Roman" w:cs="Times New Roman"/>
        </w:rPr>
        <w:t xml:space="preserve"> </w:t>
      </w:r>
      <w:r>
        <w:rPr>
          <w:rFonts w:ascii="Times New Roman" w:hAnsi="Times New Roman" w:cs="Times New Roman"/>
        </w:rPr>
        <w:t xml:space="preserve">Relative risk </w:t>
      </w:r>
      <w:r w:rsidRPr="00C07D9C">
        <w:rPr>
          <w:rFonts w:ascii="Times New Roman" w:hAnsi="Times New Roman" w:cs="Times New Roman"/>
        </w:rPr>
        <w:t xml:space="preserve">of receive </w:t>
      </w:r>
      <w:r>
        <w:rPr>
          <w:rFonts w:ascii="Times New Roman" w:hAnsi="Times New Roman" w:cs="Times New Roman"/>
        </w:rPr>
        <w:t xml:space="preserve">potentially curative treatments </w:t>
      </w:r>
      <w:r w:rsidRPr="00C07D9C">
        <w:rPr>
          <w:rFonts w:ascii="Times New Roman" w:hAnsi="Times New Roman" w:cs="Times New Roman"/>
        </w:rPr>
        <w:t xml:space="preserve">according to different material deprivation regions and patients’ characteristics. </w:t>
      </w:r>
    </w:p>
    <w:p w14:paraId="42B7F90E" w14:textId="77777777" w:rsidR="001B5937" w:rsidRPr="00C07D9C" w:rsidRDefault="001B5937" w:rsidP="001B5937">
      <w:pPr>
        <w:spacing w:line="360" w:lineRule="auto"/>
        <w:ind w:right="-285"/>
        <w:jc w:val="both"/>
        <w:rPr>
          <w:rFonts w:ascii="Times New Roman" w:hAnsi="Times New Roman" w:cs="Times New Roman"/>
        </w:rPr>
      </w:pPr>
    </w:p>
    <w:tbl>
      <w:tblPr>
        <w:tblStyle w:val="TableGrid"/>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1859"/>
        <w:gridCol w:w="2256"/>
        <w:gridCol w:w="1942"/>
      </w:tblGrid>
      <w:tr w:rsidR="001B5937" w:rsidRPr="00C07D9C" w14:paraId="58A8B894" w14:textId="77777777" w:rsidTr="00CF04FA">
        <w:tc>
          <w:tcPr>
            <w:tcW w:w="1676" w:type="pct"/>
            <w:tcBorders>
              <w:top w:val="single" w:sz="12" w:space="0" w:color="auto"/>
            </w:tcBorders>
          </w:tcPr>
          <w:p w14:paraId="26DA6155" w14:textId="77777777" w:rsidR="001B5937" w:rsidRPr="00C07D9C" w:rsidRDefault="001B5937" w:rsidP="00CF04FA">
            <w:pPr>
              <w:spacing w:line="360" w:lineRule="auto"/>
              <w:jc w:val="both"/>
              <w:rPr>
                <w:rFonts w:ascii="Times New Roman" w:hAnsi="Times New Roman" w:cs="Times New Roman"/>
                <w:sz w:val="22"/>
                <w:szCs w:val="22"/>
              </w:rPr>
            </w:pPr>
          </w:p>
        </w:tc>
        <w:tc>
          <w:tcPr>
            <w:tcW w:w="3324" w:type="pct"/>
            <w:gridSpan w:val="3"/>
            <w:tcBorders>
              <w:top w:val="single" w:sz="12" w:space="0" w:color="auto"/>
              <w:bottom w:val="single" w:sz="12" w:space="0" w:color="auto"/>
            </w:tcBorders>
          </w:tcPr>
          <w:p w14:paraId="22D4CC27" w14:textId="77777777" w:rsidR="001B5937" w:rsidRPr="00C07D9C" w:rsidRDefault="001B5937" w:rsidP="00CF04FA">
            <w:pPr>
              <w:spacing w:line="360" w:lineRule="auto"/>
              <w:jc w:val="center"/>
              <w:rPr>
                <w:rFonts w:ascii="Times New Roman" w:hAnsi="Times New Roman" w:cs="Times New Roman"/>
                <w:sz w:val="22"/>
                <w:szCs w:val="22"/>
              </w:rPr>
            </w:pPr>
            <w:r w:rsidRPr="00C07D9C">
              <w:rPr>
                <w:rFonts w:ascii="Times New Roman" w:hAnsi="Times New Roman" w:cs="Times New Roman"/>
                <w:sz w:val="22"/>
                <w:szCs w:val="22"/>
              </w:rPr>
              <w:t>Region of patients</w:t>
            </w:r>
          </w:p>
        </w:tc>
      </w:tr>
      <w:tr w:rsidR="001B5937" w:rsidRPr="00C07D9C" w14:paraId="198C1A45" w14:textId="77777777" w:rsidTr="00CF04FA">
        <w:tc>
          <w:tcPr>
            <w:tcW w:w="1676" w:type="pct"/>
            <w:tcBorders>
              <w:bottom w:val="single" w:sz="12" w:space="0" w:color="auto"/>
            </w:tcBorders>
          </w:tcPr>
          <w:p w14:paraId="5BBDD962" w14:textId="77777777" w:rsidR="001B5937" w:rsidRDefault="001B5937" w:rsidP="00CF04FA">
            <w:pPr>
              <w:jc w:val="both"/>
              <w:rPr>
                <w:rFonts w:ascii="Times New Roman" w:hAnsi="Times New Roman" w:cs="Times New Roman"/>
                <w:sz w:val="22"/>
                <w:szCs w:val="22"/>
              </w:rPr>
            </w:pPr>
          </w:p>
          <w:p w14:paraId="1D4979B8" w14:textId="77777777" w:rsidR="001B5937" w:rsidRPr="00C07D9C" w:rsidRDefault="001B5937" w:rsidP="00CF04FA">
            <w:pPr>
              <w:jc w:val="both"/>
              <w:rPr>
                <w:rFonts w:ascii="Times New Roman" w:hAnsi="Times New Roman" w:cs="Times New Roman"/>
                <w:sz w:val="22"/>
                <w:szCs w:val="22"/>
              </w:rPr>
            </w:pPr>
            <w:r>
              <w:rPr>
                <w:rFonts w:ascii="Times New Roman" w:hAnsi="Times New Roman" w:cs="Times New Roman"/>
                <w:sz w:val="22"/>
                <w:szCs w:val="22"/>
              </w:rPr>
              <w:t>Variables</w:t>
            </w:r>
          </w:p>
        </w:tc>
        <w:tc>
          <w:tcPr>
            <w:tcW w:w="1020" w:type="pct"/>
            <w:tcBorders>
              <w:top w:val="single" w:sz="12" w:space="0" w:color="auto"/>
              <w:bottom w:val="single" w:sz="12" w:space="0" w:color="auto"/>
            </w:tcBorders>
          </w:tcPr>
          <w:p w14:paraId="26CF37A6" w14:textId="77777777" w:rsidR="001B5937" w:rsidRPr="00C07D9C" w:rsidRDefault="001B5937" w:rsidP="00CF04FA">
            <w:pPr>
              <w:jc w:val="center"/>
              <w:rPr>
                <w:rFonts w:ascii="Times New Roman" w:hAnsi="Times New Roman" w:cs="Times New Roman"/>
                <w:sz w:val="22"/>
                <w:szCs w:val="22"/>
              </w:rPr>
            </w:pPr>
            <w:r w:rsidRPr="00C07D9C">
              <w:rPr>
                <w:rFonts w:ascii="Times New Roman" w:hAnsi="Times New Roman" w:cs="Times New Roman"/>
                <w:sz w:val="22"/>
                <w:szCs w:val="22"/>
              </w:rPr>
              <w:t>Least deprived (n=1350)</w:t>
            </w:r>
          </w:p>
        </w:tc>
        <w:tc>
          <w:tcPr>
            <w:tcW w:w="1238" w:type="pct"/>
            <w:tcBorders>
              <w:top w:val="single" w:sz="12" w:space="0" w:color="auto"/>
              <w:bottom w:val="single" w:sz="12" w:space="0" w:color="auto"/>
            </w:tcBorders>
          </w:tcPr>
          <w:p w14:paraId="7696B0CB" w14:textId="77777777" w:rsidR="001B5937" w:rsidRPr="00C07D9C" w:rsidRDefault="001B5937" w:rsidP="00CF04FA">
            <w:pPr>
              <w:jc w:val="center"/>
              <w:rPr>
                <w:rFonts w:ascii="Times New Roman" w:hAnsi="Times New Roman" w:cs="Times New Roman"/>
                <w:sz w:val="22"/>
                <w:szCs w:val="22"/>
              </w:rPr>
            </w:pPr>
            <w:r w:rsidRPr="00C07D9C">
              <w:rPr>
                <w:rFonts w:ascii="Times New Roman" w:hAnsi="Times New Roman" w:cs="Times New Roman"/>
                <w:sz w:val="22"/>
                <w:szCs w:val="22"/>
              </w:rPr>
              <w:t>Intermediate Deprived (n=1127)</w:t>
            </w:r>
          </w:p>
        </w:tc>
        <w:tc>
          <w:tcPr>
            <w:tcW w:w="1066" w:type="pct"/>
            <w:tcBorders>
              <w:top w:val="single" w:sz="12" w:space="0" w:color="auto"/>
              <w:bottom w:val="single" w:sz="12" w:space="0" w:color="auto"/>
            </w:tcBorders>
          </w:tcPr>
          <w:p w14:paraId="0E09659E" w14:textId="77777777" w:rsidR="001B5937" w:rsidRPr="00C07D9C" w:rsidRDefault="001B5937" w:rsidP="00CF04FA">
            <w:pPr>
              <w:spacing w:after="120"/>
              <w:jc w:val="center"/>
              <w:rPr>
                <w:rFonts w:ascii="Times New Roman" w:hAnsi="Times New Roman" w:cs="Times New Roman"/>
                <w:sz w:val="22"/>
                <w:szCs w:val="22"/>
              </w:rPr>
            </w:pPr>
            <w:r w:rsidRPr="00C07D9C">
              <w:rPr>
                <w:rFonts w:ascii="Times New Roman" w:hAnsi="Times New Roman" w:cs="Times New Roman"/>
                <w:sz w:val="22"/>
                <w:szCs w:val="22"/>
              </w:rPr>
              <w:t>Most Deprived (n=1785)</w:t>
            </w:r>
          </w:p>
        </w:tc>
      </w:tr>
      <w:tr w:rsidR="001B5937" w:rsidRPr="00C07D9C" w14:paraId="142646FB" w14:textId="77777777" w:rsidTr="00CF04FA">
        <w:tc>
          <w:tcPr>
            <w:tcW w:w="1676" w:type="pct"/>
          </w:tcPr>
          <w:p w14:paraId="2ED88190" w14:textId="77777777" w:rsidR="001B5937" w:rsidRPr="00C07D9C" w:rsidRDefault="001B5937" w:rsidP="00CF04FA">
            <w:pPr>
              <w:spacing w:before="120" w:line="360" w:lineRule="auto"/>
              <w:jc w:val="both"/>
              <w:rPr>
                <w:rFonts w:ascii="Times New Roman" w:hAnsi="Times New Roman" w:cs="Times New Roman"/>
                <w:sz w:val="22"/>
                <w:szCs w:val="22"/>
              </w:rPr>
            </w:pPr>
            <w:r w:rsidRPr="00C07D9C">
              <w:rPr>
                <w:rFonts w:ascii="Times New Roman" w:hAnsi="Times New Roman" w:cs="Times New Roman"/>
                <w:sz w:val="22"/>
                <w:szCs w:val="22"/>
              </w:rPr>
              <w:t xml:space="preserve">Age </w:t>
            </w:r>
            <w:r>
              <w:rPr>
                <w:rFonts w:ascii="Times New Roman" w:hAnsi="Times New Roman" w:cs="Times New Roman"/>
                <w:sz w:val="22"/>
                <w:szCs w:val="22"/>
              </w:rPr>
              <w:t xml:space="preserve">≤ </w:t>
            </w:r>
            <w:r w:rsidRPr="00C07D9C">
              <w:rPr>
                <w:rFonts w:ascii="Times New Roman" w:hAnsi="Times New Roman" w:cs="Times New Roman"/>
                <w:sz w:val="22"/>
                <w:szCs w:val="22"/>
              </w:rPr>
              <w:t>65 years</w:t>
            </w:r>
          </w:p>
        </w:tc>
        <w:tc>
          <w:tcPr>
            <w:tcW w:w="1020" w:type="pct"/>
          </w:tcPr>
          <w:p w14:paraId="42EF4981"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1.04 (0.94 – 1.14)</w:t>
            </w:r>
          </w:p>
        </w:tc>
        <w:tc>
          <w:tcPr>
            <w:tcW w:w="1238" w:type="pct"/>
          </w:tcPr>
          <w:p w14:paraId="70E3ABAF"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1.04 (0.92 – 1.17)</w:t>
            </w:r>
          </w:p>
        </w:tc>
        <w:tc>
          <w:tcPr>
            <w:tcW w:w="1066" w:type="pct"/>
          </w:tcPr>
          <w:p w14:paraId="693E3FE6"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1.09 (0.98 – 1.19)</w:t>
            </w:r>
          </w:p>
        </w:tc>
      </w:tr>
      <w:tr w:rsidR="001B5937" w:rsidRPr="00C07D9C" w14:paraId="77EB734E" w14:textId="77777777" w:rsidTr="00CF04FA">
        <w:tc>
          <w:tcPr>
            <w:tcW w:w="1676" w:type="pct"/>
          </w:tcPr>
          <w:p w14:paraId="1B7DB84B"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Female</w:t>
            </w:r>
            <w:r w:rsidRPr="00C07D9C">
              <w:rPr>
                <w:rFonts w:ascii="Times New Roman" w:hAnsi="Times New Roman" w:cs="Times New Roman"/>
                <w:sz w:val="22"/>
                <w:szCs w:val="22"/>
              </w:rPr>
              <w:t xml:space="preserve"> </w:t>
            </w:r>
          </w:p>
        </w:tc>
        <w:tc>
          <w:tcPr>
            <w:tcW w:w="1020" w:type="pct"/>
          </w:tcPr>
          <w:p w14:paraId="4113D60F"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1.01 (0.92 – 1.11)</w:t>
            </w:r>
          </w:p>
        </w:tc>
        <w:tc>
          <w:tcPr>
            <w:tcW w:w="1238" w:type="pct"/>
          </w:tcPr>
          <w:p w14:paraId="3107DBDC"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1.05 (0.92 – 1.20)</w:t>
            </w:r>
          </w:p>
        </w:tc>
        <w:tc>
          <w:tcPr>
            <w:tcW w:w="1066" w:type="pct"/>
          </w:tcPr>
          <w:p w14:paraId="158A5BAB"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1.04 (0.93 – 1.15)</w:t>
            </w:r>
          </w:p>
        </w:tc>
      </w:tr>
      <w:tr w:rsidR="001B5937" w:rsidRPr="00C07D9C" w14:paraId="300D30FD" w14:textId="77777777" w:rsidTr="00CF04FA">
        <w:tc>
          <w:tcPr>
            <w:tcW w:w="1676" w:type="pct"/>
          </w:tcPr>
          <w:p w14:paraId="1EB35C6B"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Viral hepatitis </w:t>
            </w:r>
          </w:p>
        </w:tc>
        <w:tc>
          <w:tcPr>
            <w:tcW w:w="1020" w:type="pct"/>
          </w:tcPr>
          <w:p w14:paraId="61ED29B2"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1.12 (0.98 – 1.22)</w:t>
            </w:r>
          </w:p>
        </w:tc>
        <w:tc>
          <w:tcPr>
            <w:tcW w:w="1238" w:type="pct"/>
          </w:tcPr>
          <w:p w14:paraId="62656DAD"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1.09 (0.96 – 1.23)</w:t>
            </w:r>
          </w:p>
        </w:tc>
        <w:tc>
          <w:tcPr>
            <w:tcW w:w="1066" w:type="pct"/>
          </w:tcPr>
          <w:p w14:paraId="682D61C8"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1.08 (0.99 – 1.18)</w:t>
            </w:r>
          </w:p>
        </w:tc>
      </w:tr>
      <w:tr w:rsidR="001B5937" w:rsidRPr="00C07D9C" w14:paraId="22B564E9" w14:textId="77777777" w:rsidTr="00CF04FA">
        <w:tc>
          <w:tcPr>
            <w:tcW w:w="1676" w:type="pct"/>
          </w:tcPr>
          <w:p w14:paraId="051D3301"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 xml:space="preserve">MELD </w:t>
            </w:r>
            <w:r>
              <w:rPr>
                <w:rFonts w:ascii="Times New Roman" w:hAnsi="Times New Roman" w:cs="Times New Roman"/>
                <w:sz w:val="22"/>
                <w:szCs w:val="22"/>
              </w:rPr>
              <w:t>≤</w:t>
            </w:r>
            <w:r w:rsidRPr="00C07D9C">
              <w:rPr>
                <w:rFonts w:ascii="Times New Roman" w:hAnsi="Times New Roman" w:cs="Times New Roman"/>
                <w:sz w:val="22"/>
                <w:szCs w:val="22"/>
              </w:rPr>
              <w:t xml:space="preserve"> 10</w:t>
            </w:r>
          </w:p>
        </w:tc>
        <w:tc>
          <w:tcPr>
            <w:tcW w:w="1020" w:type="pct"/>
          </w:tcPr>
          <w:p w14:paraId="4C3A5FB7"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1.22 (1.09 – 1.35) *</w:t>
            </w:r>
          </w:p>
        </w:tc>
        <w:tc>
          <w:tcPr>
            <w:tcW w:w="1238" w:type="pct"/>
          </w:tcPr>
          <w:p w14:paraId="7676CBB7"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1.29 (1.15 – 1.47) *</w:t>
            </w:r>
          </w:p>
        </w:tc>
        <w:tc>
          <w:tcPr>
            <w:tcW w:w="1066" w:type="pct"/>
          </w:tcPr>
          <w:p w14:paraId="46721C53"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1.31 (1.18 – 1.46) </w:t>
            </w:r>
            <w:r w:rsidRPr="00C07D9C">
              <w:rPr>
                <w:rStyle w:val="e24kjd"/>
                <w:rFonts w:ascii="Times New Roman" w:hAnsi="Times New Roman" w:cs="Times New Roman"/>
                <w:szCs w:val="20"/>
              </w:rPr>
              <w:t>†</w:t>
            </w:r>
          </w:p>
        </w:tc>
      </w:tr>
      <w:tr w:rsidR="001B5937" w:rsidRPr="00C07D9C" w14:paraId="7791227C" w14:textId="77777777" w:rsidTr="00CF04FA">
        <w:tc>
          <w:tcPr>
            <w:tcW w:w="1676" w:type="pct"/>
          </w:tcPr>
          <w:p w14:paraId="23ED006F"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Within Milan criteria</w:t>
            </w:r>
          </w:p>
        </w:tc>
        <w:tc>
          <w:tcPr>
            <w:tcW w:w="1020" w:type="pct"/>
          </w:tcPr>
          <w:p w14:paraId="5636683B"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1.36 (1.22 – 1.51) *</w:t>
            </w:r>
          </w:p>
        </w:tc>
        <w:tc>
          <w:tcPr>
            <w:tcW w:w="1238" w:type="pct"/>
          </w:tcPr>
          <w:p w14:paraId="00498B56"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1.50 (1.31 – 1.72) *</w:t>
            </w:r>
          </w:p>
        </w:tc>
        <w:tc>
          <w:tcPr>
            <w:tcW w:w="1066" w:type="pct"/>
          </w:tcPr>
          <w:p w14:paraId="207304F0"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1.55 (1.38 – 1.74) *</w:t>
            </w:r>
          </w:p>
        </w:tc>
      </w:tr>
      <w:tr w:rsidR="001B5937" w:rsidRPr="00C07D9C" w14:paraId="0B135BAB" w14:textId="77777777" w:rsidTr="00CF04FA">
        <w:tc>
          <w:tcPr>
            <w:tcW w:w="1676" w:type="pct"/>
          </w:tcPr>
          <w:p w14:paraId="15E4D939"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ECOG 0-1</w:t>
            </w:r>
          </w:p>
        </w:tc>
        <w:tc>
          <w:tcPr>
            <w:tcW w:w="1020" w:type="pct"/>
          </w:tcPr>
          <w:p w14:paraId="076E2206"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1.89 (1.41 – 2.55) *</w:t>
            </w:r>
          </w:p>
        </w:tc>
        <w:tc>
          <w:tcPr>
            <w:tcW w:w="1238" w:type="pct"/>
          </w:tcPr>
          <w:p w14:paraId="271BEA24"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2.62 (1.78 – 3.86) *</w:t>
            </w:r>
          </w:p>
        </w:tc>
        <w:tc>
          <w:tcPr>
            <w:tcW w:w="1066" w:type="pct"/>
          </w:tcPr>
          <w:p w14:paraId="74F23620"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2.48 (1.74 – 3.54) *</w:t>
            </w:r>
          </w:p>
        </w:tc>
      </w:tr>
      <w:tr w:rsidR="001B5937" w:rsidRPr="00C07D9C" w14:paraId="3DA023CD" w14:textId="77777777" w:rsidTr="00CF04FA">
        <w:tc>
          <w:tcPr>
            <w:tcW w:w="1676" w:type="pct"/>
          </w:tcPr>
          <w:p w14:paraId="00B07449"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Absence of MaVI</w:t>
            </w:r>
          </w:p>
        </w:tc>
        <w:tc>
          <w:tcPr>
            <w:tcW w:w="1020" w:type="pct"/>
          </w:tcPr>
          <w:p w14:paraId="0C69BABD"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5.26 (3.19 – 8.66) *</w:t>
            </w:r>
          </w:p>
        </w:tc>
        <w:tc>
          <w:tcPr>
            <w:tcW w:w="1238" w:type="pct"/>
          </w:tcPr>
          <w:p w14:paraId="4F2D8A33"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3.24 (2.06 – 5.12) *</w:t>
            </w:r>
          </w:p>
        </w:tc>
        <w:tc>
          <w:tcPr>
            <w:tcW w:w="1066" w:type="pct"/>
          </w:tcPr>
          <w:p w14:paraId="211BABF2"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3.87 (2.56 – 5.84) *</w:t>
            </w:r>
          </w:p>
        </w:tc>
      </w:tr>
      <w:tr w:rsidR="001B5937" w:rsidRPr="00C07D9C" w14:paraId="367AE7D6" w14:textId="77777777" w:rsidTr="00CF04FA">
        <w:tc>
          <w:tcPr>
            <w:tcW w:w="1676" w:type="pct"/>
          </w:tcPr>
          <w:p w14:paraId="438A54DA"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Migrate to mo</w:t>
            </w:r>
            <w:r>
              <w:rPr>
                <w:rFonts w:ascii="Times New Roman" w:hAnsi="Times New Roman" w:cs="Times New Roman"/>
                <w:sz w:val="22"/>
                <w:szCs w:val="22"/>
              </w:rPr>
              <w:t>re</w:t>
            </w:r>
            <w:r w:rsidRPr="00C07D9C">
              <w:rPr>
                <w:rFonts w:ascii="Times New Roman" w:hAnsi="Times New Roman" w:cs="Times New Roman"/>
                <w:sz w:val="22"/>
                <w:szCs w:val="22"/>
              </w:rPr>
              <w:t xml:space="preserve"> deprived</w:t>
            </w:r>
            <w:r>
              <w:rPr>
                <w:rFonts w:ascii="Times New Roman" w:hAnsi="Times New Roman" w:cs="Times New Roman"/>
                <w:sz w:val="22"/>
                <w:szCs w:val="22"/>
              </w:rPr>
              <w:t xml:space="preserve"> regions </w:t>
            </w:r>
          </w:p>
        </w:tc>
        <w:tc>
          <w:tcPr>
            <w:tcW w:w="1020" w:type="pct"/>
          </w:tcPr>
          <w:p w14:paraId="2CE5FFD2"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0.86 (0.67 – 1.07)</w:t>
            </w:r>
          </w:p>
        </w:tc>
        <w:tc>
          <w:tcPr>
            <w:tcW w:w="1238" w:type="pct"/>
          </w:tcPr>
          <w:p w14:paraId="0E93DFDA"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1.01 (0.84 – 1.23)</w:t>
            </w:r>
          </w:p>
        </w:tc>
        <w:tc>
          <w:tcPr>
            <w:tcW w:w="1066" w:type="pct"/>
          </w:tcPr>
          <w:p w14:paraId="59FF6963"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p>
        </w:tc>
      </w:tr>
      <w:tr w:rsidR="001B5937" w:rsidRPr="00C07D9C" w14:paraId="48D4AD74" w14:textId="77777777" w:rsidTr="00CF04FA">
        <w:tc>
          <w:tcPr>
            <w:tcW w:w="1676" w:type="pct"/>
            <w:tcBorders>
              <w:bottom w:val="single" w:sz="12" w:space="0" w:color="auto"/>
            </w:tcBorders>
          </w:tcPr>
          <w:p w14:paraId="241CD3A9"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Migrate to le</w:t>
            </w:r>
            <w:r>
              <w:rPr>
                <w:rFonts w:ascii="Times New Roman" w:hAnsi="Times New Roman" w:cs="Times New Roman"/>
                <w:sz w:val="22"/>
                <w:szCs w:val="22"/>
              </w:rPr>
              <w:t>ss</w:t>
            </w:r>
            <w:r w:rsidRPr="00C07D9C">
              <w:rPr>
                <w:rFonts w:ascii="Times New Roman" w:hAnsi="Times New Roman" w:cs="Times New Roman"/>
                <w:sz w:val="22"/>
                <w:szCs w:val="22"/>
              </w:rPr>
              <w:t xml:space="preserve"> deprived</w:t>
            </w:r>
            <w:r>
              <w:rPr>
                <w:rFonts w:ascii="Times New Roman" w:hAnsi="Times New Roman" w:cs="Times New Roman"/>
                <w:sz w:val="22"/>
                <w:szCs w:val="22"/>
              </w:rPr>
              <w:t xml:space="preserve"> regions</w:t>
            </w:r>
          </w:p>
        </w:tc>
        <w:tc>
          <w:tcPr>
            <w:tcW w:w="1020" w:type="pct"/>
            <w:tcBorders>
              <w:bottom w:val="single" w:sz="12" w:space="0" w:color="auto"/>
            </w:tcBorders>
          </w:tcPr>
          <w:p w14:paraId="00F0C8D9"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238" w:type="pct"/>
            <w:tcBorders>
              <w:bottom w:val="single" w:sz="12" w:space="0" w:color="auto"/>
            </w:tcBorders>
          </w:tcPr>
          <w:p w14:paraId="3055E721"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0.98 (0.63 – 1.52)</w:t>
            </w:r>
          </w:p>
        </w:tc>
        <w:tc>
          <w:tcPr>
            <w:tcW w:w="1066" w:type="pct"/>
            <w:tcBorders>
              <w:bottom w:val="single" w:sz="12" w:space="0" w:color="auto"/>
            </w:tcBorders>
          </w:tcPr>
          <w:p w14:paraId="6A909C9A"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1.11 (1.03 – 1.19) </w:t>
            </w:r>
            <w:r w:rsidRPr="00C07D9C">
              <w:rPr>
                <w:rStyle w:val="e24kjd"/>
                <w:rFonts w:ascii="Times New Roman" w:hAnsi="Times New Roman" w:cs="Times New Roman"/>
                <w:szCs w:val="20"/>
              </w:rPr>
              <w:t>†</w:t>
            </w:r>
          </w:p>
        </w:tc>
      </w:tr>
    </w:tbl>
    <w:p w14:paraId="220F13B5" w14:textId="77777777" w:rsidR="001B5937" w:rsidRDefault="001B5937" w:rsidP="001B5937">
      <w:pPr>
        <w:spacing w:line="360" w:lineRule="auto"/>
        <w:jc w:val="both"/>
        <w:rPr>
          <w:rFonts w:ascii="Times New Roman" w:hAnsi="Times New Roman" w:cs="Times New Roman"/>
          <w:sz w:val="20"/>
          <w:szCs w:val="20"/>
        </w:rPr>
      </w:pPr>
    </w:p>
    <w:p w14:paraId="3773D50E" w14:textId="77777777" w:rsidR="001B5937" w:rsidRDefault="001B5937" w:rsidP="001B5937">
      <w:pPr>
        <w:jc w:val="both"/>
        <w:rPr>
          <w:rFonts w:ascii="Times New Roman" w:hAnsi="Times New Roman" w:cs="Times New Roman"/>
          <w:sz w:val="20"/>
          <w:szCs w:val="20"/>
        </w:rPr>
      </w:pPr>
      <w:r>
        <w:rPr>
          <w:rFonts w:ascii="Times New Roman" w:hAnsi="Times New Roman" w:cs="Times New Roman"/>
          <w:sz w:val="20"/>
          <w:szCs w:val="20"/>
        </w:rPr>
        <w:t>Numbers in parenthesis represent 95% confidence bands.</w:t>
      </w:r>
      <w:r w:rsidRPr="005225CE">
        <w:rPr>
          <w:rFonts w:ascii="Times New Roman" w:hAnsi="Times New Roman" w:cs="Times New Roman"/>
          <w:sz w:val="20"/>
          <w:szCs w:val="20"/>
        </w:rPr>
        <w:t xml:space="preserve"> Results derived from simple </w:t>
      </w:r>
      <w:r w:rsidRPr="005225CE">
        <w:rPr>
          <w:rStyle w:val="st"/>
          <w:rFonts w:ascii="Times New Roman" w:hAnsi="Times New Roman" w:cs="Times New Roman"/>
          <w:sz w:val="20"/>
          <w:szCs w:val="20"/>
        </w:rPr>
        <w:t xml:space="preserve">generalized linear models for the binomial family </w:t>
      </w:r>
      <w:r w:rsidRPr="005225CE">
        <w:rPr>
          <w:rFonts w:ascii="Times New Roman" w:hAnsi="Times New Roman" w:cs="Times New Roman"/>
          <w:sz w:val="20"/>
          <w:szCs w:val="20"/>
        </w:rPr>
        <w:t xml:space="preserve">regression of each variable with p&gt;0.10 or from the moment of exit at the backward selection of multivariable </w:t>
      </w:r>
      <w:r>
        <w:rPr>
          <w:rFonts w:ascii="Times New Roman" w:hAnsi="Times New Roman" w:cs="Times New Roman"/>
          <w:sz w:val="20"/>
          <w:szCs w:val="20"/>
        </w:rPr>
        <w:t>approach</w:t>
      </w:r>
      <w:r w:rsidRPr="005225CE">
        <w:rPr>
          <w:rFonts w:ascii="Times New Roman" w:hAnsi="Times New Roman" w:cs="Times New Roman"/>
          <w:sz w:val="20"/>
          <w:szCs w:val="20"/>
        </w:rPr>
        <w:t xml:space="preserve"> when p&gt;0.10. Each univariable result is omitted for simplicity</w:t>
      </w:r>
      <w:r>
        <w:rPr>
          <w:rFonts w:ascii="Times New Roman" w:hAnsi="Times New Roman" w:cs="Times New Roman"/>
          <w:sz w:val="20"/>
          <w:szCs w:val="20"/>
        </w:rPr>
        <w:t>.</w:t>
      </w:r>
    </w:p>
    <w:p w14:paraId="71C14CCE" w14:textId="77777777" w:rsidR="001B5937" w:rsidRDefault="001B5937" w:rsidP="001B5937">
      <w:pPr>
        <w:jc w:val="both"/>
        <w:rPr>
          <w:rFonts w:ascii="Times New Roman" w:hAnsi="Times New Roman" w:cs="Times New Roman"/>
          <w:sz w:val="20"/>
          <w:szCs w:val="20"/>
        </w:rPr>
      </w:pPr>
    </w:p>
    <w:p w14:paraId="1FAC690F" w14:textId="77777777" w:rsidR="001B5937" w:rsidRDefault="001B5937" w:rsidP="001B5937">
      <w:pPr>
        <w:jc w:val="both"/>
        <w:rPr>
          <w:rFonts w:ascii="Times New Roman" w:hAnsi="Times New Roman" w:cs="Times New Roman"/>
          <w:sz w:val="20"/>
          <w:szCs w:val="20"/>
        </w:rPr>
      </w:pPr>
      <w:r>
        <w:rPr>
          <w:rFonts w:ascii="Times New Roman" w:hAnsi="Times New Roman" w:cs="Times New Roman"/>
          <w:sz w:val="20"/>
          <w:szCs w:val="20"/>
        </w:rPr>
        <w:t xml:space="preserve">Abbreviations: MELD = model for end-stage liver disease; ECOG = </w:t>
      </w:r>
      <w:r w:rsidRPr="00DB7CAA">
        <w:rPr>
          <w:rFonts w:ascii="Times New Roman" w:hAnsi="Times New Roman" w:cs="Times New Roman" w:hint="eastAsia"/>
          <w:sz w:val="20"/>
          <w:szCs w:val="20"/>
        </w:rPr>
        <w:t>Eastern Cooperative Oncology Group</w:t>
      </w:r>
      <w:r>
        <w:rPr>
          <w:rFonts w:ascii="Times New Roman" w:hAnsi="Times New Roman" w:cs="Times New Roman"/>
          <w:sz w:val="20"/>
          <w:szCs w:val="20"/>
        </w:rPr>
        <w:t>; MaVI = macroscopic (neoplastic) vascular invasion.</w:t>
      </w:r>
    </w:p>
    <w:p w14:paraId="34471F6B" w14:textId="77777777" w:rsidR="001B5937" w:rsidRPr="00C07D9C" w:rsidRDefault="001B5937" w:rsidP="001B5937">
      <w:pPr>
        <w:jc w:val="both"/>
        <w:rPr>
          <w:rFonts w:ascii="Times New Roman" w:hAnsi="Times New Roman" w:cs="Times New Roman"/>
          <w:sz w:val="20"/>
          <w:szCs w:val="20"/>
        </w:rPr>
      </w:pPr>
    </w:p>
    <w:p w14:paraId="278D23D7" w14:textId="77777777" w:rsidR="001B5937" w:rsidRPr="00C07D9C" w:rsidRDefault="001B5937" w:rsidP="001B5937">
      <w:pPr>
        <w:jc w:val="both"/>
        <w:rPr>
          <w:rFonts w:ascii="Times New Roman" w:hAnsi="Times New Roman" w:cs="Times New Roman"/>
          <w:sz w:val="20"/>
          <w:szCs w:val="20"/>
        </w:rPr>
      </w:pPr>
      <w:r w:rsidRPr="00C07D9C">
        <w:rPr>
          <w:rFonts w:ascii="Times New Roman" w:hAnsi="Times New Roman" w:cs="Times New Roman"/>
          <w:sz w:val="20"/>
          <w:szCs w:val="20"/>
        </w:rPr>
        <w:t>* &lt;0.001</w:t>
      </w:r>
    </w:p>
    <w:p w14:paraId="6CA4AC05" w14:textId="77777777" w:rsidR="001B5937" w:rsidRPr="00C07D9C" w:rsidRDefault="001B5937" w:rsidP="001B5937">
      <w:pPr>
        <w:jc w:val="both"/>
        <w:rPr>
          <w:rStyle w:val="e24kjd"/>
          <w:rFonts w:ascii="Times New Roman" w:hAnsi="Times New Roman" w:cs="Times New Roman"/>
          <w:sz w:val="20"/>
          <w:szCs w:val="20"/>
        </w:rPr>
      </w:pPr>
      <w:r w:rsidRPr="00C07D9C">
        <w:rPr>
          <w:rStyle w:val="e24kjd"/>
          <w:rFonts w:ascii="Times New Roman" w:hAnsi="Times New Roman" w:cs="Times New Roman"/>
          <w:sz w:val="20"/>
          <w:szCs w:val="20"/>
        </w:rPr>
        <w:t>† &lt;0.05</w:t>
      </w:r>
    </w:p>
    <w:p w14:paraId="04682F82" w14:textId="77777777" w:rsidR="001B5937" w:rsidRPr="00C07D9C" w:rsidRDefault="001B5937" w:rsidP="001B5937">
      <w:pPr>
        <w:jc w:val="both"/>
        <w:rPr>
          <w:rStyle w:val="e24kjd"/>
          <w:rFonts w:ascii="Times New Roman" w:hAnsi="Times New Roman" w:cs="Times New Roman"/>
          <w:sz w:val="20"/>
          <w:szCs w:val="20"/>
        </w:rPr>
      </w:pPr>
      <w:r w:rsidRPr="00C07D9C">
        <w:rPr>
          <w:rStyle w:val="e24kjd"/>
          <w:rFonts w:ascii="Times New Roman" w:hAnsi="Times New Roman" w:cs="Times New Roman"/>
          <w:sz w:val="20"/>
          <w:szCs w:val="20"/>
        </w:rPr>
        <w:t>‡ &lt;0.10</w:t>
      </w:r>
    </w:p>
    <w:p w14:paraId="2BF35316" w14:textId="77777777" w:rsidR="001B5937" w:rsidRDefault="001B5937" w:rsidP="001B5937">
      <w:pPr>
        <w:rPr>
          <w:rFonts w:hint="eastAsia"/>
          <w:sz w:val="20"/>
          <w:szCs w:val="20"/>
        </w:rPr>
      </w:pPr>
      <w:r>
        <w:rPr>
          <w:rFonts w:hint="eastAsia"/>
          <w:sz w:val="20"/>
          <w:szCs w:val="20"/>
        </w:rPr>
        <w:br w:type="page"/>
      </w:r>
    </w:p>
    <w:p w14:paraId="30C74A0F" w14:textId="77777777" w:rsidR="001B5937" w:rsidRPr="00C07D9C" w:rsidRDefault="001B5937" w:rsidP="001B5937">
      <w:pPr>
        <w:ind w:right="-284"/>
        <w:jc w:val="both"/>
        <w:rPr>
          <w:rFonts w:ascii="Times New Roman" w:hAnsi="Times New Roman" w:cs="Times New Roman"/>
        </w:rPr>
      </w:pPr>
      <w:r w:rsidRPr="00C07D9C">
        <w:rPr>
          <w:rFonts w:ascii="Times New Roman" w:hAnsi="Times New Roman" w:cs="Times New Roman"/>
          <w:b/>
          <w:bCs/>
        </w:rPr>
        <w:lastRenderedPageBreak/>
        <w:t xml:space="preserve">Table </w:t>
      </w:r>
      <w:r>
        <w:rPr>
          <w:rFonts w:ascii="Times New Roman" w:hAnsi="Times New Roman" w:cs="Times New Roman"/>
          <w:b/>
          <w:bCs/>
        </w:rPr>
        <w:t>5</w:t>
      </w:r>
      <w:r w:rsidRPr="00C07D9C">
        <w:rPr>
          <w:rFonts w:ascii="Times New Roman" w:hAnsi="Times New Roman" w:cs="Times New Roman"/>
          <w:b/>
          <w:bCs/>
        </w:rPr>
        <w:t>.</w:t>
      </w:r>
      <w:r w:rsidRPr="00C07D9C">
        <w:rPr>
          <w:rFonts w:ascii="Times New Roman" w:hAnsi="Times New Roman" w:cs="Times New Roman"/>
        </w:rPr>
        <w:t xml:space="preserve"> </w:t>
      </w:r>
      <w:r>
        <w:rPr>
          <w:rFonts w:ascii="Times New Roman" w:hAnsi="Times New Roman" w:cs="Times New Roman"/>
        </w:rPr>
        <w:t xml:space="preserve">Hazard ratios for overall survival according to </w:t>
      </w:r>
      <w:r w:rsidRPr="00C07D9C">
        <w:rPr>
          <w:rFonts w:ascii="Times New Roman" w:hAnsi="Times New Roman" w:cs="Times New Roman"/>
        </w:rPr>
        <w:t xml:space="preserve">different material deprivation regions and patients’ characteristics. </w:t>
      </w:r>
    </w:p>
    <w:p w14:paraId="6870FDD5" w14:textId="77777777" w:rsidR="001B5937" w:rsidRPr="00C07D9C" w:rsidRDefault="001B5937" w:rsidP="001B5937">
      <w:pPr>
        <w:spacing w:line="360" w:lineRule="auto"/>
        <w:ind w:right="-285"/>
        <w:jc w:val="both"/>
        <w:rPr>
          <w:rFonts w:ascii="Times New Roman" w:hAnsi="Times New Roman" w:cs="Times New Roman"/>
        </w:rPr>
      </w:pPr>
    </w:p>
    <w:tbl>
      <w:tblPr>
        <w:tblStyle w:val="TableGrid"/>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1859"/>
        <w:gridCol w:w="2119"/>
        <w:gridCol w:w="2079"/>
      </w:tblGrid>
      <w:tr w:rsidR="001B5937" w:rsidRPr="00C07D9C" w14:paraId="2AD49AF1" w14:textId="77777777" w:rsidTr="00CF04FA">
        <w:tc>
          <w:tcPr>
            <w:tcW w:w="1676" w:type="pct"/>
            <w:tcBorders>
              <w:top w:val="single" w:sz="12" w:space="0" w:color="auto"/>
            </w:tcBorders>
          </w:tcPr>
          <w:p w14:paraId="51C6D328" w14:textId="77777777" w:rsidR="001B5937" w:rsidRPr="00C07D9C" w:rsidRDefault="001B5937" w:rsidP="00CF04FA">
            <w:pPr>
              <w:spacing w:line="360" w:lineRule="auto"/>
              <w:jc w:val="both"/>
              <w:rPr>
                <w:rFonts w:ascii="Times New Roman" w:hAnsi="Times New Roman" w:cs="Times New Roman"/>
                <w:sz w:val="22"/>
                <w:szCs w:val="22"/>
              </w:rPr>
            </w:pPr>
          </w:p>
        </w:tc>
        <w:tc>
          <w:tcPr>
            <w:tcW w:w="3324" w:type="pct"/>
            <w:gridSpan w:val="3"/>
            <w:tcBorders>
              <w:top w:val="single" w:sz="12" w:space="0" w:color="auto"/>
              <w:bottom w:val="single" w:sz="12" w:space="0" w:color="auto"/>
            </w:tcBorders>
          </w:tcPr>
          <w:p w14:paraId="539F8C42" w14:textId="77777777" w:rsidR="001B5937" w:rsidRPr="00C07D9C" w:rsidRDefault="001B5937" w:rsidP="00CF04FA">
            <w:pPr>
              <w:spacing w:line="360" w:lineRule="auto"/>
              <w:jc w:val="center"/>
              <w:rPr>
                <w:rFonts w:ascii="Times New Roman" w:hAnsi="Times New Roman" w:cs="Times New Roman"/>
                <w:sz w:val="22"/>
                <w:szCs w:val="22"/>
              </w:rPr>
            </w:pPr>
            <w:r w:rsidRPr="00C07D9C">
              <w:rPr>
                <w:rFonts w:ascii="Times New Roman" w:hAnsi="Times New Roman" w:cs="Times New Roman"/>
                <w:sz w:val="22"/>
                <w:szCs w:val="22"/>
              </w:rPr>
              <w:t>Region of patients</w:t>
            </w:r>
          </w:p>
        </w:tc>
      </w:tr>
      <w:tr w:rsidR="001B5937" w:rsidRPr="00C07D9C" w14:paraId="435C1FF9" w14:textId="77777777" w:rsidTr="00CF04FA">
        <w:tc>
          <w:tcPr>
            <w:tcW w:w="1676" w:type="pct"/>
            <w:tcBorders>
              <w:bottom w:val="single" w:sz="12" w:space="0" w:color="auto"/>
            </w:tcBorders>
          </w:tcPr>
          <w:p w14:paraId="3948D6A9" w14:textId="77777777" w:rsidR="001B5937" w:rsidRDefault="001B5937" w:rsidP="00CF04FA">
            <w:pPr>
              <w:jc w:val="both"/>
              <w:rPr>
                <w:rFonts w:ascii="Times New Roman" w:hAnsi="Times New Roman" w:cs="Times New Roman"/>
                <w:sz w:val="22"/>
                <w:szCs w:val="22"/>
              </w:rPr>
            </w:pPr>
          </w:p>
          <w:p w14:paraId="3A5FD355" w14:textId="77777777" w:rsidR="001B5937" w:rsidRPr="00C07D9C" w:rsidRDefault="001B5937" w:rsidP="00CF04FA">
            <w:pPr>
              <w:jc w:val="both"/>
              <w:rPr>
                <w:rFonts w:ascii="Times New Roman" w:hAnsi="Times New Roman" w:cs="Times New Roman"/>
                <w:sz w:val="22"/>
                <w:szCs w:val="22"/>
              </w:rPr>
            </w:pPr>
            <w:r>
              <w:rPr>
                <w:rFonts w:ascii="Times New Roman" w:hAnsi="Times New Roman" w:cs="Times New Roman"/>
                <w:sz w:val="22"/>
                <w:szCs w:val="22"/>
              </w:rPr>
              <w:t>Variables</w:t>
            </w:r>
          </w:p>
        </w:tc>
        <w:tc>
          <w:tcPr>
            <w:tcW w:w="1020" w:type="pct"/>
            <w:tcBorders>
              <w:top w:val="single" w:sz="12" w:space="0" w:color="auto"/>
              <w:bottom w:val="single" w:sz="12" w:space="0" w:color="auto"/>
            </w:tcBorders>
          </w:tcPr>
          <w:p w14:paraId="093B37BA" w14:textId="77777777" w:rsidR="001B5937" w:rsidRPr="00C07D9C" w:rsidRDefault="001B5937" w:rsidP="00CF04FA">
            <w:pPr>
              <w:jc w:val="center"/>
              <w:rPr>
                <w:rFonts w:ascii="Times New Roman" w:hAnsi="Times New Roman" w:cs="Times New Roman"/>
                <w:sz w:val="22"/>
                <w:szCs w:val="22"/>
              </w:rPr>
            </w:pPr>
            <w:r w:rsidRPr="00C07D9C">
              <w:rPr>
                <w:rFonts w:ascii="Times New Roman" w:hAnsi="Times New Roman" w:cs="Times New Roman"/>
                <w:sz w:val="22"/>
                <w:szCs w:val="22"/>
              </w:rPr>
              <w:t>Least deprived (n=1350)</w:t>
            </w:r>
          </w:p>
        </w:tc>
        <w:tc>
          <w:tcPr>
            <w:tcW w:w="1163" w:type="pct"/>
            <w:tcBorders>
              <w:top w:val="single" w:sz="12" w:space="0" w:color="auto"/>
              <w:bottom w:val="single" w:sz="12" w:space="0" w:color="auto"/>
            </w:tcBorders>
          </w:tcPr>
          <w:p w14:paraId="3FD597DD" w14:textId="77777777" w:rsidR="001B5937" w:rsidRPr="00C07D9C" w:rsidRDefault="001B5937" w:rsidP="00CF04FA">
            <w:pPr>
              <w:jc w:val="center"/>
              <w:rPr>
                <w:rFonts w:ascii="Times New Roman" w:hAnsi="Times New Roman" w:cs="Times New Roman"/>
                <w:sz w:val="22"/>
                <w:szCs w:val="22"/>
              </w:rPr>
            </w:pPr>
            <w:r w:rsidRPr="00C07D9C">
              <w:rPr>
                <w:rFonts w:ascii="Times New Roman" w:hAnsi="Times New Roman" w:cs="Times New Roman"/>
                <w:sz w:val="22"/>
                <w:szCs w:val="22"/>
              </w:rPr>
              <w:t>Intermediate Deprived (n=1127)</w:t>
            </w:r>
          </w:p>
        </w:tc>
        <w:tc>
          <w:tcPr>
            <w:tcW w:w="1142" w:type="pct"/>
            <w:tcBorders>
              <w:top w:val="single" w:sz="12" w:space="0" w:color="auto"/>
              <w:bottom w:val="single" w:sz="12" w:space="0" w:color="auto"/>
            </w:tcBorders>
          </w:tcPr>
          <w:p w14:paraId="002FC318" w14:textId="77777777" w:rsidR="001B5937" w:rsidRPr="00C07D9C" w:rsidRDefault="001B5937" w:rsidP="00CF04FA">
            <w:pPr>
              <w:spacing w:after="120"/>
              <w:jc w:val="center"/>
              <w:rPr>
                <w:rFonts w:ascii="Times New Roman" w:hAnsi="Times New Roman" w:cs="Times New Roman"/>
                <w:sz w:val="22"/>
                <w:szCs w:val="22"/>
              </w:rPr>
            </w:pPr>
            <w:r w:rsidRPr="00C07D9C">
              <w:rPr>
                <w:rFonts w:ascii="Times New Roman" w:hAnsi="Times New Roman" w:cs="Times New Roman"/>
                <w:sz w:val="22"/>
                <w:szCs w:val="22"/>
              </w:rPr>
              <w:t>Most Deprived (n=1785)</w:t>
            </w:r>
          </w:p>
        </w:tc>
      </w:tr>
      <w:tr w:rsidR="001B5937" w:rsidRPr="00C07D9C" w14:paraId="518F0C31" w14:textId="77777777" w:rsidTr="00CF04FA">
        <w:tc>
          <w:tcPr>
            <w:tcW w:w="1676" w:type="pct"/>
          </w:tcPr>
          <w:p w14:paraId="40436C66" w14:textId="77777777" w:rsidR="001B5937" w:rsidRPr="00C07D9C" w:rsidRDefault="001B5937" w:rsidP="00CF04FA">
            <w:pPr>
              <w:spacing w:before="120" w:line="360" w:lineRule="auto"/>
              <w:jc w:val="both"/>
              <w:rPr>
                <w:rFonts w:ascii="Times New Roman" w:hAnsi="Times New Roman" w:cs="Times New Roman"/>
                <w:sz w:val="22"/>
                <w:szCs w:val="22"/>
              </w:rPr>
            </w:pPr>
            <w:r w:rsidRPr="00C07D9C">
              <w:rPr>
                <w:rFonts w:ascii="Times New Roman" w:hAnsi="Times New Roman" w:cs="Times New Roman"/>
                <w:sz w:val="22"/>
                <w:szCs w:val="22"/>
              </w:rPr>
              <w:t xml:space="preserve">Age </w:t>
            </w:r>
            <w:r>
              <w:rPr>
                <w:rFonts w:ascii="Times New Roman" w:hAnsi="Times New Roman" w:cs="Times New Roman"/>
                <w:sz w:val="22"/>
                <w:szCs w:val="22"/>
              </w:rPr>
              <w:t xml:space="preserve">≤ </w:t>
            </w:r>
            <w:r w:rsidRPr="00C07D9C">
              <w:rPr>
                <w:rFonts w:ascii="Times New Roman" w:hAnsi="Times New Roman" w:cs="Times New Roman"/>
                <w:sz w:val="22"/>
                <w:szCs w:val="22"/>
              </w:rPr>
              <w:t>65 years</w:t>
            </w:r>
          </w:p>
        </w:tc>
        <w:tc>
          <w:tcPr>
            <w:tcW w:w="1020" w:type="pct"/>
          </w:tcPr>
          <w:p w14:paraId="75A25E37"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0.77 (0.64 – 0.91) *</w:t>
            </w:r>
          </w:p>
        </w:tc>
        <w:tc>
          <w:tcPr>
            <w:tcW w:w="1163" w:type="pct"/>
          </w:tcPr>
          <w:p w14:paraId="71056A06"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 xml:space="preserve">0.86 (0.73 – 0.98) </w:t>
            </w:r>
            <w:r w:rsidRPr="00C07D9C">
              <w:rPr>
                <w:rStyle w:val="e24kjd"/>
                <w:rFonts w:ascii="Times New Roman" w:hAnsi="Times New Roman" w:cs="Times New Roman"/>
                <w:szCs w:val="20"/>
              </w:rPr>
              <w:t>†</w:t>
            </w:r>
          </w:p>
        </w:tc>
        <w:tc>
          <w:tcPr>
            <w:tcW w:w="1142" w:type="pct"/>
          </w:tcPr>
          <w:p w14:paraId="77C166BB" w14:textId="77777777" w:rsidR="001B5937" w:rsidRPr="00C07D9C" w:rsidRDefault="001B5937" w:rsidP="00CF04FA">
            <w:pPr>
              <w:spacing w:before="120" w:line="360" w:lineRule="auto"/>
              <w:jc w:val="center"/>
              <w:rPr>
                <w:rFonts w:ascii="Times New Roman" w:hAnsi="Times New Roman" w:cs="Times New Roman"/>
                <w:sz w:val="22"/>
                <w:szCs w:val="22"/>
              </w:rPr>
            </w:pPr>
            <w:r>
              <w:rPr>
                <w:rFonts w:ascii="Times New Roman" w:hAnsi="Times New Roman" w:cs="Times New Roman"/>
                <w:sz w:val="22"/>
                <w:szCs w:val="22"/>
              </w:rPr>
              <w:t>0.76 (0.66 – 0.86) *</w:t>
            </w:r>
          </w:p>
        </w:tc>
      </w:tr>
      <w:tr w:rsidR="001B5937" w:rsidRPr="00C07D9C" w14:paraId="10AE70B3" w14:textId="77777777" w:rsidTr="00CF04FA">
        <w:tc>
          <w:tcPr>
            <w:tcW w:w="1676" w:type="pct"/>
          </w:tcPr>
          <w:p w14:paraId="77D3A22B"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Female</w:t>
            </w:r>
            <w:r w:rsidRPr="00C07D9C">
              <w:rPr>
                <w:rFonts w:ascii="Times New Roman" w:hAnsi="Times New Roman" w:cs="Times New Roman"/>
                <w:sz w:val="22"/>
                <w:szCs w:val="22"/>
              </w:rPr>
              <w:t xml:space="preserve"> </w:t>
            </w:r>
          </w:p>
        </w:tc>
        <w:tc>
          <w:tcPr>
            <w:tcW w:w="1020" w:type="pct"/>
          </w:tcPr>
          <w:p w14:paraId="0D013AD1"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0.96 (0.79 – 1.17)</w:t>
            </w:r>
          </w:p>
        </w:tc>
        <w:tc>
          <w:tcPr>
            <w:tcW w:w="1163" w:type="pct"/>
          </w:tcPr>
          <w:p w14:paraId="033A2CAF"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0.84 (0.68 – 1.04)</w:t>
            </w:r>
          </w:p>
        </w:tc>
        <w:tc>
          <w:tcPr>
            <w:tcW w:w="1142" w:type="pct"/>
          </w:tcPr>
          <w:p w14:paraId="69D0F75C"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1.06 (0.90 – 1.25)</w:t>
            </w:r>
          </w:p>
        </w:tc>
      </w:tr>
      <w:tr w:rsidR="001B5937" w:rsidRPr="00C07D9C" w14:paraId="75B2FE4C" w14:textId="77777777" w:rsidTr="00CF04FA">
        <w:tc>
          <w:tcPr>
            <w:tcW w:w="1676" w:type="pct"/>
          </w:tcPr>
          <w:p w14:paraId="0F263934"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Viral hepatitis </w:t>
            </w:r>
          </w:p>
        </w:tc>
        <w:tc>
          <w:tcPr>
            <w:tcW w:w="1020" w:type="pct"/>
          </w:tcPr>
          <w:p w14:paraId="486D3FE1"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0.90 (0.77 – 1.05)</w:t>
            </w:r>
          </w:p>
        </w:tc>
        <w:tc>
          <w:tcPr>
            <w:tcW w:w="1163" w:type="pct"/>
          </w:tcPr>
          <w:p w14:paraId="2238793A"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0.92 (0.77 – 1.09)</w:t>
            </w:r>
          </w:p>
        </w:tc>
        <w:tc>
          <w:tcPr>
            <w:tcW w:w="1142" w:type="pct"/>
          </w:tcPr>
          <w:p w14:paraId="6B8F5B6B"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0.89 (0.77 – 1.04)</w:t>
            </w:r>
          </w:p>
        </w:tc>
      </w:tr>
      <w:tr w:rsidR="001B5937" w:rsidRPr="00C07D9C" w14:paraId="388ADC3E" w14:textId="77777777" w:rsidTr="00CF04FA">
        <w:tc>
          <w:tcPr>
            <w:tcW w:w="1676" w:type="pct"/>
          </w:tcPr>
          <w:p w14:paraId="6ED28F22"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 xml:space="preserve">MELD </w:t>
            </w:r>
            <w:r>
              <w:rPr>
                <w:rFonts w:ascii="Times New Roman" w:hAnsi="Times New Roman" w:cs="Times New Roman"/>
                <w:sz w:val="22"/>
                <w:szCs w:val="22"/>
              </w:rPr>
              <w:t>≤</w:t>
            </w:r>
            <w:r w:rsidRPr="00C07D9C">
              <w:rPr>
                <w:rFonts w:ascii="Times New Roman" w:hAnsi="Times New Roman" w:cs="Times New Roman"/>
                <w:sz w:val="22"/>
                <w:szCs w:val="22"/>
              </w:rPr>
              <w:t xml:space="preserve"> 10</w:t>
            </w:r>
          </w:p>
        </w:tc>
        <w:tc>
          <w:tcPr>
            <w:tcW w:w="1020" w:type="pct"/>
          </w:tcPr>
          <w:p w14:paraId="1ECA105A"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0.57 (0.48 – 0.67) *</w:t>
            </w:r>
          </w:p>
        </w:tc>
        <w:tc>
          <w:tcPr>
            <w:tcW w:w="1163" w:type="pct"/>
          </w:tcPr>
          <w:p w14:paraId="48E2100E"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0.54 (0.46 – 0.65) *</w:t>
            </w:r>
          </w:p>
        </w:tc>
        <w:tc>
          <w:tcPr>
            <w:tcW w:w="1142" w:type="pct"/>
          </w:tcPr>
          <w:p w14:paraId="238ECE3E"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0.60 (0.59 – 0.81) *</w:t>
            </w:r>
          </w:p>
        </w:tc>
      </w:tr>
      <w:tr w:rsidR="001B5937" w:rsidRPr="00C07D9C" w14:paraId="5D82F8B6" w14:textId="77777777" w:rsidTr="00CF04FA">
        <w:tc>
          <w:tcPr>
            <w:tcW w:w="1676" w:type="pct"/>
          </w:tcPr>
          <w:p w14:paraId="42300772"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Within Milan criteria</w:t>
            </w:r>
          </w:p>
        </w:tc>
        <w:tc>
          <w:tcPr>
            <w:tcW w:w="1020" w:type="pct"/>
          </w:tcPr>
          <w:p w14:paraId="479A80D9"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0.74 (0.62 – 0.87) *</w:t>
            </w:r>
          </w:p>
        </w:tc>
        <w:tc>
          <w:tcPr>
            <w:tcW w:w="1163" w:type="pct"/>
          </w:tcPr>
          <w:p w14:paraId="0D4DD5E8"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0.74 (0.62 – 0.88) *</w:t>
            </w:r>
          </w:p>
        </w:tc>
        <w:tc>
          <w:tcPr>
            <w:tcW w:w="1142" w:type="pct"/>
          </w:tcPr>
          <w:p w14:paraId="7E13ED49"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0.69 (0.59 – 0.81) *</w:t>
            </w:r>
          </w:p>
        </w:tc>
      </w:tr>
      <w:tr w:rsidR="001B5937" w:rsidRPr="00C07D9C" w14:paraId="0CE07D84" w14:textId="77777777" w:rsidTr="00CF04FA">
        <w:tc>
          <w:tcPr>
            <w:tcW w:w="1676" w:type="pct"/>
          </w:tcPr>
          <w:p w14:paraId="048C4D3D"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ECOG 0-1</w:t>
            </w:r>
          </w:p>
        </w:tc>
        <w:tc>
          <w:tcPr>
            <w:tcW w:w="1020" w:type="pct"/>
          </w:tcPr>
          <w:p w14:paraId="157BDEF3"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0.52 (0.41 – 0.65) *</w:t>
            </w:r>
          </w:p>
        </w:tc>
        <w:tc>
          <w:tcPr>
            <w:tcW w:w="1163" w:type="pct"/>
          </w:tcPr>
          <w:p w14:paraId="4C24D62F"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0.42 (0.33 – 0.54) *</w:t>
            </w:r>
          </w:p>
        </w:tc>
        <w:tc>
          <w:tcPr>
            <w:tcW w:w="1142" w:type="pct"/>
          </w:tcPr>
          <w:p w14:paraId="3C39B4F9"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0.48 (0.38 – 0.59) *</w:t>
            </w:r>
          </w:p>
        </w:tc>
      </w:tr>
      <w:tr w:rsidR="001B5937" w:rsidRPr="00C07D9C" w14:paraId="5BECF665" w14:textId="77777777" w:rsidTr="00CF04FA">
        <w:tc>
          <w:tcPr>
            <w:tcW w:w="1676" w:type="pct"/>
          </w:tcPr>
          <w:p w14:paraId="1B3BE841" w14:textId="77777777" w:rsidR="001B5937" w:rsidRPr="00C07D9C" w:rsidRDefault="001B5937" w:rsidP="00CF04FA">
            <w:pPr>
              <w:spacing w:line="360" w:lineRule="auto"/>
              <w:jc w:val="both"/>
              <w:rPr>
                <w:rFonts w:ascii="Times New Roman" w:hAnsi="Times New Roman" w:cs="Times New Roman"/>
                <w:sz w:val="22"/>
                <w:szCs w:val="22"/>
              </w:rPr>
            </w:pPr>
            <w:r>
              <w:rPr>
                <w:rFonts w:ascii="Times New Roman" w:hAnsi="Times New Roman" w:cs="Times New Roman"/>
                <w:sz w:val="22"/>
                <w:szCs w:val="22"/>
              </w:rPr>
              <w:t>Absence of MaVI</w:t>
            </w:r>
          </w:p>
        </w:tc>
        <w:tc>
          <w:tcPr>
            <w:tcW w:w="1020" w:type="pct"/>
          </w:tcPr>
          <w:p w14:paraId="6449BB09"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0.30 (0.24 – 0.38) *</w:t>
            </w:r>
          </w:p>
        </w:tc>
        <w:tc>
          <w:tcPr>
            <w:tcW w:w="1163" w:type="pct"/>
          </w:tcPr>
          <w:p w14:paraId="7B9935A9"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0.41 (0.32 – 0.52) *</w:t>
            </w:r>
          </w:p>
        </w:tc>
        <w:tc>
          <w:tcPr>
            <w:tcW w:w="1142" w:type="pct"/>
          </w:tcPr>
          <w:p w14:paraId="3FAC9C17" w14:textId="77777777" w:rsidR="001B5937"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0.32 (0.27 – 0.40) *</w:t>
            </w:r>
          </w:p>
        </w:tc>
      </w:tr>
      <w:tr w:rsidR="001B5937" w:rsidRPr="00C07D9C" w14:paraId="18682D8B" w14:textId="77777777" w:rsidTr="00CF04FA">
        <w:tc>
          <w:tcPr>
            <w:tcW w:w="1676" w:type="pct"/>
          </w:tcPr>
          <w:p w14:paraId="2CB56AF1"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Migrate to mo</w:t>
            </w:r>
            <w:r>
              <w:rPr>
                <w:rFonts w:ascii="Times New Roman" w:hAnsi="Times New Roman" w:cs="Times New Roman"/>
                <w:sz w:val="22"/>
                <w:szCs w:val="22"/>
              </w:rPr>
              <w:t>re</w:t>
            </w:r>
            <w:r w:rsidRPr="00C07D9C">
              <w:rPr>
                <w:rFonts w:ascii="Times New Roman" w:hAnsi="Times New Roman" w:cs="Times New Roman"/>
                <w:sz w:val="22"/>
                <w:szCs w:val="22"/>
              </w:rPr>
              <w:t xml:space="preserve"> deprived</w:t>
            </w:r>
            <w:r>
              <w:rPr>
                <w:rFonts w:ascii="Times New Roman" w:hAnsi="Times New Roman" w:cs="Times New Roman"/>
                <w:sz w:val="22"/>
                <w:szCs w:val="22"/>
              </w:rPr>
              <w:t xml:space="preserve"> regions</w:t>
            </w:r>
          </w:p>
        </w:tc>
        <w:tc>
          <w:tcPr>
            <w:tcW w:w="1020" w:type="pct"/>
          </w:tcPr>
          <w:p w14:paraId="46D468C1"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1.13 (0.83 – 1.52)</w:t>
            </w:r>
          </w:p>
        </w:tc>
        <w:tc>
          <w:tcPr>
            <w:tcW w:w="1163" w:type="pct"/>
          </w:tcPr>
          <w:p w14:paraId="5DC39FB5"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1.10 (0.84 – 1.44)</w:t>
            </w:r>
          </w:p>
        </w:tc>
        <w:tc>
          <w:tcPr>
            <w:tcW w:w="1142" w:type="pct"/>
          </w:tcPr>
          <w:p w14:paraId="34D2DCAA"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p>
        </w:tc>
      </w:tr>
      <w:tr w:rsidR="001B5937" w:rsidRPr="00C07D9C" w14:paraId="6F4C3532" w14:textId="77777777" w:rsidTr="00CF04FA">
        <w:tc>
          <w:tcPr>
            <w:tcW w:w="1676" w:type="pct"/>
            <w:tcBorders>
              <w:bottom w:val="single" w:sz="12" w:space="0" w:color="auto"/>
            </w:tcBorders>
          </w:tcPr>
          <w:p w14:paraId="6FA7E16B" w14:textId="77777777" w:rsidR="001B5937" w:rsidRPr="00C07D9C" w:rsidRDefault="001B5937" w:rsidP="00CF04FA">
            <w:pPr>
              <w:spacing w:line="360" w:lineRule="auto"/>
              <w:jc w:val="both"/>
              <w:rPr>
                <w:rFonts w:ascii="Times New Roman" w:hAnsi="Times New Roman" w:cs="Times New Roman"/>
                <w:sz w:val="22"/>
                <w:szCs w:val="22"/>
              </w:rPr>
            </w:pPr>
            <w:r w:rsidRPr="00C07D9C">
              <w:rPr>
                <w:rFonts w:ascii="Times New Roman" w:hAnsi="Times New Roman" w:cs="Times New Roman"/>
                <w:sz w:val="22"/>
                <w:szCs w:val="22"/>
              </w:rPr>
              <w:t>Migrate to le</w:t>
            </w:r>
            <w:r>
              <w:rPr>
                <w:rFonts w:ascii="Times New Roman" w:hAnsi="Times New Roman" w:cs="Times New Roman"/>
                <w:sz w:val="22"/>
                <w:szCs w:val="22"/>
              </w:rPr>
              <w:t>ss</w:t>
            </w:r>
            <w:r w:rsidRPr="00C07D9C">
              <w:rPr>
                <w:rFonts w:ascii="Times New Roman" w:hAnsi="Times New Roman" w:cs="Times New Roman"/>
                <w:sz w:val="22"/>
                <w:szCs w:val="22"/>
              </w:rPr>
              <w:t xml:space="preserve"> deprived</w:t>
            </w:r>
            <w:r>
              <w:rPr>
                <w:rFonts w:ascii="Times New Roman" w:hAnsi="Times New Roman" w:cs="Times New Roman"/>
                <w:sz w:val="22"/>
                <w:szCs w:val="22"/>
              </w:rPr>
              <w:t xml:space="preserve"> regions</w:t>
            </w:r>
          </w:p>
        </w:tc>
        <w:tc>
          <w:tcPr>
            <w:tcW w:w="1020" w:type="pct"/>
            <w:tcBorders>
              <w:bottom w:val="single" w:sz="12" w:space="0" w:color="auto"/>
            </w:tcBorders>
          </w:tcPr>
          <w:p w14:paraId="167FC15B"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163" w:type="pct"/>
            <w:tcBorders>
              <w:bottom w:val="single" w:sz="12" w:space="0" w:color="auto"/>
            </w:tcBorders>
          </w:tcPr>
          <w:p w14:paraId="3E2980B9"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0.82 (0.41 – 1.66)</w:t>
            </w:r>
          </w:p>
        </w:tc>
        <w:tc>
          <w:tcPr>
            <w:tcW w:w="1142" w:type="pct"/>
            <w:tcBorders>
              <w:bottom w:val="single" w:sz="12" w:space="0" w:color="auto"/>
            </w:tcBorders>
          </w:tcPr>
          <w:p w14:paraId="593C09AE" w14:textId="77777777" w:rsidR="001B5937" w:rsidRPr="00C07D9C" w:rsidRDefault="001B5937" w:rsidP="00CF04FA">
            <w:pPr>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0.78 (0.67 – 0.90) </w:t>
            </w:r>
            <w:r w:rsidRPr="00C07D9C">
              <w:rPr>
                <w:rStyle w:val="e24kjd"/>
                <w:rFonts w:ascii="Times New Roman" w:hAnsi="Times New Roman" w:cs="Times New Roman"/>
                <w:szCs w:val="20"/>
              </w:rPr>
              <w:t>†</w:t>
            </w:r>
          </w:p>
        </w:tc>
      </w:tr>
    </w:tbl>
    <w:p w14:paraId="59A1A8F6" w14:textId="77777777" w:rsidR="001B5937" w:rsidRDefault="001B5937" w:rsidP="001B5937">
      <w:pPr>
        <w:spacing w:line="360" w:lineRule="auto"/>
        <w:jc w:val="both"/>
        <w:rPr>
          <w:rFonts w:ascii="Times New Roman" w:hAnsi="Times New Roman" w:cs="Times New Roman"/>
          <w:sz w:val="20"/>
          <w:szCs w:val="20"/>
        </w:rPr>
      </w:pPr>
    </w:p>
    <w:p w14:paraId="29DBD17E" w14:textId="77777777" w:rsidR="001B5937" w:rsidRDefault="001B5937" w:rsidP="001B5937">
      <w:pPr>
        <w:jc w:val="both"/>
        <w:rPr>
          <w:rFonts w:ascii="Times New Roman" w:hAnsi="Times New Roman" w:cs="Times New Roman"/>
          <w:sz w:val="20"/>
          <w:szCs w:val="20"/>
        </w:rPr>
      </w:pPr>
      <w:r>
        <w:rPr>
          <w:rFonts w:ascii="Times New Roman" w:hAnsi="Times New Roman" w:cs="Times New Roman"/>
          <w:sz w:val="20"/>
          <w:szCs w:val="20"/>
        </w:rPr>
        <w:t xml:space="preserve">Numbers in parenthesis represent 95% confidence bands. </w:t>
      </w:r>
      <w:r w:rsidRPr="005225CE">
        <w:rPr>
          <w:rFonts w:ascii="Times New Roman" w:hAnsi="Times New Roman" w:cs="Times New Roman"/>
          <w:sz w:val="20"/>
          <w:szCs w:val="20"/>
        </w:rPr>
        <w:t xml:space="preserve">Results derived from simple </w:t>
      </w:r>
      <w:r>
        <w:rPr>
          <w:rFonts w:ascii="Times New Roman" w:hAnsi="Times New Roman" w:cs="Times New Roman"/>
          <w:sz w:val="20"/>
          <w:szCs w:val="20"/>
        </w:rPr>
        <w:t xml:space="preserve">Cox regression </w:t>
      </w:r>
      <w:r w:rsidRPr="005225CE">
        <w:rPr>
          <w:rFonts w:ascii="Times New Roman" w:hAnsi="Times New Roman" w:cs="Times New Roman"/>
          <w:sz w:val="20"/>
          <w:szCs w:val="20"/>
        </w:rPr>
        <w:t xml:space="preserve">of each variable with p&gt;0.10 or from the moment of exit at the backward selection of multivariable </w:t>
      </w:r>
      <w:r>
        <w:rPr>
          <w:rFonts w:ascii="Times New Roman" w:hAnsi="Times New Roman" w:cs="Times New Roman"/>
          <w:sz w:val="20"/>
          <w:szCs w:val="20"/>
        </w:rPr>
        <w:t>approach</w:t>
      </w:r>
      <w:r w:rsidRPr="005225CE">
        <w:rPr>
          <w:rFonts w:ascii="Times New Roman" w:hAnsi="Times New Roman" w:cs="Times New Roman"/>
          <w:sz w:val="20"/>
          <w:szCs w:val="20"/>
        </w:rPr>
        <w:t xml:space="preserve"> when p&gt;0.10. Each univariable result is omitted for simplicity</w:t>
      </w:r>
      <w:r>
        <w:rPr>
          <w:rFonts w:ascii="Times New Roman" w:hAnsi="Times New Roman" w:cs="Times New Roman"/>
          <w:sz w:val="20"/>
          <w:szCs w:val="20"/>
        </w:rPr>
        <w:t>.</w:t>
      </w:r>
    </w:p>
    <w:p w14:paraId="7100865E" w14:textId="77777777" w:rsidR="001B5937" w:rsidRDefault="001B5937" w:rsidP="001B5937">
      <w:pPr>
        <w:jc w:val="both"/>
        <w:rPr>
          <w:rFonts w:ascii="Times New Roman" w:hAnsi="Times New Roman" w:cs="Times New Roman"/>
          <w:sz w:val="20"/>
          <w:szCs w:val="20"/>
        </w:rPr>
      </w:pPr>
    </w:p>
    <w:p w14:paraId="3C2FBBCF" w14:textId="77777777" w:rsidR="001B5937" w:rsidRDefault="001B5937" w:rsidP="001B5937">
      <w:pPr>
        <w:jc w:val="both"/>
        <w:rPr>
          <w:rFonts w:ascii="Times New Roman" w:hAnsi="Times New Roman" w:cs="Times New Roman"/>
          <w:sz w:val="20"/>
          <w:szCs w:val="20"/>
        </w:rPr>
      </w:pPr>
      <w:r>
        <w:rPr>
          <w:rFonts w:ascii="Times New Roman" w:hAnsi="Times New Roman" w:cs="Times New Roman"/>
          <w:sz w:val="20"/>
          <w:szCs w:val="20"/>
        </w:rPr>
        <w:t xml:space="preserve">Abbreviations: MELD = model for end-stage liver disease; ECOG = </w:t>
      </w:r>
      <w:r w:rsidRPr="00DB7CAA">
        <w:rPr>
          <w:rFonts w:ascii="Times New Roman" w:hAnsi="Times New Roman" w:cs="Times New Roman" w:hint="eastAsia"/>
          <w:sz w:val="20"/>
          <w:szCs w:val="20"/>
        </w:rPr>
        <w:t>Eastern Cooperative Oncology Group</w:t>
      </w:r>
      <w:r>
        <w:rPr>
          <w:rFonts w:ascii="Times New Roman" w:hAnsi="Times New Roman" w:cs="Times New Roman"/>
          <w:sz w:val="20"/>
          <w:szCs w:val="20"/>
        </w:rPr>
        <w:t>; MaVI = macroscopic (neoplastic) vascular invasion.</w:t>
      </w:r>
    </w:p>
    <w:p w14:paraId="0E44D130" w14:textId="77777777" w:rsidR="001B5937" w:rsidRPr="00C07D9C" w:rsidRDefault="001B5937" w:rsidP="001B5937">
      <w:pPr>
        <w:jc w:val="both"/>
        <w:rPr>
          <w:rFonts w:ascii="Times New Roman" w:hAnsi="Times New Roman" w:cs="Times New Roman"/>
          <w:sz w:val="20"/>
          <w:szCs w:val="20"/>
        </w:rPr>
      </w:pPr>
    </w:p>
    <w:p w14:paraId="0119E1E1" w14:textId="77777777" w:rsidR="001B5937" w:rsidRPr="00C07D9C" w:rsidRDefault="001B5937" w:rsidP="001B5937">
      <w:pPr>
        <w:jc w:val="both"/>
        <w:rPr>
          <w:rFonts w:ascii="Times New Roman" w:hAnsi="Times New Roman" w:cs="Times New Roman"/>
          <w:sz w:val="20"/>
          <w:szCs w:val="20"/>
        </w:rPr>
      </w:pPr>
      <w:r w:rsidRPr="00C07D9C">
        <w:rPr>
          <w:rFonts w:ascii="Times New Roman" w:hAnsi="Times New Roman" w:cs="Times New Roman"/>
          <w:sz w:val="20"/>
          <w:szCs w:val="20"/>
        </w:rPr>
        <w:t>* &lt;0.001</w:t>
      </w:r>
    </w:p>
    <w:p w14:paraId="58FB1422" w14:textId="77777777" w:rsidR="001B5937" w:rsidRPr="00C07D9C" w:rsidRDefault="001B5937" w:rsidP="001B5937">
      <w:pPr>
        <w:jc w:val="both"/>
        <w:rPr>
          <w:rStyle w:val="e24kjd"/>
          <w:rFonts w:ascii="Times New Roman" w:hAnsi="Times New Roman" w:cs="Times New Roman"/>
          <w:sz w:val="20"/>
          <w:szCs w:val="20"/>
        </w:rPr>
      </w:pPr>
      <w:r w:rsidRPr="00C07D9C">
        <w:rPr>
          <w:rStyle w:val="e24kjd"/>
          <w:rFonts w:ascii="Times New Roman" w:hAnsi="Times New Roman" w:cs="Times New Roman"/>
          <w:sz w:val="20"/>
          <w:szCs w:val="20"/>
        </w:rPr>
        <w:t>† &lt;0.05</w:t>
      </w:r>
    </w:p>
    <w:p w14:paraId="33403A50" w14:textId="77777777" w:rsidR="001B5937" w:rsidRPr="00C07D9C" w:rsidRDefault="001B5937" w:rsidP="001B5937">
      <w:pPr>
        <w:jc w:val="both"/>
        <w:rPr>
          <w:rStyle w:val="e24kjd"/>
          <w:rFonts w:ascii="Times New Roman" w:hAnsi="Times New Roman" w:cs="Times New Roman"/>
          <w:sz w:val="20"/>
          <w:szCs w:val="20"/>
        </w:rPr>
      </w:pPr>
      <w:r w:rsidRPr="00C07D9C">
        <w:rPr>
          <w:rStyle w:val="e24kjd"/>
          <w:rFonts w:ascii="Times New Roman" w:hAnsi="Times New Roman" w:cs="Times New Roman"/>
          <w:sz w:val="20"/>
          <w:szCs w:val="20"/>
        </w:rPr>
        <w:t>‡ &lt;0.10</w:t>
      </w:r>
    </w:p>
    <w:p w14:paraId="4209EBD3" w14:textId="77777777" w:rsidR="001B5937" w:rsidRDefault="001B5937" w:rsidP="001B5937">
      <w:pPr>
        <w:rPr>
          <w:rFonts w:hint="eastAsia"/>
          <w:sz w:val="20"/>
          <w:szCs w:val="20"/>
        </w:rPr>
      </w:pPr>
      <w:r>
        <w:rPr>
          <w:rFonts w:hint="eastAsia"/>
          <w:sz w:val="20"/>
          <w:szCs w:val="20"/>
        </w:rPr>
        <w:br w:type="page"/>
      </w:r>
    </w:p>
    <w:p w14:paraId="11A8D28D" w14:textId="77777777" w:rsidR="001B5937" w:rsidRDefault="001B5937" w:rsidP="001B5937">
      <w:pPr>
        <w:rPr>
          <w:rFonts w:hint="eastAsia"/>
          <w:sz w:val="20"/>
          <w:szCs w:val="20"/>
        </w:rPr>
      </w:pPr>
      <w:r w:rsidRPr="00DC4FBF">
        <w:rPr>
          <w:noProof/>
          <w:sz w:val="20"/>
          <w:szCs w:val="20"/>
          <w:lang w:eastAsia="en-GB" w:bidi="ar-SA"/>
        </w:rPr>
        <w:lastRenderedPageBreak/>
        <w:drawing>
          <wp:inline distT="0" distB="0" distL="0" distR="0" wp14:anchorId="29587805" wp14:editId="420133AE">
            <wp:extent cx="3429479" cy="6096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479" cy="6096851"/>
                    </a:xfrm>
                    <a:prstGeom prst="rect">
                      <a:avLst/>
                    </a:prstGeom>
                  </pic:spPr>
                </pic:pic>
              </a:graphicData>
            </a:graphic>
          </wp:inline>
        </w:drawing>
      </w:r>
    </w:p>
    <w:p w14:paraId="14A216FC" w14:textId="77777777" w:rsidR="001B5937" w:rsidRDefault="001B5937" w:rsidP="001B5937">
      <w:pPr>
        <w:rPr>
          <w:rFonts w:hint="eastAsia"/>
          <w:sz w:val="20"/>
          <w:szCs w:val="20"/>
        </w:rPr>
      </w:pPr>
      <w:r>
        <w:rPr>
          <w:rFonts w:hint="eastAsia"/>
          <w:sz w:val="20"/>
          <w:szCs w:val="20"/>
        </w:rPr>
        <w:br w:type="page"/>
      </w:r>
    </w:p>
    <w:p w14:paraId="00000033" w14:textId="77777777" w:rsidR="00010561" w:rsidRDefault="00010561">
      <w:pPr>
        <w:rPr>
          <w:rFonts w:hint="eastAsia"/>
        </w:rPr>
      </w:pPr>
    </w:p>
    <w:sectPr w:rsidR="0001056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8D4"/>
    <w:multiLevelType w:val="multilevel"/>
    <w:tmpl w:val="4D78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606"/>
    <w:multiLevelType w:val="multilevel"/>
    <w:tmpl w:val="E10AE44C"/>
    <w:lvl w:ilvl="0">
      <w:start w:val="1"/>
      <w:numFmt w:val="decimal"/>
      <w:pStyle w:val="Heading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10D5631"/>
    <w:multiLevelType w:val="hybridMultilevel"/>
    <w:tmpl w:val="CCB01474"/>
    <w:lvl w:ilvl="0" w:tplc="E45E80CE">
      <w:start w:val="1"/>
      <w:numFmt w:val="decimal"/>
      <w:lvlText w:val="%1."/>
      <w:lvlJc w:val="left"/>
      <w:pPr>
        <w:ind w:left="780" w:hanging="360"/>
      </w:pPr>
      <w:rPr>
        <w:rFonts w:ascii="Liberation Serif" w:hAnsi="Liberation Serif"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1E5857E3"/>
    <w:multiLevelType w:val="hybridMultilevel"/>
    <w:tmpl w:val="7220B4A2"/>
    <w:lvl w:ilvl="0" w:tplc="9BDCE742">
      <w:start w:val="16"/>
      <w:numFmt w:val="bullet"/>
      <w:lvlText w:val=""/>
      <w:lvlJc w:val="left"/>
      <w:pPr>
        <w:ind w:left="720" w:hanging="360"/>
      </w:pPr>
      <w:rPr>
        <w:rFonts w:ascii="Symbol" w:eastAsia="SimSun" w:hAnsi="Symbol" w:cs="Mangal" w:hint="default"/>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794D25"/>
    <w:multiLevelType w:val="multilevel"/>
    <w:tmpl w:val="89E24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2E12C7"/>
    <w:multiLevelType w:val="hybridMultilevel"/>
    <w:tmpl w:val="F3A0DBBC"/>
    <w:lvl w:ilvl="0" w:tplc="BFB8A226">
      <w:start w:val="16"/>
      <w:numFmt w:val="bullet"/>
      <w:lvlText w:val=""/>
      <w:lvlJc w:val="left"/>
      <w:pPr>
        <w:ind w:left="720" w:hanging="360"/>
      </w:pPr>
      <w:rPr>
        <w:rFonts w:ascii="Symbol" w:eastAsia="SimSun" w:hAnsi="Symbol" w:cs="Mangal" w:hint="default"/>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E017CA"/>
    <w:multiLevelType w:val="hybridMultilevel"/>
    <w:tmpl w:val="B43A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81F04"/>
    <w:multiLevelType w:val="multilevel"/>
    <w:tmpl w:val="2D7691F0"/>
    <w:lvl w:ilvl="0">
      <w:start w:val="1"/>
      <w:numFmt w:val="decimal"/>
      <w:lvlText w:val="%1."/>
      <w:lvlJc w:val="left"/>
      <w:pPr>
        <w:ind w:left="780" w:hanging="360"/>
      </w:pPr>
      <w:rPr>
        <w:rFonts w:ascii="Liberation Serif" w:eastAsia="Liberation Serif" w:hAnsi="Liberation Serif" w:cs="Liberation Serif"/>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7AB6685C"/>
    <w:multiLevelType w:val="multilevel"/>
    <w:tmpl w:val="D35E3E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7"/>
  </w:num>
  <w:num w:numId="3">
    <w:abstractNumId w:val="8"/>
  </w:num>
  <w:num w:numId="4">
    <w:abstractNumId w:val="4"/>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61"/>
    <w:rsid w:val="0000454D"/>
    <w:rsid w:val="00005692"/>
    <w:rsid w:val="00010561"/>
    <w:rsid w:val="00020A5E"/>
    <w:rsid w:val="0004712D"/>
    <w:rsid w:val="00127CAF"/>
    <w:rsid w:val="00136E82"/>
    <w:rsid w:val="001B0B38"/>
    <w:rsid w:val="001B5937"/>
    <w:rsid w:val="00202E30"/>
    <w:rsid w:val="00225D76"/>
    <w:rsid w:val="00266CA4"/>
    <w:rsid w:val="002E58BF"/>
    <w:rsid w:val="0033173B"/>
    <w:rsid w:val="00370F5D"/>
    <w:rsid w:val="003829A9"/>
    <w:rsid w:val="003B3678"/>
    <w:rsid w:val="00423E77"/>
    <w:rsid w:val="004670A6"/>
    <w:rsid w:val="00490BFE"/>
    <w:rsid w:val="004A4E56"/>
    <w:rsid w:val="004E7DC8"/>
    <w:rsid w:val="00566EE2"/>
    <w:rsid w:val="005A4553"/>
    <w:rsid w:val="005C5EB2"/>
    <w:rsid w:val="006023C9"/>
    <w:rsid w:val="0061262C"/>
    <w:rsid w:val="00690077"/>
    <w:rsid w:val="006C498D"/>
    <w:rsid w:val="006D4F88"/>
    <w:rsid w:val="00702275"/>
    <w:rsid w:val="00707E15"/>
    <w:rsid w:val="00767E0C"/>
    <w:rsid w:val="007E1EDD"/>
    <w:rsid w:val="00815F80"/>
    <w:rsid w:val="00887947"/>
    <w:rsid w:val="00914C87"/>
    <w:rsid w:val="00983BD7"/>
    <w:rsid w:val="009B1DA5"/>
    <w:rsid w:val="009B2711"/>
    <w:rsid w:val="009B6DAF"/>
    <w:rsid w:val="009D2A87"/>
    <w:rsid w:val="009E2A62"/>
    <w:rsid w:val="00A33FD8"/>
    <w:rsid w:val="00A34A51"/>
    <w:rsid w:val="00A47797"/>
    <w:rsid w:val="00AD0698"/>
    <w:rsid w:val="00AF6E90"/>
    <w:rsid w:val="00B15380"/>
    <w:rsid w:val="00B60620"/>
    <w:rsid w:val="00C55611"/>
    <w:rsid w:val="00C74246"/>
    <w:rsid w:val="00CA5EA2"/>
    <w:rsid w:val="00CD1DAF"/>
    <w:rsid w:val="00CE0A19"/>
    <w:rsid w:val="00CF04FA"/>
    <w:rsid w:val="00D45277"/>
    <w:rsid w:val="00D5045C"/>
    <w:rsid w:val="00D61B0E"/>
    <w:rsid w:val="00D734E0"/>
    <w:rsid w:val="00DA58C6"/>
    <w:rsid w:val="00E033DE"/>
    <w:rsid w:val="00F228CB"/>
    <w:rsid w:val="00F26CC7"/>
    <w:rsid w:val="00F379DD"/>
    <w:rsid w:val="00FA1C09"/>
    <w:rsid w:val="00FC2EE9"/>
    <w:rsid w:val="00FD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6836"/>
  <w15:docId w15:val="{C88DEC81-ADD7-4C17-96C0-1B1B7284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F5"/>
    <w:rPr>
      <w:rFonts w:eastAsia="SimSun" w:cs="Mangal"/>
      <w:lang w:eastAsia="zh-CN" w:bidi="hi-IN"/>
    </w:rPr>
  </w:style>
  <w:style w:type="paragraph" w:styleId="Heading1">
    <w:name w:val="heading 1"/>
    <w:basedOn w:val="Normal"/>
    <w:next w:val="Normal"/>
    <w:link w:val="Heading1Char"/>
    <w:uiPriority w:val="9"/>
    <w:qFormat/>
    <w:rsid w:val="00C945F5"/>
    <w:pPr>
      <w:keepNext/>
      <w:numPr>
        <w:numId w:val="1"/>
      </w:numPr>
      <w:spacing w:line="480" w:lineRule="auto"/>
      <w:jc w:val="both"/>
      <w:outlineLvl w:val="0"/>
    </w:pPr>
    <w:rPr>
      <w:rFonts w:ascii="Arial" w:hAnsi="Arial" w:cs="Arial"/>
      <w:b/>
      <w:bCs/>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945F5"/>
    <w:rPr>
      <w:rFonts w:ascii="Arial" w:eastAsia="SimSun" w:hAnsi="Arial" w:cs="Arial"/>
      <w:b/>
      <w:bCs/>
      <w:color w:val="00000A"/>
      <w:sz w:val="24"/>
      <w:szCs w:val="24"/>
      <w:lang w:val="en-US" w:eastAsia="zh-CN" w:bidi="hi-IN"/>
    </w:rPr>
  </w:style>
  <w:style w:type="paragraph" w:styleId="BodyText">
    <w:name w:val="Body Text"/>
    <w:basedOn w:val="Normal"/>
    <w:link w:val="BodyTextChar"/>
    <w:rsid w:val="00C945F5"/>
    <w:pPr>
      <w:spacing w:after="140" w:line="288" w:lineRule="auto"/>
    </w:pPr>
  </w:style>
  <w:style w:type="character" w:customStyle="1" w:styleId="BodyTextChar">
    <w:name w:val="Body Text Char"/>
    <w:basedOn w:val="DefaultParagraphFont"/>
    <w:link w:val="BodyText"/>
    <w:rsid w:val="00C945F5"/>
    <w:rPr>
      <w:rFonts w:ascii="Liberation Serif" w:eastAsia="SimSun" w:hAnsi="Liberation Serif" w:cs="Mangal"/>
      <w:color w:val="00000A"/>
      <w:sz w:val="24"/>
      <w:szCs w:val="24"/>
      <w:lang w:eastAsia="zh-CN" w:bidi="hi-IN"/>
    </w:rPr>
  </w:style>
  <w:style w:type="paragraph" w:styleId="ListParagraph">
    <w:name w:val="List Paragraph"/>
    <w:basedOn w:val="Normal"/>
    <w:uiPriority w:val="34"/>
    <w:qFormat/>
    <w:rsid w:val="00C945F5"/>
    <w:pPr>
      <w:ind w:left="720"/>
      <w:contextualSpacing/>
    </w:pPr>
    <w:rPr>
      <w:szCs w:val="21"/>
    </w:rPr>
  </w:style>
  <w:style w:type="character" w:customStyle="1" w:styleId="st">
    <w:name w:val="st"/>
    <w:basedOn w:val="DefaultParagraphFont"/>
    <w:rsid w:val="00C945F5"/>
  </w:style>
  <w:style w:type="character" w:styleId="Hyperlink">
    <w:name w:val="Hyperlink"/>
    <w:basedOn w:val="DefaultParagraphFont"/>
    <w:uiPriority w:val="99"/>
    <w:unhideWhenUsed/>
    <w:rsid w:val="00C945F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ollegamentoInternet">
    <w:name w:val="Collegamento Internet"/>
    <w:rsid w:val="001B5937"/>
    <w:rPr>
      <w:color w:val="0000FF"/>
      <w:u w:val="single"/>
    </w:rPr>
  </w:style>
  <w:style w:type="character" w:customStyle="1" w:styleId="CollegamentoInternetvisitato">
    <w:name w:val="Collegamento Internet visitato"/>
    <w:rsid w:val="001B5937"/>
    <w:rPr>
      <w:color w:val="800080"/>
      <w:u w:val="single"/>
    </w:rPr>
  </w:style>
  <w:style w:type="paragraph" w:styleId="List">
    <w:name w:val="List"/>
    <w:basedOn w:val="BodyText"/>
    <w:rsid w:val="001B5937"/>
  </w:style>
  <w:style w:type="paragraph" w:styleId="Caption">
    <w:name w:val="caption"/>
    <w:basedOn w:val="Normal"/>
    <w:qFormat/>
    <w:rsid w:val="001B5937"/>
    <w:pPr>
      <w:suppressLineNumbers/>
      <w:spacing w:before="120" w:after="120"/>
    </w:pPr>
    <w:rPr>
      <w:i/>
      <w:iCs/>
    </w:rPr>
  </w:style>
  <w:style w:type="paragraph" w:customStyle="1" w:styleId="Indice">
    <w:name w:val="Indice"/>
    <w:basedOn w:val="Normal"/>
    <w:qFormat/>
    <w:rsid w:val="001B5937"/>
    <w:pPr>
      <w:suppressLineNumbers/>
    </w:pPr>
  </w:style>
  <w:style w:type="table" w:styleId="TableGrid">
    <w:name w:val="Table Grid"/>
    <w:basedOn w:val="TableNormal"/>
    <w:uiPriority w:val="39"/>
    <w:rsid w:val="001B5937"/>
    <w:rPr>
      <w:rFonts w:eastAsia="SimSun" w:cs="Mangal"/>
      <w:color w:val="auto"/>
      <w:sz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1B5937"/>
  </w:style>
  <w:style w:type="character" w:customStyle="1" w:styleId="e24kjd">
    <w:name w:val="e24kjd"/>
    <w:basedOn w:val="DefaultParagraphFont"/>
    <w:rsid w:val="001B5937"/>
  </w:style>
  <w:style w:type="character" w:styleId="CommentReference">
    <w:name w:val="annotation reference"/>
    <w:basedOn w:val="DefaultParagraphFont"/>
    <w:uiPriority w:val="99"/>
    <w:semiHidden/>
    <w:unhideWhenUsed/>
    <w:rsid w:val="001B5937"/>
    <w:rPr>
      <w:sz w:val="16"/>
      <w:szCs w:val="16"/>
    </w:rPr>
  </w:style>
  <w:style w:type="paragraph" w:styleId="CommentText">
    <w:name w:val="annotation text"/>
    <w:basedOn w:val="Normal"/>
    <w:link w:val="CommentTextChar"/>
    <w:uiPriority w:val="99"/>
    <w:semiHidden/>
    <w:unhideWhenUsed/>
    <w:rsid w:val="001B5937"/>
    <w:rPr>
      <w:sz w:val="20"/>
      <w:szCs w:val="18"/>
    </w:rPr>
  </w:style>
  <w:style w:type="character" w:customStyle="1" w:styleId="CommentTextChar">
    <w:name w:val="Comment Text Char"/>
    <w:basedOn w:val="DefaultParagraphFont"/>
    <w:link w:val="CommentText"/>
    <w:uiPriority w:val="99"/>
    <w:semiHidden/>
    <w:rsid w:val="001B5937"/>
    <w:rPr>
      <w:rFonts w:eastAsia="SimSu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1B5937"/>
    <w:rPr>
      <w:b/>
      <w:bCs/>
    </w:rPr>
  </w:style>
  <w:style w:type="character" w:customStyle="1" w:styleId="CommentSubjectChar">
    <w:name w:val="Comment Subject Char"/>
    <w:basedOn w:val="CommentTextChar"/>
    <w:link w:val="CommentSubject"/>
    <w:uiPriority w:val="99"/>
    <w:semiHidden/>
    <w:rsid w:val="001B5937"/>
    <w:rPr>
      <w:rFonts w:eastAsia="SimSun" w:cs="Mangal"/>
      <w:b/>
      <w:bCs/>
      <w:sz w:val="20"/>
      <w:szCs w:val="18"/>
      <w:lang w:eastAsia="zh-CN" w:bidi="hi-IN"/>
    </w:rPr>
  </w:style>
  <w:style w:type="paragraph" w:styleId="BalloonText">
    <w:name w:val="Balloon Text"/>
    <w:basedOn w:val="Normal"/>
    <w:link w:val="BalloonTextChar"/>
    <w:uiPriority w:val="99"/>
    <w:semiHidden/>
    <w:unhideWhenUsed/>
    <w:rsid w:val="001B5937"/>
    <w:rPr>
      <w:rFonts w:ascii="Segoe UI" w:hAnsi="Segoe UI"/>
      <w:sz w:val="18"/>
      <w:szCs w:val="16"/>
    </w:rPr>
  </w:style>
  <w:style w:type="character" w:customStyle="1" w:styleId="BalloonTextChar">
    <w:name w:val="Balloon Text Char"/>
    <w:basedOn w:val="DefaultParagraphFont"/>
    <w:link w:val="BalloonText"/>
    <w:uiPriority w:val="99"/>
    <w:semiHidden/>
    <w:rsid w:val="001B5937"/>
    <w:rPr>
      <w:rFonts w:ascii="Segoe UI" w:eastAsia="SimSun" w:hAnsi="Segoe UI" w:cs="Mangal"/>
      <w:sz w:val="18"/>
      <w:szCs w:val="16"/>
      <w:lang w:eastAsia="zh-CN" w:bidi="hi-IN"/>
    </w:rPr>
  </w:style>
  <w:style w:type="character" w:customStyle="1" w:styleId="Menzionenonrisolta1">
    <w:name w:val="Menzione non risolta1"/>
    <w:basedOn w:val="DefaultParagraphFont"/>
    <w:uiPriority w:val="99"/>
    <w:semiHidden/>
    <w:unhideWhenUsed/>
    <w:rsid w:val="001B5937"/>
    <w:rPr>
      <w:color w:val="605E5C"/>
      <w:shd w:val="clear" w:color="auto" w:fill="E1DFDD"/>
    </w:rPr>
  </w:style>
  <w:style w:type="character" w:customStyle="1" w:styleId="Heading4Char">
    <w:name w:val="Heading 4 Char"/>
    <w:basedOn w:val="DefaultParagraphFont"/>
    <w:link w:val="Heading4"/>
    <w:uiPriority w:val="9"/>
    <w:rsid w:val="001B5937"/>
    <w:rPr>
      <w:rFonts w:eastAsia="SimSun" w:cs="Mangal"/>
      <w:b/>
      <w:lang w:eastAsia="zh-CN" w:bidi="hi-IN"/>
    </w:rPr>
  </w:style>
  <w:style w:type="character" w:styleId="IntenseEmphasis">
    <w:name w:val="Intense Emphasis"/>
    <w:basedOn w:val="DefaultParagraphFont"/>
    <w:uiPriority w:val="21"/>
    <w:qFormat/>
    <w:rsid w:val="00005692"/>
    <w:rPr>
      <w:i/>
      <w:iCs/>
      <w:color w:val="5B9BD5" w:themeColor="accent1"/>
    </w:rPr>
  </w:style>
  <w:style w:type="character" w:customStyle="1" w:styleId="jrnl">
    <w:name w:val="jrnl"/>
    <w:basedOn w:val="DefaultParagraphFont"/>
    <w:rsid w:val="0061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bi.nlm.nih.gov/pubmed/15781105" TargetMode="External"/><Relationship Id="rId3" Type="http://schemas.openxmlformats.org/officeDocument/2006/relationships/numbering" Target="numbering.xml"/><Relationship Id="rId7" Type="http://schemas.openxmlformats.org/officeDocument/2006/relationships/hyperlink" Target="mailto:annagiulia.gramenzi@unibo.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Ozh0jGaN0QdxhzONCrbtsVs/Q==">AMUW2mVB8LgV/nLdgk9EWxqXkeOYCIgQNzhCm6ifHUv3/SHPWmLWNB4+aevoQff/zShZ8seJ2ed4qdMm09ka2syh0sF2LlAOVyk6evBqyrcN8YN0ZiFb4shNnvGz7YNwsEpQ6Jl+gg7t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D961A8-4326-4B4D-88F1-3EA247A8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4967</Words>
  <Characters>28313</Characters>
  <Application>Microsoft Office Word</Application>
  <DocSecurity>0</DocSecurity>
  <Lines>235</Lines>
  <Paragraphs>66</Paragraphs>
  <ScaleCrop>false</ScaleCrop>
  <HeadingPairs>
    <vt:vector size="6" baseType="variant">
      <vt:variant>
        <vt:lpstr>Title</vt:lpstr>
      </vt:variant>
      <vt:variant>
        <vt:i4>1</vt:i4>
      </vt:variant>
      <vt:variant>
        <vt:lpstr>Headings</vt:lpstr>
      </vt:variant>
      <vt:variant>
        <vt:i4>3</vt:i4>
      </vt:variant>
      <vt:variant>
        <vt:lpstr>Titolo</vt:lpstr>
      </vt:variant>
      <vt:variant>
        <vt:i4>1</vt:i4>
      </vt:variant>
    </vt:vector>
  </HeadingPairs>
  <TitlesOfParts>
    <vt:vector size="5" baseType="lpstr">
      <vt:lpstr/>
      <vt:lpstr>Corresponding Author: Annagiulia Gramenzi, Department of Medical and Surgical Sc</vt:lpstr>
      <vt:lpstr/>
      <vt:lpstr>Running head: How deprivation affects HCC mortality.</vt:lpstr>
      <vt:lpstr/>
    </vt:vector>
  </TitlesOfParts>
  <Company>The University of Liverpool</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Philip</dc:creator>
  <cp:lastModifiedBy>Johnson, Philip</cp:lastModifiedBy>
  <cp:revision>4</cp:revision>
  <dcterms:created xsi:type="dcterms:W3CDTF">2020-04-23T11:19:00Z</dcterms:created>
  <dcterms:modified xsi:type="dcterms:W3CDTF">2021-10-27T11:48:00Z</dcterms:modified>
</cp:coreProperties>
</file>