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9EE1" w14:textId="32A5B62F" w:rsidR="00251DCD" w:rsidRPr="00A216BE" w:rsidRDefault="000903B4" w:rsidP="001D1138">
      <w:pPr>
        <w:pStyle w:val="Heading-Title"/>
        <w:jc w:val="both"/>
        <w:rPr>
          <w:sz w:val="28"/>
          <w:szCs w:val="28"/>
        </w:rPr>
      </w:pPr>
      <w:r w:rsidRPr="000903B4">
        <w:rPr>
          <w:sz w:val="28"/>
          <w:szCs w:val="28"/>
        </w:rPr>
        <w:t>Meta-analysis of response times and safety system</w:t>
      </w:r>
      <w:bookmarkStart w:id="0" w:name="_GoBack"/>
      <w:bookmarkEnd w:id="0"/>
      <w:r w:rsidRPr="000903B4">
        <w:rPr>
          <w:sz w:val="28"/>
          <w:szCs w:val="28"/>
        </w:rPr>
        <w:t>s to the fire size, growth and damage, based on UK, USA and New Ze</w:t>
      </w:r>
      <w:r>
        <w:rPr>
          <w:sz w:val="28"/>
          <w:szCs w:val="28"/>
        </w:rPr>
        <w:t>aland fire statistics databases.</w:t>
      </w:r>
    </w:p>
    <w:p w14:paraId="5873F9AD" w14:textId="77777777" w:rsidR="00953BDC" w:rsidRPr="00953BDC" w:rsidRDefault="00953BDC" w:rsidP="00953BDC"/>
    <w:p w14:paraId="743E36D0" w14:textId="016E954E" w:rsidR="00953BDC" w:rsidRPr="007A011A" w:rsidRDefault="000903B4" w:rsidP="00953BDC">
      <w:pPr>
        <w:rPr>
          <w:sz w:val="24"/>
          <w:szCs w:val="24"/>
        </w:rPr>
      </w:pPr>
      <w:r>
        <w:rPr>
          <w:rStyle w:val="Normal-Bold"/>
          <w:sz w:val="24"/>
          <w:szCs w:val="24"/>
        </w:rPr>
        <w:t>M. Manes</w:t>
      </w:r>
      <w:r w:rsidR="00953BDC">
        <w:t xml:space="preserve">, </w:t>
      </w:r>
      <w:r w:rsidR="001A2F25" w:rsidRPr="001E75B4">
        <w:rPr>
          <w:i/>
          <w:sz w:val="24"/>
          <w:szCs w:val="24"/>
        </w:rPr>
        <w:t>BRE Centre of Fire Safety Engineering</w:t>
      </w:r>
      <w:r w:rsidR="001A2F25">
        <w:rPr>
          <w:i/>
          <w:sz w:val="24"/>
          <w:szCs w:val="24"/>
        </w:rPr>
        <w:t xml:space="preserve">, </w:t>
      </w:r>
      <w:r>
        <w:rPr>
          <w:i/>
          <w:sz w:val="24"/>
          <w:szCs w:val="24"/>
        </w:rPr>
        <w:t>University of Edinburgh</w:t>
      </w:r>
      <w:r w:rsidR="00953BDC" w:rsidRPr="007A011A">
        <w:rPr>
          <w:i/>
          <w:sz w:val="24"/>
          <w:szCs w:val="24"/>
        </w:rPr>
        <w:t>, UK</w:t>
      </w:r>
    </w:p>
    <w:p w14:paraId="11C9C905" w14:textId="3C9BEC26" w:rsidR="00953BDC" w:rsidRPr="00A216BE" w:rsidRDefault="000903B4" w:rsidP="00953BDC">
      <w:pPr>
        <w:rPr>
          <w:sz w:val="24"/>
          <w:szCs w:val="24"/>
        </w:rPr>
      </w:pPr>
      <w:r>
        <w:rPr>
          <w:rStyle w:val="Normal-Bold"/>
          <w:sz w:val="24"/>
          <w:szCs w:val="24"/>
        </w:rPr>
        <w:t>D</w:t>
      </w:r>
      <w:r w:rsidR="00600BD0">
        <w:rPr>
          <w:rStyle w:val="Normal-Bold"/>
          <w:sz w:val="24"/>
          <w:szCs w:val="24"/>
        </w:rPr>
        <w:t>.</w:t>
      </w:r>
      <w:r>
        <w:rPr>
          <w:rStyle w:val="Normal-Bold"/>
          <w:sz w:val="24"/>
          <w:szCs w:val="24"/>
        </w:rPr>
        <w:t xml:space="preserve"> Rush</w:t>
      </w:r>
      <w:r w:rsidR="00953BDC" w:rsidRPr="00A216BE">
        <w:rPr>
          <w:sz w:val="24"/>
          <w:szCs w:val="24"/>
        </w:rPr>
        <w:t xml:space="preserve">, </w:t>
      </w:r>
      <w:r w:rsidR="001A2F25" w:rsidRPr="001E75B4">
        <w:rPr>
          <w:i/>
          <w:sz w:val="24"/>
          <w:szCs w:val="24"/>
        </w:rPr>
        <w:t>BRE Centre of Fire Safety Engineering</w:t>
      </w:r>
      <w:r w:rsidR="001A2F25">
        <w:rPr>
          <w:i/>
          <w:sz w:val="24"/>
          <w:szCs w:val="24"/>
        </w:rPr>
        <w:t>,</w:t>
      </w:r>
      <w:r w:rsidR="001A2F25" w:rsidRPr="00A216BE">
        <w:rPr>
          <w:i/>
          <w:sz w:val="24"/>
          <w:szCs w:val="24"/>
        </w:rPr>
        <w:t xml:space="preserve"> </w:t>
      </w:r>
      <w:r w:rsidR="00A216BE" w:rsidRPr="00A216BE">
        <w:rPr>
          <w:i/>
          <w:sz w:val="24"/>
          <w:szCs w:val="24"/>
        </w:rPr>
        <w:t>University of Edinburgh</w:t>
      </w:r>
      <w:r w:rsidR="00953BDC" w:rsidRPr="00A216BE">
        <w:rPr>
          <w:i/>
          <w:sz w:val="24"/>
          <w:szCs w:val="24"/>
        </w:rPr>
        <w:t>, UK</w:t>
      </w:r>
    </w:p>
    <w:p w14:paraId="0531773F" w14:textId="77777777" w:rsidR="00953BDC" w:rsidRPr="00953BDC" w:rsidRDefault="00953BDC" w:rsidP="00953BDC"/>
    <w:p w14:paraId="55B868BA" w14:textId="36701E5F" w:rsidR="00953BDC" w:rsidRPr="00A216BE" w:rsidRDefault="00A216BE" w:rsidP="00A539E0">
      <w:pPr>
        <w:pStyle w:val="Heading1"/>
        <w:ind w:left="540"/>
        <w:rPr>
          <w:sz w:val="24"/>
          <w:szCs w:val="24"/>
        </w:rPr>
      </w:pPr>
      <w:r w:rsidRPr="00A216BE">
        <w:rPr>
          <w:sz w:val="24"/>
          <w:szCs w:val="24"/>
        </w:rPr>
        <w:t>Abstract</w:t>
      </w:r>
    </w:p>
    <w:p w14:paraId="1E96944B" w14:textId="77777777" w:rsidR="00953BDC" w:rsidRDefault="00953BDC" w:rsidP="00953BDC"/>
    <w:p w14:paraId="6F80C73B" w14:textId="792D9FA4" w:rsidR="004F7161" w:rsidRDefault="004F7161" w:rsidP="004F7161">
      <w:pPr>
        <w:ind w:left="540"/>
      </w:pPr>
      <w:r>
        <w:t>Na</w:t>
      </w:r>
      <w:r w:rsidRPr="00D1607D">
        <w:t xml:space="preserve">tional </w:t>
      </w:r>
      <w:r>
        <w:t xml:space="preserve">fire statistic </w:t>
      </w:r>
      <w:r w:rsidRPr="00D1607D">
        <w:t>database</w:t>
      </w:r>
      <w:r w:rsidR="00CB6765">
        <w:t>s</w:t>
      </w:r>
      <w:r w:rsidRPr="00D1607D">
        <w:t xml:space="preserve"> </w:t>
      </w:r>
      <w:r>
        <w:t xml:space="preserve">provide the opportunity to assess the </w:t>
      </w:r>
      <w:r w:rsidRPr="00D1607D">
        <w:t xml:space="preserve">response </w:t>
      </w:r>
      <w:r>
        <w:t>of real fires i</w:t>
      </w:r>
      <w:r w:rsidRPr="00D1607D">
        <w:t xml:space="preserve">n real structures. </w:t>
      </w:r>
      <w:r>
        <w:t>D</w:t>
      </w:r>
      <w:r w:rsidRPr="00D1607D">
        <w:t>ifferent countries ha</w:t>
      </w:r>
      <w:r>
        <w:t>ve</w:t>
      </w:r>
      <w:r w:rsidRPr="00D1607D">
        <w:t xml:space="preserve"> developed their own database</w:t>
      </w:r>
      <w:r>
        <w:t>s</w:t>
      </w:r>
      <w:r w:rsidRPr="00D1607D">
        <w:t xml:space="preserve"> using on-line form</w:t>
      </w:r>
      <w:r>
        <w:t>s completed</w:t>
      </w:r>
      <w:r w:rsidRPr="00D1607D">
        <w:t xml:space="preserve"> after an event by fire departments. </w:t>
      </w:r>
      <w:r>
        <w:t xml:space="preserve">Common mandatory </w:t>
      </w:r>
      <w:r w:rsidR="00F119FE">
        <w:t>fields include</w:t>
      </w:r>
      <w:r>
        <w:t xml:space="preserve"> response times, area of damage, size of fire at arrival and after extinguishment. </w:t>
      </w:r>
      <w:r w:rsidRPr="00D1607D">
        <w:t xml:space="preserve">This </w:t>
      </w:r>
      <w:r>
        <w:t>paper analyses th</w:t>
      </w:r>
      <w:r w:rsidR="00CB6765">
        <w:t>ree such</w:t>
      </w:r>
      <w:r>
        <w:t xml:space="preserve"> fire statistics from</w:t>
      </w:r>
      <w:r w:rsidRPr="00D1607D">
        <w:t xml:space="preserve"> the IRS</w:t>
      </w:r>
      <w:r>
        <w:t>,</w:t>
      </w:r>
      <w:r w:rsidRPr="00D1607D">
        <w:t xml:space="preserve"> UK</w:t>
      </w:r>
      <w:proofErr w:type="gramStart"/>
      <w:r w:rsidR="0032548C">
        <w:t>;</w:t>
      </w:r>
      <w:proofErr w:type="gramEnd"/>
      <w:r w:rsidRPr="00D1607D">
        <w:t xml:space="preserve"> NFIRS</w:t>
      </w:r>
      <w:r>
        <w:t xml:space="preserve">, </w:t>
      </w:r>
      <w:r w:rsidRPr="00D1607D">
        <w:t xml:space="preserve">USA and the </w:t>
      </w:r>
      <w:r>
        <w:t>New Zealand Fire Service</w:t>
      </w:r>
      <w:r w:rsidRPr="00D1607D">
        <w:t>. The</w:t>
      </w:r>
      <w:r>
        <w:t xml:space="preserve">se </w:t>
      </w:r>
      <w:r w:rsidRPr="00D1607D">
        <w:t>national</w:t>
      </w:r>
      <w:r>
        <w:t xml:space="preserve"> statistical</w:t>
      </w:r>
      <w:r w:rsidRPr="00D1607D">
        <w:t xml:space="preserve"> estimate</w:t>
      </w:r>
      <w:r>
        <w:t>s</w:t>
      </w:r>
      <w:r w:rsidRPr="00D1607D">
        <w:t xml:space="preserve"> </w:t>
      </w:r>
      <w:r>
        <w:t xml:space="preserve">also </w:t>
      </w:r>
      <w:r w:rsidRPr="00D1607D">
        <w:t xml:space="preserve">acknowledge </w:t>
      </w:r>
      <w:r>
        <w:t>th</w:t>
      </w:r>
      <w:r w:rsidRPr="00D1607D">
        <w:t>e resilience of structure</w:t>
      </w:r>
      <w:r>
        <w:t>s to fire shocks</w:t>
      </w:r>
      <w:r w:rsidRPr="00D1607D">
        <w:t xml:space="preserve">. </w:t>
      </w:r>
      <w:r>
        <w:t xml:space="preserve">During reporting structural fire events, </w:t>
      </w:r>
      <w:r w:rsidRPr="00D1607D">
        <w:t xml:space="preserve">departments </w:t>
      </w:r>
      <w:r>
        <w:t>must</w:t>
      </w:r>
      <w:r w:rsidRPr="00D1607D">
        <w:t xml:space="preserve"> </w:t>
      </w:r>
      <w:r>
        <w:t>detail</w:t>
      </w:r>
      <w:r w:rsidRPr="00D1607D">
        <w:t xml:space="preserve"> </w:t>
      </w:r>
      <w:r>
        <w:t xml:space="preserve">the ignition of the fire, </w:t>
      </w:r>
      <w:r w:rsidRPr="00D1607D">
        <w:t>the type and status</w:t>
      </w:r>
      <w:r>
        <w:t xml:space="preserve"> </w:t>
      </w:r>
      <w:r w:rsidRPr="00D1607D">
        <w:t>of the building</w:t>
      </w:r>
      <w:r w:rsidR="00F119FE">
        <w:t xml:space="preserve">, </w:t>
      </w:r>
      <w:r>
        <w:t>the response times of fire services</w:t>
      </w:r>
      <w:r w:rsidR="00F119FE">
        <w:t xml:space="preserve"> and, </w:t>
      </w:r>
      <w:proofErr w:type="gramStart"/>
      <w:r w:rsidR="00F119FE">
        <w:t xml:space="preserve">as </w:t>
      </w:r>
      <w:r w:rsidR="00CB6765">
        <w:t xml:space="preserve">a </w:t>
      </w:r>
      <w:r w:rsidR="00F119FE">
        <w:t>consequence</w:t>
      </w:r>
      <w:proofErr w:type="gramEnd"/>
      <w:r w:rsidR="00F119FE">
        <w:t>, t</w:t>
      </w:r>
      <w:r w:rsidRPr="00D1607D">
        <w:t>he frequency of fires can</w:t>
      </w:r>
      <w:r>
        <w:t xml:space="preserve"> be deduced</w:t>
      </w:r>
      <w:r w:rsidRPr="00D1607D">
        <w:t xml:space="preserve">. </w:t>
      </w:r>
      <w:r>
        <w:t>Further fields</w:t>
      </w:r>
      <w:r w:rsidRPr="00D1607D">
        <w:t xml:space="preserve"> question the intensity</w:t>
      </w:r>
      <w:r>
        <w:t xml:space="preserve">, powering factors, and spread (both on arrival of services and extent at extinguishment) of </w:t>
      </w:r>
      <w:r w:rsidRPr="00D1607D">
        <w:t xml:space="preserve">the fire. </w:t>
      </w:r>
      <w:r>
        <w:t>F</w:t>
      </w:r>
      <w:r w:rsidRPr="00D1607D">
        <w:t xml:space="preserve">ire spread </w:t>
      </w:r>
      <w:r>
        <w:t xml:space="preserve">includes the </w:t>
      </w:r>
      <w:r w:rsidRPr="00D1607D">
        <w:t xml:space="preserve">area damaged in square meters in </w:t>
      </w:r>
      <w:r>
        <w:t xml:space="preserve">both </w:t>
      </w:r>
      <w:r w:rsidRPr="00D1607D">
        <w:t>the horizontal and vertical direction</w:t>
      </w:r>
      <w:r w:rsidR="00F119FE">
        <w:t xml:space="preserve"> in UK and a percentage of area damage</w:t>
      </w:r>
      <w:r w:rsidR="004C441B">
        <w:t>d</w:t>
      </w:r>
      <w:r w:rsidR="00F119FE">
        <w:t xml:space="preserve"> in USA</w:t>
      </w:r>
      <w:r>
        <w:t>,</w:t>
      </w:r>
      <w:r w:rsidR="00F119FE">
        <w:t xml:space="preserve"> while in New Zealand flame, smoke and water damage </w:t>
      </w:r>
      <w:proofErr w:type="gramStart"/>
      <w:r w:rsidR="00F119FE">
        <w:t>are also reported</w:t>
      </w:r>
      <w:proofErr w:type="gramEnd"/>
      <w:r w:rsidRPr="00D1607D">
        <w:t xml:space="preserve">. </w:t>
      </w:r>
      <w:r>
        <w:t xml:space="preserve">Additional </w:t>
      </w:r>
      <w:r w:rsidRPr="00D1607D">
        <w:t xml:space="preserve">information </w:t>
      </w:r>
      <w:proofErr w:type="gramStart"/>
      <w:r>
        <w:t>is also requested</w:t>
      </w:r>
      <w:proofErr w:type="gramEnd"/>
      <w:r>
        <w:t xml:space="preserve"> </w:t>
      </w:r>
      <w:r w:rsidRPr="00D1607D">
        <w:t xml:space="preserve">on the effectiveness of alarm and safety systems </w:t>
      </w:r>
      <w:r>
        <w:t xml:space="preserve">based on </w:t>
      </w:r>
      <w:r w:rsidRPr="00D1607D">
        <w:t>type, location and reasons why they did not operate as intended.</w:t>
      </w:r>
      <w:r>
        <w:t xml:space="preserve"> The coalescence of this data will provide a quantification of the size and scale of damage with respect to different intervention strategies and can (given well-defined statistics) </w:t>
      </w:r>
      <w:proofErr w:type="gramStart"/>
      <w:r>
        <w:t>be subdivided</w:t>
      </w:r>
      <w:proofErr w:type="gramEnd"/>
      <w:r>
        <w:t xml:space="preserve"> </w:t>
      </w:r>
      <w:r w:rsidRPr="00D1607D">
        <w:t>by</w:t>
      </w:r>
      <w:r>
        <w:t xml:space="preserve"> building</w:t>
      </w:r>
      <w:r w:rsidRPr="00D1607D">
        <w:t xml:space="preserve"> type and use. A comparison between the different countries is essential to highlight how each of them approaches the pr</w:t>
      </w:r>
      <w:r>
        <w:t>oblem and the data available, and will allow an assessment of the ability to create</w:t>
      </w:r>
      <w:r w:rsidRPr="00D1607D">
        <w:t xml:space="preserve"> a benchmark able to improve the understanding on </w:t>
      </w:r>
      <w:r>
        <w:t>the safe and resilient design of structures</w:t>
      </w:r>
      <w:r w:rsidRPr="00D1607D">
        <w:t>.</w:t>
      </w:r>
    </w:p>
    <w:p w14:paraId="11C3CA3B" w14:textId="22CB6224" w:rsidR="000971E2" w:rsidRPr="00A216BE" w:rsidRDefault="000971E2" w:rsidP="00117746">
      <w:pPr>
        <w:ind w:left="540" w:right="695"/>
      </w:pPr>
    </w:p>
    <w:p w14:paraId="1F31E9C4" w14:textId="77777777" w:rsidR="00953BDC" w:rsidRDefault="00953BDC" w:rsidP="00953BDC"/>
    <w:p w14:paraId="58E1BDBF" w14:textId="77777777" w:rsidR="00953BDC" w:rsidRDefault="00953BDC" w:rsidP="00953BDC">
      <w:pPr>
        <w:pStyle w:val="Heading1"/>
        <w:sectPr w:rsidR="00953BDC" w:rsidSect="00A04BD1">
          <w:headerReference w:type="default" r:id="rId8"/>
          <w:pgSz w:w="11907" w:h="16840" w:code="9"/>
          <w:pgMar w:top="1418" w:right="964" w:bottom="1418" w:left="964" w:header="567" w:footer="567" w:gutter="284"/>
          <w:cols w:space="708"/>
          <w:docGrid w:linePitch="360"/>
        </w:sectPr>
      </w:pPr>
    </w:p>
    <w:p w14:paraId="67393568" w14:textId="77777777" w:rsidR="00953BDC" w:rsidRPr="005C292D" w:rsidRDefault="00953BDC" w:rsidP="00953BDC">
      <w:pPr>
        <w:pStyle w:val="Heading1"/>
        <w:rPr>
          <w:sz w:val="24"/>
          <w:szCs w:val="24"/>
        </w:rPr>
      </w:pPr>
      <w:r w:rsidRPr="005C292D">
        <w:rPr>
          <w:sz w:val="24"/>
          <w:szCs w:val="24"/>
        </w:rPr>
        <w:t>nomenclature</w:t>
      </w:r>
    </w:p>
    <w:p w14:paraId="1DBB4DAA" w14:textId="77777777" w:rsidR="00DE09F5" w:rsidRDefault="00DE09F5" w:rsidP="00953BDC">
      <w:pPr>
        <w:rPr>
          <w:sz w:val="24"/>
          <w:szCs w:val="24"/>
        </w:rPr>
      </w:pPr>
    </w:p>
    <w:p w14:paraId="417269C1" w14:textId="065C4B24" w:rsidR="00DE09F5" w:rsidRDefault="00DE09F5" w:rsidP="00953BDC">
      <w:pPr>
        <w:rPr>
          <w:sz w:val="24"/>
          <w:szCs w:val="24"/>
        </w:rPr>
      </w:pPr>
      <w:r>
        <w:rPr>
          <w:sz w:val="24"/>
          <w:szCs w:val="24"/>
        </w:rPr>
        <w:t xml:space="preserve">IRS: </w:t>
      </w:r>
      <w:proofErr w:type="gramStart"/>
      <w:r>
        <w:rPr>
          <w:sz w:val="24"/>
          <w:szCs w:val="24"/>
        </w:rPr>
        <w:t>Incident Reporting</w:t>
      </w:r>
      <w:proofErr w:type="gramEnd"/>
      <w:r>
        <w:rPr>
          <w:sz w:val="24"/>
          <w:szCs w:val="24"/>
        </w:rPr>
        <w:t xml:space="preserve"> System </w:t>
      </w:r>
    </w:p>
    <w:p w14:paraId="4C6FDC2E" w14:textId="56DD6443" w:rsidR="00DE09F5" w:rsidRDefault="00DE09F5" w:rsidP="00953BDC">
      <w:pPr>
        <w:rPr>
          <w:sz w:val="24"/>
          <w:szCs w:val="24"/>
        </w:rPr>
      </w:pPr>
      <w:r>
        <w:rPr>
          <w:sz w:val="24"/>
          <w:szCs w:val="24"/>
        </w:rPr>
        <w:t>NFIRS: National Fire Incident Reporting System</w:t>
      </w:r>
    </w:p>
    <w:p w14:paraId="37266AA4" w14:textId="77777777" w:rsidR="00953BDC" w:rsidRPr="005C292D" w:rsidRDefault="00953BDC" w:rsidP="00F43769">
      <w:pPr>
        <w:rPr>
          <w:sz w:val="24"/>
          <w:szCs w:val="24"/>
        </w:rPr>
      </w:pPr>
    </w:p>
    <w:p w14:paraId="57D5F483" w14:textId="77777777" w:rsidR="00953BDC" w:rsidRPr="005C292D" w:rsidRDefault="00953BDC" w:rsidP="00FA1E8E">
      <w:pPr>
        <w:pStyle w:val="Heading1"/>
        <w:rPr>
          <w:sz w:val="24"/>
          <w:szCs w:val="24"/>
        </w:rPr>
      </w:pPr>
      <w:r w:rsidRPr="005C292D">
        <w:rPr>
          <w:sz w:val="24"/>
          <w:szCs w:val="24"/>
        </w:rPr>
        <w:t>1.</w:t>
      </w:r>
      <w:r w:rsidRPr="005C292D">
        <w:rPr>
          <w:sz w:val="24"/>
          <w:szCs w:val="24"/>
        </w:rPr>
        <w:tab/>
        <w:t>Introduction</w:t>
      </w:r>
    </w:p>
    <w:p w14:paraId="03F40DE9" w14:textId="5666E4BE" w:rsidR="00444843" w:rsidRDefault="0032548C" w:rsidP="00FA1E8E">
      <w:pPr>
        <w:rPr>
          <w:sz w:val="24"/>
          <w:szCs w:val="24"/>
        </w:rPr>
      </w:pPr>
      <w:r>
        <w:rPr>
          <w:sz w:val="24"/>
          <w:szCs w:val="24"/>
        </w:rPr>
        <w:t>Fire performance of real structures subjected to real fire</w:t>
      </w:r>
      <w:r w:rsidR="009D0175">
        <w:rPr>
          <w:sz w:val="24"/>
          <w:szCs w:val="24"/>
        </w:rPr>
        <w:t>s</w:t>
      </w:r>
      <w:r>
        <w:rPr>
          <w:sz w:val="24"/>
          <w:szCs w:val="24"/>
        </w:rPr>
        <w:t xml:space="preserve"> has always been </w:t>
      </w:r>
      <w:r w:rsidR="00CB6765">
        <w:rPr>
          <w:sz w:val="24"/>
          <w:szCs w:val="24"/>
        </w:rPr>
        <w:t>a</w:t>
      </w:r>
      <w:r>
        <w:rPr>
          <w:sz w:val="24"/>
          <w:szCs w:val="24"/>
        </w:rPr>
        <w:t xml:space="preserve"> topic of</w:t>
      </w:r>
      <w:r w:rsidR="00251463">
        <w:rPr>
          <w:sz w:val="24"/>
          <w:szCs w:val="24"/>
        </w:rPr>
        <w:t xml:space="preserve"> interest w</w:t>
      </w:r>
      <w:r w:rsidR="002E6BB0">
        <w:rPr>
          <w:sz w:val="24"/>
          <w:szCs w:val="24"/>
        </w:rPr>
        <w:t xml:space="preserve">ithin </w:t>
      </w:r>
      <w:r w:rsidR="00251463">
        <w:rPr>
          <w:sz w:val="24"/>
          <w:szCs w:val="24"/>
        </w:rPr>
        <w:t>the s</w:t>
      </w:r>
      <w:r w:rsidR="002E6BB0">
        <w:rPr>
          <w:sz w:val="24"/>
          <w:szCs w:val="24"/>
        </w:rPr>
        <w:t xml:space="preserve">tructural </w:t>
      </w:r>
      <w:r w:rsidR="00CB6765">
        <w:rPr>
          <w:sz w:val="24"/>
          <w:szCs w:val="24"/>
        </w:rPr>
        <w:t xml:space="preserve">engineering </w:t>
      </w:r>
      <w:r w:rsidR="002E6BB0">
        <w:rPr>
          <w:sz w:val="24"/>
          <w:szCs w:val="24"/>
        </w:rPr>
        <w:t>communit</w:t>
      </w:r>
      <w:r w:rsidR="00E73151">
        <w:rPr>
          <w:sz w:val="24"/>
          <w:szCs w:val="24"/>
        </w:rPr>
        <w:t>y</w:t>
      </w:r>
      <w:r w:rsidR="002E6BB0">
        <w:rPr>
          <w:sz w:val="24"/>
          <w:szCs w:val="24"/>
        </w:rPr>
        <w:t>.</w:t>
      </w:r>
      <w:r w:rsidR="00FF5BC6">
        <w:rPr>
          <w:sz w:val="24"/>
          <w:szCs w:val="24"/>
        </w:rPr>
        <w:t xml:space="preserve"> M</w:t>
      </w:r>
      <w:r w:rsidR="00FF5BC6" w:rsidRPr="00FF5BC6">
        <w:rPr>
          <w:sz w:val="24"/>
          <w:szCs w:val="24"/>
        </w:rPr>
        <w:t xml:space="preserve">any of the performance criteria </w:t>
      </w:r>
      <w:proofErr w:type="gramStart"/>
      <w:r w:rsidR="00FF5BC6" w:rsidRPr="00FF5BC6">
        <w:rPr>
          <w:sz w:val="24"/>
          <w:szCs w:val="24"/>
        </w:rPr>
        <w:t>are related</w:t>
      </w:r>
      <w:proofErr w:type="gramEnd"/>
      <w:r w:rsidR="00FF5BC6" w:rsidRPr="00FF5BC6">
        <w:rPr>
          <w:sz w:val="24"/>
          <w:szCs w:val="24"/>
        </w:rPr>
        <w:t xml:space="preserve"> to life safety goals rather than other drivers such as property protection, or limiting direct and indirect losses. Resilience optimization of structures for fire identifies and mitigates fire-induced risks to enable swift recovery in the aftermath of an event. It is very difficult to give a unique definition so it </w:t>
      </w:r>
      <w:proofErr w:type="gramStart"/>
      <w:r w:rsidR="00FF5BC6" w:rsidRPr="00FF5BC6">
        <w:rPr>
          <w:sz w:val="24"/>
          <w:szCs w:val="24"/>
        </w:rPr>
        <w:t>will be described</w:t>
      </w:r>
      <w:proofErr w:type="gramEnd"/>
      <w:r w:rsidR="00FF5BC6" w:rsidRPr="00FF5BC6">
        <w:rPr>
          <w:sz w:val="24"/>
          <w:szCs w:val="24"/>
        </w:rPr>
        <w:t xml:space="preserve"> through the whole fields that are covered under its range. Life safety, property and business continuity are three big categories to consider, able to guarantee the fundamental principles at the base of fire safety</w:t>
      </w:r>
      <w:r w:rsidR="00A76792">
        <w:rPr>
          <w:sz w:val="24"/>
          <w:szCs w:val="24"/>
        </w:rPr>
        <w:t xml:space="preserve"> </w:t>
      </w:r>
      <w:r w:rsidR="00FF5BC6">
        <w:rPr>
          <w:sz w:val="24"/>
          <w:szCs w:val="24"/>
        </w:rPr>
        <w:fldChar w:fldCharType="begin" w:fldLock="1"/>
      </w:r>
      <w:r w:rsidR="00251A44">
        <w:rPr>
          <w:sz w:val="24"/>
          <w:szCs w:val="24"/>
        </w:rPr>
        <w:instrText>ADDIN CSL_CITATION { "citationItems" : [ { "id" : "ITEM-1", "itemData" : { "author" : [ { "dropping-particle" : "", "family" : "Manes", "given" : "M", "non-dropping-particle" : "", "parse-names" : false, "suffix" : "" }, { "dropping-particle" : "", "family" : "Rush", "given" : "D", "non-dropping-particle" : "", "parse-names" : false, "suffix" : "" } ], "id" : "ITEM-1", "issued" : { "date-parts" : [ [ "2017" ] ] }, "title" : "Meta-analysis of UK , USA and New Zealand fire statistics databases with respect to damage and financial loss .", "type" : "article-journal" }, "uris" : [ "http://www.mendeley.com/documents/?uuid=4256900c-5d58-49ee-ab75-0c532ece96eb" ] } ], "mendeley" : { "formattedCitation" : "[1]", "plainTextFormattedCitation" : "[1]", "previouslyFormattedCitation" : "[1]" }, "properties" : { "noteIndex" : 0 }, "schema" : "https://github.com/citation-style-language/schema/raw/master/csl-citation.json" }</w:instrText>
      </w:r>
      <w:r w:rsidR="00FF5BC6">
        <w:rPr>
          <w:sz w:val="24"/>
          <w:szCs w:val="24"/>
        </w:rPr>
        <w:fldChar w:fldCharType="separate"/>
      </w:r>
      <w:r w:rsidR="00FF5BC6" w:rsidRPr="00FF5BC6">
        <w:rPr>
          <w:noProof/>
          <w:sz w:val="24"/>
          <w:szCs w:val="24"/>
        </w:rPr>
        <w:t>[1]</w:t>
      </w:r>
      <w:r w:rsidR="00FF5BC6">
        <w:rPr>
          <w:sz w:val="24"/>
          <w:szCs w:val="24"/>
        </w:rPr>
        <w:fldChar w:fldCharType="end"/>
      </w:r>
      <w:r w:rsidR="00FF5BC6" w:rsidRPr="00FF5BC6">
        <w:rPr>
          <w:sz w:val="24"/>
          <w:szCs w:val="24"/>
        </w:rPr>
        <w:t xml:space="preserve">. </w:t>
      </w:r>
      <w:r w:rsidR="00B13317">
        <w:rPr>
          <w:sz w:val="24"/>
          <w:szCs w:val="24"/>
        </w:rPr>
        <w:t>Structural fire engineering knowledge is predominantly based on the response of single elements to a standard time temperature curve, under idealised furnace conditions, and assessing the response to a binary, pass/fail criterion</w:t>
      </w:r>
      <w:r w:rsidR="00E44600">
        <w:rPr>
          <w:sz w:val="24"/>
          <w:szCs w:val="24"/>
        </w:rPr>
        <w:t xml:space="preserve"> </w:t>
      </w:r>
      <w:r w:rsidR="00E44600">
        <w:rPr>
          <w:sz w:val="24"/>
          <w:szCs w:val="24"/>
        </w:rPr>
        <w:fldChar w:fldCharType="begin" w:fldLock="1"/>
      </w:r>
      <w:r w:rsidR="00251A44">
        <w:rPr>
          <w:sz w:val="24"/>
          <w:szCs w:val="24"/>
        </w:rPr>
        <w:instrText>ADDIN CSL_CITATION { "citationItems" : [ { "id" : "ITEM-1", "itemData" : { "author" : [ { "dropping-particle" : "", "family" : "Rush", "given" : "David", "non-dropping-particle" : "", "parse-names" : false, "suffix" : "" }, { "dropping-particle" : "", "family" : "Bisby", "given" : "Luke", "non-dropping-particle" : "", "parse-names" : false, "suffix" : "" }, { "dropping-particle" : "", "family" : "Ioannou", "given" : "Ioanna", "non-dropping-particle" : "", "parse-names" : false, "suffix" : "" }, { "dropping-particle" : "", "family" : "Rossetto", "given" : "Tiziana", "non-dropping-particle" : "", "parse-names" : false, "suffix" : "" } ], "container-title" : "8th SiF", "id" : "ITEM-1", "issued" : { "date-parts" : [ [ "2014" ] ] }, "page" : "467 - 474", "publisher-place" : "Shanghai", "title" : "Towards fragility analysis for concrete buildings in fire: residual capacity of concrete columns", "type" : "paper-conference" }, "uris" : [ "http://www.mendeley.com/documents/?uuid=a5973135-ab36-4abb-b4e1-9a688884e5c9", "http://www.mendeley.com/documents/?uuid=37329351-548b-4fc2-b76e-4a5d9b3e005b" ] } ], "mendeley" : { "formattedCitation" : "[2]", "plainTextFormattedCitation" : "[2]", "previouslyFormattedCitation" : "[2]" }, "properties" : { "noteIndex" : 0 }, "schema" : "https://github.com/citation-style-language/schema/raw/master/csl-citation.json" }</w:instrText>
      </w:r>
      <w:r w:rsidR="00E44600">
        <w:rPr>
          <w:sz w:val="24"/>
          <w:szCs w:val="24"/>
        </w:rPr>
        <w:fldChar w:fldCharType="separate"/>
      </w:r>
      <w:r w:rsidR="00E44600" w:rsidRPr="00E44600">
        <w:rPr>
          <w:noProof/>
          <w:sz w:val="24"/>
          <w:szCs w:val="24"/>
        </w:rPr>
        <w:t>[2]</w:t>
      </w:r>
      <w:r w:rsidR="00E44600">
        <w:rPr>
          <w:sz w:val="24"/>
          <w:szCs w:val="24"/>
        </w:rPr>
        <w:fldChar w:fldCharType="end"/>
      </w:r>
      <w:r w:rsidR="00B13317">
        <w:rPr>
          <w:sz w:val="24"/>
          <w:szCs w:val="24"/>
        </w:rPr>
        <w:t xml:space="preserve">. </w:t>
      </w:r>
      <w:r w:rsidR="00E44600">
        <w:rPr>
          <w:sz w:val="24"/>
          <w:szCs w:val="24"/>
        </w:rPr>
        <w:t>S</w:t>
      </w:r>
      <w:r w:rsidR="00A76792">
        <w:rPr>
          <w:sz w:val="24"/>
          <w:szCs w:val="24"/>
        </w:rPr>
        <w:t>tructural</w:t>
      </w:r>
      <w:r w:rsidR="00A76792" w:rsidRPr="002E6BB0">
        <w:rPr>
          <w:sz w:val="24"/>
          <w:szCs w:val="24"/>
        </w:rPr>
        <w:t xml:space="preserve"> frame</w:t>
      </w:r>
      <w:r w:rsidR="00E44600">
        <w:rPr>
          <w:sz w:val="24"/>
          <w:szCs w:val="24"/>
        </w:rPr>
        <w:t>s, however are know</w:t>
      </w:r>
      <w:r w:rsidR="009D46A8">
        <w:rPr>
          <w:sz w:val="24"/>
          <w:szCs w:val="24"/>
        </w:rPr>
        <w:t>n</w:t>
      </w:r>
      <w:r w:rsidR="00E44600">
        <w:rPr>
          <w:sz w:val="24"/>
          <w:szCs w:val="24"/>
        </w:rPr>
        <w:t xml:space="preserve"> </w:t>
      </w:r>
      <w:r w:rsidR="00E44600">
        <w:rPr>
          <w:sz w:val="24"/>
          <w:szCs w:val="24"/>
        </w:rPr>
        <w:t xml:space="preserve">to </w:t>
      </w:r>
      <w:r w:rsidR="00A76792" w:rsidRPr="002E6BB0">
        <w:rPr>
          <w:sz w:val="24"/>
          <w:szCs w:val="24"/>
        </w:rPr>
        <w:t>show better performance compared to individual element when subjected to fire, due to a beneficial effect of the connection between beam and column</w:t>
      </w:r>
      <w:r w:rsidR="00A76792">
        <w:rPr>
          <w:sz w:val="24"/>
          <w:szCs w:val="24"/>
        </w:rPr>
        <w:t xml:space="preserve"> </w:t>
      </w:r>
      <w:r w:rsidR="00A76792">
        <w:rPr>
          <w:sz w:val="24"/>
          <w:szCs w:val="24"/>
        </w:rPr>
        <w:fldChar w:fldCharType="begin" w:fldLock="1"/>
      </w:r>
      <w:r w:rsidR="00251A44">
        <w:rPr>
          <w:sz w:val="24"/>
          <w:szCs w:val="24"/>
        </w:rPr>
        <w:instrText>ADDIN CSL_CITATION { "citationItems" : [ { "id" : "ITEM-1", "itemData" : { "author" : [ { "dropping-particle" : "", "family" : "Cooke", "given" : "G.M.E.", "non-dropping-particle" : "", "parse-names" : false, "suffix" : "" }, { "dropping-particle" : "", "family" : "Latham", "given" : "D.J.", "non-dropping-particle" : "", "parse-names" : false, "suffix" : "" } ], "container-title" : "Steel Construction Today", "id" : "ITEM-1", "issued" : { "date-parts" : [ [ "1987" ] ] }, "page" : "49-58", "title" : "The inherent fire resistance of a loaded steel framework", "type" : "article", "volume" : "1.2" }, "uris" : [ "http://www.mendeley.com/documents/?uuid=2d7603e1-572f-400e-adac-58d541c566c3" ] } ], "mendeley" : { "formattedCitation" : "[3]", "plainTextFormattedCitation" : "[3]", "previouslyFormattedCitation" : "[3]" }, "properties" : { "noteIndex" : 0 }, "schema" : "https://github.com/citation-style-language/schema/raw/master/csl-citation.json" }</w:instrText>
      </w:r>
      <w:r w:rsidR="00A76792">
        <w:rPr>
          <w:sz w:val="24"/>
          <w:szCs w:val="24"/>
        </w:rPr>
        <w:fldChar w:fldCharType="separate"/>
      </w:r>
      <w:r w:rsidR="00A76792" w:rsidRPr="00A76792">
        <w:rPr>
          <w:noProof/>
          <w:sz w:val="24"/>
          <w:szCs w:val="24"/>
        </w:rPr>
        <w:t>[3]</w:t>
      </w:r>
      <w:r w:rsidR="00A76792">
        <w:rPr>
          <w:sz w:val="24"/>
          <w:szCs w:val="24"/>
        </w:rPr>
        <w:fldChar w:fldCharType="end"/>
      </w:r>
      <w:r w:rsidR="00A76792">
        <w:rPr>
          <w:sz w:val="24"/>
          <w:szCs w:val="24"/>
        </w:rPr>
        <w:t xml:space="preserve"> </w:t>
      </w:r>
      <w:r w:rsidR="00A76792">
        <w:rPr>
          <w:sz w:val="24"/>
          <w:szCs w:val="24"/>
        </w:rPr>
        <w:fldChar w:fldCharType="begin" w:fldLock="1"/>
      </w:r>
      <w:r w:rsidR="00251A44">
        <w:rPr>
          <w:sz w:val="24"/>
          <w:szCs w:val="24"/>
        </w:rPr>
        <w:instrText>ADDIN CSL_CITATION { "citationItems" : [ { "id" : "ITEM-1", "itemData" : { "author" : [ { "dropping-particle" : "", "family" : "Rubert A. Schaumann P.", "given" : "", "non-dropping-particle" : "", "parse-names" : false, "suffix" : "" } ], "container-title" : "Fire Safety Journal", "id" : "ITEM-1", "issued" : { "date-parts" : [ [ "1986" ] ] }, "title" : "Structural steel and plane frame assemblies under fire action.", "type" : "article-journal", "volume" : "10" }, "uris" : [ "http://www.mendeley.com/documents/?uuid=072583dc-bf01-46d8-ae29-532051ac706e" ] } ], "mendeley" : { "formattedCitation" : "[4]", "plainTextFormattedCitation" : "[4]", "previouslyFormattedCitation" : "[4]" }, "properties" : { "noteIndex" : 0 }, "schema" : "https://github.com/citation-style-language/schema/raw/master/csl-citation.json" }</w:instrText>
      </w:r>
      <w:r w:rsidR="00A76792">
        <w:rPr>
          <w:sz w:val="24"/>
          <w:szCs w:val="24"/>
        </w:rPr>
        <w:fldChar w:fldCharType="separate"/>
      </w:r>
      <w:r w:rsidR="00A76792" w:rsidRPr="00A76792">
        <w:rPr>
          <w:noProof/>
          <w:sz w:val="24"/>
          <w:szCs w:val="24"/>
        </w:rPr>
        <w:t>[4]</w:t>
      </w:r>
      <w:r w:rsidR="00A76792">
        <w:rPr>
          <w:sz w:val="24"/>
          <w:szCs w:val="24"/>
        </w:rPr>
        <w:fldChar w:fldCharType="end"/>
      </w:r>
      <w:r w:rsidR="00A76792">
        <w:rPr>
          <w:sz w:val="24"/>
          <w:szCs w:val="24"/>
        </w:rPr>
        <w:t>. P</w:t>
      </w:r>
      <w:r w:rsidR="00FF5BC6" w:rsidRPr="00FF5BC6">
        <w:rPr>
          <w:sz w:val="24"/>
          <w:szCs w:val="24"/>
        </w:rPr>
        <w:t>revisions of prescriptive code</w:t>
      </w:r>
      <w:r w:rsidR="00A76792">
        <w:rPr>
          <w:sz w:val="24"/>
          <w:szCs w:val="24"/>
        </w:rPr>
        <w:t xml:space="preserve"> </w:t>
      </w:r>
      <w:r w:rsidR="00A76792">
        <w:rPr>
          <w:sz w:val="24"/>
          <w:szCs w:val="24"/>
        </w:rPr>
        <w:fldChar w:fldCharType="begin" w:fldLock="1"/>
      </w:r>
      <w:r w:rsidR="00251A44">
        <w:rPr>
          <w:sz w:val="24"/>
          <w:szCs w:val="24"/>
        </w:rPr>
        <w:instrText>ADDIN CSL_CITATION { "citationItems" : [ { "id" : "ITEM-1", "itemData" : { "DOI" : "[Authority: The European Union Per Regulation 305/2011, Directive 98/34/EC, Directive 2004/18/EC]", "ISBN" : "978 0 580 61759 1", "abstract" : "I n o r d e r t o p r o m o t e p u b l i c e d u c a t i o n a n d p u b l i c s a f e t y , e q u a l j u s t i c e f o r a l l , a b e t t e r i n f o r m e d c i t i z e n r y , t h e r u l e o f l a w , w o r l d t r a d e a n d w o r l d p e a c e , t h i s l e g a l d o c u m e n t i s h e r e b y m a d e a v a i l a b l e o n a n o n c o m m e r c i a l b a s i s , a s i t i s t h e r i g h t o f a l l h u m a n s t o k n o w a n d s p e a k t h e l a w s t h a t g o v e r n t h e m .", "author" : [ { "dropping-particle" : "", "family" : "BS EN 1992-1-1", "given" : "", "non-dropping-particle" : "", "parse-names" : false, "suffix" : "" } ], "container-title" : "British Standards Institution", "id" : "ITEM-1", "issue" : "2004", "issued" : { "date-parts" : [ [ "2004" ] ] }, "page" : "230", "title" : "Eurocode 2: Design of concrete structures - Part 1-1 : General rules and rules for buildings", "type" : "article-journal", "volume" : "1" }, "uris" : [ "http://www.mendeley.com/documents/?uuid=2dfd77d7-03ef-455a-959d-f1eebac3ceaf" ] } ], "mendeley" : { "formattedCitation" : "[5]", "plainTextFormattedCitation" : "[5]", "previouslyFormattedCitation" : "[5]" }, "properties" : { "noteIndex" : 0 }, "schema" : "https://github.com/citation-style-language/schema/raw/master/csl-citation.json" }</w:instrText>
      </w:r>
      <w:r w:rsidR="00A76792">
        <w:rPr>
          <w:sz w:val="24"/>
          <w:szCs w:val="24"/>
        </w:rPr>
        <w:fldChar w:fldCharType="separate"/>
      </w:r>
      <w:r w:rsidR="00A76792" w:rsidRPr="00A76792">
        <w:rPr>
          <w:noProof/>
          <w:sz w:val="24"/>
          <w:szCs w:val="24"/>
        </w:rPr>
        <w:t>[5]</w:t>
      </w:r>
      <w:r w:rsidR="00A76792">
        <w:rPr>
          <w:sz w:val="24"/>
          <w:szCs w:val="24"/>
        </w:rPr>
        <w:fldChar w:fldCharType="end"/>
      </w:r>
      <w:r w:rsidR="00A76792">
        <w:rPr>
          <w:sz w:val="24"/>
          <w:szCs w:val="24"/>
        </w:rPr>
        <w:t xml:space="preserve"> </w:t>
      </w:r>
      <w:r w:rsidR="00FF5BC6" w:rsidRPr="00FF5BC6">
        <w:rPr>
          <w:sz w:val="24"/>
          <w:szCs w:val="24"/>
        </w:rPr>
        <w:t>assume that the intended life safety fire performance criteria is implicitly satisfied by meeting the minimum code requirements for design and detailing of structural and non</w:t>
      </w:r>
      <w:r w:rsidR="00A76792">
        <w:rPr>
          <w:sz w:val="24"/>
          <w:szCs w:val="24"/>
        </w:rPr>
        <w:t>-</w:t>
      </w:r>
      <w:r w:rsidR="00FF5BC6" w:rsidRPr="00FF5BC6">
        <w:rPr>
          <w:sz w:val="24"/>
          <w:szCs w:val="24"/>
        </w:rPr>
        <w:t xml:space="preserve">structural components. This represents an expectation and not </w:t>
      </w:r>
      <w:proofErr w:type="gramStart"/>
      <w:r w:rsidR="00E21DBF" w:rsidRPr="00FF5BC6">
        <w:rPr>
          <w:sz w:val="24"/>
          <w:szCs w:val="24"/>
        </w:rPr>
        <w:t>necessarily</w:t>
      </w:r>
      <w:proofErr w:type="gramEnd"/>
      <w:r w:rsidR="00FF5BC6" w:rsidRPr="00FF5BC6">
        <w:rPr>
          <w:sz w:val="24"/>
          <w:szCs w:val="24"/>
        </w:rPr>
        <w:t xml:space="preserve"> the reality since the complexity of actual fires and the interaction with structures is </w:t>
      </w:r>
      <w:r w:rsidR="00A76792">
        <w:rPr>
          <w:sz w:val="24"/>
          <w:szCs w:val="24"/>
        </w:rPr>
        <w:t>difficult to predict accurately</w:t>
      </w:r>
      <w:r w:rsidR="00FF5BC6" w:rsidRPr="00FF5BC6">
        <w:rPr>
          <w:sz w:val="24"/>
          <w:szCs w:val="24"/>
        </w:rPr>
        <w:t xml:space="preserve">. </w:t>
      </w:r>
      <w:r w:rsidR="00B13317">
        <w:rPr>
          <w:sz w:val="24"/>
          <w:szCs w:val="24"/>
        </w:rPr>
        <w:t>Previous experiments conducted on full structural frames, and sub-frames</w:t>
      </w:r>
      <w:r w:rsidR="00E44600">
        <w:rPr>
          <w:sz w:val="24"/>
          <w:szCs w:val="24"/>
        </w:rPr>
        <w:t xml:space="preserve"> </w:t>
      </w:r>
      <w:r w:rsidR="00E44600">
        <w:rPr>
          <w:sz w:val="24"/>
          <w:szCs w:val="24"/>
        </w:rPr>
        <w:fldChar w:fldCharType="begin" w:fldLock="1"/>
      </w:r>
      <w:r w:rsidR="00251A44">
        <w:rPr>
          <w:sz w:val="24"/>
          <w:szCs w:val="24"/>
        </w:rPr>
        <w:instrText>ADDIN CSL_CITATION { "citationItems" : [ { "id" : "ITEM-1", "itemData" : { "author" : [ { "dropping-particle" : "", "family" : "Bisby", "given" : "Luke", "non-dropping-particle" : "", "parse-names" : false, "suffix" : "" }, { "dropping-particle" : "", "family" : "Gales", "given" : "John", "non-dropping-particle" : "", "parse-names" : false, "suffix" : "" }, { "dropping-particle" : "", "family" : "Maluk", "given" : "Cristi\u00e1n", "non-dropping-particle" : "", "parse-names" : false, "suffix" : "" } ], "id" : "ITEM-1", "issued" : { "date-parts" : [ [ "2013" ] ] }, "page" : "1-27", "title" : "A contemporary review of large-scale non-standard structural fire testing", "type" : "article-journal" }, "uris" : [ "http://www.mendeley.com/documents/?uuid=5f683dea-dd1d-4cbb-bd42-6696ce01d1b7" ] } ], "mendeley" : { "formattedCitation" : "[6]", "plainTextFormattedCitation" : "[6]", "previouslyFormattedCitation" : "[6]" }, "properties" : { "noteIndex" : 0 }, "schema" : "https://github.com/citation-style-language/schema/raw/master/csl-citation.json" }</w:instrText>
      </w:r>
      <w:r w:rsidR="00E44600">
        <w:rPr>
          <w:sz w:val="24"/>
          <w:szCs w:val="24"/>
        </w:rPr>
        <w:fldChar w:fldCharType="separate"/>
      </w:r>
      <w:r w:rsidR="00E44600" w:rsidRPr="00E44600">
        <w:rPr>
          <w:noProof/>
          <w:sz w:val="24"/>
          <w:szCs w:val="24"/>
        </w:rPr>
        <w:t>[6]</w:t>
      </w:r>
      <w:r w:rsidR="00E44600">
        <w:rPr>
          <w:sz w:val="24"/>
          <w:szCs w:val="24"/>
        </w:rPr>
        <w:fldChar w:fldCharType="end"/>
      </w:r>
      <w:r w:rsidR="00B13317">
        <w:rPr>
          <w:sz w:val="24"/>
          <w:szCs w:val="24"/>
        </w:rPr>
        <w:t xml:space="preserve">, have provided valuable data for modelling and design code enhancements, however, due to their expense, the relevance of any data can be limited to the specific building characteristics. Additionally, there are many known complexities with respect to the fire and its interaction with the structure, and therefore it is </w:t>
      </w:r>
      <w:r w:rsidR="00B13317" w:rsidRPr="0084085A">
        <w:rPr>
          <w:sz w:val="24"/>
          <w:szCs w:val="24"/>
        </w:rPr>
        <w:t xml:space="preserve">impossible </w:t>
      </w:r>
      <w:proofErr w:type="gramStart"/>
      <w:r w:rsidR="00B13317" w:rsidRPr="0084085A">
        <w:rPr>
          <w:sz w:val="24"/>
          <w:szCs w:val="24"/>
        </w:rPr>
        <w:t xml:space="preserve">to </w:t>
      </w:r>
      <w:r w:rsidR="00B13317">
        <w:rPr>
          <w:sz w:val="24"/>
          <w:szCs w:val="24"/>
        </w:rPr>
        <w:t>fully develop</w:t>
      </w:r>
      <w:proofErr w:type="gramEnd"/>
      <w:r w:rsidR="00B13317" w:rsidRPr="0084085A">
        <w:rPr>
          <w:sz w:val="24"/>
          <w:szCs w:val="24"/>
        </w:rPr>
        <w:t xml:space="preserve"> the probabilistic data </w:t>
      </w:r>
      <w:r w:rsidR="00B13317">
        <w:rPr>
          <w:sz w:val="24"/>
          <w:szCs w:val="24"/>
        </w:rPr>
        <w:t xml:space="preserve">and understanding </w:t>
      </w:r>
      <w:r w:rsidR="00B13317" w:rsidRPr="0084085A">
        <w:rPr>
          <w:sz w:val="24"/>
          <w:szCs w:val="24"/>
        </w:rPr>
        <w:t>through experimentation</w:t>
      </w:r>
      <w:r w:rsidR="00B13317">
        <w:rPr>
          <w:sz w:val="24"/>
          <w:szCs w:val="24"/>
        </w:rPr>
        <w:t xml:space="preserve"> alone</w:t>
      </w:r>
      <w:r w:rsidR="00E44600">
        <w:rPr>
          <w:sz w:val="24"/>
          <w:szCs w:val="24"/>
        </w:rPr>
        <w:t xml:space="preserve">. </w:t>
      </w:r>
      <w:r w:rsidR="009323B6" w:rsidRPr="009323B6">
        <w:rPr>
          <w:sz w:val="24"/>
          <w:szCs w:val="24"/>
        </w:rPr>
        <w:t xml:space="preserve">Performance-based design </w:t>
      </w:r>
      <w:proofErr w:type="gramStart"/>
      <w:r w:rsidR="009323B6" w:rsidRPr="009323B6">
        <w:rPr>
          <w:sz w:val="24"/>
          <w:szCs w:val="24"/>
        </w:rPr>
        <w:t>is used</w:t>
      </w:r>
      <w:proofErr w:type="gramEnd"/>
      <w:r w:rsidR="009323B6" w:rsidRPr="009323B6">
        <w:rPr>
          <w:sz w:val="24"/>
          <w:szCs w:val="24"/>
        </w:rPr>
        <w:t xml:space="preserve"> to explicitly demonstrate, using pre-identified performance </w:t>
      </w:r>
      <w:r w:rsidR="00E21DBF" w:rsidRPr="009323B6">
        <w:rPr>
          <w:sz w:val="24"/>
          <w:szCs w:val="24"/>
        </w:rPr>
        <w:t>objectives that</w:t>
      </w:r>
      <w:r w:rsidR="009323B6" w:rsidRPr="009323B6">
        <w:rPr>
          <w:sz w:val="24"/>
          <w:szCs w:val="24"/>
        </w:rPr>
        <w:t xml:space="preserve"> the same level of life safety can be provided with enhanced property protection. This is possible through </w:t>
      </w:r>
      <w:r w:rsidR="009323B6" w:rsidRPr="009323B6">
        <w:rPr>
          <w:sz w:val="24"/>
          <w:szCs w:val="24"/>
        </w:rPr>
        <w:lastRenderedPageBreak/>
        <w:t xml:space="preserve">advanced computer simulations using 3D models. However, these models are rarely validated or benchmarked due to a lack of relevant data and </w:t>
      </w:r>
      <w:proofErr w:type="gramStart"/>
      <w:r w:rsidR="009323B6" w:rsidRPr="009323B6">
        <w:rPr>
          <w:sz w:val="24"/>
          <w:szCs w:val="24"/>
        </w:rPr>
        <w:t>can</w:t>
      </w:r>
      <w:r w:rsidR="007C671F">
        <w:rPr>
          <w:sz w:val="24"/>
          <w:szCs w:val="24"/>
        </w:rPr>
        <w:t xml:space="preserve"> </w:t>
      </w:r>
      <w:r w:rsidR="009323B6" w:rsidRPr="009323B6">
        <w:rPr>
          <w:sz w:val="24"/>
          <w:szCs w:val="24"/>
        </w:rPr>
        <w:t>also</w:t>
      </w:r>
      <w:proofErr w:type="gramEnd"/>
      <w:r w:rsidR="009323B6" w:rsidRPr="009323B6">
        <w:rPr>
          <w:sz w:val="24"/>
          <w:szCs w:val="24"/>
        </w:rPr>
        <w:t xml:space="preserve"> be limited in their ability to describe structural behaviour close to the point of failure.  To overcome this, much research has been in the field of probabilistic performance-based design</w:t>
      </w:r>
      <w:r w:rsidR="009323B6">
        <w:rPr>
          <w:sz w:val="24"/>
          <w:szCs w:val="24"/>
        </w:rPr>
        <w:t xml:space="preserve"> </w:t>
      </w:r>
      <w:r w:rsidR="009323B6">
        <w:rPr>
          <w:sz w:val="24"/>
          <w:szCs w:val="24"/>
        </w:rPr>
        <w:fldChar w:fldCharType="begin" w:fldLock="1"/>
      </w:r>
      <w:r w:rsidR="00251A44">
        <w:rPr>
          <w:sz w:val="24"/>
          <w:szCs w:val="24"/>
        </w:rPr>
        <w:instrText>ADDIN CSL_CITATION { "citationItems" : [ { "id" : "ITEM-1", "itemData" : { "DOI" : "10.1007/s10694-014-0454-x", "ISBN" : "1069401404", "ISSN" : "0015-2684", "abstract" : "In fire safety engineering, the concepts of design fire scenarios and design fires are important for several reasons. In the design phases of a construction project the performance of safety measures, and the potential consequences of a fire, must be assessed by exploring design fire scenarios and design fires. Active and passive fire safety measures are dimensioned by exposing the systems to predetermined fire events. A predetermined fire event can also be used to extract fire-related quantities, such as smoke production rates, temperatures, and heat fluxes. Therefore fire events, which form the basis of these analyses, must be established. In this paper we report results from our investigation of current approaches used to determine design fires and their associated input variables. We present a framework to categorize design fires based on various engineering principles, in which fuel properties and environmental factors are emphasized. The framework provides a more consistent methodology than seen elsewhere, taking the perspective of the practicing engineer into account. Furthermore the creation of design fires encompasses considerations of uncertainty and validity.", "author" : [ { "dropping-particle" : "", "family" : "Borg", "given" : "Audun", "non-dropping-particle" : "", "parse-names" : false, "suffix" : "" }, { "dropping-particle" : "", "family" : "Nj\u00e5", "given" : "Ove", "non-dropping-particle" : "", "parse-names" : false, "suffix" : "" }, { "dropping-particle" : "", "family" : "Torero", "given" : "Jos\u00e9 L.", "non-dropping-particle" : "", "parse-names" : false, "suffix" : "" } ], "container-title" : "Fire Technology", "id" : "ITEM-1", "issue" : "4", "issued" : { "date-parts" : [ [ "2015" ] ] }, "page" : "995-1017", "title" : "A Framework for Selecting Design Fires in Performance Based Fire Safety Engineering", "type" : "article-journal", "volume" : "51" }, "uris" : [ "http://www.mendeley.com/documents/?uuid=051bcaa3-81e0-467b-9d37-3eb0fcf781c2" ] } ], "mendeley" : { "formattedCitation" : "[7]", "plainTextFormattedCitation" : "[7]", "previouslyFormattedCitation" : "[7]" }, "properties" : { "noteIndex" : 0 }, "schema" : "https://github.com/citation-style-language/schema/raw/master/csl-citation.json" }</w:instrText>
      </w:r>
      <w:r w:rsidR="009323B6">
        <w:rPr>
          <w:sz w:val="24"/>
          <w:szCs w:val="24"/>
        </w:rPr>
        <w:fldChar w:fldCharType="separate"/>
      </w:r>
      <w:r w:rsidR="00E44600" w:rsidRPr="00E44600">
        <w:rPr>
          <w:noProof/>
          <w:sz w:val="24"/>
          <w:szCs w:val="24"/>
        </w:rPr>
        <w:t>[7]</w:t>
      </w:r>
      <w:r w:rsidR="009323B6">
        <w:rPr>
          <w:sz w:val="24"/>
          <w:szCs w:val="24"/>
        </w:rPr>
        <w:fldChar w:fldCharType="end"/>
      </w:r>
      <w:r w:rsidR="009323B6" w:rsidRPr="009323B6">
        <w:rPr>
          <w:sz w:val="24"/>
          <w:szCs w:val="24"/>
        </w:rPr>
        <w:t>. Again, lack of validation data for these models limi</w:t>
      </w:r>
      <w:r w:rsidR="009323B6">
        <w:rPr>
          <w:sz w:val="24"/>
          <w:szCs w:val="24"/>
        </w:rPr>
        <w:t>t</w:t>
      </w:r>
      <w:r w:rsidR="00E21DBF">
        <w:rPr>
          <w:sz w:val="24"/>
          <w:szCs w:val="24"/>
        </w:rPr>
        <w:t>s</w:t>
      </w:r>
      <w:r w:rsidR="009323B6">
        <w:rPr>
          <w:sz w:val="24"/>
          <w:szCs w:val="24"/>
        </w:rPr>
        <w:t xml:space="preserve"> their application in practice. </w:t>
      </w:r>
      <w:r w:rsidR="00E44600">
        <w:rPr>
          <w:sz w:val="24"/>
          <w:szCs w:val="24"/>
        </w:rPr>
        <w:t xml:space="preserve">For this reason, data on existing structures in the aftermath of an event can be instrumental in defining the real impact effects on structures and the quantification of damage. </w:t>
      </w:r>
      <w:r w:rsidR="00E44600" w:rsidRPr="0084085A">
        <w:rPr>
          <w:sz w:val="24"/>
          <w:szCs w:val="24"/>
        </w:rPr>
        <w:t xml:space="preserve">Therefore, the use of fire statistics </w:t>
      </w:r>
      <w:proofErr w:type="gramStart"/>
      <w:r w:rsidR="00E44600" w:rsidRPr="0084085A">
        <w:rPr>
          <w:sz w:val="24"/>
          <w:szCs w:val="24"/>
        </w:rPr>
        <w:t>can be used</w:t>
      </w:r>
      <w:proofErr w:type="gramEnd"/>
      <w:r w:rsidR="00E44600" w:rsidRPr="0084085A">
        <w:rPr>
          <w:sz w:val="24"/>
          <w:szCs w:val="24"/>
        </w:rPr>
        <w:t xml:space="preserve"> to understand the real relationships between fire occurrences, fire size, damage caused by fire and interventions to extinguish the fire</w:t>
      </w:r>
      <w:r w:rsidR="00E44600">
        <w:rPr>
          <w:sz w:val="24"/>
          <w:szCs w:val="24"/>
        </w:rPr>
        <w:t>.</w:t>
      </w:r>
      <w:r w:rsidR="0084085A">
        <w:rPr>
          <w:sz w:val="24"/>
          <w:szCs w:val="24"/>
        </w:rPr>
        <w:t xml:space="preserve"> </w:t>
      </w:r>
    </w:p>
    <w:p w14:paraId="14CFCCFA" w14:textId="03B08704" w:rsidR="00190F77" w:rsidRDefault="006D7891" w:rsidP="00FA1E8E">
      <w:pPr>
        <w:rPr>
          <w:sz w:val="24"/>
          <w:szCs w:val="24"/>
        </w:rPr>
      </w:pPr>
      <w:r w:rsidRPr="006D7891">
        <w:rPr>
          <w:sz w:val="24"/>
          <w:szCs w:val="24"/>
        </w:rPr>
        <w:t>Different countries have developed their own databases using on-line forms completed</w:t>
      </w:r>
      <w:r w:rsidR="008A2C82">
        <w:rPr>
          <w:sz w:val="24"/>
          <w:szCs w:val="24"/>
        </w:rPr>
        <w:t xml:space="preserve"> after an incident</w:t>
      </w:r>
      <w:r w:rsidRPr="006D7891">
        <w:rPr>
          <w:sz w:val="24"/>
          <w:szCs w:val="24"/>
        </w:rPr>
        <w:t xml:space="preserve"> by fire departments. This paper analyses th</w:t>
      </w:r>
      <w:r w:rsidR="007325A3">
        <w:rPr>
          <w:sz w:val="24"/>
          <w:szCs w:val="24"/>
        </w:rPr>
        <w:t>ree</w:t>
      </w:r>
      <w:r w:rsidRPr="006D7891">
        <w:rPr>
          <w:sz w:val="24"/>
          <w:szCs w:val="24"/>
        </w:rPr>
        <w:t xml:space="preserve"> fire statistics</w:t>
      </w:r>
      <w:r w:rsidR="007325A3">
        <w:rPr>
          <w:sz w:val="24"/>
          <w:szCs w:val="24"/>
        </w:rPr>
        <w:t xml:space="preserve"> databases</w:t>
      </w:r>
      <w:r w:rsidRPr="006D7891">
        <w:rPr>
          <w:sz w:val="24"/>
          <w:szCs w:val="24"/>
        </w:rPr>
        <w:t xml:space="preserve"> from the IRS, UK</w:t>
      </w:r>
      <w:r w:rsidR="009D46A8">
        <w:rPr>
          <w:sz w:val="24"/>
          <w:szCs w:val="24"/>
        </w:rPr>
        <w:t xml:space="preserve"> </w:t>
      </w:r>
      <w:r w:rsidR="009D46A8">
        <w:rPr>
          <w:sz w:val="24"/>
          <w:szCs w:val="24"/>
        </w:rPr>
        <w:fldChar w:fldCharType="begin" w:fldLock="1"/>
      </w:r>
      <w:r w:rsidR="00251A44">
        <w:rPr>
          <w:sz w:val="24"/>
          <w:szCs w:val="24"/>
        </w:rPr>
        <w:instrText>ADDIN CSL_CITATION { "citationItems" : [ { "id" : "ITEM-1", "itemData" : { "abstract" : "Introduction Fire Statistics England 2014/15 is the first fire statistics publication released since responsibility for fire policy moved from the Department for Communities and Local Government to the Home Office on April 1 st 2016. In previous years this publication has covered Great Britain, however after a survey of Fire Statistics Great Britain users, it was decided to change the scope of the release to reflect user needs. This release provides greater detail on incidents attended in 2014/15, including the causes of fires, the use of smoke alarms, the seasonality and temporality of fires and other topics of interest to the fire statistics community. The Fire Statistics Monitor provides updates on the key variables such as the number of incidents attended, fires attended, fire-related fatalities and casualties, 2015/16 data will be published in July/August 2016, the latest statistics on this were published on 31 March 2016.", "author" : [ { "dropping-particle" : "", "family" : "Gaught", "given" : "Paul", "non-dropping-particle" : "", "parse-names" : false, "suffix" : "" }, { "dropping-particle" : "", "family" : "Gallucci", "given" : "James", "non-dropping-particle" : "", "parse-names" : false, "suffix" : "" }, { "dropping-particle" : "", "family" : "Smalldridge", "given" : "Georgina", "non-dropping-particle" : "", "parse-names" : false, "suffix" : "" } ], "id" : "ITEM-1", "issue" : "June", "issued" : { "date-parts" : [ [ "2016" ] ] }, "title" : "Fire Statistics England, 2014/15", "type" : "article-journal" }, "uris" : [ "http://www.mendeley.com/documents/?uuid=6ec5dc96-a020-4772-873b-620cea782566" ] } ], "mendeley" : { "formattedCitation" : "[8]", "plainTextFormattedCitation" : "[8]", "previouslyFormattedCitation" : "[8]" }, "properties" : { "noteIndex" : 0 }, "schema" : "https://github.com/citation-style-language/schema/raw/master/csl-citation.json" }</w:instrText>
      </w:r>
      <w:r w:rsidR="009D46A8">
        <w:rPr>
          <w:sz w:val="24"/>
          <w:szCs w:val="24"/>
        </w:rPr>
        <w:fldChar w:fldCharType="separate"/>
      </w:r>
      <w:r w:rsidR="009D46A8" w:rsidRPr="009D46A8">
        <w:rPr>
          <w:noProof/>
          <w:sz w:val="24"/>
          <w:szCs w:val="24"/>
        </w:rPr>
        <w:t>[8]</w:t>
      </w:r>
      <w:r w:rsidR="009D46A8">
        <w:rPr>
          <w:sz w:val="24"/>
          <w:szCs w:val="24"/>
        </w:rPr>
        <w:fldChar w:fldCharType="end"/>
      </w:r>
      <w:r w:rsidRPr="006D7891">
        <w:rPr>
          <w:sz w:val="24"/>
          <w:szCs w:val="24"/>
        </w:rPr>
        <w:t>; NFIRS, USA</w:t>
      </w:r>
      <w:r w:rsidR="00444843">
        <w:rPr>
          <w:sz w:val="24"/>
          <w:szCs w:val="24"/>
        </w:rPr>
        <w:t xml:space="preserve"> (including more </w:t>
      </w:r>
      <w:r w:rsidR="009D46A8">
        <w:rPr>
          <w:sz w:val="24"/>
          <w:szCs w:val="24"/>
        </w:rPr>
        <w:t>in-depth</w:t>
      </w:r>
      <w:r w:rsidR="00444843">
        <w:rPr>
          <w:sz w:val="24"/>
          <w:szCs w:val="24"/>
        </w:rPr>
        <w:t xml:space="preserve"> data provided to the authors on request from FEMA) </w:t>
      </w:r>
      <w:r w:rsidR="009D46A8">
        <w:rPr>
          <w:sz w:val="24"/>
          <w:szCs w:val="24"/>
        </w:rPr>
        <w:fldChar w:fldCharType="begin" w:fldLock="1"/>
      </w:r>
      <w:r w:rsidR="00251A44">
        <w:rPr>
          <w:sz w:val="24"/>
          <w:szCs w:val="24"/>
        </w:rPr>
        <w:instrText>ADDIN CSL_CITATION { "citationItems" : [ { "id" : "ITEM-1", "itemData" : { "author" : [ { "dropping-particle" : "", "family" : "USFA", "given" : "", "non-dropping-particle" : "", "parse-names" : false, "suffix" : "" } ], "id" : "ITEM-1", "issue" : "12/31", "issued" : { "date-parts" : [ [ "2014" ] ] }, "title" : "National Fire Incident Reporting System", "type" : "article-journal", "volume" : "2014" }, "uris" : [ "http://www.mendeley.com/documents/?uuid=6f230c7b-c235-4d06-86cd-975398980aea" ] } ], "mendeley" : { "formattedCitation" : "[9]", "plainTextFormattedCitation" : "[9]", "previouslyFormattedCitation" : "[9]" }, "properties" : { "noteIndex" : 0 }, "schema" : "https://github.com/citation-style-language/schema/raw/master/csl-citation.json" }</w:instrText>
      </w:r>
      <w:r w:rsidR="009D46A8">
        <w:rPr>
          <w:sz w:val="24"/>
          <w:szCs w:val="24"/>
        </w:rPr>
        <w:fldChar w:fldCharType="separate"/>
      </w:r>
      <w:r w:rsidR="009D46A8" w:rsidRPr="009D46A8">
        <w:rPr>
          <w:noProof/>
          <w:sz w:val="24"/>
          <w:szCs w:val="24"/>
        </w:rPr>
        <w:t>[9]</w:t>
      </w:r>
      <w:r w:rsidR="009D46A8">
        <w:rPr>
          <w:sz w:val="24"/>
          <w:szCs w:val="24"/>
        </w:rPr>
        <w:fldChar w:fldCharType="end"/>
      </w:r>
      <w:r w:rsidR="009D46A8">
        <w:rPr>
          <w:sz w:val="24"/>
          <w:szCs w:val="24"/>
        </w:rPr>
        <w:t xml:space="preserve"> </w:t>
      </w:r>
      <w:r w:rsidR="00444843" w:rsidRPr="006D7891">
        <w:rPr>
          <w:sz w:val="24"/>
          <w:szCs w:val="24"/>
        </w:rPr>
        <w:t>and the New Zealand Fire Service database</w:t>
      </w:r>
      <w:r w:rsidR="00444843">
        <w:rPr>
          <w:sz w:val="24"/>
          <w:szCs w:val="24"/>
        </w:rPr>
        <w:t xml:space="preserve"> (provided to the authors on request from the NZ fire service)</w:t>
      </w:r>
      <w:r w:rsidRPr="006D7891">
        <w:rPr>
          <w:sz w:val="24"/>
          <w:szCs w:val="24"/>
        </w:rPr>
        <w:t>. These national statistical estimates</w:t>
      </w:r>
      <w:r>
        <w:rPr>
          <w:sz w:val="24"/>
          <w:szCs w:val="24"/>
        </w:rPr>
        <w:t xml:space="preserve"> have c</w:t>
      </w:r>
      <w:r w:rsidRPr="006D7891">
        <w:rPr>
          <w:sz w:val="24"/>
          <w:szCs w:val="24"/>
        </w:rPr>
        <w:t xml:space="preserve">ommon mandatory </w:t>
      </w:r>
      <w:r>
        <w:rPr>
          <w:sz w:val="24"/>
          <w:szCs w:val="24"/>
        </w:rPr>
        <w:t xml:space="preserve">fields that can be divided in major groups: causes of fire, factors contributing to ignition, response time </w:t>
      </w:r>
      <w:r w:rsidR="008A2C82">
        <w:rPr>
          <w:sz w:val="24"/>
          <w:szCs w:val="24"/>
        </w:rPr>
        <w:t xml:space="preserve">from fire departments, </w:t>
      </w:r>
      <w:r>
        <w:rPr>
          <w:sz w:val="24"/>
          <w:szCs w:val="24"/>
        </w:rPr>
        <w:t>start-stop time, status of the building and structural damage</w:t>
      </w:r>
      <w:r w:rsidR="00017122">
        <w:rPr>
          <w:sz w:val="24"/>
          <w:szCs w:val="24"/>
        </w:rPr>
        <w:t xml:space="preserve">. </w:t>
      </w:r>
      <w:r w:rsidRPr="006D7891">
        <w:rPr>
          <w:sz w:val="24"/>
          <w:szCs w:val="24"/>
        </w:rPr>
        <w:t>Further fields question the intensity, powering factors, and spread of the fire. Fire spread includes the area damaged in square meters in both the horizontal and vertical direction in UK and a percentage of area damage in USA, while in New Zealand</w:t>
      </w:r>
      <w:r w:rsidR="007C671F">
        <w:rPr>
          <w:sz w:val="24"/>
          <w:szCs w:val="24"/>
        </w:rPr>
        <w:t>,</w:t>
      </w:r>
      <w:r w:rsidRPr="006D7891">
        <w:rPr>
          <w:sz w:val="24"/>
          <w:szCs w:val="24"/>
        </w:rPr>
        <w:t xml:space="preserve"> flame, s</w:t>
      </w:r>
      <w:r w:rsidR="008A2C82">
        <w:rPr>
          <w:sz w:val="24"/>
          <w:szCs w:val="24"/>
        </w:rPr>
        <w:t xml:space="preserve">moke and water damages </w:t>
      </w:r>
      <w:proofErr w:type="gramStart"/>
      <w:r w:rsidR="008A2C82">
        <w:rPr>
          <w:sz w:val="24"/>
          <w:szCs w:val="24"/>
        </w:rPr>
        <w:t xml:space="preserve">are </w:t>
      </w:r>
      <w:r w:rsidRPr="006D7891">
        <w:rPr>
          <w:sz w:val="24"/>
          <w:szCs w:val="24"/>
        </w:rPr>
        <w:t>reported</w:t>
      </w:r>
      <w:proofErr w:type="gramEnd"/>
      <w:r w:rsidR="008A2C82">
        <w:rPr>
          <w:sz w:val="24"/>
          <w:szCs w:val="24"/>
        </w:rPr>
        <w:t xml:space="preserve"> and can be compared to the total area of the structure in consideration</w:t>
      </w:r>
      <w:r w:rsidRPr="006D7891">
        <w:rPr>
          <w:sz w:val="24"/>
          <w:szCs w:val="24"/>
        </w:rPr>
        <w:t xml:space="preserve">. Additional information </w:t>
      </w:r>
      <w:proofErr w:type="gramStart"/>
      <w:r w:rsidRPr="006D7891">
        <w:rPr>
          <w:sz w:val="24"/>
          <w:szCs w:val="24"/>
        </w:rPr>
        <w:t>is also requested</w:t>
      </w:r>
      <w:proofErr w:type="gramEnd"/>
      <w:r w:rsidRPr="006D7891">
        <w:rPr>
          <w:sz w:val="24"/>
          <w:szCs w:val="24"/>
        </w:rPr>
        <w:t xml:space="preserve"> on the effectiveness of alarm and safety systems based on type, location and reasons why they did not operate as intended. The coalescence of this data will provide a quantification of the size and scale of damage with respect to different intervention strategies and </w:t>
      </w:r>
      <w:proofErr w:type="gramStart"/>
      <w:r w:rsidRPr="006D7891">
        <w:rPr>
          <w:sz w:val="24"/>
          <w:szCs w:val="24"/>
        </w:rPr>
        <w:t>can be subdivided</w:t>
      </w:r>
      <w:proofErr w:type="gramEnd"/>
      <w:r w:rsidRPr="006D7891">
        <w:rPr>
          <w:sz w:val="24"/>
          <w:szCs w:val="24"/>
        </w:rPr>
        <w:t xml:space="preserve"> by building type </w:t>
      </w:r>
      <w:r w:rsidR="0084085A">
        <w:rPr>
          <w:sz w:val="24"/>
          <w:szCs w:val="24"/>
        </w:rPr>
        <w:t xml:space="preserve">(dwellings and other buildings) </w:t>
      </w:r>
      <w:r w:rsidRPr="006D7891">
        <w:rPr>
          <w:sz w:val="24"/>
          <w:szCs w:val="24"/>
        </w:rPr>
        <w:t>and use</w:t>
      </w:r>
      <w:r w:rsidR="0084085A">
        <w:rPr>
          <w:sz w:val="24"/>
          <w:szCs w:val="24"/>
        </w:rPr>
        <w:t>.</w:t>
      </w:r>
      <w:r w:rsidR="008A2C82">
        <w:rPr>
          <w:sz w:val="24"/>
          <w:szCs w:val="24"/>
        </w:rPr>
        <w:t xml:space="preserve"> </w:t>
      </w:r>
      <w:r w:rsidR="009D46A8">
        <w:rPr>
          <w:sz w:val="24"/>
          <w:szCs w:val="24"/>
        </w:rPr>
        <w:t xml:space="preserve">Moreover, the data can form some of the inputs parameters required to conduct performance-based design analyses where the </w:t>
      </w:r>
      <w:r w:rsidR="009D46A8" w:rsidRPr="006D7891">
        <w:rPr>
          <w:sz w:val="24"/>
          <w:szCs w:val="24"/>
        </w:rPr>
        <w:t>resilience of structures to fire shocks</w:t>
      </w:r>
      <w:r w:rsidR="009D46A8">
        <w:rPr>
          <w:sz w:val="24"/>
          <w:szCs w:val="24"/>
        </w:rPr>
        <w:t xml:space="preserve"> </w:t>
      </w:r>
      <w:proofErr w:type="gramStart"/>
      <w:r w:rsidR="009D46A8">
        <w:rPr>
          <w:sz w:val="24"/>
          <w:szCs w:val="24"/>
        </w:rPr>
        <w:t>can be estimated</w:t>
      </w:r>
      <w:proofErr w:type="gramEnd"/>
      <w:r w:rsidR="00C467DE">
        <w:rPr>
          <w:sz w:val="24"/>
          <w:szCs w:val="24"/>
        </w:rPr>
        <w:t xml:space="preserve">. Direct monetary losses will not be analysed </w:t>
      </w:r>
      <w:r w:rsidR="00485710">
        <w:rPr>
          <w:sz w:val="24"/>
          <w:szCs w:val="24"/>
        </w:rPr>
        <w:t xml:space="preserve">in this paper </w:t>
      </w:r>
      <w:r w:rsidR="00C467DE">
        <w:rPr>
          <w:sz w:val="24"/>
          <w:szCs w:val="24"/>
        </w:rPr>
        <w:t>but their estimation is present in the NFIRS</w:t>
      </w:r>
      <w:r w:rsidR="003B761D">
        <w:rPr>
          <w:sz w:val="24"/>
          <w:szCs w:val="24"/>
        </w:rPr>
        <w:t>,</w:t>
      </w:r>
      <w:r w:rsidR="00C467DE">
        <w:rPr>
          <w:sz w:val="24"/>
          <w:szCs w:val="24"/>
        </w:rPr>
        <w:t xml:space="preserve"> applying the BVD (Building</w:t>
      </w:r>
      <w:r w:rsidR="00E20B4B">
        <w:rPr>
          <w:sz w:val="24"/>
          <w:szCs w:val="24"/>
        </w:rPr>
        <w:t xml:space="preserve"> </w:t>
      </w:r>
      <w:r w:rsidR="00C467DE">
        <w:rPr>
          <w:sz w:val="24"/>
          <w:szCs w:val="24"/>
        </w:rPr>
        <w:t>Validation Data) method</w:t>
      </w:r>
      <w:r w:rsidR="003B761D">
        <w:rPr>
          <w:sz w:val="24"/>
          <w:szCs w:val="24"/>
        </w:rPr>
        <w:t xml:space="preserve"> </w:t>
      </w:r>
      <w:r w:rsidR="003B761D">
        <w:rPr>
          <w:sz w:val="24"/>
          <w:szCs w:val="24"/>
        </w:rPr>
        <w:fldChar w:fldCharType="begin" w:fldLock="1"/>
      </w:r>
      <w:r w:rsidR="00251A44">
        <w:rPr>
          <w:sz w:val="24"/>
          <w:szCs w:val="24"/>
        </w:rPr>
        <w:instrText>ADDIN CSL_CITATION { "citationItems" : [ { "id" : "ITEM-1", "itemData" : { "author" : [ { "dropping-particle" : "", "family" : "International Code Council", "given" : "", "non-dropping-particle" : "", "parse-names" : false, "suffix" : "" } ], "id" : "ITEM-1", "issue" : "FEBRUARY", "issued" : { "date-parts" : [ [ "2017" ] ] }, "number-of-pages" : "19-20", "title" : "Building Valuation Data \u2013 FEBRUARY 2017", "type" : "report" }, "uris" : [ "http://www.mendeley.com/documents/?uuid=c53294b3-d65f-4d76-bbb7-4f15e849cb25" ] } ], "mendeley" : { "formattedCitation" : "[10]", "plainTextFormattedCitation" : "[10]", "previouslyFormattedCitation" : "[10]" }, "properties" : { "noteIndex" : 0 }, "schema" : "https://github.com/citation-style-language/schema/raw/master/csl-citation.json" }</w:instrText>
      </w:r>
      <w:r w:rsidR="003B761D">
        <w:rPr>
          <w:sz w:val="24"/>
          <w:szCs w:val="24"/>
        </w:rPr>
        <w:fldChar w:fldCharType="separate"/>
      </w:r>
      <w:r w:rsidR="009D46A8" w:rsidRPr="009D46A8">
        <w:rPr>
          <w:noProof/>
          <w:sz w:val="24"/>
          <w:szCs w:val="24"/>
        </w:rPr>
        <w:t>[10]</w:t>
      </w:r>
      <w:r w:rsidR="003B761D">
        <w:rPr>
          <w:sz w:val="24"/>
          <w:szCs w:val="24"/>
        </w:rPr>
        <w:fldChar w:fldCharType="end"/>
      </w:r>
      <w:r w:rsidR="003B761D">
        <w:rPr>
          <w:sz w:val="24"/>
          <w:szCs w:val="24"/>
        </w:rPr>
        <w:t xml:space="preserve">, </w:t>
      </w:r>
      <w:r w:rsidR="00C467DE">
        <w:rPr>
          <w:sz w:val="24"/>
          <w:szCs w:val="24"/>
        </w:rPr>
        <w:t xml:space="preserve">and in the New Zealand database where, unfortunately, how they have been calculated is not specified. </w:t>
      </w:r>
      <w:r w:rsidRPr="006D7891">
        <w:rPr>
          <w:sz w:val="24"/>
          <w:szCs w:val="24"/>
        </w:rPr>
        <w:t xml:space="preserve">A comparison between the different countries is essential to highlight how each of </w:t>
      </w:r>
      <w:r w:rsidR="00C467DE">
        <w:rPr>
          <w:sz w:val="24"/>
          <w:szCs w:val="24"/>
        </w:rPr>
        <w:t xml:space="preserve">them approaches the problem, </w:t>
      </w:r>
      <w:r w:rsidRPr="006D7891">
        <w:rPr>
          <w:sz w:val="24"/>
          <w:szCs w:val="24"/>
        </w:rPr>
        <w:t>the</w:t>
      </w:r>
      <w:r w:rsidR="00C467DE">
        <w:rPr>
          <w:sz w:val="24"/>
          <w:szCs w:val="24"/>
        </w:rPr>
        <w:t xml:space="preserve"> data available and which are the aspects that </w:t>
      </w:r>
      <w:proofErr w:type="gramStart"/>
      <w:r w:rsidR="00C467DE">
        <w:rPr>
          <w:sz w:val="24"/>
          <w:szCs w:val="24"/>
        </w:rPr>
        <w:t>should be improved</w:t>
      </w:r>
      <w:proofErr w:type="gramEnd"/>
      <w:r w:rsidR="00C467DE">
        <w:rPr>
          <w:sz w:val="24"/>
          <w:szCs w:val="24"/>
        </w:rPr>
        <w:t xml:space="preserve"> in term of fire science but also fire safety. Further developments will allow the creation of a benchmark in or</w:t>
      </w:r>
      <w:r w:rsidR="002F04C8">
        <w:rPr>
          <w:sz w:val="24"/>
          <w:szCs w:val="24"/>
        </w:rPr>
        <w:t>der to improve the design of</w:t>
      </w:r>
      <w:r w:rsidR="00C467DE">
        <w:rPr>
          <w:sz w:val="24"/>
          <w:szCs w:val="24"/>
        </w:rPr>
        <w:t xml:space="preserve"> real structures subjected to real fire.</w:t>
      </w:r>
    </w:p>
    <w:p w14:paraId="28A05A3A" w14:textId="77777777" w:rsidR="009D46A8" w:rsidRPr="00C467DE" w:rsidRDefault="009D46A8" w:rsidP="00FA1E8E"/>
    <w:p w14:paraId="3BB0B038" w14:textId="01FDBC39" w:rsidR="00546577" w:rsidRDefault="00D717EB" w:rsidP="00FA1E8E">
      <w:pPr>
        <w:pStyle w:val="Heading1"/>
        <w:rPr>
          <w:sz w:val="24"/>
          <w:szCs w:val="24"/>
        </w:rPr>
      </w:pPr>
      <w:r>
        <w:rPr>
          <w:sz w:val="24"/>
          <w:szCs w:val="24"/>
        </w:rPr>
        <w:t>2.</w:t>
      </w:r>
      <w:r>
        <w:rPr>
          <w:sz w:val="24"/>
          <w:szCs w:val="24"/>
        </w:rPr>
        <w:tab/>
        <w:t>FIRE STATISTICS DATABASES</w:t>
      </w:r>
    </w:p>
    <w:p w14:paraId="3DED8DA2" w14:textId="037880FB" w:rsidR="00D717EB" w:rsidRPr="00D717EB" w:rsidRDefault="00FB202A" w:rsidP="00F90870">
      <w:pPr>
        <w:pStyle w:val="Firstparagraph"/>
        <w:spacing w:line="240" w:lineRule="auto"/>
        <w:rPr>
          <w:sz w:val="24"/>
          <w:szCs w:val="24"/>
        </w:rPr>
      </w:pPr>
      <w:r>
        <w:rPr>
          <w:sz w:val="24"/>
          <w:szCs w:val="24"/>
        </w:rPr>
        <w:t>The n</w:t>
      </w:r>
      <w:r w:rsidR="00D717EB" w:rsidRPr="00D717EB">
        <w:rPr>
          <w:sz w:val="24"/>
          <w:szCs w:val="24"/>
        </w:rPr>
        <w:t xml:space="preserve">ationally reported fire statistics </w:t>
      </w:r>
      <w:r>
        <w:rPr>
          <w:sz w:val="24"/>
          <w:szCs w:val="24"/>
        </w:rPr>
        <w:t xml:space="preserve">assessed in this paper </w:t>
      </w:r>
      <w:r w:rsidR="00D717EB" w:rsidRPr="00D717EB">
        <w:rPr>
          <w:sz w:val="24"/>
          <w:szCs w:val="24"/>
        </w:rPr>
        <w:t>are a collection of data due to real incidents and usually include false alarms, fire and non-fire</w:t>
      </w:r>
      <w:r w:rsidR="00D717EB" w:rsidRPr="00BB7965">
        <w:rPr>
          <w:rFonts w:eastAsia="MS Mincho"/>
          <w:sz w:val="24"/>
          <w:szCs w:val="24"/>
          <w:lang w:val="en-GB" w:eastAsia="ja-JP"/>
        </w:rPr>
        <w:t xml:space="preserve"> incidents reported by the Fire and Rescue Services. Each country has its own database and at the end of the year, a report </w:t>
      </w:r>
      <w:proofErr w:type="gramStart"/>
      <w:r w:rsidR="00D717EB" w:rsidRPr="00BB7965">
        <w:rPr>
          <w:rFonts w:eastAsia="MS Mincho"/>
          <w:sz w:val="24"/>
          <w:szCs w:val="24"/>
          <w:lang w:val="en-GB" w:eastAsia="ja-JP"/>
        </w:rPr>
        <w:t>is</w:t>
      </w:r>
      <w:r>
        <w:rPr>
          <w:rFonts w:eastAsia="MS Mincho"/>
          <w:sz w:val="24"/>
          <w:szCs w:val="24"/>
          <w:lang w:val="en-GB" w:eastAsia="ja-JP"/>
        </w:rPr>
        <w:t xml:space="preserve"> generally</w:t>
      </w:r>
      <w:r w:rsidR="00D717EB" w:rsidRPr="00BB7965">
        <w:rPr>
          <w:rFonts w:eastAsia="MS Mincho"/>
          <w:sz w:val="24"/>
          <w:szCs w:val="24"/>
          <w:lang w:val="en-GB" w:eastAsia="ja-JP"/>
        </w:rPr>
        <w:t xml:space="preserve"> published</w:t>
      </w:r>
      <w:proofErr w:type="gramEnd"/>
      <w:r w:rsidR="00D717EB" w:rsidRPr="00BB7965">
        <w:rPr>
          <w:rFonts w:eastAsia="MS Mincho"/>
          <w:sz w:val="24"/>
          <w:szCs w:val="24"/>
          <w:lang w:val="en-GB" w:eastAsia="ja-JP"/>
        </w:rPr>
        <w:t xml:space="preserve"> to show the trend of casualties, fatalities and fires and compare them with the other data available for the previous years. After an incident, Fire and Rescue Services fill an online form, which presents questions about the causes and frequency of fires, response time, description of the type of property, damage of structure, dollar losses </w:t>
      </w:r>
      <w:r>
        <w:rPr>
          <w:rFonts w:eastAsia="MS Mincho"/>
          <w:sz w:val="24"/>
          <w:szCs w:val="24"/>
          <w:lang w:val="en-GB" w:eastAsia="ja-JP"/>
        </w:rPr>
        <w:t xml:space="preserve">(in the case of NZ and US database) </w:t>
      </w:r>
      <w:r w:rsidR="00D717EB" w:rsidRPr="00BB7965">
        <w:rPr>
          <w:rFonts w:eastAsia="MS Mincho"/>
          <w:sz w:val="24"/>
          <w:szCs w:val="24"/>
          <w:lang w:val="en-GB" w:eastAsia="ja-JP"/>
        </w:rPr>
        <w:t xml:space="preserve">as well as people involved. While each </w:t>
      </w:r>
      <w:r>
        <w:rPr>
          <w:rFonts w:eastAsia="MS Mincho"/>
          <w:sz w:val="24"/>
          <w:szCs w:val="24"/>
          <w:lang w:val="en-GB" w:eastAsia="ja-JP"/>
        </w:rPr>
        <w:t xml:space="preserve">national </w:t>
      </w:r>
      <w:r w:rsidR="00D717EB" w:rsidRPr="00BB7965">
        <w:rPr>
          <w:rFonts w:eastAsia="MS Mincho"/>
          <w:sz w:val="24"/>
          <w:szCs w:val="24"/>
          <w:lang w:val="en-GB" w:eastAsia="ja-JP"/>
        </w:rPr>
        <w:t>form is different, as not all the same information is required in the different forms or</w:t>
      </w:r>
      <w:r w:rsidR="00D717EB" w:rsidRPr="00D717EB">
        <w:rPr>
          <w:sz w:val="24"/>
          <w:szCs w:val="24"/>
        </w:rPr>
        <w:t xml:space="preserve"> with</w:t>
      </w:r>
      <w:r>
        <w:rPr>
          <w:sz w:val="24"/>
          <w:szCs w:val="24"/>
        </w:rPr>
        <w:t>in</w:t>
      </w:r>
      <w:r w:rsidR="00D717EB" w:rsidRPr="00D717EB">
        <w:rPr>
          <w:sz w:val="24"/>
          <w:szCs w:val="24"/>
        </w:rPr>
        <w:t xml:space="preserve"> the same categories, the databases are similar enough to be comparable even if it is unavoidable that some errors appear due to the lack of data, as the presence of empty boxes, and errors in the answers. These annual reports are a significant source of data of real incidents.</w:t>
      </w:r>
    </w:p>
    <w:p w14:paraId="5D5F4B01" w14:textId="26B7BD1E" w:rsidR="00D717EB" w:rsidRPr="00D717EB" w:rsidRDefault="00D717EB" w:rsidP="00BB7965">
      <w:pPr>
        <w:rPr>
          <w:sz w:val="24"/>
          <w:szCs w:val="24"/>
        </w:rPr>
      </w:pPr>
      <w:r w:rsidRPr="00D717EB">
        <w:rPr>
          <w:sz w:val="24"/>
          <w:szCs w:val="24"/>
        </w:rPr>
        <w:t>This paper analyses the UK, USA, and New Zealand databases from April 2014 to March 2015. The Incidents Reporting System (IRS) database i</w:t>
      </w:r>
      <w:r w:rsidR="003A0105">
        <w:rPr>
          <w:sz w:val="24"/>
          <w:szCs w:val="24"/>
        </w:rPr>
        <w:t xml:space="preserve">n </w:t>
      </w:r>
      <w:r w:rsidRPr="00D717EB">
        <w:rPr>
          <w:sz w:val="24"/>
          <w:szCs w:val="24"/>
        </w:rPr>
        <w:t xml:space="preserve">UK </w:t>
      </w:r>
      <w:proofErr w:type="gramStart"/>
      <w:r w:rsidRPr="00D717EB">
        <w:rPr>
          <w:sz w:val="24"/>
          <w:szCs w:val="24"/>
        </w:rPr>
        <w:t>has been divided</w:t>
      </w:r>
      <w:proofErr w:type="gramEnd"/>
      <w:r w:rsidRPr="00D717EB">
        <w:rPr>
          <w:sz w:val="24"/>
          <w:szCs w:val="24"/>
        </w:rPr>
        <w:t xml:space="preserve"> in four main regions: England, Northern Ireland, Scotland and Wales. The IRS is composed of around 150 questions, which cover the whole descr</w:t>
      </w:r>
      <w:r w:rsidR="006A29E6">
        <w:rPr>
          <w:sz w:val="24"/>
          <w:szCs w:val="24"/>
        </w:rPr>
        <w:t xml:space="preserve">iption of the incident from property to </w:t>
      </w:r>
      <w:r w:rsidRPr="00D717EB">
        <w:rPr>
          <w:sz w:val="24"/>
          <w:szCs w:val="24"/>
        </w:rPr>
        <w:t xml:space="preserve">people injured. This paper considers only the data published for England </w:t>
      </w:r>
      <w:r w:rsidR="0089797F">
        <w:rPr>
          <w:sz w:val="24"/>
          <w:szCs w:val="24"/>
        </w:rPr>
        <w:fldChar w:fldCharType="begin" w:fldLock="1"/>
      </w:r>
      <w:r w:rsidR="00251A44">
        <w:rPr>
          <w:sz w:val="24"/>
          <w:szCs w:val="24"/>
        </w:rPr>
        <w:instrText>ADDIN CSL_CITATION { "citationItems" : [ { "id" : "ITEM-1", "itemData" : { "abstract" : "Introduction Fire Statistics England 2014/15 is the first fire statistics publication released since responsibility for fire policy moved from the Department for Communities and Local Government to the Home Office on April 1 st 2016. In previous years this publication has covered Great Britain, however after a survey of Fire Statistics Great Britain users, it was decided to change the scope of the release to reflect user needs. This release provides greater detail on incidents attended in 2014/15, including the causes of fires, the use of smoke alarms, the seasonality and temporality of fires and other topics of interest to the fire statistics community. The Fire Statistics Monitor provides updates on the key variables such as the number of incidents attended, fires attended, fire-related fatalities and casualties, 2015/16 data will be published in July/August 2016, the latest statistics on this were published on 31 March 2016.", "author" : [ { "dropping-particle" : "", "family" : "Gaught", "given" : "Paul", "non-dropping-particle" : "", "parse-names" : false, "suffix" : "" }, { "dropping-particle" : "", "family" : "Gallucci", "given" : "James", "non-dropping-particle" : "", "parse-names" : false, "suffix" : "" }, { "dropping-particle" : "", "family" : "Smalldridge", "given" : "Georgina", "non-dropping-particle" : "", "parse-names" : false, "suffix" : "" } ], "id" : "ITEM-1", "issue" : "June", "issued" : { "date-parts" : [ [ "2016" ] ] }, "title" : "Fire Statistics England, 2014/15", "type" : "article-journal" }, "uris" : [ "http://www.mendeley.com/documents/?uuid=6ec5dc96-a020-4772-873b-620cea782566" ] } ], "mendeley" : { "formattedCitation" : "[8]", "plainTextFormattedCitation" : "[8]", "previouslyFormattedCitation" : "[8]" }, "properties" : { "noteIndex" : 0 }, "schema" : "https://github.com/citation-style-language/schema/raw/master/csl-citation.json" }</w:instrText>
      </w:r>
      <w:r w:rsidR="0089797F">
        <w:rPr>
          <w:sz w:val="24"/>
          <w:szCs w:val="24"/>
        </w:rPr>
        <w:fldChar w:fldCharType="separate"/>
      </w:r>
      <w:r w:rsidR="009D46A8" w:rsidRPr="009D46A8">
        <w:rPr>
          <w:noProof/>
          <w:sz w:val="24"/>
          <w:szCs w:val="24"/>
        </w:rPr>
        <w:t>[8]</w:t>
      </w:r>
      <w:r w:rsidR="0089797F">
        <w:rPr>
          <w:sz w:val="24"/>
          <w:szCs w:val="24"/>
        </w:rPr>
        <w:fldChar w:fldCharType="end"/>
      </w:r>
      <w:r w:rsidRPr="00D717EB">
        <w:rPr>
          <w:sz w:val="24"/>
          <w:szCs w:val="24"/>
        </w:rPr>
        <w:t xml:space="preserve"> since </w:t>
      </w:r>
      <w:r w:rsidR="006A29E6">
        <w:rPr>
          <w:sz w:val="24"/>
          <w:szCs w:val="24"/>
        </w:rPr>
        <w:t>they are the most complete with</w:t>
      </w:r>
      <w:r w:rsidRPr="00D717EB">
        <w:rPr>
          <w:sz w:val="24"/>
          <w:szCs w:val="24"/>
        </w:rPr>
        <w:t xml:space="preserve"> releva</w:t>
      </w:r>
      <w:r w:rsidR="006A29E6">
        <w:rPr>
          <w:sz w:val="24"/>
          <w:szCs w:val="24"/>
        </w:rPr>
        <w:t>nt and comparable information than</w:t>
      </w:r>
      <w:r w:rsidRPr="00D717EB">
        <w:rPr>
          <w:sz w:val="24"/>
          <w:szCs w:val="24"/>
        </w:rPr>
        <w:t xml:space="preserve"> the other databases. It </w:t>
      </w:r>
      <w:proofErr w:type="gramStart"/>
      <w:r w:rsidRPr="00D717EB">
        <w:rPr>
          <w:sz w:val="24"/>
          <w:szCs w:val="24"/>
        </w:rPr>
        <w:t>should also be noted</w:t>
      </w:r>
      <w:proofErr w:type="gramEnd"/>
      <w:r w:rsidRPr="00D717EB">
        <w:rPr>
          <w:sz w:val="24"/>
          <w:szCs w:val="24"/>
        </w:rPr>
        <w:t xml:space="preserve"> that within the </w:t>
      </w:r>
      <w:r w:rsidR="006A29E6">
        <w:rPr>
          <w:sz w:val="24"/>
          <w:szCs w:val="24"/>
        </w:rPr>
        <w:t>England fire statistics</w:t>
      </w:r>
      <w:r w:rsidRPr="00D717EB">
        <w:rPr>
          <w:sz w:val="24"/>
          <w:szCs w:val="24"/>
        </w:rPr>
        <w:t xml:space="preserve">, properties are divided in dwellings and other buildings (i.e. offices and call </w:t>
      </w:r>
      <w:proofErr w:type="spellStart"/>
      <w:r w:rsidRPr="00D717EB">
        <w:rPr>
          <w:sz w:val="24"/>
          <w:szCs w:val="24"/>
        </w:rPr>
        <w:t>centers</w:t>
      </w:r>
      <w:proofErr w:type="spellEnd"/>
      <w:r w:rsidRPr="00D717EB">
        <w:rPr>
          <w:sz w:val="24"/>
          <w:szCs w:val="24"/>
        </w:rPr>
        <w:t xml:space="preserve">, retail premises, industrial </w:t>
      </w:r>
      <w:r w:rsidR="00367C4A">
        <w:rPr>
          <w:sz w:val="24"/>
          <w:szCs w:val="24"/>
        </w:rPr>
        <w:t xml:space="preserve">premises, </w:t>
      </w:r>
      <w:proofErr w:type="spellStart"/>
      <w:r w:rsidR="00FB202A">
        <w:rPr>
          <w:sz w:val="24"/>
          <w:szCs w:val="24"/>
        </w:rPr>
        <w:t>etc</w:t>
      </w:r>
      <w:proofErr w:type="spellEnd"/>
      <w:r w:rsidRPr="00D717EB">
        <w:rPr>
          <w:sz w:val="24"/>
          <w:szCs w:val="24"/>
        </w:rPr>
        <w:t>)</w:t>
      </w:r>
      <w:r w:rsidR="003C4464">
        <w:rPr>
          <w:sz w:val="24"/>
          <w:szCs w:val="24"/>
        </w:rPr>
        <w:t xml:space="preserve">. </w:t>
      </w:r>
      <w:r w:rsidR="00B411E6">
        <w:rPr>
          <w:sz w:val="24"/>
          <w:szCs w:val="24"/>
        </w:rPr>
        <w:t xml:space="preserve">Causes of fire, source of ignition, item and material first ignited are the </w:t>
      </w:r>
      <w:r w:rsidR="006A29E6">
        <w:rPr>
          <w:sz w:val="24"/>
          <w:szCs w:val="24"/>
        </w:rPr>
        <w:t>aspects</w:t>
      </w:r>
      <w:r w:rsidR="00B411E6">
        <w:rPr>
          <w:sz w:val="24"/>
          <w:szCs w:val="24"/>
        </w:rPr>
        <w:t xml:space="preserve"> related to the origin of fir</w:t>
      </w:r>
      <w:r w:rsidR="003C4464">
        <w:rPr>
          <w:sz w:val="24"/>
          <w:szCs w:val="24"/>
        </w:rPr>
        <w:t xml:space="preserve">e. Frequency of fire </w:t>
      </w:r>
      <w:proofErr w:type="gramStart"/>
      <w:r w:rsidR="003C4464">
        <w:rPr>
          <w:sz w:val="24"/>
          <w:szCs w:val="24"/>
        </w:rPr>
        <w:t xml:space="preserve">is </w:t>
      </w:r>
      <w:r w:rsidR="00B411E6">
        <w:rPr>
          <w:sz w:val="24"/>
          <w:szCs w:val="24"/>
        </w:rPr>
        <w:t>express</w:t>
      </w:r>
      <w:r w:rsidR="00B75D82">
        <w:rPr>
          <w:sz w:val="24"/>
          <w:szCs w:val="24"/>
        </w:rPr>
        <w:t>ed</w:t>
      </w:r>
      <w:proofErr w:type="gramEnd"/>
      <w:r w:rsidR="00B411E6">
        <w:rPr>
          <w:sz w:val="24"/>
          <w:szCs w:val="24"/>
        </w:rPr>
        <w:t xml:space="preserve"> through the response time from </w:t>
      </w:r>
      <w:r w:rsidR="00B411E6">
        <w:rPr>
          <w:sz w:val="24"/>
          <w:szCs w:val="24"/>
        </w:rPr>
        <w:lastRenderedPageBreak/>
        <w:t>the call to the arrival of the fire department in the building.</w:t>
      </w:r>
      <w:r w:rsidR="003C4464">
        <w:rPr>
          <w:sz w:val="24"/>
          <w:szCs w:val="24"/>
        </w:rPr>
        <w:t xml:space="preserve"> </w:t>
      </w:r>
      <w:r w:rsidR="00F50307">
        <w:rPr>
          <w:sz w:val="24"/>
          <w:szCs w:val="24"/>
        </w:rPr>
        <w:t>Moreover, d</w:t>
      </w:r>
      <w:r w:rsidR="003C4464" w:rsidRPr="00D717EB">
        <w:rPr>
          <w:sz w:val="24"/>
          <w:szCs w:val="24"/>
        </w:rPr>
        <w:t>amage is expressed in average area damaged (m</w:t>
      </w:r>
      <w:r w:rsidR="003C4464" w:rsidRPr="00D717EB">
        <w:rPr>
          <w:sz w:val="24"/>
          <w:szCs w:val="24"/>
          <w:vertAlign w:val="superscript"/>
        </w:rPr>
        <w:t>2</w:t>
      </w:r>
      <w:r w:rsidR="003C4464">
        <w:rPr>
          <w:sz w:val="24"/>
          <w:szCs w:val="24"/>
        </w:rPr>
        <w:t>) and p</w:t>
      </w:r>
      <w:r w:rsidR="00706838">
        <w:rPr>
          <w:sz w:val="24"/>
          <w:szCs w:val="24"/>
        </w:rPr>
        <w:t>resence, operation and failu</w:t>
      </w:r>
      <w:r w:rsidR="00367C4A">
        <w:rPr>
          <w:sz w:val="24"/>
          <w:szCs w:val="24"/>
        </w:rPr>
        <w:t>re of smoke alarms are described</w:t>
      </w:r>
      <w:r w:rsidR="00706838">
        <w:rPr>
          <w:sz w:val="24"/>
          <w:szCs w:val="24"/>
        </w:rPr>
        <w:t xml:space="preserve"> specifying a distinction between dwellings and other buildings. </w:t>
      </w:r>
    </w:p>
    <w:p w14:paraId="4D82C034" w14:textId="6CFC4493" w:rsidR="00D717EB" w:rsidRPr="00D717EB" w:rsidRDefault="00D717EB" w:rsidP="003C4464">
      <w:pPr>
        <w:rPr>
          <w:sz w:val="24"/>
          <w:szCs w:val="24"/>
        </w:rPr>
      </w:pPr>
      <w:r w:rsidRPr="00D717EB">
        <w:rPr>
          <w:sz w:val="24"/>
          <w:szCs w:val="24"/>
        </w:rPr>
        <w:t xml:space="preserve">In the USA, the National Fire Incident Reporting System (NFIRS) has been established since 1976 with the aim to collect data on fires </w:t>
      </w:r>
      <w:r w:rsidRPr="00D717EB">
        <w:rPr>
          <w:sz w:val="24"/>
          <w:szCs w:val="24"/>
        </w:rPr>
        <w:fldChar w:fldCharType="begin" w:fldLock="1"/>
      </w:r>
      <w:r w:rsidR="008653EC">
        <w:rPr>
          <w:sz w:val="24"/>
          <w:szCs w:val="24"/>
        </w:rPr>
        <w:instrText>ADDIN CSL_CITATION { "citationItems" : [ { "id" : "ITEM-1", "itemData" : { "author" : [ { "dropping-particle" : "", "family" : "USFA", "given" : "", "non-dropping-particle" : "", "parse-names" : false, "suffix" : "" } ], "id" : "ITEM-1", "issue" : "12/31", "issued" : { "date-parts" : [ [ "2014" ] ] }, "title" : "National Fire Incident Reporting System", "type" : "article-journal", "volume" : "2014" }, "uris" : [ "http://www.mendeley.com/documents/?uuid=6f230c7b-c235-4d06-86cd-975398980aea", "http://www.mendeley.com/documents/?uuid=fba7ddc6-154d-4cc7-ab60-16f727db2d4f" ] } ], "mendeley" : { "formattedCitation" : "[9]", "plainTextFormattedCitation" : "[9]", "previouslyFormattedCitation" : "[9]" }, "properties" : { "noteIndex" : 0 }, "schema" : "https://github.com/citation-style-language/schema/raw/master/csl-citation.json" }</w:instrText>
      </w:r>
      <w:r w:rsidRPr="00D717EB">
        <w:rPr>
          <w:sz w:val="24"/>
          <w:szCs w:val="24"/>
        </w:rPr>
        <w:fldChar w:fldCharType="separate"/>
      </w:r>
      <w:r w:rsidR="009D46A8" w:rsidRPr="009D46A8">
        <w:rPr>
          <w:noProof/>
          <w:sz w:val="24"/>
          <w:szCs w:val="24"/>
        </w:rPr>
        <w:t>[9]</w:t>
      </w:r>
      <w:r w:rsidRPr="00D717EB">
        <w:rPr>
          <w:sz w:val="24"/>
          <w:szCs w:val="24"/>
        </w:rPr>
        <w:fldChar w:fldCharType="end"/>
      </w:r>
      <w:r w:rsidRPr="00D717EB">
        <w:rPr>
          <w:sz w:val="24"/>
          <w:szCs w:val="24"/>
        </w:rPr>
        <w:t xml:space="preserve">. On a yearly basis, approximately 600,000 fire incidents and more than 5 million non-fire incidents are added in the database by the Fire and Rescue Service of all the 50 States and more than 40 major metropolitan areas. NFIRS is a voluntary system so not all States and fire departments decide to participate, however the majority do </w:t>
      </w:r>
      <w:r w:rsidRPr="00D717EB">
        <w:rPr>
          <w:sz w:val="24"/>
          <w:szCs w:val="24"/>
        </w:rPr>
        <w:fldChar w:fldCharType="begin" w:fldLock="1"/>
      </w:r>
      <w:r w:rsidR="008653EC">
        <w:rPr>
          <w:sz w:val="24"/>
          <w:szCs w:val="24"/>
        </w:rPr>
        <w:instrText>ADDIN CSL_CITATION { "citationItems" : [ { "id" : "ITEM-1", "itemData" : { "author" : [ { "dropping-particle" : "", "family" : "USFA", "given" : "", "non-dropping-particle" : "", "parse-names" : false, "suffix" : "" } ], "id" : "ITEM-1", "issue" : "12/31", "issued" : { "date-parts" : [ [ "2014" ] ] }, "title" : "National Fire Incident Reporting System", "type" : "article-journal", "volume" : "2014" }, "uris" : [ "http://www.mendeley.com/documents/?uuid=fba7ddc6-154d-4cc7-ab60-16f727db2d4f", "http://www.mendeley.com/documents/?uuid=6f230c7b-c235-4d06-86cd-975398980aea" ] } ], "mendeley" : { "formattedCitation" : "[9]", "plainTextFormattedCitation" : "[9]", "previouslyFormattedCitation" : "[9]" }, "properties" : { "noteIndex" : 0 }, "schema" : "https://github.com/citation-style-language/schema/raw/master/csl-citation.json" }</w:instrText>
      </w:r>
      <w:r w:rsidRPr="00D717EB">
        <w:rPr>
          <w:sz w:val="24"/>
          <w:szCs w:val="24"/>
        </w:rPr>
        <w:fldChar w:fldCharType="separate"/>
      </w:r>
      <w:r w:rsidR="009D46A8" w:rsidRPr="009D46A8">
        <w:rPr>
          <w:noProof/>
          <w:sz w:val="24"/>
          <w:szCs w:val="24"/>
        </w:rPr>
        <w:t>[9]</w:t>
      </w:r>
      <w:r w:rsidRPr="00D717EB">
        <w:rPr>
          <w:sz w:val="24"/>
          <w:szCs w:val="24"/>
        </w:rPr>
        <w:fldChar w:fldCharType="end"/>
      </w:r>
      <w:r w:rsidRPr="00D717EB">
        <w:rPr>
          <w:sz w:val="24"/>
          <w:szCs w:val="24"/>
        </w:rPr>
        <w:t xml:space="preserve">. </w:t>
      </w:r>
      <w:r w:rsidR="003C4464">
        <w:rPr>
          <w:sz w:val="24"/>
          <w:szCs w:val="24"/>
        </w:rPr>
        <w:t xml:space="preserve">The </w:t>
      </w:r>
      <w:r w:rsidR="006A29E6">
        <w:rPr>
          <w:sz w:val="24"/>
          <w:szCs w:val="24"/>
        </w:rPr>
        <w:t>NFIR</w:t>
      </w:r>
      <w:r w:rsidRPr="00D717EB">
        <w:rPr>
          <w:sz w:val="24"/>
          <w:szCs w:val="24"/>
        </w:rPr>
        <w:t xml:space="preserve">S reports </w:t>
      </w:r>
      <w:r w:rsidR="003A0105">
        <w:rPr>
          <w:sz w:val="24"/>
          <w:szCs w:val="24"/>
        </w:rPr>
        <w:t xml:space="preserve">causes, </w:t>
      </w:r>
      <w:r w:rsidR="00706838">
        <w:rPr>
          <w:sz w:val="24"/>
          <w:szCs w:val="24"/>
        </w:rPr>
        <w:t xml:space="preserve">heat source, item and material first ignited or contributing most to flame, factors contributing to ignition and </w:t>
      </w:r>
      <w:r w:rsidR="003A0105">
        <w:rPr>
          <w:sz w:val="24"/>
          <w:szCs w:val="24"/>
        </w:rPr>
        <w:t xml:space="preserve">fire spread. Response time is expressed not only considering the time from the alarm to the arrival of fire service but also in term of time from alarm to last unit cleared or from arrival to last unit cleared. </w:t>
      </w:r>
      <w:r w:rsidR="00706838">
        <w:rPr>
          <w:sz w:val="24"/>
          <w:szCs w:val="24"/>
        </w:rPr>
        <w:t xml:space="preserve">Even in this database, detector </w:t>
      </w:r>
      <w:r w:rsidR="003A0105">
        <w:rPr>
          <w:sz w:val="24"/>
          <w:szCs w:val="24"/>
        </w:rPr>
        <w:t xml:space="preserve">type, operation and failure </w:t>
      </w:r>
      <w:proofErr w:type="gramStart"/>
      <w:r w:rsidR="003A0105">
        <w:rPr>
          <w:sz w:val="24"/>
          <w:szCs w:val="24"/>
        </w:rPr>
        <w:t>are reported</w:t>
      </w:r>
      <w:proofErr w:type="gramEnd"/>
      <w:r w:rsidR="003A0105">
        <w:rPr>
          <w:sz w:val="24"/>
          <w:szCs w:val="24"/>
        </w:rPr>
        <w:t xml:space="preserve"> with the only difference that the aspects related to the automatic extinguish systems, including the number of sprinklers, are available while in the other databases they are missing.</w:t>
      </w:r>
      <w:r w:rsidR="003C4464">
        <w:rPr>
          <w:sz w:val="24"/>
          <w:szCs w:val="24"/>
        </w:rPr>
        <w:t xml:space="preserve"> Additionally, w</w:t>
      </w:r>
      <w:r w:rsidR="003C4464" w:rsidRPr="00D717EB">
        <w:rPr>
          <w:sz w:val="24"/>
          <w:szCs w:val="24"/>
        </w:rPr>
        <w:t>ith respect to damage, the NFIRS define the damage as a percentage of number of stories damaged by flame, using four main categories; Minor Damage (from 1 to 24%); Significant Damage (25 to 49%); Heavy Damage (50 to 74%); Extreme Damage (75 to 100%.).</w:t>
      </w:r>
    </w:p>
    <w:p w14:paraId="2C147C42" w14:textId="7B3D86E0" w:rsidR="00D717EB" w:rsidRPr="00D717EB" w:rsidRDefault="00D717EB" w:rsidP="00FA1E8E">
      <w:pPr>
        <w:rPr>
          <w:sz w:val="24"/>
          <w:szCs w:val="24"/>
        </w:rPr>
      </w:pPr>
      <w:r w:rsidRPr="00D717EB">
        <w:rPr>
          <w:sz w:val="24"/>
          <w:szCs w:val="24"/>
        </w:rPr>
        <w:t>The</w:t>
      </w:r>
      <w:r w:rsidR="00FB202A">
        <w:rPr>
          <w:sz w:val="24"/>
          <w:szCs w:val="24"/>
        </w:rPr>
        <w:t xml:space="preserve"> </w:t>
      </w:r>
      <w:r w:rsidRPr="00D717EB">
        <w:rPr>
          <w:sz w:val="24"/>
          <w:szCs w:val="24"/>
        </w:rPr>
        <w:t>New Zealand Fire Service Incident database, as in the other cases,</w:t>
      </w:r>
      <w:r w:rsidR="00FB202A">
        <w:rPr>
          <w:sz w:val="24"/>
          <w:szCs w:val="24"/>
        </w:rPr>
        <w:t xml:space="preserve"> </w:t>
      </w:r>
      <w:proofErr w:type="gramStart"/>
      <w:r w:rsidR="00FB202A">
        <w:rPr>
          <w:sz w:val="24"/>
          <w:szCs w:val="24"/>
        </w:rPr>
        <w:t>is filled</w:t>
      </w:r>
      <w:proofErr w:type="gramEnd"/>
      <w:r w:rsidRPr="00D717EB">
        <w:rPr>
          <w:sz w:val="24"/>
          <w:szCs w:val="24"/>
        </w:rPr>
        <w:t xml:space="preserve"> in the aftermath of an event. Only relevant information </w:t>
      </w:r>
      <w:proofErr w:type="gramStart"/>
      <w:r w:rsidRPr="00D717EB">
        <w:rPr>
          <w:sz w:val="24"/>
          <w:szCs w:val="24"/>
        </w:rPr>
        <w:t>is reported</w:t>
      </w:r>
      <w:proofErr w:type="gramEnd"/>
      <w:r w:rsidRPr="00D717EB">
        <w:rPr>
          <w:sz w:val="24"/>
          <w:szCs w:val="24"/>
        </w:rPr>
        <w:t xml:space="preserve"> and in </w:t>
      </w:r>
      <w:r w:rsidR="00B75D82" w:rsidRPr="00D717EB">
        <w:rPr>
          <w:sz w:val="24"/>
          <w:szCs w:val="24"/>
        </w:rPr>
        <w:t>general,</w:t>
      </w:r>
      <w:r w:rsidRPr="00D717EB">
        <w:rPr>
          <w:sz w:val="24"/>
          <w:szCs w:val="24"/>
        </w:rPr>
        <w:t xml:space="preserve"> the Incident, General, Equipment and Res</w:t>
      </w:r>
      <w:r w:rsidR="00B75D82">
        <w:rPr>
          <w:sz w:val="24"/>
          <w:szCs w:val="24"/>
        </w:rPr>
        <w:t>ponse groups are always available</w:t>
      </w:r>
      <w:r w:rsidRPr="00D717EB">
        <w:rPr>
          <w:sz w:val="24"/>
          <w:szCs w:val="24"/>
        </w:rPr>
        <w:t xml:space="preserve">. </w:t>
      </w:r>
      <w:r w:rsidR="00B75D82">
        <w:rPr>
          <w:sz w:val="24"/>
          <w:szCs w:val="24"/>
        </w:rPr>
        <w:t xml:space="preserve">The response time includes start-stop and </w:t>
      </w:r>
      <w:proofErr w:type="spellStart"/>
      <w:r w:rsidR="00B75D82">
        <w:rPr>
          <w:sz w:val="24"/>
          <w:szCs w:val="24"/>
        </w:rPr>
        <w:t>en</w:t>
      </w:r>
      <w:proofErr w:type="spellEnd"/>
      <w:r w:rsidR="00BB7965">
        <w:rPr>
          <w:sz w:val="24"/>
          <w:szCs w:val="24"/>
        </w:rPr>
        <w:t xml:space="preserve"> </w:t>
      </w:r>
      <w:r w:rsidR="00B75D82">
        <w:rPr>
          <w:sz w:val="24"/>
          <w:szCs w:val="24"/>
        </w:rPr>
        <w:t xml:space="preserve">route-arrival time. </w:t>
      </w:r>
      <w:r w:rsidR="002A4E3A">
        <w:rPr>
          <w:sz w:val="24"/>
          <w:szCs w:val="24"/>
        </w:rPr>
        <w:t xml:space="preserve">Furthermore, causes, heat source, object ignited first and material most flamed are available in the database. </w:t>
      </w:r>
      <w:r w:rsidR="002A4E3A" w:rsidRPr="00D717EB">
        <w:rPr>
          <w:sz w:val="24"/>
          <w:szCs w:val="24"/>
        </w:rPr>
        <w:t xml:space="preserve">In the reports, </w:t>
      </w:r>
      <w:r w:rsidR="002A4E3A">
        <w:rPr>
          <w:sz w:val="24"/>
          <w:szCs w:val="24"/>
        </w:rPr>
        <w:t xml:space="preserve">the percentage of property saved is reported (i.e. the inverse of property damaged), and damage is not explicitly expressed, but is instead </w:t>
      </w:r>
      <w:r w:rsidR="007C671F">
        <w:rPr>
          <w:sz w:val="24"/>
          <w:szCs w:val="24"/>
        </w:rPr>
        <w:t>considered</w:t>
      </w:r>
      <w:r w:rsidR="002A4E3A">
        <w:rPr>
          <w:sz w:val="24"/>
          <w:szCs w:val="24"/>
        </w:rPr>
        <w:t xml:space="preserve"> in terms of the area damaged involved by flame, smoke and water</w:t>
      </w:r>
      <w:r w:rsidR="003C4464">
        <w:rPr>
          <w:sz w:val="24"/>
          <w:szCs w:val="24"/>
        </w:rPr>
        <w:t xml:space="preserve">. Since the total area of structures is present, it has been possible to compare the area damaged with the total structures in term of percentage for each of the previous classes. </w:t>
      </w:r>
      <w:r w:rsidRPr="00D717EB">
        <w:rPr>
          <w:sz w:val="24"/>
          <w:szCs w:val="24"/>
        </w:rPr>
        <w:t xml:space="preserve">The </w:t>
      </w:r>
      <w:r w:rsidRPr="00D717EB">
        <w:rPr>
          <w:sz w:val="24"/>
          <w:szCs w:val="24"/>
        </w:rPr>
        <w:t xml:space="preserve">New Zealand Fire Service does not publish an annual report and data </w:t>
      </w:r>
      <w:proofErr w:type="gramStart"/>
      <w:r w:rsidRPr="00D717EB">
        <w:rPr>
          <w:sz w:val="24"/>
          <w:szCs w:val="24"/>
        </w:rPr>
        <w:t>are presented</w:t>
      </w:r>
      <w:proofErr w:type="gramEnd"/>
      <w:r w:rsidRPr="00D717EB">
        <w:rPr>
          <w:sz w:val="24"/>
          <w:szCs w:val="24"/>
        </w:rPr>
        <w:t xml:space="preserve"> for single incidents. The work of this paper has been first the collection of all the information for the period of interest and then the reclassification according to different categories for each major class. </w:t>
      </w:r>
      <w:r w:rsidR="00E13565">
        <w:rPr>
          <w:sz w:val="24"/>
          <w:szCs w:val="24"/>
        </w:rPr>
        <w:t xml:space="preserve">Within the three </w:t>
      </w:r>
      <w:r w:rsidR="000E255D">
        <w:rPr>
          <w:sz w:val="24"/>
          <w:szCs w:val="24"/>
        </w:rPr>
        <w:t>databases,</w:t>
      </w:r>
      <w:r w:rsidR="00E13565">
        <w:rPr>
          <w:sz w:val="24"/>
          <w:szCs w:val="24"/>
        </w:rPr>
        <w:t xml:space="preserve"> there are s</w:t>
      </w:r>
      <w:r w:rsidRPr="00D717EB">
        <w:rPr>
          <w:sz w:val="24"/>
          <w:szCs w:val="24"/>
        </w:rPr>
        <w:t xml:space="preserve">mall differences in the nomenclature </w:t>
      </w:r>
      <w:r w:rsidR="000E255D" w:rsidRPr="00D717EB">
        <w:rPr>
          <w:sz w:val="24"/>
          <w:szCs w:val="24"/>
        </w:rPr>
        <w:t>adopted;</w:t>
      </w:r>
      <w:r w:rsidRPr="00D717EB">
        <w:rPr>
          <w:sz w:val="24"/>
          <w:szCs w:val="24"/>
        </w:rPr>
        <w:t xml:space="preserve"> however, buildings</w:t>
      </w:r>
      <w:r w:rsidR="0075279F">
        <w:rPr>
          <w:sz w:val="24"/>
          <w:szCs w:val="24"/>
        </w:rPr>
        <w:t xml:space="preserve"> </w:t>
      </w:r>
      <w:proofErr w:type="gramStart"/>
      <w:r w:rsidRPr="00D717EB">
        <w:rPr>
          <w:sz w:val="24"/>
          <w:szCs w:val="24"/>
        </w:rPr>
        <w:t xml:space="preserve">are </w:t>
      </w:r>
      <w:r w:rsidR="00E96F86">
        <w:rPr>
          <w:sz w:val="24"/>
          <w:szCs w:val="24"/>
        </w:rPr>
        <w:t xml:space="preserve">generally </w:t>
      </w:r>
      <w:r w:rsidRPr="00D717EB">
        <w:rPr>
          <w:sz w:val="24"/>
          <w:szCs w:val="24"/>
        </w:rPr>
        <w:t>categorized</w:t>
      </w:r>
      <w:proofErr w:type="gramEnd"/>
      <w:r w:rsidRPr="00D717EB">
        <w:rPr>
          <w:sz w:val="24"/>
          <w:szCs w:val="24"/>
        </w:rPr>
        <w:t xml:space="preserve"> in dwellings and other buildings, with similar subclasses</w:t>
      </w:r>
      <w:r w:rsidR="004A6F95">
        <w:rPr>
          <w:sz w:val="24"/>
          <w:szCs w:val="24"/>
        </w:rPr>
        <w:t>.</w:t>
      </w:r>
    </w:p>
    <w:p w14:paraId="00B0D3F2" w14:textId="638A4802" w:rsidR="00D717EB" w:rsidRDefault="00D717EB" w:rsidP="00D717EB">
      <w:pPr>
        <w:rPr>
          <w:sz w:val="24"/>
          <w:szCs w:val="24"/>
        </w:rPr>
      </w:pPr>
    </w:p>
    <w:p w14:paraId="3A284126" w14:textId="7D1C0C4B" w:rsidR="00F90870" w:rsidRDefault="00BB7965" w:rsidP="006A29E6">
      <w:pPr>
        <w:pStyle w:val="Heading1"/>
        <w:rPr>
          <w:sz w:val="24"/>
          <w:szCs w:val="24"/>
        </w:rPr>
      </w:pPr>
      <w:r w:rsidRPr="00BB7965">
        <w:rPr>
          <w:sz w:val="24"/>
          <w:szCs w:val="24"/>
        </w:rPr>
        <w:t>3. ANALYSIS of individual reporting areas</w:t>
      </w:r>
    </w:p>
    <w:p w14:paraId="38109DDF" w14:textId="7A3B82BC" w:rsidR="006A29E6" w:rsidRDefault="006A29E6" w:rsidP="006A29E6"/>
    <w:p w14:paraId="781FB2F9" w14:textId="0490E32A" w:rsidR="0037431A" w:rsidRDefault="00D9451A" w:rsidP="0037431A">
      <w:pPr>
        <w:pStyle w:val="Heading2"/>
        <w:rPr>
          <w:sz w:val="24"/>
          <w:szCs w:val="24"/>
        </w:rPr>
      </w:pPr>
      <w:r>
        <w:rPr>
          <w:sz w:val="24"/>
          <w:szCs w:val="24"/>
        </w:rPr>
        <w:t>3.1</w:t>
      </w:r>
      <w:r w:rsidR="0037431A" w:rsidRPr="00E96F86">
        <w:rPr>
          <w:sz w:val="24"/>
          <w:szCs w:val="24"/>
        </w:rPr>
        <w:t xml:space="preserve"> </w:t>
      </w:r>
      <w:r w:rsidR="0037431A">
        <w:rPr>
          <w:sz w:val="24"/>
          <w:szCs w:val="24"/>
        </w:rPr>
        <w:t xml:space="preserve">FIRE </w:t>
      </w:r>
      <w:r w:rsidR="004E1A77">
        <w:rPr>
          <w:sz w:val="24"/>
          <w:szCs w:val="24"/>
        </w:rPr>
        <w:t xml:space="preserve">frequency and </w:t>
      </w:r>
      <w:r w:rsidR="0037431A">
        <w:rPr>
          <w:sz w:val="24"/>
          <w:szCs w:val="24"/>
        </w:rPr>
        <w:t>ORIGIN</w:t>
      </w:r>
    </w:p>
    <w:p w14:paraId="5B158392" w14:textId="70A93C57" w:rsidR="004E1A77" w:rsidRDefault="004E1A77" w:rsidP="004E1A77">
      <w:pPr>
        <w:rPr>
          <w:sz w:val="24"/>
          <w:szCs w:val="24"/>
        </w:rPr>
      </w:pPr>
      <w:r w:rsidRPr="006B04C5">
        <w:rPr>
          <w:sz w:val="24"/>
          <w:szCs w:val="24"/>
        </w:rPr>
        <w:t xml:space="preserve">From April 2014 to March 2015, all the 496,051 incidents attended by the Fire and Rescue Service in England, </w:t>
      </w:r>
      <w:proofErr w:type="gramStart"/>
      <w:r w:rsidRPr="006B04C5">
        <w:rPr>
          <w:sz w:val="24"/>
          <w:szCs w:val="24"/>
        </w:rPr>
        <w:t>are divided</w:t>
      </w:r>
      <w:proofErr w:type="gramEnd"/>
      <w:r w:rsidRPr="006B04C5">
        <w:rPr>
          <w:sz w:val="24"/>
          <w:szCs w:val="24"/>
        </w:rPr>
        <w:t xml:space="preserve"> in three big categories with the following percentage: 31.2% of total fires, 43.5% of fire false alarms and 25.2% of non-fire incidents</w:t>
      </w:r>
      <w:r>
        <w:rPr>
          <w:sz w:val="24"/>
          <w:szCs w:val="24"/>
        </w:rPr>
        <w:t xml:space="preserve">. </w:t>
      </w:r>
      <w:r w:rsidRPr="006B04C5">
        <w:rPr>
          <w:sz w:val="24"/>
          <w:szCs w:val="24"/>
        </w:rPr>
        <w:t xml:space="preserve">IRS subdivides the Total Fires into primary fires and secondary fires, which include just small outdoor fires not involving people or property, and chimney fires. Within the Primary Fires (71,089 fires), there are fires in dwellings (31,329 fires), other buildings (15,548 fires), road vehicle (19,464 fires) and other outdoor fires (4,748 fires) with the distribution for the year in consideration. The total number of fires in the USA, </w:t>
      </w:r>
      <w:r>
        <w:rPr>
          <w:sz w:val="24"/>
          <w:szCs w:val="24"/>
        </w:rPr>
        <w:t>in the same period</w:t>
      </w:r>
      <w:r w:rsidRPr="006B04C5">
        <w:rPr>
          <w:sz w:val="24"/>
          <w:szCs w:val="24"/>
        </w:rPr>
        <w:t xml:space="preserve">, was </w:t>
      </w:r>
      <w:r>
        <w:rPr>
          <w:sz w:val="24"/>
          <w:szCs w:val="24"/>
        </w:rPr>
        <w:t>4</w:t>
      </w:r>
      <w:r w:rsidRPr="006B04C5">
        <w:rPr>
          <w:sz w:val="24"/>
          <w:szCs w:val="24"/>
        </w:rPr>
        <w:t>79,</w:t>
      </w:r>
      <w:r>
        <w:rPr>
          <w:sz w:val="24"/>
          <w:szCs w:val="24"/>
        </w:rPr>
        <w:t>0</w:t>
      </w:r>
      <w:r w:rsidRPr="006B04C5">
        <w:rPr>
          <w:sz w:val="24"/>
          <w:szCs w:val="24"/>
        </w:rPr>
        <w:t>00; 79.2% were residential fires and 20.8 % non-residential fires</w:t>
      </w:r>
      <w:r>
        <w:rPr>
          <w:sz w:val="24"/>
          <w:szCs w:val="24"/>
        </w:rPr>
        <w:t>. In New Zealand f</w:t>
      </w:r>
      <w:r w:rsidRPr="006B04C5">
        <w:rPr>
          <w:sz w:val="24"/>
          <w:szCs w:val="24"/>
        </w:rPr>
        <w:t>or 2014/2015, 65</w:t>
      </w:r>
      <w:r>
        <w:rPr>
          <w:sz w:val="24"/>
          <w:szCs w:val="24"/>
        </w:rPr>
        <w:t>.6</w:t>
      </w:r>
      <w:r w:rsidRPr="006B04C5">
        <w:rPr>
          <w:sz w:val="24"/>
          <w:szCs w:val="24"/>
        </w:rPr>
        <w:t>% (3,5</w:t>
      </w:r>
      <w:r>
        <w:rPr>
          <w:sz w:val="24"/>
          <w:szCs w:val="24"/>
        </w:rPr>
        <w:t>86</w:t>
      </w:r>
      <w:r w:rsidRPr="006B04C5">
        <w:rPr>
          <w:sz w:val="24"/>
          <w:szCs w:val="24"/>
        </w:rPr>
        <w:t>/5,</w:t>
      </w:r>
      <w:r>
        <w:rPr>
          <w:sz w:val="24"/>
          <w:szCs w:val="24"/>
        </w:rPr>
        <w:t>466</w:t>
      </w:r>
      <w:r w:rsidRPr="006B04C5">
        <w:rPr>
          <w:sz w:val="24"/>
          <w:szCs w:val="24"/>
        </w:rPr>
        <w:t>) of fires were in dwellings compared with 3</w:t>
      </w:r>
      <w:r>
        <w:rPr>
          <w:sz w:val="24"/>
          <w:szCs w:val="24"/>
        </w:rPr>
        <w:t>3.3</w:t>
      </w:r>
      <w:r w:rsidRPr="006B04C5">
        <w:rPr>
          <w:sz w:val="24"/>
          <w:szCs w:val="24"/>
        </w:rPr>
        <w:t>% (1,8</w:t>
      </w:r>
      <w:r>
        <w:rPr>
          <w:sz w:val="24"/>
          <w:szCs w:val="24"/>
        </w:rPr>
        <w:t>33</w:t>
      </w:r>
      <w:r w:rsidRPr="006B04C5">
        <w:rPr>
          <w:sz w:val="24"/>
          <w:szCs w:val="24"/>
        </w:rPr>
        <w:t>/5,</w:t>
      </w:r>
      <w:r>
        <w:rPr>
          <w:sz w:val="24"/>
          <w:szCs w:val="24"/>
        </w:rPr>
        <w:t>466</w:t>
      </w:r>
      <w:r w:rsidRPr="006B04C5">
        <w:rPr>
          <w:sz w:val="24"/>
          <w:szCs w:val="24"/>
        </w:rPr>
        <w:t>) in other buildings</w:t>
      </w:r>
      <w:r w:rsidR="0055028F">
        <w:rPr>
          <w:sz w:val="24"/>
          <w:szCs w:val="24"/>
        </w:rPr>
        <w:t xml:space="preserve"> (Figure 1</w:t>
      </w:r>
      <w:r>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4E1A77" w14:paraId="41E60C32" w14:textId="77777777" w:rsidTr="00FE302E">
        <w:trPr>
          <w:trHeight w:val="1898"/>
        </w:trPr>
        <w:tc>
          <w:tcPr>
            <w:tcW w:w="4903" w:type="dxa"/>
          </w:tcPr>
          <w:p w14:paraId="636557CC" w14:textId="77777777" w:rsidR="004E1A77" w:rsidRDefault="004E1A77" w:rsidP="00FE302E">
            <w:pPr>
              <w:rPr>
                <w:sz w:val="24"/>
                <w:szCs w:val="24"/>
              </w:rPr>
            </w:pPr>
            <w:r>
              <w:rPr>
                <w:noProof/>
                <w:lang w:eastAsia="en-GB"/>
              </w:rPr>
              <w:drawing>
                <wp:anchor distT="0" distB="0" distL="114300" distR="114300" simplePos="0" relativeHeight="251693056" behindDoc="0" locked="0" layoutInCell="1" allowOverlap="1" wp14:anchorId="5A40248A" wp14:editId="69C6A410">
                  <wp:simplePos x="0" y="0"/>
                  <wp:positionH relativeFrom="column">
                    <wp:posOffset>-65074</wp:posOffset>
                  </wp:positionH>
                  <wp:positionV relativeFrom="paragraph">
                    <wp:posOffset>33406</wp:posOffset>
                  </wp:positionV>
                  <wp:extent cx="3113405" cy="1260000"/>
                  <wp:effectExtent l="0" t="0" r="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c>
      </w:tr>
      <w:tr w:rsidR="004E1A77" w14:paraId="7C1F5D03" w14:textId="77777777" w:rsidTr="00FE302E">
        <w:trPr>
          <w:trHeight w:val="447"/>
        </w:trPr>
        <w:tc>
          <w:tcPr>
            <w:tcW w:w="4903" w:type="dxa"/>
          </w:tcPr>
          <w:p w14:paraId="316EA0E6" w14:textId="3A6E316E" w:rsidR="004E1A77" w:rsidRPr="00E67525" w:rsidRDefault="004E1A77" w:rsidP="00FE302E">
            <w:r w:rsidRPr="00E67525">
              <w:t xml:space="preserve">Fig. </w:t>
            </w:r>
            <w:r w:rsidR="0055028F">
              <w:t>1</w:t>
            </w:r>
            <w:r w:rsidRPr="00E67525">
              <w:t xml:space="preserve"> </w:t>
            </w:r>
            <w:r>
              <w:t>Fire incidents in residential and non-residential buildings in UK, USA and NZ 2014/2015</w:t>
            </w:r>
          </w:p>
        </w:tc>
      </w:tr>
    </w:tbl>
    <w:p w14:paraId="63F8CE76" w14:textId="77777777" w:rsidR="004E1A77" w:rsidRPr="00FE0A49" w:rsidRDefault="004E1A77" w:rsidP="00FE0A49"/>
    <w:p w14:paraId="77BFAC8D" w14:textId="7E0C5557" w:rsidR="0037431A" w:rsidRPr="00F90870" w:rsidRDefault="0037431A" w:rsidP="0037431A">
      <w:r>
        <w:rPr>
          <w:sz w:val="24"/>
          <w:szCs w:val="24"/>
        </w:rPr>
        <w:t>In UK, the cause of a fire in dwellings predominantly comes from misuses of equipment or appliances</w:t>
      </w:r>
      <w:r w:rsidDel="00D570B3">
        <w:rPr>
          <w:sz w:val="24"/>
          <w:szCs w:val="24"/>
        </w:rPr>
        <w:t xml:space="preserve"> </w:t>
      </w:r>
      <w:r>
        <w:rPr>
          <w:sz w:val="24"/>
          <w:szCs w:val="24"/>
        </w:rPr>
        <w:t>(25.8%</w:t>
      </w:r>
      <w:r w:rsidR="00934D4B">
        <w:rPr>
          <w:sz w:val="24"/>
          <w:szCs w:val="24"/>
        </w:rPr>
        <w:t xml:space="preserve">, </w:t>
      </w:r>
      <w:r>
        <w:rPr>
          <w:sz w:val="24"/>
          <w:szCs w:val="24"/>
        </w:rPr>
        <w:t xml:space="preserve">C) while in other buildings the highest percentages are reached with 7.4% and 7.8% respectively for faulty appliances and leads (B) and other accidental (H) (Figure </w:t>
      </w:r>
      <w:r w:rsidR="0055028F">
        <w:rPr>
          <w:sz w:val="24"/>
          <w:szCs w:val="24"/>
        </w:rPr>
        <w:t>2</w:t>
      </w:r>
      <w:r>
        <w:rPr>
          <w:sz w:val="24"/>
          <w:szCs w:val="24"/>
        </w:rPr>
        <w:t xml:space="preserve">a). In USA, cooking (E) is the major cause both in dwellings </w:t>
      </w:r>
      <w:r>
        <w:rPr>
          <w:sz w:val="24"/>
          <w:szCs w:val="24"/>
        </w:rPr>
        <w:lastRenderedPageBreak/>
        <w:t>with 39.6% and in other buildings with 6.1%. Th</w:t>
      </w:r>
      <w:r w:rsidR="00827C1A">
        <w:rPr>
          <w:sz w:val="24"/>
          <w:szCs w:val="24"/>
        </w:rPr>
        <w:t>is is followed by</w:t>
      </w:r>
      <w:r>
        <w:rPr>
          <w:sz w:val="24"/>
          <w:szCs w:val="24"/>
        </w:rPr>
        <w:t xml:space="preserve"> 9.9% in heating (D) for dwellings and for the 2.1% in careless (N) for other buildings (Figure </w:t>
      </w:r>
      <w:r w:rsidR="0055028F">
        <w:rPr>
          <w:sz w:val="24"/>
          <w:szCs w:val="24"/>
        </w:rPr>
        <w:t>2</w:t>
      </w:r>
      <w:r>
        <w:rPr>
          <w:sz w:val="24"/>
          <w:szCs w:val="24"/>
        </w:rPr>
        <w:t xml:space="preserve">b). Fire or heat source (26.6%, F) and </w:t>
      </w:r>
      <w:r w:rsidR="00827C1A">
        <w:rPr>
          <w:sz w:val="24"/>
          <w:szCs w:val="24"/>
        </w:rPr>
        <w:t>Electrical f</w:t>
      </w:r>
      <w:r>
        <w:rPr>
          <w:sz w:val="24"/>
          <w:szCs w:val="24"/>
        </w:rPr>
        <w:t xml:space="preserve">ailure (22.1%, G) are the biggest classes of causes for New Zealand (Figure </w:t>
      </w:r>
      <w:r w:rsidR="0055028F">
        <w:rPr>
          <w:sz w:val="24"/>
          <w:szCs w:val="24"/>
        </w:rPr>
        <w:t>2</w:t>
      </w:r>
      <w:r>
        <w:rPr>
          <w:sz w:val="24"/>
          <w:szCs w:val="24"/>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37431A" w14:paraId="63562B2B" w14:textId="77777777" w:rsidTr="009164AB">
        <w:trPr>
          <w:trHeight w:val="567"/>
        </w:trPr>
        <w:tc>
          <w:tcPr>
            <w:tcW w:w="4903" w:type="dxa"/>
          </w:tcPr>
          <w:p w14:paraId="0F4BA06D" w14:textId="2BE7F781" w:rsidR="0037431A" w:rsidRPr="00E421D5" w:rsidRDefault="0037431A" w:rsidP="00ED2E82">
            <w:pPr>
              <w:jc w:val="center"/>
            </w:pPr>
            <w:r w:rsidRPr="00E421D5">
              <w:rPr>
                <w:noProof/>
                <w:lang w:eastAsia="en-GB"/>
              </w:rPr>
              <w:drawing>
                <wp:anchor distT="0" distB="0" distL="114300" distR="114300" simplePos="0" relativeHeight="251659264" behindDoc="0" locked="0" layoutInCell="1" allowOverlap="1" wp14:anchorId="330EFC5C" wp14:editId="0A45D862">
                  <wp:simplePos x="0" y="0"/>
                  <wp:positionH relativeFrom="column">
                    <wp:posOffset>104140</wp:posOffset>
                  </wp:positionH>
                  <wp:positionV relativeFrom="paragraph">
                    <wp:posOffset>9525</wp:posOffset>
                  </wp:positionV>
                  <wp:extent cx="2828925" cy="965835"/>
                  <wp:effectExtent l="0" t="0" r="0" b="571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E421D5">
              <w:t>(a)</w:t>
            </w:r>
          </w:p>
        </w:tc>
      </w:tr>
      <w:tr w:rsidR="0037431A" w14:paraId="04AE68BC" w14:textId="77777777" w:rsidTr="009164AB">
        <w:tc>
          <w:tcPr>
            <w:tcW w:w="4903" w:type="dxa"/>
          </w:tcPr>
          <w:p w14:paraId="7BC30BF3" w14:textId="77777777" w:rsidR="0037431A" w:rsidRPr="006B316E" w:rsidRDefault="0037431A" w:rsidP="00ED2E82">
            <w:r w:rsidRPr="004E0A8F">
              <w:rPr>
                <w:rFonts w:eastAsia="Times New Roman"/>
                <w:b/>
                <w:color w:val="000000"/>
                <w:lang w:eastAsia="en-GB"/>
              </w:rPr>
              <w:t>A</w:t>
            </w:r>
            <w:r w:rsidRPr="006B316E">
              <w:rPr>
                <w:rFonts w:eastAsia="Times New Roman"/>
                <w:color w:val="000000"/>
                <w:lang w:eastAsia="en-GB"/>
              </w:rPr>
              <w:t xml:space="preserve">. Faulty fuel supplies; </w:t>
            </w:r>
            <w:r w:rsidRPr="004E0A8F">
              <w:rPr>
                <w:rFonts w:eastAsia="Times New Roman"/>
                <w:b/>
                <w:color w:val="000000"/>
                <w:lang w:eastAsia="en-GB"/>
              </w:rPr>
              <w:t>B</w:t>
            </w:r>
            <w:r w:rsidRPr="006B316E">
              <w:rPr>
                <w:rFonts w:eastAsia="Times New Roman"/>
                <w:color w:val="000000"/>
                <w:lang w:eastAsia="en-GB"/>
              </w:rPr>
              <w:t xml:space="preserve">. Faulty appliances and leads; </w:t>
            </w:r>
            <w:r w:rsidRPr="004E0A8F">
              <w:rPr>
                <w:rFonts w:eastAsia="Times New Roman"/>
                <w:b/>
                <w:color w:val="000000"/>
                <w:lang w:eastAsia="en-GB"/>
              </w:rPr>
              <w:t>C</w:t>
            </w:r>
            <w:r w:rsidRPr="006B316E">
              <w:rPr>
                <w:rFonts w:eastAsia="Times New Roman"/>
                <w:color w:val="000000"/>
                <w:lang w:eastAsia="en-GB"/>
              </w:rPr>
              <w:t xml:space="preserve">. Misuse of equipment or appliances; </w:t>
            </w:r>
            <w:r w:rsidRPr="004E0A8F">
              <w:rPr>
                <w:rFonts w:eastAsia="Times New Roman"/>
                <w:b/>
                <w:color w:val="000000"/>
                <w:lang w:eastAsia="en-GB"/>
              </w:rPr>
              <w:t>D</w:t>
            </w:r>
            <w:r w:rsidRPr="006B316E">
              <w:rPr>
                <w:rFonts w:eastAsia="Times New Roman"/>
                <w:color w:val="000000"/>
                <w:lang w:eastAsia="en-GB"/>
              </w:rPr>
              <w:t xml:space="preserve">. Chip/fat pan fires; </w:t>
            </w:r>
            <w:r w:rsidRPr="004E0A8F">
              <w:rPr>
                <w:rFonts w:eastAsia="Times New Roman"/>
                <w:b/>
                <w:color w:val="000000"/>
                <w:lang w:eastAsia="en-GB"/>
              </w:rPr>
              <w:t>E</w:t>
            </w:r>
            <w:r w:rsidRPr="006B316E">
              <w:rPr>
                <w:rFonts w:eastAsia="Times New Roman"/>
                <w:color w:val="000000"/>
                <w:lang w:eastAsia="en-GB"/>
              </w:rPr>
              <w:t xml:space="preserve">. Playing with fire; </w:t>
            </w:r>
            <w:r w:rsidRPr="004E0A8F">
              <w:rPr>
                <w:rFonts w:eastAsia="Times New Roman"/>
                <w:b/>
                <w:color w:val="000000"/>
                <w:lang w:eastAsia="en-GB"/>
              </w:rPr>
              <w:t>F</w:t>
            </w:r>
            <w:r w:rsidRPr="006B316E">
              <w:rPr>
                <w:rFonts w:eastAsia="Times New Roman"/>
                <w:color w:val="000000"/>
                <w:lang w:eastAsia="en-GB"/>
              </w:rPr>
              <w:t xml:space="preserve">. Careless handling of fire or hot substances; </w:t>
            </w:r>
            <w:r w:rsidRPr="004E0A8F">
              <w:rPr>
                <w:rFonts w:eastAsia="Times New Roman"/>
                <w:b/>
                <w:color w:val="000000"/>
                <w:lang w:eastAsia="en-GB"/>
              </w:rPr>
              <w:t>G</w:t>
            </w:r>
            <w:r w:rsidRPr="006B316E">
              <w:rPr>
                <w:rFonts w:eastAsia="Times New Roman"/>
                <w:color w:val="000000"/>
                <w:lang w:eastAsia="en-GB"/>
              </w:rPr>
              <w:t xml:space="preserve">. Placing articles too close to heat; </w:t>
            </w:r>
            <w:r w:rsidRPr="004E0A8F">
              <w:rPr>
                <w:rFonts w:eastAsia="Times New Roman"/>
                <w:b/>
                <w:color w:val="000000"/>
                <w:lang w:eastAsia="en-GB"/>
              </w:rPr>
              <w:t>H</w:t>
            </w:r>
            <w:r w:rsidRPr="006B316E">
              <w:rPr>
                <w:rFonts w:eastAsia="Times New Roman"/>
                <w:color w:val="000000"/>
                <w:lang w:eastAsia="en-GB"/>
              </w:rPr>
              <w:t xml:space="preserve">. Other accidental; </w:t>
            </w:r>
            <w:r w:rsidRPr="004E0A8F">
              <w:rPr>
                <w:rFonts w:eastAsia="Times New Roman"/>
                <w:b/>
                <w:color w:val="000000"/>
                <w:lang w:eastAsia="en-GB"/>
              </w:rPr>
              <w:t>I</w:t>
            </w:r>
            <w:r w:rsidRPr="006B316E">
              <w:rPr>
                <w:rFonts w:eastAsia="Times New Roman"/>
                <w:color w:val="000000"/>
                <w:lang w:eastAsia="en-GB"/>
              </w:rPr>
              <w:t>. Unspecified</w:t>
            </w:r>
          </w:p>
        </w:tc>
      </w:tr>
      <w:tr w:rsidR="0037431A" w14:paraId="11ACEA6A" w14:textId="77777777" w:rsidTr="009164AB">
        <w:tc>
          <w:tcPr>
            <w:tcW w:w="4903" w:type="dxa"/>
          </w:tcPr>
          <w:p w14:paraId="31F4A6BA" w14:textId="77777777" w:rsidR="0037431A" w:rsidRPr="00E73151" w:rsidRDefault="0037431A" w:rsidP="00ED2E82">
            <w:pPr>
              <w:jc w:val="center"/>
            </w:pPr>
            <w:r>
              <w:rPr>
                <w:noProof/>
                <w:lang w:eastAsia="en-GB"/>
              </w:rPr>
              <w:drawing>
                <wp:anchor distT="0" distB="0" distL="114300" distR="114300" simplePos="0" relativeHeight="251663360" behindDoc="0" locked="0" layoutInCell="1" allowOverlap="1" wp14:anchorId="13CE631E" wp14:editId="0797ED63">
                  <wp:simplePos x="0" y="0"/>
                  <wp:positionH relativeFrom="column">
                    <wp:posOffset>-34290</wp:posOffset>
                  </wp:positionH>
                  <wp:positionV relativeFrom="paragraph">
                    <wp:posOffset>20320</wp:posOffset>
                  </wp:positionV>
                  <wp:extent cx="2984500" cy="1095375"/>
                  <wp:effectExtent l="0" t="0" r="6350"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sz w:val="24"/>
                <w:szCs w:val="24"/>
              </w:rPr>
              <w:t xml:space="preserve"> </w:t>
            </w:r>
            <w:r w:rsidRPr="00E73151">
              <w:t>(b)</w:t>
            </w:r>
          </w:p>
        </w:tc>
      </w:tr>
      <w:tr w:rsidR="0037431A" w14:paraId="550CCFA1" w14:textId="77777777" w:rsidTr="009164AB">
        <w:tc>
          <w:tcPr>
            <w:tcW w:w="4903" w:type="dxa"/>
          </w:tcPr>
          <w:p w14:paraId="31A9AADE" w14:textId="77777777" w:rsidR="0037431A" w:rsidRPr="00B4648A" w:rsidRDefault="0037431A" w:rsidP="00ED2E82">
            <w:r w:rsidRPr="00B4648A">
              <w:rPr>
                <w:b/>
                <w:color w:val="000000"/>
                <w:kern w:val="24"/>
              </w:rPr>
              <w:t>A</w:t>
            </w:r>
            <w:r w:rsidRPr="00B4648A">
              <w:rPr>
                <w:color w:val="000000"/>
                <w:kern w:val="24"/>
              </w:rPr>
              <w:t xml:space="preserve">. Intentional; </w:t>
            </w:r>
            <w:r w:rsidRPr="00B4648A">
              <w:rPr>
                <w:b/>
                <w:color w:val="000000"/>
                <w:kern w:val="24"/>
              </w:rPr>
              <w:t>B</w:t>
            </w:r>
            <w:r w:rsidRPr="00B4648A">
              <w:rPr>
                <w:color w:val="000000"/>
                <w:kern w:val="24"/>
              </w:rPr>
              <w:t xml:space="preserve">. Playing with Heat Source; </w:t>
            </w:r>
            <w:r w:rsidRPr="00B4648A">
              <w:rPr>
                <w:b/>
                <w:color w:val="000000"/>
                <w:kern w:val="24"/>
              </w:rPr>
              <w:t>C</w:t>
            </w:r>
            <w:r w:rsidRPr="00B4648A">
              <w:rPr>
                <w:color w:val="000000"/>
                <w:kern w:val="24"/>
              </w:rPr>
              <w:t xml:space="preserve">. Smoking; </w:t>
            </w:r>
            <w:r w:rsidRPr="00B4648A">
              <w:rPr>
                <w:b/>
                <w:color w:val="000000"/>
                <w:kern w:val="24"/>
              </w:rPr>
              <w:t>D</w:t>
            </w:r>
            <w:r w:rsidRPr="00B4648A">
              <w:rPr>
                <w:color w:val="000000"/>
                <w:kern w:val="24"/>
              </w:rPr>
              <w:t xml:space="preserve">. Heating; </w:t>
            </w:r>
            <w:r w:rsidRPr="00B4648A">
              <w:rPr>
                <w:b/>
                <w:color w:val="000000"/>
                <w:kern w:val="24"/>
              </w:rPr>
              <w:t>E</w:t>
            </w:r>
            <w:r w:rsidRPr="00B4648A">
              <w:rPr>
                <w:color w:val="000000"/>
                <w:kern w:val="24"/>
              </w:rPr>
              <w:t xml:space="preserve">. Cooking; </w:t>
            </w:r>
            <w:r w:rsidRPr="00B4648A">
              <w:rPr>
                <w:b/>
                <w:color w:val="000000"/>
                <w:kern w:val="24"/>
              </w:rPr>
              <w:t>F</w:t>
            </w:r>
            <w:r w:rsidRPr="00B4648A">
              <w:rPr>
                <w:color w:val="000000"/>
                <w:kern w:val="24"/>
              </w:rPr>
              <w:t xml:space="preserve">. Electrical Malfunction; </w:t>
            </w:r>
            <w:r w:rsidRPr="00B4648A">
              <w:rPr>
                <w:b/>
                <w:color w:val="000000"/>
                <w:kern w:val="24"/>
              </w:rPr>
              <w:t>G</w:t>
            </w:r>
            <w:r w:rsidRPr="00B4648A">
              <w:rPr>
                <w:color w:val="000000"/>
                <w:kern w:val="24"/>
              </w:rPr>
              <w:t xml:space="preserve">. Appliances; </w:t>
            </w:r>
            <w:r w:rsidRPr="00B4648A">
              <w:rPr>
                <w:b/>
                <w:color w:val="000000"/>
                <w:kern w:val="24"/>
              </w:rPr>
              <w:t>H</w:t>
            </w:r>
            <w:r w:rsidRPr="00B4648A">
              <w:rPr>
                <w:color w:val="000000"/>
                <w:kern w:val="24"/>
              </w:rPr>
              <w:t xml:space="preserve">. Open Flame; </w:t>
            </w:r>
            <w:r w:rsidRPr="00B4648A">
              <w:rPr>
                <w:b/>
                <w:color w:val="000000"/>
                <w:kern w:val="24"/>
              </w:rPr>
              <w:t>I</w:t>
            </w:r>
            <w:r w:rsidRPr="00B4648A">
              <w:rPr>
                <w:color w:val="000000"/>
                <w:kern w:val="24"/>
              </w:rPr>
              <w:t xml:space="preserve">. Other Heat; </w:t>
            </w:r>
            <w:r w:rsidRPr="00B4648A">
              <w:rPr>
                <w:b/>
                <w:color w:val="000000"/>
                <w:kern w:val="24"/>
              </w:rPr>
              <w:t>J</w:t>
            </w:r>
            <w:r w:rsidRPr="00B4648A">
              <w:rPr>
                <w:color w:val="000000"/>
                <w:kern w:val="24"/>
              </w:rPr>
              <w:t xml:space="preserve">. Other Equipment; </w:t>
            </w:r>
            <w:r w:rsidRPr="00B4648A">
              <w:rPr>
                <w:b/>
                <w:color w:val="000000"/>
                <w:kern w:val="24"/>
              </w:rPr>
              <w:t>K</w:t>
            </w:r>
            <w:r w:rsidRPr="00B4648A">
              <w:rPr>
                <w:color w:val="000000"/>
                <w:kern w:val="24"/>
              </w:rPr>
              <w:t xml:space="preserve">. Natural; </w:t>
            </w:r>
            <w:r w:rsidRPr="00B4648A">
              <w:rPr>
                <w:b/>
                <w:color w:val="000000"/>
                <w:kern w:val="24"/>
              </w:rPr>
              <w:t>L</w:t>
            </w:r>
            <w:r w:rsidRPr="00B4648A">
              <w:rPr>
                <w:color w:val="000000"/>
                <w:kern w:val="24"/>
              </w:rPr>
              <w:t xml:space="preserve">. Exposure; </w:t>
            </w:r>
            <w:r w:rsidRPr="00B4648A">
              <w:rPr>
                <w:b/>
                <w:color w:val="000000"/>
                <w:kern w:val="24"/>
              </w:rPr>
              <w:t>M</w:t>
            </w:r>
            <w:r w:rsidRPr="00B4648A">
              <w:rPr>
                <w:color w:val="000000"/>
                <w:kern w:val="24"/>
              </w:rPr>
              <w:t xml:space="preserve">. Equipment Malfunction; </w:t>
            </w:r>
            <w:r w:rsidRPr="00B4648A">
              <w:rPr>
                <w:b/>
                <w:color w:val="000000"/>
                <w:kern w:val="24"/>
              </w:rPr>
              <w:t>N</w:t>
            </w:r>
            <w:r w:rsidRPr="00B4648A">
              <w:rPr>
                <w:color w:val="000000"/>
                <w:kern w:val="24"/>
              </w:rPr>
              <w:t xml:space="preserve">. Other Unintentional, Careless; </w:t>
            </w:r>
            <w:r w:rsidRPr="00B4648A">
              <w:rPr>
                <w:b/>
                <w:color w:val="000000"/>
                <w:kern w:val="24"/>
              </w:rPr>
              <w:t>O</w:t>
            </w:r>
            <w:r w:rsidRPr="00B4648A">
              <w:rPr>
                <w:color w:val="000000"/>
                <w:kern w:val="24"/>
              </w:rPr>
              <w:t>. Cause under Investigation</w:t>
            </w:r>
          </w:p>
        </w:tc>
      </w:tr>
      <w:tr w:rsidR="0037431A" w14:paraId="210D069F" w14:textId="77777777" w:rsidTr="009164AB">
        <w:tc>
          <w:tcPr>
            <w:tcW w:w="4903" w:type="dxa"/>
          </w:tcPr>
          <w:p w14:paraId="67862A2E" w14:textId="51FBFECD" w:rsidR="0037431A" w:rsidRPr="004B0E80" w:rsidRDefault="0037431A" w:rsidP="00ED2E82">
            <w:pPr>
              <w:jc w:val="center"/>
              <w:rPr>
                <w:color w:val="000000"/>
                <w:kern w:val="24"/>
              </w:rPr>
            </w:pPr>
            <w:r w:rsidRPr="004B0E80">
              <w:rPr>
                <w:noProof/>
                <w:lang w:eastAsia="en-GB"/>
              </w:rPr>
              <w:drawing>
                <wp:anchor distT="0" distB="0" distL="114300" distR="114300" simplePos="0" relativeHeight="251660288" behindDoc="0" locked="0" layoutInCell="1" allowOverlap="1" wp14:anchorId="47845290" wp14:editId="0CF37F11">
                  <wp:simplePos x="0" y="0"/>
                  <wp:positionH relativeFrom="column">
                    <wp:posOffset>-63500</wp:posOffset>
                  </wp:positionH>
                  <wp:positionV relativeFrom="paragraph">
                    <wp:posOffset>24765</wp:posOffset>
                  </wp:positionV>
                  <wp:extent cx="3035935" cy="1009015"/>
                  <wp:effectExtent l="0" t="0" r="0" b="63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4B0E80">
              <w:rPr>
                <w:color w:val="000000"/>
                <w:kern w:val="24"/>
              </w:rPr>
              <w:t>(c)</w:t>
            </w:r>
          </w:p>
        </w:tc>
      </w:tr>
      <w:tr w:rsidR="0037431A" w14:paraId="70EC95B9" w14:textId="77777777" w:rsidTr="009164AB">
        <w:tc>
          <w:tcPr>
            <w:tcW w:w="4903" w:type="dxa"/>
          </w:tcPr>
          <w:p w14:paraId="0BC3C86C" w14:textId="6D42FC40" w:rsidR="0037431A" w:rsidRDefault="0037431A" w:rsidP="00ED2E82">
            <w:r w:rsidRPr="004E0A8F">
              <w:rPr>
                <w:rFonts w:eastAsia="Times New Roman"/>
                <w:b/>
                <w:color w:val="000000"/>
                <w:lang w:eastAsia="en-GB"/>
              </w:rPr>
              <w:t>A</w:t>
            </w:r>
            <w:r>
              <w:rPr>
                <w:rFonts w:eastAsia="Times New Roman"/>
                <w:color w:val="000000"/>
                <w:lang w:eastAsia="en-GB"/>
              </w:rPr>
              <w:t xml:space="preserve">. </w:t>
            </w:r>
            <w:r w:rsidRPr="00B4648A">
              <w:rPr>
                <w:rFonts w:eastAsia="Times New Roman"/>
                <w:color w:val="000000"/>
                <w:lang w:eastAsia="en-GB"/>
              </w:rPr>
              <w:t>Careless</w:t>
            </w:r>
            <w:r w:rsidRPr="004B0E80">
              <w:rPr>
                <w:rFonts w:eastAsia="Times New Roman"/>
                <w:color w:val="000000"/>
                <w:lang w:eastAsia="en-GB"/>
              </w:rPr>
              <w:t xml:space="preserve">; </w:t>
            </w:r>
            <w:r w:rsidRPr="004E0A8F">
              <w:rPr>
                <w:rFonts w:eastAsia="Times New Roman"/>
                <w:b/>
                <w:color w:val="000000"/>
                <w:lang w:eastAsia="en-GB"/>
              </w:rPr>
              <w:t>B</w:t>
            </w:r>
            <w:r w:rsidRPr="004B0E80">
              <w:rPr>
                <w:rFonts w:eastAsia="Times New Roman"/>
                <w:color w:val="000000"/>
                <w:lang w:eastAsia="en-GB"/>
              </w:rPr>
              <w:t xml:space="preserve">. </w:t>
            </w:r>
            <w:r w:rsidRPr="00B4648A">
              <w:rPr>
                <w:rFonts w:eastAsia="Times New Roman"/>
                <w:color w:val="000000"/>
                <w:lang w:eastAsia="en-GB"/>
              </w:rPr>
              <w:t>Design, construction and maintenance</w:t>
            </w:r>
            <w:r w:rsidRPr="004B0E80">
              <w:rPr>
                <w:rFonts w:eastAsia="Times New Roman"/>
                <w:color w:val="000000"/>
                <w:lang w:eastAsia="en-GB"/>
              </w:rPr>
              <w:t xml:space="preserve">; </w:t>
            </w:r>
            <w:r w:rsidRPr="004E0A8F">
              <w:rPr>
                <w:rFonts w:eastAsia="Times New Roman"/>
                <w:b/>
                <w:color w:val="000000"/>
                <w:lang w:eastAsia="en-GB"/>
              </w:rPr>
              <w:t>C</w:t>
            </w:r>
            <w:r w:rsidRPr="004B0E80">
              <w:rPr>
                <w:rFonts w:eastAsia="Times New Roman"/>
                <w:color w:val="000000"/>
                <w:lang w:eastAsia="en-GB"/>
              </w:rPr>
              <w:t xml:space="preserve">. </w:t>
            </w:r>
            <w:r w:rsidRPr="00B4648A">
              <w:rPr>
                <w:rFonts w:eastAsia="Times New Roman"/>
                <w:color w:val="000000"/>
                <w:lang w:eastAsia="en-GB"/>
              </w:rPr>
              <w:t>Equipment</w:t>
            </w:r>
            <w:r w:rsidRPr="004B0E80">
              <w:rPr>
                <w:rFonts w:eastAsia="Times New Roman"/>
                <w:color w:val="000000"/>
                <w:lang w:eastAsia="en-GB"/>
              </w:rPr>
              <w:t xml:space="preserve">; </w:t>
            </w:r>
            <w:r w:rsidRPr="004E0A8F">
              <w:rPr>
                <w:rFonts w:eastAsia="Times New Roman"/>
                <w:b/>
                <w:color w:val="000000"/>
                <w:lang w:eastAsia="en-GB"/>
              </w:rPr>
              <w:t>D</w:t>
            </w:r>
            <w:r w:rsidRPr="004B0E80">
              <w:rPr>
                <w:rFonts w:eastAsia="Times New Roman"/>
                <w:color w:val="000000"/>
                <w:lang w:eastAsia="en-GB"/>
              </w:rPr>
              <w:t xml:space="preserve">. </w:t>
            </w:r>
            <w:r w:rsidRPr="00B4648A">
              <w:rPr>
                <w:rFonts w:eastAsia="Times New Roman"/>
                <w:color w:val="000000"/>
                <w:lang w:eastAsia="en-GB"/>
              </w:rPr>
              <w:t>Flammable material</w:t>
            </w:r>
            <w:r w:rsidRPr="004B0E80">
              <w:rPr>
                <w:rFonts w:eastAsia="Times New Roman"/>
                <w:color w:val="000000"/>
                <w:lang w:eastAsia="en-GB"/>
              </w:rPr>
              <w:t xml:space="preserve">; </w:t>
            </w:r>
            <w:r w:rsidRPr="004E0A8F">
              <w:rPr>
                <w:rFonts w:eastAsia="Times New Roman"/>
                <w:b/>
                <w:color w:val="000000"/>
                <w:lang w:eastAsia="en-GB"/>
              </w:rPr>
              <w:t>E</w:t>
            </w:r>
            <w:r w:rsidRPr="004B0E80">
              <w:rPr>
                <w:rFonts w:eastAsia="Times New Roman"/>
                <w:color w:val="000000"/>
                <w:lang w:eastAsia="en-GB"/>
              </w:rPr>
              <w:t xml:space="preserve">. </w:t>
            </w:r>
            <w:r w:rsidRPr="00B4648A">
              <w:rPr>
                <w:rFonts w:eastAsia="Times New Roman"/>
                <w:color w:val="000000"/>
                <w:lang w:eastAsia="en-GB"/>
              </w:rPr>
              <w:t>Improper actions</w:t>
            </w:r>
            <w:r w:rsidRPr="004B0E80">
              <w:rPr>
                <w:rFonts w:eastAsia="Times New Roman"/>
                <w:color w:val="000000"/>
                <w:lang w:eastAsia="en-GB"/>
              </w:rPr>
              <w:t xml:space="preserve">; </w:t>
            </w:r>
            <w:r w:rsidRPr="004E0A8F">
              <w:rPr>
                <w:rFonts w:eastAsia="Times New Roman"/>
                <w:b/>
                <w:color w:val="000000"/>
                <w:lang w:eastAsia="en-GB"/>
              </w:rPr>
              <w:t>F</w:t>
            </w:r>
            <w:r w:rsidRPr="004B0E80">
              <w:rPr>
                <w:rFonts w:eastAsia="Times New Roman"/>
                <w:color w:val="000000"/>
                <w:lang w:eastAsia="en-GB"/>
              </w:rPr>
              <w:t xml:space="preserve">. </w:t>
            </w:r>
            <w:r w:rsidRPr="00B4648A">
              <w:rPr>
                <w:rFonts w:eastAsia="Times New Roman"/>
                <w:color w:val="000000"/>
                <w:lang w:eastAsia="en-GB"/>
              </w:rPr>
              <w:t>Fire or heat source</w:t>
            </w:r>
            <w:r w:rsidRPr="004B0E80">
              <w:rPr>
                <w:rFonts w:eastAsia="Times New Roman"/>
                <w:color w:val="000000"/>
                <w:lang w:eastAsia="en-GB"/>
              </w:rPr>
              <w:t xml:space="preserve">; </w:t>
            </w:r>
            <w:r w:rsidRPr="004E0A8F">
              <w:rPr>
                <w:rFonts w:eastAsia="Times New Roman"/>
                <w:b/>
                <w:color w:val="000000"/>
                <w:lang w:eastAsia="en-GB"/>
              </w:rPr>
              <w:t>G</w:t>
            </w:r>
            <w:r w:rsidRPr="004B0E80">
              <w:rPr>
                <w:rFonts w:eastAsia="Times New Roman"/>
                <w:color w:val="000000"/>
                <w:lang w:eastAsia="en-GB"/>
              </w:rPr>
              <w:t xml:space="preserve">. </w:t>
            </w:r>
            <w:r w:rsidR="00827C1A">
              <w:rPr>
                <w:rFonts w:eastAsia="Times New Roman"/>
                <w:color w:val="000000"/>
                <w:lang w:eastAsia="en-GB"/>
              </w:rPr>
              <w:t>Electrical f</w:t>
            </w:r>
            <w:r w:rsidRPr="00B4648A">
              <w:rPr>
                <w:rFonts w:eastAsia="Times New Roman"/>
                <w:color w:val="000000"/>
                <w:lang w:eastAsia="en-GB"/>
              </w:rPr>
              <w:t>ailure</w:t>
            </w:r>
            <w:r w:rsidRPr="004B0E80">
              <w:rPr>
                <w:rFonts w:eastAsia="Times New Roman"/>
                <w:color w:val="000000"/>
                <w:lang w:eastAsia="en-GB"/>
              </w:rPr>
              <w:t xml:space="preserve">; </w:t>
            </w:r>
            <w:r w:rsidRPr="004E0A8F">
              <w:rPr>
                <w:rFonts w:eastAsia="Times New Roman"/>
                <w:b/>
                <w:color w:val="000000"/>
                <w:lang w:eastAsia="en-GB"/>
              </w:rPr>
              <w:t>H</w:t>
            </w:r>
            <w:r w:rsidRPr="004B0E80">
              <w:rPr>
                <w:rFonts w:eastAsia="Times New Roman"/>
                <w:color w:val="000000"/>
                <w:lang w:eastAsia="en-GB"/>
              </w:rPr>
              <w:t xml:space="preserve">. </w:t>
            </w:r>
            <w:r w:rsidRPr="00B4648A">
              <w:rPr>
                <w:rFonts w:eastAsia="Times New Roman"/>
                <w:color w:val="000000"/>
                <w:lang w:eastAsia="en-GB"/>
              </w:rPr>
              <w:t>Reckless</w:t>
            </w:r>
            <w:r w:rsidRPr="004B0E80">
              <w:rPr>
                <w:rFonts w:eastAsia="Times New Roman"/>
                <w:color w:val="000000"/>
                <w:lang w:eastAsia="en-GB"/>
              </w:rPr>
              <w:t xml:space="preserve">; </w:t>
            </w:r>
            <w:r w:rsidRPr="004E0A8F">
              <w:rPr>
                <w:rFonts w:eastAsia="Times New Roman"/>
                <w:b/>
                <w:color w:val="000000"/>
                <w:lang w:eastAsia="en-GB"/>
              </w:rPr>
              <w:t>I</w:t>
            </w:r>
            <w:r w:rsidRPr="004B0E80">
              <w:rPr>
                <w:rFonts w:eastAsia="Times New Roman"/>
                <w:color w:val="000000"/>
                <w:lang w:eastAsia="en-GB"/>
              </w:rPr>
              <w:t xml:space="preserve">. </w:t>
            </w:r>
            <w:r w:rsidRPr="00B4648A">
              <w:rPr>
                <w:rFonts w:eastAsia="Times New Roman"/>
                <w:color w:val="000000"/>
                <w:lang w:eastAsia="en-GB"/>
              </w:rPr>
              <w:t>People</w:t>
            </w:r>
            <w:r w:rsidRPr="004B0E80">
              <w:rPr>
                <w:rFonts w:eastAsia="Times New Roman"/>
                <w:color w:val="000000"/>
                <w:lang w:eastAsia="en-GB"/>
              </w:rPr>
              <w:t xml:space="preserve">; </w:t>
            </w:r>
            <w:r w:rsidRPr="004E0A8F">
              <w:rPr>
                <w:rFonts w:eastAsia="Times New Roman"/>
                <w:b/>
                <w:color w:val="000000"/>
                <w:lang w:eastAsia="en-GB"/>
              </w:rPr>
              <w:t>J</w:t>
            </w:r>
            <w:r w:rsidRPr="004B0E80">
              <w:rPr>
                <w:rFonts w:eastAsia="Times New Roman"/>
                <w:color w:val="000000"/>
                <w:lang w:eastAsia="en-GB"/>
              </w:rPr>
              <w:t xml:space="preserve">. </w:t>
            </w:r>
            <w:r w:rsidRPr="00B4648A">
              <w:rPr>
                <w:rFonts w:eastAsia="Times New Roman"/>
                <w:color w:val="000000"/>
                <w:lang w:eastAsia="en-GB"/>
              </w:rPr>
              <w:t>Others</w:t>
            </w:r>
            <w:r w:rsidRPr="004B0E80">
              <w:rPr>
                <w:rFonts w:eastAsia="Times New Roman"/>
                <w:color w:val="000000"/>
                <w:lang w:eastAsia="en-GB"/>
              </w:rPr>
              <w:t xml:space="preserve">; </w:t>
            </w:r>
            <w:r w:rsidRPr="004E0A8F">
              <w:rPr>
                <w:rFonts w:eastAsia="Times New Roman"/>
                <w:b/>
                <w:color w:val="000000"/>
                <w:lang w:eastAsia="en-GB"/>
              </w:rPr>
              <w:t>K</w:t>
            </w:r>
            <w:r w:rsidRPr="004B0E80">
              <w:rPr>
                <w:rFonts w:eastAsia="Times New Roman"/>
                <w:color w:val="000000"/>
                <w:lang w:eastAsia="en-GB"/>
              </w:rPr>
              <w:t xml:space="preserve">. </w:t>
            </w:r>
            <w:r w:rsidRPr="00B4648A">
              <w:rPr>
                <w:rFonts w:eastAsia="Times New Roman"/>
                <w:color w:val="000000"/>
                <w:lang w:eastAsia="en-GB"/>
              </w:rPr>
              <w:t>Unknown</w:t>
            </w:r>
          </w:p>
        </w:tc>
      </w:tr>
      <w:tr w:rsidR="0037431A" w14:paraId="002EA1C7" w14:textId="77777777" w:rsidTr="009164AB">
        <w:tc>
          <w:tcPr>
            <w:tcW w:w="4903" w:type="dxa"/>
          </w:tcPr>
          <w:p w14:paraId="3F38C6C7" w14:textId="77B1DBCC" w:rsidR="0037431A" w:rsidRDefault="0037431A" w:rsidP="00ED2E82">
            <w:pPr>
              <w:rPr>
                <w:noProof/>
                <w:lang w:eastAsia="en-GB"/>
              </w:rPr>
            </w:pPr>
            <w:r>
              <w:rPr>
                <w:noProof/>
                <w:lang w:eastAsia="en-GB"/>
              </w:rPr>
              <w:t xml:space="preserve">Figure </w:t>
            </w:r>
            <w:r w:rsidR="0055028F">
              <w:rPr>
                <w:noProof/>
                <w:lang w:eastAsia="en-GB"/>
              </w:rPr>
              <w:t>2</w:t>
            </w:r>
            <w:r>
              <w:rPr>
                <w:noProof/>
                <w:lang w:eastAsia="en-GB"/>
              </w:rPr>
              <w:t>. Fire causes in a) UK, b) USA and c) NZ in 2014/2015</w:t>
            </w:r>
          </w:p>
        </w:tc>
      </w:tr>
    </w:tbl>
    <w:p w14:paraId="18010ED6" w14:textId="77777777" w:rsidR="0037431A" w:rsidRDefault="0037431A" w:rsidP="0037431A">
      <w:pPr>
        <w:rPr>
          <w:sz w:val="24"/>
          <w:szCs w:val="24"/>
        </w:rPr>
      </w:pPr>
    </w:p>
    <w:p w14:paraId="7BA2DC6A" w14:textId="4C3E466D" w:rsidR="0037431A" w:rsidRDefault="0037431A" w:rsidP="0037431A">
      <w:pPr>
        <w:rPr>
          <w:sz w:val="24"/>
          <w:szCs w:val="24"/>
        </w:rPr>
      </w:pPr>
      <w:r>
        <w:rPr>
          <w:sz w:val="24"/>
          <w:szCs w:val="24"/>
        </w:rPr>
        <w:t>In both the UK and New Zealand, the items first ignited are food (A) with 25.5% and 21.3%,</w:t>
      </w:r>
      <w:r w:rsidR="00827C1A">
        <w:rPr>
          <w:sz w:val="24"/>
          <w:szCs w:val="24"/>
        </w:rPr>
        <w:t xml:space="preserve"> respectively, </w:t>
      </w:r>
      <w:r>
        <w:rPr>
          <w:sz w:val="24"/>
          <w:szCs w:val="24"/>
        </w:rPr>
        <w:t>followed by t</w:t>
      </w:r>
      <w:r w:rsidRPr="00407CA3">
        <w:rPr>
          <w:sz w:val="24"/>
          <w:szCs w:val="24"/>
        </w:rPr>
        <w:t>extiles, upholstery and furnishings</w:t>
      </w:r>
      <w:r>
        <w:rPr>
          <w:sz w:val="24"/>
          <w:szCs w:val="24"/>
        </w:rPr>
        <w:t xml:space="preserve"> (B) </w:t>
      </w:r>
      <w:r w:rsidR="00827C1A">
        <w:rPr>
          <w:sz w:val="24"/>
          <w:szCs w:val="24"/>
        </w:rPr>
        <w:t xml:space="preserve">- </w:t>
      </w:r>
      <w:r>
        <w:rPr>
          <w:sz w:val="24"/>
          <w:szCs w:val="24"/>
        </w:rPr>
        <w:t>23.7% and 17%</w:t>
      </w:r>
      <w:r w:rsidR="00827C1A">
        <w:rPr>
          <w:sz w:val="24"/>
          <w:szCs w:val="24"/>
        </w:rPr>
        <w:t xml:space="preserve"> -</w:t>
      </w:r>
      <w:r>
        <w:rPr>
          <w:sz w:val="24"/>
          <w:szCs w:val="24"/>
        </w:rPr>
        <w:t xml:space="preserve"> and by s</w:t>
      </w:r>
      <w:r w:rsidRPr="00407CA3">
        <w:rPr>
          <w:sz w:val="24"/>
          <w:szCs w:val="24"/>
        </w:rPr>
        <w:t>tructure and fittings</w:t>
      </w:r>
      <w:r>
        <w:rPr>
          <w:sz w:val="24"/>
          <w:szCs w:val="24"/>
        </w:rPr>
        <w:t xml:space="preserve"> (D) </w:t>
      </w:r>
      <w:r w:rsidR="00827C1A">
        <w:rPr>
          <w:sz w:val="24"/>
          <w:szCs w:val="24"/>
        </w:rPr>
        <w:t xml:space="preserve">- </w:t>
      </w:r>
      <w:r>
        <w:rPr>
          <w:sz w:val="24"/>
          <w:szCs w:val="24"/>
        </w:rPr>
        <w:t>20.8% and 17.5%</w:t>
      </w:r>
      <w:r w:rsidR="00827C1A">
        <w:rPr>
          <w:sz w:val="24"/>
          <w:szCs w:val="24"/>
        </w:rPr>
        <w:t xml:space="preserve"> -</w:t>
      </w:r>
      <w:r>
        <w:rPr>
          <w:sz w:val="24"/>
          <w:szCs w:val="24"/>
        </w:rPr>
        <w:t xml:space="preserve"> respectively, with a not negligible 24.8% due to “other materials” in New Zealand</w:t>
      </w:r>
      <w:r w:rsidR="0055028F">
        <w:rPr>
          <w:sz w:val="24"/>
          <w:szCs w:val="24"/>
        </w:rPr>
        <w:t xml:space="preserve"> (Figure 3</w:t>
      </w:r>
      <w:r w:rsidR="00827C1A">
        <w:rPr>
          <w:sz w:val="24"/>
          <w:szCs w:val="24"/>
        </w:rPr>
        <w:t>a)</w:t>
      </w:r>
      <w:r>
        <w:rPr>
          <w:sz w:val="24"/>
          <w:szCs w:val="24"/>
        </w:rPr>
        <w:t xml:space="preserve">. In USA, the 21.6% of item ignited is given by organic materials (G) with the 12.4% of general materials (H). No other </w:t>
      </w:r>
      <w:r>
        <w:rPr>
          <w:sz w:val="24"/>
          <w:szCs w:val="24"/>
        </w:rPr>
        <w:t xml:space="preserve">classes exceed 6% with an exception regarding the 48.3% of other items first ignited (I) (Figure </w:t>
      </w:r>
      <w:r w:rsidR="0055028F">
        <w:rPr>
          <w:sz w:val="24"/>
          <w:szCs w:val="24"/>
        </w:rPr>
        <w:t>3</w:t>
      </w:r>
      <w:r>
        <w:rPr>
          <w:sz w:val="24"/>
          <w:szCs w:val="24"/>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37431A" w14:paraId="31E0D164" w14:textId="77777777" w:rsidTr="009164AB">
        <w:tc>
          <w:tcPr>
            <w:tcW w:w="4893" w:type="dxa"/>
          </w:tcPr>
          <w:p w14:paraId="31EED151" w14:textId="77777777" w:rsidR="0037431A" w:rsidRPr="005F3459" w:rsidRDefault="0037431A" w:rsidP="00ED2E82">
            <w:pPr>
              <w:jc w:val="center"/>
            </w:pPr>
            <w:r w:rsidRPr="005F3459">
              <w:rPr>
                <w:noProof/>
                <w:lang w:eastAsia="en-GB"/>
              </w:rPr>
              <w:drawing>
                <wp:anchor distT="0" distB="0" distL="114300" distR="114300" simplePos="0" relativeHeight="251661312" behindDoc="0" locked="0" layoutInCell="1" allowOverlap="1" wp14:anchorId="196AF56D" wp14:editId="31796E0A">
                  <wp:simplePos x="0" y="0"/>
                  <wp:positionH relativeFrom="column">
                    <wp:posOffset>-65405</wp:posOffset>
                  </wp:positionH>
                  <wp:positionV relativeFrom="paragraph">
                    <wp:posOffset>52705</wp:posOffset>
                  </wp:positionV>
                  <wp:extent cx="3131185" cy="1080000"/>
                  <wp:effectExtent l="0" t="0" r="0" b="63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5F3459">
              <w:t>(a)</w:t>
            </w:r>
          </w:p>
        </w:tc>
      </w:tr>
      <w:tr w:rsidR="0037431A" w14:paraId="05AAEB9D" w14:textId="77777777" w:rsidTr="009164AB">
        <w:tc>
          <w:tcPr>
            <w:tcW w:w="4893" w:type="dxa"/>
          </w:tcPr>
          <w:p w14:paraId="18CDAF50" w14:textId="77777777" w:rsidR="0037431A" w:rsidRPr="00803CAC" w:rsidRDefault="0037431A" w:rsidP="00ED2E82">
            <w:r>
              <w:rPr>
                <w:rFonts w:eastAsia="Times New Roman"/>
                <w:b/>
                <w:color w:val="000000"/>
                <w:lang w:eastAsia="en-GB"/>
              </w:rPr>
              <w:t>A</w:t>
            </w:r>
            <w:r w:rsidRPr="005F3459">
              <w:rPr>
                <w:rFonts w:eastAsia="Times New Roman"/>
                <w:color w:val="000000"/>
                <w:lang w:eastAsia="en-GB"/>
              </w:rPr>
              <w:t xml:space="preserve">. </w:t>
            </w:r>
            <w:r w:rsidRPr="006A6E70">
              <w:rPr>
                <w:rFonts w:eastAsia="Times New Roman"/>
                <w:color w:val="000000"/>
                <w:lang w:eastAsia="en-GB"/>
              </w:rPr>
              <w:t>Food</w:t>
            </w:r>
            <w:r w:rsidRPr="00803CAC">
              <w:rPr>
                <w:rFonts w:eastAsia="Times New Roman"/>
                <w:color w:val="000000"/>
                <w:lang w:eastAsia="en-GB"/>
              </w:rPr>
              <w:t xml:space="preserve">; </w:t>
            </w:r>
            <w:r w:rsidRPr="00803CAC">
              <w:rPr>
                <w:rFonts w:eastAsia="Times New Roman"/>
                <w:b/>
                <w:color w:val="000000"/>
                <w:lang w:eastAsia="en-GB"/>
              </w:rPr>
              <w:t>B</w:t>
            </w:r>
            <w:r w:rsidRPr="00803CAC">
              <w:rPr>
                <w:rFonts w:eastAsia="Times New Roman"/>
                <w:color w:val="000000"/>
                <w:lang w:eastAsia="en-GB"/>
              </w:rPr>
              <w:t xml:space="preserve">. </w:t>
            </w:r>
            <w:r w:rsidRPr="006A6E70">
              <w:rPr>
                <w:rFonts w:eastAsia="Times New Roman"/>
                <w:color w:val="000000"/>
                <w:lang w:eastAsia="en-GB"/>
              </w:rPr>
              <w:t>Textiles, upholstery and furnishings</w:t>
            </w:r>
            <w:r w:rsidRPr="00803CAC">
              <w:rPr>
                <w:rFonts w:eastAsia="Times New Roman"/>
                <w:color w:val="000000"/>
                <w:lang w:eastAsia="en-GB"/>
              </w:rPr>
              <w:t xml:space="preserve">; </w:t>
            </w:r>
            <w:r w:rsidRPr="00803CAC">
              <w:rPr>
                <w:rFonts w:eastAsia="Times New Roman"/>
                <w:b/>
                <w:color w:val="000000"/>
                <w:lang w:eastAsia="en-GB"/>
              </w:rPr>
              <w:t>C</w:t>
            </w:r>
            <w:r w:rsidRPr="00803CAC">
              <w:rPr>
                <w:rFonts w:eastAsia="Times New Roman"/>
                <w:color w:val="000000"/>
                <w:lang w:eastAsia="en-GB"/>
              </w:rPr>
              <w:t xml:space="preserve">. </w:t>
            </w:r>
            <w:r w:rsidRPr="006A6E70">
              <w:rPr>
                <w:rFonts w:eastAsia="Times New Roman"/>
                <w:color w:val="000000"/>
                <w:lang w:eastAsia="en-GB"/>
              </w:rPr>
              <w:t>Paper, cardboard</w:t>
            </w:r>
            <w:r w:rsidRPr="00803CAC">
              <w:rPr>
                <w:rFonts w:eastAsia="Times New Roman"/>
                <w:color w:val="000000"/>
                <w:lang w:eastAsia="en-GB"/>
              </w:rPr>
              <w:t xml:space="preserve">; </w:t>
            </w:r>
            <w:r w:rsidRPr="00803CAC">
              <w:rPr>
                <w:rFonts w:eastAsia="Times New Roman"/>
                <w:b/>
                <w:color w:val="000000"/>
                <w:lang w:eastAsia="en-GB"/>
              </w:rPr>
              <w:t>D</w:t>
            </w:r>
            <w:r w:rsidRPr="00803CAC">
              <w:rPr>
                <w:rFonts w:eastAsia="Times New Roman"/>
                <w:color w:val="000000"/>
                <w:lang w:eastAsia="en-GB"/>
              </w:rPr>
              <w:t xml:space="preserve">. </w:t>
            </w:r>
            <w:r w:rsidRPr="006A6E70">
              <w:rPr>
                <w:rFonts w:eastAsia="Times New Roman"/>
                <w:color w:val="000000"/>
                <w:lang w:eastAsia="en-GB"/>
              </w:rPr>
              <w:t>Structure and fittings</w:t>
            </w:r>
            <w:r w:rsidRPr="00803CAC">
              <w:rPr>
                <w:rFonts w:eastAsia="Times New Roman"/>
                <w:color w:val="000000"/>
                <w:lang w:eastAsia="en-GB"/>
              </w:rPr>
              <w:t xml:space="preserve">; </w:t>
            </w:r>
            <w:r w:rsidRPr="00803CAC">
              <w:rPr>
                <w:rFonts w:eastAsia="Times New Roman"/>
                <w:b/>
                <w:color w:val="000000"/>
                <w:lang w:eastAsia="en-GB"/>
              </w:rPr>
              <w:t>E</w:t>
            </w:r>
            <w:r w:rsidRPr="00803CAC">
              <w:rPr>
                <w:rFonts w:eastAsia="Times New Roman"/>
                <w:color w:val="000000"/>
                <w:lang w:eastAsia="en-GB"/>
              </w:rPr>
              <w:t xml:space="preserve">. </w:t>
            </w:r>
            <w:r w:rsidRPr="006A6E70">
              <w:rPr>
                <w:rFonts w:eastAsia="Times New Roman"/>
                <w:color w:val="000000"/>
                <w:lang w:eastAsia="en-GB"/>
              </w:rPr>
              <w:t>Agricultural and forestry product</w:t>
            </w:r>
            <w:r w:rsidRPr="00803CAC">
              <w:rPr>
                <w:rFonts w:eastAsia="Times New Roman"/>
                <w:color w:val="000000"/>
                <w:lang w:eastAsia="en-GB"/>
              </w:rPr>
              <w:t xml:space="preserve">; </w:t>
            </w:r>
            <w:r w:rsidRPr="00803CAC">
              <w:rPr>
                <w:rFonts w:eastAsia="Times New Roman"/>
                <w:b/>
                <w:color w:val="000000"/>
                <w:lang w:eastAsia="en-GB"/>
              </w:rPr>
              <w:t>F</w:t>
            </w:r>
            <w:r w:rsidRPr="00803CAC">
              <w:rPr>
                <w:rFonts w:eastAsia="Times New Roman"/>
                <w:color w:val="000000"/>
                <w:lang w:eastAsia="en-GB"/>
              </w:rPr>
              <w:t xml:space="preserve">. </w:t>
            </w:r>
            <w:r w:rsidRPr="006A6E70">
              <w:rPr>
                <w:rFonts w:eastAsia="Times New Roman"/>
                <w:color w:val="000000"/>
                <w:lang w:eastAsia="en-GB"/>
              </w:rPr>
              <w:t>Explosive Gases &amp; Chemical</w:t>
            </w:r>
            <w:r w:rsidRPr="00803CAC">
              <w:rPr>
                <w:rFonts w:eastAsia="Times New Roman"/>
                <w:color w:val="000000"/>
                <w:lang w:eastAsia="en-GB"/>
              </w:rPr>
              <w:t xml:space="preserve">; </w:t>
            </w:r>
            <w:r w:rsidRPr="00803CAC">
              <w:rPr>
                <w:rFonts w:eastAsia="Times New Roman"/>
                <w:b/>
                <w:color w:val="000000"/>
                <w:lang w:eastAsia="en-GB"/>
              </w:rPr>
              <w:t>G</w:t>
            </w:r>
            <w:r w:rsidRPr="00803CAC">
              <w:rPr>
                <w:rFonts w:eastAsia="Times New Roman"/>
                <w:color w:val="000000"/>
                <w:lang w:eastAsia="en-GB"/>
              </w:rPr>
              <w:t xml:space="preserve">. </w:t>
            </w:r>
            <w:r w:rsidRPr="006A6E70">
              <w:rPr>
                <w:rFonts w:eastAsia="Times New Roman"/>
                <w:color w:val="000000"/>
                <w:lang w:eastAsia="en-GB"/>
              </w:rPr>
              <w:t>Rubbish/Waste/Recycling</w:t>
            </w:r>
            <w:r w:rsidRPr="00803CAC">
              <w:rPr>
                <w:rFonts w:eastAsia="Times New Roman"/>
                <w:color w:val="000000"/>
                <w:lang w:eastAsia="en-GB"/>
              </w:rPr>
              <w:t xml:space="preserve">; </w:t>
            </w:r>
            <w:r w:rsidRPr="00803CAC">
              <w:rPr>
                <w:rFonts w:eastAsia="Times New Roman"/>
                <w:b/>
                <w:color w:val="000000"/>
                <w:lang w:eastAsia="en-GB"/>
              </w:rPr>
              <w:t>H</w:t>
            </w:r>
            <w:r w:rsidRPr="00803CAC">
              <w:rPr>
                <w:rFonts w:eastAsia="Times New Roman"/>
                <w:color w:val="000000"/>
                <w:lang w:eastAsia="en-GB"/>
              </w:rPr>
              <w:t xml:space="preserve">. </w:t>
            </w:r>
            <w:r w:rsidRPr="006A6E70">
              <w:rPr>
                <w:rFonts w:eastAsia="Times New Roman"/>
                <w:color w:val="000000"/>
                <w:lang w:eastAsia="en-GB"/>
              </w:rPr>
              <w:t>Other materials</w:t>
            </w:r>
            <w:r w:rsidRPr="00803CAC">
              <w:rPr>
                <w:rFonts w:eastAsia="Times New Roman"/>
                <w:color w:val="000000"/>
                <w:lang w:eastAsia="en-GB"/>
              </w:rPr>
              <w:t xml:space="preserve">; </w:t>
            </w:r>
            <w:r w:rsidRPr="00803CAC">
              <w:rPr>
                <w:rFonts w:eastAsia="Times New Roman"/>
                <w:b/>
                <w:color w:val="000000"/>
                <w:lang w:eastAsia="en-GB"/>
              </w:rPr>
              <w:t>I</w:t>
            </w:r>
            <w:r w:rsidRPr="00803CAC">
              <w:rPr>
                <w:rFonts w:eastAsia="Times New Roman"/>
                <w:color w:val="000000"/>
                <w:lang w:eastAsia="en-GB"/>
              </w:rPr>
              <w:t xml:space="preserve">. </w:t>
            </w:r>
            <w:r w:rsidRPr="006A6E70">
              <w:rPr>
                <w:rFonts w:eastAsia="Times New Roman"/>
                <w:color w:val="000000"/>
                <w:lang w:eastAsia="en-GB"/>
              </w:rPr>
              <w:t>Not known</w:t>
            </w:r>
            <w:proofErr w:type="gramStart"/>
            <w:r w:rsidRPr="00803CAC">
              <w:rPr>
                <w:rFonts w:eastAsia="Times New Roman"/>
                <w:color w:val="000000"/>
                <w:lang w:eastAsia="en-GB"/>
              </w:rPr>
              <w:t>;</w:t>
            </w:r>
            <w:proofErr w:type="gramEnd"/>
            <w:r w:rsidRPr="00803CAC">
              <w:rPr>
                <w:rFonts w:eastAsia="Times New Roman"/>
                <w:color w:val="000000"/>
                <w:lang w:eastAsia="en-GB"/>
              </w:rPr>
              <w:t xml:space="preserve"> </w:t>
            </w:r>
            <w:r w:rsidRPr="00803CAC">
              <w:rPr>
                <w:rFonts w:eastAsia="Times New Roman"/>
                <w:b/>
                <w:color w:val="000000"/>
                <w:lang w:eastAsia="en-GB"/>
              </w:rPr>
              <w:t>J</w:t>
            </w:r>
            <w:r w:rsidRPr="00803CAC">
              <w:rPr>
                <w:rFonts w:eastAsia="Times New Roman"/>
                <w:color w:val="000000"/>
                <w:lang w:eastAsia="en-GB"/>
              </w:rPr>
              <w:t xml:space="preserve">. </w:t>
            </w:r>
            <w:r w:rsidRPr="006A6E70">
              <w:rPr>
                <w:rFonts w:eastAsia="Times New Roman"/>
                <w:color w:val="000000"/>
                <w:lang w:eastAsia="en-GB"/>
              </w:rPr>
              <w:t>None</w:t>
            </w:r>
            <w:r w:rsidRPr="00803CAC">
              <w:rPr>
                <w:rFonts w:eastAsia="Times New Roman"/>
                <w:color w:val="000000"/>
                <w:lang w:eastAsia="en-GB"/>
              </w:rPr>
              <w:t xml:space="preserve">; </w:t>
            </w:r>
            <w:r w:rsidRPr="00803CAC">
              <w:rPr>
                <w:rFonts w:eastAsia="Times New Roman"/>
                <w:b/>
                <w:color w:val="000000"/>
                <w:lang w:eastAsia="en-GB"/>
              </w:rPr>
              <w:t>K</w:t>
            </w:r>
            <w:r w:rsidRPr="00803CAC">
              <w:rPr>
                <w:rFonts w:eastAsia="Times New Roman"/>
                <w:color w:val="000000"/>
                <w:lang w:eastAsia="en-GB"/>
              </w:rPr>
              <w:t xml:space="preserve">. </w:t>
            </w:r>
            <w:r w:rsidRPr="006A6E70">
              <w:rPr>
                <w:rFonts w:eastAsia="Times New Roman"/>
                <w:color w:val="000000"/>
                <w:lang w:eastAsia="en-GB"/>
              </w:rPr>
              <w:t>Unspecified</w:t>
            </w:r>
          </w:p>
          <w:p w14:paraId="25CB5C91" w14:textId="77777777" w:rsidR="0037431A" w:rsidRPr="005F3459" w:rsidRDefault="0037431A" w:rsidP="00ED2E82"/>
        </w:tc>
      </w:tr>
      <w:tr w:rsidR="0037431A" w14:paraId="50380105" w14:textId="77777777" w:rsidTr="009164AB">
        <w:tc>
          <w:tcPr>
            <w:tcW w:w="4893" w:type="dxa"/>
          </w:tcPr>
          <w:p w14:paraId="091D9DB6" w14:textId="77777777" w:rsidR="0037431A" w:rsidRPr="00DB115D" w:rsidRDefault="0037431A" w:rsidP="00ED2E82">
            <w:pPr>
              <w:jc w:val="center"/>
            </w:pPr>
            <w:r>
              <w:rPr>
                <w:noProof/>
                <w:lang w:eastAsia="en-GB"/>
              </w:rPr>
              <w:drawing>
                <wp:anchor distT="0" distB="0" distL="114300" distR="114300" simplePos="0" relativeHeight="251662336" behindDoc="0" locked="0" layoutInCell="1" allowOverlap="1" wp14:anchorId="7EAFDFD3" wp14:editId="7BD3237B">
                  <wp:simplePos x="0" y="0"/>
                  <wp:positionH relativeFrom="column">
                    <wp:posOffset>-68580</wp:posOffset>
                  </wp:positionH>
                  <wp:positionV relativeFrom="paragraph">
                    <wp:posOffset>0</wp:posOffset>
                  </wp:positionV>
                  <wp:extent cx="3105150" cy="1080000"/>
                  <wp:effectExtent l="0" t="0" r="0" b="63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DB115D">
              <w:t xml:space="preserve"> (b)</w:t>
            </w:r>
          </w:p>
        </w:tc>
      </w:tr>
      <w:tr w:rsidR="0037431A" w14:paraId="075A1E84" w14:textId="77777777" w:rsidTr="009164AB">
        <w:tc>
          <w:tcPr>
            <w:tcW w:w="4893" w:type="dxa"/>
          </w:tcPr>
          <w:p w14:paraId="0F8BF59C" w14:textId="77777777" w:rsidR="0037431A" w:rsidRPr="004E0A8F" w:rsidRDefault="0037431A" w:rsidP="00ED2E82">
            <w:r w:rsidRPr="004E0A8F">
              <w:rPr>
                <w:rFonts w:eastAsia="Times New Roman"/>
                <w:b/>
                <w:color w:val="000000"/>
                <w:lang w:eastAsia="en-GB"/>
              </w:rPr>
              <w:t>A</w:t>
            </w:r>
            <w:r>
              <w:rPr>
                <w:rFonts w:eastAsia="Times New Roman"/>
                <w:color w:val="000000"/>
                <w:lang w:eastAsia="en-GB"/>
              </w:rPr>
              <w:t xml:space="preserve">. </w:t>
            </w:r>
            <w:r w:rsidRPr="00657B10">
              <w:rPr>
                <w:rFonts w:eastAsia="Times New Roman"/>
                <w:color w:val="000000"/>
                <w:lang w:eastAsia="en-GB"/>
              </w:rPr>
              <w:t>Structural Component, Finish</w:t>
            </w:r>
            <w:r w:rsidRPr="004E0A8F">
              <w:rPr>
                <w:rFonts w:eastAsia="Times New Roman"/>
                <w:color w:val="000000"/>
                <w:lang w:eastAsia="en-GB"/>
              </w:rPr>
              <w:t xml:space="preserve">; </w:t>
            </w:r>
            <w:r w:rsidRPr="004E0A8F">
              <w:rPr>
                <w:rFonts w:eastAsia="Times New Roman"/>
                <w:b/>
                <w:color w:val="000000"/>
                <w:lang w:eastAsia="en-GB"/>
              </w:rPr>
              <w:t>B</w:t>
            </w:r>
            <w:r w:rsidRPr="004E0A8F">
              <w:rPr>
                <w:rFonts w:eastAsia="Times New Roman"/>
                <w:color w:val="000000"/>
                <w:lang w:eastAsia="en-GB"/>
              </w:rPr>
              <w:t xml:space="preserve">. </w:t>
            </w:r>
            <w:r w:rsidRPr="00657B10">
              <w:rPr>
                <w:rFonts w:eastAsia="Times New Roman"/>
                <w:color w:val="000000"/>
                <w:lang w:eastAsia="en-GB"/>
              </w:rPr>
              <w:t>Furniture, Utensils. Includes built-in furniture</w:t>
            </w:r>
            <w:r w:rsidRPr="004E0A8F">
              <w:rPr>
                <w:rFonts w:eastAsia="Times New Roman"/>
                <w:color w:val="000000"/>
                <w:lang w:eastAsia="en-GB"/>
              </w:rPr>
              <w:t xml:space="preserve">; </w:t>
            </w:r>
            <w:r w:rsidRPr="004E0A8F">
              <w:rPr>
                <w:rFonts w:eastAsia="Times New Roman"/>
                <w:b/>
                <w:color w:val="000000"/>
                <w:lang w:eastAsia="en-GB"/>
              </w:rPr>
              <w:t>C</w:t>
            </w:r>
            <w:r w:rsidRPr="004E0A8F">
              <w:rPr>
                <w:rFonts w:eastAsia="Times New Roman"/>
                <w:color w:val="000000"/>
                <w:lang w:eastAsia="en-GB"/>
              </w:rPr>
              <w:t xml:space="preserve">. </w:t>
            </w:r>
            <w:r w:rsidRPr="00657B10">
              <w:rPr>
                <w:rFonts w:eastAsia="Times New Roman"/>
                <w:color w:val="000000"/>
                <w:lang w:eastAsia="en-GB"/>
              </w:rPr>
              <w:t>Soft Goods, Wearing Apparel</w:t>
            </w:r>
            <w:r w:rsidRPr="004E0A8F">
              <w:rPr>
                <w:rFonts w:eastAsia="Times New Roman"/>
                <w:color w:val="000000"/>
                <w:lang w:eastAsia="en-GB"/>
              </w:rPr>
              <w:t xml:space="preserve">; </w:t>
            </w:r>
            <w:r w:rsidRPr="004E0A8F">
              <w:rPr>
                <w:rFonts w:eastAsia="Times New Roman"/>
                <w:b/>
                <w:color w:val="000000"/>
                <w:lang w:eastAsia="en-GB"/>
              </w:rPr>
              <w:t>D</w:t>
            </w:r>
            <w:r w:rsidRPr="004E0A8F">
              <w:rPr>
                <w:rFonts w:eastAsia="Times New Roman"/>
                <w:color w:val="000000"/>
                <w:lang w:eastAsia="en-GB"/>
              </w:rPr>
              <w:t xml:space="preserve">. </w:t>
            </w:r>
            <w:r w:rsidRPr="00657B10">
              <w:rPr>
                <w:rFonts w:eastAsia="Times New Roman"/>
                <w:color w:val="000000"/>
                <w:lang w:eastAsia="en-GB"/>
              </w:rPr>
              <w:t>Adornment, Recreational Material, Signs</w:t>
            </w:r>
            <w:r w:rsidRPr="004E0A8F">
              <w:rPr>
                <w:rFonts w:eastAsia="Times New Roman"/>
                <w:color w:val="000000"/>
                <w:lang w:eastAsia="en-GB"/>
              </w:rPr>
              <w:t xml:space="preserve">; </w:t>
            </w:r>
            <w:r w:rsidRPr="004E0A8F">
              <w:rPr>
                <w:rFonts w:eastAsia="Times New Roman"/>
                <w:b/>
                <w:color w:val="000000"/>
                <w:lang w:eastAsia="en-GB"/>
              </w:rPr>
              <w:t>E</w:t>
            </w:r>
            <w:r w:rsidRPr="004E0A8F">
              <w:rPr>
                <w:rFonts w:eastAsia="Times New Roman"/>
                <w:color w:val="000000"/>
                <w:lang w:eastAsia="en-GB"/>
              </w:rPr>
              <w:t xml:space="preserve">. </w:t>
            </w:r>
            <w:r w:rsidRPr="00657B10">
              <w:rPr>
                <w:rFonts w:eastAsia="Times New Roman"/>
                <w:color w:val="000000"/>
                <w:lang w:eastAsia="en-GB"/>
              </w:rPr>
              <w:t>Storage Supplies</w:t>
            </w:r>
            <w:r w:rsidRPr="004E0A8F">
              <w:rPr>
                <w:rFonts w:eastAsia="Times New Roman"/>
                <w:color w:val="000000"/>
                <w:lang w:eastAsia="en-GB"/>
              </w:rPr>
              <w:t xml:space="preserve">; </w:t>
            </w:r>
            <w:r w:rsidRPr="004E0A8F">
              <w:rPr>
                <w:rFonts w:eastAsia="Times New Roman"/>
                <w:b/>
                <w:color w:val="000000"/>
                <w:lang w:eastAsia="en-GB"/>
              </w:rPr>
              <w:t>F</w:t>
            </w:r>
            <w:r w:rsidRPr="004E0A8F">
              <w:rPr>
                <w:rFonts w:eastAsia="Times New Roman"/>
                <w:color w:val="000000"/>
                <w:lang w:eastAsia="en-GB"/>
              </w:rPr>
              <w:t xml:space="preserve">. </w:t>
            </w:r>
            <w:r w:rsidRPr="00657B10">
              <w:rPr>
                <w:rFonts w:eastAsia="Times New Roman"/>
                <w:color w:val="000000"/>
                <w:lang w:eastAsia="en-GB"/>
              </w:rPr>
              <w:t>Liquids, Piping, Filters</w:t>
            </w:r>
            <w:r w:rsidRPr="004E0A8F">
              <w:rPr>
                <w:rFonts w:eastAsia="Times New Roman"/>
                <w:color w:val="000000"/>
                <w:lang w:eastAsia="en-GB"/>
              </w:rPr>
              <w:t xml:space="preserve">; </w:t>
            </w:r>
            <w:r w:rsidRPr="004E0A8F">
              <w:rPr>
                <w:rFonts w:eastAsia="Times New Roman"/>
                <w:b/>
                <w:color w:val="000000"/>
                <w:lang w:eastAsia="en-GB"/>
              </w:rPr>
              <w:t>G</w:t>
            </w:r>
            <w:r w:rsidRPr="004E0A8F">
              <w:rPr>
                <w:rFonts w:eastAsia="Times New Roman"/>
                <w:color w:val="000000"/>
                <w:lang w:eastAsia="en-GB"/>
              </w:rPr>
              <w:t xml:space="preserve">. </w:t>
            </w:r>
            <w:r w:rsidRPr="00657B10">
              <w:rPr>
                <w:rFonts w:eastAsia="Times New Roman"/>
                <w:color w:val="000000"/>
                <w:lang w:eastAsia="en-GB"/>
              </w:rPr>
              <w:t>Organic Materials</w:t>
            </w:r>
            <w:r w:rsidRPr="004E0A8F">
              <w:rPr>
                <w:rFonts w:eastAsia="Times New Roman"/>
                <w:color w:val="000000"/>
                <w:lang w:eastAsia="en-GB"/>
              </w:rPr>
              <w:t xml:space="preserve">; </w:t>
            </w:r>
            <w:r w:rsidRPr="004E0A8F">
              <w:rPr>
                <w:rFonts w:eastAsia="Times New Roman"/>
                <w:b/>
                <w:color w:val="000000"/>
                <w:lang w:eastAsia="en-GB"/>
              </w:rPr>
              <w:t>H</w:t>
            </w:r>
            <w:r w:rsidRPr="004E0A8F">
              <w:rPr>
                <w:rFonts w:eastAsia="Times New Roman"/>
                <w:color w:val="000000"/>
                <w:lang w:eastAsia="en-GB"/>
              </w:rPr>
              <w:t xml:space="preserve">. </w:t>
            </w:r>
            <w:r w:rsidRPr="00657B10">
              <w:rPr>
                <w:rFonts w:eastAsia="Times New Roman"/>
                <w:color w:val="000000"/>
                <w:lang w:eastAsia="en-GB"/>
              </w:rPr>
              <w:t>General Materials</w:t>
            </w:r>
            <w:r w:rsidRPr="004E0A8F">
              <w:rPr>
                <w:rFonts w:eastAsia="Times New Roman"/>
                <w:color w:val="000000"/>
                <w:lang w:eastAsia="en-GB"/>
              </w:rPr>
              <w:t xml:space="preserve">; </w:t>
            </w:r>
            <w:r w:rsidRPr="004E0A8F">
              <w:rPr>
                <w:rFonts w:eastAsia="Times New Roman"/>
                <w:b/>
                <w:color w:val="000000"/>
                <w:lang w:eastAsia="en-GB"/>
              </w:rPr>
              <w:t>I</w:t>
            </w:r>
            <w:r w:rsidRPr="004E0A8F">
              <w:rPr>
                <w:rFonts w:eastAsia="Times New Roman"/>
                <w:color w:val="000000"/>
                <w:lang w:eastAsia="en-GB"/>
              </w:rPr>
              <w:t xml:space="preserve">. </w:t>
            </w:r>
            <w:r w:rsidRPr="00657B10">
              <w:rPr>
                <w:rFonts w:eastAsia="Times New Roman"/>
                <w:color w:val="000000"/>
                <w:lang w:eastAsia="en-GB"/>
              </w:rPr>
              <w:t>Other Items First Ignited</w:t>
            </w:r>
          </w:p>
        </w:tc>
      </w:tr>
      <w:tr w:rsidR="0037431A" w14:paraId="7AE7EA0A" w14:textId="77777777" w:rsidTr="009164AB">
        <w:tc>
          <w:tcPr>
            <w:tcW w:w="4893" w:type="dxa"/>
          </w:tcPr>
          <w:p w14:paraId="27517450" w14:textId="05905FFD" w:rsidR="0037431A" w:rsidRPr="004E0A8F" w:rsidRDefault="0037431A" w:rsidP="00ED2E82">
            <w:r w:rsidRPr="004E0A8F">
              <w:t>F</w:t>
            </w:r>
            <w:r>
              <w:t xml:space="preserve">igure </w:t>
            </w:r>
            <w:r w:rsidR="0055028F">
              <w:t>3</w:t>
            </w:r>
            <w:r w:rsidR="00E93BB1">
              <w:t xml:space="preserve"> I</w:t>
            </w:r>
            <w:r>
              <w:t>tem first ignited in a) UK and NZ and b)</w:t>
            </w:r>
            <w:r w:rsidRPr="004E0A8F">
              <w:t xml:space="preserve"> USA in 2014/201</w:t>
            </w:r>
            <w:r>
              <w:t>5</w:t>
            </w:r>
          </w:p>
        </w:tc>
      </w:tr>
    </w:tbl>
    <w:p w14:paraId="2E0A7EB1" w14:textId="74FABB9A" w:rsidR="0037431A" w:rsidRDefault="0037431A" w:rsidP="0037431A"/>
    <w:p w14:paraId="433F8195" w14:textId="64D5CAE0" w:rsidR="0037431A" w:rsidRPr="009649AA" w:rsidRDefault="0037431A">
      <w:pPr>
        <w:rPr>
          <w:sz w:val="24"/>
        </w:rPr>
      </w:pPr>
      <w:r>
        <w:rPr>
          <w:sz w:val="24"/>
        </w:rPr>
        <w:t>Considering a probabilistic framework,</w:t>
      </w:r>
      <w:r w:rsidR="00EE269B">
        <w:rPr>
          <w:sz w:val="24"/>
        </w:rPr>
        <w:t xml:space="preserve"> causes of ignition</w:t>
      </w:r>
      <w:r>
        <w:rPr>
          <w:sz w:val="24"/>
        </w:rPr>
        <w:t xml:space="preserve"> and the likely items to </w:t>
      </w:r>
      <w:proofErr w:type="gramStart"/>
      <w:r>
        <w:rPr>
          <w:sz w:val="24"/>
        </w:rPr>
        <w:t>be first ignited</w:t>
      </w:r>
      <w:proofErr w:type="gramEnd"/>
      <w:r>
        <w:rPr>
          <w:sz w:val="24"/>
        </w:rPr>
        <w:t xml:space="preserve"> can be used in determining the likelihood of significant fires occurring. The analysis </w:t>
      </w:r>
      <w:r w:rsidR="00146A8A">
        <w:rPr>
          <w:sz w:val="24"/>
        </w:rPr>
        <w:t>presented in</w:t>
      </w:r>
      <w:r>
        <w:rPr>
          <w:sz w:val="24"/>
        </w:rPr>
        <w:t xml:space="preserve"> </w:t>
      </w:r>
      <w:r w:rsidR="002D3A99">
        <w:rPr>
          <w:sz w:val="24"/>
        </w:rPr>
        <w:t>F</w:t>
      </w:r>
      <w:r>
        <w:rPr>
          <w:sz w:val="24"/>
        </w:rPr>
        <w:t>igure</w:t>
      </w:r>
      <w:r w:rsidR="00146A8A">
        <w:rPr>
          <w:sz w:val="24"/>
        </w:rPr>
        <w:t>s</w:t>
      </w:r>
      <w:r>
        <w:rPr>
          <w:sz w:val="24"/>
        </w:rPr>
        <w:t xml:space="preserve"> </w:t>
      </w:r>
      <w:r w:rsidR="002D3A99">
        <w:rPr>
          <w:sz w:val="24"/>
        </w:rPr>
        <w:t>2-3</w:t>
      </w:r>
      <w:r>
        <w:rPr>
          <w:sz w:val="24"/>
        </w:rPr>
        <w:t xml:space="preserve"> define the range of the most common scenarios in which fires occur allowing means to prevent fires being ignited (i.e. PAT testing in UK to check for faulty electrical appliances), understand the materials which first ignite and thus improve the resilience of our built environment to fire.</w:t>
      </w:r>
    </w:p>
    <w:p w14:paraId="70874202" w14:textId="765B0C17" w:rsidR="001111F8" w:rsidRDefault="001111F8" w:rsidP="0037431A">
      <w:pPr>
        <w:keepNext/>
        <w:jc w:val="left"/>
        <w:outlineLvl w:val="1"/>
        <w:rPr>
          <w:noProof/>
          <w:sz w:val="24"/>
          <w:szCs w:val="24"/>
        </w:rPr>
      </w:pPr>
    </w:p>
    <w:p w14:paraId="4ECC8C42" w14:textId="0AA4E142" w:rsidR="00941C02" w:rsidRDefault="00941C02" w:rsidP="00941C02">
      <w:pPr>
        <w:pStyle w:val="Heading2"/>
        <w:jc w:val="both"/>
        <w:rPr>
          <w:sz w:val="24"/>
          <w:szCs w:val="24"/>
        </w:rPr>
      </w:pPr>
      <w:r>
        <w:rPr>
          <w:sz w:val="24"/>
          <w:szCs w:val="24"/>
        </w:rPr>
        <w:t>3.2</w:t>
      </w:r>
      <w:r w:rsidRPr="00E96F86">
        <w:rPr>
          <w:sz w:val="24"/>
          <w:szCs w:val="24"/>
        </w:rPr>
        <w:t xml:space="preserve"> </w:t>
      </w:r>
      <w:r>
        <w:rPr>
          <w:sz w:val="24"/>
          <w:szCs w:val="24"/>
        </w:rPr>
        <w:t xml:space="preserve">DETECTORS </w:t>
      </w:r>
    </w:p>
    <w:p w14:paraId="2B0ABABA" w14:textId="0657C8BF" w:rsidR="00941C02" w:rsidRPr="00770A7C" w:rsidRDefault="00941C02" w:rsidP="00941C02">
      <w:pPr>
        <w:rPr>
          <w:sz w:val="24"/>
          <w:szCs w:val="24"/>
        </w:rPr>
      </w:pPr>
      <w:r>
        <w:rPr>
          <w:sz w:val="24"/>
          <w:szCs w:val="24"/>
        </w:rPr>
        <w:t xml:space="preserve">Information about detectors </w:t>
      </w:r>
      <w:proofErr w:type="gramStart"/>
      <w:r>
        <w:rPr>
          <w:sz w:val="24"/>
          <w:szCs w:val="24"/>
        </w:rPr>
        <w:t>are given</w:t>
      </w:r>
      <w:proofErr w:type="gramEnd"/>
      <w:r>
        <w:rPr>
          <w:sz w:val="24"/>
          <w:szCs w:val="24"/>
        </w:rPr>
        <w:t xml:space="preserve"> in the three different databases regarding the</w:t>
      </w:r>
      <w:r w:rsidR="00146A8A">
        <w:rPr>
          <w:sz w:val="24"/>
          <w:szCs w:val="24"/>
        </w:rPr>
        <w:t>ir</w:t>
      </w:r>
      <w:r>
        <w:rPr>
          <w:sz w:val="24"/>
          <w:szCs w:val="24"/>
        </w:rPr>
        <w:t xml:space="preserve"> type, operation and failure. In IRS, the percentage </w:t>
      </w:r>
      <w:r w:rsidRPr="000146ED">
        <w:rPr>
          <w:sz w:val="24"/>
          <w:szCs w:val="24"/>
        </w:rPr>
        <w:t>of households owning a smoke alarm or working smoke alarms</w:t>
      </w:r>
      <w:r>
        <w:rPr>
          <w:sz w:val="24"/>
          <w:szCs w:val="24"/>
        </w:rPr>
        <w:t xml:space="preserve"> is 88%</w:t>
      </w:r>
      <w:r w:rsidR="00146A8A">
        <w:rPr>
          <w:sz w:val="24"/>
          <w:szCs w:val="24"/>
        </w:rPr>
        <w:t>,</w:t>
      </w:r>
      <w:r>
        <w:rPr>
          <w:sz w:val="24"/>
          <w:szCs w:val="24"/>
        </w:rPr>
        <w:t xml:space="preserve"> while in NFIRS, 39.7% of cases smoke alarms are present, 32.9% not present and undetermined 27.5%. In UK, detector types are divided in two major groups: 55.2% battery powered and 43.2% mains powered (Figure </w:t>
      </w:r>
      <w:r w:rsidR="00E93BB1">
        <w:rPr>
          <w:sz w:val="24"/>
          <w:szCs w:val="24"/>
        </w:rPr>
        <w:t>4</w:t>
      </w:r>
      <w:r>
        <w:rPr>
          <w:sz w:val="24"/>
          <w:szCs w:val="24"/>
        </w:rPr>
        <w:t xml:space="preserve">a), but no further delineation is given. Within the NFIRS, 76.1% of the detectors are smoke detectors (A) </w:t>
      </w:r>
      <w:r>
        <w:rPr>
          <w:sz w:val="24"/>
          <w:szCs w:val="24"/>
        </w:rPr>
        <w:lastRenderedPageBreak/>
        <w:t xml:space="preserve">followed by 6.4% for combined of smoke and heat in a single unit (C) and </w:t>
      </w:r>
      <w:r w:rsidR="0026495A">
        <w:rPr>
          <w:sz w:val="24"/>
          <w:szCs w:val="24"/>
        </w:rPr>
        <w:t>a non-</w:t>
      </w:r>
      <w:r>
        <w:rPr>
          <w:sz w:val="24"/>
          <w:szCs w:val="24"/>
        </w:rPr>
        <w:t xml:space="preserve">negligible 10.3% of undetermined </w:t>
      </w:r>
      <w:r w:rsidR="0026495A">
        <w:rPr>
          <w:sz w:val="24"/>
          <w:szCs w:val="24"/>
        </w:rPr>
        <w:t xml:space="preserve">detectors </w:t>
      </w:r>
      <w:r>
        <w:rPr>
          <w:sz w:val="24"/>
          <w:szCs w:val="24"/>
        </w:rPr>
        <w:t xml:space="preserve">(Figure </w:t>
      </w:r>
      <w:r w:rsidR="00E93BB1">
        <w:rPr>
          <w:sz w:val="24"/>
          <w:szCs w:val="24"/>
        </w:rPr>
        <w:t>4</w:t>
      </w:r>
      <w:r>
        <w:rPr>
          <w:sz w:val="24"/>
          <w:szCs w:val="24"/>
        </w:rPr>
        <w:t>b). Domestic smoke alarms (21.7%, D), smoke detector system (monitored) (11.9%, L) and smoke detector</w:t>
      </w:r>
      <w:r w:rsidR="0026495A">
        <w:rPr>
          <w:sz w:val="24"/>
          <w:szCs w:val="24"/>
        </w:rPr>
        <w:t xml:space="preserve"> </w:t>
      </w:r>
      <w:r>
        <w:rPr>
          <w:sz w:val="24"/>
          <w:szCs w:val="24"/>
        </w:rPr>
        <w:t xml:space="preserve">/security alarm system (3.1% M) are the three most prevalent types of detector in New Zealand, however it should be noted that data are not recorded for 56.6% of cases (Figure </w:t>
      </w:r>
      <w:r w:rsidR="00E93BB1">
        <w:rPr>
          <w:sz w:val="24"/>
          <w:szCs w:val="24"/>
        </w:rPr>
        <w:t>4</w:t>
      </w:r>
      <w:r>
        <w:rPr>
          <w:sz w:val="24"/>
          <w:szCs w:val="24"/>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7C5BE385" w14:textId="77777777" w:rsidTr="009164AB">
        <w:tc>
          <w:tcPr>
            <w:tcW w:w="4903" w:type="dxa"/>
          </w:tcPr>
          <w:p w14:paraId="55AA2BB7" w14:textId="77777777" w:rsidR="00941C02" w:rsidRPr="0017245C" w:rsidRDefault="00941C02" w:rsidP="00ED2E82">
            <w:pPr>
              <w:jc w:val="center"/>
            </w:pPr>
            <w:r>
              <w:rPr>
                <w:noProof/>
                <w:lang w:eastAsia="en-GB"/>
              </w:rPr>
              <w:drawing>
                <wp:anchor distT="0" distB="0" distL="114300" distR="114300" simplePos="0" relativeHeight="251674624" behindDoc="0" locked="0" layoutInCell="1" allowOverlap="1" wp14:anchorId="1413B392" wp14:editId="52137940">
                  <wp:simplePos x="0" y="0"/>
                  <wp:positionH relativeFrom="column">
                    <wp:posOffset>-68580</wp:posOffset>
                  </wp:positionH>
                  <wp:positionV relativeFrom="paragraph">
                    <wp:posOffset>25400</wp:posOffset>
                  </wp:positionV>
                  <wp:extent cx="3114040" cy="1080000"/>
                  <wp:effectExtent l="0" t="0" r="0" b="635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17245C">
              <w:t xml:space="preserve"> (a)</w:t>
            </w:r>
          </w:p>
        </w:tc>
      </w:tr>
      <w:tr w:rsidR="00941C02" w14:paraId="2DDD3708" w14:textId="77777777" w:rsidTr="009164AB">
        <w:tc>
          <w:tcPr>
            <w:tcW w:w="4903" w:type="dxa"/>
          </w:tcPr>
          <w:p w14:paraId="6C344F90" w14:textId="77777777" w:rsidR="00941C02" w:rsidRPr="0017245C" w:rsidRDefault="00941C02" w:rsidP="00ED2E82">
            <w:r w:rsidRPr="001B616B">
              <w:rPr>
                <w:rFonts w:eastAsia="Times New Roman"/>
                <w:b/>
                <w:color w:val="000000"/>
                <w:lang w:eastAsia="en-GB"/>
              </w:rPr>
              <w:t>A</w:t>
            </w:r>
            <w:r w:rsidRPr="0017245C">
              <w:rPr>
                <w:rFonts w:eastAsia="Times New Roman"/>
                <w:color w:val="000000"/>
                <w:lang w:eastAsia="en-GB"/>
              </w:rPr>
              <w:t xml:space="preserve">. Battery Powered; </w:t>
            </w:r>
            <w:r w:rsidRPr="001B616B">
              <w:rPr>
                <w:rFonts w:eastAsia="Times New Roman"/>
                <w:b/>
                <w:color w:val="000000"/>
                <w:lang w:eastAsia="en-GB"/>
              </w:rPr>
              <w:t>B</w:t>
            </w:r>
            <w:r w:rsidRPr="0017245C">
              <w:rPr>
                <w:rFonts w:eastAsia="Times New Roman"/>
                <w:color w:val="000000"/>
                <w:lang w:eastAsia="en-GB"/>
              </w:rPr>
              <w:t xml:space="preserve">. Mains Powered; </w:t>
            </w:r>
            <w:r w:rsidRPr="001B616B">
              <w:rPr>
                <w:rFonts w:eastAsia="Times New Roman"/>
                <w:b/>
                <w:color w:val="000000"/>
                <w:lang w:eastAsia="en-GB"/>
              </w:rPr>
              <w:t>C</w:t>
            </w:r>
            <w:r w:rsidRPr="0017245C">
              <w:rPr>
                <w:rFonts w:eastAsia="Times New Roman"/>
                <w:color w:val="000000"/>
                <w:lang w:eastAsia="en-GB"/>
              </w:rPr>
              <w:t>. Other</w:t>
            </w:r>
          </w:p>
        </w:tc>
      </w:tr>
      <w:tr w:rsidR="00941C02" w14:paraId="615A0770" w14:textId="77777777" w:rsidTr="009164AB">
        <w:tc>
          <w:tcPr>
            <w:tcW w:w="4903" w:type="dxa"/>
          </w:tcPr>
          <w:p w14:paraId="1A950127" w14:textId="77777777" w:rsidR="00941C02" w:rsidRPr="00B62B34" w:rsidRDefault="00941C02" w:rsidP="00ED2E82">
            <w:pPr>
              <w:jc w:val="center"/>
            </w:pPr>
            <w:r w:rsidRPr="00B62B34">
              <w:rPr>
                <w:noProof/>
                <w:lang w:eastAsia="en-GB"/>
              </w:rPr>
              <w:drawing>
                <wp:anchor distT="0" distB="0" distL="114300" distR="114300" simplePos="0" relativeHeight="251665408" behindDoc="0" locked="0" layoutInCell="1" allowOverlap="1" wp14:anchorId="75609BF3" wp14:editId="60217EC9">
                  <wp:simplePos x="0" y="0"/>
                  <wp:positionH relativeFrom="column">
                    <wp:posOffset>-68580</wp:posOffset>
                  </wp:positionH>
                  <wp:positionV relativeFrom="paragraph">
                    <wp:posOffset>0</wp:posOffset>
                  </wp:positionV>
                  <wp:extent cx="3114040" cy="126000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B62B34">
              <w:t>(b)</w:t>
            </w:r>
          </w:p>
        </w:tc>
      </w:tr>
      <w:tr w:rsidR="00941C02" w14:paraId="7D55087C" w14:textId="77777777" w:rsidTr="009164AB">
        <w:tc>
          <w:tcPr>
            <w:tcW w:w="4903" w:type="dxa"/>
          </w:tcPr>
          <w:p w14:paraId="55DC3E76" w14:textId="77777777" w:rsidR="00941C02" w:rsidRPr="00B62B34" w:rsidRDefault="00941C02" w:rsidP="00ED2E82">
            <w:r w:rsidRPr="001B616B">
              <w:rPr>
                <w:rFonts w:eastAsia="Times New Roman"/>
                <w:b/>
                <w:color w:val="000000"/>
                <w:lang w:eastAsia="en-GB"/>
              </w:rPr>
              <w:t>A</w:t>
            </w:r>
            <w:r w:rsidRPr="00B62B34">
              <w:rPr>
                <w:rFonts w:eastAsia="Times New Roman"/>
                <w:color w:val="000000"/>
                <w:lang w:eastAsia="en-GB"/>
              </w:rPr>
              <w:t xml:space="preserve">. Smoke; </w:t>
            </w:r>
            <w:r w:rsidRPr="001B616B">
              <w:rPr>
                <w:rFonts w:eastAsia="Times New Roman"/>
                <w:b/>
                <w:color w:val="000000"/>
                <w:lang w:eastAsia="en-GB"/>
              </w:rPr>
              <w:t>B</w:t>
            </w:r>
            <w:r w:rsidRPr="00B62B34">
              <w:rPr>
                <w:rFonts w:eastAsia="Times New Roman"/>
                <w:color w:val="000000"/>
                <w:lang w:eastAsia="en-GB"/>
              </w:rPr>
              <w:t xml:space="preserve">. Heat; </w:t>
            </w:r>
            <w:r w:rsidRPr="001B616B">
              <w:rPr>
                <w:rFonts w:eastAsia="Times New Roman"/>
                <w:b/>
                <w:color w:val="000000"/>
                <w:lang w:eastAsia="en-GB"/>
              </w:rPr>
              <w:t>C</w:t>
            </w:r>
            <w:r w:rsidRPr="00B62B34">
              <w:rPr>
                <w:rFonts w:eastAsia="Times New Roman"/>
                <w:color w:val="000000"/>
                <w:lang w:eastAsia="en-GB"/>
              </w:rPr>
              <w:t xml:space="preserve">. Combination smoke and heat in a single unit; </w:t>
            </w:r>
            <w:r w:rsidRPr="001B616B">
              <w:rPr>
                <w:rFonts w:eastAsia="Times New Roman"/>
                <w:b/>
                <w:color w:val="000000"/>
                <w:lang w:eastAsia="en-GB"/>
              </w:rPr>
              <w:t>D</w:t>
            </w:r>
            <w:r w:rsidRPr="00B62B34">
              <w:rPr>
                <w:rFonts w:eastAsia="Times New Roman"/>
                <w:color w:val="000000"/>
                <w:lang w:eastAsia="en-GB"/>
              </w:rPr>
              <w:t xml:space="preserve">. Sprinkler, water flow detection; </w:t>
            </w:r>
            <w:r w:rsidRPr="001B616B">
              <w:rPr>
                <w:rFonts w:eastAsia="Times New Roman"/>
                <w:b/>
                <w:color w:val="000000"/>
                <w:lang w:eastAsia="en-GB"/>
              </w:rPr>
              <w:t>E</w:t>
            </w:r>
            <w:r w:rsidRPr="00B62B34">
              <w:rPr>
                <w:rFonts w:eastAsia="Times New Roman"/>
                <w:color w:val="000000"/>
                <w:lang w:eastAsia="en-GB"/>
              </w:rPr>
              <w:t xml:space="preserve">. More than one type present; </w:t>
            </w:r>
            <w:r w:rsidRPr="001B616B">
              <w:rPr>
                <w:rFonts w:eastAsia="Times New Roman"/>
                <w:b/>
                <w:color w:val="000000"/>
                <w:lang w:eastAsia="en-GB"/>
              </w:rPr>
              <w:t>F</w:t>
            </w:r>
            <w:r w:rsidRPr="00B62B34">
              <w:rPr>
                <w:rFonts w:eastAsia="Times New Roman"/>
                <w:color w:val="000000"/>
                <w:lang w:eastAsia="en-GB"/>
              </w:rPr>
              <w:t xml:space="preserve">. Detector type, other; </w:t>
            </w:r>
            <w:r w:rsidRPr="001B616B">
              <w:rPr>
                <w:rFonts w:eastAsia="Times New Roman"/>
                <w:b/>
                <w:color w:val="000000"/>
                <w:lang w:eastAsia="en-GB"/>
              </w:rPr>
              <w:t>G</w:t>
            </w:r>
            <w:r w:rsidRPr="00B62B34">
              <w:rPr>
                <w:rFonts w:eastAsia="Times New Roman"/>
                <w:color w:val="000000"/>
                <w:lang w:eastAsia="en-GB"/>
              </w:rPr>
              <w:t>. Undetermined</w:t>
            </w:r>
          </w:p>
        </w:tc>
      </w:tr>
      <w:tr w:rsidR="00941C02" w14:paraId="4AAF6523" w14:textId="77777777" w:rsidTr="009164AB">
        <w:tc>
          <w:tcPr>
            <w:tcW w:w="4903" w:type="dxa"/>
          </w:tcPr>
          <w:p w14:paraId="42337229" w14:textId="77777777" w:rsidR="00941C02" w:rsidRPr="00B62B34" w:rsidRDefault="00941C02" w:rsidP="00ED2E82">
            <w:pPr>
              <w:jc w:val="center"/>
              <w:rPr>
                <w:rFonts w:eastAsia="Times New Roman"/>
                <w:color w:val="000000"/>
                <w:lang w:eastAsia="en-GB"/>
              </w:rPr>
            </w:pPr>
            <w:r>
              <w:rPr>
                <w:noProof/>
                <w:lang w:eastAsia="en-GB"/>
              </w:rPr>
              <w:drawing>
                <wp:anchor distT="0" distB="0" distL="114300" distR="114300" simplePos="0" relativeHeight="251671552" behindDoc="0" locked="0" layoutInCell="1" allowOverlap="1" wp14:anchorId="6EFE191F" wp14:editId="3BACDDF3">
                  <wp:simplePos x="0" y="0"/>
                  <wp:positionH relativeFrom="column">
                    <wp:posOffset>-68580</wp:posOffset>
                  </wp:positionH>
                  <wp:positionV relativeFrom="paragraph">
                    <wp:posOffset>0</wp:posOffset>
                  </wp:positionV>
                  <wp:extent cx="3113405" cy="1260000"/>
                  <wp:effectExtent l="0" t="0" r="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eastAsia="Times New Roman"/>
                <w:color w:val="000000"/>
                <w:lang w:eastAsia="en-GB"/>
              </w:rPr>
              <w:t xml:space="preserve"> (c)</w:t>
            </w:r>
          </w:p>
        </w:tc>
      </w:tr>
      <w:tr w:rsidR="00941C02" w14:paraId="1CF0B9BC" w14:textId="77777777" w:rsidTr="009164AB">
        <w:tc>
          <w:tcPr>
            <w:tcW w:w="4903" w:type="dxa"/>
          </w:tcPr>
          <w:p w14:paraId="45C7CC2D" w14:textId="77777777" w:rsidR="00941C02" w:rsidRPr="0031530E" w:rsidRDefault="00941C02" w:rsidP="00ED2E82">
            <w:proofErr w:type="gramStart"/>
            <w:r w:rsidRPr="0031530E">
              <w:rPr>
                <w:rFonts w:eastAsia="Times New Roman"/>
                <w:b/>
                <w:color w:val="000000"/>
                <w:lang w:eastAsia="en-GB"/>
              </w:rPr>
              <w:t>A</w:t>
            </w:r>
            <w:r>
              <w:rPr>
                <w:rFonts w:eastAsia="Times New Roman"/>
                <w:color w:val="000000"/>
                <w:lang w:eastAsia="en-GB"/>
              </w:rPr>
              <w:t xml:space="preserve">. </w:t>
            </w:r>
            <w:r w:rsidRPr="0031530E">
              <w:rPr>
                <w:rFonts w:eastAsia="Times New Roman"/>
                <w:color w:val="000000"/>
                <w:lang w:eastAsia="en-GB"/>
              </w:rPr>
              <w:t xml:space="preserve">CO2; </w:t>
            </w:r>
            <w:r w:rsidRPr="0031530E">
              <w:rPr>
                <w:rFonts w:eastAsia="Times New Roman"/>
                <w:b/>
                <w:color w:val="000000"/>
                <w:lang w:eastAsia="en-GB"/>
              </w:rPr>
              <w:t>B</w:t>
            </w:r>
            <w:r w:rsidRPr="0031530E">
              <w:rPr>
                <w:rFonts w:eastAsia="Times New Roman"/>
                <w:color w:val="000000"/>
                <w:lang w:eastAsia="en-GB"/>
              </w:rPr>
              <w:t xml:space="preserve">. Deluge system; </w:t>
            </w:r>
            <w:r w:rsidRPr="0031530E">
              <w:rPr>
                <w:rFonts w:eastAsia="Times New Roman"/>
                <w:b/>
                <w:color w:val="000000"/>
                <w:lang w:eastAsia="en-GB"/>
              </w:rPr>
              <w:t>C</w:t>
            </w:r>
            <w:r w:rsidRPr="0031530E">
              <w:rPr>
                <w:rFonts w:eastAsia="Times New Roman"/>
                <w:color w:val="000000"/>
                <w:lang w:eastAsia="en-GB"/>
              </w:rPr>
              <w:t xml:space="preserve">. Domestic (Home) SPRINKLER; </w:t>
            </w:r>
            <w:r w:rsidRPr="0031530E">
              <w:rPr>
                <w:rFonts w:eastAsia="Times New Roman"/>
                <w:b/>
                <w:color w:val="000000"/>
                <w:lang w:eastAsia="en-GB"/>
              </w:rPr>
              <w:t>D</w:t>
            </w:r>
            <w:r w:rsidRPr="0031530E">
              <w:rPr>
                <w:rFonts w:eastAsia="Times New Roman"/>
                <w:color w:val="000000"/>
                <w:lang w:eastAsia="en-GB"/>
              </w:rPr>
              <w:t xml:space="preserve">. Domestic Smoke Alarms; </w:t>
            </w:r>
            <w:r w:rsidRPr="0031530E">
              <w:rPr>
                <w:rFonts w:eastAsia="Times New Roman"/>
                <w:b/>
                <w:color w:val="000000"/>
                <w:lang w:eastAsia="en-GB"/>
              </w:rPr>
              <w:t>E</w:t>
            </w:r>
            <w:r w:rsidRPr="0031530E">
              <w:rPr>
                <w:rFonts w:eastAsia="Times New Roman"/>
                <w:color w:val="000000"/>
                <w:lang w:eastAsia="en-GB"/>
              </w:rPr>
              <w:t xml:space="preserve">. Drencher system; </w:t>
            </w:r>
            <w:r w:rsidRPr="0031530E">
              <w:rPr>
                <w:rFonts w:eastAsia="Times New Roman"/>
                <w:b/>
                <w:color w:val="000000"/>
                <w:lang w:eastAsia="en-GB"/>
              </w:rPr>
              <w:t>F</w:t>
            </w:r>
            <w:r w:rsidRPr="0031530E">
              <w:rPr>
                <w:rFonts w:eastAsia="Times New Roman"/>
                <w:color w:val="000000"/>
                <w:lang w:eastAsia="en-GB"/>
              </w:rPr>
              <w:t xml:space="preserve">. Flame detector; </w:t>
            </w:r>
            <w:r w:rsidRPr="0031530E">
              <w:rPr>
                <w:rFonts w:eastAsia="Times New Roman"/>
                <w:b/>
                <w:color w:val="000000"/>
                <w:lang w:eastAsia="en-GB"/>
              </w:rPr>
              <w:t>G</w:t>
            </w:r>
            <w:r w:rsidRPr="0031530E">
              <w:rPr>
                <w:rFonts w:eastAsia="Times New Roman"/>
                <w:color w:val="000000"/>
                <w:lang w:eastAsia="en-GB"/>
              </w:rPr>
              <w:t xml:space="preserve">. Flammable vapour detector; </w:t>
            </w:r>
            <w:r w:rsidRPr="0031530E">
              <w:rPr>
                <w:rFonts w:eastAsia="Times New Roman"/>
                <w:b/>
                <w:color w:val="000000"/>
                <w:lang w:eastAsia="en-GB"/>
              </w:rPr>
              <w:t>H</w:t>
            </w:r>
            <w:r w:rsidRPr="0031530E">
              <w:rPr>
                <w:rFonts w:eastAsia="Times New Roman"/>
                <w:color w:val="000000"/>
                <w:lang w:eastAsia="en-GB"/>
              </w:rPr>
              <w:t xml:space="preserve">. Heat detector, Thermal detector; </w:t>
            </w:r>
            <w:r w:rsidRPr="0031530E">
              <w:rPr>
                <w:rFonts w:eastAsia="Times New Roman"/>
                <w:b/>
                <w:color w:val="000000"/>
                <w:lang w:eastAsia="en-GB"/>
              </w:rPr>
              <w:t>I</w:t>
            </w:r>
            <w:r w:rsidRPr="0031530E">
              <w:rPr>
                <w:rFonts w:eastAsia="Times New Roman"/>
                <w:color w:val="000000"/>
                <w:lang w:eastAsia="en-GB"/>
              </w:rPr>
              <w:t xml:space="preserve">. Inert gas (not CO2); </w:t>
            </w:r>
            <w:r w:rsidRPr="0031530E">
              <w:rPr>
                <w:rFonts w:eastAsia="Times New Roman"/>
                <w:b/>
                <w:color w:val="000000"/>
                <w:lang w:eastAsia="en-GB"/>
              </w:rPr>
              <w:t>J</w:t>
            </w:r>
            <w:r w:rsidRPr="0031530E">
              <w:rPr>
                <w:rFonts w:eastAsia="Times New Roman"/>
                <w:color w:val="000000"/>
                <w:lang w:eastAsia="en-GB"/>
              </w:rPr>
              <w:t xml:space="preserve">. Manual Fire Alarm; </w:t>
            </w:r>
            <w:r w:rsidRPr="0031530E">
              <w:rPr>
                <w:rFonts w:eastAsia="Times New Roman"/>
                <w:b/>
                <w:color w:val="000000"/>
                <w:lang w:eastAsia="en-GB"/>
              </w:rPr>
              <w:t>K</w:t>
            </w:r>
            <w:r w:rsidRPr="0031530E">
              <w:rPr>
                <w:rFonts w:eastAsia="Times New Roman"/>
                <w:color w:val="000000"/>
                <w:lang w:eastAsia="en-GB"/>
              </w:rPr>
              <w:t xml:space="preserve">. Residential sprinkler; </w:t>
            </w:r>
            <w:r w:rsidRPr="0031530E">
              <w:rPr>
                <w:rFonts w:eastAsia="Times New Roman"/>
                <w:b/>
                <w:color w:val="000000"/>
                <w:lang w:eastAsia="en-GB"/>
              </w:rPr>
              <w:t>L</w:t>
            </w:r>
            <w:r w:rsidRPr="0031530E">
              <w:rPr>
                <w:rFonts w:eastAsia="Times New Roman"/>
                <w:color w:val="000000"/>
                <w:lang w:eastAsia="en-GB"/>
              </w:rPr>
              <w:t xml:space="preserve">. Smoke Detector System (Monitored); </w:t>
            </w:r>
            <w:r w:rsidRPr="0031530E">
              <w:rPr>
                <w:rFonts w:eastAsia="Times New Roman"/>
                <w:b/>
                <w:color w:val="000000"/>
                <w:lang w:eastAsia="en-GB"/>
              </w:rPr>
              <w:t>M</w:t>
            </w:r>
            <w:r w:rsidRPr="0031530E">
              <w:rPr>
                <w:rFonts w:eastAsia="Times New Roman"/>
                <w:color w:val="000000"/>
                <w:lang w:eastAsia="en-GB"/>
              </w:rPr>
              <w:t xml:space="preserve">. Smoke Detector/Security Alarm System; </w:t>
            </w:r>
            <w:r w:rsidRPr="0031530E">
              <w:rPr>
                <w:rFonts w:eastAsia="Times New Roman"/>
                <w:b/>
                <w:color w:val="000000"/>
                <w:lang w:eastAsia="en-GB"/>
              </w:rPr>
              <w:t>N</w:t>
            </w:r>
            <w:r w:rsidRPr="0031530E">
              <w:rPr>
                <w:rFonts w:eastAsia="Times New Roman"/>
                <w:color w:val="000000"/>
                <w:lang w:eastAsia="en-GB"/>
              </w:rPr>
              <w:t xml:space="preserve">. Smoke sampling system; </w:t>
            </w:r>
            <w:r w:rsidRPr="0031530E">
              <w:rPr>
                <w:rFonts w:eastAsia="Times New Roman"/>
                <w:b/>
                <w:color w:val="000000"/>
                <w:lang w:eastAsia="en-GB"/>
              </w:rPr>
              <w:t>O</w:t>
            </w:r>
            <w:r w:rsidRPr="0031530E">
              <w:rPr>
                <w:rFonts w:eastAsia="Times New Roman"/>
                <w:color w:val="000000"/>
                <w:lang w:eastAsia="en-GB"/>
              </w:rPr>
              <w:t xml:space="preserve">. Sprinkler; </w:t>
            </w:r>
            <w:r w:rsidRPr="0031530E">
              <w:rPr>
                <w:rFonts w:eastAsia="Times New Roman"/>
                <w:b/>
                <w:color w:val="000000"/>
                <w:lang w:eastAsia="en-GB"/>
              </w:rPr>
              <w:t>P</w:t>
            </w:r>
            <w:r w:rsidRPr="0031530E">
              <w:rPr>
                <w:rFonts w:eastAsia="Times New Roman"/>
                <w:color w:val="000000"/>
                <w:lang w:eastAsia="en-GB"/>
              </w:rPr>
              <w:t xml:space="preserve">. Water spray projection system; </w:t>
            </w:r>
            <w:r w:rsidRPr="0031530E">
              <w:rPr>
                <w:rFonts w:eastAsia="Times New Roman"/>
                <w:b/>
                <w:color w:val="000000"/>
                <w:lang w:eastAsia="en-GB"/>
              </w:rPr>
              <w:t>Q</w:t>
            </w:r>
            <w:r>
              <w:rPr>
                <w:rFonts w:eastAsia="Times New Roman"/>
                <w:color w:val="000000"/>
                <w:lang w:eastAsia="en-GB"/>
              </w:rPr>
              <w:t>. Unable to classify.</w:t>
            </w:r>
            <w:proofErr w:type="gramEnd"/>
          </w:p>
        </w:tc>
      </w:tr>
      <w:tr w:rsidR="00941C02" w14:paraId="04041279" w14:textId="77777777" w:rsidTr="009164AB">
        <w:tc>
          <w:tcPr>
            <w:tcW w:w="4903" w:type="dxa"/>
          </w:tcPr>
          <w:p w14:paraId="5A121D8A" w14:textId="2936953E" w:rsidR="00941C02" w:rsidRPr="0031530E" w:rsidRDefault="00941C02" w:rsidP="00ED2E82">
            <w:pPr>
              <w:rPr>
                <w:rFonts w:eastAsia="Times New Roman"/>
                <w:color w:val="000000"/>
                <w:lang w:eastAsia="en-GB"/>
              </w:rPr>
            </w:pPr>
            <w:r>
              <w:rPr>
                <w:rFonts w:eastAsia="Times New Roman"/>
                <w:color w:val="000000"/>
                <w:lang w:eastAsia="en-GB"/>
              </w:rPr>
              <w:t xml:space="preserve">Figure </w:t>
            </w:r>
            <w:r w:rsidR="00E93BB1">
              <w:rPr>
                <w:rFonts w:eastAsia="Times New Roman"/>
                <w:color w:val="000000"/>
                <w:lang w:eastAsia="en-GB"/>
              </w:rPr>
              <w:t>4</w:t>
            </w:r>
            <w:r>
              <w:rPr>
                <w:rFonts w:eastAsia="Times New Roman"/>
                <w:color w:val="000000"/>
                <w:lang w:eastAsia="en-GB"/>
              </w:rPr>
              <w:t>. Detector types in a) UK, b) USA and c) NZ in 2014/2015</w:t>
            </w:r>
          </w:p>
        </w:tc>
      </w:tr>
    </w:tbl>
    <w:p w14:paraId="2B456F8B" w14:textId="77777777" w:rsidR="00941C02" w:rsidRDefault="00941C02" w:rsidP="00941C02">
      <w:pPr>
        <w:rPr>
          <w:sz w:val="24"/>
          <w:szCs w:val="24"/>
        </w:rPr>
      </w:pPr>
    </w:p>
    <w:p w14:paraId="21D4FB31" w14:textId="53825301" w:rsidR="00941C02" w:rsidRPr="00770A7C" w:rsidRDefault="00941C02" w:rsidP="00941C02">
      <w:pPr>
        <w:rPr>
          <w:sz w:val="24"/>
          <w:szCs w:val="24"/>
        </w:rPr>
      </w:pPr>
      <w:r>
        <w:rPr>
          <w:sz w:val="24"/>
          <w:szCs w:val="24"/>
        </w:rPr>
        <w:t xml:space="preserve">Another important aspect to consider is the operation of detectors. In the IRS database, four classes for detectors operation </w:t>
      </w:r>
      <w:proofErr w:type="gramStart"/>
      <w:r>
        <w:rPr>
          <w:sz w:val="24"/>
          <w:szCs w:val="24"/>
        </w:rPr>
        <w:t>are presented</w:t>
      </w:r>
      <w:proofErr w:type="gramEnd"/>
      <w:r>
        <w:rPr>
          <w:sz w:val="24"/>
          <w:szCs w:val="24"/>
        </w:rPr>
        <w:t xml:space="preserve"> and a further classification related to the use of property. Therefore, considering detectors respectively in </w:t>
      </w:r>
      <w:r>
        <w:rPr>
          <w:sz w:val="24"/>
          <w:szCs w:val="24"/>
        </w:rPr>
        <w:t xml:space="preserve">dwellings and other buildings, they were present, operated and raised the alarm for 26.8% -11.8% (A), present, operated but did not raise the alarm for 7.1%-1.8% (B), present but did not operate for 13.2%-4.3% (C) and finally 19.8%-15.2% are the percentages related to the absence of detectors (D) (Figure </w:t>
      </w:r>
      <w:r w:rsidR="00E93BB1">
        <w:rPr>
          <w:sz w:val="24"/>
          <w:szCs w:val="24"/>
        </w:rPr>
        <w:t>5</w:t>
      </w:r>
      <w:r>
        <w:rPr>
          <w:sz w:val="24"/>
          <w:szCs w:val="24"/>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02AB2C5E" w14:textId="77777777" w:rsidTr="009164AB">
        <w:tc>
          <w:tcPr>
            <w:tcW w:w="4893" w:type="dxa"/>
          </w:tcPr>
          <w:p w14:paraId="02B55C86" w14:textId="77777777" w:rsidR="00941C02" w:rsidRDefault="00941C02" w:rsidP="00ED2E82">
            <w:pPr>
              <w:jc w:val="center"/>
              <w:rPr>
                <w:sz w:val="24"/>
                <w:szCs w:val="24"/>
              </w:rPr>
            </w:pPr>
            <w:r w:rsidRPr="000146ED">
              <w:rPr>
                <w:noProof/>
                <w:sz w:val="16"/>
                <w:lang w:eastAsia="en-GB"/>
              </w:rPr>
              <w:drawing>
                <wp:anchor distT="0" distB="0" distL="114300" distR="114300" simplePos="0" relativeHeight="251666432" behindDoc="0" locked="0" layoutInCell="1" allowOverlap="1" wp14:anchorId="72F0E514" wp14:editId="21E7A16F">
                  <wp:simplePos x="0" y="0"/>
                  <wp:positionH relativeFrom="column">
                    <wp:posOffset>-68580</wp:posOffset>
                  </wp:positionH>
                  <wp:positionV relativeFrom="paragraph">
                    <wp:posOffset>19685</wp:posOffset>
                  </wp:positionV>
                  <wp:extent cx="3113405" cy="126000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0146ED">
              <w:rPr>
                <w:szCs w:val="24"/>
              </w:rPr>
              <w:t>(a)</w:t>
            </w:r>
          </w:p>
        </w:tc>
      </w:tr>
      <w:tr w:rsidR="00941C02" w14:paraId="38FF1AA6" w14:textId="77777777" w:rsidTr="009164AB">
        <w:tc>
          <w:tcPr>
            <w:tcW w:w="4893" w:type="dxa"/>
          </w:tcPr>
          <w:p w14:paraId="7BD1C1A7" w14:textId="77777777" w:rsidR="00941C02" w:rsidRPr="000146ED" w:rsidRDefault="00941C02" w:rsidP="00ED2E82">
            <w:r w:rsidRPr="000146ED">
              <w:rPr>
                <w:rFonts w:eastAsia="Times New Roman"/>
                <w:b/>
                <w:color w:val="000000"/>
                <w:lang w:eastAsia="en-GB"/>
              </w:rPr>
              <w:t>A</w:t>
            </w:r>
            <w:r w:rsidRPr="000146ED">
              <w:rPr>
                <w:rFonts w:eastAsia="Times New Roman"/>
                <w:color w:val="000000"/>
                <w:lang w:eastAsia="en-GB"/>
              </w:rPr>
              <w:t>. Present, operated &amp; raised the alarm;</w:t>
            </w:r>
            <w:r w:rsidRPr="000146ED">
              <w:rPr>
                <w:rFonts w:eastAsia="Times New Roman"/>
                <w:b/>
                <w:color w:val="000000"/>
                <w:lang w:eastAsia="en-GB"/>
              </w:rPr>
              <w:t xml:space="preserve"> B</w:t>
            </w:r>
            <w:r w:rsidRPr="000146ED">
              <w:rPr>
                <w:rFonts w:eastAsia="Times New Roman"/>
                <w:color w:val="000000"/>
                <w:lang w:eastAsia="en-GB"/>
              </w:rPr>
              <w:t xml:space="preserve">. Present, operated but did not raise the alarm; </w:t>
            </w:r>
            <w:r w:rsidRPr="000146ED">
              <w:rPr>
                <w:rFonts w:eastAsia="Times New Roman"/>
                <w:b/>
                <w:color w:val="000000"/>
                <w:lang w:eastAsia="en-GB"/>
              </w:rPr>
              <w:t>C</w:t>
            </w:r>
            <w:r w:rsidRPr="000146ED">
              <w:rPr>
                <w:rFonts w:eastAsia="Times New Roman"/>
                <w:color w:val="000000"/>
                <w:lang w:eastAsia="en-GB"/>
              </w:rPr>
              <w:t xml:space="preserve">. Present, but did not operate; </w:t>
            </w:r>
            <w:r w:rsidRPr="000146ED">
              <w:rPr>
                <w:rFonts w:eastAsia="Times New Roman"/>
                <w:b/>
                <w:color w:val="000000"/>
                <w:lang w:eastAsia="en-GB"/>
              </w:rPr>
              <w:t>D</w:t>
            </w:r>
            <w:r w:rsidRPr="000146ED">
              <w:rPr>
                <w:rFonts w:eastAsia="Times New Roman"/>
                <w:color w:val="000000"/>
                <w:lang w:eastAsia="en-GB"/>
              </w:rPr>
              <w:t>. Absent</w:t>
            </w:r>
          </w:p>
        </w:tc>
      </w:tr>
      <w:tr w:rsidR="00941C02" w14:paraId="0F504890" w14:textId="77777777" w:rsidTr="009164AB">
        <w:tc>
          <w:tcPr>
            <w:tcW w:w="4893" w:type="dxa"/>
          </w:tcPr>
          <w:p w14:paraId="2DAE35BC" w14:textId="77777777" w:rsidR="00941C02" w:rsidRDefault="00941C02" w:rsidP="00ED2E82">
            <w:pPr>
              <w:jc w:val="center"/>
              <w:rPr>
                <w:sz w:val="24"/>
                <w:szCs w:val="24"/>
              </w:rPr>
            </w:pPr>
            <w:r w:rsidRPr="000F3BAD">
              <w:rPr>
                <w:noProof/>
                <w:sz w:val="16"/>
                <w:lang w:eastAsia="en-GB"/>
              </w:rPr>
              <w:drawing>
                <wp:anchor distT="0" distB="0" distL="114300" distR="114300" simplePos="0" relativeHeight="251667456" behindDoc="0" locked="0" layoutInCell="1" allowOverlap="1" wp14:anchorId="3F348900" wp14:editId="0C6723D7">
                  <wp:simplePos x="0" y="0"/>
                  <wp:positionH relativeFrom="column">
                    <wp:posOffset>-68580</wp:posOffset>
                  </wp:positionH>
                  <wp:positionV relativeFrom="paragraph">
                    <wp:posOffset>4445</wp:posOffset>
                  </wp:positionV>
                  <wp:extent cx="3053715" cy="12600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0F3BAD">
              <w:rPr>
                <w:szCs w:val="24"/>
              </w:rPr>
              <w:t>(b)</w:t>
            </w:r>
          </w:p>
        </w:tc>
      </w:tr>
      <w:tr w:rsidR="00941C02" w14:paraId="11B81A48" w14:textId="77777777" w:rsidTr="009164AB">
        <w:tc>
          <w:tcPr>
            <w:tcW w:w="4893" w:type="dxa"/>
          </w:tcPr>
          <w:p w14:paraId="15FC78EF" w14:textId="77777777" w:rsidR="00941C02" w:rsidRPr="00062004" w:rsidRDefault="00941C02" w:rsidP="00ED2E82">
            <w:pPr>
              <w:rPr>
                <w:sz w:val="22"/>
                <w:szCs w:val="24"/>
              </w:rPr>
            </w:pPr>
            <w:r w:rsidRPr="00062004">
              <w:rPr>
                <w:rFonts w:eastAsia="Times New Roman"/>
                <w:b/>
                <w:color w:val="000000"/>
                <w:szCs w:val="22"/>
                <w:lang w:eastAsia="en-GB"/>
              </w:rPr>
              <w:t>A</w:t>
            </w:r>
            <w:r>
              <w:rPr>
                <w:rFonts w:eastAsia="Times New Roman"/>
                <w:color w:val="000000"/>
                <w:szCs w:val="22"/>
                <w:lang w:eastAsia="en-GB"/>
              </w:rPr>
              <w:t xml:space="preserve">. </w:t>
            </w:r>
            <w:r w:rsidRPr="000F3BAD">
              <w:rPr>
                <w:rFonts w:eastAsia="Times New Roman"/>
                <w:color w:val="000000"/>
                <w:szCs w:val="22"/>
                <w:lang w:eastAsia="en-GB"/>
              </w:rPr>
              <w:t>Fire too small to activate detector</w:t>
            </w:r>
            <w:r w:rsidRPr="00062004">
              <w:rPr>
                <w:rFonts w:eastAsia="Times New Roman"/>
                <w:color w:val="000000"/>
                <w:szCs w:val="22"/>
                <w:lang w:eastAsia="en-GB"/>
              </w:rPr>
              <w:t xml:space="preserve">; </w:t>
            </w:r>
            <w:r w:rsidRPr="00062004">
              <w:rPr>
                <w:rFonts w:eastAsia="Times New Roman"/>
                <w:b/>
                <w:color w:val="000000"/>
                <w:szCs w:val="22"/>
                <w:lang w:eastAsia="en-GB"/>
              </w:rPr>
              <w:t>B</w:t>
            </w:r>
            <w:r w:rsidRPr="00062004">
              <w:rPr>
                <w:rFonts w:eastAsia="Times New Roman"/>
                <w:color w:val="000000"/>
                <w:szCs w:val="22"/>
                <w:lang w:eastAsia="en-GB"/>
              </w:rPr>
              <w:t xml:space="preserve">. </w:t>
            </w:r>
            <w:r w:rsidRPr="000F3BAD">
              <w:rPr>
                <w:rFonts w:eastAsia="Times New Roman"/>
                <w:color w:val="000000"/>
                <w:szCs w:val="22"/>
                <w:lang w:eastAsia="en-GB"/>
              </w:rPr>
              <w:t>Detector operated</w:t>
            </w:r>
            <w:r w:rsidRPr="00062004">
              <w:rPr>
                <w:rFonts w:eastAsia="Times New Roman"/>
                <w:color w:val="000000"/>
                <w:szCs w:val="22"/>
                <w:lang w:eastAsia="en-GB"/>
              </w:rPr>
              <w:t xml:space="preserve">; </w:t>
            </w:r>
            <w:r w:rsidRPr="00062004">
              <w:rPr>
                <w:rFonts w:eastAsia="Times New Roman"/>
                <w:b/>
                <w:color w:val="000000"/>
                <w:szCs w:val="22"/>
                <w:lang w:eastAsia="en-GB"/>
              </w:rPr>
              <w:t>C</w:t>
            </w:r>
            <w:r w:rsidRPr="00062004">
              <w:rPr>
                <w:rFonts w:eastAsia="Times New Roman"/>
                <w:color w:val="000000"/>
                <w:szCs w:val="22"/>
                <w:lang w:eastAsia="en-GB"/>
              </w:rPr>
              <w:t xml:space="preserve">. </w:t>
            </w:r>
            <w:r w:rsidRPr="000F3BAD">
              <w:rPr>
                <w:rFonts w:eastAsia="Times New Roman"/>
                <w:color w:val="000000"/>
                <w:szCs w:val="22"/>
                <w:lang w:eastAsia="en-GB"/>
              </w:rPr>
              <w:t>Detector failed to operate</w:t>
            </w:r>
            <w:r w:rsidRPr="00062004">
              <w:rPr>
                <w:rFonts w:eastAsia="Times New Roman"/>
                <w:color w:val="000000"/>
                <w:szCs w:val="22"/>
                <w:lang w:eastAsia="en-GB"/>
              </w:rPr>
              <w:t xml:space="preserve">; </w:t>
            </w:r>
            <w:r w:rsidRPr="00062004">
              <w:rPr>
                <w:rFonts w:eastAsia="Times New Roman"/>
                <w:b/>
                <w:color w:val="000000"/>
                <w:szCs w:val="22"/>
                <w:lang w:eastAsia="en-GB"/>
              </w:rPr>
              <w:t>D</w:t>
            </w:r>
            <w:r w:rsidRPr="00062004">
              <w:rPr>
                <w:rFonts w:eastAsia="Times New Roman"/>
                <w:color w:val="000000"/>
                <w:szCs w:val="22"/>
                <w:lang w:eastAsia="en-GB"/>
              </w:rPr>
              <w:t xml:space="preserve">. </w:t>
            </w:r>
            <w:r w:rsidRPr="000F3BAD">
              <w:rPr>
                <w:rFonts w:eastAsia="Times New Roman"/>
                <w:color w:val="000000"/>
                <w:szCs w:val="22"/>
                <w:lang w:eastAsia="en-GB"/>
              </w:rPr>
              <w:t>Undetermined</w:t>
            </w:r>
          </w:p>
        </w:tc>
      </w:tr>
      <w:tr w:rsidR="00941C02" w14:paraId="294D7349" w14:textId="77777777" w:rsidTr="009164AB">
        <w:tc>
          <w:tcPr>
            <w:tcW w:w="4893" w:type="dxa"/>
          </w:tcPr>
          <w:p w14:paraId="5ED4EB22" w14:textId="022C3D05" w:rsidR="00941C02" w:rsidRPr="007E17B2" w:rsidRDefault="00C95F32" w:rsidP="00ED2E82">
            <w:pPr>
              <w:jc w:val="center"/>
              <w:rPr>
                <w:rFonts w:eastAsia="Times New Roman"/>
                <w:color w:val="000000"/>
                <w:szCs w:val="22"/>
                <w:lang w:eastAsia="en-GB"/>
              </w:rPr>
            </w:pPr>
            <w:r>
              <w:rPr>
                <w:noProof/>
                <w:lang w:eastAsia="en-GB"/>
              </w:rPr>
              <w:drawing>
                <wp:anchor distT="0" distB="0" distL="114300" distR="114300" simplePos="0" relativeHeight="251691008" behindDoc="0" locked="0" layoutInCell="1" allowOverlap="1" wp14:anchorId="3FED66C1" wp14:editId="20C3B991">
                  <wp:simplePos x="0" y="0"/>
                  <wp:positionH relativeFrom="column">
                    <wp:posOffset>-68580</wp:posOffset>
                  </wp:positionH>
                  <wp:positionV relativeFrom="paragraph">
                    <wp:posOffset>39370</wp:posOffset>
                  </wp:positionV>
                  <wp:extent cx="3113405" cy="1440000"/>
                  <wp:effectExtent l="0" t="0" r="0" b="8255"/>
                  <wp:wrapSquare wrapText="bothSides"/>
                  <wp:docPr id="1" name="Grafico 1">
                    <a:extLst xmlns:a="http://schemas.openxmlformats.org/drawingml/2006/main">
                      <a:ext uri="{FF2B5EF4-FFF2-40B4-BE49-F238E27FC236}">
                        <a16:creationId xmlns:a16="http://schemas.microsoft.com/office/drawing/2014/main" id="{1EE23CC1-5464-47A2-9B79-699009AAD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941C02">
              <w:rPr>
                <w:rFonts w:eastAsia="Times New Roman"/>
                <w:color w:val="000000"/>
                <w:szCs w:val="22"/>
                <w:lang w:eastAsia="en-GB"/>
              </w:rPr>
              <w:t xml:space="preserve"> (c)</w:t>
            </w:r>
          </w:p>
        </w:tc>
      </w:tr>
      <w:tr w:rsidR="00941C02" w14:paraId="602FAD99" w14:textId="77777777" w:rsidTr="009164AB">
        <w:tc>
          <w:tcPr>
            <w:tcW w:w="4893" w:type="dxa"/>
          </w:tcPr>
          <w:p w14:paraId="1B4C7BA2" w14:textId="2046FF43" w:rsidR="00941C02" w:rsidRPr="00972E52" w:rsidRDefault="00A85D7D" w:rsidP="00ED2E82">
            <w:r w:rsidRPr="00AD4071">
              <w:rPr>
                <w:b/>
                <w:color w:val="000000"/>
              </w:rPr>
              <w:t>A</w:t>
            </w:r>
            <w:r w:rsidRPr="00AD4071">
              <w:rPr>
                <w:color w:val="000000"/>
              </w:rPr>
              <w:t xml:space="preserve">. </w:t>
            </w:r>
            <w:r>
              <w:rPr>
                <w:color w:val="000000"/>
              </w:rPr>
              <w:t>System operated and was effective</w:t>
            </w:r>
            <w:r w:rsidRPr="00AD4071">
              <w:rPr>
                <w:color w:val="000000"/>
              </w:rPr>
              <w:t xml:space="preserve">; </w:t>
            </w:r>
            <w:r w:rsidRPr="00AD4071">
              <w:rPr>
                <w:b/>
                <w:color w:val="000000"/>
              </w:rPr>
              <w:t>B</w:t>
            </w:r>
            <w:r w:rsidRPr="00AD4071">
              <w:rPr>
                <w:color w:val="000000"/>
              </w:rPr>
              <w:t xml:space="preserve">. Alerted occupants - detector in room of origin; </w:t>
            </w:r>
            <w:r w:rsidRPr="00AD4071">
              <w:rPr>
                <w:b/>
                <w:color w:val="000000"/>
              </w:rPr>
              <w:t>C</w:t>
            </w:r>
            <w:r w:rsidRPr="00AD4071">
              <w:rPr>
                <w:color w:val="000000"/>
              </w:rPr>
              <w:t xml:space="preserve">. Alerted neighbour/passer-by - detector in room of origin; </w:t>
            </w:r>
            <w:r w:rsidRPr="00AD4071">
              <w:rPr>
                <w:b/>
                <w:color w:val="000000"/>
              </w:rPr>
              <w:t>D</w:t>
            </w:r>
            <w:r w:rsidRPr="00AD4071">
              <w:rPr>
                <w:color w:val="000000"/>
              </w:rPr>
              <w:t xml:space="preserve">. Fire too small to activate detector - detector in room of origin; </w:t>
            </w:r>
            <w:r w:rsidRPr="00AD4071">
              <w:rPr>
                <w:b/>
                <w:color w:val="000000"/>
              </w:rPr>
              <w:t>E</w:t>
            </w:r>
            <w:r w:rsidRPr="00AD4071">
              <w:rPr>
                <w:color w:val="000000"/>
              </w:rPr>
              <w:t xml:space="preserve">. Detector in Room operated and was effective; </w:t>
            </w:r>
            <w:r w:rsidRPr="00AD4071">
              <w:rPr>
                <w:b/>
                <w:color w:val="000000"/>
              </w:rPr>
              <w:t>F</w:t>
            </w:r>
            <w:r w:rsidRPr="00AD4071">
              <w:rPr>
                <w:color w:val="000000"/>
              </w:rPr>
              <w:t xml:space="preserve">. Did not operate - detector in room of origin; </w:t>
            </w:r>
            <w:r w:rsidRPr="00AD4071">
              <w:rPr>
                <w:b/>
                <w:color w:val="000000"/>
              </w:rPr>
              <w:t>G</w:t>
            </w:r>
            <w:r w:rsidRPr="00AD4071">
              <w:rPr>
                <w:color w:val="000000"/>
              </w:rPr>
              <w:t xml:space="preserve">. Detector in room of origin - not classified above; </w:t>
            </w:r>
            <w:r w:rsidRPr="00AD4071">
              <w:rPr>
                <w:b/>
                <w:color w:val="000000"/>
              </w:rPr>
              <w:t>H</w:t>
            </w:r>
            <w:r w:rsidRPr="00AD4071">
              <w:rPr>
                <w:color w:val="000000"/>
              </w:rPr>
              <w:t xml:space="preserve">. Alerted occupants - detector not in room of origin; </w:t>
            </w:r>
            <w:r w:rsidRPr="00AD4071">
              <w:rPr>
                <w:b/>
                <w:color w:val="000000"/>
              </w:rPr>
              <w:t>I</w:t>
            </w:r>
            <w:r w:rsidRPr="00AD4071">
              <w:rPr>
                <w:color w:val="000000"/>
              </w:rPr>
              <w:t xml:space="preserve">. Alerted neighbour/passer-by - detector not in room of origin; </w:t>
            </w:r>
            <w:r w:rsidRPr="00AD4071">
              <w:rPr>
                <w:b/>
                <w:color w:val="000000"/>
              </w:rPr>
              <w:t>J</w:t>
            </w:r>
            <w:r w:rsidRPr="00AD4071">
              <w:rPr>
                <w:color w:val="000000"/>
              </w:rPr>
              <w:t>. D</w:t>
            </w:r>
            <w:r>
              <w:rPr>
                <w:color w:val="000000"/>
              </w:rPr>
              <w:t>etector Not in Room operated and was effective</w:t>
            </w:r>
            <w:r w:rsidRPr="00AD4071">
              <w:rPr>
                <w:color w:val="000000"/>
              </w:rPr>
              <w:t xml:space="preserve">; </w:t>
            </w:r>
            <w:r w:rsidRPr="00AD4071">
              <w:rPr>
                <w:b/>
                <w:color w:val="000000"/>
              </w:rPr>
              <w:t>K</w:t>
            </w:r>
            <w:r w:rsidRPr="00AD4071">
              <w:rPr>
                <w:color w:val="000000"/>
              </w:rPr>
              <w:t xml:space="preserve">. Did not operate - detector not in room of origin; </w:t>
            </w:r>
            <w:r w:rsidRPr="00AD4071">
              <w:rPr>
                <w:b/>
                <w:color w:val="000000"/>
              </w:rPr>
              <w:t>L</w:t>
            </w:r>
            <w:r w:rsidRPr="00AD4071">
              <w:rPr>
                <w:color w:val="000000"/>
              </w:rPr>
              <w:t xml:space="preserve">. Detector not in room of origin - not classified above; </w:t>
            </w:r>
            <w:r w:rsidRPr="00AD4071">
              <w:rPr>
                <w:b/>
                <w:color w:val="000000"/>
              </w:rPr>
              <w:t>M</w:t>
            </w:r>
            <w:r w:rsidRPr="00AD4071">
              <w:rPr>
                <w:color w:val="000000"/>
              </w:rPr>
              <w:t xml:space="preserve">. Detector operated, but was not a factor in discovery of fire; </w:t>
            </w:r>
            <w:r w:rsidRPr="00AD4071">
              <w:rPr>
                <w:b/>
                <w:color w:val="000000"/>
              </w:rPr>
              <w:t>N</w:t>
            </w:r>
            <w:r w:rsidRPr="00AD4071">
              <w:rPr>
                <w:color w:val="000000"/>
              </w:rPr>
              <w:t xml:space="preserve">. Detector operated, but occupants failed to respond; </w:t>
            </w:r>
            <w:r w:rsidRPr="00AD4071">
              <w:rPr>
                <w:b/>
                <w:color w:val="000000"/>
              </w:rPr>
              <w:t>O</w:t>
            </w:r>
            <w:r w:rsidRPr="00AD4071">
              <w:rPr>
                <w:color w:val="000000"/>
              </w:rPr>
              <w:t xml:space="preserve">. Detector operated - not classified above; </w:t>
            </w:r>
            <w:r w:rsidRPr="00AD4071">
              <w:rPr>
                <w:b/>
                <w:color w:val="000000"/>
              </w:rPr>
              <w:t>P</w:t>
            </w:r>
            <w:r w:rsidRPr="00AD4071">
              <w:rPr>
                <w:color w:val="000000"/>
              </w:rPr>
              <w:t>. Unable to classify</w:t>
            </w:r>
          </w:p>
        </w:tc>
      </w:tr>
      <w:tr w:rsidR="00941C02" w14:paraId="129D1799" w14:textId="77777777" w:rsidTr="009164AB">
        <w:tc>
          <w:tcPr>
            <w:tcW w:w="4893" w:type="dxa"/>
          </w:tcPr>
          <w:p w14:paraId="2023A5D1" w14:textId="67529762" w:rsidR="00941C02" w:rsidRPr="00AB37C1" w:rsidRDefault="00941C02" w:rsidP="00ED2E82">
            <w:pPr>
              <w:rPr>
                <w:rFonts w:eastAsia="Times New Roman"/>
                <w:color w:val="000000"/>
                <w:lang w:eastAsia="en-GB"/>
              </w:rPr>
            </w:pPr>
            <w:r>
              <w:rPr>
                <w:rFonts w:eastAsia="Times New Roman"/>
                <w:color w:val="000000"/>
                <w:lang w:eastAsia="en-GB"/>
              </w:rPr>
              <w:t xml:space="preserve">Figure </w:t>
            </w:r>
            <w:r w:rsidR="00E93BB1">
              <w:rPr>
                <w:rFonts w:eastAsia="Times New Roman"/>
                <w:color w:val="000000"/>
                <w:lang w:eastAsia="en-GB"/>
              </w:rPr>
              <w:t>5</w:t>
            </w:r>
            <w:r>
              <w:rPr>
                <w:rFonts w:eastAsia="Times New Roman"/>
                <w:color w:val="000000"/>
                <w:lang w:eastAsia="en-GB"/>
              </w:rPr>
              <w:t>. Detector operation in a) UK, b)</w:t>
            </w:r>
            <w:r w:rsidR="006001FC">
              <w:rPr>
                <w:rFonts w:eastAsia="Times New Roman"/>
                <w:color w:val="000000"/>
                <w:lang w:eastAsia="en-GB"/>
              </w:rPr>
              <w:t xml:space="preserve"> </w:t>
            </w:r>
            <w:r>
              <w:rPr>
                <w:rFonts w:eastAsia="Times New Roman"/>
                <w:color w:val="000000"/>
                <w:lang w:eastAsia="en-GB"/>
              </w:rPr>
              <w:t>USA and c) NZ in 2014/2015</w:t>
            </w:r>
          </w:p>
        </w:tc>
      </w:tr>
    </w:tbl>
    <w:p w14:paraId="02AE4C50" w14:textId="16EA9930" w:rsidR="00941C02" w:rsidRDefault="00941C02" w:rsidP="00941C02">
      <w:pPr>
        <w:rPr>
          <w:sz w:val="24"/>
          <w:szCs w:val="24"/>
        </w:rPr>
      </w:pPr>
      <w:r>
        <w:rPr>
          <w:sz w:val="24"/>
          <w:szCs w:val="24"/>
        </w:rPr>
        <w:lastRenderedPageBreak/>
        <w:t xml:space="preserve">In USA, almost 60% of detectors operated (B) and only the 10.3% failed to operate (C) while in the 14.5% fires were too small to activate detectors (A) and there is 16.1% of undetermined operation (D) (Figure </w:t>
      </w:r>
      <w:r w:rsidR="00E93BB1">
        <w:rPr>
          <w:sz w:val="24"/>
          <w:szCs w:val="24"/>
        </w:rPr>
        <w:t>5</w:t>
      </w:r>
      <w:r>
        <w:rPr>
          <w:sz w:val="24"/>
          <w:szCs w:val="24"/>
        </w:rPr>
        <w:t xml:space="preserve">b). Classes related to detector operation in the New Zealand Fire Statistics never reach more than the 10%, as </w:t>
      </w:r>
      <w:r w:rsidR="009C7D0C">
        <w:rPr>
          <w:sz w:val="24"/>
          <w:szCs w:val="24"/>
        </w:rPr>
        <w:t>56.7</w:t>
      </w:r>
      <w:r>
        <w:rPr>
          <w:sz w:val="24"/>
          <w:szCs w:val="24"/>
        </w:rPr>
        <w:t xml:space="preserve">% of detector operation data </w:t>
      </w:r>
      <w:proofErr w:type="gramStart"/>
      <w:r>
        <w:rPr>
          <w:sz w:val="24"/>
          <w:szCs w:val="24"/>
        </w:rPr>
        <w:t>was not recorded</w:t>
      </w:r>
      <w:proofErr w:type="gramEnd"/>
      <w:r>
        <w:rPr>
          <w:sz w:val="24"/>
          <w:szCs w:val="24"/>
        </w:rPr>
        <w:t xml:space="preserve">. </w:t>
      </w:r>
      <w:r w:rsidR="009C7D0C">
        <w:rPr>
          <w:sz w:val="24"/>
          <w:szCs w:val="24"/>
        </w:rPr>
        <w:t xml:space="preserve">However, 8.4% detector was in room of origin and alerted occupants (B), 6.7% system operated and was effective and 6.6% detector was not in the room of origin and did not operate (K) </w:t>
      </w:r>
      <w:r w:rsidRPr="006207CB">
        <w:rPr>
          <w:sz w:val="24"/>
          <w:szCs w:val="24"/>
        </w:rPr>
        <w:t xml:space="preserve">(Figure </w:t>
      </w:r>
      <w:r w:rsidR="00E93BB1">
        <w:rPr>
          <w:sz w:val="24"/>
          <w:szCs w:val="24"/>
        </w:rPr>
        <w:t>5</w:t>
      </w:r>
      <w:r w:rsidRPr="006207CB">
        <w:rPr>
          <w:sz w:val="24"/>
          <w:szCs w:val="24"/>
        </w:rPr>
        <w:t>c).</w:t>
      </w:r>
      <w:r w:rsidR="008F571A">
        <w:rPr>
          <w:sz w:val="24"/>
          <w:szCs w:val="24"/>
        </w:rPr>
        <w:t xml:space="preserve"> Grouping now the detector operation and not operation classes and neglecting data not recorded or occupant responses, respectively in the three different countries, USA presents 59.1% in which detector operated and 24.8% in which detector did not operate, UK has a percentage of 47.5%-17.5% and New Zealand of 30.1%-10.1%</w:t>
      </w:r>
      <w:r w:rsidR="00EF5DF5">
        <w:rPr>
          <w:sz w:val="24"/>
          <w:szCs w:val="24"/>
        </w:rPr>
        <w:t xml:space="preserve"> (note that 56.7% of unreported data)</w:t>
      </w:r>
      <w:r w:rsidR="008F571A">
        <w:rPr>
          <w:sz w:val="24"/>
          <w:szCs w:val="24"/>
        </w:rPr>
        <w:t>.</w:t>
      </w:r>
    </w:p>
    <w:p w14:paraId="1826D1E9" w14:textId="1A5F5141" w:rsidR="00CE77DB" w:rsidRDefault="00CE77DB" w:rsidP="00941C02">
      <w:pPr>
        <w:rPr>
          <w:sz w:val="24"/>
          <w:szCs w:val="24"/>
        </w:rPr>
      </w:pPr>
      <w:r>
        <w:rPr>
          <w:sz w:val="24"/>
          <w:szCs w:val="24"/>
        </w:rPr>
        <w:t xml:space="preserve">As can be seen in Figure </w:t>
      </w:r>
      <w:r w:rsidR="00E93BB1">
        <w:rPr>
          <w:sz w:val="24"/>
          <w:szCs w:val="24"/>
        </w:rPr>
        <w:t>6</w:t>
      </w:r>
      <w:r>
        <w:rPr>
          <w:sz w:val="24"/>
          <w:szCs w:val="24"/>
        </w:rPr>
        <w:t xml:space="preserve">a, in UK detector failures have been divided for dwellings – battery powered, dwellings – mains powered and other buildings and for the three classes the highest percentages (44%, 47.7% and 47.5% respectively) are obtained when the cause of failure is due to fire products which did not reach detectors (D). Another major cause </w:t>
      </w:r>
      <w:proofErr w:type="gramStart"/>
      <w:r>
        <w:rPr>
          <w:sz w:val="24"/>
          <w:szCs w:val="24"/>
        </w:rPr>
        <w:t>can be seen</w:t>
      </w:r>
      <w:proofErr w:type="gramEnd"/>
      <w:r>
        <w:rPr>
          <w:sz w:val="24"/>
          <w:szCs w:val="24"/>
        </w:rPr>
        <w:t xml:space="preserve"> in a poor setting of detectors (E) and this is confirmed by the following values: 11.7% dwellings–battery powered, 13.8% dwellings–mains powered and 12.8% in other buildings. Unfortunately, these percentages are not obtained by the analysis shown in this paper but are directly provided by the IRS without the related totals or number of incidents. In NFIRS database, the main reasons for detector failures </w:t>
      </w:r>
      <w:proofErr w:type="gramStart"/>
      <w:r>
        <w:rPr>
          <w:sz w:val="24"/>
          <w:szCs w:val="24"/>
        </w:rPr>
        <w:t>are given</w:t>
      </w:r>
      <w:proofErr w:type="gramEnd"/>
      <w:r>
        <w:rPr>
          <w:sz w:val="24"/>
          <w:szCs w:val="24"/>
        </w:rPr>
        <w:t xml:space="preserve"> by battery missing or disconnected (25.1%, E) and by battery discharged or dead (14.3%, F). Moreover, not negligible are the undetermined failures, which </w:t>
      </w:r>
      <w:proofErr w:type="gramStart"/>
      <w:r>
        <w:rPr>
          <w:sz w:val="24"/>
          <w:szCs w:val="24"/>
        </w:rPr>
        <w:t>are represented</w:t>
      </w:r>
      <w:proofErr w:type="gramEnd"/>
      <w:r>
        <w:rPr>
          <w:sz w:val="24"/>
          <w:szCs w:val="24"/>
        </w:rPr>
        <w:t xml:space="preserve"> by the 42.3% (Figure </w:t>
      </w:r>
      <w:r w:rsidR="00E93BB1">
        <w:rPr>
          <w:sz w:val="24"/>
          <w:szCs w:val="24"/>
        </w:rPr>
        <w:t>6</w:t>
      </w:r>
      <w:r>
        <w:rPr>
          <w:sz w:val="24"/>
          <w:szCs w:val="24"/>
        </w:rPr>
        <w:t>b). Not recorded data for New Zealand detector failure are more than 80% and the major failure is given by d</w:t>
      </w:r>
      <w:r w:rsidRPr="003C426B">
        <w:rPr>
          <w:sz w:val="24"/>
          <w:szCs w:val="24"/>
        </w:rPr>
        <w:t>efective discharge head or outlet</w:t>
      </w:r>
      <w:r>
        <w:rPr>
          <w:sz w:val="24"/>
          <w:szCs w:val="24"/>
        </w:rPr>
        <w:t xml:space="preserve"> with the 5.1% (D) but this consideration appears too general in the light of the lack of data presents for this particular aspect in this database (Figure </w:t>
      </w:r>
      <w:r w:rsidR="00E93BB1">
        <w:rPr>
          <w:sz w:val="24"/>
          <w:szCs w:val="24"/>
        </w:rPr>
        <w:t>6</w:t>
      </w:r>
      <w:r>
        <w:rPr>
          <w:sz w:val="24"/>
          <w:szCs w:val="24"/>
        </w:rPr>
        <w:t>c).</w:t>
      </w:r>
    </w:p>
    <w:p w14:paraId="5D92BDEE" w14:textId="038C7FBD" w:rsidR="00DA0272" w:rsidRPr="00770A7C" w:rsidRDefault="00DA0272" w:rsidP="00941C02">
      <w:pPr>
        <w:rPr>
          <w:sz w:val="24"/>
          <w:szCs w:val="24"/>
        </w:rPr>
      </w:pPr>
      <w:r>
        <w:rPr>
          <w:sz w:val="24"/>
          <w:szCs w:val="24"/>
        </w:rPr>
        <w:t xml:space="preserve">One of the difference between the NFIRS and the other databases, is that for USA there are also information related to automatic extinguish system but since extinguish systems appear not to be present for the 83.6% of cases, further investigation will be left to a new collection of data.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1A519A42" w14:textId="77777777" w:rsidTr="00ED2E82">
        <w:tc>
          <w:tcPr>
            <w:tcW w:w="4903" w:type="dxa"/>
          </w:tcPr>
          <w:p w14:paraId="73B24D6F" w14:textId="77777777" w:rsidR="00941C02" w:rsidRDefault="00941C02" w:rsidP="00ED2E82">
            <w:pPr>
              <w:jc w:val="center"/>
              <w:rPr>
                <w:sz w:val="24"/>
                <w:szCs w:val="24"/>
              </w:rPr>
            </w:pPr>
            <w:r w:rsidRPr="007D091E">
              <w:rPr>
                <w:noProof/>
                <w:sz w:val="16"/>
                <w:lang w:eastAsia="en-GB"/>
              </w:rPr>
              <w:drawing>
                <wp:anchor distT="0" distB="0" distL="114300" distR="114300" simplePos="0" relativeHeight="251669504" behindDoc="0" locked="0" layoutInCell="1" allowOverlap="1" wp14:anchorId="71918F5D" wp14:editId="2C419A3C">
                  <wp:simplePos x="0" y="0"/>
                  <wp:positionH relativeFrom="column">
                    <wp:posOffset>-68580</wp:posOffset>
                  </wp:positionH>
                  <wp:positionV relativeFrom="paragraph">
                    <wp:posOffset>22860</wp:posOffset>
                  </wp:positionV>
                  <wp:extent cx="3116580" cy="1260000"/>
                  <wp:effectExtent l="0" t="0" r="762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7D091E">
              <w:rPr>
                <w:noProof/>
                <w:sz w:val="16"/>
                <w:lang w:eastAsia="en-GB"/>
              </w:rPr>
              <w:drawing>
                <wp:anchor distT="0" distB="0" distL="114300" distR="114300" simplePos="0" relativeHeight="251668480" behindDoc="0" locked="0" layoutInCell="1" allowOverlap="1" wp14:anchorId="44550C9F" wp14:editId="0DD217B1">
                  <wp:simplePos x="0" y="0"/>
                  <wp:positionH relativeFrom="column">
                    <wp:posOffset>-65405</wp:posOffset>
                  </wp:positionH>
                  <wp:positionV relativeFrom="paragraph">
                    <wp:posOffset>179070</wp:posOffset>
                  </wp:positionV>
                  <wp:extent cx="3113405" cy="0"/>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7D091E">
              <w:rPr>
                <w:szCs w:val="24"/>
              </w:rPr>
              <w:t>(a)</w:t>
            </w:r>
          </w:p>
        </w:tc>
      </w:tr>
      <w:tr w:rsidR="00941C02" w14:paraId="1D3BA4E6" w14:textId="77777777" w:rsidTr="00ED2E82">
        <w:tc>
          <w:tcPr>
            <w:tcW w:w="4903" w:type="dxa"/>
          </w:tcPr>
          <w:p w14:paraId="479794FE" w14:textId="77777777" w:rsidR="00941C02" w:rsidRPr="00850A8F" w:rsidRDefault="00941C02" w:rsidP="00ED2E82">
            <w:pPr>
              <w:rPr>
                <w:sz w:val="22"/>
                <w:szCs w:val="24"/>
              </w:rPr>
            </w:pPr>
            <w:r w:rsidRPr="00850A8F">
              <w:rPr>
                <w:rFonts w:eastAsia="Times New Roman"/>
                <w:b/>
                <w:color w:val="000000"/>
                <w:szCs w:val="22"/>
                <w:lang w:eastAsia="en-GB"/>
              </w:rPr>
              <w:t>A</w:t>
            </w:r>
            <w:r>
              <w:rPr>
                <w:rFonts w:eastAsia="Times New Roman"/>
                <w:color w:val="000000"/>
                <w:szCs w:val="22"/>
                <w:lang w:eastAsia="en-GB"/>
              </w:rPr>
              <w:t xml:space="preserve">. </w:t>
            </w:r>
            <w:r w:rsidRPr="00850A8F">
              <w:rPr>
                <w:rFonts w:eastAsia="Times New Roman"/>
                <w:color w:val="000000"/>
                <w:szCs w:val="22"/>
                <w:lang w:eastAsia="en-GB"/>
              </w:rPr>
              <w:t xml:space="preserve">Missing Battery; </w:t>
            </w:r>
            <w:r w:rsidRPr="00850A8F">
              <w:rPr>
                <w:rFonts w:eastAsia="Times New Roman"/>
                <w:b/>
                <w:color w:val="000000"/>
                <w:szCs w:val="22"/>
                <w:lang w:eastAsia="en-GB"/>
              </w:rPr>
              <w:t>B</w:t>
            </w:r>
            <w:r w:rsidRPr="00850A8F">
              <w:rPr>
                <w:rFonts w:eastAsia="Times New Roman"/>
                <w:color w:val="000000"/>
                <w:szCs w:val="22"/>
                <w:lang w:eastAsia="en-GB"/>
              </w:rPr>
              <w:t xml:space="preserve">. Battery failure/flat; </w:t>
            </w:r>
            <w:r w:rsidRPr="00850A8F">
              <w:rPr>
                <w:rFonts w:eastAsia="Times New Roman"/>
                <w:b/>
                <w:color w:val="000000"/>
                <w:szCs w:val="22"/>
                <w:lang w:eastAsia="en-GB"/>
              </w:rPr>
              <w:t>C</w:t>
            </w:r>
            <w:r w:rsidRPr="00850A8F">
              <w:rPr>
                <w:rFonts w:eastAsia="Times New Roman"/>
                <w:color w:val="000000"/>
                <w:szCs w:val="22"/>
                <w:lang w:eastAsia="en-GB"/>
              </w:rPr>
              <w:t xml:space="preserve">. Other act preventing alarm from operating; </w:t>
            </w:r>
            <w:r w:rsidRPr="00850A8F">
              <w:rPr>
                <w:rFonts w:eastAsia="Times New Roman"/>
                <w:b/>
                <w:color w:val="000000"/>
                <w:szCs w:val="22"/>
                <w:lang w:eastAsia="en-GB"/>
              </w:rPr>
              <w:t>D</w:t>
            </w:r>
            <w:r w:rsidRPr="00850A8F">
              <w:rPr>
                <w:rFonts w:eastAsia="Times New Roman"/>
                <w:color w:val="000000"/>
                <w:szCs w:val="22"/>
                <w:lang w:eastAsia="en-GB"/>
              </w:rPr>
              <w:t xml:space="preserve">. Fire products did not reach detector(s); </w:t>
            </w:r>
            <w:r w:rsidRPr="00850A8F">
              <w:rPr>
                <w:rFonts w:eastAsia="Times New Roman"/>
                <w:b/>
                <w:color w:val="000000"/>
                <w:szCs w:val="22"/>
                <w:lang w:eastAsia="en-GB"/>
              </w:rPr>
              <w:t>E</w:t>
            </w:r>
            <w:r w:rsidRPr="00850A8F">
              <w:rPr>
                <w:rFonts w:eastAsia="Times New Roman"/>
                <w:color w:val="000000"/>
                <w:szCs w:val="22"/>
                <w:lang w:eastAsia="en-GB"/>
              </w:rPr>
              <w:t xml:space="preserve">. Poor sitting of detector(s); </w:t>
            </w:r>
            <w:r w:rsidRPr="00850A8F">
              <w:rPr>
                <w:rFonts w:eastAsia="Times New Roman"/>
                <w:b/>
                <w:color w:val="000000"/>
                <w:szCs w:val="22"/>
                <w:lang w:eastAsia="en-GB"/>
              </w:rPr>
              <w:t>F</w:t>
            </w:r>
            <w:r w:rsidRPr="00850A8F">
              <w:rPr>
                <w:rFonts w:eastAsia="Times New Roman"/>
                <w:color w:val="000000"/>
                <w:szCs w:val="22"/>
                <w:lang w:eastAsia="en-GB"/>
              </w:rPr>
              <w:t xml:space="preserve">. Faulty system / incorrectly installed; </w:t>
            </w:r>
            <w:r w:rsidRPr="00850A8F">
              <w:rPr>
                <w:rFonts w:eastAsia="Times New Roman"/>
                <w:b/>
                <w:color w:val="000000"/>
                <w:szCs w:val="22"/>
                <w:lang w:eastAsia="en-GB"/>
              </w:rPr>
              <w:t>G</w:t>
            </w:r>
            <w:r w:rsidRPr="00850A8F">
              <w:rPr>
                <w:rFonts w:eastAsia="Times New Roman"/>
                <w:color w:val="000000"/>
                <w:szCs w:val="22"/>
                <w:lang w:eastAsia="en-GB"/>
              </w:rPr>
              <w:t>. Other</w:t>
            </w:r>
          </w:p>
        </w:tc>
      </w:tr>
      <w:tr w:rsidR="00941C02" w14:paraId="5609CA17" w14:textId="77777777" w:rsidTr="00ED2E82">
        <w:tc>
          <w:tcPr>
            <w:tcW w:w="4903" w:type="dxa"/>
          </w:tcPr>
          <w:p w14:paraId="1431D01E" w14:textId="77777777" w:rsidR="00941C02" w:rsidRPr="00792A14" w:rsidRDefault="00941C02" w:rsidP="00ED2E82">
            <w:pPr>
              <w:jc w:val="center"/>
            </w:pPr>
            <w:r w:rsidRPr="00A91455">
              <w:rPr>
                <w:noProof/>
                <w:sz w:val="16"/>
                <w:lang w:eastAsia="en-GB"/>
              </w:rPr>
              <w:drawing>
                <wp:anchor distT="0" distB="0" distL="114300" distR="114300" simplePos="0" relativeHeight="251670528" behindDoc="0" locked="0" layoutInCell="1" allowOverlap="1" wp14:anchorId="4FE3924E" wp14:editId="6A592BF1">
                  <wp:simplePos x="0" y="0"/>
                  <wp:positionH relativeFrom="column">
                    <wp:posOffset>-68580</wp:posOffset>
                  </wp:positionH>
                  <wp:positionV relativeFrom="paragraph">
                    <wp:posOffset>31115</wp:posOffset>
                  </wp:positionV>
                  <wp:extent cx="2984500" cy="1260000"/>
                  <wp:effectExtent l="0" t="0" r="635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A91455">
              <w:rPr>
                <w:szCs w:val="24"/>
              </w:rPr>
              <w:t>(b)</w:t>
            </w:r>
          </w:p>
        </w:tc>
      </w:tr>
      <w:tr w:rsidR="00941C02" w14:paraId="5BF3A4FC" w14:textId="77777777" w:rsidTr="00ED2E82">
        <w:tc>
          <w:tcPr>
            <w:tcW w:w="4903" w:type="dxa"/>
          </w:tcPr>
          <w:p w14:paraId="509AC13A" w14:textId="77777777" w:rsidR="00941C02" w:rsidRPr="00A91455" w:rsidRDefault="00941C02" w:rsidP="00ED2E82">
            <w:pPr>
              <w:rPr>
                <w:rFonts w:eastAsia="Times New Roman"/>
                <w:color w:val="000000"/>
                <w:lang w:eastAsia="en-GB"/>
              </w:rPr>
            </w:pPr>
            <w:r w:rsidRPr="00A91455">
              <w:rPr>
                <w:rFonts w:eastAsia="Times New Roman"/>
                <w:b/>
                <w:color w:val="000000"/>
                <w:lang w:eastAsia="en-GB"/>
              </w:rPr>
              <w:t>A</w:t>
            </w:r>
            <w:r w:rsidRPr="00A91455">
              <w:rPr>
                <w:rFonts w:eastAsia="Times New Roman"/>
                <w:color w:val="000000"/>
                <w:lang w:eastAsia="en-GB"/>
              </w:rPr>
              <w:t xml:space="preserve">. </w:t>
            </w:r>
            <w:r w:rsidRPr="00792A14">
              <w:rPr>
                <w:rFonts w:eastAsia="Times New Roman"/>
                <w:color w:val="000000"/>
                <w:lang w:eastAsia="en-GB"/>
              </w:rPr>
              <w:t>Power failure or hardwired detector shut off or disconnected</w:t>
            </w:r>
            <w:r w:rsidRPr="00A91455">
              <w:rPr>
                <w:rFonts w:eastAsia="Times New Roman"/>
                <w:color w:val="000000"/>
                <w:lang w:eastAsia="en-GB"/>
              </w:rPr>
              <w:t xml:space="preserve">; </w:t>
            </w:r>
            <w:r w:rsidRPr="00A91455">
              <w:rPr>
                <w:rFonts w:eastAsia="Times New Roman"/>
                <w:b/>
                <w:color w:val="000000"/>
                <w:lang w:eastAsia="en-GB"/>
              </w:rPr>
              <w:t>B</w:t>
            </w:r>
            <w:r w:rsidRPr="00A91455">
              <w:rPr>
                <w:rFonts w:eastAsia="Times New Roman"/>
                <w:color w:val="000000"/>
                <w:lang w:eastAsia="en-GB"/>
              </w:rPr>
              <w:t xml:space="preserve">. </w:t>
            </w:r>
            <w:r w:rsidRPr="00792A14">
              <w:rPr>
                <w:rFonts w:eastAsia="Times New Roman"/>
                <w:color w:val="000000"/>
                <w:lang w:eastAsia="en-GB"/>
              </w:rPr>
              <w:t>Improper installation or placement of detector</w:t>
            </w:r>
            <w:r w:rsidRPr="00A91455">
              <w:rPr>
                <w:rFonts w:eastAsia="Times New Roman"/>
                <w:color w:val="000000"/>
                <w:lang w:eastAsia="en-GB"/>
              </w:rPr>
              <w:t xml:space="preserve">; </w:t>
            </w:r>
            <w:r w:rsidRPr="00A91455">
              <w:rPr>
                <w:rFonts w:eastAsia="Times New Roman"/>
                <w:b/>
                <w:color w:val="000000"/>
                <w:lang w:eastAsia="en-GB"/>
              </w:rPr>
              <w:t>C</w:t>
            </w:r>
            <w:r w:rsidRPr="00A91455">
              <w:rPr>
                <w:rFonts w:eastAsia="Times New Roman"/>
                <w:color w:val="000000"/>
                <w:lang w:eastAsia="en-GB"/>
              </w:rPr>
              <w:t xml:space="preserve">. </w:t>
            </w:r>
            <w:r w:rsidRPr="00792A14">
              <w:rPr>
                <w:rFonts w:eastAsia="Times New Roman"/>
                <w:color w:val="000000"/>
                <w:lang w:eastAsia="en-GB"/>
              </w:rPr>
              <w:t>Defective detector</w:t>
            </w:r>
            <w:r w:rsidRPr="00A91455">
              <w:rPr>
                <w:rFonts w:eastAsia="Times New Roman"/>
                <w:color w:val="000000"/>
                <w:lang w:eastAsia="en-GB"/>
              </w:rPr>
              <w:t xml:space="preserve">; </w:t>
            </w:r>
            <w:r w:rsidRPr="00A91455">
              <w:rPr>
                <w:rFonts w:eastAsia="Times New Roman"/>
                <w:b/>
                <w:color w:val="000000"/>
                <w:lang w:eastAsia="en-GB"/>
              </w:rPr>
              <w:t>D</w:t>
            </w:r>
            <w:r w:rsidRPr="00A91455">
              <w:rPr>
                <w:rFonts w:eastAsia="Times New Roman"/>
                <w:color w:val="000000"/>
                <w:lang w:eastAsia="en-GB"/>
              </w:rPr>
              <w:t xml:space="preserve">. </w:t>
            </w:r>
            <w:r w:rsidRPr="00792A14">
              <w:rPr>
                <w:rFonts w:eastAsia="Times New Roman"/>
                <w:color w:val="000000"/>
                <w:lang w:eastAsia="en-GB"/>
              </w:rPr>
              <w:t>Lack of maintenance. Includes not cleaning</w:t>
            </w:r>
            <w:r w:rsidRPr="00A91455">
              <w:rPr>
                <w:rFonts w:eastAsia="Times New Roman"/>
                <w:color w:val="000000"/>
                <w:lang w:eastAsia="en-GB"/>
              </w:rPr>
              <w:t xml:space="preserve">; </w:t>
            </w:r>
            <w:r w:rsidRPr="00A91455">
              <w:rPr>
                <w:rFonts w:eastAsia="Times New Roman"/>
                <w:b/>
                <w:color w:val="000000"/>
                <w:lang w:eastAsia="en-GB"/>
              </w:rPr>
              <w:t>E</w:t>
            </w:r>
            <w:r w:rsidRPr="00A91455">
              <w:rPr>
                <w:rFonts w:eastAsia="Times New Roman"/>
                <w:color w:val="000000"/>
                <w:lang w:eastAsia="en-GB"/>
              </w:rPr>
              <w:t xml:space="preserve">. </w:t>
            </w:r>
            <w:r w:rsidRPr="00792A14">
              <w:rPr>
                <w:rFonts w:eastAsia="Times New Roman"/>
                <w:color w:val="000000"/>
                <w:lang w:eastAsia="en-GB"/>
              </w:rPr>
              <w:t>Battery missing or disconnected</w:t>
            </w:r>
            <w:r w:rsidRPr="00A91455">
              <w:rPr>
                <w:rFonts w:eastAsia="Times New Roman"/>
                <w:color w:val="000000"/>
                <w:lang w:eastAsia="en-GB"/>
              </w:rPr>
              <w:t xml:space="preserve">; </w:t>
            </w:r>
            <w:r w:rsidRPr="00A91455">
              <w:rPr>
                <w:rFonts w:eastAsia="Times New Roman"/>
                <w:b/>
                <w:color w:val="000000"/>
                <w:lang w:eastAsia="en-GB"/>
              </w:rPr>
              <w:t>F</w:t>
            </w:r>
            <w:r w:rsidRPr="00A91455">
              <w:rPr>
                <w:rFonts w:eastAsia="Times New Roman"/>
                <w:color w:val="000000"/>
                <w:lang w:eastAsia="en-GB"/>
              </w:rPr>
              <w:t xml:space="preserve">. </w:t>
            </w:r>
            <w:r w:rsidRPr="00792A14">
              <w:rPr>
                <w:rFonts w:eastAsia="Times New Roman"/>
                <w:color w:val="000000"/>
                <w:lang w:eastAsia="en-GB"/>
              </w:rPr>
              <w:t>Battery discharged or dead</w:t>
            </w:r>
            <w:r w:rsidRPr="00A91455">
              <w:rPr>
                <w:rFonts w:eastAsia="Times New Roman"/>
                <w:color w:val="000000"/>
                <w:lang w:eastAsia="en-GB"/>
              </w:rPr>
              <w:t xml:space="preserve">; </w:t>
            </w:r>
            <w:r w:rsidRPr="00A91455">
              <w:rPr>
                <w:rFonts w:eastAsia="Times New Roman"/>
                <w:b/>
                <w:color w:val="000000"/>
                <w:lang w:eastAsia="en-GB"/>
              </w:rPr>
              <w:t>G</w:t>
            </w:r>
            <w:r w:rsidRPr="00A91455">
              <w:rPr>
                <w:rFonts w:eastAsia="Times New Roman"/>
                <w:color w:val="000000"/>
                <w:lang w:eastAsia="en-GB"/>
              </w:rPr>
              <w:t xml:space="preserve">. </w:t>
            </w:r>
            <w:r w:rsidRPr="00792A14">
              <w:rPr>
                <w:rFonts w:eastAsia="Times New Roman"/>
                <w:color w:val="000000"/>
                <w:lang w:eastAsia="en-GB"/>
              </w:rPr>
              <w:t>Detector failure reason, other</w:t>
            </w:r>
            <w:r w:rsidRPr="00A91455">
              <w:rPr>
                <w:rFonts w:eastAsia="Times New Roman"/>
                <w:color w:val="000000"/>
                <w:lang w:eastAsia="en-GB"/>
              </w:rPr>
              <w:t xml:space="preserve">; </w:t>
            </w:r>
            <w:r w:rsidRPr="00A91455">
              <w:rPr>
                <w:rFonts w:eastAsia="Times New Roman"/>
                <w:b/>
                <w:color w:val="000000"/>
                <w:lang w:eastAsia="en-GB"/>
              </w:rPr>
              <w:t>H</w:t>
            </w:r>
            <w:r w:rsidRPr="00A91455">
              <w:rPr>
                <w:rFonts w:eastAsia="Times New Roman"/>
                <w:color w:val="000000"/>
                <w:lang w:eastAsia="en-GB"/>
              </w:rPr>
              <w:t xml:space="preserve">. </w:t>
            </w:r>
            <w:r w:rsidRPr="00792A14">
              <w:rPr>
                <w:rFonts w:eastAsia="Times New Roman"/>
                <w:color w:val="000000"/>
                <w:lang w:eastAsia="en-GB"/>
              </w:rPr>
              <w:t>Undetermined</w:t>
            </w:r>
          </w:p>
        </w:tc>
      </w:tr>
      <w:tr w:rsidR="00941C02" w14:paraId="72374614" w14:textId="77777777" w:rsidTr="00ED2E82">
        <w:tc>
          <w:tcPr>
            <w:tcW w:w="4903" w:type="dxa"/>
          </w:tcPr>
          <w:p w14:paraId="2D0D4C5D" w14:textId="77777777" w:rsidR="00941C02" w:rsidRPr="00A91455" w:rsidRDefault="00941C02" w:rsidP="00ED2E82">
            <w:pPr>
              <w:jc w:val="center"/>
              <w:rPr>
                <w:rFonts w:eastAsia="Times New Roman"/>
                <w:color w:val="000000"/>
                <w:lang w:eastAsia="en-GB"/>
              </w:rPr>
            </w:pPr>
            <w:r>
              <w:rPr>
                <w:noProof/>
                <w:lang w:eastAsia="en-GB"/>
              </w:rPr>
              <w:drawing>
                <wp:anchor distT="0" distB="0" distL="114300" distR="114300" simplePos="0" relativeHeight="251673600" behindDoc="0" locked="0" layoutInCell="1" allowOverlap="1" wp14:anchorId="40C0A1BA" wp14:editId="7B5BA847">
                  <wp:simplePos x="0" y="0"/>
                  <wp:positionH relativeFrom="column">
                    <wp:posOffset>-68580</wp:posOffset>
                  </wp:positionH>
                  <wp:positionV relativeFrom="paragraph">
                    <wp:posOffset>635</wp:posOffset>
                  </wp:positionV>
                  <wp:extent cx="3113405" cy="1260000"/>
                  <wp:effectExtent l="0" t="0" r="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rFonts w:eastAsia="Times New Roman"/>
                <w:color w:val="000000"/>
                <w:lang w:eastAsia="en-GB"/>
              </w:rPr>
              <w:t xml:space="preserve"> (c)</w:t>
            </w:r>
          </w:p>
        </w:tc>
      </w:tr>
      <w:tr w:rsidR="00941C02" w14:paraId="01EE539C" w14:textId="77777777" w:rsidTr="00ED2E82">
        <w:tc>
          <w:tcPr>
            <w:tcW w:w="4903" w:type="dxa"/>
          </w:tcPr>
          <w:p w14:paraId="4D88533E" w14:textId="77777777" w:rsidR="00941C02" w:rsidRPr="00A91455" w:rsidRDefault="00941C02" w:rsidP="00ED2E82">
            <w:pPr>
              <w:rPr>
                <w:sz w:val="22"/>
                <w:szCs w:val="24"/>
              </w:rPr>
            </w:pPr>
            <w:r w:rsidRPr="00A91455">
              <w:rPr>
                <w:rFonts w:eastAsia="Times New Roman"/>
                <w:b/>
                <w:color w:val="000000"/>
                <w:szCs w:val="22"/>
                <w:lang w:eastAsia="en-GB"/>
              </w:rPr>
              <w:t>A</w:t>
            </w:r>
            <w:r w:rsidRPr="00A91455">
              <w:rPr>
                <w:rFonts w:eastAsia="Times New Roman"/>
                <w:color w:val="000000"/>
                <w:szCs w:val="22"/>
                <w:lang w:eastAsia="en-GB"/>
              </w:rPr>
              <w:t xml:space="preserve">. Battery flat or removed; </w:t>
            </w:r>
            <w:r w:rsidRPr="00A91455">
              <w:rPr>
                <w:rFonts w:eastAsia="Times New Roman"/>
                <w:b/>
                <w:color w:val="000000"/>
                <w:szCs w:val="22"/>
                <w:lang w:eastAsia="en-GB"/>
              </w:rPr>
              <w:t>B</w:t>
            </w:r>
            <w:r w:rsidRPr="00A91455">
              <w:rPr>
                <w:rFonts w:eastAsia="Times New Roman"/>
                <w:color w:val="000000"/>
                <w:szCs w:val="22"/>
                <w:lang w:eastAsia="en-GB"/>
              </w:rPr>
              <w:t xml:space="preserve">. Defective detector; </w:t>
            </w:r>
            <w:r w:rsidRPr="00A91455">
              <w:rPr>
                <w:rFonts w:eastAsia="Times New Roman"/>
                <w:b/>
                <w:color w:val="000000"/>
                <w:szCs w:val="22"/>
                <w:lang w:eastAsia="en-GB"/>
              </w:rPr>
              <w:t>C</w:t>
            </w:r>
            <w:r w:rsidRPr="00A91455">
              <w:rPr>
                <w:rFonts w:eastAsia="Times New Roman"/>
                <w:color w:val="000000"/>
                <w:szCs w:val="22"/>
                <w:lang w:eastAsia="en-GB"/>
              </w:rPr>
              <w:t xml:space="preserve">. Defective discharge head or outlet; </w:t>
            </w:r>
            <w:r w:rsidRPr="00A91455">
              <w:rPr>
                <w:rFonts w:eastAsia="Times New Roman"/>
                <w:b/>
                <w:color w:val="000000"/>
                <w:szCs w:val="22"/>
                <w:lang w:eastAsia="en-GB"/>
              </w:rPr>
              <w:t>D</w:t>
            </w:r>
            <w:r w:rsidRPr="00A91455">
              <w:rPr>
                <w:rFonts w:eastAsia="Times New Roman"/>
                <w:color w:val="000000"/>
                <w:szCs w:val="22"/>
                <w:lang w:eastAsia="en-GB"/>
              </w:rPr>
              <w:t xml:space="preserve">. Detector not in room of origin; </w:t>
            </w:r>
            <w:r w:rsidRPr="00A91455">
              <w:rPr>
                <w:rFonts w:eastAsia="Times New Roman"/>
                <w:b/>
                <w:color w:val="000000"/>
                <w:szCs w:val="22"/>
                <w:lang w:eastAsia="en-GB"/>
              </w:rPr>
              <w:t>E</w:t>
            </w:r>
            <w:r w:rsidRPr="00A91455">
              <w:rPr>
                <w:rFonts w:eastAsia="Times New Roman"/>
                <w:color w:val="000000"/>
                <w:szCs w:val="22"/>
                <w:lang w:eastAsia="en-GB"/>
              </w:rPr>
              <w:t xml:space="preserve">. External Power supply failed; </w:t>
            </w:r>
            <w:r w:rsidRPr="00A91455">
              <w:rPr>
                <w:rFonts w:eastAsia="Times New Roman"/>
                <w:b/>
                <w:color w:val="000000"/>
                <w:szCs w:val="22"/>
                <w:lang w:eastAsia="en-GB"/>
              </w:rPr>
              <w:t>F</w:t>
            </w:r>
            <w:r w:rsidRPr="00A91455">
              <w:rPr>
                <w:rFonts w:eastAsia="Times New Roman"/>
                <w:color w:val="000000"/>
                <w:szCs w:val="22"/>
                <w:lang w:eastAsia="en-GB"/>
              </w:rPr>
              <w:t xml:space="preserve">. Extinguishing agent discharged but did not reach fire; </w:t>
            </w:r>
            <w:r w:rsidRPr="00A91455">
              <w:rPr>
                <w:rFonts w:eastAsia="Times New Roman"/>
                <w:b/>
                <w:color w:val="000000"/>
                <w:szCs w:val="22"/>
                <w:lang w:eastAsia="en-GB"/>
              </w:rPr>
              <w:t>G</w:t>
            </w:r>
            <w:r w:rsidRPr="00A91455">
              <w:rPr>
                <w:rFonts w:eastAsia="Times New Roman"/>
                <w:color w:val="000000"/>
                <w:szCs w:val="22"/>
                <w:lang w:eastAsia="en-GB"/>
              </w:rPr>
              <w:t xml:space="preserve">. Improper installation/Placement of detector; </w:t>
            </w:r>
            <w:r w:rsidRPr="00A91455">
              <w:rPr>
                <w:rFonts w:eastAsia="Times New Roman"/>
                <w:b/>
                <w:color w:val="000000"/>
                <w:szCs w:val="22"/>
                <w:lang w:eastAsia="en-GB"/>
              </w:rPr>
              <w:t>H</w:t>
            </w:r>
            <w:r w:rsidRPr="00A91455">
              <w:rPr>
                <w:rFonts w:eastAsia="Times New Roman"/>
                <w:color w:val="000000"/>
                <w:szCs w:val="22"/>
                <w:lang w:eastAsia="en-GB"/>
              </w:rPr>
              <w:t xml:space="preserve">. Inadequate maintenance; </w:t>
            </w:r>
            <w:r w:rsidRPr="00A91455">
              <w:rPr>
                <w:rFonts w:eastAsia="Times New Roman"/>
                <w:b/>
                <w:color w:val="000000"/>
                <w:szCs w:val="22"/>
                <w:lang w:eastAsia="en-GB"/>
              </w:rPr>
              <w:t>I</w:t>
            </w:r>
            <w:r w:rsidRPr="00A91455">
              <w:rPr>
                <w:rFonts w:eastAsia="Times New Roman"/>
                <w:color w:val="000000"/>
                <w:szCs w:val="22"/>
                <w:lang w:eastAsia="en-GB"/>
              </w:rPr>
              <w:t xml:space="preserve">. No discharge heads/detectors in room or space of fire origin; </w:t>
            </w:r>
            <w:r w:rsidRPr="00A91455">
              <w:rPr>
                <w:rFonts w:eastAsia="Times New Roman"/>
                <w:b/>
                <w:color w:val="000000"/>
                <w:szCs w:val="22"/>
                <w:lang w:eastAsia="en-GB"/>
              </w:rPr>
              <w:t>J</w:t>
            </w:r>
            <w:r w:rsidRPr="00A91455">
              <w:rPr>
                <w:rFonts w:eastAsia="Times New Roman"/>
                <w:color w:val="000000"/>
                <w:szCs w:val="22"/>
                <w:lang w:eastAsia="en-GB"/>
              </w:rPr>
              <w:t xml:space="preserve">. System shut down; </w:t>
            </w:r>
            <w:r w:rsidRPr="00A91455">
              <w:rPr>
                <w:rFonts w:eastAsia="Times New Roman"/>
                <w:b/>
                <w:color w:val="000000"/>
                <w:szCs w:val="22"/>
                <w:lang w:eastAsia="en-GB"/>
              </w:rPr>
              <w:t>K</w:t>
            </w:r>
            <w:r w:rsidRPr="00A91455">
              <w:rPr>
                <w:rFonts w:eastAsia="Times New Roman"/>
                <w:color w:val="000000"/>
                <w:szCs w:val="22"/>
                <w:lang w:eastAsia="en-GB"/>
              </w:rPr>
              <w:t>. System tampered;</w:t>
            </w:r>
            <w:r>
              <w:rPr>
                <w:rFonts w:eastAsia="Times New Roman"/>
                <w:b/>
                <w:color w:val="000000"/>
                <w:szCs w:val="22"/>
                <w:lang w:eastAsia="en-GB"/>
              </w:rPr>
              <w:t xml:space="preserve"> L</w:t>
            </w:r>
            <w:r w:rsidRPr="00A91455">
              <w:rPr>
                <w:rFonts w:eastAsia="Times New Roman"/>
                <w:color w:val="000000"/>
                <w:szCs w:val="22"/>
                <w:lang w:eastAsia="en-GB"/>
              </w:rPr>
              <w:t xml:space="preserve">. Unable to classify; </w:t>
            </w:r>
            <w:r>
              <w:rPr>
                <w:rFonts w:eastAsia="Times New Roman"/>
                <w:b/>
                <w:color w:val="000000"/>
                <w:szCs w:val="22"/>
                <w:lang w:eastAsia="en-GB"/>
              </w:rPr>
              <w:t>M</w:t>
            </w:r>
            <w:r w:rsidRPr="00A91455">
              <w:rPr>
                <w:rFonts w:eastAsia="Times New Roman"/>
                <w:color w:val="000000"/>
                <w:szCs w:val="22"/>
                <w:lang w:eastAsia="en-GB"/>
              </w:rPr>
              <w:t>. Unknown</w:t>
            </w:r>
          </w:p>
        </w:tc>
      </w:tr>
      <w:tr w:rsidR="00941C02" w14:paraId="3535E1DF" w14:textId="77777777" w:rsidTr="00ED2E82">
        <w:tc>
          <w:tcPr>
            <w:tcW w:w="4903" w:type="dxa"/>
          </w:tcPr>
          <w:p w14:paraId="2F0A323C" w14:textId="78701E6D" w:rsidR="00941C02" w:rsidRPr="00A91455" w:rsidRDefault="00941C02" w:rsidP="00ED2E82">
            <w:pPr>
              <w:rPr>
                <w:rFonts w:eastAsia="Times New Roman"/>
                <w:color w:val="000000"/>
                <w:lang w:eastAsia="en-GB"/>
              </w:rPr>
            </w:pPr>
            <w:r>
              <w:rPr>
                <w:rFonts w:eastAsia="Times New Roman"/>
                <w:color w:val="000000"/>
                <w:lang w:eastAsia="en-GB"/>
              </w:rPr>
              <w:t xml:space="preserve">Figure </w:t>
            </w:r>
            <w:r w:rsidR="00E93BB1">
              <w:rPr>
                <w:rFonts w:eastAsia="Times New Roman"/>
                <w:color w:val="000000"/>
                <w:lang w:eastAsia="en-GB"/>
              </w:rPr>
              <w:t>6</w:t>
            </w:r>
            <w:r>
              <w:rPr>
                <w:rFonts w:eastAsia="Times New Roman"/>
                <w:color w:val="000000"/>
                <w:lang w:eastAsia="en-GB"/>
              </w:rPr>
              <w:t>. Detector failure in a) UK, b) USA and c) NZ in 2014/2015</w:t>
            </w:r>
          </w:p>
        </w:tc>
      </w:tr>
    </w:tbl>
    <w:p w14:paraId="43EB083B" w14:textId="2AA7A843" w:rsidR="00941C02" w:rsidRDefault="00941C02" w:rsidP="00941C02">
      <w:pPr>
        <w:rPr>
          <w:sz w:val="24"/>
          <w:szCs w:val="24"/>
        </w:rPr>
      </w:pPr>
    </w:p>
    <w:p w14:paraId="07E927A9" w14:textId="465F9601" w:rsidR="00941C02" w:rsidRPr="00E96F86" w:rsidRDefault="00941C02" w:rsidP="00941C02">
      <w:pPr>
        <w:pStyle w:val="Heading2"/>
        <w:rPr>
          <w:sz w:val="24"/>
          <w:szCs w:val="24"/>
        </w:rPr>
      </w:pPr>
      <w:r>
        <w:rPr>
          <w:sz w:val="24"/>
          <w:szCs w:val="24"/>
        </w:rPr>
        <w:t>3.3</w:t>
      </w:r>
      <w:r w:rsidRPr="00E96F86">
        <w:rPr>
          <w:sz w:val="24"/>
          <w:szCs w:val="24"/>
        </w:rPr>
        <w:t xml:space="preserve"> RESPONSE TIME </w:t>
      </w:r>
    </w:p>
    <w:p w14:paraId="0B69801B" w14:textId="26DEA5C9" w:rsidR="00941C02" w:rsidRPr="00FE0A49" w:rsidRDefault="00941C02" w:rsidP="00941C02">
      <w:r>
        <w:rPr>
          <w:sz w:val="24"/>
          <w:szCs w:val="24"/>
        </w:rPr>
        <w:t>In terms of response time to the fires, the IRS form states: “the response</w:t>
      </w:r>
      <w:r w:rsidRPr="002F43F9">
        <w:rPr>
          <w:sz w:val="24"/>
          <w:szCs w:val="24"/>
        </w:rPr>
        <w:t xml:space="preserve"> </w:t>
      </w:r>
      <w:r>
        <w:rPr>
          <w:sz w:val="24"/>
          <w:szCs w:val="24"/>
        </w:rPr>
        <w:t xml:space="preserve">time </w:t>
      </w:r>
      <w:r w:rsidRPr="002F43F9">
        <w:rPr>
          <w:sz w:val="24"/>
          <w:szCs w:val="24"/>
        </w:rPr>
        <w:t>measures the minutes and part minutes taken from time of call to time of arrival at scene of the first vehicle</w:t>
      </w:r>
      <w:r>
        <w:rPr>
          <w:sz w:val="24"/>
          <w:szCs w:val="24"/>
        </w:rPr>
        <w:t xml:space="preserve">”. </w:t>
      </w:r>
      <w:proofErr w:type="gramStart"/>
      <w:r>
        <w:rPr>
          <w:sz w:val="24"/>
          <w:szCs w:val="24"/>
        </w:rPr>
        <w:t xml:space="preserve">Comparing the response time with the relative number of incidents per years in England, it is possible to affirm that while the response time is increased from 6.1 minutes in 1994-95 to 8.7 minutes in 2014-2015 </w:t>
      </w:r>
      <w:r>
        <w:rPr>
          <w:sz w:val="24"/>
          <w:szCs w:val="24"/>
        </w:rPr>
        <w:lastRenderedPageBreak/>
        <w:t xml:space="preserve">(Figure </w:t>
      </w:r>
      <w:r w:rsidR="001F0319">
        <w:rPr>
          <w:sz w:val="24"/>
          <w:szCs w:val="24"/>
        </w:rPr>
        <w:t>7</w:t>
      </w:r>
      <w:r>
        <w:rPr>
          <w:sz w:val="24"/>
          <w:szCs w:val="24"/>
        </w:rPr>
        <w:t xml:space="preserve">a), the number of incidents after an increment from 153,420 fires in 1994-1994 to 167,697 in 2003-2004, presents a decrement trend reaching 52,121 incidents in 2014-2014 (Figure </w:t>
      </w:r>
      <w:r w:rsidR="001F0319">
        <w:rPr>
          <w:sz w:val="24"/>
          <w:szCs w:val="24"/>
        </w:rPr>
        <w:t>7</w:t>
      </w:r>
      <w:r>
        <w:rPr>
          <w:sz w:val="24"/>
          <w:szCs w:val="24"/>
        </w:rPr>
        <w:t>b).</w:t>
      </w:r>
      <w:proofErr w:type="gramEnd"/>
      <w:r>
        <w:rPr>
          <w:sz w:val="24"/>
          <w:szCs w:val="24"/>
        </w:rPr>
        <w:t xml:space="preserve"> As expressed in the IRS, “t</w:t>
      </w:r>
      <w:r w:rsidRPr="00641569">
        <w:rPr>
          <w:sz w:val="24"/>
          <w:szCs w:val="24"/>
        </w:rPr>
        <w:t>he difference in average response times between 2008-09 and 2009-10 is over half a minut</w:t>
      </w:r>
      <w:r>
        <w:rPr>
          <w:sz w:val="24"/>
          <w:szCs w:val="24"/>
        </w:rPr>
        <w:t xml:space="preserve">e. </w:t>
      </w:r>
      <w:r w:rsidRPr="00641569">
        <w:rPr>
          <w:sz w:val="24"/>
          <w:szCs w:val="24"/>
        </w:rPr>
        <w:t>Part of this increase reflects a measurement discontinuity caused by a move from a paper-based to a more comprehensive online data collection tool in 2009, which means comparisons over this time should be treated with care</w:t>
      </w:r>
      <w:r>
        <w:rPr>
          <w:sz w:val="24"/>
          <w:szCs w:val="24"/>
        </w:rPr>
        <w:t>”.</w:t>
      </w:r>
      <w:r w:rsidR="00251A44">
        <w:rPr>
          <w:sz w:val="24"/>
          <w:szCs w:val="24"/>
        </w:rPr>
        <w:t xml:space="preserve"> However, according to the Fire and Rescue Operational Statistics Bulletin for England 2011-2012, the number of full-time equivalent (except retained duty system) firefighters has changed from 51,286 in 2007 to 48,944 in 2012 that is equivalent to a decrease of a -4.6% leading to a longer response time. </w:t>
      </w:r>
      <w:r w:rsidR="00251A44">
        <w:rPr>
          <w:sz w:val="24"/>
          <w:szCs w:val="24"/>
        </w:rPr>
        <w:fldChar w:fldCharType="begin" w:fldLock="1"/>
      </w:r>
      <w:r w:rsidR="00251A44">
        <w:rPr>
          <w:sz w:val="24"/>
          <w:szCs w:val="24"/>
        </w:rPr>
        <w:instrText>ADDIN CSL_CITATION { "citationItems" : [ { "id" : "ITEM-1", "itemData" : { "ISBN" : "9781409836384", "author" : [ { "dropping-particle" : "", "family" : "Government", "given" : "Local", "non-dropping-particle" : "", "parse-names" : false, "suffix" : "" } ], "id" : "ITEM-1", "issue" : "September", "issued" : { "date-parts" : [ [ "2012" ] ] }, "title" : "Fire and Rescue Operational Statistics Bulletin for England 2011-12", "type" : "article-journal" }, "uris" : [ "http://www.mendeley.com/documents/?uuid=8df16e67-0bfb-42b2-b067-d466a5c75b0a" ] } ], "mendeley" : { "formattedCitation" : "[11]", "plainTextFormattedCitation" : "[11]" }, "properties" : { "noteIndex" : 0 }, "schema" : "https://github.com/citation-style-language/schema/raw/master/csl-citation.json" }</w:instrText>
      </w:r>
      <w:r w:rsidR="00251A44">
        <w:rPr>
          <w:sz w:val="24"/>
          <w:szCs w:val="24"/>
        </w:rPr>
        <w:fldChar w:fldCharType="separate"/>
      </w:r>
      <w:r w:rsidR="00251A44" w:rsidRPr="00251A44">
        <w:rPr>
          <w:noProof/>
          <w:sz w:val="24"/>
          <w:szCs w:val="24"/>
        </w:rPr>
        <w:t>[11]</w:t>
      </w:r>
      <w:r w:rsidR="00251A44">
        <w:rPr>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444FF70A" w14:textId="77777777" w:rsidTr="00ED2E82">
        <w:trPr>
          <w:trHeight w:val="1984"/>
        </w:trPr>
        <w:tc>
          <w:tcPr>
            <w:tcW w:w="4893" w:type="dxa"/>
          </w:tcPr>
          <w:p w14:paraId="696434F1" w14:textId="77777777" w:rsidR="00941C02" w:rsidRPr="004E0A8F" w:rsidRDefault="00941C02" w:rsidP="00ED2E82">
            <w:pPr>
              <w:jc w:val="center"/>
            </w:pPr>
            <w:r w:rsidRPr="004E0A8F">
              <w:rPr>
                <w:noProof/>
                <w:lang w:eastAsia="en-GB"/>
              </w:rPr>
              <w:drawing>
                <wp:anchor distT="0" distB="0" distL="114300" distR="114300" simplePos="0" relativeHeight="251676672" behindDoc="0" locked="0" layoutInCell="1" allowOverlap="1" wp14:anchorId="4888F310" wp14:editId="6287F54F">
                  <wp:simplePos x="0" y="0"/>
                  <wp:positionH relativeFrom="column">
                    <wp:posOffset>-68580</wp:posOffset>
                  </wp:positionH>
                  <wp:positionV relativeFrom="paragraph">
                    <wp:posOffset>141605</wp:posOffset>
                  </wp:positionV>
                  <wp:extent cx="3162300" cy="1440000"/>
                  <wp:effectExtent l="0" t="0" r="0" b="825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4E0A8F">
              <w:t>(a)</w:t>
            </w:r>
          </w:p>
        </w:tc>
      </w:tr>
      <w:tr w:rsidR="00941C02" w14:paraId="049B440C" w14:textId="77777777" w:rsidTr="00ED2E82">
        <w:trPr>
          <w:trHeight w:val="1984"/>
        </w:trPr>
        <w:tc>
          <w:tcPr>
            <w:tcW w:w="4893" w:type="dxa"/>
          </w:tcPr>
          <w:p w14:paraId="4AC50D47" w14:textId="77777777" w:rsidR="00941C02" w:rsidRPr="00923192" w:rsidRDefault="00941C02" w:rsidP="00ED2E82">
            <w:pPr>
              <w:jc w:val="center"/>
            </w:pPr>
            <w:r>
              <w:rPr>
                <w:noProof/>
                <w:lang w:eastAsia="en-GB"/>
              </w:rPr>
              <w:drawing>
                <wp:anchor distT="0" distB="0" distL="114300" distR="114300" simplePos="0" relativeHeight="251677696" behindDoc="0" locked="0" layoutInCell="1" allowOverlap="1" wp14:anchorId="0D2B9B09" wp14:editId="715CCB17">
                  <wp:simplePos x="0" y="0"/>
                  <wp:positionH relativeFrom="column">
                    <wp:posOffset>-67945</wp:posOffset>
                  </wp:positionH>
                  <wp:positionV relativeFrom="paragraph">
                    <wp:posOffset>26035</wp:posOffset>
                  </wp:positionV>
                  <wp:extent cx="3104597" cy="1440000"/>
                  <wp:effectExtent l="0" t="0" r="635" b="825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t>(b)</w:t>
            </w:r>
          </w:p>
        </w:tc>
      </w:tr>
      <w:tr w:rsidR="00941C02" w14:paraId="13221680" w14:textId="77777777" w:rsidTr="00ED2E82">
        <w:tc>
          <w:tcPr>
            <w:tcW w:w="4893" w:type="dxa"/>
          </w:tcPr>
          <w:p w14:paraId="538E3F60" w14:textId="6A9A636C" w:rsidR="00941C02" w:rsidRPr="00923192" w:rsidRDefault="00941C02" w:rsidP="00ED2E82">
            <w:r>
              <w:t xml:space="preserve">Figure </w:t>
            </w:r>
            <w:r w:rsidR="001F0319">
              <w:t>7</w:t>
            </w:r>
            <w:r>
              <w:t>. a) Response times and b) number of incidents in England from 1994 to 2015</w:t>
            </w:r>
          </w:p>
        </w:tc>
      </w:tr>
    </w:tbl>
    <w:p w14:paraId="1DC5F110" w14:textId="77777777" w:rsidR="00941C02" w:rsidRPr="00DB56C4" w:rsidRDefault="00941C02" w:rsidP="00941C02">
      <w:pPr>
        <w:rPr>
          <w:lang w:eastAsia="en-GB"/>
        </w:rPr>
      </w:pPr>
    </w:p>
    <w:p w14:paraId="4DBDAE01" w14:textId="3FE50625" w:rsidR="00941C02" w:rsidRPr="00121E51" w:rsidRDefault="00941C02" w:rsidP="00941C02">
      <w:pPr>
        <w:pStyle w:val="Pa3"/>
        <w:spacing w:line="240" w:lineRule="auto"/>
        <w:jc w:val="both"/>
      </w:pPr>
      <w:r w:rsidRPr="005654D9">
        <w:rPr>
          <w:rFonts w:ascii="Times New Roman" w:hAnsi="Times New Roman"/>
          <w:lang w:eastAsia="ja-JP"/>
        </w:rPr>
        <w:t xml:space="preserve">In the NFIRS, the actual month, day, year, and time of day (hour, minute, and - optional in on-line entry - seconds) </w:t>
      </w:r>
      <w:proofErr w:type="gramStart"/>
      <w:r w:rsidRPr="005654D9">
        <w:rPr>
          <w:rFonts w:ascii="Times New Roman" w:hAnsi="Times New Roman"/>
          <w:lang w:eastAsia="ja-JP"/>
        </w:rPr>
        <w:t>are recorded</w:t>
      </w:r>
      <w:proofErr w:type="gramEnd"/>
      <w:r>
        <w:rPr>
          <w:rFonts w:ascii="Times New Roman" w:hAnsi="Times New Roman"/>
          <w:lang w:eastAsia="ja-JP"/>
        </w:rPr>
        <w:t xml:space="preserve"> for three different times: alarm, arrival, controlled and last unit cleared. </w:t>
      </w:r>
      <w:proofErr w:type="gramStart"/>
      <w:r>
        <w:rPr>
          <w:rFonts w:ascii="Times New Roman" w:hAnsi="Times New Roman"/>
          <w:lang w:eastAsia="ja-JP"/>
        </w:rPr>
        <w:t xml:space="preserve">Their definitions in the NFIRS form are the following: </w:t>
      </w:r>
      <w:r w:rsidRPr="005654D9">
        <w:rPr>
          <w:rFonts w:ascii="Times New Roman" w:hAnsi="Times New Roman"/>
          <w:i/>
          <w:lang w:eastAsia="ja-JP"/>
        </w:rPr>
        <w:t>alarm time</w:t>
      </w:r>
      <w:r>
        <w:rPr>
          <w:rFonts w:ascii="Times New Roman" w:hAnsi="Times New Roman"/>
          <w:lang w:eastAsia="ja-JP"/>
        </w:rPr>
        <w:t xml:space="preserve"> </w:t>
      </w:r>
      <w:r w:rsidRPr="00311BCF">
        <w:rPr>
          <w:rFonts w:ascii="Times New Roman" w:hAnsi="Times New Roman"/>
          <w:lang w:eastAsia="ja-JP"/>
        </w:rPr>
        <w:t>when the alarm was received by the fire department</w:t>
      </w:r>
      <w:r>
        <w:rPr>
          <w:rFonts w:ascii="Times New Roman" w:hAnsi="Times New Roman"/>
          <w:lang w:eastAsia="ja-JP"/>
        </w:rPr>
        <w:t xml:space="preserve">, </w:t>
      </w:r>
      <w:r w:rsidRPr="005654D9">
        <w:rPr>
          <w:rFonts w:ascii="Times New Roman" w:hAnsi="Times New Roman"/>
          <w:i/>
          <w:lang w:eastAsia="ja-JP"/>
        </w:rPr>
        <w:t>arrival time</w:t>
      </w:r>
      <w:r>
        <w:rPr>
          <w:rFonts w:ascii="Times New Roman" w:hAnsi="Times New Roman"/>
          <w:lang w:eastAsia="ja-JP"/>
        </w:rPr>
        <w:t xml:space="preserve"> </w:t>
      </w:r>
      <w:r w:rsidRPr="005654D9">
        <w:rPr>
          <w:rFonts w:ascii="Times New Roman" w:hAnsi="Times New Roman"/>
          <w:lang w:eastAsia="ja-JP"/>
        </w:rPr>
        <w:t xml:space="preserve">when the first responding unit arrived at the incident scene, </w:t>
      </w:r>
      <w:r w:rsidRPr="005654D9">
        <w:rPr>
          <w:rFonts w:ascii="Times New Roman" w:hAnsi="Times New Roman"/>
          <w:i/>
          <w:lang w:eastAsia="ja-JP"/>
        </w:rPr>
        <w:t>controlled time</w:t>
      </w:r>
      <w:r w:rsidRPr="005654D9">
        <w:rPr>
          <w:rFonts w:ascii="Times New Roman" w:hAnsi="Times New Roman"/>
          <w:lang w:eastAsia="ja-JP"/>
        </w:rPr>
        <w:t xml:space="preserve"> when the fire is brought under control or the incident is stabilized and does not require additional emergency resources (“Controlled” is the time when the incident </w:t>
      </w:r>
      <w:r w:rsidRPr="005654D9">
        <w:rPr>
          <w:rFonts w:ascii="Times New Roman" w:hAnsi="Times New Roman"/>
          <w:lang w:eastAsia="ja-JP"/>
        </w:rPr>
        <w:t xml:space="preserve">commander determines that the fire will not escape from its containment perimeter) and </w:t>
      </w:r>
      <w:r w:rsidRPr="005654D9">
        <w:rPr>
          <w:rFonts w:ascii="Times New Roman" w:hAnsi="Times New Roman"/>
          <w:i/>
          <w:lang w:eastAsia="ja-JP"/>
        </w:rPr>
        <w:t>last unit cleared time</w:t>
      </w:r>
      <w:r w:rsidRPr="005654D9">
        <w:rPr>
          <w:rFonts w:ascii="Times New Roman" w:hAnsi="Times New Roman"/>
          <w:lang w:eastAsia="ja-JP"/>
        </w:rPr>
        <w:t xml:space="preserve"> when the last unit cleared the incident scene.</w:t>
      </w:r>
      <w:proofErr w:type="gramEnd"/>
      <w:r w:rsidRPr="005654D9">
        <w:rPr>
          <w:rFonts w:ascii="Times New Roman" w:hAnsi="Times New Roman"/>
          <w:lang w:eastAsia="ja-JP"/>
        </w:rPr>
        <w:t xml:space="preserve"> In New Zealand, four different times </w:t>
      </w:r>
      <w:proofErr w:type="gramStart"/>
      <w:r w:rsidRPr="005654D9">
        <w:rPr>
          <w:rFonts w:ascii="Times New Roman" w:hAnsi="Times New Roman"/>
          <w:lang w:eastAsia="ja-JP"/>
        </w:rPr>
        <w:t>are recorded</w:t>
      </w:r>
      <w:proofErr w:type="gramEnd"/>
      <w:r w:rsidRPr="005654D9">
        <w:rPr>
          <w:rFonts w:ascii="Times New Roman" w:hAnsi="Times New Roman"/>
          <w:lang w:eastAsia="ja-JP"/>
        </w:rPr>
        <w:t xml:space="preserve">: </w:t>
      </w:r>
      <w:proofErr w:type="spellStart"/>
      <w:r w:rsidRPr="005654D9">
        <w:rPr>
          <w:rFonts w:ascii="Times New Roman" w:hAnsi="Times New Roman"/>
          <w:i/>
          <w:lang w:eastAsia="ja-JP"/>
        </w:rPr>
        <w:t>en</w:t>
      </w:r>
      <w:proofErr w:type="spellEnd"/>
      <w:r w:rsidRPr="005654D9">
        <w:rPr>
          <w:rFonts w:ascii="Times New Roman" w:hAnsi="Times New Roman"/>
          <w:i/>
          <w:lang w:eastAsia="ja-JP"/>
        </w:rPr>
        <w:t xml:space="preserve"> route</w:t>
      </w:r>
      <w:r w:rsidRPr="005654D9">
        <w:rPr>
          <w:rFonts w:ascii="Times New Roman" w:hAnsi="Times New Roman"/>
          <w:lang w:eastAsia="ja-JP"/>
        </w:rPr>
        <w:t xml:space="preserve">, </w:t>
      </w:r>
      <w:r w:rsidRPr="005654D9">
        <w:rPr>
          <w:rFonts w:ascii="Times New Roman" w:hAnsi="Times New Roman"/>
          <w:i/>
          <w:lang w:eastAsia="ja-JP"/>
        </w:rPr>
        <w:t>arrival</w:t>
      </w:r>
      <w:r w:rsidRPr="005654D9">
        <w:rPr>
          <w:rFonts w:ascii="Times New Roman" w:hAnsi="Times New Roman"/>
          <w:lang w:eastAsia="ja-JP"/>
        </w:rPr>
        <w:t xml:space="preserve">, </w:t>
      </w:r>
      <w:r w:rsidRPr="005654D9">
        <w:rPr>
          <w:rFonts w:ascii="Times New Roman" w:hAnsi="Times New Roman"/>
          <w:i/>
          <w:lang w:eastAsia="ja-JP"/>
        </w:rPr>
        <w:t>start</w:t>
      </w:r>
      <w:r w:rsidRPr="005654D9">
        <w:rPr>
          <w:rFonts w:ascii="Times New Roman" w:hAnsi="Times New Roman"/>
          <w:lang w:eastAsia="ja-JP"/>
        </w:rPr>
        <w:t xml:space="preserve"> and </w:t>
      </w:r>
      <w:r w:rsidRPr="005654D9">
        <w:rPr>
          <w:rFonts w:ascii="Times New Roman" w:hAnsi="Times New Roman"/>
          <w:i/>
          <w:lang w:eastAsia="ja-JP"/>
        </w:rPr>
        <w:t>stop time</w:t>
      </w:r>
      <w:r w:rsidRPr="005654D9">
        <w:rPr>
          <w:rFonts w:ascii="Times New Roman" w:hAnsi="Times New Roman"/>
          <w:lang w:eastAsia="ja-JP"/>
        </w:rPr>
        <w:t xml:space="preserve"> but a clear definition for them is not given since an annual report is not published. Even in these two databases, response time has been obtained considering the time between the </w:t>
      </w:r>
      <w:proofErr w:type="gramStart"/>
      <w:r w:rsidRPr="005654D9">
        <w:rPr>
          <w:rFonts w:ascii="Times New Roman" w:hAnsi="Times New Roman"/>
          <w:lang w:eastAsia="ja-JP"/>
        </w:rPr>
        <w:t>alarm</w:t>
      </w:r>
      <w:proofErr w:type="gramEnd"/>
      <w:r w:rsidRPr="005654D9">
        <w:rPr>
          <w:rFonts w:ascii="Times New Roman" w:hAnsi="Times New Roman"/>
          <w:lang w:eastAsia="ja-JP"/>
        </w:rPr>
        <w:t xml:space="preserve"> (or </w:t>
      </w:r>
      <w:proofErr w:type="spellStart"/>
      <w:r w:rsidRPr="005654D9">
        <w:rPr>
          <w:rFonts w:ascii="Times New Roman" w:hAnsi="Times New Roman"/>
          <w:lang w:eastAsia="ja-JP"/>
        </w:rPr>
        <w:t>en</w:t>
      </w:r>
      <w:proofErr w:type="spellEnd"/>
      <w:r w:rsidRPr="005654D9">
        <w:rPr>
          <w:rFonts w:ascii="Times New Roman" w:hAnsi="Times New Roman"/>
          <w:lang w:eastAsia="ja-JP"/>
        </w:rPr>
        <w:t xml:space="preserve"> route for NZ) and the arrival at the incident scene.</w:t>
      </w:r>
      <w:r>
        <w:rPr>
          <w:rFonts w:ascii="Times New Roman" w:hAnsi="Times New Roman"/>
          <w:lang w:eastAsia="ja-JP"/>
        </w:rPr>
        <w:t xml:space="preserve"> The average response time</w:t>
      </w:r>
      <w:r w:rsidRPr="00834D64">
        <w:rPr>
          <w:rFonts w:ascii="Times New Roman" w:hAnsi="Times New Roman"/>
          <w:lang w:eastAsia="ja-JP"/>
        </w:rPr>
        <w:t xml:space="preserve"> </w:t>
      </w:r>
      <w:r>
        <w:rPr>
          <w:rFonts w:ascii="Times New Roman" w:hAnsi="Times New Roman"/>
          <w:lang w:eastAsia="ja-JP"/>
        </w:rPr>
        <w:t>excluding more than 20 minutes response, in the USA database is equal to 8.5 minutes while in New Zealand to 5</w:t>
      </w:r>
      <w:proofErr w:type="gramStart"/>
      <w:r>
        <w:rPr>
          <w:rFonts w:ascii="Times New Roman" w:hAnsi="Times New Roman"/>
          <w:lang w:eastAsia="ja-JP"/>
        </w:rPr>
        <w:t>,0</w:t>
      </w:r>
      <w:proofErr w:type="gramEnd"/>
      <w:r>
        <w:rPr>
          <w:rFonts w:ascii="Times New Roman" w:hAnsi="Times New Roman"/>
          <w:lang w:eastAsia="ja-JP"/>
        </w:rPr>
        <w:t xml:space="preserve"> minutes.</w:t>
      </w:r>
    </w:p>
    <w:p w14:paraId="00C9493D" w14:textId="75BABABF" w:rsidR="00941C02" w:rsidRDefault="00941C02" w:rsidP="00941C02">
      <w:pPr>
        <w:rPr>
          <w:sz w:val="24"/>
          <w:szCs w:val="24"/>
        </w:rPr>
      </w:pPr>
      <w:r>
        <w:rPr>
          <w:sz w:val="24"/>
          <w:szCs w:val="24"/>
        </w:rPr>
        <w:t xml:space="preserve">Comparing the response time in the three different countries with 1 minute bands from </w:t>
      </w:r>
      <w:proofErr w:type="gramStart"/>
      <w:r>
        <w:rPr>
          <w:sz w:val="24"/>
          <w:szCs w:val="24"/>
        </w:rPr>
        <w:t>0</w:t>
      </w:r>
      <w:proofErr w:type="gramEnd"/>
      <w:r>
        <w:rPr>
          <w:sz w:val="24"/>
          <w:szCs w:val="24"/>
        </w:rPr>
        <w:t xml:space="preserve"> up to more than 20 minutes, in UK the 17% of incidents have received the arrival of fire service between 6-7 minutes, 16% between 5-6 minutes and 13.8% between 7-8 minutes. All the other percentages are always equal or less than 10%. In USA, the response time for the 29.7% of incidents has obtained assistance within 2-3 minutes while the second highest peak </w:t>
      </w:r>
      <w:proofErr w:type="gramStart"/>
      <w:r>
        <w:rPr>
          <w:sz w:val="24"/>
          <w:szCs w:val="24"/>
        </w:rPr>
        <w:t>is given</w:t>
      </w:r>
      <w:proofErr w:type="gramEnd"/>
      <w:r>
        <w:rPr>
          <w:sz w:val="24"/>
          <w:szCs w:val="24"/>
        </w:rPr>
        <w:t xml:space="preserve"> by 24.7% for more than 20 minutes and this seems quite unexpected. In New Zealand, 3-4 minutes time of response have covered the 20.3% of fires immediately follow by 2-3 minutes with 18.2% and 4-5 minutes with 14.8% (Figure </w:t>
      </w:r>
      <w:r w:rsidR="001F0319">
        <w:rPr>
          <w:sz w:val="24"/>
          <w:szCs w:val="24"/>
        </w:rPr>
        <w:t>8</w:t>
      </w:r>
      <w:r>
        <w:rPr>
          <w:sz w:val="24"/>
          <w:szCs w:val="24"/>
        </w:rPr>
        <w:t>). In the light of this comparison, the faste</w:t>
      </w:r>
      <w:r w:rsidR="005368CD">
        <w:rPr>
          <w:sz w:val="24"/>
          <w:szCs w:val="24"/>
        </w:rPr>
        <w:t xml:space="preserve">st response time </w:t>
      </w:r>
      <w:proofErr w:type="gramStart"/>
      <w:r w:rsidR="005368CD">
        <w:rPr>
          <w:sz w:val="24"/>
          <w:szCs w:val="24"/>
        </w:rPr>
        <w:t>is given</w:t>
      </w:r>
      <w:proofErr w:type="gramEnd"/>
      <w:r w:rsidR="005368CD">
        <w:rPr>
          <w:sz w:val="24"/>
          <w:szCs w:val="24"/>
        </w:rPr>
        <w:t xml:space="preserve"> by USA</w:t>
      </w:r>
      <w:r>
        <w:rPr>
          <w:sz w:val="24"/>
          <w:szCs w:val="24"/>
        </w:rPr>
        <w:t xml:space="preserve">, followed by </w:t>
      </w:r>
      <w:r w:rsidR="005368CD">
        <w:rPr>
          <w:sz w:val="24"/>
          <w:szCs w:val="24"/>
        </w:rPr>
        <w:t>NZ</w:t>
      </w:r>
      <w:r>
        <w:rPr>
          <w:sz w:val="24"/>
          <w:szCs w:val="24"/>
        </w:rPr>
        <w:t xml:space="preserve"> and UK. The percentage of more than 15 minutes response time for the three countries according to Figure </w:t>
      </w:r>
      <w:proofErr w:type="gramStart"/>
      <w:r w:rsidR="00B35468">
        <w:rPr>
          <w:sz w:val="24"/>
          <w:szCs w:val="24"/>
        </w:rPr>
        <w:t>8</w:t>
      </w:r>
      <w:r>
        <w:rPr>
          <w:sz w:val="24"/>
          <w:szCs w:val="24"/>
        </w:rPr>
        <w:t>,</w:t>
      </w:r>
      <w:proofErr w:type="gramEnd"/>
      <w:r>
        <w:rPr>
          <w:sz w:val="24"/>
          <w:szCs w:val="24"/>
        </w:rPr>
        <w:t xml:space="preserve"> shows 2.9% in New Zealand, 5.3% in UK and a significant</w:t>
      </w:r>
      <w:r w:rsidR="004E1A77">
        <w:rPr>
          <w:sz w:val="24"/>
          <w:szCs w:val="24"/>
        </w:rPr>
        <w:t>ly</w:t>
      </w:r>
      <w:r>
        <w:rPr>
          <w:sz w:val="24"/>
          <w:szCs w:val="24"/>
        </w:rPr>
        <w:t xml:space="preserve"> high value of 42.7% in USA.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5F7D8FEE" w14:textId="77777777" w:rsidTr="00ED2E82">
        <w:tc>
          <w:tcPr>
            <w:tcW w:w="4903" w:type="dxa"/>
          </w:tcPr>
          <w:p w14:paraId="450B59B7" w14:textId="77777777" w:rsidR="00941C02" w:rsidRDefault="00941C02" w:rsidP="00ED2E82">
            <w:pPr>
              <w:rPr>
                <w:sz w:val="24"/>
                <w:szCs w:val="24"/>
              </w:rPr>
            </w:pPr>
            <w:r>
              <w:rPr>
                <w:noProof/>
                <w:lang w:eastAsia="en-GB"/>
              </w:rPr>
              <w:drawing>
                <wp:anchor distT="0" distB="0" distL="114300" distR="114300" simplePos="0" relativeHeight="251678720" behindDoc="0" locked="0" layoutInCell="1" allowOverlap="1" wp14:anchorId="33BA346C" wp14:editId="26EA2419">
                  <wp:simplePos x="0" y="0"/>
                  <wp:positionH relativeFrom="column">
                    <wp:posOffset>-68580</wp:posOffset>
                  </wp:positionH>
                  <wp:positionV relativeFrom="paragraph">
                    <wp:posOffset>3175</wp:posOffset>
                  </wp:positionV>
                  <wp:extent cx="3140710" cy="1438910"/>
                  <wp:effectExtent l="0" t="0" r="2540" b="889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r>
      <w:tr w:rsidR="00941C02" w14:paraId="0F35F718" w14:textId="77777777" w:rsidTr="00ED2E82">
        <w:tc>
          <w:tcPr>
            <w:tcW w:w="4903" w:type="dxa"/>
          </w:tcPr>
          <w:p w14:paraId="6F078994" w14:textId="7C837464" w:rsidR="00941C02" w:rsidRPr="00EF25D5" w:rsidRDefault="00941C02" w:rsidP="00ED2E82">
            <w:r w:rsidRPr="00EF25D5">
              <w:t xml:space="preserve">Figure </w:t>
            </w:r>
            <w:r w:rsidR="001F0319">
              <w:t>8</w:t>
            </w:r>
            <w:r w:rsidRPr="00EF25D5">
              <w:t>. Response time in UK, USA and NZ for 1 minute bands in 2014-2015</w:t>
            </w:r>
          </w:p>
        </w:tc>
      </w:tr>
    </w:tbl>
    <w:p w14:paraId="2454FECE" w14:textId="77777777" w:rsidR="00941C02" w:rsidRDefault="00941C02" w:rsidP="00941C02">
      <w:pPr>
        <w:rPr>
          <w:sz w:val="24"/>
          <w:szCs w:val="24"/>
        </w:rPr>
      </w:pPr>
    </w:p>
    <w:p w14:paraId="55E818FB" w14:textId="4021B2B4" w:rsidR="00367DBB" w:rsidRDefault="00941C02" w:rsidP="009164AB">
      <w:pPr>
        <w:rPr>
          <w:sz w:val="24"/>
          <w:szCs w:val="24"/>
        </w:rPr>
      </w:pPr>
      <w:r>
        <w:rPr>
          <w:sz w:val="24"/>
          <w:szCs w:val="24"/>
        </w:rPr>
        <w:t xml:space="preserve">Response times are important when we consider the resilience of structures to fire, the intuitive view is that the longer the response time the greater the damage will be as the fire will, in general, be larger and thus take longer to extinguish, when fire service interventions start to occur.  </w:t>
      </w:r>
    </w:p>
    <w:p w14:paraId="65A7BF90" w14:textId="78B02603" w:rsidR="00941C02" w:rsidRDefault="00941C02" w:rsidP="00941C02">
      <w:pPr>
        <w:pStyle w:val="Heading2"/>
        <w:rPr>
          <w:sz w:val="24"/>
          <w:szCs w:val="24"/>
        </w:rPr>
      </w:pPr>
      <w:r>
        <w:rPr>
          <w:sz w:val="24"/>
          <w:szCs w:val="24"/>
        </w:rPr>
        <w:lastRenderedPageBreak/>
        <w:t>3.</w:t>
      </w:r>
      <w:r w:rsidR="006B32D1">
        <w:rPr>
          <w:sz w:val="24"/>
          <w:szCs w:val="24"/>
        </w:rPr>
        <w:t>4</w:t>
      </w:r>
      <w:r w:rsidRPr="00E96F86">
        <w:rPr>
          <w:sz w:val="24"/>
          <w:szCs w:val="24"/>
        </w:rPr>
        <w:t xml:space="preserve"> </w:t>
      </w:r>
      <w:r>
        <w:rPr>
          <w:sz w:val="24"/>
          <w:szCs w:val="24"/>
        </w:rPr>
        <w:t>FIRE GROWTH AND DAMAGE</w:t>
      </w:r>
    </w:p>
    <w:p w14:paraId="40A2C8AC" w14:textId="291EB12A" w:rsidR="00941C02" w:rsidRDefault="00FB618B" w:rsidP="00941C02">
      <w:pPr>
        <w:rPr>
          <w:sz w:val="24"/>
          <w:szCs w:val="24"/>
        </w:rPr>
      </w:pPr>
      <w:r>
        <w:rPr>
          <w:sz w:val="24"/>
        </w:rPr>
        <w:t>A</w:t>
      </w:r>
      <w:r w:rsidR="00D90D79">
        <w:rPr>
          <w:sz w:val="24"/>
        </w:rPr>
        <w:t xml:space="preserve">ll </w:t>
      </w:r>
      <w:r w:rsidR="00941C02">
        <w:rPr>
          <w:sz w:val="24"/>
        </w:rPr>
        <w:t>three databases</w:t>
      </w:r>
      <w:r w:rsidR="00D90D79">
        <w:rPr>
          <w:sz w:val="24"/>
        </w:rPr>
        <w:t xml:space="preserve"> </w:t>
      </w:r>
      <w:r w:rsidR="00975118">
        <w:rPr>
          <w:sz w:val="24"/>
        </w:rPr>
        <w:t xml:space="preserve">present </w:t>
      </w:r>
      <w:r w:rsidR="00941C02">
        <w:rPr>
          <w:sz w:val="24"/>
        </w:rPr>
        <w:t>the material</w:t>
      </w:r>
      <w:r w:rsidR="00975118">
        <w:rPr>
          <w:sz w:val="24"/>
        </w:rPr>
        <w:t>(s)</w:t>
      </w:r>
      <w:r w:rsidR="00941C02">
        <w:rPr>
          <w:sz w:val="24"/>
        </w:rPr>
        <w:t xml:space="preserve"> mainly responsible for the fire growth and development. </w:t>
      </w:r>
      <w:r w:rsidR="00941C02" w:rsidRPr="00803CAC">
        <w:rPr>
          <w:sz w:val="24"/>
        </w:rPr>
        <w:t xml:space="preserve">Data for UK and New Zealand </w:t>
      </w:r>
      <w:proofErr w:type="gramStart"/>
      <w:r w:rsidR="00941C02" w:rsidRPr="00803CAC">
        <w:rPr>
          <w:sz w:val="24"/>
        </w:rPr>
        <w:t>have been grouped</w:t>
      </w:r>
      <w:proofErr w:type="gramEnd"/>
      <w:r w:rsidR="00941C02" w:rsidRPr="00803CAC">
        <w:rPr>
          <w:sz w:val="24"/>
        </w:rPr>
        <w:t xml:space="preserve"> considering the same classes. </w:t>
      </w:r>
      <w:r w:rsidR="00941C02">
        <w:rPr>
          <w:sz w:val="24"/>
        </w:rPr>
        <w:t xml:space="preserve">As for the item first ignited food (A) and </w:t>
      </w:r>
      <w:r w:rsidR="00941C02">
        <w:rPr>
          <w:sz w:val="24"/>
          <w:szCs w:val="24"/>
        </w:rPr>
        <w:t>t</w:t>
      </w:r>
      <w:r w:rsidR="00941C02" w:rsidRPr="00407CA3">
        <w:rPr>
          <w:sz w:val="24"/>
          <w:szCs w:val="24"/>
        </w:rPr>
        <w:t>extiles, upholstery and furnishings</w:t>
      </w:r>
      <w:r w:rsidR="00941C02">
        <w:rPr>
          <w:sz w:val="24"/>
          <w:szCs w:val="24"/>
        </w:rPr>
        <w:t xml:space="preserve"> (B) have the highest values respectively of 19.5% and 22.5% for UK, neglecting the 14% for none items and the 3.7% for not known. In New Zealand, however, the peaks are given in correspondence of agricultural </w:t>
      </w:r>
      <w:r w:rsidR="00941C02" w:rsidRPr="00803CAC">
        <w:rPr>
          <w:sz w:val="24"/>
          <w:szCs w:val="24"/>
        </w:rPr>
        <w:t>and forestry product</w:t>
      </w:r>
      <w:r w:rsidR="00941C02">
        <w:rPr>
          <w:sz w:val="24"/>
          <w:szCs w:val="24"/>
        </w:rPr>
        <w:t xml:space="preserve"> (</w:t>
      </w:r>
      <w:proofErr w:type="gramStart"/>
      <w:r w:rsidR="00941C02">
        <w:rPr>
          <w:sz w:val="24"/>
          <w:szCs w:val="24"/>
        </w:rPr>
        <w:t>E) and structures</w:t>
      </w:r>
      <w:proofErr w:type="gramEnd"/>
      <w:r w:rsidR="00941C02">
        <w:rPr>
          <w:sz w:val="24"/>
          <w:szCs w:val="24"/>
        </w:rPr>
        <w:t xml:space="preserve"> and fittings (D) with 19.1% and 8.0% if not considering the 50.8% reached for the not known materials and the 2.9% for unspecified (Figure </w:t>
      </w:r>
      <w:r w:rsidR="00F523DF">
        <w:rPr>
          <w:sz w:val="24"/>
          <w:szCs w:val="24"/>
        </w:rPr>
        <w:t>9</w:t>
      </w:r>
      <w:r w:rsidR="00941C02">
        <w:rPr>
          <w:sz w:val="24"/>
          <w:szCs w:val="24"/>
        </w:rPr>
        <w:t xml:space="preserve">a). New Zealand database presents also information regarding the material most smoked and still agricultural </w:t>
      </w:r>
      <w:r w:rsidR="00941C02" w:rsidRPr="00803CAC">
        <w:rPr>
          <w:sz w:val="24"/>
          <w:szCs w:val="24"/>
        </w:rPr>
        <w:t>and forestry product</w:t>
      </w:r>
      <w:r w:rsidR="00941C02">
        <w:rPr>
          <w:sz w:val="24"/>
          <w:szCs w:val="24"/>
        </w:rPr>
        <w:t xml:space="preserve"> and structures and fittings are the categories with the major number of items. </w:t>
      </w:r>
    </w:p>
    <w:p w14:paraId="3FF93A89" w14:textId="5E254DBD" w:rsidR="00941C02" w:rsidRDefault="00941C02" w:rsidP="00941C02">
      <w:pPr>
        <w:rPr>
          <w:sz w:val="24"/>
          <w:szCs w:val="24"/>
        </w:rPr>
      </w:pPr>
      <w:r>
        <w:rPr>
          <w:sz w:val="24"/>
          <w:szCs w:val="24"/>
        </w:rPr>
        <w:t>In the NFIRS, W</w:t>
      </w:r>
      <w:r w:rsidRPr="00DE09F5">
        <w:rPr>
          <w:sz w:val="24"/>
          <w:szCs w:val="24"/>
        </w:rPr>
        <w:t>ood or Paper - Processed</w:t>
      </w:r>
      <w:r>
        <w:rPr>
          <w:sz w:val="24"/>
          <w:szCs w:val="24"/>
        </w:rPr>
        <w:t xml:space="preserve"> (F) have the 38.4% and </w:t>
      </w:r>
      <w:r w:rsidRPr="00DE09F5">
        <w:rPr>
          <w:sz w:val="24"/>
          <w:szCs w:val="24"/>
        </w:rPr>
        <w:t>Fabric, Textiles, Fur</w:t>
      </w:r>
      <w:r>
        <w:rPr>
          <w:sz w:val="24"/>
          <w:szCs w:val="24"/>
        </w:rPr>
        <w:t xml:space="preserve"> (G) the 10.9%. In addition, even in this case, there is an unexpected 31.7% of other materials (I) not specified which does not fall in the other definitions applied (Figure </w:t>
      </w:r>
      <w:r w:rsidR="00F523DF">
        <w:rPr>
          <w:sz w:val="24"/>
          <w:szCs w:val="24"/>
        </w:rPr>
        <w:t>9</w:t>
      </w:r>
      <w:r>
        <w:rPr>
          <w:sz w:val="24"/>
          <w:szCs w:val="24"/>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6D448128" w14:textId="77777777" w:rsidTr="009164AB">
        <w:tc>
          <w:tcPr>
            <w:tcW w:w="4903" w:type="dxa"/>
          </w:tcPr>
          <w:p w14:paraId="5747819E" w14:textId="77777777" w:rsidR="00941C02" w:rsidRPr="00E73151" w:rsidRDefault="00941C02" w:rsidP="00ED2E82">
            <w:pPr>
              <w:jc w:val="center"/>
            </w:pPr>
            <w:r>
              <w:rPr>
                <w:noProof/>
                <w:lang w:eastAsia="en-GB"/>
              </w:rPr>
              <w:drawing>
                <wp:anchor distT="0" distB="0" distL="114300" distR="114300" simplePos="0" relativeHeight="251688960" behindDoc="0" locked="0" layoutInCell="1" allowOverlap="1" wp14:anchorId="4B6DD4E2" wp14:editId="52780809">
                  <wp:simplePos x="0" y="0"/>
                  <wp:positionH relativeFrom="column">
                    <wp:posOffset>-68580</wp:posOffset>
                  </wp:positionH>
                  <wp:positionV relativeFrom="paragraph">
                    <wp:posOffset>38100</wp:posOffset>
                  </wp:positionV>
                  <wp:extent cx="3132455" cy="131953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E73151">
              <w:t xml:space="preserve"> (a)</w:t>
            </w:r>
          </w:p>
        </w:tc>
      </w:tr>
      <w:tr w:rsidR="00941C02" w14:paraId="5F36F390" w14:textId="77777777" w:rsidTr="009164AB">
        <w:tc>
          <w:tcPr>
            <w:tcW w:w="4903" w:type="dxa"/>
          </w:tcPr>
          <w:p w14:paraId="781BD7E9" w14:textId="77777777" w:rsidR="00941C02" w:rsidRDefault="00941C02" w:rsidP="00ED2E82">
            <w:pPr>
              <w:rPr>
                <w:sz w:val="24"/>
                <w:szCs w:val="24"/>
              </w:rPr>
            </w:pPr>
            <w:r>
              <w:rPr>
                <w:rFonts w:eastAsia="Times New Roman"/>
                <w:b/>
                <w:color w:val="000000"/>
                <w:lang w:eastAsia="en-GB"/>
              </w:rPr>
              <w:t>A</w:t>
            </w:r>
            <w:r w:rsidRPr="005F3459">
              <w:rPr>
                <w:rFonts w:eastAsia="Times New Roman"/>
                <w:color w:val="000000"/>
                <w:lang w:eastAsia="en-GB"/>
              </w:rPr>
              <w:t xml:space="preserve">. </w:t>
            </w:r>
            <w:r w:rsidRPr="006A6E70">
              <w:rPr>
                <w:rFonts w:eastAsia="Times New Roman"/>
                <w:color w:val="000000"/>
                <w:lang w:eastAsia="en-GB"/>
              </w:rPr>
              <w:t>Food</w:t>
            </w:r>
            <w:r w:rsidRPr="00803CAC">
              <w:rPr>
                <w:rFonts w:eastAsia="Times New Roman"/>
                <w:color w:val="000000"/>
                <w:lang w:eastAsia="en-GB"/>
              </w:rPr>
              <w:t xml:space="preserve">; </w:t>
            </w:r>
            <w:r w:rsidRPr="00803CAC">
              <w:rPr>
                <w:rFonts w:eastAsia="Times New Roman"/>
                <w:b/>
                <w:color w:val="000000"/>
                <w:lang w:eastAsia="en-GB"/>
              </w:rPr>
              <w:t>B</w:t>
            </w:r>
            <w:r w:rsidRPr="00803CAC">
              <w:rPr>
                <w:rFonts w:eastAsia="Times New Roman"/>
                <w:color w:val="000000"/>
                <w:lang w:eastAsia="en-GB"/>
              </w:rPr>
              <w:t xml:space="preserve">. </w:t>
            </w:r>
            <w:r w:rsidRPr="006A6E70">
              <w:rPr>
                <w:rFonts w:eastAsia="Times New Roman"/>
                <w:color w:val="000000"/>
                <w:lang w:eastAsia="en-GB"/>
              </w:rPr>
              <w:t>Textiles, upholstery and furnishings</w:t>
            </w:r>
            <w:r w:rsidRPr="00803CAC">
              <w:rPr>
                <w:rFonts w:eastAsia="Times New Roman"/>
                <w:color w:val="000000"/>
                <w:lang w:eastAsia="en-GB"/>
              </w:rPr>
              <w:t xml:space="preserve">; </w:t>
            </w:r>
            <w:r w:rsidRPr="00803CAC">
              <w:rPr>
                <w:rFonts w:eastAsia="Times New Roman"/>
                <w:b/>
                <w:color w:val="000000"/>
                <w:lang w:eastAsia="en-GB"/>
              </w:rPr>
              <w:t>C</w:t>
            </w:r>
            <w:r w:rsidRPr="00803CAC">
              <w:rPr>
                <w:rFonts w:eastAsia="Times New Roman"/>
                <w:color w:val="000000"/>
                <w:lang w:eastAsia="en-GB"/>
              </w:rPr>
              <w:t xml:space="preserve">. </w:t>
            </w:r>
            <w:r w:rsidRPr="006A6E70">
              <w:rPr>
                <w:rFonts w:eastAsia="Times New Roman"/>
                <w:color w:val="000000"/>
                <w:lang w:eastAsia="en-GB"/>
              </w:rPr>
              <w:t>Paper, cardboard</w:t>
            </w:r>
            <w:r w:rsidRPr="00803CAC">
              <w:rPr>
                <w:rFonts w:eastAsia="Times New Roman"/>
                <w:color w:val="000000"/>
                <w:lang w:eastAsia="en-GB"/>
              </w:rPr>
              <w:t xml:space="preserve">; </w:t>
            </w:r>
            <w:r w:rsidRPr="00803CAC">
              <w:rPr>
                <w:rFonts w:eastAsia="Times New Roman"/>
                <w:b/>
                <w:color w:val="000000"/>
                <w:lang w:eastAsia="en-GB"/>
              </w:rPr>
              <w:t>D</w:t>
            </w:r>
            <w:r w:rsidRPr="00803CAC">
              <w:rPr>
                <w:rFonts w:eastAsia="Times New Roman"/>
                <w:color w:val="000000"/>
                <w:lang w:eastAsia="en-GB"/>
              </w:rPr>
              <w:t xml:space="preserve">. </w:t>
            </w:r>
            <w:r w:rsidRPr="006A6E70">
              <w:rPr>
                <w:rFonts w:eastAsia="Times New Roman"/>
                <w:color w:val="000000"/>
                <w:lang w:eastAsia="en-GB"/>
              </w:rPr>
              <w:t>Structure and fittings</w:t>
            </w:r>
            <w:r w:rsidRPr="00803CAC">
              <w:rPr>
                <w:rFonts w:eastAsia="Times New Roman"/>
                <w:color w:val="000000"/>
                <w:lang w:eastAsia="en-GB"/>
              </w:rPr>
              <w:t xml:space="preserve">; </w:t>
            </w:r>
            <w:r w:rsidRPr="00803CAC">
              <w:rPr>
                <w:rFonts w:eastAsia="Times New Roman"/>
                <w:b/>
                <w:color w:val="000000"/>
                <w:lang w:eastAsia="en-GB"/>
              </w:rPr>
              <w:t>E</w:t>
            </w:r>
            <w:r w:rsidRPr="00803CAC">
              <w:rPr>
                <w:rFonts w:eastAsia="Times New Roman"/>
                <w:color w:val="000000"/>
                <w:lang w:eastAsia="en-GB"/>
              </w:rPr>
              <w:t xml:space="preserve">. </w:t>
            </w:r>
            <w:r w:rsidRPr="006A6E70">
              <w:rPr>
                <w:rFonts w:eastAsia="Times New Roman"/>
                <w:color w:val="000000"/>
                <w:lang w:eastAsia="en-GB"/>
              </w:rPr>
              <w:t>Agricultural and forestry product</w:t>
            </w:r>
            <w:r w:rsidRPr="00803CAC">
              <w:rPr>
                <w:rFonts w:eastAsia="Times New Roman"/>
                <w:color w:val="000000"/>
                <w:lang w:eastAsia="en-GB"/>
              </w:rPr>
              <w:t xml:space="preserve">; </w:t>
            </w:r>
            <w:r w:rsidRPr="00803CAC">
              <w:rPr>
                <w:rFonts w:eastAsia="Times New Roman"/>
                <w:b/>
                <w:color w:val="000000"/>
                <w:lang w:eastAsia="en-GB"/>
              </w:rPr>
              <w:t>F</w:t>
            </w:r>
            <w:r w:rsidRPr="00803CAC">
              <w:rPr>
                <w:rFonts w:eastAsia="Times New Roman"/>
                <w:color w:val="000000"/>
                <w:lang w:eastAsia="en-GB"/>
              </w:rPr>
              <w:t xml:space="preserve">. </w:t>
            </w:r>
            <w:r w:rsidRPr="006A6E70">
              <w:rPr>
                <w:rFonts w:eastAsia="Times New Roman"/>
                <w:color w:val="000000"/>
                <w:lang w:eastAsia="en-GB"/>
              </w:rPr>
              <w:t>Explosive Gases &amp; Chemical</w:t>
            </w:r>
            <w:r w:rsidRPr="00803CAC">
              <w:rPr>
                <w:rFonts w:eastAsia="Times New Roman"/>
                <w:color w:val="000000"/>
                <w:lang w:eastAsia="en-GB"/>
              </w:rPr>
              <w:t xml:space="preserve">; </w:t>
            </w:r>
            <w:r w:rsidRPr="00803CAC">
              <w:rPr>
                <w:rFonts w:eastAsia="Times New Roman"/>
                <w:b/>
                <w:color w:val="000000"/>
                <w:lang w:eastAsia="en-GB"/>
              </w:rPr>
              <w:t>G</w:t>
            </w:r>
            <w:r w:rsidRPr="00803CAC">
              <w:rPr>
                <w:rFonts w:eastAsia="Times New Roman"/>
                <w:color w:val="000000"/>
                <w:lang w:eastAsia="en-GB"/>
              </w:rPr>
              <w:t xml:space="preserve">. </w:t>
            </w:r>
            <w:r w:rsidRPr="006A6E70">
              <w:rPr>
                <w:rFonts w:eastAsia="Times New Roman"/>
                <w:color w:val="000000"/>
                <w:lang w:eastAsia="en-GB"/>
              </w:rPr>
              <w:t>Rubbish/Waste/Recycling</w:t>
            </w:r>
            <w:r w:rsidRPr="00803CAC">
              <w:rPr>
                <w:rFonts w:eastAsia="Times New Roman"/>
                <w:color w:val="000000"/>
                <w:lang w:eastAsia="en-GB"/>
              </w:rPr>
              <w:t xml:space="preserve">; </w:t>
            </w:r>
            <w:r w:rsidRPr="00803CAC">
              <w:rPr>
                <w:rFonts w:eastAsia="Times New Roman"/>
                <w:b/>
                <w:color w:val="000000"/>
                <w:lang w:eastAsia="en-GB"/>
              </w:rPr>
              <w:t>H</w:t>
            </w:r>
            <w:r w:rsidRPr="00803CAC">
              <w:rPr>
                <w:rFonts w:eastAsia="Times New Roman"/>
                <w:color w:val="000000"/>
                <w:lang w:eastAsia="en-GB"/>
              </w:rPr>
              <w:t xml:space="preserve">. </w:t>
            </w:r>
            <w:r w:rsidRPr="006A6E70">
              <w:rPr>
                <w:rFonts w:eastAsia="Times New Roman"/>
                <w:color w:val="000000"/>
                <w:lang w:eastAsia="en-GB"/>
              </w:rPr>
              <w:t>Other materials</w:t>
            </w:r>
          </w:p>
        </w:tc>
      </w:tr>
      <w:tr w:rsidR="00941C02" w14:paraId="36264BCD" w14:textId="77777777" w:rsidTr="009164AB">
        <w:tc>
          <w:tcPr>
            <w:tcW w:w="4903" w:type="dxa"/>
          </w:tcPr>
          <w:p w14:paraId="5A2AC722" w14:textId="77777777" w:rsidR="00941C02" w:rsidRPr="00E73151" w:rsidRDefault="00941C02" w:rsidP="00ED2E82">
            <w:pPr>
              <w:jc w:val="center"/>
            </w:pPr>
            <w:r w:rsidRPr="00E73151">
              <w:rPr>
                <w:noProof/>
                <w:lang w:eastAsia="en-GB"/>
              </w:rPr>
              <w:drawing>
                <wp:anchor distT="0" distB="0" distL="114300" distR="114300" simplePos="0" relativeHeight="251681792" behindDoc="0" locked="0" layoutInCell="1" allowOverlap="1" wp14:anchorId="6488E46E" wp14:editId="17BE1F22">
                  <wp:simplePos x="0" y="0"/>
                  <wp:positionH relativeFrom="column">
                    <wp:posOffset>-68580</wp:posOffset>
                  </wp:positionH>
                  <wp:positionV relativeFrom="paragraph">
                    <wp:posOffset>9525</wp:posOffset>
                  </wp:positionV>
                  <wp:extent cx="3164205" cy="128016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E73151">
              <w:t>(b)</w:t>
            </w:r>
          </w:p>
        </w:tc>
      </w:tr>
      <w:tr w:rsidR="00941C02" w14:paraId="31396E07" w14:textId="77777777" w:rsidTr="009164AB">
        <w:tc>
          <w:tcPr>
            <w:tcW w:w="4903" w:type="dxa"/>
          </w:tcPr>
          <w:p w14:paraId="7636D940" w14:textId="77777777" w:rsidR="00941C02" w:rsidRPr="00211735" w:rsidRDefault="00941C02" w:rsidP="00ED2E82">
            <w:pPr>
              <w:rPr>
                <w:b/>
              </w:rPr>
            </w:pPr>
            <w:r w:rsidRPr="00211735">
              <w:rPr>
                <w:rFonts w:eastAsia="Times New Roman"/>
                <w:b/>
                <w:color w:val="000000"/>
                <w:lang w:eastAsia="en-GB"/>
              </w:rPr>
              <w:t>A</w:t>
            </w:r>
            <w:r>
              <w:rPr>
                <w:rFonts w:eastAsia="Times New Roman"/>
                <w:color w:val="000000"/>
                <w:lang w:eastAsia="en-GB"/>
              </w:rPr>
              <w:t xml:space="preserve">. </w:t>
            </w:r>
            <w:r w:rsidRPr="00211735">
              <w:rPr>
                <w:rFonts w:eastAsia="Times New Roman"/>
                <w:color w:val="000000"/>
                <w:lang w:eastAsia="en-GB"/>
              </w:rPr>
              <w:t xml:space="preserve">Flammable Gas; </w:t>
            </w:r>
            <w:r w:rsidRPr="00211735">
              <w:rPr>
                <w:rFonts w:eastAsia="Times New Roman"/>
                <w:b/>
                <w:color w:val="000000"/>
                <w:lang w:eastAsia="en-GB"/>
              </w:rPr>
              <w:t>B</w:t>
            </w:r>
            <w:r w:rsidRPr="00211735">
              <w:rPr>
                <w:rFonts w:eastAsia="Times New Roman"/>
                <w:color w:val="000000"/>
                <w:lang w:eastAsia="en-GB"/>
              </w:rPr>
              <w:t xml:space="preserve">. Flammable or Combustible Liquid; </w:t>
            </w:r>
            <w:r w:rsidRPr="00211735">
              <w:rPr>
                <w:rFonts w:eastAsia="Times New Roman"/>
                <w:b/>
                <w:color w:val="000000"/>
                <w:lang w:eastAsia="en-GB"/>
              </w:rPr>
              <w:t>C</w:t>
            </w:r>
            <w:r w:rsidRPr="00211735">
              <w:rPr>
                <w:rFonts w:eastAsia="Times New Roman"/>
                <w:color w:val="000000"/>
                <w:lang w:eastAsia="en-GB"/>
              </w:rPr>
              <w:t xml:space="preserve">. Volatile Solid or Chemical; </w:t>
            </w:r>
            <w:r w:rsidRPr="00211735">
              <w:rPr>
                <w:rFonts w:eastAsia="Times New Roman"/>
                <w:b/>
                <w:color w:val="000000"/>
                <w:lang w:eastAsia="en-GB"/>
              </w:rPr>
              <w:t>D</w:t>
            </w:r>
            <w:r w:rsidRPr="00211735">
              <w:rPr>
                <w:rFonts w:eastAsia="Times New Roman"/>
                <w:color w:val="000000"/>
                <w:lang w:eastAsia="en-GB"/>
              </w:rPr>
              <w:t xml:space="preserve">. Plastic; </w:t>
            </w:r>
            <w:r w:rsidRPr="00211735">
              <w:rPr>
                <w:rFonts w:eastAsia="Times New Roman"/>
                <w:b/>
                <w:color w:val="000000"/>
                <w:lang w:eastAsia="en-GB"/>
              </w:rPr>
              <w:t>E</w:t>
            </w:r>
            <w:r w:rsidRPr="00211735">
              <w:rPr>
                <w:rFonts w:eastAsia="Times New Roman"/>
                <w:color w:val="000000"/>
                <w:lang w:eastAsia="en-GB"/>
              </w:rPr>
              <w:t xml:space="preserve">. Natural Product; </w:t>
            </w:r>
            <w:r w:rsidRPr="00211735">
              <w:rPr>
                <w:rFonts w:eastAsia="Times New Roman"/>
                <w:b/>
                <w:color w:val="000000"/>
                <w:lang w:eastAsia="en-GB"/>
              </w:rPr>
              <w:t>F</w:t>
            </w:r>
            <w:r w:rsidRPr="00211735">
              <w:rPr>
                <w:rFonts w:eastAsia="Times New Roman"/>
                <w:color w:val="000000"/>
                <w:lang w:eastAsia="en-GB"/>
              </w:rPr>
              <w:t xml:space="preserve">. Wood or Paper – Processed; </w:t>
            </w:r>
            <w:r w:rsidRPr="00211735">
              <w:rPr>
                <w:rFonts w:eastAsia="Times New Roman"/>
                <w:b/>
                <w:color w:val="000000"/>
                <w:lang w:eastAsia="en-GB"/>
              </w:rPr>
              <w:t>G</w:t>
            </w:r>
            <w:r w:rsidRPr="00211735">
              <w:rPr>
                <w:rFonts w:eastAsia="Times New Roman"/>
                <w:color w:val="000000"/>
                <w:lang w:eastAsia="en-GB"/>
              </w:rPr>
              <w:t xml:space="preserve">. Fabric, Textiles, Fur; </w:t>
            </w:r>
            <w:r w:rsidRPr="00211735">
              <w:rPr>
                <w:rFonts w:eastAsia="Times New Roman"/>
                <w:b/>
                <w:color w:val="000000"/>
                <w:lang w:eastAsia="en-GB"/>
              </w:rPr>
              <w:t>H</w:t>
            </w:r>
            <w:r w:rsidRPr="00211735">
              <w:rPr>
                <w:rFonts w:eastAsia="Times New Roman"/>
                <w:color w:val="000000"/>
                <w:lang w:eastAsia="en-GB"/>
              </w:rPr>
              <w:t>. Material Compounded With Oil</w:t>
            </w:r>
            <w:proofErr w:type="gramStart"/>
            <w:r w:rsidRPr="00211735">
              <w:rPr>
                <w:rFonts w:eastAsia="Times New Roman"/>
                <w:color w:val="000000"/>
                <w:lang w:eastAsia="en-GB"/>
              </w:rPr>
              <w:t>;</w:t>
            </w:r>
            <w:proofErr w:type="gramEnd"/>
            <w:r w:rsidRPr="00211735">
              <w:rPr>
                <w:rFonts w:eastAsia="Times New Roman"/>
                <w:color w:val="000000"/>
                <w:lang w:eastAsia="en-GB"/>
              </w:rPr>
              <w:t xml:space="preserve"> </w:t>
            </w:r>
            <w:r w:rsidRPr="00211735">
              <w:rPr>
                <w:rFonts w:eastAsia="Times New Roman"/>
                <w:b/>
                <w:color w:val="000000"/>
                <w:lang w:eastAsia="en-GB"/>
              </w:rPr>
              <w:t>I</w:t>
            </w:r>
            <w:r w:rsidRPr="00211735">
              <w:rPr>
                <w:rFonts w:eastAsia="Times New Roman"/>
                <w:color w:val="000000"/>
                <w:lang w:eastAsia="en-GB"/>
              </w:rPr>
              <w:t>. Other Material</w:t>
            </w:r>
          </w:p>
        </w:tc>
      </w:tr>
      <w:tr w:rsidR="00941C02" w14:paraId="1B4F07A9" w14:textId="77777777" w:rsidTr="009164AB">
        <w:tc>
          <w:tcPr>
            <w:tcW w:w="4903" w:type="dxa"/>
          </w:tcPr>
          <w:p w14:paraId="033ECD1A" w14:textId="58242C3E" w:rsidR="00941C02" w:rsidRPr="00211735" w:rsidRDefault="00941C02" w:rsidP="00ED2E82">
            <w:pPr>
              <w:rPr>
                <w:rFonts w:eastAsia="Times New Roman"/>
                <w:color w:val="000000"/>
                <w:lang w:eastAsia="en-GB"/>
              </w:rPr>
            </w:pPr>
            <w:r>
              <w:rPr>
                <w:rFonts w:eastAsia="Times New Roman"/>
                <w:color w:val="000000"/>
                <w:lang w:eastAsia="en-GB"/>
              </w:rPr>
              <w:t xml:space="preserve">Figure </w:t>
            </w:r>
            <w:r w:rsidR="00F523DF">
              <w:rPr>
                <w:rFonts w:eastAsia="Times New Roman"/>
                <w:color w:val="000000"/>
                <w:lang w:eastAsia="en-GB"/>
              </w:rPr>
              <w:t>9</w:t>
            </w:r>
            <w:r>
              <w:rPr>
                <w:rFonts w:eastAsia="Times New Roman"/>
                <w:color w:val="000000"/>
                <w:lang w:eastAsia="en-GB"/>
              </w:rPr>
              <w:t>. Material mainly responsible for the development of fire in a) UK and NZ and b) USA in 2014/2015</w:t>
            </w:r>
          </w:p>
        </w:tc>
      </w:tr>
    </w:tbl>
    <w:p w14:paraId="1E8A4728" w14:textId="7EC22587" w:rsidR="00941C02" w:rsidRPr="00F90870" w:rsidRDefault="00941C02" w:rsidP="00941C02">
      <w:pPr>
        <w:rPr>
          <w:sz w:val="24"/>
        </w:rPr>
      </w:pPr>
      <w:r>
        <w:rPr>
          <w:sz w:val="24"/>
        </w:rPr>
        <w:t>Analysing the spread of fire in UK</w:t>
      </w:r>
      <w:r w:rsidRPr="00F90870">
        <w:rPr>
          <w:sz w:val="24"/>
        </w:rPr>
        <w:t>,</w:t>
      </w:r>
      <w:r>
        <w:rPr>
          <w:sz w:val="24"/>
        </w:rPr>
        <w:t xml:space="preserve"> it is possible to affirm that</w:t>
      </w:r>
      <w:r w:rsidRPr="00F90870">
        <w:rPr>
          <w:sz w:val="24"/>
        </w:rPr>
        <w:t xml:space="preserve"> the compartmentation works well both in dwellings and other buildings. This is evidenced for the two categories referring to the spread of fire limited to the item 1st ignited (A) or to the room of origin (B) with values of 29.2% and 24.8%, respectively. However, it should be noted that a not-insignificant amount, 8.</w:t>
      </w:r>
      <w:r>
        <w:rPr>
          <w:sz w:val="24"/>
        </w:rPr>
        <w:t>8</w:t>
      </w:r>
      <w:r w:rsidRPr="00F90870">
        <w:rPr>
          <w:sz w:val="24"/>
        </w:rPr>
        <w:t>%, of the fires spread beyond the compartment; 6.8% limited to the floor of origin, 1.6% limited to 2 floors, and 0.</w:t>
      </w:r>
      <w:r>
        <w:rPr>
          <w:sz w:val="24"/>
        </w:rPr>
        <w:t>4</w:t>
      </w:r>
      <w:r w:rsidRPr="00F90870">
        <w:rPr>
          <w:sz w:val="24"/>
        </w:rPr>
        <w:t xml:space="preserve">% to more than </w:t>
      </w:r>
      <w:proofErr w:type="gramStart"/>
      <w:r w:rsidRPr="00F90870">
        <w:rPr>
          <w:sz w:val="24"/>
        </w:rPr>
        <w:t>two</w:t>
      </w:r>
      <w:proofErr w:type="gramEnd"/>
      <w:r w:rsidRPr="00F90870">
        <w:rPr>
          <w:sz w:val="24"/>
        </w:rPr>
        <w:t xml:space="preserve"> floors. The whole building </w:t>
      </w:r>
      <w:proofErr w:type="gramStart"/>
      <w:r w:rsidRPr="00F90870">
        <w:rPr>
          <w:sz w:val="24"/>
        </w:rPr>
        <w:t>was damaged</w:t>
      </w:r>
      <w:proofErr w:type="gramEnd"/>
      <w:r w:rsidRPr="00F90870">
        <w:rPr>
          <w:sz w:val="24"/>
        </w:rPr>
        <w:t xml:space="preserve"> in 5.3% of occasions; however, some of these incidents include garde</w:t>
      </w:r>
      <w:r>
        <w:rPr>
          <w:sz w:val="24"/>
        </w:rPr>
        <w:t xml:space="preserve">n sheds and standalone garages (Figure </w:t>
      </w:r>
      <w:r w:rsidR="00D90D79">
        <w:rPr>
          <w:sz w:val="24"/>
        </w:rPr>
        <w:t>10</w:t>
      </w:r>
      <w:r>
        <w:rPr>
          <w:sz w:val="24"/>
        </w:rPr>
        <w:t>a).</w:t>
      </w:r>
    </w:p>
    <w:p w14:paraId="39D881BA" w14:textId="126840B0" w:rsidR="00941C02" w:rsidRDefault="00941C02" w:rsidP="00941C02">
      <w:pPr>
        <w:pStyle w:val="Figurecaption"/>
        <w:spacing w:line="240" w:lineRule="auto"/>
        <w:rPr>
          <w:rFonts w:eastAsia="MS Mincho"/>
          <w:sz w:val="24"/>
          <w:lang w:val="en-GB" w:eastAsia="ja-JP"/>
        </w:rPr>
      </w:pPr>
      <w:r w:rsidRPr="00F90870">
        <w:rPr>
          <w:rFonts w:eastAsia="MS Mincho"/>
          <w:sz w:val="24"/>
          <w:lang w:val="en-GB" w:eastAsia="ja-JP"/>
        </w:rPr>
        <w:t xml:space="preserve">The IRS in England also reports an average area damaged in square meters. When comparing the areas between dwellings and other buildings, the average area damaged </w:t>
      </w:r>
      <w:proofErr w:type="gramStart"/>
      <w:r w:rsidRPr="00F90870">
        <w:rPr>
          <w:rFonts w:eastAsia="MS Mincho"/>
          <w:sz w:val="24"/>
          <w:lang w:val="en-GB" w:eastAsia="ja-JP"/>
        </w:rPr>
        <w:t>is considerably larger in other buildings, at 76.7</w:t>
      </w:r>
      <w:r>
        <w:rPr>
          <w:rFonts w:eastAsia="MS Mincho"/>
          <w:sz w:val="24"/>
          <w:lang w:val="en-GB" w:eastAsia="ja-JP"/>
        </w:rPr>
        <w:t xml:space="preserve"> </w:t>
      </w:r>
      <w:r w:rsidRPr="00F90870">
        <w:rPr>
          <w:rFonts w:eastAsia="MS Mincho"/>
          <w:sz w:val="24"/>
          <w:lang w:val="en-GB" w:eastAsia="ja-JP"/>
        </w:rPr>
        <w:t>m</w:t>
      </w:r>
      <w:r w:rsidRPr="00E73151">
        <w:rPr>
          <w:rFonts w:eastAsia="MS Mincho"/>
          <w:sz w:val="24"/>
          <w:vertAlign w:val="superscript"/>
          <w:lang w:val="en-GB" w:eastAsia="ja-JP"/>
        </w:rPr>
        <w:t>2</w:t>
      </w:r>
      <w:r w:rsidRPr="00F90870">
        <w:rPr>
          <w:rFonts w:eastAsia="MS Mincho"/>
          <w:sz w:val="24"/>
          <w:lang w:val="en-GB" w:eastAsia="ja-JP"/>
        </w:rPr>
        <w:t xml:space="preserve"> compared</w:t>
      </w:r>
      <w:proofErr w:type="gramEnd"/>
      <w:r w:rsidRPr="00F90870">
        <w:rPr>
          <w:rFonts w:eastAsia="MS Mincho"/>
          <w:sz w:val="24"/>
          <w:lang w:val="en-GB" w:eastAsia="ja-JP"/>
        </w:rPr>
        <w:t xml:space="preserve"> with 18.5</w:t>
      </w:r>
      <w:r>
        <w:rPr>
          <w:rFonts w:eastAsia="MS Mincho"/>
          <w:sz w:val="24"/>
          <w:lang w:val="en-GB" w:eastAsia="ja-JP"/>
        </w:rPr>
        <w:t xml:space="preserve"> </w:t>
      </w:r>
      <w:r w:rsidRPr="00F90870">
        <w:rPr>
          <w:rFonts w:eastAsia="MS Mincho"/>
          <w:sz w:val="24"/>
          <w:lang w:val="en-GB" w:eastAsia="ja-JP"/>
        </w:rPr>
        <w:t>m</w:t>
      </w:r>
      <w:r w:rsidRPr="00E73151">
        <w:rPr>
          <w:rFonts w:eastAsia="MS Mincho"/>
          <w:sz w:val="24"/>
          <w:vertAlign w:val="superscript"/>
          <w:lang w:val="en-GB" w:eastAsia="ja-JP"/>
        </w:rPr>
        <w:t>2</w:t>
      </w:r>
      <w:r w:rsidRPr="00F90870">
        <w:rPr>
          <w:rFonts w:eastAsia="MS Mincho"/>
          <w:sz w:val="24"/>
          <w:lang w:val="en-GB" w:eastAsia="ja-JP"/>
        </w:rPr>
        <w:t>. Furthermore, for other buildings, there are sub-divisions to exclude large floor area structures, i.e. those above 10,000 m</w:t>
      </w:r>
      <w:r w:rsidRPr="00E73151">
        <w:rPr>
          <w:rFonts w:eastAsia="MS Mincho"/>
          <w:sz w:val="24"/>
          <w:vertAlign w:val="superscript"/>
          <w:lang w:val="en-GB" w:eastAsia="ja-JP"/>
        </w:rPr>
        <w:t>2</w:t>
      </w:r>
      <w:r w:rsidRPr="00F90870">
        <w:rPr>
          <w:rFonts w:eastAsia="MS Mincho"/>
          <w:sz w:val="24"/>
          <w:lang w:val="en-GB" w:eastAsia="ja-JP"/>
        </w:rPr>
        <w:t>, 5,000 m</w:t>
      </w:r>
      <w:r w:rsidRPr="00E73151">
        <w:rPr>
          <w:rFonts w:eastAsia="MS Mincho"/>
          <w:sz w:val="24"/>
          <w:vertAlign w:val="superscript"/>
          <w:lang w:val="en-GB" w:eastAsia="ja-JP"/>
        </w:rPr>
        <w:t>2</w:t>
      </w:r>
      <w:r w:rsidRPr="00F90870">
        <w:rPr>
          <w:rFonts w:eastAsia="MS Mincho"/>
          <w:sz w:val="24"/>
          <w:lang w:val="en-GB" w:eastAsia="ja-JP"/>
        </w:rPr>
        <w:t>, 2,000 m</w:t>
      </w:r>
      <w:r w:rsidRPr="00E73151">
        <w:rPr>
          <w:rFonts w:eastAsia="MS Mincho"/>
          <w:sz w:val="24"/>
          <w:vertAlign w:val="superscript"/>
          <w:lang w:val="en-GB" w:eastAsia="ja-JP"/>
        </w:rPr>
        <w:t>2</w:t>
      </w:r>
      <w:r w:rsidRPr="00F90870">
        <w:rPr>
          <w:rFonts w:eastAsia="MS Mincho"/>
          <w:sz w:val="24"/>
          <w:lang w:val="en-GB" w:eastAsia="ja-JP"/>
        </w:rPr>
        <w:t>, and 1,000 m</w:t>
      </w:r>
      <w:r w:rsidRPr="00E73151">
        <w:rPr>
          <w:rFonts w:eastAsia="MS Mincho"/>
          <w:sz w:val="24"/>
          <w:vertAlign w:val="superscript"/>
          <w:lang w:val="en-GB" w:eastAsia="ja-JP"/>
        </w:rPr>
        <w:t>2</w:t>
      </w:r>
      <w:r w:rsidRPr="00F90870">
        <w:rPr>
          <w:rFonts w:eastAsia="MS Mincho"/>
          <w:sz w:val="24"/>
          <w:lang w:val="en-GB" w:eastAsia="ja-JP"/>
        </w:rPr>
        <w:t>, which reduces the area damaged to 59.9 m</w:t>
      </w:r>
      <w:r w:rsidRPr="00E73151">
        <w:rPr>
          <w:rFonts w:eastAsia="MS Mincho"/>
          <w:sz w:val="24"/>
          <w:vertAlign w:val="superscript"/>
          <w:lang w:val="en-GB" w:eastAsia="ja-JP"/>
        </w:rPr>
        <w:t>2</w:t>
      </w:r>
      <w:r w:rsidRPr="00F90870">
        <w:rPr>
          <w:rFonts w:eastAsia="MS Mincho"/>
          <w:sz w:val="24"/>
          <w:lang w:val="en-GB" w:eastAsia="ja-JP"/>
        </w:rPr>
        <w:t>, 52.7 m</w:t>
      </w:r>
      <w:r w:rsidRPr="00E73151">
        <w:rPr>
          <w:rFonts w:eastAsia="MS Mincho"/>
          <w:sz w:val="24"/>
          <w:vertAlign w:val="superscript"/>
          <w:lang w:val="en-GB" w:eastAsia="ja-JP"/>
        </w:rPr>
        <w:t>2</w:t>
      </w:r>
      <w:r w:rsidRPr="00F90870">
        <w:rPr>
          <w:rFonts w:eastAsia="MS Mincho"/>
          <w:sz w:val="24"/>
          <w:lang w:val="en-GB" w:eastAsia="ja-JP"/>
        </w:rPr>
        <w:t>, 38.4 m</w:t>
      </w:r>
      <w:r w:rsidRPr="00E73151">
        <w:rPr>
          <w:rFonts w:eastAsia="MS Mincho"/>
          <w:sz w:val="24"/>
          <w:vertAlign w:val="superscript"/>
          <w:lang w:val="en-GB" w:eastAsia="ja-JP"/>
        </w:rPr>
        <w:t>2</w:t>
      </w:r>
      <w:r w:rsidRPr="00F90870">
        <w:rPr>
          <w:rFonts w:eastAsia="MS Mincho"/>
          <w:sz w:val="24"/>
          <w:lang w:val="en-GB" w:eastAsia="ja-JP"/>
        </w:rPr>
        <w:t>, and 29.6 m</w:t>
      </w:r>
      <w:r w:rsidRPr="00E73151">
        <w:rPr>
          <w:rFonts w:eastAsia="MS Mincho"/>
          <w:sz w:val="24"/>
          <w:vertAlign w:val="superscript"/>
          <w:lang w:val="en-GB" w:eastAsia="ja-JP"/>
        </w:rPr>
        <w:t>2</w:t>
      </w:r>
      <w:r w:rsidRPr="00F90870">
        <w:rPr>
          <w:rFonts w:eastAsia="MS Mincho"/>
          <w:sz w:val="24"/>
          <w:lang w:val="en-GB" w:eastAsia="ja-JP"/>
        </w:rPr>
        <w:t xml:space="preserve"> respectively. This is still greater than the area damaged in dwellings of 18.5 m</w:t>
      </w:r>
      <w:r w:rsidRPr="00E73151">
        <w:rPr>
          <w:rFonts w:eastAsia="MS Mincho"/>
          <w:sz w:val="24"/>
          <w:vertAlign w:val="superscript"/>
          <w:lang w:val="en-GB" w:eastAsia="ja-JP"/>
        </w:rPr>
        <w:t>2</w:t>
      </w:r>
      <w:r w:rsidRPr="00F90870">
        <w:rPr>
          <w:rFonts w:eastAsia="MS Mincho"/>
          <w:sz w:val="24"/>
          <w:lang w:val="en-GB" w:eastAsia="ja-JP"/>
        </w:rPr>
        <w:t xml:space="preserve"> </w:t>
      </w:r>
      <w:r>
        <w:rPr>
          <w:rFonts w:eastAsia="MS Mincho"/>
          <w:sz w:val="24"/>
          <w:lang w:val="en-GB" w:eastAsia="ja-JP"/>
        </w:rPr>
        <w:t xml:space="preserve">(Figure </w:t>
      </w:r>
      <w:r w:rsidR="00D90D79">
        <w:rPr>
          <w:rFonts w:eastAsia="MS Mincho"/>
          <w:sz w:val="24"/>
          <w:lang w:val="en-GB" w:eastAsia="ja-JP"/>
        </w:rPr>
        <w:t>10</w:t>
      </w:r>
      <w:r w:rsidRPr="00F90870">
        <w:rPr>
          <w:rFonts w:eastAsia="MS Mincho"/>
          <w:sz w:val="24"/>
          <w:lang w:val="en-GB" w:eastAsia="ja-JP"/>
        </w:rPr>
        <w:t>b)</w:t>
      </w:r>
      <w:r>
        <w:rPr>
          <w:rFonts w:eastAsia="MS Mincho"/>
          <w:sz w:val="24"/>
          <w:lang w:val="en-GB" w:eastAsia="ja-JP"/>
        </w:rPr>
        <w:t xml:space="preserve"> </w:t>
      </w:r>
      <w:r>
        <w:rPr>
          <w:rFonts w:eastAsia="MS Mincho"/>
          <w:sz w:val="24"/>
          <w:lang w:val="en-GB" w:eastAsia="ja-JP"/>
        </w:rPr>
        <w:fldChar w:fldCharType="begin" w:fldLock="1"/>
      </w:r>
      <w:r w:rsidR="00251A44">
        <w:rPr>
          <w:rFonts w:eastAsia="MS Mincho"/>
          <w:sz w:val="24"/>
          <w:lang w:val="en-GB" w:eastAsia="ja-JP"/>
        </w:rPr>
        <w:instrText>ADDIN CSL_CITATION { "citationItems" : [ { "id" : "ITEM-1", "itemData" : { "author" : [ { "dropping-particle" : "", "family" : "Manes", "given" : "M", "non-dropping-particle" : "", "parse-names" : false, "suffix" : "" }, { "dropping-particle" : "", "family" : "Rush", "given" : "D", "non-dropping-particle" : "", "parse-names" : false, "suffix" : "" } ], "id" : "ITEM-1", "issued" : { "date-parts" : [ [ "2017" ] ] }, "title" : "Meta-analysis of UK , USA and New Zealand fire statistics databases with respect to damage and financial loss .", "type" : "article-journal" }, "uris" : [ "http://www.mendeley.com/documents/?uuid=4256900c-5d58-49ee-ab75-0c532ece96eb" ] } ], "mendeley" : { "formattedCitation" : "[1]", "plainTextFormattedCitation" : "[1]", "previouslyFormattedCitation" : "[1]" }, "properties" : { "noteIndex" : 0 }, "schema" : "https://github.com/citation-style-language/schema/raw/master/csl-citation.json" }</w:instrText>
      </w:r>
      <w:r>
        <w:rPr>
          <w:rFonts w:eastAsia="MS Mincho"/>
          <w:sz w:val="24"/>
          <w:lang w:val="en-GB" w:eastAsia="ja-JP"/>
        </w:rPr>
        <w:fldChar w:fldCharType="separate"/>
      </w:r>
      <w:r w:rsidRPr="007B6037">
        <w:rPr>
          <w:rFonts w:eastAsia="MS Mincho"/>
          <w:noProof/>
          <w:sz w:val="24"/>
          <w:lang w:val="en-GB" w:eastAsia="ja-JP"/>
        </w:rPr>
        <w:t>[1]</w:t>
      </w:r>
      <w:r>
        <w:rPr>
          <w:rFonts w:eastAsia="MS Mincho"/>
          <w:sz w:val="24"/>
          <w:lang w:val="en-GB" w:eastAsia="ja-JP"/>
        </w:rPr>
        <w:fldChar w:fldCharType="end"/>
      </w:r>
      <w:r>
        <w:rPr>
          <w:rFonts w:eastAsia="MS Mincho"/>
          <w:sz w:val="24"/>
          <w:lang w:val="en-GB"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06EB3C8F" w14:textId="77777777" w:rsidTr="00ED2E82">
        <w:tc>
          <w:tcPr>
            <w:tcW w:w="4893" w:type="dxa"/>
          </w:tcPr>
          <w:p w14:paraId="41F59F40" w14:textId="77777777" w:rsidR="00941C02" w:rsidRDefault="00941C02" w:rsidP="00ED2E82">
            <w:pPr>
              <w:jc w:val="center"/>
            </w:pPr>
            <w:r w:rsidRPr="00022229">
              <w:rPr>
                <w:noProof/>
                <w:lang w:eastAsia="en-GB"/>
              </w:rPr>
              <w:drawing>
                <wp:anchor distT="0" distB="1651" distL="114300" distR="114300" simplePos="0" relativeHeight="251682816" behindDoc="0" locked="0" layoutInCell="1" allowOverlap="1" wp14:anchorId="6C152592" wp14:editId="024F53BE">
                  <wp:simplePos x="0" y="0"/>
                  <wp:positionH relativeFrom="column">
                    <wp:posOffset>-68580</wp:posOffset>
                  </wp:positionH>
                  <wp:positionV relativeFrom="paragraph">
                    <wp:posOffset>2540</wp:posOffset>
                  </wp:positionV>
                  <wp:extent cx="3199765" cy="1515110"/>
                  <wp:effectExtent l="0" t="0" r="635" b="8890"/>
                  <wp:wrapSquare wrapText="bothSides"/>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t>(a)</w:t>
            </w:r>
          </w:p>
        </w:tc>
      </w:tr>
      <w:tr w:rsidR="00941C02" w14:paraId="67332B93" w14:textId="77777777" w:rsidTr="00ED2E82">
        <w:tc>
          <w:tcPr>
            <w:tcW w:w="4893" w:type="dxa"/>
          </w:tcPr>
          <w:p w14:paraId="097EF96B" w14:textId="77777777" w:rsidR="00941C02" w:rsidRPr="00E73151" w:rsidRDefault="00941C02" w:rsidP="00ED2E82">
            <w:pPr>
              <w:rPr>
                <w:noProof/>
                <w:lang w:eastAsia="en-GB"/>
              </w:rPr>
            </w:pPr>
            <w:r w:rsidRPr="00022229">
              <w:rPr>
                <w:noProof/>
                <w:lang w:eastAsia="en-GB"/>
              </w:rPr>
              <w:drawing>
                <wp:anchor distT="0" distB="0" distL="114300" distR="114300" simplePos="0" relativeHeight="251683840" behindDoc="0" locked="0" layoutInCell="1" allowOverlap="1" wp14:anchorId="384C63AF" wp14:editId="65990B3D">
                  <wp:simplePos x="0" y="0"/>
                  <wp:positionH relativeFrom="column">
                    <wp:posOffset>-6985</wp:posOffset>
                  </wp:positionH>
                  <wp:positionV relativeFrom="paragraph">
                    <wp:posOffset>587375</wp:posOffset>
                  </wp:positionV>
                  <wp:extent cx="2971165" cy="1162050"/>
                  <wp:effectExtent l="0" t="0" r="635" b="0"/>
                  <wp:wrapSquare wrapText="bothSides"/>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E73151">
              <w:rPr>
                <w:b/>
                <w:color w:val="000000"/>
                <w:kern w:val="24"/>
              </w:rPr>
              <w:t>A.</w:t>
            </w:r>
            <w:r w:rsidRPr="00E73151">
              <w:rPr>
                <w:color w:val="000000"/>
                <w:kern w:val="24"/>
              </w:rPr>
              <w:t xml:space="preserve"> Limited to item 1st ignited; </w:t>
            </w:r>
            <w:r w:rsidRPr="00E73151">
              <w:rPr>
                <w:b/>
                <w:color w:val="000000"/>
                <w:kern w:val="24"/>
              </w:rPr>
              <w:t>B.</w:t>
            </w:r>
            <w:r w:rsidRPr="00E73151">
              <w:rPr>
                <w:color w:val="000000"/>
                <w:kern w:val="24"/>
              </w:rPr>
              <w:t xml:space="preserve"> Limited to room of origin; </w:t>
            </w:r>
            <w:r w:rsidRPr="00E73151">
              <w:rPr>
                <w:b/>
                <w:color w:val="000000"/>
                <w:kern w:val="24"/>
              </w:rPr>
              <w:t>C.</w:t>
            </w:r>
            <w:r w:rsidRPr="00E73151">
              <w:rPr>
                <w:color w:val="000000"/>
                <w:kern w:val="24"/>
              </w:rPr>
              <w:t xml:space="preserve"> Limited to floor of origin; </w:t>
            </w:r>
            <w:r w:rsidRPr="00E73151">
              <w:rPr>
                <w:b/>
                <w:color w:val="000000"/>
                <w:kern w:val="24"/>
              </w:rPr>
              <w:t>D.</w:t>
            </w:r>
            <w:r w:rsidRPr="00E73151">
              <w:rPr>
                <w:color w:val="000000"/>
                <w:kern w:val="24"/>
              </w:rPr>
              <w:t xml:space="preserve"> Limited to 2 floors; </w:t>
            </w:r>
            <w:r w:rsidRPr="00E73151">
              <w:rPr>
                <w:b/>
                <w:color w:val="000000"/>
                <w:kern w:val="24"/>
              </w:rPr>
              <w:t>E.</w:t>
            </w:r>
            <w:r w:rsidRPr="00E73151">
              <w:rPr>
                <w:color w:val="000000"/>
                <w:kern w:val="24"/>
              </w:rPr>
              <w:t xml:space="preserve"> Affecting more than 2 floors; </w:t>
            </w:r>
            <w:r w:rsidRPr="00E73151">
              <w:rPr>
                <w:b/>
                <w:color w:val="000000"/>
                <w:kern w:val="24"/>
              </w:rPr>
              <w:t>F.</w:t>
            </w:r>
            <w:r w:rsidRPr="00E73151">
              <w:rPr>
                <w:color w:val="000000"/>
                <w:kern w:val="24"/>
              </w:rPr>
              <w:t xml:space="preserve"> Whole building; </w:t>
            </w:r>
            <w:r w:rsidRPr="00E73151">
              <w:rPr>
                <w:b/>
                <w:color w:val="000000"/>
                <w:kern w:val="24"/>
              </w:rPr>
              <w:t>G.</w:t>
            </w:r>
            <w:r w:rsidRPr="00E73151">
              <w:rPr>
                <w:color w:val="000000"/>
                <w:kern w:val="24"/>
              </w:rPr>
              <w:t xml:space="preserve"> Roofs and roof spaces; </w:t>
            </w:r>
            <w:r w:rsidRPr="00E73151">
              <w:rPr>
                <w:b/>
                <w:color w:val="000000"/>
                <w:kern w:val="24"/>
              </w:rPr>
              <w:t>H.</w:t>
            </w:r>
            <w:r w:rsidRPr="00E73151">
              <w:rPr>
                <w:color w:val="000000"/>
                <w:kern w:val="24"/>
              </w:rPr>
              <w:t xml:space="preserve"> No fire damage</w:t>
            </w:r>
          </w:p>
        </w:tc>
      </w:tr>
      <w:tr w:rsidR="00941C02" w14:paraId="0BAE272D" w14:textId="77777777" w:rsidTr="00ED2E82">
        <w:tc>
          <w:tcPr>
            <w:tcW w:w="4893" w:type="dxa"/>
          </w:tcPr>
          <w:p w14:paraId="311B9EF7" w14:textId="77777777" w:rsidR="00941C02" w:rsidRDefault="00941C02" w:rsidP="00ED2E82">
            <w:pPr>
              <w:jc w:val="center"/>
            </w:pPr>
            <w:r>
              <w:t>(b)</w:t>
            </w:r>
          </w:p>
        </w:tc>
      </w:tr>
      <w:tr w:rsidR="00941C02" w14:paraId="2B399FF2" w14:textId="77777777" w:rsidTr="00ED2E82">
        <w:tc>
          <w:tcPr>
            <w:tcW w:w="4893" w:type="dxa"/>
          </w:tcPr>
          <w:p w14:paraId="33219ABA" w14:textId="77777777" w:rsidR="00941C02" w:rsidRPr="00E73151" w:rsidRDefault="00941C02" w:rsidP="00ED2E82">
            <w:pPr>
              <w:rPr>
                <w:noProof/>
                <w:lang w:eastAsia="en-GB"/>
              </w:rPr>
            </w:pPr>
            <w:r w:rsidRPr="00E73151">
              <w:rPr>
                <w:b/>
                <w:color w:val="000000"/>
                <w:kern w:val="24"/>
              </w:rPr>
              <w:t>A.</w:t>
            </w:r>
            <w:r w:rsidRPr="00E73151">
              <w:rPr>
                <w:color w:val="000000"/>
                <w:kern w:val="24"/>
              </w:rPr>
              <w:t xml:space="preserve"> Other Buildings; </w:t>
            </w:r>
            <w:r w:rsidRPr="00E73151">
              <w:rPr>
                <w:b/>
                <w:color w:val="000000"/>
                <w:kern w:val="24"/>
              </w:rPr>
              <w:t>B.</w:t>
            </w:r>
            <w:r w:rsidRPr="00E73151">
              <w:rPr>
                <w:color w:val="000000"/>
                <w:kern w:val="24"/>
              </w:rPr>
              <w:t xml:space="preserve"> Other Buildings excluding 10,000+ m</w:t>
            </w:r>
            <w:r w:rsidRPr="00E73151">
              <w:rPr>
                <w:color w:val="000000"/>
                <w:kern w:val="24"/>
                <w:vertAlign w:val="superscript"/>
              </w:rPr>
              <w:t>2</w:t>
            </w:r>
            <w:r w:rsidRPr="00E73151">
              <w:rPr>
                <w:color w:val="000000"/>
                <w:kern w:val="24"/>
              </w:rPr>
              <w:t xml:space="preserve">; </w:t>
            </w:r>
            <w:r w:rsidRPr="00E73151">
              <w:rPr>
                <w:b/>
                <w:color w:val="000000"/>
                <w:kern w:val="24"/>
              </w:rPr>
              <w:t>C.</w:t>
            </w:r>
            <w:r w:rsidRPr="00E73151">
              <w:rPr>
                <w:color w:val="000000"/>
                <w:kern w:val="24"/>
              </w:rPr>
              <w:t xml:space="preserve"> Other Buildings excluding 5,000+ m</w:t>
            </w:r>
            <w:r w:rsidRPr="00E73151">
              <w:rPr>
                <w:color w:val="000000"/>
                <w:kern w:val="24"/>
                <w:vertAlign w:val="superscript"/>
              </w:rPr>
              <w:t>2</w:t>
            </w:r>
            <w:r w:rsidRPr="00E73151">
              <w:rPr>
                <w:color w:val="000000"/>
                <w:kern w:val="24"/>
              </w:rPr>
              <w:t xml:space="preserve">; </w:t>
            </w:r>
            <w:r w:rsidRPr="00E73151">
              <w:rPr>
                <w:b/>
                <w:color w:val="000000"/>
                <w:kern w:val="24"/>
              </w:rPr>
              <w:t>D.</w:t>
            </w:r>
            <w:r w:rsidRPr="00E73151">
              <w:rPr>
                <w:color w:val="000000"/>
                <w:kern w:val="24"/>
              </w:rPr>
              <w:t xml:space="preserve"> Other Buildings excluding 2,000+ m</w:t>
            </w:r>
            <w:r w:rsidRPr="00E73151">
              <w:rPr>
                <w:color w:val="000000"/>
                <w:kern w:val="24"/>
                <w:vertAlign w:val="superscript"/>
              </w:rPr>
              <w:t>2</w:t>
            </w:r>
            <w:r w:rsidRPr="00E73151">
              <w:rPr>
                <w:color w:val="000000"/>
                <w:kern w:val="24"/>
              </w:rPr>
              <w:t xml:space="preserve">; </w:t>
            </w:r>
            <w:r w:rsidRPr="00E73151">
              <w:rPr>
                <w:b/>
                <w:color w:val="000000"/>
                <w:kern w:val="24"/>
              </w:rPr>
              <w:t>E.</w:t>
            </w:r>
            <w:r w:rsidRPr="00E73151">
              <w:rPr>
                <w:color w:val="000000"/>
                <w:kern w:val="24"/>
              </w:rPr>
              <w:t xml:space="preserve"> Other Buildings excluding 1,000+ m</w:t>
            </w:r>
            <w:r w:rsidRPr="00E73151">
              <w:rPr>
                <w:color w:val="000000"/>
                <w:kern w:val="24"/>
                <w:vertAlign w:val="superscript"/>
              </w:rPr>
              <w:t>2</w:t>
            </w:r>
            <w:r w:rsidRPr="00E73151">
              <w:rPr>
                <w:color w:val="000000"/>
                <w:kern w:val="24"/>
              </w:rPr>
              <w:t xml:space="preserve">; </w:t>
            </w:r>
            <w:r w:rsidRPr="00E73151">
              <w:rPr>
                <w:b/>
                <w:color w:val="000000"/>
                <w:kern w:val="24"/>
              </w:rPr>
              <w:t>F.</w:t>
            </w:r>
            <w:r w:rsidRPr="00E73151">
              <w:rPr>
                <w:color w:val="000000"/>
                <w:kern w:val="24"/>
              </w:rPr>
              <w:t xml:space="preserve"> Dwellings</w:t>
            </w:r>
          </w:p>
        </w:tc>
      </w:tr>
      <w:tr w:rsidR="00941C02" w14:paraId="61EA5E0B" w14:textId="77777777" w:rsidTr="00ED2E82">
        <w:tc>
          <w:tcPr>
            <w:tcW w:w="4893" w:type="dxa"/>
          </w:tcPr>
          <w:p w14:paraId="5CB9E09A" w14:textId="5D82296C" w:rsidR="00941C02" w:rsidRDefault="00941C02" w:rsidP="00ED2E82">
            <w:r>
              <w:t xml:space="preserve">Figure </w:t>
            </w:r>
            <w:r w:rsidR="00D90D79">
              <w:t>10</w:t>
            </w:r>
            <w:r>
              <w:t>. a) Fire spread and b) area damaged in square meters in UK 2014/2015</w:t>
            </w:r>
          </w:p>
        </w:tc>
      </w:tr>
    </w:tbl>
    <w:p w14:paraId="7726ADA0" w14:textId="755A7880" w:rsidR="00941C02" w:rsidRPr="00F90870" w:rsidRDefault="00941C02" w:rsidP="00941C02">
      <w:pPr>
        <w:rPr>
          <w:sz w:val="24"/>
          <w:szCs w:val="24"/>
          <w:lang w:val="en-US"/>
        </w:rPr>
      </w:pPr>
      <w:proofErr w:type="gramStart"/>
      <w:r>
        <w:rPr>
          <w:sz w:val="24"/>
          <w:szCs w:val="24"/>
          <w:lang w:val="en-US"/>
        </w:rPr>
        <w:lastRenderedPageBreak/>
        <w:t xml:space="preserve">In USA, the spread of fire is confined for the 16.7% to the object of origin (A) or for the 33.7% to the room of origin (B), for the 8.7% to the floor of origin (C), confined to the building of origin for 33.9% (D) and only for the 7.0% of incidents, fire appears to go beyond the building of origin (E) (Figure </w:t>
      </w:r>
      <w:r w:rsidR="00075A24">
        <w:rPr>
          <w:sz w:val="24"/>
          <w:szCs w:val="24"/>
          <w:lang w:val="en-US"/>
        </w:rPr>
        <w:t>11</w:t>
      </w:r>
      <w:r>
        <w:rPr>
          <w:sz w:val="24"/>
          <w:szCs w:val="24"/>
          <w:lang w:val="en-US"/>
        </w:rPr>
        <w:t>a).</w:t>
      </w:r>
      <w:proofErr w:type="gramEnd"/>
      <w:r>
        <w:rPr>
          <w:sz w:val="24"/>
          <w:szCs w:val="24"/>
          <w:lang w:val="en-US"/>
        </w:rPr>
        <w:t xml:space="preserve"> New Zealand Fire Service database shows spread not only for fire but also for flame, smoke and water. Fire damage is not present for 18.2% of fires, flame damage for 1.0%, smoke damage for 9.5% and water damage for 20.3% (A). For 10.4% fire damage is confined to structure of origin as well as smoke damage with 16% and water damage with 10.4% (G) while 15.2% of flame damage is c</w:t>
      </w:r>
      <w:r w:rsidRPr="00B8373E">
        <w:rPr>
          <w:sz w:val="24"/>
          <w:szCs w:val="24"/>
          <w:lang w:val="en-US"/>
        </w:rPr>
        <w:t>onfined to part of room or area of origin</w:t>
      </w:r>
      <w:r>
        <w:rPr>
          <w:sz w:val="24"/>
          <w:szCs w:val="24"/>
          <w:lang w:val="en-US"/>
        </w:rPr>
        <w:t xml:space="preserve"> (D)</w:t>
      </w:r>
      <w:r w:rsidR="00075A24">
        <w:rPr>
          <w:sz w:val="24"/>
          <w:szCs w:val="24"/>
          <w:lang w:val="en-US"/>
        </w:rPr>
        <w:t xml:space="preserve"> (Figure 11b)</w:t>
      </w:r>
      <w:r>
        <w:rPr>
          <w:sz w:val="24"/>
          <w:szCs w:val="24"/>
          <w:lang w:val="en-US"/>
        </w:rPr>
        <w:t xml:space="preserve">. Unfortunately, data </w:t>
      </w:r>
      <w:proofErr w:type="gramStart"/>
      <w:r>
        <w:rPr>
          <w:sz w:val="24"/>
          <w:szCs w:val="24"/>
          <w:lang w:val="en-US"/>
        </w:rPr>
        <w:t>are not recorded</w:t>
      </w:r>
      <w:proofErr w:type="gramEnd"/>
      <w:r>
        <w:rPr>
          <w:sz w:val="24"/>
          <w:szCs w:val="24"/>
          <w:lang w:val="en-US"/>
        </w:rPr>
        <w:t xml:space="preserve"> for 50.3% of incidents. Again, Figure </w:t>
      </w:r>
      <w:r w:rsidR="00075A24">
        <w:rPr>
          <w:sz w:val="24"/>
          <w:szCs w:val="24"/>
          <w:lang w:val="en-US"/>
        </w:rPr>
        <w:t>11</w:t>
      </w:r>
      <w:r>
        <w:rPr>
          <w:sz w:val="24"/>
          <w:szCs w:val="24"/>
          <w:lang w:val="en-US"/>
        </w:rPr>
        <w:t xml:space="preserve"> shows that, in gene</w:t>
      </w:r>
      <w:r w:rsidR="00DC35E8">
        <w:rPr>
          <w:sz w:val="24"/>
          <w:szCs w:val="24"/>
          <w:lang w:val="en-US"/>
        </w:rPr>
        <w:t xml:space="preserve">ral compartmentation works well. </w:t>
      </w:r>
      <w:proofErr w:type="gramStart"/>
      <w:r w:rsidR="00DC35E8">
        <w:rPr>
          <w:sz w:val="24"/>
          <w:szCs w:val="24"/>
          <w:lang w:val="en-US"/>
        </w:rPr>
        <w:t>H</w:t>
      </w:r>
      <w:r>
        <w:rPr>
          <w:sz w:val="24"/>
          <w:szCs w:val="24"/>
          <w:lang w:val="en-US"/>
        </w:rPr>
        <w:t>owever</w:t>
      </w:r>
      <w:r w:rsidR="00DC35E8">
        <w:rPr>
          <w:sz w:val="24"/>
          <w:szCs w:val="24"/>
          <w:lang w:val="en-US"/>
        </w:rPr>
        <w:t>,</w:t>
      </w:r>
      <w:r>
        <w:rPr>
          <w:sz w:val="24"/>
          <w:szCs w:val="24"/>
          <w:lang w:val="en-US"/>
        </w:rPr>
        <w:t xml:space="preserve"> there are a significant number of fires that effect and cause damage outside the room of origin.</w:t>
      </w:r>
      <w:proofErr w:type="gramEnd"/>
      <w:r>
        <w:rPr>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20E0C4AE" w14:textId="77777777" w:rsidTr="00ED2E82">
        <w:tc>
          <w:tcPr>
            <w:tcW w:w="4903" w:type="dxa"/>
          </w:tcPr>
          <w:p w14:paraId="21DFC6F7" w14:textId="77777777" w:rsidR="00941C02" w:rsidRPr="000D76AF" w:rsidRDefault="00941C02" w:rsidP="00ED2E82">
            <w:pPr>
              <w:jc w:val="center"/>
            </w:pPr>
            <w:r>
              <w:rPr>
                <w:noProof/>
                <w:lang w:eastAsia="en-GB"/>
              </w:rPr>
              <w:drawing>
                <wp:anchor distT="0" distB="0" distL="114300" distR="114300" simplePos="0" relativeHeight="251686912" behindDoc="0" locked="0" layoutInCell="1" allowOverlap="1" wp14:anchorId="3B510BC3" wp14:editId="3D29E616">
                  <wp:simplePos x="0" y="0"/>
                  <wp:positionH relativeFrom="column">
                    <wp:posOffset>-68580</wp:posOffset>
                  </wp:positionH>
                  <wp:positionV relativeFrom="paragraph">
                    <wp:posOffset>0</wp:posOffset>
                  </wp:positionV>
                  <wp:extent cx="2880000" cy="1260000"/>
                  <wp:effectExtent l="0" t="0" r="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Pr="000D76AF">
              <w:t xml:space="preserve"> (a)</w:t>
            </w:r>
          </w:p>
        </w:tc>
      </w:tr>
      <w:tr w:rsidR="00941C02" w14:paraId="373F1E91" w14:textId="77777777" w:rsidTr="00ED2E82">
        <w:tc>
          <w:tcPr>
            <w:tcW w:w="4903" w:type="dxa"/>
          </w:tcPr>
          <w:p w14:paraId="69E5FD9B" w14:textId="77777777" w:rsidR="00941C02" w:rsidRPr="000D76AF" w:rsidRDefault="00941C02" w:rsidP="00ED2E82">
            <w:r w:rsidRPr="000D76AF">
              <w:rPr>
                <w:rFonts w:eastAsia="Times New Roman"/>
                <w:b/>
                <w:color w:val="000000"/>
                <w:lang w:eastAsia="en-GB"/>
              </w:rPr>
              <w:t>A</w:t>
            </w:r>
            <w:r>
              <w:rPr>
                <w:rFonts w:eastAsia="Times New Roman"/>
                <w:color w:val="000000"/>
                <w:lang w:eastAsia="en-GB"/>
              </w:rPr>
              <w:t xml:space="preserve">. </w:t>
            </w:r>
            <w:r w:rsidRPr="000D76AF">
              <w:rPr>
                <w:rFonts w:eastAsia="Times New Roman"/>
                <w:color w:val="000000"/>
                <w:lang w:eastAsia="en-GB"/>
              </w:rPr>
              <w:t xml:space="preserve">Confined to object of origin; </w:t>
            </w:r>
            <w:r w:rsidRPr="000D76AF">
              <w:rPr>
                <w:rFonts w:eastAsia="Times New Roman"/>
                <w:b/>
                <w:color w:val="000000"/>
                <w:lang w:eastAsia="en-GB"/>
              </w:rPr>
              <w:t>B</w:t>
            </w:r>
            <w:r w:rsidRPr="000D76AF">
              <w:rPr>
                <w:rFonts w:eastAsia="Times New Roman"/>
                <w:color w:val="000000"/>
                <w:lang w:eastAsia="en-GB"/>
              </w:rPr>
              <w:t xml:space="preserve">. Confined to room of origin; </w:t>
            </w:r>
            <w:r w:rsidRPr="000D76AF">
              <w:rPr>
                <w:rFonts w:eastAsia="Times New Roman"/>
                <w:b/>
                <w:color w:val="000000"/>
                <w:lang w:eastAsia="en-GB"/>
              </w:rPr>
              <w:t>C</w:t>
            </w:r>
            <w:r w:rsidRPr="000D76AF">
              <w:rPr>
                <w:rFonts w:eastAsia="Times New Roman"/>
                <w:color w:val="000000"/>
                <w:lang w:eastAsia="en-GB"/>
              </w:rPr>
              <w:t xml:space="preserve">. Confined to floor of origin; </w:t>
            </w:r>
            <w:r w:rsidRPr="000D76AF">
              <w:rPr>
                <w:rFonts w:eastAsia="Times New Roman"/>
                <w:b/>
                <w:color w:val="000000"/>
                <w:lang w:eastAsia="en-GB"/>
              </w:rPr>
              <w:t>D</w:t>
            </w:r>
            <w:r w:rsidRPr="000D76AF">
              <w:rPr>
                <w:rFonts w:eastAsia="Times New Roman"/>
                <w:color w:val="000000"/>
                <w:lang w:eastAsia="en-GB"/>
              </w:rPr>
              <w:t xml:space="preserve">. Confined to building of origin; </w:t>
            </w:r>
            <w:r w:rsidRPr="000D76AF">
              <w:rPr>
                <w:rFonts w:eastAsia="Times New Roman"/>
                <w:b/>
                <w:color w:val="000000"/>
                <w:lang w:eastAsia="en-GB"/>
              </w:rPr>
              <w:t>E</w:t>
            </w:r>
            <w:r w:rsidRPr="000D76AF">
              <w:rPr>
                <w:rFonts w:eastAsia="Times New Roman"/>
                <w:color w:val="000000"/>
                <w:lang w:eastAsia="en-GB"/>
              </w:rPr>
              <w:t>. Beyond building of origin</w:t>
            </w:r>
          </w:p>
        </w:tc>
      </w:tr>
      <w:tr w:rsidR="00941C02" w14:paraId="7334D8F1" w14:textId="77777777" w:rsidTr="00ED2E82">
        <w:tc>
          <w:tcPr>
            <w:tcW w:w="4903" w:type="dxa"/>
          </w:tcPr>
          <w:p w14:paraId="0B8472CD" w14:textId="77777777" w:rsidR="00941C02" w:rsidRPr="005A08B4" w:rsidRDefault="00941C02" w:rsidP="00ED2E82">
            <w:pPr>
              <w:jc w:val="center"/>
            </w:pPr>
            <w:r>
              <w:rPr>
                <w:noProof/>
                <w:lang w:eastAsia="en-GB"/>
              </w:rPr>
              <w:drawing>
                <wp:anchor distT="0" distB="0" distL="114300" distR="114300" simplePos="0" relativeHeight="251687936" behindDoc="0" locked="0" layoutInCell="1" allowOverlap="1" wp14:anchorId="5263AE55" wp14:editId="4448409B">
                  <wp:simplePos x="0" y="0"/>
                  <wp:positionH relativeFrom="column">
                    <wp:posOffset>-68580</wp:posOffset>
                  </wp:positionH>
                  <wp:positionV relativeFrom="paragraph">
                    <wp:posOffset>0</wp:posOffset>
                  </wp:positionV>
                  <wp:extent cx="3140710" cy="1661795"/>
                  <wp:effectExtent l="0" t="0" r="2540" b="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5A08B4">
              <w:t xml:space="preserve"> (b)</w:t>
            </w:r>
          </w:p>
        </w:tc>
      </w:tr>
      <w:tr w:rsidR="00941C02" w14:paraId="66927B71" w14:textId="77777777" w:rsidTr="00ED2E82">
        <w:tc>
          <w:tcPr>
            <w:tcW w:w="4903" w:type="dxa"/>
          </w:tcPr>
          <w:p w14:paraId="4D7397C7" w14:textId="453589B3" w:rsidR="00941C02" w:rsidRPr="00C95666" w:rsidRDefault="00941C02" w:rsidP="00E570F1">
            <w:pPr>
              <w:rPr>
                <w:sz w:val="18"/>
              </w:rPr>
            </w:pPr>
            <w:r w:rsidRPr="00C95666">
              <w:rPr>
                <w:rFonts w:eastAsia="Times New Roman"/>
                <w:b/>
                <w:color w:val="000000"/>
                <w:szCs w:val="22"/>
                <w:lang w:eastAsia="en-GB"/>
              </w:rPr>
              <w:t>A</w:t>
            </w:r>
            <w:r>
              <w:rPr>
                <w:rFonts w:eastAsia="Times New Roman"/>
                <w:color w:val="000000"/>
                <w:szCs w:val="22"/>
                <w:lang w:eastAsia="en-GB"/>
              </w:rPr>
              <w:t xml:space="preserve">. </w:t>
            </w:r>
            <w:r w:rsidRPr="00C95666">
              <w:rPr>
                <w:rFonts w:eastAsia="Times New Roman"/>
                <w:color w:val="000000"/>
                <w:szCs w:val="22"/>
                <w:lang w:eastAsia="en-GB"/>
              </w:rPr>
              <w:t xml:space="preserve">No damage of this type; </w:t>
            </w:r>
            <w:r w:rsidRPr="00C95666">
              <w:rPr>
                <w:rFonts w:eastAsia="Times New Roman"/>
                <w:b/>
                <w:color w:val="000000"/>
                <w:szCs w:val="22"/>
                <w:lang w:eastAsia="en-GB"/>
              </w:rPr>
              <w:t>B</w:t>
            </w:r>
            <w:r w:rsidRPr="00C95666">
              <w:rPr>
                <w:rFonts w:eastAsia="Times New Roman"/>
                <w:color w:val="000000"/>
                <w:szCs w:val="22"/>
                <w:lang w:eastAsia="en-GB"/>
              </w:rPr>
              <w:t xml:space="preserve">. Confined to fire cell of origin; </w:t>
            </w:r>
            <w:r w:rsidRPr="00C95666">
              <w:rPr>
                <w:rFonts w:eastAsia="Times New Roman"/>
                <w:b/>
                <w:color w:val="000000"/>
                <w:szCs w:val="22"/>
                <w:lang w:eastAsia="en-GB"/>
              </w:rPr>
              <w:t>C</w:t>
            </w:r>
            <w:r w:rsidRPr="00C95666">
              <w:rPr>
                <w:rFonts w:eastAsia="Times New Roman"/>
                <w:color w:val="000000"/>
                <w:szCs w:val="22"/>
                <w:lang w:eastAsia="en-GB"/>
              </w:rPr>
              <w:t xml:space="preserve">. Confined to object of origin; </w:t>
            </w:r>
            <w:r w:rsidRPr="00C95666">
              <w:rPr>
                <w:rFonts w:eastAsia="Times New Roman"/>
                <w:b/>
                <w:color w:val="000000"/>
                <w:szCs w:val="22"/>
                <w:lang w:eastAsia="en-GB"/>
              </w:rPr>
              <w:t>D</w:t>
            </w:r>
            <w:r w:rsidRPr="00C95666">
              <w:rPr>
                <w:rFonts w:eastAsia="Times New Roman"/>
                <w:color w:val="000000"/>
                <w:szCs w:val="22"/>
                <w:lang w:eastAsia="en-GB"/>
              </w:rPr>
              <w:t xml:space="preserve">. Confined to part of room or area of origin; </w:t>
            </w:r>
            <w:r w:rsidRPr="00C95666">
              <w:rPr>
                <w:rFonts w:eastAsia="Times New Roman"/>
                <w:b/>
                <w:color w:val="000000"/>
                <w:szCs w:val="22"/>
                <w:lang w:eastAsia="en-GB"/>
              </w:rPr>
              <w:t>E</w:t>
            </w:r>
            <w:r w:rsidRPr="00C95666">
              <w:rPr>
                <w:rFonts w:eastAsia="Times New Roman"/>
                <w:color w:val="000000"/>
                <w:szCs w:val="22"/>
                <w:lang w:eastAsia="en-GB"/>
              </w:rPr>
              <w:t xml:space="preserve">. Confined to room of origin; </w:t>
            </w:r>
            <w:r w:rsidRPr="00C95666">
              <w:rPr>
                <w:rFonts w:eastAsia="Times New Roman"/>
                <w:b/>
                <w:color w:val="000000"/>
                <w:szCs w:val="22"/>
                <w:lang w:eastAsia="en-GB"/>
              </w:rPr>
              <w:t>F</w:t>
            </w:r>
            <w:r w:rsidRPr="00C95666">
              <w:rPr>
                <w:rFonts w:eastAsia="Times New Roman"/>
                <w:color w:val="000000"/>
                <w:szCs w:val="22"/>
                <w:lang w:eastAsia="en-GB"/>
              </w:rPr>
              <w:t xml:space="preserve">. Confined to floor of origin; </w:t>
            </w:r>
            <w:r w:rsidRPr="00C95666">
              <w:rPr>
                <w:rFonts w:eastAsia="Times New Roman"/>
                <w:b/>
                <w:color w:val="000000"/>
                <w:szCs w:val="22"/>
                <w:lang w:eastAsia="en-GB"/>
              </w:rPr>
              <w:t>G</w:t>
            </w:r>
            <w:r w:rsidRPr="00C95666">
              <w:rPr>
                <w:rFonts w:eastAsia="Times New Roman"/>
                <w:color w:val="000000"/>
                <w:szCs w:val="22"/>
                <w:lang w:eastAsia="en-GB"/>
              </w:rPr>
              <w:t xml:space="preserve">. Confined to structure of origin; </w:t>
            </w:r>
            <w:r w:rsidRPr="00C95666">
              <w:rPr>
                <w:rFonts w:eastAsia="Times New Roman"/>
                <w:b/>
                <w:color w:val="000000"/>
                <w:szCs w:val="22"/>
                <w:lang w:eastAsia="en-GB"/>
              </w:rPr>
              <w:t>H</w:t>
            </w:r>
            <w:r w:rsidRPr="00C95666">
              <w:rPr>
                <w:rFonts w:eastAsia="Times New Roman"/>
                <w:color w:val="000000"/>
                <w:szCs w:val="22"/>
                <w:lang w:eastAsia="en-GB"/>
              </w:rPr>
              <w:t xml:space="preserve">. Extended beyond structure of origin; </w:t>
            </w:r>
          </w:p>
        </w:tc>
      </w:tr>
      <w:tr w:rsidR="00941C02" w14:paraId="561A39A0" w14:textId="77777777" w:rsidTr="00ED2E82">
        <w:tc>
          <w:tcPr>
            <w:tcW w:w="4903" w:type="dxa"/>
          </w:tcPr>
          <w:p w14:paraId="1C968933" w14:textId="5830F9BD" w:rsidR="00941C02" w:rsidRPr="00C95666" w:rsidRDefault="00941C02" w:rsidP="00ED2E82">
            <w:r w:rsidRPr="00C95666">
              <w:t xml:space="preserve">Figure </w:t>
            </w:r>
            <w:r w:rsidR="00075A24">
              <w:t>11</w:t>
            </w:r>
            <w:r w:rsidRPr="00C95666">
              <w:t>. a) Fire spread in USA and b) Fire, Flame, Smoke and Water spread in NZ in 2014/2015</w:t>
            </w:r>
          </w:p>
        </w:tc>
      </w:tr>
    </w:tbl>
    <w:p w14:paraId="47218FA2" w14:textId="77777777" w:rsidR="00941C02" w:rsidRDefault="00941C02" w:rsidP="00941C02">
      <w:pPr>
        <w:rPr>
          <w:sz w:val="24"/>
          <w:szCs w:val="24"/>
        </w:rPr>
      </w:pPr>
    </w:p>
    <w:p w14:paraId="6D9011E4" w14:textId="23E1A194" w:rsidR="00941C02" w:rsidRPr="00770A7C" w:rsidRDefault="00941C02" w:rsidP="00941C02">
      <w:pPr>
        <w:rPr>
          <w:sz w:val="24"/>
          <w:szCs w:val="24"/>
        </w:rPr>
      </w:pPr>
      <w:r w:rsidRPr="00770A7C">
        <w:rPr>
          <w:sz w:val="24"/>
          <w:szCs w:val="24"/>
        </w:rPr>
        <w:t>The USA data fo</w:t>
      </w:r>
      <w:r>
        <w:rPr>
          <w:sz w:val="24"/>
          <w:szCs w:val="24"/>
        </w:rPr>
        <w:t xml:space="preserve">r area damaged </w:t>
      </w:r>
      <w:proofErr w:type="gramStart"/>
      <w:r>
        <w:rPr>
          <w:sz w:val="24"/>
          <w:szCs w:val="24"/>
        </w:rPr>
        <w:t>is divided</w:t>
      </w:r>
      <w:proofErr w:type="gramEnd"/>
      <w:r>
        <w:rPr>
          <w:sz w:val="24"/>
          <w:szCs w:val="24"/>
        </w:rPr>
        <w:t xml:space="preserve"> into four</w:t>
      </w:r>
      <w:r w:rsidRPr="00770A7C">
        <w:rPr>
          <w:sz w:val="24"/>
          <w:szCs w:val="24"/>
        </w:rPr>
        <w:t xml:space="preserve"> categories: minor, significant, heavy and extreme damaged. For each class, the fire departments must </w:t>
      </w:r>
      <w:r w:rsidRPr="00770A7C">
        <w:rPr>
          <w:sz w:val="24"/>
          <w:szCs w:val="24"/>
        </w:rPr>
        <w:t>specify the number of floors subjected to fire</w:t>
      </w:r>
      <w:r>
        <w:rPr>
          <w:sz w:val="24"/>
          <w:szCs w:val="24"/>
        </w:rPr>
        <w:t xml:space="preserve"> and Figure </w:t>
      </w:r>
      <w:r w:rsidR="008E1060">
        <w:rPr>
          <w:sz w:val="24"/>
          <w:szCs w:val="24"/>
        </w:rPr>
        <w:t>12</w:t>
      </w:r>
      <w:r>
        <w:rPr>
          <w:sz w:val="24"/>
          <w:szCs w:val="24"/>
        </w:rPr>
        <w:t xml:space="preserve">a shows </w:t>
      </w:r>
      <w:r w:rsidRPr="00C7391F">
        <w:rPr>
          <w:sz w:val="24"/>
          <w:szCs w:val="24"/>
        </w:rPr>
        <w:t>that 8</w:t>
      </w:r>
      <w:r>
        <w:rPr>
          <w:sz w:val="24"/>
          <w:szCs w:val="24"/>
        </w:rPr>
        <w:t>3.9</w:t>
      </w:r>
      <w:r w:rsidRPr="00C7391F">
        <w:rPr>
          <w:sz w:val="24"/>
          <w:szCs w:val="24"/>
        </w:rPr>
        <w:t>% (D – heavy damage) to 96</w:t>
      </w:r>
      <w:r>
        <w:rPr>
          <w:sz w:val="24"/>
          <w:szCs w:val="24"/>
        </w:rPr>
        <w:t>.2</w:t>
      </w:r>
      <w:r w:rsidRPr="00C7391F">
        <w:rPr>
          <w:sz w:val="24"/>
          <w:szCs w:val="24"/>
        </w:rPr>
        <w:t>% (A – minor damage) of these fires are limited to a single floor. Predic</w:t>
      </w:r>
      <w:r>
        <w:rPr>
          <w:sz w:val="24"/>
          <w:szCs w:val="24"/>
        </w:rPr>
        <w:t xml:space="preserve">tably, the more damage </w:t>
      </w:r>
      <w:r w:rsidRPr="00C7391F">
        <w:rPr>
          <w:sz w:val="24"/>
          <w:szCs w:val="24"/>
        </w:rPr>
        <w:t>see</w:t>
      </w:r>
      <w:r>
        <w:rPr>
          <w:sz w:val="24"/>
          <w:szCs w:val="24"/>
        </w:rPr>
        <w:t>n</w:t>
      </w:r>
      <w:r w:rsidRPr="00C7391F">
        <w:rPr>
          <w:sz w:val="24"/>
          <w:szCs w:val="24"/>
        </w:rPr>
        <w:t>, the more likely that the fire has spread to more than 1 floor, with heavy damage being experienced on 2 and 3 floors, 12.7% and 3.1% of the time respectively</w:t>
      </w:r>
      <w:r>
        <w:rPr>
          <w:sz w:val="24"/>
          <w:szCs w:val="24"/>
        </w:rPr>
        <w:t xml:space="preserve"> </w:t>
      </w:r>
      <w:r>
        <w:rPr>
          <w:sz w:val="24"/>
          <w:szCs w:val="24"/>
        </w:rPr>
        <w:fldChar w:fldCharType="begin" w:fldLock="1"/>
      </w:r>
      <w:r w:rsidR="00251A44">
        <w:rPr>
          <w:sz w:val="24"/>
          <w:szCs w:val="24"/>
        </w:rPr>
        <w:instrText>ADDIN CSL_CITATION { "citationItems" : [ { "id" : "ITEM-1", "itemData" : { "author" : [ { "dropping-particle" : "", "family" : "Manes", "given" : "M", "non-dropping-particle" : "", "parse-names" : false, "suffix" : "" }, { "dropping-particle" : "", "family" : "Rush", "given" : "D", "non-dropping-particle" : "", "parse-names" : false, "suffix" : "" } ], "id" : "ITEM-1", "issued" : { "date-parts" : [ [ "2017" ] ] }, "title" : "Meta-analysis of UK , USA and New Zealand fire statistics databases with respect to damage and financial loss .", "type" : "article-journal" }, "uris" : [ "http://www.mendeley.com/documents/?uuid=4256900c-5d58-49ee-ab75-0c532ece96eb" ] } ], "mendeley" : { "formattedCitation" : "[1]", "plainTextFormattedCitation" : "[1]", "previouslyFormattedCitation" : "[1]" }, "properties" : { "noteIndex" : 0 }, "schema" : "https://github.com/citation-style-language/schema/raw/master/csl-citation.json" }</w:instrText>
      </w:r>
      <w:r>
        <w:rPr>
          <w:sz w:val="24"/>
          <w:szCs w:val="24"/>
        </w:rPr>
        <w:fldChar w:fldCharType="separate"/>
      </w:r>
      <w:r w:rsidRPr="00FF5BC6">
        <w:rPr>
          <w:noProof/>
          <w:sz w:val="24"/>
          <w:szCs w:val="24"/>
        </w:rPr>
        <w:t>[1]</w:t>
      </w:r>
      <w:r>
        <w:rPr>
          <w:sz w:val="24"/>
          <w:szCs w:val="24"/>
        </w:rPr>
        <w:fldChar w:fldCharType="end"/>
      </w:r>
      <w:r>
        <w:rPr>
          <w:sz w:val="24"/>
          <w:szCs w:val="24"/>
        </w:rPr>
        <w:t>.</w:t>
      </w:r>
      <w:r w:rsidRPr="00770A7C">
        <w:rPr>
          <w:sz w:val="24"/>
          <w:szCs w:val="24"/>
        </w:rPr>
        <w:t xml:space="preserve"> </w:t>
      </w:r>
      <w:r>
        <w:rPr>
          <w:sz w:val="24"/>
          <w:szCs w:val="24"/>
        </w:rPr>
        <w:t xml:space="preserve">New Zealand database instead presents property saved and to create a comparison, the analysis of this paper has transformed the percentages of property saved in percentages of property damaged and grouped the values according to the four classes of damage presented in the NFIRS. </w:t>
      </w:r>
      <w:r w:rsidRPr="005F27D1">
        <w:rPr>
          <w:sz w:val="24"/>
          <w:szCs w:val="24"/>
        </w:rPr>
        <w:t xml:space="preserve">Figure </w:t>
      </w:r>
      <w:r w:rsidR="008E1060">
        <w:rPr>
          <w:sz w:val="24"/>
          <w:szCs w:val="24"/>
        </w:rPr>
        <w:t>12</w:t>
      </w:r>
      <w:r w:rsidRPr="005F27D1">
        <w:rPr>
          <w:sz w:val="24"/>
          <w:szCs w:val="24"/>
        </w:rPr>
        <w:t xml:space="preserve">b presents the percentage of fires within these four categories in the two countries, and shows that 49.6% in USA and 80.5% in New Zealand </w:t>
      </w:r>
      <w:r>
        <w:rPr>
          <w:sz w:val="24"/>
          <w:szCs w:val="24"/>
        </w:rPr>
        <w:t xml:space="preserve">of all </w:t>
      </w:r>
      <w:r w:rsidRPr="005F27D1">
        <w:rPr>
          <w:sz w:val="24"/>
          <w:szCs w:val="24"/>
        </w:rPr>
        <w:t>fires cause only minor damage, with significant, heavy, and ext</w:t>
      </w:r>
      <w:r>
        <w:rPr>
          <w:sz w:val="24"/>
          <w:szCs w:val="24"/>
        </w:rPr>
        <w:t>reme damage being realized for 15.5%-</w:t>
      </w:r>
      <w:proofErr w:type="gramStart"/>
      <w:r>
        <w:rPr>
          <w:sz w:val="24"/>
          <w:szCs w:val="24"/>
        </w:rPr>
        <w:t>3.4%</w:t>
      </w:r>
      <w:proofErr w:type="gramEnd"/>
      <w:r>
        <w:rPr>
          <w:sz w:val="24"/>
          <w:szCs w:val="24"/>
        </w:rPr>
        <w:t>, 11.4%</w:t>
      </w:r>
      <w:r w:rsidRPr="005F27D1">
        <w:rPr>
          <w:sz w:val="24"/>
          <w:szCs w:val="24"/>
        </w:rPr>
        <w:t xml:space="preserve">-3.8% and </w:t>
      </w:r>
      <w:r>
        <w:rPr>
          <w:sz w:val="24"/>
          <w:szCs w:val="24"/>
        </w:rPr>
        <w:t>23.5%</w:t>
      </w:r>
      <w:r w:rsidRPr="005F27D1">
        <w:rPr>
          <w:sz w:val="24"/>
          <w:szCs w:val="24"/>
        </w:rPr>
        <w:t>-10.9%</w:t>
      </w:r>
      <w:r>
        <w:rPr>
          <w:sz w:val="24"/>
          <w:szCs w:val="24"/>
        </w:rPr>
        <w:t xml:space="preserve"> </w:t>
      </w:r>
      <w:r w:rsidRPr="005F27D1">
        <w:rPr>
          <w:sz w:val="24"/>
          <w:szCs w:val="24"/>
        </w:rPr>
        <w:t>respectively in USA and New Zealand.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941C02" w14:paraId="09F2C2A0" w14:textId="77777777" w:rsidTr="00ED2E82">
        <w:tc>
          <w:tcPr>
            <w:tcW w:w="4893" w:type="dxa"/>
          </w:tcPr>
          <w:p w14:paraId="4B0B4213" w14:textId="77777777" w:rsidR="00941C02" w:rsidRPr="005F27D1" w:rsidRDefault="00941C02" w:rsidP="00ED2E82">
            <w:pPr>
              <w:jc w:val="center"/>
              <w:rPr>
                <w:noProof/>
                <w:lang w:eastAsia="en-GB"/>
              </w:rPr>
            </w:pPr>
            <w:r w:rsidRPr="005F27D1">
              <w:rPr>
                <w:noProof/>
                <w:lang w:eastAsia="en-GB"/>
              </w:rPr>
              <w:drawing>
                <wp:anchor distT="0" distB="0" distL="114300" distR="114300" simplePos="0" relativeHeight="251685888" behindDoc="0" locked="0" layoutInCell="1" allowOverlap="1" wp14:anchorId="5D039763" wp14:editId="72595597">
                  <wp:simplePos x="0" y="0"/>
                  <wp:positionH relativeFrom="column">
                    <wp:posOffset>156210</wp:posOffset>
                  </wp:positionH>
                  <wp:positionV relativeFrom="paragraph">
                    <wp:posOffset>22860</wp:posOffset>
                  </wp:positionV>
                  <wp:extent cx="2750820" cy="1494790"/>
                  <wp:effectExtent l="0" t="0" r="0"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Pr="005F27D1">
              <w:rPr>
                <w:noProof/>
                <w:lang w:eastAsia="en-GB"/>
              </w:rPr>
              <w:t>(a)</w:t>
            </w:r>
          </w:p>
        </w:tc>
      </w:tr>
      <w:tr w:rsidR="00941C02" w14:paraId="2EF93C21" w14:textId="77777777" w:rsidTr="00ED2E82">
        <w:tc>
          <w:tcPr>
            <w:tcW w:w="4893" w:type="dxa"/>
          </w:tcPr>
          <w:p w14:paraId="412120EF" w14:textId="77777777" w:rsidR="00941C02" w:rsidRDefault="00941C02" w:rsidP="00ED2E82">
            <w:pPr>
              <w:jc w:val="center"/>
              <w:rPr>
                <w:sz w:val="24"/>
                <w:szCs w:val="24"/>
              </w:rPr>
            </w:pPr>
            <w:r w:rsidRPr="00770A7C">
              <w:rPr>
                <w:noProof/>
                <w:sz w:val="16"/>
                <w:lang w:eastAsia="en-GB"/>
              </w:rPr>
              <w:drawing>
                <wp:anchor distT="0" distB="0" distL="114300" distR="114300" simplePos="0" relativeHeight="251684864" behindDoc="0" locked="0" layoutInCell="1" allowOverlap="1" wp14:anchorId="6C439BAC" wp14:editId="547D186A">
                  <wp:simplePos x="0" y="0"/>
                  <wp:positionH relativeFrom="column">
                    <wp:posOffset>-66675</wp:posOffset>
                  </wp:positionH>
                  <wp:positionV relativeFrom="paragraph">
                    <wp:posOffset>14605</wp:posOffset>
                  </wp:positionV>
                  <wp:extent cx="3100705" cy="1423035"/>
                  <wp:effectExtent l="0" t="0" r="4445" b="571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szCs w:val="24"/>
              </w:rPr>
              <w:t>(b</w:t>
            </w:r>
            <w:r w:rsidRPr="00770A7C">
              <w:rPr>
                <w:szCs w:val="24"/>
              </w:rPr>
              <w:t>)</w:t>
            </w:r>
          </w:p>
        </w:tc>
      </w:tr>
      <w:tr w:rsidR="00941C02" w14:paraId="39296F90" w14:textId="77777777" w:rsidTr="00ED2E82">
        <w:tc>
          <w:tcPr>
            <w:tcW w:w="4893" w:type="dxa"/>
          </w:tcPr>
          <w:p w14:paraId="2A848685" w14:textId="77777777" w:rsidR="00941C02" w:rsidRDefault="00941C02" w:rsidP="00ED2E82">
            <w:pPr>
              <w:rPr>
                <w:sz w:val="24"/>
                <w:szCs w:val="24"/>
              </w:rPr>
            </w:pPr>
            <w:r w:rsidRPr="00770A7C">
              <w:rPr>
                <w:b/>
                <w:color w:val="000000"/>
                <w:kern w:val="24"/>
                <w:szCs w:val="16"/>
              </w:rPr>
              <w:t>A</w:t>
            </w:r>
            <w:r w:rsidRPr="00770A7C">
              <w:rPr>
                <w:color w:val="000000"/>
                <w:kern w:val="24"/>
                <w:szCs w:val="16"/>
              </w:rPr>
              <w:t xml:space="preserve">. Minor damage; </w:t>
            </w:r>
            <w:r w:rsidRPr="00770A7C">
              <w:rPr>
                <w:b/>
                <w:color w:val="000000"/>
                <w:kern w:val="24"/>
                <w:szCs w:val="16"/>
              </w:rPr>
              <w:t>B</w:t>
            </w:r>
            <w:r w:rsidRPr="00770A7C">
              <w:rPr>
                <w:color w:val="000000"/>
                <w:kern w:val="24"/>
                <w:szCs w:val="16"/>
              </w:rPr>
              <w:t xml:space="preserve">. Significantly damage; </w:t>
            </w:r>
            <w:r w:rsidRPr="00770A7C">
              <w:rPr>
                <w:b/>
                <w:color w:val="000000"/>
                <w:kern w:val="24"/>
                <w:szCs w:val="16"/>
              </w:rPr>
              <w:t>C</w:t>
            </w:r>
            <w:r w:rsidRPr="00770A7C">
              <w:rPr>
                <w:color w:val="000000"/>
                <w:kern w:val="24"/>
                <w:szCs w:val="16"/>
              </w:rPr>
              <w:t xml:space="preserve">. Heavy damage; </w:t>
            </w:r>
            <w:r w:rsidRPr="00770A7C">
              <w:rPr>
                <w:b/>
                <w:color w:val="000000"/>
                <w:kern w:val="24"/>
                <w:szCs w:val="16"/>
              </w:rPr>
              <w:t>D</w:t>
            </w:r>
            <w:r w:rsidRPr="00770A7C">
              <w:rPr>
                <w:color w:val="000000"/>
                <w:kern w:val="24"/>
                <w:szCs w:val="16"/>
              </w:rPr>
              <w:t>. Extreme damage</w:t>
            </w:r>
          </w:p>
        </w:tc>
      </w:tr>
      <w:tr w:rsidR="00941C02" w14:paraId="5B4173E6" w14:textId="77777777" w:rsidTr="00ED2E82">
        <w:tc>
          <w:tcPr>
            <w:tcW w:w="4893" w:type="dxa"/>
          </w:tcPr>
          <w:p w14:paraId="05A9B996" w14:textId="04B60CA7" w:rsidR="00941C02" w:rsidRPr="005F27D1" w:rsidRDefault="00941C02" w:rsidP="00ED2E82">
            <w:r w:rsidRPr="005F27D1">
              <w:t xml:space="preserve">Figure </w:t>
            </w:r>
            <w:r w:rsidR="008E1060">
              <w:t>12</w:t>
            </w:r>
            <w:r w:rsidR="00414D4F">
              <w:t>.</w:t>
            </w:r>
            <w:r w:rsidRPr="005F27D1">
              <w:t xml:space="preserve"> a) Floors involved per class of area damaged in USA and b) Percentage of fires per area damaged in USA and NZ in 2014/2015</w:t>
            </w:r>
          </w:p>
        </w:tc>
      </w:tr>
    </w:tbl>
    <w:p w14:paraId="79083889" w14:textId="77777777" w:rsidR="00941C02" w:rsidRDefault="00941C02" w:rsidP="00941C02">
      <w:pPr>
        <w:rPr>
          <w:sz w:val="24"/>
          <w:szCs w:val="24"/>
        </w:rPr>
      </w:pPr>
    </w:p>
    <w:p w14:paraId="26FE653F" w14:textId="2540E3F8" w:rsidR="00941C02" w:rsidRPr="005C292D" w:rsidRDefault="00F4408A" w:rsidP="00941C02">
      <w:pPr>
        <w:pStyle w:val="Heading1"/>
        <w:rPr>
          <w:sz w:val="24"/>
          <w:szCs w:val="24"/>
        </w:rPr>
      </w:pPr>
      <w:r>
        <w:rPr>
          <w:sz w:val="24"/>
          <w:szCs w:val="24"/>
        </w:rPr>
        <w:t>4</w:t>
      </w:r>
      <w:r w:rsidR="00941C02" w:rsidRPr="005C292D">
        <w:rPr>
          <w:sz w:val="24"/>
          <w:szCs w:val="24"/>
        </w:rPr>
        <w:t>.</w:t>
      </w:r>
      <w:r w:rsidR="00941C02" w:rsidRPr="005C292D">
        <w:rPr>
          <w:sz w:val="24"/>
          <w:szCs w:val="24"/>
        </w:rPr>
        <w:tab/>
        <w:t>Conclusions</w:t>
      </w:r>
    </w:p>
    <w:p w14:paraId="34FE0CF8" w14:textId="45766820" w:rsidR="00F4408A" w:rsidRDefault="00941C02" w:rsidP="00941C02">
      <w:pPr>
        <w:rPr>
          <w:sz w:val="24"/>
          <w:szCs w:val="24"/>
        </w:rPr>
      </w:pPr>
      <w:r w:rsidRPr="00C62F23">
        <w:rPr>
          <w:sz w:val="24"/>
          <w:szCs w:val="24"/>
        </w:rPr>
        <w:t>This paper presents statistical data from three databases (IRS of the UK, NFIRS in USA and one produced by the New Zealand Fire Service) and shows important statistics on response times and</w:t>
      </w:r>
      <w:r w:rsidR="00F4408A">
        <w:rPr>
          <w:sz w:val="24"/>
          <w:szCs w:val="24"/>
        </w:rPr>
        <w:t xml:space="preserve"> </w:t>
      </w:r>
      <w:r w:rsidRPr="00C62F23">
        <w:rPr>
          <w:sz w:val="24"/>
          <w:szCs w:val="24"/>
        </w:rPr>
        <w:t>safety systems to the fire size, growth and damage</w:t>
      </w:r>
      <w:r>
        <w:rPr>
          <w:sz w:val="24"/>
          <w:szCs w:val="24"/>
        </w:rPr>
        <w:t xml:space="preserve">. </w:t>
      </w:r>
      <w:r w:rsidRPr="00C62F23">
        <w:rPr>
          <w:sz w:val="24"/>
          <w:szCs w:val="24"/>
        </w:rPr>
        <w:t>From these statistics, we can conclude:</w:t>
      </w:r>
    </w:p>
    <w:p w14:paraId="153E7C0E" w14:textId="344AF6B9" w:rsidR="00941C02" w:rsidRDefault="00941C02">
      <w:pPr>
        <w:pStyle w:val="ListParagraph"/>
        <w:numPr>
          <w:ilvl w:val="0"/>
          <w:numId w:val="15"/>
        </w:numPr>
        <w:ind w:left="641" w:hanging="357"/>
        <w:rPr>
          <w:sz w:val="24"/>
          <w:szCs w:val="24"/>
        </w:rPr>
      </w:pPr>
      <w:r>
        <w:rPr>
          <w:sz w:val="24"/>
          <w:szCs w:val="24"/>
        </w:rPr>
        <w:lastRenderedPageBreak/>
        <w:t xml:space="preserve">Fire causes in UK and USA </w:t>
      </w:r>
      <w:proofErr w:type="gramStart"/>
      <w:r>
        <w:rPr>
          <w:sz w:val="24"/>
          <w:szCs w:val="24"/>
        </w:rPr>
        <w:t>are divided</w:t>
      </w:r>
      <w:proofErr w:type="gramEnd"/>
      <w:r>
        <w:rPr>
          <w:sz w:val="24"/>
          <w:szCs w:val="24"/>
        </w:rPr>
        <w:t xml:space="preserve"> in dwellings and other buildings. In the IRS, for dwellings the major cause </w:t>
      </w:r>
      <w:proofErr w:type="gramStart"/>
      <w:r>
        <w:rPr>
          <w:sz w:val="24"/>
          <w:szCs w:val="24"/>
        </w:rPr>
        <w:t>is represented</w:t>
      </w:r>
      <w:proofErr w:type="gramEnd"/>
      <w:r>
        <w:rPr>
          <w:sz w:val="24"/>
          <w:szCs w:val="24"/>
        </w:rPr>
        <w:t xml:space="preserve"> by misuse of equipment while for other building by faulty appliances and leads. In </w:t>
      </w:r>
      <w:proofErr w:type="gramStart"/>
      <w:r>
        <w:rPr>
          <w:sz w:val="24"/>
          <w:szCs w:val="24"/>
        </w:rPr>
        <w:t>USA</w:t>
      </w:r>
      <w:proofErr w:type="gramEnd"/>
      <w:r>
        <w:rPr>
          <w:sz w:val="24"/>
          <w:szCs w:val="24"/>
        </w:rPr>
        <w:t xml:space="preserve"> cooking is the major cause for both dwellings and other building while in New Zealand, fire or heat source is the class with the highest value. For what concerns the item first ignited, </w:t>
      </w:r>
      <w:proofErr w:type="gramStart"/>
      <w:r>
        <w:rPr>
          <w:sz w:val="24"/>
          <w:szCs w:val="24"/>
        </w:rPr>
        <w:t>both in UK and New</w:t>
      </w:r>
      <w:proofErr w:type="gramEnd"/>
      <w:r>
        <w:rPr>
          <w:sz w:val="24"/>
          <w:szCs w:val="24"/>
        </w:rPr>
        <w:t xml:space="preserve"> Zealand it is represented by food while in the NFIRS by organic material.</w:t>
      </w:r>
    </w:p>
    <w:p w14:paraId="3AE7D852" w14:textId="0900A223" w:rsidR="00941C02" w:rsidRPr="009649AA" w:rsidRDefault="00941C02">
      <w:pPr>
        <w:pStyle w:val="ListParagraph"/>
        <w:numPr>
          <w:ilvl w:val="0"/>
          <w:numId w:val="15"/>
        </w:numPr>
        <w:ind w:left="641" w:hanging="357"/>
        <w:rPr>
          <w:sz w:val="24"/>
          <w:szCs w:val="24"/>
        </w:rPr>
      </w:pPr>
      <w:r>
        <w:rPr>
          <w:sz w:val="24"/>
          <w:szCs w:val="24"/>
        </w:rPr>
        <w:t xml:space="preserve">In the three countries, the operation of detectors showed the highest peak when systems operated and were effective. For what concerns the failures in UK, </w:t>
      </w:r>
      <w:proofErr w:type="gramStart"/>
      <w:r>
        <w:rPr>
          <w:sz w:val="24"/>
          <w:szCs w:val="24"/>
        </w:rPr>
        <w:t>they are divided by dwellings and other buildings</w:t>
      </w:r>
      <w:proofErr w:type="gramEnd"/>
      <w:r>
        <w:rPr>
          <w:sz w:val="24"/>
          <w:szCs w:val="24"/>
        </w:rPr>
        <w:t xml:space="preserve"> but for both of them, the principal reason is due to fire products that did not reach detectors. In USA, failure </w:t>
      </w:r>
      <w:proofErr w:type="gramStart"/>
      <w:r>
        <w:rPr>
          <w:sz w:val="24"/>
          <w:szCs w:val="24"/>
        </w:rPr>
        <w:t>can be seen in battery missing or disconnected</w:t>
      </w:r>
      <w:proofErr w:type="gramEnd"/>
      <w:r>
        <w:rPr>
          <w:sz w:val="24"/>
          <w:szCs w:val="24"/>
        </w:rPr>
        <w:t xml:space="preserve">. Data not recorded for New Zealand are more than 80% and this implies too general considerations for the other classes related to this aspect. </w:t>
      </w:r>
    </w:p>
    <w:p w14:paraId="104EE93B" w14:textId="41CA9EE5" w:rsidR="00941C02" w:rsidRDefault="00941C02" w:rsidP="00941C02">
      <w:pPr>
        <w:pStyle w:val="ListParagraph"/>
        <w:numPr>
          <w:ilvl w:val="0"/>
          <w:numId w:val="15"/>
        </w:numPr>
        <w:ind w:left="641" w:hanging="357"/>
        <w:rPr>
          <w:sz w:val="24"/>
          <w:szCs w:val="24"/>
        </w:rPr>
      </w:pPr>
      <w:r>
        <w:rPr>
          <w:sz w:val="24"/>
          <w:szCs w:val="24"/>
        </w:rPr>
        <w:t xml:space="preserve">In UK, number of incidents has decreased in years while the response time has increased and for the year in consideration is around 7 minutes. New Zealand is the one with the lower value of 5 minutes, followed by USA with 8.5 minutes and UK with 8.7 minutes. Considering </w:t>
      </w:r>
      <w:proofErr w:type="gramStart"/>
      <w:r>
        <w:rPr>
          <w:sz w:val="24"/>
          <w:szCs w:val="24"/>
        </w:rPr>
        <w:t>1 minute</w:t>
      </w:r>
      <w:proofErr w:type="gramEnd"/>
      <w:r>
        <w:rPr>
          <w:sz w:val="24"/>
          <w:szCs w:val="24"/>
        </w:rPr>
        <w:t xml:space="preserve"> response bands, USA and New Zealand databases present a response time lower than UK and respectively equal to 2-3 minutes and 3-4 minutes.</w:t>
      </w:r>
    </w:p>
    <w:p w14:paraId="0E97EB5E" w14:textId="77777777" w:rsidR="00941C02" w:rsidRPr="006C16D1" w:rsidRDefault="00941C02" w:rsidP="00941C02">
      <w:pPr>
        <w:pStyle w:val="ListParagraph"/>
        <w:numPr>
          <w:ilvl w:val="0"/>
          <w:numId w:val="15"/>
        </w:numPr>
        <w:ind w:left="641" w:hanging="357"/>
        <w:rPr>
          <w:sz w:val="24"/>
          <w:szCs w:val="24"/>
        </w:rPr>
      </w:pPr>
      <w:r>
        <w:rPr>
          <w:sz w:val="24"/>
          <w:szCs w:val="24"/>
        </w:rPr>
        <w:t xml:space="preserve">Material mainly responsible for the development of fire </w:t>
      </w:r>
      <w:proofErr w:type="gramStart"/>
      <w:r>
        <w:rPr>
          <w:sz w:val="24"/>
          <w:szCs w:val="24"/>
        </w:rPr>
        <w:t>is given</w:t>
      </w:r>
      <w:proofErr w:type="gramEnd"/>
      <w:r>
        <w:rPr>
          <w:sz w:val="24"/>
          <w:szCs w:val="24"/>
        </w:rPr>
        <w:t xml:space="preserve"> by food in the IRS database, by agricultural and forestry product in New Zealand and by wood and paper in the NFIRS. </w:t>
      </w:r>
      <w:r w:rsidRPr="006C16D1">
        <w:rPr>
          <w:sz w:val="24"/>
          <w:szCs w:val="24"/>
        </w:rPr>
        <w:t>Fire spread is usually concentrated within the item first ignited or maximum within the area of the room of origin</w:t>
      </w:r>
      <w:r>
        <w:rPr>
          <w:sz w:val="24"/>
          <w:szCs w:val="24"/>
        </w:rPr>
        <w:t xml:space="preserve"> in all the databases</w:t>
      </w:r>
      <w:r w:rsidRPr="006C16D1">
        <w:rPr>
          <w:sz w:val="24"/>
          <w:szCs w:val="24"/>
        </w:rPr>
        <w:t xml:space="preserve">. </w:t>
      </w:r>
      <w:r>
        <w:rPr>
          <w:sz w:val="24"/>
          <w:szCs w:val="24"/>
        </w:rPr>
        <w:t xml:space="preserve">However, </w:t>
      </w:r>
      <w:r w:rsidRPr="006C16D1">
        <w:rPr>
          <w:sz w:val="24"/>
          <w:szCs w:val="24"/>
        </w:rPr>
        <w:t xml:space="preserve">there are significant percentages of fires that spread beyond the room of origin, and beyond the floor of origin to more than a single floor. </w:t>
      </w:r>
    </w:p>
    <w:p w14:paraId="61344B85" w14:textId="77777777" w:rsidR="00941C02" w:rsidRPr="00644BFE" w:rsidRDefault="00941C02" w:rsidP="00941C02">
      <w:pPr>
        <w:rPr>
          <w:sz w:val="24"/>
          <w:szCs w:val="24"/>
        </w:rPr>
      </w:pPr>
      <w:r w:rsidRPr="00644BFE">
        <w:rPr>
          <w:sz w:val="24"/>
          <w:szCs w:val="24"/>
        </w:rPr>
        <w:t xml:space="preserve">The analysis presented will allow further developments of performance-based design approaches. </w:t>
      </w:r>
    </w:p>
    <w:p w14:paraId="2E420BA7" w14:textId="77777777" w:rsidR="00941C02" w:rsidRDefault="00941C02" w:rsidP="00941C02">
      <w:pPr>
        <w:rPr>
          <w:sz w:val="24"/>
          <w:szCs w:val="24"/>
        </w:rPr>
      </w:pPr>
    </w:p>
    <w:p w14:paraId="36C5D372" w14:textId="77777777" w:rsidR="00941C02" w:rsidRPr="005C292D" w:rsidRDefault="00941C02" w:rsidP="00941C02">
      <w:pPr>
        <w:pStyle w:val="Heading1"/>
        <w:rPr>
          <w:sz w:val="24"/>
          <w:szCs w:val="24"/>
        </w:rPr>
      </w:pPr>
      <w:r w:rsidRPr="005C292D">
        <w:rPr>
          <w:sz w:val="24"/>
          <w:szCs w:val="24"/>
        </w:rPr>
        <w:t>Acknowledgements</w:t>
      </w:r>
    </w:p>
    <w:p w14:paraId="5E4D84B8" w14:textId="77777777" w:rsidR="00941C02" w:rsidRPr="005C292D" w:rsidRDefault="00941C02" w:rsidP="00941C02">
      <w:pPr>
        <w:rPr>
          <w:sz w:val="24"/>
          <w:szCs w:val="24"/>
        </w:rPr>
      </w:pPr>
    </w:p>
    <w:p w14:paraId="5EE96B8C" w14:textId="77777777" w:rsidR="00941C02" w:rsidRPr="00FE68A5" w:rsidRDefault="00941C02" w:rsidP="00941C02">
      <w:pPr>
        <w:rPr>
          <w:sz w:val="24"/>
          <w:szCs w:val="24"/>
        </w:rPr>
      </w:pPr>
      <w:r w:rsidRPr="00FE68A5">
        <w:rPr>
          <w:sz w:val="24"/>
          <w:szCs w:val="24"/>
        </w:rPr>
        <w:t xml:space="preserve">The authors would </w:t>
      </w:r>
      <w:r>
        <w:rPr>
          <w:sz w:val="24"/>
          <w:szCs w:val="24"/>
        </w:rPr>
        <w:t xml:space="preserve">like to acknowledge </w:t>
      </w:r>
      <w:r w:rsidRPr="00FE68A5">
        <w:rPr>
          <w:sz w:val="24"/>
          <w:szCs w:val="24"/>
        </w:rPr>
        <w:t>the US Fire Administration for their help in assess the NFRIS database and to the New Zealand Fire Service for the NZ database.</w:t>
      </w:r>
    </w:p>
    <w:p w14:paraId="3BCFB87F" w14:textId="77777777" w:rsidR="00941C02" w:rsidRPr="005C292D" w:rsidRDefault="00941C02" w:rsidP="00941C02">
      <w:pPr>
        <w:rPr>
          <w:sz w:val="24"/>
          <w:szCs w:val="24"/>
        </w:rPr>
      </w:pPr>
    </w:p>
    <w:p w14:paraId="2AE5A36D" w14:textId="77777777" w:rsidR="00941C02" w:rsidRPr="005C292D" w:rsidRDefault="00941C02" w:rsidP="00941C02">
      <w:pPr>
        <w:pStyle w:val="Heading1"/>
        <w:rPr>
          <w:sz w:val="24"/>
          <w:szCs w:val="24"/>
        </w:rPr>
      </w:pPr>
      <w:r w:rsidRPr="005C292D">
        <w:rPr>
          <w:sz w:val="24"/>
          <w:szCs w:val="24"/>
        </w:rPr>
        <w:t>References</w:t>
      </w:r>
    </w:p>
    <w:p w14:paraId="46BB446B" w14:textId="77777777" w:rsidR="00941C02" w:rsidRDefault="00941C02" w:rsidP="00941C02">
      <w:pPr>
        <w:widowControl w:val="0"/>
        <w:autoSpaceDE w:val="0"/>
        <w:autoSpaceDN w:val="0"/>
        <w:adjustRightInd w:val="0"/>
        <w:ind w:left="640" w:hanging="640"/>
        <w:rPr>
          <w:sz w:val="24"/>
          <w:szCs w:val="24"/>
        </w:rPr>
      </w:pPr>
    </w:p>
    <w:p w14:paraId="370C215C" w14:textId="0F92FB88" w:rsidR="00251A44" w:rsidRPr="00251A44" w:rsidRDefault="00941C02" w:rsidP="00251A44">
      <w:pPr>
        <w:widowControl w:val="0"/>
        <w:autoSpaceDE w:val="0"/>
        <w:autoSpaceDN w:val="0"/>
        <w:adjustRightInd w:val="0"/>
        <w:ind w:left="640" w:hanging="64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251A44" w:rsidRPr="00251A44">
        <w:rPr>
          <w:noProof/>
          <w:sz w:val="24"/>
          <w:szCs w:val="24"/>
        </w:rPr>
        <w:t>[1]</w:t>
      </w:r>
      <w:r w:rsidR="00251A44" w:rsidRPr="00251A44">
        <w:rPr>
          <w:noProof/>
          <w:sz w:val="24"/>
          <w:szCs w:val="24"/>
        </w:rPr>
        <w:tab/>
        <w:t>M. Manes and D. Rush, “Meta-analysis of UK , USA and New Zealand fire statistics databases with respect to damage and financial loss .,” 2017.</w:t>
      </w:r>
    </w:p>
    <w:p w14:paraId="6768994A"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[2]</w:t>
      </w:r>
      <w:r w:rsidRPr="00251A44">
        <w:rPr>
          <w:noProof/>
          <w:sz w:val="24"/>
          <w:szCs w:val="24"/>
        </w:rPr>
        <w:tab/>
        <w:t xml:space="preserve">D. Rush, L. Bisby, I. Ioannou, and T. Rossetto, “Towards fragility analysis for concrete buildings in fire: residual capacity of concrete columns,” in </w:t>
      </w:r>
      <w:r w:rsidRPr="00251A44">
        <w:rPr>
          <w:i/>
          <w:iCs/>
          <w:noProof/>
          <w:sz w:val="24"/>
          <w:szCs w:val="24"/>
        </w:rPr>
        <w:t>8th SiF</w:t>
      </w:r>
      <w:r w:rsidRPr="00251A44">
        <w:rPr>
          <w:noProof/>
          <w:sz w:val="24"/>
          <w:szCs w:val="24"/>
        </w:rPr>
        <w:t>, 2014, pp. 467–474.</w:t>
      </w:r>
    </w:p>
    <w:p w14:paraId="32CDA80A"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[3]</w:t>
      </w:r>
      <w:r w:rsidRPr="00251A44">
        <w:rPr>
          <w:noProof/>
          <w:sz w:val="24"/>
          <w:szCs w:val="24"/>
        </w:rPr>
        <w:tab/>
        <w:t xml:space="preserve">G. M. E. Cooke and D. J. Latham, “The inherent fire resistance of a loaded steel framework,” </w:t>
      </w:r>
      <w:r w:rsidRPr="00251A44">
        <w:rPr>
          <w:i/>
          <w:iCs/>
          <w:noProof/>
          <w:sz w:val="24"/>
          <w:szCs w:val="24"/>
        </w:rPr>
        <w:t>Steel Construction Today</w:t>
      </w:r>
      <w:r w:rsidRPr="00251A44">
        <w:rPr>
          <w:noProof/>
          <w:sz w:val="24"/>
          <w:szCs w:val="24"/>
        </w:rPr>
        <w:t>, vol. 1.2. pp. 49–58, 1987.</w:t>
      </w:r>
    </w:p>
    <w:p w14:paraId="16B460A7"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[4]</w:t>
      </w:r>
      <w:r w:rsidRPr="00251A44">
        <w:rPr>
          <w:noProof/>
          <w:sz w:val="24"/>
          <w:szCs w:val="24"/>
        </w:rPr>
        <w:tab/>
        <w:t xml:space="preserve">Rubert A. Schaumann P., “Structural steel and plane frame assemblies under fire action.,” </w:t>
      </w:r>
      <w:r w:rsidRPr="00251A44">
        <w:rPr>
          <w:i/>
          <w:iCs/>
          <w:noProof/>
          <w:sz w:val="24"/>
          <w:szCs w:val="24"/>
        </w:rPr>
        <w:t>Fire Saf. J.</w:t>
      </w:r>
      <w:r w:rsidRPr="00251A44">
        <w:rPr>
          <w:noProof/>
          <w:sz w:val="24"/>
          <w:szCs w:val="24"/>
        </w:rPr>
        <w:t>, vol. 10, 1986.</w:t>
      </w:r>
    </w:p>
    <w:p w14:paraId="20EC920E"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[5]</w:t>
      </w:r>
      <w:r w:rsidRPr="00251A44">
        <w:rPr>
          <w:noProof/>
          <w:sz w:val="24"/>
          <w:szCs w:val="24"/>
        </w:rPr>
        <w:tab/>
        <w:t xml:space="preserve">BS EN 1992-1-1, “Eurocode 2: Design of concrete structures - Part 1-1 : General rules and rules for buildings,” </w:t>
      </w:r>
      <w:r w:rsidRPr="00251A44">
        <w:rPr>
          <w:i/>
          <w:iCs/>
          <w:noProof/>
          <w:sz w:val="24"/>
          <w:szCs w:val="24"/>
        </w:rPr>
        <w:t>Br. Stand. Inst.</w:t>
      </w:r>
      <w:r w:rsidRPr="00251A44">
        <w:rPr>
          <w:noProof/>
          <w:sz w:val="24"/>
          <w:szCs w:val="24"/>
        </w:rPr>
        <w:t>, vol. 1, no. 2004, p. 230, 2004.</w:t>
      </w:r>
    </w:p>
    <w:p w14:paraId="2EABDD15"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[6]</w:t>
      </w:r>
      <w:r w:rsidRPr="00251A44">
        <w:rPr>
          <w:noProof/>
          <w:sz w:val="24"/>
          <w:szCs w:val="24"/>
        </w:rPr>
        <w:tab/>
        <w:t>L. Bisby, J. Gales, and C. Maluk, “A contemporary review of large-scale non-standard structural fire testing,” pp. 1–27, 2013.</w:t>
      </w:r>
    </w:p>
    <w:p w14:paraId="124D38BC"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[7]</w:t>
      </w:r>
      <w:r w:rsidRPr="00251A44">
        <w:rPr>
          <w:noProof/>
          <w:sz w:val="24"/>
          <w:szCs w:val="24"/>
        </w:rPr>
        <w:tab/>
        <w:t xml:space="preserve">A. Borg, O. Njå, and J. L. Torero, “A Framework for Selecting Design Fires in Performance Based Fire Safety Engineering,” </w:t>
      </w:r>
      <w:r w:rsidRPr="00251A44">
        <w:rPr>
          <w:i/>
          <w:iCs/>
          <w:noProof/>
          <w:sz w:val="24"/>
          <w:szCs w:val="24"/>
        </w:rPr>
        <w:t>Fire Technol.</w:t>
      </w:r>
      <w:r w:rsidRPr="00251A44">
        <w:rPr>
          <w:noProof/>
          <w:sz w:val="24"/>
          <w:szCs w:val="24"/>
        </w:rPr>
        <w:t>, vol. 51, no. 4, pp. 995–1017, 2015.</w:t>
      </w:r>
    </w:p>
    <w:p w14:paraId="3786506D"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[8]</w:t>
      </w:r>
      <w:r w:rsidRPr="00251A44">
        <w:rPr>
          <w:noProof/>
          <w:sz w:val="24"/>
          <w:szCs w:val="24"/>
        </w:rPr>
        <w:tab/>
        <w:t>P. Gaught, J. Gallucci, and G. Smalldridge, “Fire Statistics England, 2014/15,” no. June, 2016.</w:t>
      </w:r>
    </w:p>
    <w:p w14:paraId="36C82E0E"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[9]</w:t>
      </w:r>
      <w:r w:rsidRPr="00251A44">
        <w:rPr>
          <w:noProof/>
          <w:sz w:val="24"/>
          <w:szCs w:val="24"/>
        </w:rPr>
        <w:tab/>
        <w:t>USFA, “National Fire Incident Reporting System,” vol. 2014, no. 12/31, 2014.</w:t>
      </w:r>
    </w:p>
    <w:p w14:paraId="389B9B5D" w14:textId="77777777" w:rsidR="00251A44" w:rsidRPr="00251A44" w:rsidRDefault="00251A44" w:rsidP="00251A44">
      <w:pPr>
        <w:widowControl w:val="0"/>
        <w:autoSpaceDE w:val="0"/>
        <w:autoSpaceDN w:val="0"/>
        <w:adjustRightInd w:val="0"/>
        <w:ind w:left="640" w:hanging="640"/>
        <w:rPr>
          <w:noProof/>
          <w:sz w:val="24"/>
          <w:szCs w:val="24"/>
        </w:rPr>
      </w:pPr>
      <w:r w:rsidRPr="00251A44">
        <w:rPr>
          <w:noProof/>
          <w:sz w:val="24"/>
          <w:szCs w:val="24"/>
        </w:rPr>
        <w:t>[10]</w:t>
      </w:r>
      <w:r w:rsidRPr="00251A44">
        <w:rPr>
          <w:noProof/>
          <w:sz w:val="24"/>
          <w:szCs w:val="24"/>
        </w:rPr>
        <w:tab/>
        <w:t>International Code Council, “Building Valuation Data – FEBRUARY 2017,” 2017.</w:t>
      </w:r>
    </w:p>
    <w:p w14:paraId="44A4152D" w14:textId="31F07131" w:rsidR="00251A44" w:rsidRPr="00251A44" w:rsidRDefault="00251A44" w:rsidP="00251A44">
      <w:pPr>
        <w:widowControl w:val="0"/>
        <w:autoSpaceDE w:val="0"/>
        <w:autoSpaceDN w:val="0"/>
        <w:adjustRightInd w:val="0"/>
        <w:ind w:left="640" w:hanging="640"/>
        <w:rPr>
          <w:noProof/>
          <w:sz w:val="24"/>
        </w:rPr>
      </w:pPr>
      <w:r w:rsidRPr="00251A44">
        <w:rPr>
          <w:noProof/>
          <w:sz w:val="24"/>
          <w:szCs w:val="24"/>
        </w:rPr>
        <w:t>[11]</w:t>
      </w:r>
      <w:r w:rsidRPr="00251A44">
        <w:rPr>
          <w:noProof/>
          <w:sz w:val="24"/>
          <w:szCs w:val="24"/>
        </w:rPr>
        <w:tab/>
        <w:t>L</w:t>
      </w:r>
      <w:r w:rsidR="00261BB0">
        <w:rPr>
          <w:noProof/>
          <w:sz w:val="24"/>
          <w:szCs w:val="24"/>
        </w:rPr>
        <w:t>ocal Government</w:t>
      </w:r>
      <w:r w:rsidRPr="00251A44">
        <w:rPr>
          <w:noProof/>
          <w:sz w:val="24"/>
          <w:szCs w:val="24"/>
        </w:rPr>
        <w:t>, “Fire and Rescue Operational Statistics Bulletin for England 2011-12,” no. September, 2012.</w:t>
      </w:r>
    </w:p>
    <w:p w14:paraId="44DDC994" w14:textId="41BC269B" w:rsidR="00941C02" w:rsidRPr="005C292D" w:rsidRDefault="00941C02" w:rsidP="008653EC">
      <w:pPr>
        <w:widowControl w:val="0"/>
        <w:autoSpaceDE w:val="0"/>
        <w:autoSpaceDN w:val="0"/>
        <w:adjustRightInd w:val="0"/>
        <w:ind w:left="640" w:hanging="640"/>
        <w:rPr>
          <w:noProof/>
          <w:sz w:val="24"/>
          <w:szCs w:val="24"/>
        </w:rPr>
      </w:pPr>
      <w:r>
        <w:rPr>
          <w:sz w:val="24"/>
          <w:szCs w:val="24"/>
        </w:rPr>
        <w:fldChar w:fldCharType="end"/>
      </w:r>
    </w:p>
    <w:sectPr w:rsidR="00941C02" w:rsidRPr="005C292D" w:rsidSect="005C292D">
      <w:type w:val="continuous"/>
      <w:pgSz w:w="11907" w:h="16840" w:code="9"/>
      <w:pgMar w:top="1418" w:right="747" w:bottom="1079" w:left="616" w:header="567" w:footer="567" w:gutter="284"/>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3E0B" w14:textId="77777777" w:rsidR="006E0444" w:rsidRDefault="006E0444">
      <w:r>
        <w:separator/>
      </w:r>
    </w:p>
  </w:endnote>
  <w:endnote w:type="continuationSeparator" w:id="0">
    <w:p w14:paraId="25EE9238" w14:textId="77777777" w:rsidR="006E0444" w:rsidRDefault="006E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Joanna MT Std">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F6E0" w14:textId="77777777" w:rsidR="006E0444" w:rsidRDefault="006E0444">
      <w:r>
        <w:separator/>
      </w:r>
    </w:p>
  </w:footnote>
  <w:footnote w:type="continuationSeparator" w:id="0">
    <w:p w14:paraId="46F76CC3" w14:textId="77777777" w:rsidR="006E0444" w:rsidRDefault="006E0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20A5" w14:textId="65ACC129" w:rsidR="001772FE" w:rsidRDefault="001772FE" w:rsidP="001772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BDB"/>
    <w:multiLevelType w:val="multilevel"/>
    <w:tmpl w:val="210E8238"/>
    <w:numStyleLink w:val="StandardBulletpoints"/>
  </w:abstractNum>
  <w:abstractNum w:abstractNumId="1" w15:restartNumberingAfterBreak="0">
    <w:nsid w:val="140B1EB0"/>
    <w:multiLevelType w:val="hybridMultilevel"/>
    <w:tmpl w:val="FCB8BC12"/>
    <w:lvl w:ilvl="0" w:tplc="48DC77F8">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13813"/>
    <w:multiLevelType w:val="hybridMultilevel"/>
    <w:tmpl w:val="C6B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175F0"/>
    <w:multiLevelType w:val="hybridMultilevel"/>
    <w:tmpl w:val="8E58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2771F"/>
    <w:multiLevelType w:val="multilevel"/>
    <w:tmpl w:val="210E8238"/>
    <w:styleLink w:val="StandardBulletpoints"/>
    <w:lvl w:ilvl="0">
      <w:start w:val="1"/>
      <w:numFmt w:val="bullet"/>
      <w:lvlText w:val=""/>
      <w:lvlJc w:val="left"/>
      <w:pPr>
        <w:tabs>
          <w:tab w:val="num" w:pos="284"/>
        </w:tabs>
        <w:ind w:left="284" w:hanging="284"/>
      </w:pPr>
      <w:rPr>
        <w:rFonts w:ascii="Symbol" w:hAnsi="Symbol" w:hint="default"/>
        <w:sz w:val="20"/>
        <w:szCs w:val="20"/>
      </w:rPr>
    </w:lvl>
    <w:lvl w:ilvl="1">
      <w:start w:val="1"/>
      <w:numFmt w:val="bullet"/>
      <w:lvlText w:val=""/>
      <w:lvlJc w:val="left"/>
      <w:pPr>
        <w:tabs>
          <w:tab w:val="num" w:pos="709"/>
        </w:tabs>
        <w:ind w:left="709" w:hanging="284"/>
      </w:pPr>
      <w:rPr>
        <w:rFonts w:ascii="Symbol" w:hAnsi="Symbol" w:hint="default"/>
        <w:sz w:val="20"/>
        <w:szCs w:val="20"/>
      </w:rPr>
    </w:lvl>
    <w:lvl w:ilvl="2">
      <w:start w:val="1"/>
      <w:numFmt w:val="bullet"/>
      <w:lvlText w:val=""/>
      <w:lvlJc w:val="left"/>
      <w:pPr>
        <w:tabs>
          <w:tab w:val="num" w:pos="2880"/>
        </w:tabs>
        <w:ind w:left="3240" w:hanging="360"/>
      </w:pPr>
      <w:rPr>
        <w:rFonts w:ascii="Symbol" w:hAnsi="Symbo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D84398E"/>
    <w:multiLevelType w:val="hybridMultilevel"/>
    <w:tmpl w:val="F7F2C460"/>
    <w:lvl w:ilvl="0" w:tplc="C5E200A8">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06D7C"/>
    <w:multiLevelType w:val="hybridMultilevel"/>
    <w:tmpl w:val="D3EC85F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57962"/>
    <w:multiLevelType w:val="multilevel"/>
    <w:tmpl w:val="210E8238"/>
    <w:numStyleLink w:val="StandardBulletpoints"/>
  </w:abstractNum>
  <w:abstractNum w:abstractNumId="8" w15:restartNumberingAfterBreak="0">
    <w:nsid w:val="518E74AC"/>
    <w:multiLevelType w:val="multilevel"/>
    <w:tmpl w:val="210E8238"/>
    <w:numStyleLink w:val="StandardBulletpoints"/>
  </w:abstractNum>
  <w:abstractNum w:abstractNumId="9" w15:restartNumberingAfterBreak="0">
    <w:nsid w:val="55764BA9"/>
    <w:multiLevelType w:val="hybridMultilevel"/>
    <w:tmpl w:val="24CE4ED0"/>
    <w:lvl w:ilvl="0" w:tplc="6B82DAB6">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E72A2"/>
    <w:multiLevelType w:val="multilevel"/>
    <w:tmpl w:val="210E8238"/>
    <w:numStyleLink w:val="StandardBulletpoints"/>
  </w:abstractNum>
  <w:abstractNum w:abstractNumId="11" w15:restartNumberingAfterBreak="0">
    <w:nsid w:val="5F312A72"/>
    <w:multiLevelType w:val="hybridMultilevel"/>
    <w:tmpl w:val="F196AA7A"/>
    <w:lvl w:ilvl="0" w:tplc="1A2C6EFA">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449E3"/>
    <w:multiLevelType w:val="multilevel"/>
    <w:tmpl w:val="210E8238"/>
    <w:numStyleLink w:val="StandardBulletpoints"/>
  </w:abstractNum>
  <w:abstractNum w:abstractNumId="13" w15:restartNumberingAfterBreak="0">
    <w:nsid w:val="62761263"/>
    <w:multiLevelType w:val="hybridMultilevel"/>
    <w:tmpl w:val="B4BE7902"/>
    <w:lvl w:ilvl="0" w:tplc="DE70F63A">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F6562"/>
    <w:multiLevelType w:val="hybridMultilevel"/>
    <w:tmpl w:val="2C3A0C0C"/>
    <w:lvl w:ilvl="0" w:tplc="94A0420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0B7A8B"/>
    <w:multiLevelType w:val="multilevel"/>
    <w:tmpl w:val="210E8238"/>
    <w:numStyleLink w:val="StandardBulletpoints"/>
  </w:abstractNum>
  <w:num w:numId="1">
    <w:abstractNumId w:val="14"/>
  </w:num>
  <w:num w:numId="2">
    <w:abstractNumId w:val="5"/>
  </w:num>
  <w:num w:numId="3">
    <w:abstractNumId w:val="4"/>
  </w:num>
  <w:num w:numId="4">
    <w:abstractNumId w:val="12"/>
  </w:num>
  <w:num w:numId="5">
    <w:abstractNumId w:val="8"/>
  </w:num>
  <w:num w:numId="6">
    <w:abstractNumId w:val="7"/>
  </w:num>
  <w:num w:numId="7">
    <w:abstractNumId w:val="10"/>
  </w:num>
  <w:num w:numId="8">
    <w:abstractNumId w:val="0"/>
  </w:num>
  <w:num w:numId="9">
    <w:abstractNumId w:val="15"/>
  </w:num>
  <w:num w:numId="10">
    <w:abstractNumId w:val="9"/>
  </w:num>
  <w:num w:numId="11">
    <w:abstractNumId w:val="1"/>
  </w:num>
  <w:num w:numId="12">
    <w:abstractNumId w:val="13"/>
  </w:num>
  <w:num w:numId="13">
    <w:abstractNumId w:val="11"/>
  </w:num>
  <w:num w:numId="14">
    <w:abstractNumId w:val="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BA"/>
    <w:rsid w:val="00005B37"/>
    <w:rsid w:val="00012B70"/>
    <w:rsid w:val="000146ED"/>
    <w:rsid w:val="00017122"/>
    <w:rsid w:val="000171CE"/>
    <w:rsid w:val="00030B2E"/>
    <w:rsid w:val="00035941"/>
    <w:rsid w:val="00041B5D"/>
    <w:rsid w:val="00047F23"/>
    <w:rsid w:val="000551AA"/>
    <w:rsid w:val="00062004"/>
    <w:rsid w:val="00063AC8"/>
    <w:rsid w:val="00075A24"/>
    <w:rsid w:val="000901D4"/>
    <w:rsid w:val="000903B4"/>
    <w:rsid w:val="000971E2"/>
    <w:rsid w:val="000D76AF"/>
    <w:rsid w:val="000E255D"/>
    <w:rsid w:val="000F3BAD"/>
    <w:rsid w:val="00110A5E"/>
    <w:rsid w:val="001111F8"/>
    <w:rsid w:val="00117746"/>
    <w:rsid w:val="00120843"/>
    <w:rsid w:val="00120923"/>
    <w:rsid w:val="00120EB4"/>
    <w:rsid w:val="00121E51"/>
    <w:rsid w:val="001271BD"/>
    <w:rsid w:val="00131B3E"/>
    <w:rsid w:val="00132196"/>
    <w:rsid w:val="00143733"/>
    <w:rsid w:val="00144EB4"/>
    <w:rsid w:val="00146A8A"/>
    <w:rsid w:val="001507DB"/>
    <w:rsid w:val="001560ED"/>
    <w:rsid w:val="0017245C"/>
    <w:rsid w:val="00175086"/>
    <w:rsid w:val="001772FE"/>
    <w:rsid w:val="00182CE1"/>
    <w:rsid w:val="001846D4"/>
    <w:rsid w:val="00185BAB"/>
    <w:rsid w:val="00190F77"/>
    <w:rsid w:val="00192E33"/>
    <w:rsid w:val="00193208"/>
    <w:rsid w:val="001A2F25"/>
    <w:rsid w:val="001A35A7"/>
    <w:rsid w:val="001A3897"/>
    <w:rsid w:val="001B616B"/>
    <w:rsid w:val="001D0700"/>
    <w:rsid w:val="001D1138"/>
    <w:rsid w:val="001E0E34"/>
    <w:rsid w:val="001F0319"/>
    <w:rsid w:val="00211735"/>
    <w:rsid w:val="00213A78"/>
    <w:rsid w:val="00213DE6"/>
    <w:rsid w:val="00230C84"/>
    <w:rsid w:val="00247B51"/>
    <w:rsid w:val="00251463"/>
    <w:rsid w:val="00251A44"/>
    <w:rsid w:val="00251DCD"/>
    <w:rsid w:val="00255251"/>
    <w:rsid w:val="00261BB0"/>
    <w:rsid w:val="0026495A"/>
    <w:rsid w:val="002859E6"/>
    <w:rsid w:val="0029347D"/>
    <w:rsid w:val="0029411D"/>
    <w:rsid w:val="00295EBD"/>
    <w:rsid w:val="002A4E3A"/>
    <w:rsid w:val="002B70C1"/>
    <w:rsid w:val="002C4347"/>
    <w:rsid w:val="002D22F5"/>
    <w:rsid w:val="002D3A99"/>
    <w:rsid w:val="002E6BB0"/>
    <w:rsid w:val="002E72D4"/>
    <w:rsid w:val="002F04C8"/>
    <w:rsid w:val="00312E84"/>
    <w:rsid w:val="0031530E"/>
    <w:rsid w:val="0032548C"/>
    <w:rsid w:val="0033130D"/>
    <w:rsid w:val="0033154E"/>
    <w:rsid w:val="00331E76"/>
    <w:rsid w:val="003369D6"/>
    <w:rsid w:val="0034059D"/>
    <w:rsid w:val="0034314F"/>
    <w:rsid w:val="0034623C"/>
    <w:rsid w:val="0035385E"/>
    <w:rsid w:val="0035790C"/>
    <w:rsid w:val="0036248F"/>
    <w:rsid w:val="00367C4A"/>
    <w:rsid w:val="00367DBB"/>
    <w:rsid w:val="0037431A"/>
    <w:rsid w:val="003919E2"/>
    <w:rsid w:val="00392518"/>
    <w:rsid w:val="003A0105"/>
    <w:rsid w:val="003B761D"/>
    <w:rsid w:val="003C426B"/>
    <w:rsid w:val="003C4464"/>
    <w:rsid w:val="003D2D42"/>
    <w:rsid w:val="003E38C3"/>
    <w:rsid w:val="003F1F4A"/>
    <w:rsid w:val="00407CA3"/>
    <w:rsid w:val="00414D4F"/>
    <w:rsid w:val="00416C64"/>
    <w:rsid w:val="00416F0C"/>
    <w:rsid w:val="004171D8"/>
    <w:rsid w:val="00417277"/>
    <w:rsid w:val="00422590"/>
    <w:rsid w:val="0043201E"/>
    <w:rsid w:val="0043260E"/>
    <w:rsid w:val="00444843"/>
    <w:rsid w:val="004455B0"/>
    <w:rsid w:val="00447607"/>
    <w:rsid w:val="004505E0"/>
    <w:rsid w:val="00457007"/>
    <w:rsid w:val="00461630"/>
    <w:rsid w:val="00461E92"/>
    <w:rsid w:val="00462E9F"/>
    <w:rsid w:val="0046487E"/>
    <w:rsid w:val="00485710"/>
    <w:rsid w:val="00494386"/>
    <w:rsid w:val="00495EA2"/>
    <w:rsid w:val="004A5909"/>
    <w:rsid w:val="004A6F95"/>
    <w:rsid w:val="004B0E80"/>
    <w:rsid w:val="004B739D"/>
    <w:rsid w:val="004C441B"/>
    <w:rsid w:val="004D0E22"/>
    <w:rsid w:val="004D512E"/>
    <w:rsid w:val="004E035E"/>
    <w:rsid w:val="004E0A8F"/>
    <w:rsid w:val="004E1A77"/>
    <w:rsid w:val="004E533E"/>
    <w:rsid w:val="004F2853"/>
    <w:rsid w:val="004F7161"/>
    <w:rsid w:val="00501910"/>
    <w:rsid w:val="00524BA8"/>
    <w:rsid w:val="00526374"/>
    <w:rsid w:val="00534D88"/>
    <w:rsid w:val="005368CD"/>
    <w:rsid w:val="00546577"/>
    <w:rsid w:val="0055028F"/>
    <w:rsid w:val="0056281D"/>
    <w:rsid w:val="005652D9"/>
    <w:rsid w:val="005654D9"/>
    <w:rsid w:val="005823CC"/>
    <w:rsid w:val="005905E1"/>
    <w:rsid w:val="005A08B4"/>
    <w:rsid w:val="005A2436"/>
    <w:rsid w:val="005C292D"/>
    <w:rsid w:val="005D637E"/>
    <w:rsid w:val="005F27D1"/>
    <w:rsid w:val="005F3459"/>
    <w:rsid w:val="005F4C7E"/>
    <w:rsid w:val="006001FC"/>
    <w:rsid w:val="00600BD0"/>
    <w:rsid w:val="00606A47"/>
    <w:rsid w:val="00612B8B"/>
    <w:rsid w:val="006207CB"/>
    <w:rsid w:val="00641569"/>
    <w:rsid w:val="00644BFE"/>
    <w:rsid w:val="00651D93"/>
    <w:rsid w:val="006529F2"/>
    <w:rsid w:val="00657B10"/>
    <w:rsid w:val="00662285"/>
    <w:rsid w:val="006751CC"/>
    <w:rsid w:val="00691457"/>
    <w:rsid w:val="00693721"/>
    <w:rsid w:val="00694BB9"/>
    <w:rsid w:val="0069592D"/>
    <w:rsid w:val="006A20E5"/>
    <w:rsid w:val="006A29E6"/>
    <w:rsid w:val="006A6E70"/>
    <w:rsid w:val="006B04C5"/>
    <w:rsid w:val="006B316E"/>
    <w:rsid w:val="006B32D1"/>
    <w:rsid w:val="006C1254"/>
    <w:rsid w:val="006C16D1"/>
    <w:rsid w:val="006D136B"/>
    <w:rsid w:val="006D2019"/>
    <w:rsid w:val="006D37A9"/>
    <w:rsid w:val="006D5747"/>
    <w:rsid w:val="006D6006"/>
    <w:rsid w:val="006D7891"/>
    <w:rsid w:val="006E0444"/>
    <w:rsid w:val="00706838"/>
    <w:rsid w:val="00707252"/>
    <w:rsid w:val="007325A3"/>
    <w:rsid w:val="00732F66"/>
    <w:rsid w:val="0074429E"/>
    <w:rsid w:val="007453B6"/>
    <w:rsid w:val="0075279F"/>
    <w:rsid w:val="00770A7C"/>
    <w:rsid w:val="007771EB"/>
    <w:rsid w:val="0078533E"/>
    <w:rsid w:val="00792A14"/>
    <w:rsid w:val="007A011A"/>
    <w:rsid w:val="007A149D"/>
    <w:rsid w:val="007A50C4"/>
    <w:rsid w:val="007A60CF"/>
    <w:rsid w:val="007B4C00"/>
    <w:rsid w:val="007B6037"/>
    <w:rsid w:val="007C671F"/>
    <w:rsid w:val="007C7A55"/>
    <w:rsid w:val="007D091E"/>
    <w:rsid w:val="007D0B18"/>
    <w:rsid w:val="007E17A4"/>
    <w:rsid w:val="007E17B2"/>
    <w:rsid w:val="007E7EEE"/>
    <w:rsid w:val="007F5205"/>
    <w:rsid w:val="0080204D"/>
    <w:rsid w:val="00803CAC"/>
    <w:rsid w:val="008062EB"/>
    <w:rsid w:val="00811FCC"/>
    <w:rsid w:val="00827C1A"/>
    <w:rsid w:val="00834962"/>
    <w:rsid w:val="00834D64"/>
    <w:rsid w:val="0083563A"/>
    <w:rsid w:val="0084085A"/>
    <w:rsid w:val="00844225"/>
    <w:rsid w:val="00845067"/>
    <w:rsid w:val="00847895"/>
    <w:rsid w:val="00850A8F"/>
    <w:rsid w:val="008577F6"/>
    <w:rsid w:val="008600B6"/>
    <w:rsid w:val="00861400"/>
    <w:rsid w:val="008653EC"/>
    <w:rsid w:val="00872E3C"/>
    <w:rsid w:val="00874F8E"/>
    <w:rsid w:val="0087681B"/>
    <w:rsid w:val="00893659"/>
    <w:rsid w:val="00894648"/>
    <w:rsid w:val="0089797F"/>
    <w:rsid w:val="008A2C82"/>
    <w:rsid w:val="008A6C7D"/>
    <w:rsid w:val="008C32E3"/>
    <w:rsid w:val="008E1060"/>
    <w:rsid w:val="008F571A"/>
    <w:rsid w:val="0091044B"/>
    <w:rsid w:val="00912EF5"/>
    <w:rsid w:val="0091366A"/>
    <w:rsid w:val="009164AB"/>
    <w:rsid w:val="00917BAF"/>
    <w:rsid w:val="00923192"/>
    <w:rsid w:val="009323B6"/>
    <w:rsid w:val="00934D4B"/>
    <w:rsid w:val="00941C02"/>
    <w:rsid w:val="00952F5F"/>
    <w:rsid w:val="00953BDC"/>
    <w:rsid w:val="00963952"/>
    <w:rsid w:val="009649AA"/>
    <w:rsid w:val="0096623A"/>
    <w:rsid w:val="00972C11"/>
    <w:rsid w:val="00972E52"/>
    <w:rsid w:val="00975118"/>
    <w:rsid w:val="00982F0C"/>
    <w:rsid w:val="0099543F"/>
    <w:rsid w:val="00995BAE"/>
    <w:rsid w:val="009B0903"/>
    <w:rsid w:val="009C1167"/>
    <w:rsid w:val="009C15C5"/>
    <w:rsid w:val="009C7D0C"/>
    <w:rsid w:val="009D0175"/>
    <w:rsid w:val="009D46A8"/>
    <w:rsid w:val="009D62EB"/>
    <w:rsid w:val="009F10E5"/>
    <w:rsid w:val="009F3BB0"/>
    <w:rsid w:val="009F3BDE"/>
    <w:rsid w:val="00A01510"/>
    <w:rsid w:val="00A04BD1"/>
    <w:rsid w:val="00A2081C"/>
    <w:rsid w:val="00A208D8"/>
    <w:rsid w:val="00A216BE"/>
    <w:rsid w:val="00A23986"/>
    <w:rsid w:val="00A35248"/>
    <w:rsid w:val="00A42FA6"/>
    <w:rsid w:val="00A539E0"/>
    <w:rsid w:val="00A621A3"/>
    <w:rsid w:val="00A76792"/>
    <w:rsid w:val="00A85D7D"/>
    <w:rsid w:val="00A9014C"/>
    <w:rsid w:val="00A91455"/>
    <w:rsid w:val="00AA5476"/>
    <w:rsid w:val="00AB37C1"/>
    <w:rsid w:val="00AB7DA2"/>
    <w:rsid w:val="00AC0564"/>
    <w:rsid w:val="00AC3C36"/>
    <w:rsid w:val="00AC72FC"/>
    <w:rsid w:val="00AE31AF"/>
    <w:rsid w:val="00AF402D"/>
    <w:rsid w:val="00B11C2A"/>
    <w:rsid w:val="00B13317"/>
    <w:rsid w:val="00B16DAC"/>
    <w:rsid w:val="00B35468"/>
    <w:rsid w:val="00B406EF"/>
    <w:rsid w:val="00B411E6"/>
    <w:rsid w:val="00B45F31"/>
    <w:rsid w:val="00B461A5"/>
    <w:rsid w:val="00B4648A"/>
    <w:rsid w:val="00B510FF"/>
    <w:rsid w:val="00B6108B"/>
    <w:rsid w:val="00B62B34"/>
    <w:rsid w:val="00B75D82"/>
    <w:rsid w:val="00B76B83"/>
    <w:rsid w:val="00B81A7B"/>
    <w:rsid w:val="00B8373E"/>
    <w:rsid w:val="00BA3E53"/>
    <w:rsid w:val="00BA4A7F"/>
    <w:rsid w:val="00BB7965"/>
    <w:rsid w:val="00BC5CEE"/>
    <w:rsid w:val="00BC7117"/>
    <w:rsid w:val="00BE611E"/>
    <w:rsid w:val="00BF5B76"/>
    <w:rsid w:val="00C17145"/>
    <w:rsid w:val="00C20523"/>
    <w:rsid w:val="00C3420D"/>
    <w:rsid w:val="00C3555A"/>
    <w:rsid w:val="00C467DE"/>
    <w:rsid w:val="00C53FF4"/>
    <w:rsid w:val="00C604F1"/>
    <w:rsid w:val="00C62F23"/>
    <w:rsid w:val="00C67060"/>
    <w:rsid w:val="00C70836"/>
    <w:rsid w:val="00C7391F"/>
    <w:rsid w:val="00C80FA3"/>
    <w:rsid w:val="00C86FF7"/>
    <w:rsid w:val="00C9429A"/>
    <w:rsid w:val="00C95666"/>
    <w:rsid w:val="00C95F32"/>
    <w:rsid w:val="00CB07AE"/>
    <w:rsid w:val="00CB6765"/>
    <w:rsid w:val="00CB69DC"/>
    <w:rsid w:val="00CC02F1"/>
    <w:rsid w:val="00CC098A"/>
    <w:rsid w:val="00CC439E"/>
    <w:rsid w:val="00CE1BCF"/>
    <w:rsid w:val="00CE1CBA"/>
    <w:rsid w:val="00CE77DB"/>
    <w:rsid w:val="00CF1E58"/>
    <w:rsid w:val="00CF417B"/>
    <w:rsid w:val="00D373F4"/>
    <w:rsid w:val="00D570B3"/>
    <w:rsid w:val="00D67A7F"/>
    <w:rsid w:val="00D7028A"/>
    <w:rsid w:val="00D717EB"/>
    <w:rsid w:val="00D724CC"/>
    <w:rsid w:val="00D76813"/>
    <w:rsid w:val="00D823A2"/>
    <w:rsid w:val="00D90D79"/>
    <w:rsid w:val="00D9451A"/>
    <w:rsid w:val="00D9633B"/>
    <w:rsid w:val="00DA0272"/>
    <w:rsid w:val="00DB115D"/>
    <w:rsid w:val="00DB45C4"/>
    <w:rsid w:val="00DB56C4"/>
    <w:rsid w:val="00DC35E8"/>
    <w:rsid w:val="00DD21E6"/>
    <w:rsid w:val="00DD3CD1"/>
    <w:rsid w:val="00DE09F5"/>
    <w:rsid w:val="00DE0C2F"/>
    <w:rsid w:val="00DE1414"/>
    <w:rsid w:val="00DF25E3"/>
    <w:rsid w:val="00E01E85"/>
    <w:rsid w:val="00E10FF8"/>
    <w:rsid w:val="00E13565"/>
    <w:rsid w:val="00E20B4B"/>
    <w:rsid w:val="00E213B4"/>
    <w:rsid w:val="00E21DBF"/>
    <w:rsid w:val="00E23A2B"/>
    <w:rsid w:val="00E33390"/>
    <w:rsid w:val="00E33F36"/>
    <w:rsid w:val="00E421D5"/>
    <w:rsid w:val="00E44600"/>
    <w:rsid w:val="00E570F1"/>
    <w:rsid w:val="00E57866"/>
    <w:rsid w:val="00E61AE9"/>
    <w:rsid w:val="00E656F8"/>
    <w:rsid w:val="00E67525"/>
    <w:rsid w:val="00E73151"/>
    <w:rsid w:val="00E86B68"/>
    <w:rsid w:val="00E93BB1"/>
    <w:rsid w:val="00E96F86"/>
    <w:rsid w:val="00EB1256"/>
    <w:rsid w:val="00EB2C3D"/>
    <w:rsid w:val="00EB3B3E"/>
    <w:rsid w:val="00EC2858"/>
    <w:rsid w:val="00ED5DD8"/>
    <w:rsid w:val="00EE269B"/>
    <w:rsid w:val="00EE4BF7"/>
    <w:rsid w:val="00EE7DFE"/>
    <w:rsid w:val="00EF25D5"/>
    <w:rsid w:val="00EF2751"/>
    <w:rsid w:val="00EF3F07"/>
    <w:rsid w:val="00EF415F"/>
    <w:rsid w:val="00EF5DF5"/>
    <w:rsid w:val="00EF7C19"/>
    <w:rsid w:val="00F031C6"/>
    <w:rsid w:val="00F119FE"/>
    <w:rsid w:val="00F12A89"/>
    <w:rsid w:val="00F13AF3"/>
    <w:rsid w:val="00F21C0B"/>
    <w:rsid w:val="00F326F3"/>
    <w:rsid w:val="00F43769"/>
    <w:rsid w:val="00F4408A"/>
    <w:rsid w:val="00F50307"/>
    <w:rsid w:val="00F523DF"/>
    <w:rsid w:val="00F52516"/>
    <w:rsid w:val="00F54889"/>
    <w:rsid w:val="00F56A9A"/>
    <w:rsid w:val="00F57864"/>
    <w:rsid w:val="00F72A52"/>
    <w:rsid w:val="00F905DF"/>
    <w:rsid w:val="00F90870"/>
    <w:rsid w:val="00FA1E8E"/>
    <w:rsid w:val="00FB0FB3"/>
    <w:rsid w:val="00FB1E2C"/>
    <w:rsid w:val="00FB202A"/>
    <w:rsid w:val="00FB618B"/>
    <w:rsid w:val="00FC24A8"/>
    <w:rsid w:val="00FD042F"/>
    <w:rsid w:val="00FD5DAC"/>
    <w:rsid w:val="00FD6A21"/>
    <w:rsid w:val="00FE0A49"/>
    <w:rsid w:val="00FE216E"/>
    <w:rsid w:val="00FE68A5"/>
    <w:rsid w:val="00FF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992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DC"/>
    <w:pPr>
      <w:jc w:val="both"/>
    </w:pPr>
    <w:rPr>
      <w:lang w:eastAsia="ja-JP"/>
    </w:rPr>
  </w:style>
  <w:style w:type="paragraph" w:styleId="Heading1">
    <w:name w:val="heading 1"/>
    <w:basedOn w:val="Normal"/>
    <w:next w:val="Normal"/>
    <w:qFormat/>
    <w:rsid w:val="00953BDC"/>
    <w:pPr>
      <w:keepNext/>
      <w:jc w:val="left"/>
      <w:outlineLvl w:val="0"/>
    </w:pPr>
    <w:rPr>
      <w:rFonts w:ascii="Times New Roman Bold" w:hAnsi="Times New Roman Bold" w:cs="Arial"/>
      <w:b/>
      <w:bCs/>
      <w:caps/>
      <w:kern w:val="32"/>
    </w:rPr>
  </w:style>
  <w:style w:type="paragraph" w:styleId="Heading2">
    <w:name w:val="heading 2"/>
    <w:basedOn w:val="Normal"/>
    <w:next w:val="Normal"/>
    <w:qFormat/>
    <w:rsid w:val="00953BDC"/>
    <w:pPr>
      <w:keepNext/>
      <w:jc w:val="left"/>
      <w:outlineLvl w:val="1"/>
    </w:pPr>
    <w:rPr>
      <w:rFonts w:cs="Arial"/>
      <w:bCs/>
      <w:iCs/>
      <w:caps/>
    </w:rPr>
  </w:style>
  <w:style w:type="paragraph" w:styleId="Heading3">
    <w:name w:val="heading 3"/>
    <w:basedOn w:val="Normal"/>
    <w:next w:val="Normal"/>
    <w:qFormat/>
    <w:rsid w:val="00953BDC"/>
    <w:pPr>
      <w:keepNext/>
      <w:jc w:val="left"/>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 - Title"/>
    <w:basedOn w:val="Normal"/>
    <w:next w:val="Normal"/>
    <w:rsid w:val="00953BDC"/>
    <w:pPr>
      <w:jc w:val="left"/>
    </w:pPr>
    <w:rPr>
      <w:rFonts w:ascii="Times New Roman Bold" w:hAnsi="Times New Roman Bold"/>
      <w:b/>
      <w:caps/>
      <w:sz w:val="24"/>
      <w:szCs w:val="24"/>
    </w:rPr>
  </w:style>
  <w:style w:type="numbering" w:customStyle="1" w:styleId="StandardBulletpoints">
    <w:name w:val="Standard Bulletpoints"/>
    <w:rsid w:val="00D823A2"/>
    <w:pPr>
      <w:numPr>
        <w:numId w:val="3"/>
      </w:numPr>
    </w:pPr>
  </w:style>
  <w:style w:type="paragraph" w:customStyle="1" w:styleId="StandardFigLabel">
    <w:name w:val="Standard Fig. Label"/>
    <w:basedOn w:val="Normal"/>
    <w:next w:val="Normal"/>
    <w:rsid w:val="00005B37"/>
    <w:rPr>
      <w:bCs/>
      <w:i/>
    </w:rPr>
  </w:style>
  <w:style w:type="character" w:customStyle="1" w:styleId="Normal-Bold">
    <w:name w:val="Normal - Bold"/>
    <w:rsid w:val="00AC3C36"/>
    <w:rPr>
      <w:b/>
      <w:bCs/>
    </w:rPr>
  </w:style>
  <w:style w:type="character" w:customStyle="1" w:styleId="Normal-Italic">
    <w:name w:val="Normal - Italic"/>
    <w:rsid w:val="00AC3C36"/>
    <w:rPr>
      <w:i/>
      <w:iCs/>
    </w:rPr>
  </w:style>
  <w:style w:type="paragraph" w:styleId="Header">
    <w:name w:val="header"/>
    <w:basedOn w:val="Normal"/>
    <w:rsid w:val="00FE216E"/>
    <w:pPr>
      <w:tabs>
        <w:tab w:val="center" w:pos="4320"/>
        <w:tab w:val="right" w:pos="8640"/>
      </w:tabs>
    </w:pPr>
  </w:style>
  <w:style w:type="paragraph" w:styleId="Footer">
    <w:name w:val="footer"/>
    <w:basedOn w:val="Normal"/>
    <w:rsid w:val="00FE216E"/>
    <w:pPr>
      <w:tabs>
        <w:tab w:val="center" w:pos="4320"/>
        <w:tab w:val="right" w:pos="8640"/>
      </w:tabs>
    </w:pPr>
  </w:style>
  <w:style w:type="paragraph" w:customStyle="1" w:styleId="Firstparagraph">
    <w:name w:val="First paragraph"/>
    <w:basedOn w:val="Normal"/>
    <w:next w:val="Normal"/>
    <w:link w:val="FirstparagraphChar"/>
    <w:rsid w:val="00D717EB"/>
    <w:pPr>
      <w:tabs>
        <w:tab w:val="left" w:pos="4706"/>
      </w:tabs>
      <w:overflowPunct w:val="0"/>
      <w:autoSpaceDE w:val="0"/>
      <w:autoSpaceDN w:val="0"/>
      <w:adjustRightInd w:val="0"/>
      <w:spacing w:line="240" w:lineRule="exact"/>
      <w:textAlignment w:val="baseline"/>
    </w:pPr>
    <w:rPr>
      <w:rFonts w:eastAsia="Times New Roman"/>
      <w:sz w:val="22"/>
      <w:lang w:val="en-US" w:eastAsia="en-US"/>
    </w:rPr>
  </w:style>
  <w:style w:type="character" w:customStyle="1" w:styleId="FirstparagraphChar">
    <w:name w:val="First paragraph Char"/>
    <w:link w:val="Firstparagraph"/>
    <w:rsid w:val="00D717EB"/>
    <w:rPr>
      <w:rFonts w:eastAsia="Times New Roman"/>
      <w:sz w:val="22"/>
      <w:lang w:val="en-US" w:eastAsia="en-US"/>
    </w:rPr>
  </w:style>
  <w:style w:type="table" w:styleId="TableGrid">
    <w:name w:val="Table Grid"/>
    <w:basedOn w:val="TableNormal"/>
    <w:rsid w:val="00E6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1D5"/>
    <w:pPr>
      <w:ind w:left="720"/>
      <w:contextualSpacing/>
    </w:pPr>
  </w:style>
  <w:style w:type="paragraph" w:customStyle="1" w:styleId="Figurecaption">
    <w:name w:val="Figure caption"/>
    <w:basedOn w:val="Normal"/>
    <w:next w:val="Normal"/>
    <w:rsid w:val="00F90870"/>
    <w:pPr>
      <w:overflowPunct w:val="0"/>
      <w:autoSpaceDE w:val="0"/>
      <w:autoSpaceDN w:val="0"/>
      <w:adjustRightInd w:val="0"/>
      <w:spacing w:line="220" w:lineRule="exact"/>
      <w:textAlignment w:val="baseline"/>
    </w:pPr>
    <w:rPr>
      <w:rFonts w:eastAsia="Times New Roman"/>
      <w:lang w:val="en-US" w:eastAsia="en-US"/>
    </w:rPr>
  </w:style>
  <w:style w:type="paragraph" w:styleId="BalloonText">
    <w:name w:val="Balloon Text"/>
    <w:basedOn w:val="Normal"/>
    <w:link w:val="BalloonTextChar"/>
    <w:rsid w:val="00E44600"/>
    <w:rPr>
      <w:rFonts w:ascii="Segoe UI" w:hAnsi="Segoe UI" w:cs="Segoe UI"/>
      <w:sz w:val="18"/>
      <w:szCs w:val="18"/>
    </w:rPr>
  </w:style>
  <w:style w:type="character" w:customStyle="1" w:styleId="BalloonTextChar">
    <w:name w:val="Balloon Text Char"/>
    <w:basedOn w:val="DefaultParagraphFont"/>
    <w:link w:val="BalloonText"/>
    <w:rsid w:val="00E44600"/>
    <w:rPr>
      <w:rFonts w:ascii="Segoe UI" w:hAnsi="Segoe UI" w:cs="Segoe UI"/>
      <w:sz w:val="18"/>
      <w:szCs w:val="18"/>
      <w:lang w:eastAsia="ja-JP"/>
    </w:rPr>
  </w:style>
  <w:style w:type="character" w:styleId="CommentReference">
    <w:name w:val="annotation reference"/>
    <w:basedOn w:val="DefaultParagraphFont"/>
    <w:rsid w:val="009D46A8"/>
    <w:rPr>
      <w:sz w:val="16"/>
      <w:szCs w:val="16"/>
    </w:rPr>
  </w:style>
  <w:style w:type="paragraph" w:styleId="CommentText">
    <w:name w:val="annotation text"/>
    <w:basedOn w:val="Normal"/>
    <w:link w:val="CommentTextChar"/>
    <w:rsid w:val="009D46A8"/>
  </w:style>
  <w:style w:type="character" w:customStyle="1" w:styleId="CommentTextChar">
    <w:name w:val="Comment Text Char"/>
    <w:basedOn w:val="DefaultParagraphFont"/>
    <w:link w:val="CommentText"/>
    <w:rsid w:val="009D46A8"/>
    <w:rPr>
      <w:lang w:eastAsia="ja-JP"/>
    </w:rPr>
  </w:style>
  <w:style w:type="paragraph" w:styleId="CommentSubject">
    <w:name w:val="annotation subject"/>
    <w:basedOn w:val="CommentText"/>
    <w:next w:val="CommentText"/>
    <w:link w:val="CommentSubjectChar"/>
    <w:rsid w:val="009D46A8"/>
    <w:rPr>
      <w:b/>
      <w:bCs/>
    </w:rPr>
  </w:style>
  <w:style w:type="character" w:customStyle="1" w:styleId="CommentSubjectChar">
    <w:name w:val="Comment Subject Char"/>
    <w:basedOn w:val="CommentTextChar"/>
    <w:link w:val="CommentSubject"/>
    <w:rsid w:val="009D46A8"/>
    <w:rPr>
      <w:b/>
      <w:bCs/>
      <w:lang w:eastAsia="ja-JP"/>
    </w:rPr>
  </w:style>
  <w:style w:type="paragraph" w:customStyle="1" w:styleId="Pa3">
    <w:name w:val="Pa3"/>
    <w:basedOn w:val="Normal"/>
    <w:next w:val="Normal"/>
    <w:uiPriority w:val="99"/>
    <w:rsid w:val="00844225"/>
    <w:pPr>
      <w:autoSpaceDE w:val="0"/>
      <w:autoSpaceDN w:val="0"/>
      <w:adjustRightInd w:val="0"/>
      <w:spacing w:line="241" w:lineRule="atLeast"/>
      <w:jc w:val="left"/>
    </w:pPr>
    <w:rPr>
      <w:rFonts w:ascii="Joanna MT Std" w:hAnsi="Joanna MT St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284">
      <w:bodyDiv w:val="1"/>
      <w:marLeft w:val="0"/>
      <w:marRight w:val="0"/>
      <w:marTop w:val="0"/>
      <w:marBottom w:val="0"/>
      <w:divBdr>
        <w:top w:val="none" w:sz="0" w:space="0" w:color="auto"/>
        <w:left w:val="none" w:sz="0" w:space="0" w:color="auto"/>
        <w:bottom w:val="none" w:sz="0" w:space="0" w:color="auto"/>
        <w:right w:val="none" w:sz="0" w:space="0" w:color="auto"/>
      </w:divBdr>
    </w:div>
    <w:div w:id="190532252">
      <w:bodyDiv w:val="1"/>
      <w:marLeft w:val="0"/>
      <w:marRight w:val="0"/>
      <w:marTop w:val="0"/>
      <w:marBottom w:val="0"/>
      <w:divBdr>
        <w:top w:val="none" w:sz="0" w:space="0" w:color="auto"/>
        <w:left w:val="none" w:sz="0" w:space="0" w:color="auto"/>
        <w:bottom w:val="none" w:sz="0" w:space="0" w:color="auto"/>
        <w:right w:val="none" w:sz="0" w:space="0" w:color="auto"/>
      </w:divBdr>
    </w:div>
    <w:div w:id="229735034">
      <w:bodyDiv w:val="1"/>
      <w:marLeft w:val="0"/>
      <w:marRight w:val="0"/>
      <w:marTop w:val="0"/>
      <w:marBottom w:val="0"/>
      <w:divBdr>
        <w:top w:val="none" w:sz="0" w:space="0" w:color="auto"/>
        <w:left w:val="none" w:sz="0" w:space="0" w:color="auto"/>
        <w:bottom w:val="none" w:sz="0" w:space="0" w:color="auto"/>
        <w:right w:val="none" w:sz="0" w:space="0" w:color="auto"/>
      </w:divBdr>
    </w:div>
    <w:div w:id="329598152">
      <w:bodyDiv w:val="1"/>
      <w:marLeft w:val="0"/>
      <w:marRight w:val="0"/>
      <w:marTop w:val="0"/>
      <w:marBottom w:val="0"/>
      <w:divBdr>
        <w:top w:val="none" w:sz="0" w:space="0" w:color="auto"/>
        <w:left w:val="none" w:sz="0" w:space="0" w:color="auto"/>
        <w:bottom w:val="none" w:sz="0" w:space="0" w:color="auto"/>
        <w:right w:val="none" w:sz="0" w:space="0" w:color="auto"/>
      </w:divBdr>
    </w:div>
    <w:div w:id="472216904">
      <w:bodyDiv w:val="1"/>
      <w:marLeft w:val="0"/>
      <w:marRight w:val="0"/>
      <w:marTop w:val="0"/>
      <w:marBottom w:val="0"/>
      <w:divBdr>
        <w:top w:val="none" w:sz="0" w:space="0" w:color="auto"/>
        <w:left w:val="none" w:sz="0" w:space="0" w:color="auto"/>
        <w:bottom w:val="none" w:sz="0" w:space="0" w:color="auto"/>
        <w:right w:val="none" w:sz="0" w:space="0" w:color="auto"/>
      </w:divBdr>
    </w:div>
    <w:div w:id="514534290">
      <w:bodyDiv w:val="1"/>
      <w:marLeft w:val="0"/>
      <w:marRight w:val="0"/>
      <w:marTop w:val="0"/>
      <w:marBottom w:val="0"/>
      <w:divBdr>
        <w:top w:val="none" w:sz="0" w:space="0" w:color="auto"/>
        <w:left w:val="none" w:sz="0" w:space="0" w:color="auto"/>
        <w:bottom w:val="none" w:sz="0" w:space="0" w:color="auto"/>
        <w:right w:val="none" w:sz="0" w:space="0" w:color="auto"/>
      </w:divBdr>
    </w:div>
    <w:div w:id="623199143">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669018751">
      <w:bodyDiv w:val="1"/>
      <w:marLeft w:val="0"/>
      <w:marRight w:val="0"/>
      <w:marTop w:val="0"/>
      <w:marBottom w:val="0"/>
      <w:divBdr>
        <w:top w:val="none" w:sz="0" w:space="0" w:color="auto"/>
        <w:left w:val="none" w:sz="0" w:space="0" w:color="auto"/>
        <w:bottom w:val="none" w:sz="0" w:space="0" w:color="auto"/>
        <w:right w:val="none" w:sz="0" w:space="0" w:color="auto"/>
      </w:divBdr>
    </w:div>
    <w:div w:id="695422105">
      <w:bodyDiv w:val="1"/>
      <w:marLeft w:val="0"/>
      <w:marRight w:val="0"/>
      <w:marTop w:val="0"/>
      <w:marBottom w:val="0"/>
      <w:divBdr>
        <w:top w:val="none" w:sz="0" w:space="0" w:color="auto"/>
        <w:left w:val="none" w:sz="0" w:space="0" w:color="auto"/>
        <w:bottom w:val="none" w:sz="0" w:space="0" w:color="auto"/>
        <w:right w:val="none" w:sz="0" w:space="0" w:color="auto"/>
      </w:divBdr>
    </w:div>
    <w:div w:id="978193711">
      <w:bodyDiv w:val="1"/>
      <w:marLeft w:val="0"/>
      <w:marRight w:val="0"/>
      <w:marTop w:val="0"/>
      <w:marBottom w:val="0"/>
      <w:divBdr>
        <w:top w:val="none" w:sz="0" w:space="0" w:color="auto"/>
        <w:left w:val="none" w:sz="0" w:space="0" w:color="auto"/>
        <w:bottom w:val="none" w:sz="0" w:space="0" w:color="auto"/>
        <w:right w:val="none" w:sz="0" w:space="0" w:color="auto"/>
      </w:divBdr>
    </w:div>
    <w:div w:id="1195197671">
      <w:bodyDiv w:val="1"/>
      <w:marLeft w:val="0"/>
      <w:marRight w:val="0"/>
      <w:marTop w:val="0"/>
      <w:marBottom w:val="0"/>
      <w:divBdr>
        <w:top w:val="none" w:sz="0" w:space="0" w:color="auto"/>
        <w:left w:val="none" w:sz="0" w:space="0" w:color="auto"/>
        <w:bottom w:val="none" w:sz="0" w:space="0" w:color="auto"/>
        <w:right w:val="none" w:sz="0" w:space="0" w:color="auto"/>
      </w:divBdr>
    </w:div>
    <w:div w:id="1290093612">
      <w:bodyDiv w:val="1"/>
      <w:marLeft w:val="0"/>
      <w:marRight w:val="0"/>
      <w:marTop w:val="0"/>
      <w:marBottom w:val="0"/>
      <w:divBdr>
        <w:top w:val="none" w:sz="0" w:space="0" w:color="auto"/>
        <w:left w:val="none" w:sz="0" w:space="0" w:color="auto"/>
        <w:bottom w:val="none" w:sz="0" w:space="0" w:color="auto"/>
        <w:right w:val="none" w:sz="0" w:space="0" w:color="auto"/>
      </w:divBdr>
    </w:div>
    <w:div w:id="1432430210">
      <w:bodyDiv w:val="1"/>
      <w:marLeft w:val="0"/>
      <w:marRight w:val="0"/>
      <w:marTop w:val="0"/>
      <w:marBottom w:val="0"/>
      <w:divBdr>
        <w:top w:val="none" w:sz="0" w:space="0" w:color="auto"/>
        <w:left w:val="none" w:sz="0" w:space="0" w:color="auto"/>
        <w:bottom w:val="none" w:sz="0" w:space="0" w:color="auto"/>
        <w:right w:val="none" w:sz="0" w:space="0" w:color="auto"/>
      </w:divBdr>
    </w:div>
    <w:div w:id="1488941201">
      <w:bodyDiv w:val="1"/>
      <w:marLeft w:val="0"/>
      <w:marRight w:val="0"/>
      <w:marTop w:val="0"/>
      <w:marBottom w:val="0"/>
      <w:divBdr>
        <w:top w:val="none" w:sz="0" w:space="0" w:color="auto"/>
        <w:left w:val="none" w:sz="0" w:space="0" w:color="auto"/>
        <w:bottom w:val="none" w:sz="0" w:space="0" w:color="auto"/>
        <w:right w:val="none" w:sz="0" w:space="0" w:color="auto"/>
      </w:divBdr>
    </w:div>
    <w:div w:id="1506018295">
      <w:bodyDiv w:val="1"/>
      <w:marLeft w:val="0"/>
      <w:marRight w:val="0"/>
      <w:marTop w:val="0"/>
      <w:marBottom w:val="0"/>
      <w:divBdr>
        <w:top w:val="none" w:sz="0" w:space="0" w:color="auto"/>
        <w:left w:val="none" w:sz="0" w:space="0" w:color="auto"/>
        <w:bottom w:val="none" w:sz="0" w:space="0" w:color="auto"/>
        <w:right w:val="none" w:sz="0" w:space="0" w:color="auto"/>
      </w:divBdr>
    </w:div>
    <w:div w:id="1698579511">
      <w:bodyDiv w:val="1"/>
      <w:marLeft w:val="0"/>
      <w:marRight w:val="0"/>
      <w:marTop w:val="0"/>
      <w:marBottom w:val="0"/>
      <w:divBdr>
        <w:top w:val="none" w:sz="0" w:space="0" w:color="auto"/>
        <w:left w:val="none" w:sz="0" w:space="0" w:color="auto"/>
        <w:bottom w:val="none" w:sz="0" w:space="0" w:color="auto"/>
        <w:right w:val="none" w:sz="0" w:space="0" w:color="auto"/>
      </w:divBdr>
    </w:div>
    <w:div w:id="1849709203">
      <w:bodyDiv w:val="1"/>
      <w:marLeft w:val="0"/>
      <w:marRight w:val="0"/>
      <w:marTop w:val="0"/>
      <w:marBottom w:val="0"/>
      <w:divBdr>
        <w:top w:val="none" w:sz="0" w:space="0" w:color="auto"/>
        <w:left w:val="none" w:sz="0" w:space="0" w:color="auto"/>
        <w:bottom w:val="none" w:sz="0" w:space="0" w:color="auto"/>
        <w:right w:val="none" w:sz="0" w:space="0" w:color="auto"/>
      </w:divBdr>
    </w:div>
    <w:div w:id="198634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University%20of%20Edinburgh\PHD\Abstracts\CONFAB%202017\Paper%20comparison%20CONFAB%201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University%20of%20Edinburgh\PHD\Abstracts\ASFE%2017%20Paper%20comparison%20%25.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University%20of%20Edinburgh\PHD\Abstracts\ASFE%2017%20Paper%20comparison%20%25.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s1688520\Desktop\University%20of%20Edinburgh\Data\8.%20EXCEL%20DATA%20UK,%20USA,%20SCOTLAND,%20CANADA,%20NEW%20ZEALAND\Database%20USA%202014%20Fireincident.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niversity%20of%20Edinburgh\PHD\Abstracts\CONFAB%202017\Paper%20comparison%20CONFAB%20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57298038642601"/>
          <c:y val="9.0725806451612906E-2"/>
          <c:w val="0.86342701961357404"/>
          <c:h val="0.56091725933451897"/>
        </c:manualLayout>
      </c:layout>
      <c:bar3DChart>
        <c:barDir val="col"/>
        <c:grouping val="clustered"/>
        <c:varyColors val="0"/>
        <c:ser>
          <c:idx val="0"/>
          <c:order val="0"/>
          <c:tx>
            <c:strRef>
              <c:f>Sheet1!$U$11</c:f>
              <c:strCache>
                <c:ptCount val="1"/>
                <c:pt idx="0">
                  <c:v>UK</c:v>
                </c:pt>
              </c:strCache>
            </c:strRef>
          </c:tx>
          <c:spPr>
            <a:solidFill>
              <a:schemeClr val="accent1"/>
            </a:solidFill>
            <a:ln>
              <a:noFill/>
            </a:ln>
            <a:effectLst/>
            <a:sp3d/>
          </c:spPr>
          <c:invertIfNegative val="0"/>
          <c:cat>
            <c:strRef>
              <c:f>Sheet1!$T$12:$T$13</c:f>
              <c:strCache>
                <c:ptCount val="2"/>
                <c:pt idx="0">
                  <c:v>Residential</c:v>
                </c:pt>
                <c:pt idx="1">
                  <c:v>Non-residential </c:v>
                </c:pt>
              </c:strCache>
            </c:strRef>
          </c:cat>
          <c:val>
            <c:numRef>
              <c:f>Sheet1!$U$12:$U$13</c:f>
              <c:numCache>
                <c:formatCode>0.0%</c:formatCode>
                <c:ptCount val="2"/>
                <c:pt idx="0">
                  <c:v>0.66832348486464599</c:v>
                </c:pt>
                <c:pt idx="1">
                  <c:v>0.33167651513535401</c:v>
                </c:pt>
              </c:numCache>
            </c:numRef>
          </c:val>
          <c:extLst>
            <c:ext xmlns:c16="http://schemas.microsoft.com/office/drawing/2014/chart" uri="{C3380CC4-5D6E-409C-BE32-E72D297353CC}">
              <c16:uniqueId val="{00000000-6DA8-4FE7-8315-5085312F5F82}"/>
            </c:ext>
          </c:extLst>
        </c:ser>
        <c:ser>
          <c:idx val="1"/>
          <c:order val="1"/>
          <c:tx>
            <c:strRef>
              <c:f>Sheet1!$V$11</c:f>
              <c:strCache>
                <c:ptCount val="1"/>
                <c:pt idx="0">
                  <c:v>USA</c:v>
                </c:pt>
              </c:strCache>
            </c:strRef>
          </c:tx>
          <c:spPr>
            <a:solidFill>
              <a:schemeClr val="accent2"/>
            </a:solidFill>
            <a:ln>
              <a:noFill/>
            </a:ln>
            <a:effectLst/>
            <a:sp3d/>
          </c:spPr>
          <c:invertIfNegative val="0"/>
          <c:cat>
            <c:strRef>
              <c:f>Sheet1!$T$12:$T$13</c:f>
              <c:strCache>
                <c:ptCount val="2"/>
                <c:pt idx="0">
                  <c:v>Residential</c:v>
                </c:pt>
                <c:pt idx="1">
                  <c:v>Non-residential </c:v>
                </c:pt>
              </c:strCache>
            </c:strRef>
          </c:cat>
          <c:val>
            <c:numRef>
              <c:f>Sheet1!$V$12:$V$13</c:f>
              <c:numCache>
                <c:formatCode>0.0%</c:formatCode>
                <c:ptCount val="2"/>
                <c:pt idx="0">
                  <c:v>0.79227557411273497</c:v>
                </c:pt>
                <c:pt idx="1">
                  <c:v>0.207724425887265</c:v>
                </c:pt>
              </c:numCache>
            </c:numRef>
          </c:val>
          <c:extLst>
            <c:ext xmlns:c16="http://schemas.microsoft.com/office/drawing/2014/chart" uri="{C3380CC4-5D6E-409C-BE32-E72D297353CC}">
              <c16:uniqueId val="{00000001-6DA8-4FE7-8315-5085312F5F82}"/>
            </c:ext>
          </c:extLst>
        </c:ser>
        <c:ser>
          <c:idx val="2"/>
          <c:order val="2"/>
          <c:tx>
            <c:strRef>
              <c:f>Sheet1!$W$11</c:f>
              <c:strCache>
                <c:ptCount val="1"/>
                <c:pt idx="0">
                  <c:v>NZ</c:v>
                </c:pt>
              </c:strCache>
            </c:strRef>
          </c:tx>
          <c:spPr>
            <a:solidFill>
              <a:schemeClr val="accent3"/>
            </a:solidFill>
            <a:ln>
              <a:noFill/>
            </a:ln>
            <a:effectLst/>
            <a:sp3d/>
          </c:spPr>
          <c:invertIfNegative val="0"/>
          <c:cat>
            <c:strRef>
              <c:f>Sheet1!$T$12:$T$13</c:f>
              <c:strCache>
                <c:ptCount val="2"/>
                <c:pt idx="0">
                  <c:v>Residential</c:v>
                </c:pt>
                <c:pt idx="1">
                  <c:v>Non-residential </c:v>
                </c:pt>
              </c:strCache>
            </c:strRef>
          </c:cat>
          <c:val>
            <c:numRef>
              <c:f>Sheet1!$W$12:$W$13</c:f>
              <c:numCache>
                <c:formatCode>0.0%</c:formatCode>
                <c:ptCount val="2"/>
                <c:pt idx="0">
                  <c:v>0.65600000000000003</c:v>
                </c:pt>
                <c:pt idx="1">
                  <c:v>0.33300000000000002</c:v>
                </c:pt>
              </c:numCache>
            </c:numRef>
          </c:val>
          <c:extLst>
            <c:ext xmlns:c16="http://schemas.microsoft.com/office/drawing/2014/chart" uri="{C3380CC4-5D6E-409C-BE32-E72D297353CC}">
              <c16:uniqueId val="{00000002-6DA8-4FE7-8315-5085312F5F82}"/>
            </c:ext>
          </c:extLst>
        </c:ser>
        <c:dLbls>
          <c:showLegendKey val="0"/>
          <c:showVal val="0"/>
          <c:showCatName val="0"/>
          <c:showSerName val="0"/>
          <c:showPercent val="0"/>
          <c:showBubbleSize val="0"/>
        </c:dLbls>
        <c:gapWidth val="150"/>
        <c:shape val="box"/>
        <c:axId val="-421284176"/>
        <c:axId val="-424601856"/>
        <c:axId val="0"/>
      </c:bar3DChart>
      <c:catAx>
        <c:axId val="-421284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4601856"/>
        <c:crosses val="autoZero"/>
        <c:auto val="1"/>
        <c:lblAlgn val="ctr"/>
        <c:lblOffset val="100"/>
        <c:noMultiLvlLbl val="0"/>
      </c:catAx>
      <c:valAx>
        <c:axId val="-424601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1284176"/>
        <c:crosses val="autoZero"/>
        <c:crossBetween val="between"/>
        <c:majorUnit val="0.2"/>
      </c:valAx>
      <c:spPr>
        <a:noFill/>
        <a:ln>
          <a:noFill/>
        </a:ln>
        <a:effectLst/>
      </c:spPr>
    </c:plotArea>
    <c:legend>
      <c:legendPos val="b"/>
      <c:layout>
        <c:manualLayout>
          <c:xMode val="edge"/>
          <c:yMode val="edge"/>
          <c:x val="0.320736942350899"/>
          <c:y val="0.81990570231140503"/>
          <c:w val="0.34220925321312201"/>
          <c:h val="0.1800942976885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66682940382"/>
          <c:y val="6.6673844860702505E-2"/>
          <c:w val="0.83685835925618401"/>
          <c:h val="0.50971869583792095"/>
        </c:manualLayout>
      </c:layout>
      <c:bar3DChart>
        <c:barDir val="col"/>
        <c:grouping val="clustered"/>
        <c:varyColors val="0"/>
        <c:ser>
          <c:idx val="0"/>
          <c:order val="0"/>
          <c:tx>
            <c:strRef>
              <c:f>Sheet1!$P$572</c:f>
              <c:strCache>
                <c:ptCount val="1"/>
                <c:pt idx="0">
                  <c:v>Dwellings </c:v>
                </c:pt>
              </c:strCache>
            </c:strRef>
          </c:tx>
          <c:spPr>
            <a:solidFill>
              <a:schemeClr val="accent1"/>
            </a:solidFill>
            <a:ln>
              <a:noFill/>
            </a:ln>
            <a:effectLst/>
            <a:sp3d/>
          </c:spPr>
          <c:invertIfNegative val="0"/>
          <c:cat>
            <c:strRef>
              <c:f>Sheet1!$Q$571:$T$571</c:f>
              <c:strCache>
                <c:ptCount val="4"/>
                <c:pt idx="0">
                  <c:v>A</c:v>
                </c:pt>
                <c:pt idx="1">
                  <c:v>B</c:v>
                </c:pt>
                <c:pt idx="2">
                  <c:v>C</c:v>
                </c:pt>
                <c:pt idx="3">
                  <c:v>D</c:v>
                </c:pt>
              </c:strCache>
            </c:strRef>
          </c:cat>
          <c:val>
            <c:numRef>
              <c:f>Sheet1!$Q$572:$T$572</c:f>
              <c:numCache>
                <c:formatCode>0.0%</c:formatCode>
                <c:ptCount val="4"/>
                <c:pt idx="0">
                  <c:v>0.267788943651454</c:v>
                </c:pt>
                <c:pt idx="1">
                  <c:v>7.1006422155369203E-2</c:v>
                </c:pt>
                <c:pt idx="2">
                  <c:v>0.131814205551644</c:v>
                </c:pt>
                <c:pt idx="3">
                  <c:v>0.19767863619876699</c:v>
                </c:pt>
              </c:numCache>
            </c:numRef>
          </c:val>
          <c:extLst>
            <c:ext xmlns:c16="http://schemas.microsoft.com/office/drawing/2014/chart" uri="{C3380CC4-5D6E-409C-BE32-E72D297353CC}">
              <c16:uniqueId val="{00000000-D708-448F-98DE-793851A19CBA}"/>
            </c:ext>
          </c:extLst>
        </c:ser>
        <c:ser>
          <c:idx val="1"/>
          <c:order val="1"/>
          <c:tx>
            <c:strRef>
              <c:f>Sheet1!$P$573</c:f>
              <c:strCache>
                <c:ptCount val="1"/>
                <c:pt idx="0">
                  <c:v>Other buildings</c:v>
                </c:pt>
              </c:strCache>
            </c:strRef>
          </c:tx>
          <c:spPr>
            <a:solidFill>
              <a:schemeClr val="accent2"/>
            </a:solidFill>
            <a:ln>
              <a:noFill/>
            </a:ln>
            <a:effectLst/>
            <a:sp3d/>
          </c:spPr>
          <c:invertIfNegative val="0"/>
          <c:cat>
            <c:strRef>
              <c:f>Sheet1!$Q$571:$T$571</c:f>
              <c:strCache>
                <c:ptCount val="4"/>
                <c:pt idx="0">
                  <c:v>A</c:v>
                </c:pt>
                <c:pt idx="1">
                  <c:v>B</c:v>
                </c:pt>
                <c:pt idx="2">
                  <c:v>C</c:v>
                </c:pt>
                <c:pt idx="3">
                  <c:v>D</c:v>
                </c:pt>
              </c:strCache>
            </c:strRef>
          </c:cat>
          <c:val>
            <c:numRef>
              <c:f>Sheet1!$Q$573:$T$573</c:f>
              <c:numCache>
                <c:formatCode>0.0%</c:formatCode>
                <c:ptCount val="4"/>
                <c:pt idx="0">
                  <c:v>0.118244468625317</c:v>
                </c:pt>
                <c:pt idx="1">
                  <c:v>1.8413023533679001E-2</c:v>
                </c:pt>
                <c:pt idx="2">
                  <c:v>4.3354882758326399E-2</c:v>
                </c:pt>
                <c:pt idx="3">
                  <c:v>0.151699417525443</c:v>
                </c:pt>
              </c:numCache>
            </c:numRef>
          </c:val>
          <c:extLst>
            <c:ext xmlns:c16="http://schemas.microsoft.com/office/drawing/2014/chart" uri="{C3380CC4-5D6E-409C-BE32-E72D297353CC}">
              <c16:uniqueId val="{00000001-D708-448F-98DE-793851A19CBA}"/>
            </c:ext>
          </c:extLst>
        </c:ser>
        <c:dLbls>
          <c:showLegendKey val="0"/>
          <c:showVal val="0"/>
          <c:showCatName val="0"/>
          <c:showSerName val="0"/>
          <c:showPercent val="0"/>
          <c:showBubbleSize val="0"/>
        </c:dLbls>
        <c:gapWidth val="150"/>
        <c:shape val="box"/>
        <c:axId val="-425494976"/>
        <c:axId val="-377740176"/>
        <c:axId val="0"/>
      </c:bar3DChart>
      <c:catAx>
        <c:axId val="-425494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77740176"/>
        <c:crosses val="autoZero"/>
        <c:auto val="1"/>
        <c:lblAlgn val="ctr"/>
        <c:lblOffset val="100"/>
        <c:noMultiLvlLbl val="0"/>
      </c:catAx>
      <c:valAx>
        <c:axId val="-377740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5494976"/>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Sheet1!$G$579:$G$582</c:f>
              <c:strCache>
                <c:ptCount val="4"/>
                <c:pt idx="0">
                  <c:v>A</c:v>
                </c:pt>
                <c:pt idx="1">
                  <c:v>B</c:v>
                </c:pt>
                <c:pt idx="2">
                  <c:v>C</c:v>
                </c:pt>
                <c:pt idx="3">
                  <c:v>D</c:v>
                </c:pt>
              </c:strCache>
            </c:strRef>
          </c:cat>
          <c:val>
            <c:numRef>
              <c:f>Sheet1!$H$579:$H$582</c:f>
              <c:numCache>
                <c:formatCode>0.0%</c:formatCode>
                <c:ptCount val="4"/>
                <c:pt idx="0">
                  <c:v>0.14474220639795601</c:v>
                </c:pt>
                <c:pt idx="1">
                  <c:v>0.59109069659989699</c:v>
                </c:pt>
                <c:pt idx="2">
                  <c:v>0.102804881363303</c:v>
                </c:pt>
                <c:pt idx="3">
                  <c:v>0.16136221563884401</c:v>
                </c:pt>
              </c:numCache>
            </c:numRef>
          </c:val>
          <c:extLst>
            <c:ext xmlns:c16="http://schemas.microsoft.com/office/drawing/2014/chart" uri="{C3380CC4-5D6E-409C-BE32-E72D297353CC}">
              <c16:uniqueId val="{00000000-0625-4E68-A6A6-AA3CB4D4A094}"/>
            </c:ext>
          </c:extLst>
        </c:ser>
        <c:dLbls>
          <c:showLegendKey val="0"/>
          <c:showVal val="0"/>
          <c:showCatName val="0"/>
          <c:showSerName val="0"/>
          <c:showPercent val="0"/>
          <c:showBubbleSize val="0"/>
        </c:dLbls>
        <c:gapWidth val="150"/>
        <c:shape val="box"/>
        <c:axId val="-424512544"/>
        <c:axId val="-537942752"/>
        <c:axId val="0"/>
      </c:bar3DChart>
      <c:catAx>
        <c:axId val="-424512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37942752"/>
        <c:crosses val="autoZero"/>
        <c:auto val="1"/>
        <c:lblAlgn val="ctr"/>
        <c:lblOffset val="100"/>
        <c:noMultiLvlLbl val="0"/>
      </c:catAx>
      <c:valAx>
        <c:axId val="-53794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451254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Sheet1!$AR$584:$AR$599</c:f>
              <c:strCache>
                <c:ptCount val="16"/>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strCache>
            </c:strRef>
          </c:cat>
          <c:val>
            <c:numRef>
              <c:f>Sheet1!$AS$584:$AS$599</c:f>
              <c:numCache>
                <c:formatCode>0.0%</c:formatCode>
                <c:ptCount val="16"/>
                <c:pt idx="0">
                  <c:v>6.6983894582723302E-2</c:v>
                </c:pt>
                <c:pt idx="1">
                  <c:v>8.3821376281112706E-2</c:v>
                </c:pt>
                <c:pt idx="2">
                  <c:v>1.1896046852122999E-2</c:v>
                </c:pt>
                <c:pt idx="3">
                  <c:v>1.7203513909223998E-2</c:v>
                </c:pt>
                <c:pt idx="4">
                  <c:v>4.7767203513909201E-2</c:v>
                </c:pt>
                <c:pt idx="5">
                  <c:v>2.48901903367496E-2</c:v>
                </c:pt>
                <c:pt idx="6">
                  <c:v>6.5885797950219604E-3</c:v>
                </c:pt>
                <c:pt idx="7">
                  <c:v>4.2825768667642698E-2</c:v>
                </c:pt>
                <c:pt idx="8">
                  <c:v>1.6288433382137601E-2</c:v>
                </c:pt>
                <c:pt idx="9">
                  <c:v>1.5739385065885798E-2</c:v>
                </c:pt>
                <c:pt idx="10">
                  <c:v>6.5885797950219593E-2</c:v>
                </c:pt>
                <c:pt idx="11">
                  <c:v>1.2262079062957501E-2</c:v>
                </c:pt>
                <c:pt idx="12">
                  <c:v>1.09809663250366E-2</c:v>
                </c:pt>
                <c:pt idx="13">
                  <c:v>1.4641288433382099E-3</c:v>
                </c:pt>
                <c:pt idx="14">
                  <c:v>2.9282576866764302E-3</c:v>
                </c:pt>
                <c:pt idx="15">
                  <c:v>5.12445095168375E-3</c:v>
                </c:pt>
              </c:numCache>
            </c:numRef>
          </c:val>
          <c:extLst>
            <c:ext xmlns:c16="http://schemas.microsoft.com/office/drawing/2014/chart" uri="{C3380CC4-5D6E-409C-BE32-E72D297353CC}">
              <c16:uniqueId val="{00000000-F2D0-427F-A898-8EC4DB7295E9}"/>
            </c:ext>
          </c:extLst>
        </c:ser>
        <c:dLbls>
          <c:showLegendKey val="0"/>
          <c:showVal val="0"/>
          <c:showCatName val="0"/>
          <c:showSerName val="0"/>
          <c:showPercent val="0"/>
          <c:showBubbleSize val="0"/>
        </c:dLbls>
        <c:gapWidth val="150"/>
        <c:shape val="box"/>
        <c:axId val="-419605152"/>
        <c:axId val="-468286176"/>
        <c:axId val="0"/>
      </c:bar3DChart>
      <c:catAx>
        <c:axId val="-419605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8286176"/>
        <c:crosses val="autoZero"/>
        <c:auto val="1"/>
        <c:lblAlgn val="ctr"/>
        <c:lblOffset val="100"/>
        <c:noMultiLvlLbl val="0"/>
      </c:catAx>
      <c:valAx>
        <c:axId val="-46828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19605152"/>
        <c:crosses val="autoZero"/>
        <c:crossBetween val="between"/>
        <c:majorUnit val="0.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01263386066201"/>
          <c:y val="9.6582466567607703E-2"/>
          <c:w val="0.86498736613933802"/>
          <c:h val="0.57438546407553404"/>
        </c:manualLayout>
      </c:layout>
      <c:bar3DChart>
        <c:barDir val="col"/>
        <c:grouping val="clustered"/>
        <c:varyColors val="0"/>
        <c:ser>
          <c:idx val="0"/>
          <c:order val="0"/>
          <c:tx>
            <c:strRef>
              <c:f>Sheet1!$A$657</c:f>
              <c:strCache>
                <c:ptCount val="1"/>
                <c:pt idx="0">
                  <c:v>Dwellings - Battery Powered</c:v>
                </c:pt>
              </c:strCache>
            </c:strRef>
          </c:tx>
          <c:spPr>
            <a:solidFill>
              <a:schemeClr val="accent1"/>
            </a:solidFill>
            <a:ln>
              <a:noFill/>
            </a:ln>
            <a:effectLst/>
            <a:sp3d/>
          </c:spPr>
          <c:invertIfNegative val="0"/>
          <c:cat>
            <c:strRef>
              <c:f>Sheet1!$B$656:$H$656</c:f>
              <c:strCache>
                <c:ptCount val="7"/>
                <c:pt idx="0">
                  <c:v>A</c:v>
                </c:pt>
                <c:pt idx="1">
                  <c:v>B</c:v>
                </c:pt>
                <c:pt idx="2">
                  <c:v>C</c:v>
                </c:pt>
                <c:pt idx="3">
                  <c:v>D</c:v>
                </c:pt>
                <c:pt idx="4">
                  <c:v>E</c:v>
                </c:pt>
                <c:pt idx="5">
                  <c:v>F</c:v>
                </c:pt>
                <c:pt idx="6">
                  <c:v>G</c:v>
                </c:pt>
              </c:strCache>
            </c:strRef>
          </c:cat>
          <c:val>
            <c:numRef>
              <c:f>Sheet1!$B$657:$H$657</c:f>
              <c:numCache>
                <c:formatCode>0.0%</c:formatCode>
                <c:ptCount val="7"/>
                <c:pt idx="0">
                  <c:v>0.15130434782608701</c:v>
                </c:pt>
                <c:pt idx="1">
                  <c:v>9.5942028985507202E-2</c:v>
                </c:pt>
                <c:pt idx="2">
                  <c:v>6.78260869565218E-2</c:v>
                </c:pt>
                <c:pt idx="3">
                  <c:v>0.43971014492753602</c:v>
                </c:pt>
                <c:pt idx="4">
                  <c:v>0.11739130434782601</c:v>
                </c:pt>
                <c:pt idx="5">
                  <c:v>2.9275362318840599E-2</c:v>
                </c:pt>
                <c:pt idx="6">
                  <c:v>9.8550724637681206E-2</c:v>
                </c:pt>
              </c:numCache>
            </c:numRef>
          </c:val>
          <c:extLst>
            <c:ext xmlns:c16="http://schemas.microsoft.com/office/drawing/2014/chart" uri="{C3380CC4-5D6E-409C-BE32-E72D297353CC}">
              <c16:uniqueId val="{00000000-F561-4073-A32F-CD8956E0C67E}"/>
            </c:ext>
          </c:extLst>
        </c:ser>
        <c:ser>
          <c:idx val="1"/>
          <c:order val="1"/>
          <c:tx>
            <c:strRef>
              <c:f>Sheet1!$A$658</c:f>
              <c:strCache>
                <c:ptCount val="1"/>
                <c:pt idx="0">
                  <c:v>Dwellings - Mains Powered</c:v>
                </c:pt>
              </c:strCache>
            </c:strRef>
          </c:tx>
          <c:spPr>
            <a:solidFill>
              <a:schemeClr val="accent2"/>
            </a:solidFill>
            <a:ln>
              <a:noFill/>
            </a:ln>
            <a:effectLst/>
            <a:sp3d/>
          </c:spPr>
          <c:invertIfNegative val="0"/>
          <c:cat>
            <c:strRef>
              <c:f>Sheet1!$B$656:$H$656</c:f>
              <c:strCache>
                <c:ptCount val="7"/>
                <c:pt idx="0">
                  <c:v>A</c:v>
                </c:pt>
                <c:pt idx="1">
                  <c:v>B</c:v>
                </c:pt>
                <c:pt idx="2">
                  <c:v>C</c:v>
                </c:pt>
                <c:pt idx="3">
                  <c:v>D</c:v>
                </c:pt>
                <c:pt idx="4">
                  <c:v>E</c:v>
                </c:pt>
                <c:pt idx="5">
                  <c:v>F</c:v>
                </c:pt>
                <c:pt idx="6">
                  <c:v>G</c:v>
                </c:pt>
              </c:strCache>
            </c:strRef>
          </c:cat>
          <c:val>
            <c:numRef>
              <c:f>Sheet1!$B$658:$H$658</c:f>
              <c:numCache>
                <c:formatCode>0.0%</c:formatCode>
                <c:ptCount val="7"/>
                <c:pt idx="0">
                  <c:v>6.27769571639586E-3</c:v>
                </c:pt>
                <c:pt idx="1">
                  <c:v>5.1698670605612998E-3</c:v>
                </c:pt>
                <c:pt idx="2">
                  <c:v>0.17392909896602701</c:v>
                </c:pt>
                <c:pt idx="3">
                  <c:v>0.47710487444608601</c:v>
                </c:pt>
                <c:pt idx="4">
                  <c:v>0.13810930576070901</c:v>
                </c:pt>
                <c:pt idx="5">
                  <c:v>6.4992614475627805E-2</c:v>
                </c:pt>
                <c:pt idx="6">
                  <c:v>0.13441654357459401</c:v>
                </c:pt>
              </c:numCache>
            </c:numRef>
          </c:val>
          <c:extLst>
            <c:ext xmlns:c16="http://schemas.microsoft.com/office/drawing/2014/chart" uri="{C3380CC4-5D6E-409C-BE32-E72D297353CC}">
              <c16:uniqueId val="{00000001-F561-4073-A32F-CD8956E0C67E}"/>
            </c:ext>
          </c:extLst>
        </c:ser>
        <c:ser>
          <c:idx val="2"/>
          <c:order val="2"/>
          <c:tx>
            <c:strRef>
              <c:f>Sheet1!$A$659</c:f>
              <c:strCache>
                <c:ptCount val="1"/>
                <c:pt idx="0">
                  <c:v>Other buildings</c:v>
                </c:pt>
              </c:strCache>
            </c:strRef>
          </c:tx>
          <c:spPr>
            <a:solidFill>
              <a:schemeClr val="accent3"/>
            </a:solidFill>
            <a:ln>
              <a:noFill/>
            </a:ln>
            <a:effectLst/>
            <a:sp3d/>
          </c:spPr>
          <c:invertIfNegative val="0"/>
          <c:cat>
            <c:strRef>
              <c:f>Sheet1!$B$656:$H$656</c:f>
              <c:strCache>
                <c:ptCount val="7"/>
                <c:pt idx="0">
                  <c:v>A</c:v>
                </c:pt>
                <c:pt idx="1">
                  <c:v>B</c:v>
                </c:pt>
                <c:pt idx="2">
                  <c:v>C</c:v>
                </c:pt>
                <c:pt idx="3">
                  <c:v>D</c:v>
                </c:pt>
                <c:pt idx="4">
                  <c:v>E</c:v>
                </c:pt>
                <c:pt idx="5">
                  <c:v>F</c:v>
                </c:pt>
                <c:pt idx="6">
                  <c:v>G</c:v>
                </c:pt>
              </c:strCache>
            </c:strRef>
          </c:cat>
          <c:val>
            <c:numRef>
              <c:f>Sheet1!$B$659:$H$659</c:f>
              <c:numCache>
                <c:formatCode>0.0%</c:formatCode>
                <c:ptCount val="7"/>
                <c:pt idx="0">
                  <c:v>6.8627450980392199E-3</c:v>
                </c:pt>
                <c:pt idx="1">
                  <c:v>4.9019607843137298E-3</c:v>
                </c:pt>
                <c:pt idx="2">
                  <c:v>2.5980392156862701E-2</c:v>
                </c:pt>
                <c:pt idx="3">
                  <c:v>0.474509803921569</c:v>
                </c:pt>
                <c:pt idx="4">
                  <c:v>0.12843137254902001</c:v>
                </c:pt>
                <c:pt idx="5">
                  <c:v>4.0196078431372601E-2</c:v>
                </c:pt>
                <c:pt idx="6">
                  <c:v>0.31911764705882401</c:v>
                </c:pt>
              </c:numCache>
            </c:numRef>
          </c:val>
          <c:extLst>
            <c:ext xmlns:c16="http://schemas.microsoft.com/office/drawing/2014/chart" uri="{C3380CC4-5D6E-409C-BE32-E72D297353CC}">
              <c16:uniqueId val="{00000002-F561-4073-A32F-CD8956E0C67E}"/>
            </c:ext>
          </c:extLst>
        </c:ser>
        <c:dLbls>
          <c:showLegendKey val="0"/>
          <c:showVal val="0"/>
          <c:showCatName val="0"/>
          <c:showSerName val="0"/>
          <c:showPercent val="0"/>
          <c:showBubbleSize val="0"/>
        </c:dLbls>
        <c:gapWidth val="150"/>
        <c:shape val="box"/>
        <c:axId val="-420659584"/>
        <c:axId val="-741208768"/>
        <c:axId val="0"/>
      </c:bar3DChart>
      <c:catAx>
        <c:axId val="-420659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741208768"/>
        <c:crosses val="autoZero"/>
        <c:auto val="1"/>
        <c:lblAlgn val="ctr"/>
        <c:lblOffset val="100"/>
        <c:noMultiLvlLbl val="0"/>
      </c:catAx>
      <c:valAx>
        <c:axId val="-741208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0659584"/>
        <c:crosses val="autoZero"/>
        <c:crossBetween val="between"/>
        <c:majorUnit val="0.2"/>
      </c:valAx>
      <c:spPr>
        <a:noFill/>
        <a:ln>
          <a:noFill/>
        </a:ln>
        <a:effectLst/>
      </c:spPr>
    </c:plotArea>
    <c:legend>
      <c:legendPos val="b"/>
      <c:layout>
        <c:manualLayout>
          <c:xMode val="edge"/>
          <c:yMode val="edge"/>
          <c:x val="3.1533963618610501E-2"/>
          <c:y val="0.80195914403715896"/>
          <c:w val="0.94916947843277699"/>
          <c:h val="0.13494811105521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Sheet1!$A$657</c:f>
              <c:strCache>
                <c:ptCount val="1"/>
                <c:pt idx="0">
                  <c:v>Dwellings - Battery Powered</c:v>
                </c:pt>
              </c:strCache>
            </c:strRef>
          </c:tx>
          <c:spPr>
            <a:solidFill>
              <a:schemeClr val="accent1"/>
            </a:solidFill>
            <a:ln>
              <a:noFill/>
            </a:ln>
            <a:effectLst/>
            <a:sp3d/>
          </c:spPr>
          <c:invertIfNegative val="0"/>
          <c:cat>
            <c:strRef>
              <c:f>Sheet1!$B$656:$H$656</c:f>
              <c:strCache>
                <c:ptCount val="7"/>
                <c:pt idx="0">
                  <c:v>A</c:v>
                </c:pt>
                <c:pt idx="1">
                  <c:v>B</c:v>
                </c:pt>
                <c:pt idx="2">
                  <c:v>C</c:v>
                </c:pt>
                <c:pt idx="3">
                  <c:v>D</c:v>
                </c:pt>
                <c:pt idx="4">
                  <c:v>E</c:v>
                </c:pt>
                <c:pt idx="5">
                  <c:v>F</c:v>
                </c:pt>
                <c:pt idx="6">
                  <c:v>G</c:v>
                </c:pt>
              </c:strCache>
            </c:strRef>
          </c:cat>
          <c:val>
            <c:numRef>
              <c:f>Sheet1!$B$657:$H$657</c:f>
              <c:numCache>
                <c:formatCode>0.0%</c:formatCode>
                <c:ptCount val="7"/>
                <c:pt idx="0">
                  <c:v>0.15130434782608701</c:v>
                </c:pt>
                <c:pt idx="1">
                  <c:v>9.5942028985507202E-2</c:v>
                </c:pt>
                <c:pt idx="2">
                  <c:v>6.78260869565218E-2</c:v>
                </c:pt>
                <c:pt idx="3">
                  <c:v>0.43971014492753602</c:v>
                </c:pt>
                <c:pt idx="4">
                  <c:v>0.11739130434782601</c:v>
                </c:pt>
                <c:pt idx="5">
                  <c:v>2.9275362318840599E-2</c:v>
                </c:pt>
                <c:pt idx="6">
                  <c:v>9.8550724637681206E-2</c:v>
                </c:pt>
              </c:numCache>
            </c:numRef>
          </c:val>
          <c:extLst>
            <c:ext xmlns:c16="http://schemas.microsoft.com/office/drawing/2014/chart" uri="{C3380CC4-5D6E-409C-BE32-E72D297353CC}">
              <c16:uniqueId val="{00000000-036A-4535-8B5C-BACCD90C61D6}"/>
            </c:ext>
          </c:extLst>
        </c:ser>
        <c:ser>
          <c:idx val="1"/>
          <c:order val="1"/>
          <c:tx>
            <c:strRef>
              <c:f>Sheet1!$A$658</c:f>
              <c:strCache>
                <c:ptCount val="1"/>
                <c:pt idx="0">
                  <c:v>Dwellings - Mains Powered</c:v>
                </c:pt>
              </c:strCache>
            </c:strRef>
          </c:tx>
          <c:spPr>
            <a:solidFill>
              <a:schemeClr val="accent2"/>
            </a:solidFill>
            <a:ln>
              <a:noFill/>
            </a:ln>
            <a:effectLst/>
            <a:sp3d/>
          </c:spPr>
          <c:invertIfNegative val="0"/>
          <c:cat>
            <c:strRef>
              <c:f>Sheet1!$B$656:$H$656</c:f>
              <c:strCache>
                <c:ptCount val="7"/>
                <c:pt idx="0">
                  <c:v>A</c:v>
                </c:pt>
                <c:pt idx="1">
                  <c:v>B</c:v>
                </c:pt>
                <c:pt idx="2">
                  <c:v>C</c:v>
                </c:pt>
                <c:pt idx="3">
                  <c:v>D</c:v>
                </c:pt>
                <c:pt idx="4">
                  <c:v>E</c:v>
                </c:pt>
                <c:pt idx="5">
                  <c:v>F</c:v>
                </c:pt>
                <c:pt idx="6">
                  <c:v>G</c:v>
                </c:pt>
              </c:strCache>
            </c:strRef>
          </c:cat>
          <c:val>
            <c:numRef>
              <c:f>Sheet1!$B$658:$H$658</c:f>
              <c:numCache>
                <c:formatCode>0.0%</c:formatCode>
                <c:ptCount val="7"/>
                <c:pt idx="0">
                  <c:v>6.27769571639586E-3</c:v>
                </c:pt>
                <c:pt idx="1">
                  <c:v>5.1698670605612998E-3</c:v>
                </c:pt>
                <c:pt idx="2">
                  <c:v>0.17392909896602701</c:v>
                </c:pt>
                <c:pt idx="3">
                  <c:v>0.47710487444608601</c:v>
                </c:pt>
                <c:pt idx="4">
                  <c:v>0.13810930576070901</c:v>
                </c:pt>
                <c:pt idx="5">
                  <c:v>6.4992614475627805E-2</c:v>
                </c:pt>
                <c:pt idx="6">
                  <c:v>0.13441654357459401</c:v>
                </c:pt>
              </c:numCache>
            </c:numRef>
          </c:val>
          <c:extLst>
            <c:ext xmlns:c16="http://schemas.microsoft.com/office/drawing/2014/chart" uri="{C3380CC4-5D6E-409C-BE32-E72D297353CC}">
              <c16:uniqueId val="{00000001-036A-4535-8B5C-BACCD90C61D6}"/>
            </c:ext>
          </c:extLst>
        </c:ser>
        <c:ser>
          <c:idx val="2"/>
          <c:order val="2"/>
          <c:tx>
            <c:strRef>
              <c:f>Sheet1!$A$659</c:f>
              <c:strCache>
                <c:ptCount val="1"/>
                <c:pt idx="0">
                  <c:v>Other buildings</c:v>
                </c:pt>
              </c:strCache>
            </c:strRef>
          </c:tx>
          <c:spPr>
            <a:solidFill>
              <a:schemeClr val="accent3"/>
            </a:solidFill>
            <a:ln>
              <a:noFill/>
            </a:ln>
            <a:effectLst/>
            <a:sp3d/>
          </c:spPr>
          <c:invertIfNegative val="0"/>
          <c:cat>
            <c:strRef>
              <c:f>Sheet1!$B$656:$H$656</c:f>
              <c:strCache>
                <c:ptCount val="7"/>
                <c:pt idx="0">
                  <c:v>A</c:v>
                </c:pt>
                <c:pt idx="1">
                  <c:v>B</c:v>
                </c:pt>
                <c:pt idx="2">
                  <c:v>C</c:v>
                </c:pt>
                <c:pt idx="3">
                  <c:v>D</c:v>
                </c:pt>
                <c:pt idx="4">
                  <c:v>E</c:v>
                </c:pt>
                <c:pt idx="5">
                  <c:v>F</c:v>
                </c:pt>
                <c:pt idx="6">
                  <c:v>G</c:v>
                </c:pt>
              </c:strCache>
            </c:strRef>
          </c:cat>
          <c:val>
            <c:numRef>
              <c:f>Sheet1!$B$659:$H$659</c:f>
              <c:numCache>
                <c:formatCode>0.0%</c:formatCode>
                <c:ptCount val="7"/>
                <c:pt idx="0">
                  <c:v>6.8627450980392199E-3</c:v>
                </c:pt>
                <c:pt idx="1">
                  <c:v>4.9019607843137298E-3</c:v>
                </c:pt>
                <c:pt idx="2">
                  <c:v>2.5980392156862701E-2</c:v>
                </c:pt>
                <c:pt idx="3">
                  <c:v>0.474509803921569</c:v>
                </c:pt>
                <c:pt idx="4">
                  <c:v>0.12843137254902001</c:v>
                </c:pt>
                <c:pt idx="5">
                  <c:v>4.0196078431372601E-2</c:v>
                </c:pt>
                <c:pt idx="6">
                  <c:v>0.31911764705882401</c:v>
                </c:pt>
              </c:numCache>
            </c:numRef>
          </c:val>
          <c:extLst>
            <c:ext xmlns:c16="http://schemas.microsoft.com/office/drawing/2014/chart" uri="{C3380CC4-5D6E-409C-BE32-E72D297353CC}">
              <c16:uniqueId val="{00000002-036A-4535-8B5C-BACCD90C61D6}"/>
            </c:ext>
          </c:extLst>
        </c:ser>
        <c:dLbls>
          <c:showLegendKey val="0"/>
          <c:showVal val="0"/>
          <c:showCatName val="0"/>
          <c:showSerName val="0"/>
          <c:showPercent val="0"/>
          <c:showBubbleSize val="0"/>
        </c:dLbls>
        <c:gapWidth val="150"/>
        <c:shape val="box"/>
        <c:axId val="-419453360"/>
        <c:axId val="-424325520"/>
        <c:axId val="0"/>
      </c:bar3DChart>
      <c:catAx>
        <c:axId val="-419453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4325520"/>
        <c:crosses val="autoZero"/>
        <c:auto val="1"/>
        <c:lblAlgn val="ctr"/>
        <c:lblOffset val="100"/>
        <c:noMultiLvlLbl val="0"/>
      </c:catAx>
      <c:valAx>
        <c:axId val="-424325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1945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Sheet1!$F$665:$F$672</c:f>
              <c:strCache>
                <c:ptCount val="8"/>
                <c:pt idx="0">
                  <c:v>A</c:v>
                </c:pt>
                <c:pt idx="1">
                  <c:v>B</c:v>
                </c:pt>
                <c:pt idx="2">
                  <c:v>C</c:v>
                </c:pt>
                <c:pt idx="3">
                  <c:v>D</c:v>
                </c:pt>
                <c:pt idx="4">
                  <c:v>E</c:v>
                </c:pt>
                <c:pt idx="5">
                  <c:v>F</c:v>
                </c:pt>
                <c:pt idx="6">
                  <c:v>G</c:v>
                </c:pt>
                <c:pt idx="7">
                  <c:v>H</c:v>
                </c:pt>
              </c:strCache>
            </c:strRef>
          </c:cat>
          <c:val>
            <c:numRef>
              <c:f>Sheet1!$G$665:$G$672</c:f>
              <c:numCache>
                <c:formatCode>0.0%</c:formatCode>
                <c:ptCount val="8"/>
                <c:pt idx="0">
                  <c:v>4.4679444811632503E-2</c:v>
                </c:pt>
                <c:pt idx="1">
                  <c:v>1.9960343688037001E-2</c:v>
                </c:pt>
                <c:pt idx="2">
                  <c:v>2.3265036351619299E-2</c:v>
                </c:pt>
                <c:pt idx="3">
                  <c:v>3.4236615994712498E-2</c:v>
                </c:pt>
                <c:pt idx="4">
                  <c:v>0.250892267019167</c:v>
                </c:pt>
                <c:pt idx="5">
                  <c:v>0.14342366159947101</c:v>
                </c:pt>
                <c:pt idx="6">
                  <c:v>6.0541969596827498E-2</c:v>
                </c:pt>
                <c:pt idx="7">
                  <c:v>0.423000660938533</c:v>
                </c:pt>
              </c:numCache>
            </c:numRef>
          </c:val>
          <c:extLst>
            <c:ext xmlns:c16="http://schemas.microsoft.com/office/drawing/2014/chart" uri="{C3380CC4-5D6E-409C-BE32-E72D297353CC}">
              <c16:uniqueId val="{00000000-1B4F-4A75-A75A-753721E37CCF}"/>
            </c:ext>
          </c:extLst>
        </c:ser>
        <c:dLbls>
          <c:showLegendKey val="0"/>
          <c:showVal val="0"/>
          <c:showCatName val="0"/>
          <c:showSerName val="0"/>
          <c:showPercent val="0"/>
          <c:showBubbleSize val="0"/>
        </c:dLbls>
        <c:gapWidth val="150"/>
        <c:shape val="box"/>
        <c:axId val="-538402928"/>
        <c:axId val="-420349632"/>
        <c:axId val="0"/>
      </c:bar3DChart>
      <c:catAx>
        <c:axId val="-538402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0349632"/>
        <c:crosses val="autoZero"/>
        <c:auto val="1"/>
        <c:lblAlgn val="ctr"/>
        <c:lblOffset val="100"/>
        <c:noMultiLvlLbl val="0"/>
      </c:catAx>
      <c:valAx>
        <c:axId val="-420349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384029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Sheet1!$Q$682:$Q$694</c:f>
              <c:strCache>
                <c:ptCount val="13"/>
                <c:pt idx="0">
                  <c:v>A</c:v>
                </c:pt>
                <c:pt idx="1">
                  <c:v>B</c:v>
                </c:pt>
                <c:pt idx="2">
                  <c:v>C</c:v>
                </c:pt>
                <c:pt idx="3">
                  <c:v>D</c:v>
                </c:pt>
                <c:pt idx="4">
                  <c:v>E</c:v>
                </c:pt>
                <c:pt idx="5">
                  <c:v>F</c:v>
                </c:pt>
                <c:pt idx="6">
                  <c:v>G</c:v>
                </c:pt>
                <c:pt idx="7">
                  <c:v>H</c:v>
                </c:pt>
                <c:pt idx="8">
                  <c:v>I</c:v>
                </c:pt>
                <c:pt idx="9">
                  <c:v>J</c:v>
                </c:pt>
                <c:pt idx="10">
                  <c:v>K</c:v>
                </c:pt>
                <c:pt idx="11">
                  <c:v>L</c:v>
                </c:pt>
                <c:pt idx="12">
                  <c:v>M</c:v>
                </c:pt>
              </c:strCache>
            </c:strRef>
          </c:cat>
          <c:val>
            <c:numRef>
              <c:f>Sheet1!$R$682:$R$694</c:f>
              <c:numCache>
                <c:formatCode>0.0%</c:formatCode>
                <c:ptCount val="13"/>
                <c:pt idx="0">
                  <c:v>8.0512351326624005E-3</c:v>
                </c:pt>
                <c:pt idx="1">
                  <c:v>3.2936870997255299E-3</c:v>
                </c:pt>
                <c:pt idx="2">
                  <c:v>1.8298261665141799E-4</c:v>
                </c:pt>
                <c:pt idx="3">
                  <c:v>5.0869167429094198E-2</c:v>
                </c:pt>
                <c:pt idx="4">
                  <c:v>5.3064958828911296E-3</c:v>
                </c:pt>
                <c:pt idx="5">
                  <c:v>1.8298261665141799E-4</c:v>
                </c:pt>
                <c:pt idx="6">
                  <c:v>2.5617566331198501E-3</c:v>
                </c:pt>
                <c:pt idx="7">
                  <c:v>4.5745654162854497E-3</c:v>
                </c:pt>
                <c:pt idx="8">
                  <c:v>4.2086001829826202E-3</c:v>
                </c:pt>
                <c:pt idx="9">
                  <c:v>1.46386093321135E-3</c:v>
                </c:pt>
                <c:pt idx="10">
                  <c:v>5.4894784995425502E-4</c:v>
                </c:pt>
                <c:pt idx="11">
                  <c:v>1.90301921317475E-2</c:v>
                </c:pt>
                <c:pt idx="12">
                  <c:v>1.55535224153705E-2</c:v>
                </c:pt>
              </c:numCache>
            </c:numRef>
          </c:val>
          <c:extLst>
            <c:ext xmlns:c16="http://schemas.microsoft.com/office/drawing/2014/chart" uri="{C3380CC4-5D6E-409C-BE32-E72D297353CC}">
              <c16:uniqueId val="{00000000-FED6-46DB-8CF1-6F6E318F1FB8}"/>
            </c:ext>
          </c:extLst>
        </c:ser>
        <c:dLbls>
          <c:showLegendKey val="0"/>
          <c:showVal val="0"/>
          <c:showCatName val="0"/>
          <c:showSerName val="0"/>
          <c:showPercent val="0"/>
          <c:showBubbleSize val="0"/>
        </c:dLbls>
        <c:gapWidth val="150"/>
        <c:shape val="box"/>
        <c:axId val="-740625008"/>
        <c:axId val="-743882096"/>
        <c:axId val="0"/>
      </c:bar3DChart>
      <c:catAx>
        <c:axId val="-74062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743882096"/>
        <c:crosses val="autoZero"/>
        <c:auto val="1"/>
        <c:lblAlgn val="ctr"/>
        <c:lblOffset val="100"/>
        <c:noMultiLvlLbl val="0"/>
      </c:catAx>
      <c:valAx>
        <c:axId val="-74388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740625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46377636530399"/>
          <c:y val="0.101920815366523"/>
          <c:w val="0.87939158207633705"/>
          <c:h val="0.49890208255524299"/>
        </c:manualLayout>
      </c:layout>
      <c:bar3DChart>
        <c:barDir val="col"/>
        <c:grouping val="clustered"/>
        <c:varyColors val="0"/>
        <c:ser>
          <c:idx val="0"/>
          <c:order val="0"/>
          <c:tx>
            <c:strRef>
              <c:f>Sheet1!$B$38</c:f>
              <c:strCache>
                <c:ptCount val="1"/>
                <c:pt idx="0">
                  <c:v>Minutes</c:v>
                </c:pt>
              </c:strCache>
            </c:strRef>
          </c:tx>
          <c:spPr>
            <a:solidFill>
              <a:schemeClr val="accent1"/>
            </a:solidFill>
            <a:ln>
              <a:noFill/>
            </a:ln>
            <a:effectLst/>
            <a:sp3d/>
          </c:spPr>
          <c:invertIfNegative val="0"/>
          <c:cat>
            <c:strRef>
              <c:f>Sheet1!$A$39:$A$59</c:f>
              <c:strCache>
                <c:ptCount val="21"/>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strCache>
            </c:strRef>
          </c:cat>
          <c:val>
            <c:numRef>
              <c:f>Sheet1!$B$39:$B$59</c:f>
              <c:numCache>
                <c:formatCode>General</c:formatCode>
                <c:ptCount val="21"/>
                <c:pt idx="0">
                  <c:v>6.1108097775536416</c:v>
                </c:pt>
                <c:pt idx="1">
                  <c:v>6.20356274135783</c:v>
                </c:pt>
                <c:pt idx="2">
                  <c:v>6.1719452292068464</c:v>
                </c:pt>
                <c:pt idx="3">
                  <c:v>6.1883370456341469</c:v>
                </c:pt>
                <c:pt idx="4">
                  <c:v>6.2518471716208301</c:v>
                </c:pt>
                <c:pt idx="5">
                  <c:v>6.432636395255062</c:v>
                </c:pt>
                <c:pt idx="6">
                  <c:v>6.5384466078537482</c:v>
                </c:pt>
                <c:pt idx="7">
                  <c:v>6.5058552974280346</c:v>
                </c:pt>
                <c:pt idx="8">
                  <c:v>6.6404446253285458</c:v>
                </c:pt>
                <c:pt idx="9">
                  <c:v>6.8202192120484879</c:v>
                </c:pt>
                <c:pt idx="10">
                  <c:v>6.9592038969281704</c:v>
                </c:pt>
                <c:pt idx="11">
                  <c:v>7.1640533109581099</c:v>
                </c:pt>
                <c:pt idx="12">
                  <c:v>7.3435180941154554</c:v>
                </c:pt>
                <c:pt idx="13">
                  <c:v>7.4123986125202466</c:v>
                </c:pt>
                <c:pt idx="14">
                  <c:v>7.6165616881619727</c:v>
                </c:pt>
                <c:pt idx="15">
                  <c:v>8.2382971996559622</c:v>
                </c:pt>
                <c:pt idx="16">
                  <c:v>8.2713043668135082</c:v>
                </c:pt>
                <c:pt idx="17">
                  <c:v>8.1846306236014286</c:v>
                </c:pt>
                <c:pt idx="18">
                  <c:v>8.1823831476846873</c:v>
                </c:pt>
                <c:pt idx="19">
                  <c:v>8.3817775948594502</c:v>
                </c:pt>
                <c:pt idx="20">
                  <c:v>8.7172121783158474</c:v>
                </c:pt>
              </c:numCache>
            </c:numRef>
          </c:val>
          <c:extLst>
            <c:ext xmlns:c16="http://schemas.microsoft.com/office/drawing/2014/chart" uri="{C3380CC4-5D6E-409C-BE32-E72D297353CC}">
              <c16:uniqueId val="{00000000-C5E8-409C-83A1-0177DF17CB55}"/>
            </c:ext>
          </c:extLst>
        </c:ser>
        <c:dLbls>
          <c:showLegendKey val="0"/>
          <c:showVal val="0"/>
          <c:showCatName val="0"/>
          <c:showSerName val="0"/>
          <c:showPercent val="0"/>
          <c:showBubbleSize val="0"/>
        </c:dLbls>
        <c:gapWidth val="150"/>
        <c:shape val="box"/>
        <c:axId val="-366757376"/>
        <c:axId val="-366755328"/>
        <c:axId val="0"/>
      </c:bar3DChart>
      <c:catAx>
        <c:axId val="-366757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charset="0"/>
                <a:ea typeface="Times" charset="0"/>
                <a:cs typeface="Times" charset="0"/>
              </a:defRPr>
            </a:pPr>
            <a:endParaRPr lang="en-US"/>
          </a:p>
        </c:txPr>
        <c:crossAx val="-366755328"/>
        <c:crosses val="autoZero"/>
        <c:auto val="1"/>
        <c:lblAlgn val="ctr"/>
        <c:lblOffset val="100"/>
        <c:noMultiLvlLbl val="0"/>
      </c:catAx>
      <c:valAx>
        <c:axId val="-366755328"/>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GB"/>
                  <a:t>[min]</a:t>
                </a:r>
              </a:p>
            </c:rich>
          </c:tx>
          <c:layout>
            <c:manualLayout>
              <c:xMode val="edge"/>
              <c:yMode val="edge"/>
              <c:x val="6.6217626411156499E-3"/>
              <c:y val="0.230486114755060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66757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baseline="0">
          <a:latin typeface="Times New Roman" panose="0202060305040502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385488554572934"/>
          <c:y val="0.14310285541612106"/>
          <c:w val="0.72539092257566806"/>
          <c:h val="0.43165097305051248"/>
        </c:manualLayout>
      </c:layout>
      <c:bar3DChart>
        <c:barDir val="col"/>
        <c:grouping val="clustered"/>
        <c:varyColors val="0"/>
        <c:ser>
          <c:idx val="1"/>
          <c:order val="1"/>
          <c:tx>
            <c:strRef>
              <c:f>Sheet1!$C$38</c:f>
              <c:strCache>
                <c:ptCount val="1"/>
                <c:pt idx="0">
                  <c:v>Number of incidents </c:v>
                </c:pt>
              </c:strCache>
            </c:strRef>
          </c:tx>
          <c:spPr>
            <a:solidFill>
              <a:schemeClr val="accent2"/>
            </a:solidFill>
            <a:ln>
              <a:noFill/>
            </a:ln>
            <a:effectLst/>
            <a:sp3d/>
          </c:spPr>
          <c:invertIfNegative val="0"/>
          <c:cat>
            <c:strRef>
              <c:f>Sheet1!$A$39:$A$59</c:f>
              <c:strCache>
                <c:ptCount val="21"/>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strCache>
            </c:strRef>
          </c:cat>
          <c:val>
            <c:numRef>
              <c:f>Sheet1!$C$39:$C$59</c:f>
              <c:numCache>
                <c:formatCode>General</c:formatCode>
                <c:ptCount val="21"/>
                <c:pt idx="0">
                  <c:v>153420.26909268979</c:v>
                </c:pt>
                <c:pt idx="1">
                  <c:v>163897.3746964687</c:v>
                </c:pt>
                <c:pt idx="2">
                  <c:v>163383.66629036199</c:v>
                </c:pt>
                <c:pt idx="3">
                  <c:v>159698.2734919865</c:v>
                </c:pt>
                <c:pt idx="4">
                  <c:v>160788.439929507</c:v>
                </c:pt>
                <c:pt idx="5">
                  <c:v>178442.66820695481</c:v>
                </c:pt>
                <c:pt idx="6">
                  <c:v>173482.43707685851</c:v>
                </c:pt>
                <c:pt idx="7">
                  <c:v>185338.87328601989</c:v>
                </c:pt>
                <c:pt idx="8">
                  <c:v>169453.1818815773</c:v>
                </c:pt>
                <c:pt idx="9">
                  <c:v>167697.804221303</c:v>
                </c:pt>
                <c:pt idx="10">
                  <c:v>142748.46982728469</c:v>
                </c:pt>
                <c:pt idx="11">
                  <c:v>133481</c:v>
                </c:pt>
                <c:pt idx="12">
                  <c:v>125016.6698797706</c:v>
                </c:pt>
                <c:pt idx="13">
                  <c:v>111095.4077695866</c:v>
                </c:pt>
                <c:pt idx="14">
                  <c:v>95995.747539969874</c:v>
                </c:pt>
                <c:pt idx="15">
                  <c:v>68017</c:v>
                </c:pt>
                <c:pt idx="16">
                  <c:v>68100</c:v>
                </c:pt>
                <c:pt idx="17">
                  <c:v>64708</c:v>
                </c:pt>
                <c:pt idx="18">
                  <c:v>55219</c:v>
                </c:pt>
                <c:pt idx="19">
                  <c:v>54391</c:v>
                </c:pt>
                <c:pt idx="20">
                  <c:v>52121</c:v>
                </c:pt>
              </c:numCache>
            </c:numRef>
          </c:val>
          <c:extLst>
            <c:ext xmlns:c16="http://schemas.microsoft.com/office/drawing/2014/chart" uri="{C3380CC4-5D6E-409C-BE32-E72D297353CC}">
              <c16:uniqueId val="{00000000-D87F-4B01-A564-81417F57999B}"/>
            </c:ext>
          </c:extLst>
        </c:ser>
        <c:dLbls>
          <c:showLegendKey val="0"/>
          <c:showVal val="0"/>
          <c:showCatName val="0"/>
          <c:showSerName val="0"/>
          <c:showPercent val="0"/>
          <c:showBubbleSize val="0"/>
        </c:dLbls>
        <c:gapWidth val="150"/>
        <c:shape val="box"/>
        <c:axId val="-425456416"/>
        <c:axId val="-425454096"/>
        <c:axId val="0"/>
        <c:extLst>
          <c:ext xmlns:c15="http://schemas.microsoft.com/office/drawing/2012/chart" uri="{02D57815-91ED-43cb-92C2-25804820EDAC}">
            <c15:filteredBarSeries>
              <c15:ser>
                <c:idx val="0"/>
                <c:order val="0"/>
                <c:tx>
                  <c:strRef>
                    <c:extLst>
                      <c:ext uri="{02D57815-91ED-43cb-92C2-25804820EDAC}">
                        <c15:formulaRef>
                          <c15:sqref>Sheet1!$B$38</c15:sqref>
                        </c15:formulaRef>
                      </c:ext>
                    </c:extLst>
                    <c:strCache>
                      <c:ptCount val="1"/>
                      <c:pt idx="0">
                        <c:v>Minutes</c:v>
                      </c:pt>
                    </c:strCache>
                  </c:strRef>
                </c:tx>
                <c:spPr>
                  <a:solidFill>
                    <a:schemeClr val="accent1"/>
                  </a:solidFill>
                  <a:ln>
                    <a:noFill/>
                  </a:ln>
                  <a:effectLst/>
                  <a:sp3d/>
                </c:spPr>
                <c:invertIfNegative val="0"/>
                <c:cat>
                  <c:strRef>
                    <c:extLst>
                      <c:ext uri="{02D57815-91ED-43cb-92C2-25804820EDAC}">
                        <c15:formulaRef>
                          <c15:sqref>Sheet1!$A$39:$A$59</c15:sqref>
                        </c15:formulaRef>
                      </c:ext>
                    </c:extLst>
                    <c:strCache>
                      <c:ptCount val="21"/>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strCache>
                  </c:strRef>
                </c:cat>
                <c:val>
                  <c:numRef>
                    <c:extLst>
                      <c:ext uri="{02D57815-91ED-43cb-92C2-25804820EDAC}">
                        <c15:formulaRef>
                          <c15:sqref>Sheet1!$B$39:$B$59</c15:sqref>
                        </c15:formulaRef>
                      </c:ext>
                    </c:extLst>
                    <c:numCache>
                      <c:formatCode>General</c:formatCode>
                      <c:ptCount val="21"/>
                      <c:pt idx="0">
                        <c:v>6.1108097775536416</c:v>
                      </c:pt>
                      <c:pt idx="1">
                        <c:v>6.20356274135783</c:v>
                      </c:pt>
                      <c:pt idx="2">
                        <c:v>6.1719452292068464</c:v>
                      </c:pt>
                      <c:pt idx="3">
                        <c:v>6.1883370456341469</c:v>
                      </c:pt>
                      <c:pt idx="4">
                        <c:v>6.2518471716208301</c:v>
                      </c:pt>
                      <c:pt idx="5">
                        <c:v>6.432636395255062</c:v>
                      </c:pt>
                      <c:pt idx="6">
                        <c:v>6.5384466078537482</c:v>
                      </c:pt>
                      <c:pt idx="7">
                        <c:v>6.5058552974280346</c:v>
                      </c:pt>
                      <c:pt idx="8">
                        <c:v>6.6404446253285458</c:v>
                      </c:pt>
                      <c:pt idx="9">
                        <c:v>6.8202192120484879</c:v>
                      </c:pt>
                      <c:pt idx="10">
                        <c:v>6.9592038969281704</c:v>
                      </c:pt>
                      <c:pt idx="11">
                        <c:v>7.1640533109581099</c:v>
                      </c:pt>
                      <c:pt idx="12">
                        <c:v>7.3435180941154554</c:v>
                      </c:pt>
                      <c:pt idx="13">
                        <c:v>7.4123986125202466</c:v>
                      </c:pt>
                      <c:pt idx="14">
                        <c:v>7.6165616881619727</c:v>
                      </c:pt>
                      <c:pt idx="15">
                        <c:v>8.2382971996559622</c:v>
                      </c:pt>
                      <c:pt idx="16">
                        <c:v>8.2713043668135082</c:v>
                      </c:pt>
                      <c:pt idx="17">
                        <c:v>8.1846306236014286</c:v>
                      </c:pt>
                      <c:pt idx="18">
                        <c:v>8.1823831476846873</c:v>
                      </c:pt>
                      <c:pt idx="19">
                        <c:v>8.3817775948594502</c:v>
                      </c:pt>
                      <c:pt idx="20">
                        <c:v>8.7172121783158474</c:v>
                      </c:pt>
                    </c:numCache>
                  </c:numRef>
                </c:val>
                <c:extLst>
                  <c:ext xmlns:c16="http://schemas.microsoft.com/office/drawing/2014/chart" uri="{C3380CC4-5D6E-409C-BE32-E72D297353CC}">
                    <c16:uniqueId val="{00000001-D87F-4B01-A564-81417F57999B}"/>
                  </c:ext>
                </c:extLst>
              </c15:ser>
            </c15:filteredBarSeries>
          </c:ext>
        </c:extLst>
      </c:bar3DChart>
      <c:catAx>
        <c:axId val="-425456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charset="0"/>
                <a:ea typeface="Times" charset="0"/>
                <a:cs typeface="Times" charset="0"/>
              </a:defRPr>
            </a:pPr>
            <a:endParaRPr lang="en-US"/>
          </a:p>
        </c:txPr>
        <c:crossAx val="-425454096"/>
        <c:crosses val="autoZero"/>
        <c:auto val="1"/>
        <c:lblAlgn val="ctr"/>
        <c:lblOffset val="100"/>
        <c:noMultiLvlLbl val="0"/>
      </c:catAx>
      <c:valAx>
        <c:axId val="-42545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GB"/>
                  <a:t>Incidents</a:t>
                </a:r>
              </a:p>
            </c:rich>
          </c:tx>
          <c:layout>
            <c:manualLayout>
              <c:xMode val="edge"/>
              <c:yMode val="edge"/>
              <c:x val="1.94166960473224E-2"/>
              <c:y val="0.188711544338024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5456416"/>
        <c:crosses val="autoZero"/>
        <c:crossBetween val="between"/>
        <c:majorUnit val="10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126700071582"/>
          <c:y val="7.0577856197618E-2"/>
          <c:w val="0.83585819694643904"/>
          <c:h val="0.52709293561507298"/>
        </c:manualLayout>
      </c:layout>
      <c:bar3DChart>
        <c:barDir val="col"/>
        <c:grouping val="clustered"/>
        <c:varyColors val="0"/>
        <c:ser>
          <c:idx val="0"/>
          <c:order val="0"/>
          <c:tx>
            <c:strRef>
              <c:f>Sheet1!$B$203</c:f>
              <c:strCache>
                <c:ptCount val="1"/>
                <c:pt idx="0">
                  <c:v>UK</c:v>
                </c:pt>
              </c:strCache>
            </c:strRef>
          </c:tx>
          <c:spPr>
            <a:solidFill>
              <a:schemeClr val="accent1"/>
            </a:solidFill>
            <a:ln>
              <a:noFill/>
            </a:ln>
            <a:effectLst/>
            <a:sp3d/>
          </c:spPr>
          <c:invertIfNegative val="0"/>
          <c:cat>
            <c:strRef>
              <c:f>Sheet1!$A$204:$A$224</c:f>
              <c:strCache>
                <c:ptCount val="21"/>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&gt;20</c:v>
                </c:pt>
              </c:strCache>
            </c:strRef>
          </c:cat>
          <c:val>
            <c:numRef>
              <c:f>Sheet1!$B$204:$B$224</c:f>
              <c:numCache>
                <c:formatCode>0.0%</c:formatCode>
                <c:ptCount val="21"/>
                <c:pt idx="0">
                  <c:v>8.1120713862282002E-4</c:v>
                </c:pt>
                <c:pt idx="1">
                  <c:v>2.4960219649932899E-3</c:v>
                </c:pt>
                <c:pt idx="2">
                  <c:v>8.7048766029140991E-3</c:v>
                </c:pt>
                <c:pt idx="3">
                  <c:v>4.1184362422389299E-2</c:v>
                </c:pt>
                <c:pt idx="4">
                  <c:v>0.108140151633334</c:v>
                </c:pt>
                <c:pt idx="5">
                  <c:v>0.15965180493588299</c:v>
                </c:pt>
                <c:pt idx="6">
                  <c:v>0.16985429471779401</c:v>
                </c:pt>
                <c:pt idx="7">
                  <c:v>0.13827961686062801</c:v>
                </c:pt>
                <c:pt idx="8">
                  <c:v>9.7719259929487406E-2</c:v>
                </c:pt>
                <c:pt idx="9">
                  <c:v>7.19478331409317E-2</c:v>
                </c:pt>
                <c:pt idx="10">
                  <c:v>5.0544444791114099E-2</c:v>
                </c:pt>
                <c:pt idx="11">
                  <c:v>3.5162709431842999E-2</c:v>
                </c:pt>
                <c:pt idx="12">
                  <c:v>2.6582633927178599E-2</c:v>
                </c:pt>
                <c:pt idx="13">
                  <c:v>2.0280178465570502E-2</c:v>
                </c:pt>
                <c:pt idx="14">
                  <c:v>1.5568937006645699E-2</c:v>
                </c:pt>
                <c:pt idx="15">
                  <c:v>1.1887304608280601E-2</c:v>
                </c:pt>
                <c:pt idx="16">
                  <c:v>1.03584911547222E-2</c:v>
                </c:pt>
                <c:pt idx="17">
                  <c:v>6.9576612274188003E-3</c:v>
                </c:pt>
                <c:pt idx="18">
                  <c:v>5.2728464010483303E-3</c:v>
                </c:pt>
                <c:pt idx="19">
                  <c:v>4.2432373404886004E-3</c:v>
                </c:pt>
                <c:pt idx="20">
                  <c:v>1.4352126298711399E-2</c:v>
                </c:pt>
              </c:numCache>
            </c:numRef>
          </c:val>
          <c:extLst>
            <c:ext xmlns:c16="http://schemas.microsoft.com/office/drawing/2014/chart" uri="{C3380CC4-5D6E-409C-BE32-E72D297353CC}">
              <c16:uniqueId val="{00000000-D913-4255-AD74-F1E1942C28E3}"/>
            </c:ext>
          </c:extLst>
        </c:ser>
        <c:ser>
          <c:idx val="1"/>
          <c:order val="1"/>
          <c:tx>
            <c:strRef>
              <c:f>Sheet1!$C$203</c:f>
              <c:strCache>
                <c:ptCount val="1"/>
                <c:pt idx="0">
                  <c:v>USA</c:v>
                </c:pt>
              </c:strCache>
            </c:strRef>
          </c:tx>
          <c:spPr>
            <a:solidFill>
              <a:schemeClr val="accent2"/>
            </a:solidFill>
            <a:ln>
              <a:noFill/>
            </a:ln>
            <a:effectLst/>
            <a:sp3d/>
          </c:spPr>
          <c:invertIfNegative val="0"/>
          <c:cat>
            <c:strRef>
              <c:f>Sheet1!$A$204:$A$224</c:f>
              <c:strCache>
                <c:ptCount val="21"/>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&gt;20</c:v>
                </c:pt>
              </c:strCache>
            </c:strRef>
          </c:cat>
          <c:val>
            <c:numRef>
              <c:f>Sheet1!$C$204:$C$224</c:f>
              <c:numCache>
                <c:formatCode>0.0%</c:formatCode>
                <c:ptCount val="21"/>
                <c:pt idx="0">
                  <c:v>6.25978090766823E-4</c:v>
                </c:pt>
                <c:pt idx="1">
                  <c:v>5.0186174518374602E-3</c:v>
                </c:pt>
                <c:pt idx="2">
                  <c:v>0.29744752037126998</c:v>
                </c:pt>
                <c:pt idx="3">
                  <c:v>2.40677783174141E-2</c:v>
                </c:pt>
                <c:pt idx="4">
                  <c:v>3.9933085100642203E-2</c:v>
                </c:pt>
                <c:pt idx="5">
                  <c:v>3.8767470724731502E-2</c:v>
                </c:pt>
                <c:pt idx="6">
                  <c:v>3.2388969834331698E-2</c:v>
                </c:pt>
                <c:pt idx="7">
                  <c:v>2.5352112676056301E-2</c:v>
                </c:pt>
                <c:pt idx="8">
                  <c:v>9.4112568129081E-3</c:v>
                </c:pt>
                <c:pt idx="9">
                  <c:v>5.7741082510388E-3</c:v>
                </c:pt>
                <c:pt idx="10">
                  <c:v>1.48939614699692E-2</c:v>
                </c:pt>
                <c:pt idx="11">
                  <c:v>1.27246236036911E-2</c:v>
                </c:pt>
                <c:pt idx="12">
                  <c:v>3.5939776590578E-3</c:v>
                </c:pt>
                <c:pt idx="13">
                  <c:v>9.2169877502563304E-3</c:v>
                </c:pt>
                <c:pt idx="14">
                  <c:v>5.3952835788678398E-2</c:v>
                </c:pt>
                <c:pt idx="15">
                  <c:v>6.13674383465544E-2</c:v>
                </c:pt>
                <c:pt idx="16">
                  <c:v>3.7278074577734598E-2</c:v>
                </c:pt>
                <c:pt idx="17">
                  <c:v>3.6738438292590797E-2</c:v>
                </c:pt>
                <c:pt idx="18">
                  <c:v>3.4342453186552303E-2</c:v>
                </c:pt>
                <c:pt idx="19">
                  <c:v>1.00696130807835E-2</c:v>
                </c:pt>
                <c:pt idx="20">
                  <c:v>0.24703469861313501</c:v>
                </c:pt>
              </c:numCache>
            </c:numRef>
          </c:val>
          <c:extLst>
            <c:ext xmlns:c16="http://schemas.microsoft.com/office/drawing/2014/chart" uri="{C3380CC4-5D6E-409C-BE32-E72D297353CC}">
              <c16:uniqueId val="{00000001-D913-4255-AD74-F1E1942C28E3}"/>
            </c:ext>
          </c:extLst>
        </c:ser>
        <c:ser>
          <c:idx val="2"/>
          <c:order val="2"/>
          <c:tx>
            <c:strRef>
              <c:f>Sheet1!$D$203</c:f>
              <c:strCache>
                <c:ptCount val="1"/>
                <c:pt idx="0">
                  <c:v>NZ</c:v>
                </c:pt>
              </c:strCache>
            </c:strRef>
          </c:tx>
          <c:spPr>
            <a:solidFill>
              <a:schemeClr val="accent3"/>
            </a:solidFill>
            <a:ln>
              <a:noFill/>
            </a:ln>
            <a:effectLst/>
            <a:sp3d/>
          </c:spPr>
          <c:invertIfNegative val="0"/>
          <c:cat>
            <c:strRef>
              <c:f>Sheet1!$A$204:$A$224</c:f>
              <c:strCache>
                <c:ptCount val="21"/>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&gt;20</c:v>
                </c:pt>
              </c:strCache>
            </c:strRef>
          </c:cat>
          <c:val>
            <c:numRef>
              <c:f>Sheet1!$D$204:$D$224</c:f>
              <c:numCache>
                <c:formatCode>0.0%</c:formatCode>
                <c:ptCount val="21"/>
                <c:pt idx="0">
                  <c:v>2.8442844284428399E-2</c:v>
                </c:pt>
                <c:pt idx="1">
                  <c:v>0.111791179117912</c:v>
                </c:pt>
                <c:pt idx="2">
                  <c:v>0.18721872187218699</c:v>
                </c:pt>
                <c:pt idx="3">
                  <c:v>0.203240324032403</c:v>
                </c:pt>
                <c:pt idx="4">
                  <c:v>0.148334833483348</c:v>
                </c:pt>
                <c:pt idx="5">
                  <c:v>9.3969396939694E-2</c:v>
                </c:pt>
                <c:pt idx="6">
                  <c:v>5.9945994599459901E-2</c:v>
                </c:pt>
                <c:pt idx="7">
                  <c:v>3.9243924392439199E-2</c:v>
                </c:pt>
                <c:pt idx="8">
                  <c:v>3.3123312331233098E-2</c:v>
                </c:pt>
                <c:pt idx="9">
                  <c:v>2.3762376237623801E-2</c:v>
                </c:pt>
                <c:pt idx="10">
                  <c:v>1.38613861386139E-2</c:v>
                </c:pt>
                <c:pt idx="11">
                  <c:v>9.0009000900089994E-3</c:v>
                </c:pt>
                <c:pt idx="12">
                  <c:v>8.4608460846084602E-3</c:v>
                </c:pt>
                <c:pt idx="13">
                  <c:v>4.8604860486048604E-3</c:v>
                </c:pt>
                <c:pt idx="14">
                  <c:v>5.4005400540053997E-3</c:v>
                </c:pt>
                <c:pt idx="15">
                  <c:v>4.1404140414041399E-3</c:v>
                </c:pt>
                <c:pt idx="16">
                  <c:v>3.24032403240324E-3</c:v>
                </c:pt>
                <c:pt idx="17">
                  <c:v>2.8802880288028802E-3</c:v>
                </c:pt>
                <c:pt idx="18">
                  <c:v>1.62016201620162E-3</c:v>
                </c:pt>
                <c:pt idx="19">
                  <c:v>1.26012601260126E-3</c:v>
                </c:pt>
                <c:pt idx="20">
                  <c:v>1.6201620162016199E-2</c:v>
                </c:pt>
              </c:numCache>
            </c:numRef>
          </c:val>
          <c:extLst>
            <c:ext xmlns:c16="http://schemas.microsoft.com/office/drawing/2014/chart" uri="{C3380CC4-5D6E-409C-BE32-E72D297353CC}">
              <c16:uniqueId val="{00000002-D913-4255-AD74-F1E1942C28E3}"/>
            </c:ext>
          </c:extLst>
        </c:ser>
        <c:dLbls>
          <c:showLegendKey val="0"/>
          <c:showVal val="0"/>
          <c:showCatName val="0"/>
          <c:showSerName val="0"/>
          <c:showPercent val="0"/>
          <c:showBubbleSize val="0"/>
        </c:dLbls>
        <c:gapWidth val="150"/>
        <c:shape val="box"/>
        <c:axId val="-377608624"/>
        <c:axId val="-425586608"/>
        <c:axId val="0"/>
      </c:bar3DChart>
      <c:catAx>
        <c:axId val="-377608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charset="0"/>
                <a:ea typeface="Times" charset="0"/>
                <a:cs typeface="Times" charset="0"/>
              </a:defRPr>
            </a:pPr>
            <a:endParaRPr lang="en-US"/>
          </a:p>
        </c:txPr>
        <c:crossAx val="-425586608"/>
        <c:crosses val="autoZero"/>
        <c:auto val="1"/>
        <c:lblAlgn val="ctr"/>
        <c:lblOffset val="100"/>
        <c:noMultiLvlLbl val="0"/>
      </c:catAx>
      <c:valAx>
        <c:axId val="-425586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77608624"/>
        <c:crosses val="autoZero"/>
        <c:crossBetween val="between"/>
      </c:valAx>
      <c:spPr>
        <a:noFill/>
        <a:ln>
          <a:noFill/>
        </a:ln>
        <a:effectLst/>
      </c:spPr>
    </c:plotArea>
    <c:legend>
      <c:legendPos val="b"/>
      <c:layout>
        <c:manualLayout>
          <c:xMode val="edge"/>
          <c:yMode val="edge"/>
          <c:x val="0.339330498126237"/>
          <c:y val="0.83920335939480895"/>
          <c:w val="0.34609157766170301"/>
          <c:h val="0.1196482227051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36374813613399"/>
          <c:y val="7.6184277368554695E-2"/>
          <c:w val="0.87463625186386595"/>
          <c:h val="0.58107854965709904"/>
        </c:manualLayout>
      </c:layout>
      <c:bar3DChart>
        <c:barDir val="col"/>
        <c:grouping val="clustered"/>
        <c:varyColors val="0"/>
        <c:ser>
          <c:idx val="0"/>
          <c:order val="0"/>
          <c:tx>
            <c:strRef>
              <c:f>Sheet1!$P$227</c:f>
              <c:strCache>
                <c:ptCount val="1"/>
                <c:pt idx="0">
                  <c:v>Dwellings</c:v>
                </c:pt>
              </c:strCache>
            </c:strRef>
          </c:tx>
          <c:spPr>
            <a:solidFill>
              <a:schemeClr val="accent1"/>
            </a:solidFill>
            <a:ln>
              <a:noFill/>
            </a:ln>
            <a:effectLst/>
            <a:sp3d/>
          </c:spPr>
          <c:invertIfNegative val="0"/>
          <c:cat>
            <c:strRef>
              <c:f>Sheet1!$O$228:$O$236</c:f>
              <c:strCache>
                <c:ptCount val="9"/>
                <c:pt idx="0">
                  <c:v>A</c:v>
                </c:pt>
                <c:pt idx="1">
                  <c:v>B</c:v>
                </c:pt>
                <c:pt idx="2">
                  <c:v>C</c:v>
                </c:pt>
                <c:pt idx="3">
                  <c:v>D</c:v>
                </c:pt>
                <c:pt idx="4">
                  <c:v>E</c:v>
                </c:pt>
                <c:pt idx="5">
                  <c:v>F</c:v>
                </c:pt>
                <c:pt idx="6">
                  <c:v>G</c:v>
                </c:pt>
                <c:pt idx="7">
                  <c:v>H</c:v>
                </c:pt>
                <c:pt idx="8">
                  <c:v>I</c:v>
                </c:pt>
              </c:strCache>
            </c:strRef>
          </c:cat>
          <c:val>
            <c:numRef>
              <c:f>Sheet1!$P$228:$P$236</c:f>
              <c:numCache>
                <c:formatCode>0.0%</c:formatCode>
                <c:ptCount val="9"/>
                <c:pt idx="0">
                  <c:v>5.8328337330135899E-2</c:v>
                </c:pt>
                <c:pt idx="1">
                  <c:v>0.116306954436451</c:v>
                </c:pt>
                <c:pt idx="2">
                  <c:v>0.25844324540367702</c:v>
                </c:pt>
                <c:pt idx="3">
                  <c:v>4.6812549960032E-2</c:v>
                </c:pt>
                <c:pt idx="4">
                  <c:v>4.72122302158274E-3</c:v>
                </c:pt>
                <c:pt idx="5">
                  <c:v>6.4123701039168701E-2</c:v>
                </c:pt>
                <c:pt idx="6">
                  <c:v>8.2334132693844903E-2</c:v>
                </c:pt>
                <c:pt idx="7">
                  <c:v>7.5614508393285401E-2</c:v>
                </c:pt>
                <c:pt idx="8">
                  <c:v>4.9960031974420496E-4</c:v>
                </c:pt>
              </c:numCache>
            </c:numRef>
          </c:val>
          <c:extLst>
            <c:ext xmlns:c16="http://schemas.microsoft.com/office/drawing/2014/chart" uri="{C3380CC4-5D6E-409C-BE32-E72D297353CC}">
              <c16:uniqueId val="{00000000-1512-4994-8A3D-D6F632567EC2}"/>
            </c:ext>
          </c:extLst>
        </c:ser>
        <c:ser>
          <c:idx val="1"/>
          <c:order val="1"/>
          <c:tx>
            <c:strRef>
              <c:f>Sheet1!$Q$227</c:f>
              <c:strCache>
                <c:ptCount val="1"/>
                <c:pt idx="0">
                  <c:v>Other buildings</c:v>
                </c:pt>
              </c:strCache>
            </c:strRef>
          </c:tx>
          <c:spPr>
            <a:solidFill>
              <a:schemeClr val="accent2"/>
            </a:solidFill>
            <a:ln>
              <a:noFill/>
            </a:ln>
            <a:effectLst/>
            <a:sp3d/>
          </c:spPr>
          <c:invertIfNegative val="0"/>
          <c:cat>
            <c:strRef>
              <c:f>Sheet1!$O$228:$O$236</c:f>
              <c:strCache>
                <c:ptCount val="9"/>
                <c:pt idx="0">
                  <c:v>A</c:v>
                </c:pt>
                <c:pt idx="1">
                  <c:v>B</c:v>
                </c:pt>
                <c:pt idx="2">
                  <c:v>C</c:v>
                </c:pt>
                <c:pt idx="3">
                  <c:v>D</c:v>
                </c:pt>
                <c:pt idx="4">
                  <c:v>E</c:v>
                </c:pt>
                <c:pt idx="5">
                  <c:v>F</c:v>
                </c:pt>
                <c:pt idx="6">
                  <c:v>G</c:v>
                </c:pt>
                <c:pt idx="7">
                  <c:v>H</c:v>
                </c:pt>
                <c:pt idx="8">
                  <c:v>I</c:v>
                </c:pt>
              </c:strCache>
            </c:strRef>
          </c:cat>
          <c:val>
            <c:numRef>
              <c:f>Sheet1!$Q$228:$Q$236</c:f>
              <c:numCache>
                <c:formatCode>0.0%</c:formatCode>
                <c:ptCount val="9"/>
                <c:pt idx="0">
                  <c:v>4.0067945643485203E-2</c:v>
                </c:pt>
                <c:pt idx="1">
                  <c:v>7.3940847322142303E-2</c:v>
                </c:pt>
                <c:pt idx="2">
                  <c:v>4.0067945643485203E-2</c:v>
                </c:pt>
                <c:pt idx="3">
                  <c:v>9.8920863309352493E-3</c:v>
                </c:pt>
                <c:pt idx="4">
                  <c:v>1.39888089528377E-3</c:v>
                </c:pt>
                <c:pt idx="5">
                  <c:v>2.2182254196642701E-2</c:v>
                </c:pt>
                <c:pt idx="6">
                  <c:v>2.6553756994404501E-2</c:v>
                </c:pt>
                <c:pt idx="7">
                  <c:v>7.8387290167865706E-2</c:v>
                </c:pt>
                <c:pt idx="8">
                  <c:v>3.2474020783373298E-4</c:v>
                </c:pt>
              </c:numCache>
            </c:numRef>
          </c:val>
          <c:extLst>
            <c:ext xmlns:c16="http://schemas.microsoft.com/office/drawing/2014/chart" uri="{C3380CC4-5D6E-409C-BE32-E72D297353CC}">
              <c16:uniqueId val="{00000001-1512-4994-8A3D-D6F632567EC2}"/>
            </c:ext>
          </c:extLst>
        </c:ser>
        <c:dLbls>
          <c:showLegendKey val="0"/>
          <c:showVal val="0"/>
          <c:showCatName val="0"/>
          <c:showSerName val="0"/>
          <c:showPercent val="0"/>
          <c:showBubbleSize val="0"/>
        </c:dLbls>
        <c:gapWidth val="150"/>
        <c:shape val="box"/>
        <c:axId val="-540838352"/>
        <c:axId val="-468394976"/>
        <c:axId val="0"/>
      </c:bar3DChart>
      <c:catAx>
        <c:axId val="-540838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8394976"/>
        <c:crosses val="autoZero"/>
        <c:auto val="1"/>
        <c:lblAlgn val="ctr"/>
        <c:lblOffset val="100"/>
        <c:noMultiLvlLbl val="0"/>
      </c:catAx>
      <c:valAx>
        <c:axId val="-4683949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40838352"/>
        <c:crosses val="autoZero"/>
        <c:crossBetween val="between"/>
        <c:majorUnit val="0.2"/>
        <c:minorUnit val="0.1"/>
      </c:valAx>
      <c:spPr>
        <a:noFill/>
        <a:ln>
          <a:noFill/>
        </a:ln>
        <a:effectLst/>
      </c:spPr>
    </c:plotArea>
    <c:legend>
      <c:legendPos val="b"/>
      <c:layout>
        <c:manualLayout>
          <c:xMode val="edge"/>
          <c:yMode val="edge"/>
          <c:x val="0.186807230491537"/>
          <c:y val="0.81990570231140503"/>
          <c:w val="0.59094775943704703"/>
          <c:h val="0.1800942976885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43059929563"/>
          <c:y val="9.0725806451612906E-2"/>
          <c:w val="0.88455694007043695"/>
          <c:h val="0.58091344932689903"/>
        </c:manualLayout>
      </c:layout>
      <c:bar3DChart>
        <c:barDir val="col"/>
        <c:grouping val="clustered"/>
        <c:varyColors val="0"/>
        <c:ser>
          <c:idx val="0"/>
          <c:order val="0"/>
          <c:tx>
            <c:strRef>
              <c:f>Sheet1!$O$434</c:f>
              <c:strCache>
                <c:ptCount val="1"/>
                <c:pt idx="0">
                  <c:v>UK</c:v>
                </c:pt>
              </c:strCache>
            </c:strRef>
          </c:tx>
          <c:spPr>
            <a:solidFill>
              <a:schemeClr val="accent1"/>
            </a:solidFill>
            <a:ln>
              <a:noFill/>
            </a:ln>
            <a:effectLst/>
            <a:sp3d/>
          </c:spPr>
          <c:invertIfNegative val="0"/>
          <c:cat>
            <c:strRef>
              <c:f>Sheet1!$N$435:$N$442</c:f>
              <c:strCache>
                <c:ptCount val="8"/>
                <c:pt idx="0">
                  <c:v>A</c:v>
                </c:pt>
                <c:pt idx="1">
                  <c:v>B</c:v>
                </c:pt>
                <c:pt idx="2">
                  <c:v>C</c:v>
                </c:pt>
                <c:pt idx="3">
                  <c:v>D</c:v>
                </c:pt>
                <c:pt idx="4">
                  <c:v>E</c:v>
                </c:pt>
                <c:pt idx="5">
                  <c:v>F</c:v>
                </c:pt>
                <c:pt idx="6">
                  <c:v>G</c:v>
                </c:pt>
                <c:pt idx="7">
                  <c:v>H</c:v>
                </c:pt>
              </c:strCache>
            </c:strRef>
          </c:cat>
          <c:val>
            <c:numRef>
              <c:f>Sheet1!$O$435:$O$442</c:f>
              <c:numCache>
                <c:formatCode>0.0%</c:formatCode>
                <c:ptCount val="8"/>
                <c:pt idx="0">
                  <c:v>0.19467310350518899</c:v>
                </c:pt>
                <c:pt idx="1">
                  <c:v>0.22545439541168899</c:v>
                </c:pt>
                <c:pt idx="2">
                  <c:v>4.8420705163912399E-2</c:v>
                </c:pt>
                <c:pt idx="3">
                  <c:v>0.16807988281653</c:v>
                </c:pt>
                <c:pt idx="4">
                  <c:v>1.3245033112582801E-2</c:v>
                </c:pt>
                <c:pt idx="5">
                  <c:v>2.1208557694291402E-2</c:v>
                </c:pt>
                <c:pt idx="6">
                  <c:v>3.7114975965009997E-2</c:v>
                </c:pt>
                <c:pt idx="7">
                  <c:v>0.114810917868416</c:v>
                </c:pt>
              </c:numCache>
            </c:numRef>
          </c:val>
          <c:extLst>
            <c:ext xmlns:c16="http://schemas.microsoft.com/office/drawing/2014/chart" uri="{C3380CC4-5D6E-409C-BE32-E72D297353CC}">
              <c16:uniqueId val="{00000000-2018-40AD-9867-BBC156F47CB1}"/>
            </c:ext>
          </c:extLst>
        </c:ser>
        <c:ser>
          <c:idx val="1"/>
          <c:order val="1"/>
          <c:tx>
            <c:strRef>
              <c:f>Sheet1!$P$434</c:f>
              <c:strCache>
                <c:ptCount val="1"/>
                <c:pt idx="0">
                  <c:v>NZ</c:v>
                </c:pt>
              </c:strCache>
            </c:strRef>
          </c:tx>
          <c:spPr>
            <a:solidFill>
              <a:schemeClr val="accent2"/>
            </a:solidFill>
            <a:ln>
              <a:noFill/>
            </a:ln>
            <a:effectLst/>
            <a:sp3d/>
          </c:spPr>
          <c:invertIfNegative val="0"/>
          <c:cat>
            <c:strRef>
              <c:f>Sheet1!$N$435:$N$442</c:f>
              <c:strCache>
                <c:ptCount val="8"/>
                <c:pt idx="0">
                  <c:v>A</c:v>
                </c:pt>
                <c:pt idx="1">
                  <c:v>B</c:v>
                </c:pt>
                <c:pt idx="2">
                  <c:v>C</c:v>
                </c:pt>
                <c:pt idx="3">
                  <c:v>D</c:v>
                </c:pt>
                <c:pt idx="4">
                  <c:v>E</c:v>
                </c:pt>
                <c:pt idx="5">
                  <c:v>F</c:v>
                </c:pt>
                <c:pt idx="6">
                  <c:v>G</c:v>
                </c:pt>
                <c:pt idx="7">
                  <c:v>H</c:v>
                </c:pt>
              </c:strCache>
            </c:strRef>
          </c:cat>
          <c:val>
            <c:numRef>
              <c:f>Sheet1!$P$435:$P$442</c:f>
              <c:numCache>
                <c:formatCode>0.0%</c:formatCode>
                <c:ptCount val="8"/>
                <c:pt idx="0">
                  <c:v>1.67587476979742E-2</c:v>
                </c:pt>
                <c:pt idx="1">
                  <c:v>5.9300184162062598E-2</c:v>
                </c:pt>
                <c:pt idx="2">
                  <c:v>1.2154696132596701E-2</c:v>
                </c:pt>
                <c:pt idx="3">
                  <c:v>8.0110497237568995E-2</c:v>
                </c:pt>
                <c:pt idx="4">
                  <c:v>0.190791896869245</c:v>
                </c:pt>
                <c:pt idx="5">
                  <c:v>4.5488029465930002E-2</c:v>
                </c:pt>
                <c:pt idx="6">
                  <c:v>1.2891344383057101E-2</c:v>
                </c:pt>
                <c:pt idx="7">
                  <c:v>4.47513812154696E-2</c:v>
                </c:pt>
              </c:numCache>
            </c:numRef>
          </c:val>
          <c:extLst>
            <c:ext xmlns:c16="http://schemas.microsoft.com/office/drawing/2014/chart" uri="{C3380CC4-5D6E-409C-BE32-E72D297353CC}">
              <c16:uniqueId val="{00000001-2018-40AD-9867-BBC156F47CB1}"/>
            </c:ext>
          </c:extLst>
        </c:ser>
        <c:dLbls>
          <c:showLegendKey val="0"/>
          <c:showVal val="0"/>
          <c:showCatName val="0"/>
          <c:showSerName val="0"/>
          <c:showPercent val="0"/>
          <c:showBubbleSize val="0"/>
        </c:dLbls>
        <c:gapWidth val="150"/>
        <c:shape val="box"/>
        <c:axId val="-377631360"/>
        <c:axId val="-419688064"/>
        <c:axId val="0"/>
      </c:bar3DChart>
      <c:catAx>
        <c:axId val="-377631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688064"/>
        <c:crosses val="autoZero"/>
        <c:auto val="1"/>
        <c:lblAlgn val="ctr"/>
        <c:lblOffset val="100"/>
        <c:noMultiLvlLbl val="0"/>
      </c:catAx>
      <c:valAx>
        <c:axId val="-4196880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77631360"/>
        <c:crosses val="autoZero"/>
        <c:crossBetween val="between"/>
        <c:majorUnit val="0.1"/>
        <c:minorUnit val="0.1"/>
      </c:valAx>
      <c:spPr>
        <a:noFill/>
        <a:ln>
          <a:noFill/>
        </a:ln>
        <a:effectLst/>
      </c:spPr>
    </c:plotArea>
    <c:legend>
      <c:legendPos val="b"/>
      <c:layout>
        <c:manualLayout>
          <c:xMode val="edge"/>
          <c:yMode val="edge"/>
          <c:x val="0.41373094730688698"/>
          <c:y val="0.809726631953264"/>
          <c:w val="0.19701291672622101"/>
          <c:h val="0.1902733680467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83873604622601"/>
          <c:y val="0.13104838709677399"/>
          <c:w val="0.83152818216711299"/>
          <c:h val="0.69060833121666199"/>
        </c:manualLayout>
      </c:layout>
      <c:bar3DChart>
        <c:barDir val="col"/>
        <c:grouping val="clustered"/>
        <c:varyColors val="0"/>
        <c:ser>
          <c:idx val="0"/>
          <c:order val="0"/>
          <c:spPr>
            <a:solidFill>
              <a:schemeClr val="accent1"/>
            </a:solidFill>
            <a:ln>
              <a:noFill/>
            </a:ln>
            <a:effectLst/>
            <a:sp3d/>
          </c:spPr>
          <c:invertIfNegative val="0"/>
          <c:cat>
            <c:strRef>
              <c:f>Sheet1!$O$406:$O$414</c:f>
              <c:strCache>
                <c:ptCount val="9"/>
                <c:pt idx="0">
                  <c:v>A</c:v>
                </c:pt>
                <c:pt idx="1">
                  <c:v>B</c:v>
                </c:pt>
                <c:pt idx="2">
                  <c:v>C</c:v>
                </c:pt>
                <c:pt idx="3">
                  <c:v>D</c:v>
                </c:pt>
                <c:pt idx="4">
                  <c:v>E</c:v>
                </c:pt>
                <c:pt idx="5">
                  <c:v>F</c:v>
                </c:pt>
                <c:pt idx="6">
                  <c:v>G</c:v>
                </c:pt>
                <c:pt idx="7">
                  <c:v>H</c:v>
                </c:pt>
                <c:pt idx="8">
                  <c:v>I</c:v>
                </c:pt>
              </c:strCache>
            </c:strRef>
          </c:cat>
          <c:val>
            <c:numRef>
              <c:f>Sheet1!$P$406:$P$414</c:f>
              <c:numCache>
                <c:formatCode>0.0%</c:formatCode>
                <c:ptCount val="9"/>
                <c:pt idx="0">
                  <c:v>1.7745705403136101E-2</c:v>
                </c:pt>
                <c:pt idx="1">
                  <c:v>5.6414096716363701E-2</c:v>
                </c:pt>
                <c:pt idx="2">
                  <c:v>1.92207320670797E-2</c:v>
                </c:pt>
                <c:pt idx="3">
                  <c:v>6.2132661628883298E-2</c:v>
                </c:pt>
                <c:pt idx="4">
                  <c:v>3.2042117684435101E-2</c:v>
                </c:pt>
                <c:pt idx="5">
                  <c:v>0.38402886513717799</c:v>
                </c:pt>
                <c:pt idx="6">
                  <c:v>0.10922005128554201</c:v>
                </c:pt>
                <c:pt idx="7">
                  <c:v>2.3373499444028401E-3</c:v>
                </c:pt>
                <c:pt idx="8">
                  <c:v>0.31685842013297899</c:v>
                </c:pt>
              </c:numCache>
            </c:numRef>
          </c:val>
          <c:extLst>
            <c:ext xmlns:c16="http://schemas.microsoft.com/office/drawing/2014/chart" uri="{C3380CC4-5D6E-409C-BE32-E72D297353CC}">
              <c16:uniqueId val="{00000000-61B0-4E23-B47A-A79992DD9B67}"/>
            </c:ext>
          </c:extLst>
        </c:ser>
        <c:dLbls>
          <c:showLegendKey val="0"/>
          <c:showVal val="0"/>
          <c:showCatName val="0"/>
          <c:showSerName val="0"/>
          <c:showPercent val="0"/>
          <c:showBubbleSize val="0"/>
        </c:dLbls>
        <c:gapWidth val="150"/>
        <c:shape val="box"/>
        <c:axId val="-803516080"/>
        <c:axId val="-803513760"/>
        <c:axId val="0"/>
      </c:bar3DChart>
      <c:catAx>
        <c:axId val="-803516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03513760"/>
        <c:crosses val="autoZero"/>
        <c:auto val="1"/>
        <c:lblAlgn val="ctr"/>
        <c:lblOffset val="100"/>
        <c:noMultiLvlLbl val="0"/>
      </c:catAx>
      <c:valAx>
        <c:axId val="-8035137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03516080"/>
        <c:crosses val="autoZero"/>
        <c:crossBetween val="between"/>
        <c:majorUnit val="0.1"/>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93175853018401"/>
          <c:y val="8.6240746852751196E-2"/>
          <c:w val="0.79462502187226602"/>
          <c:h val="0.54702710377588504"/>
        </c:manualLayout>
      </c:layout>
      <c:bar3DChart>
        <c:barDir val="col"/>
        <c:grouping val="stacked"/>
        <c:varyColors val="0"/>
        <c:ser>
          <c:idx val="0"/>
          <c:order val="0"/>
          <c:tx>
            <c:strRef>
              <c:f>UK!$AY$165:$AY$166</c:f>
              <c:strCache>
                <c:ptCount val="2"/>
                <c:pt idx="0">
                  <c:v>Dwellings</c:v>
                </c:pt>
                <c:pt idx="1">
                  <c:v>Accidental</c:v>
                </c:pt>
              </c:strCache>
            </c:strRef>
          </c:tx>
          <c:spPr>
            <a:solidFill>
              <a:schemeClr val="accent1"/>
            </a:solidFill>
            <a:ln>
              <a:noFill/>
            </a:ln>
            <a:effectLst/>
            <a:sp3d/>
          </c:spPr>
          <c:invertIfNegative val="0"/>
          <c:cat>
            <c:strRef>
              <c:f>UK!$AX$167:$AX$174</c:f>
              <c:strCache>
                <c:ptCount val="8"/>
                <c:pt idx="0">
                  <c:v>A</c:v>
                </c:pt>
                <c:pt idx="1">
                  <c:v>B</c:v>
                </c:pt>
                <c:pt idx="2">
                  <c:v>C</c:v>
                </c:pt>
                <c:pt idx="3">
                  <c:v>D</c:v>
                </c:pt>
                <c:pt idx="4">
                  <c:v>E</c:v>
                </c:pt>
                <c:pt idx="5">
                  <c:v>F</c:v>
                </c:pt>
                <c:pt idx="6">
                  <c:v>G</c:v>
                </c:pt>
                <c:pt idx="7">
                  <c:v>H</c:v>
                </c:pt>
              </c:strCache>
            </c:strRef>
          </c:cat>
          <c:val>
            <c:numRef>
              <c:f>UK!$AY$167:$AY$174</c:f>
              <c:numCache>
                <c:formatCode>0.0%</c:formatCode>
                <c:ptCount val="8"/>
                <c:pt idx="0">
                  <c:v>0.18446146297758001</c:v>
                </c:pt>
                <c:pt idx="1">
                  <c:v>0.15438274633615601</c:v>
                </c:pt>
                <c:pt idx="2">
                  <c:v>3.2574610149966897E-2</c:v>
                </c:pt>
                <c:pt idx="3">
                  <c:v>8.7036286451777998E-3</c:v>
                </c:pt>
                <c:pt idx="4">
                  <c:v>2.1972395844444001E-3</c:v>
                </c:pt>
                <c:pt idx="5">
                  <c:v>6.8050429848326502E-3</c:v>
                </c:pt>
                <c:pt idx="6">
                  <c:v>1.19248245408196E-2</c:v>
                </c:pt>
                <c:pt idx="7">
                  <c:v>0.20287134415598301</c:v>
                </c:pt>
              </c:numCache>
            </c:numRef>
          </c:val>
          <c:extLst>
            <c:ext xmlns:c16="http://schemas.microsoft.com/office/drawing/2014/chart" uri="{C3380CC4-5D6E-409C-BE32-E72D297353CC}">
              <c16:uniqueId val="{00000000-522A-408D-9749-AEA899732967}"/>
            </c:ext>
          </c:extLst>
        </c:ser>
        <c:ser>
          <c:idx val="1"/>
          <c:order val="1"/>
          <c:tx>
            <c:strRef>
              <c:f>UK!$AZ$165:$AZ$166</c:f>
              <c:strCache>
                <c:ptCount val="2"/>
                <c:pt idx="0">
                  <c:v>Dwellings</c:v>
                </c:pt>
                <c:pt idx="1">
                  <c:v>Deliberate</c:v>
                </c:pt>
              </c:strCache>
            </c:strRef>
          </c:tx>
          <c:spPr>
            <a:solidFill>
              <a:schemeClr val="accent2"/>
            </a:solidFill>
            <a:ln>
              <a:noFill/>
            </a:ln>
            <a:effectLst/>
            <a:sp3d/>
          </c:spPr>
          <c:invertIfNegative val="0"/>
          <c:cat>
            <c:strRef>
              <c:f>UK!$AX$167:$AX$174</c:f>
              <c:strCache>
                <c:ptCount val="8"/>
                <c:pt idx="0">
                  <c:v>A</c:v>
                </c:pt>
                <c:pt idx="1">
                  <c:v>B</c:v>
                </c:pt>
                <c:pt idx="2">
                  <c:v>C</c:v>
                </c:pt>
                <c:pt idx="3">
                  <c:v>D</c:v>
                </c:pt>
                <c:pt idx="4">
                  <c:v>E</c:v>
                </c:pt>
                <c:pt idx="5">
                  <c:v>F</c:v>
                </c:pt>
                <c:pt idx="6">
                  <c:v>G</c:v>
                </c:pt>
                <c:pt idx="7">
                  <c:v>H</c:v>
                </c:pt>
              </c:strCache>
            </c:strRef>
          </c:cat>
          <c:val>
            <c:numRef>
              <c:f>UK!$AZ$167:$AZ$174</c:f>
              <c:numCache>
                <c:formatCode>0.0%</c:formatCode>
                <c:ptCount val="8"/>
                <c:pt idx="0">
                  <c:v>1.5039358320711601E-2</c:v>
                </c:pt>
                <c:pt idx="1">
                  <c:v>2.0905774686946699E-2</c:v>
                </c:pt>
                <c:pt idx="2">
                  <c:v>1.0474219766623299E-2</c:v>
                </c:pt>
                <c:pt idx="3">
                  <c:v>2.75188258634298E-3</c:v>
                </c:pt>
                <c:pt idx="4">
                  <c:v>9.8129146489749791E-4</c:v>
                </c:pt>
                <c:pt idx="5">
                  <c:v>2.36789896964396E-3</c:v>
                </c:pt>
                <c:pt idx="6">
                  <c:v>1.9839153529449399E-3</c:v>
                </c:pt>
                <c:pt idx="7">
                  <c:v>9.7489173795251398E-3</c:v>
                </c:pt>
              </c:numCache>
            </c:numRef>
          </c:val>
          <c:extLst>
            <c:ext xmlns:c16="http://schemas.microsoft.com/office/drawing/2014/chart" uri="{C3380CC4-5D6E-409C-BE32-E72D297353CC}">
              <c16:uniqueId val="{00000001-522A-408D-9749-AEA899732967}"/>
            </c:ext>
          </c:extLst>
        </c:ser>
        <c:ser>
          <c:idx val="2"/>
          <c:order val="2"/>
          <c:tx>
            <c:strRef>
              <c:f>UK!$BA$165:$BA$166</c:f>
              <c:strCache>
                <c:ptCount val="2"/>
                <c:pt idx="0">
                  <c:v>Other buildings</c:v>
                </c:pt>
                <c:pt idx="1">
                  <c:v>Accidental</c:v>
                </c:pt>
              </c:strCache>
            </c:strRef>
          </c:tx>
          <c:spPr>
            <a:solidFill>
              <a:schemeClr val="accent3"/>
            </a:solidFill>
            <a:ln>
              <a:noFill/>
            </a:ln>
            <a:effectLst/>
            <a:sp3d/>
          </c:spPr>
          <c:invertIfNegative val="0"/>
          <c:cat>
            <c:strRef>
              <c:f>UK!$AX$167:$AX$174</c:f>
              <c:strCache>
                <c:ptCount val="8"/>
                <c:pt idx="0">
                  <c:v>A</c:v>
                </c:pt>
                <c:pt idx="1">
                  <c:v>B</c:v>
                </c:pt>
                <c:pt idx="2">
                  <c:v>C</c:v>
                </c:pt>
                <c:pt idx="3">
                  <c:v>D</c:v>
                </c:pt>
                <c:pt idx="4">
                  <c:v>E</c:v>
                </c:pt>
                <c:pt idx="5">
                  <c:v>F</c:v>
                </c:pt>
                <c:pt idx="6">
                  <c:v>G</c:v>
                </c:pt>
                <c:pt idx="7">
                  <c:v>H</c:v>
                </c:pt>
              </c:strCache>
            </c:strRef>
          </c:cat>
          <c:val>
            <c:numRef>
              <c:f>UK!$BA$167:$BA$174</c:f>
              <c:numCache>
                <c:formatCode>0.0%</c:formatCode>
                <c:ptCount val="8"/>
                <c:pt idx="0">
                  <c:v>7.6114085799005901E-2</c:v>
                </c:pt>
                <c:pt idx="1">
                  <c:v>4.8659257205025903E-2</c:v>
                </c:pt>
                <c:pt idx="2">
                  <c:v>1.6916611557906899E-2</c:v>
                </c:pt>
                <c:pt idx="3">
                  <c:v>3.1145337798920598E-3</c:v>
                </c:pt>
                <c:pt idx="4">
                  <c:v>7.0396996394820504E-4</c:v>
                </c:pt>
                <c:pt idx="5">
                  <c:v>2.7134842246730798E-2</c:v>
                </c:pt>
                <c:pt idx="6">
                  <c:v>6.1864027134842297E-3</c:v>
                </c:pt>
                <c:pt idx="7">
                  <c:v>7.1228960897668406E-2</c:v>
                </c:pt>
              </c:numCache>
            </c:numRef>
          </c:val>
          <c:extLst>
            <c:ext xmlns:c16="http://schemas.microsoft.com/office/drawing/2014/chart" uri="{C3380CC4-5D6E-409C-BE32-E72D297353CC}">
              <c16:uniqueId val="{00000002-522A-408D-9749-AEA899732967}"/>
            </c:ext>
          </c:extLst>
        </c:ser>
        <c:ser>
          <c:idx val="3"/>
          <c:order val="3"/>
          <c:tx>
            <c:strRef>
              <c:f>UK!$BB$165:$BB$166</c:f>
              <c:strCache>
                <c:ptCount val="2"/>
                <c:pt idx="0">
                  <c:v>Other buildings</c:v>
                </c:pt>
                <c:pt idx="1">
                  <c:v>Deliberate</c:v>
                </c:pt>
              </c:strCache>
            </c:strRef>
          </c:tx>
          <c:spPr>
            <a:solidFill>
              <a:schemeClr val="accent4"/>
            </a:solidFill>
            <a:ln>
              <a:noFill/>
            </a:ln>
            <a:effectLst/>
            <a:sp3d/>
          </c:spPr>
          <c:invertIfNegative val="0"/>
          <c:cat>
            <c:strRef>
              <c:f>UK!$AX$167:$AX$174</c:f>
              <c:strCache>
                <c:ptCount val="8"/>
                <c:pt idx="0">
                  <c:v>A</c:v>
                </c:pt>
                <c:pt idx="1">
                  <c:v>B</c:v>
                </c:pt>
                <c:pt idx="2">
                  <c:v>C</c:v>
                </c:pt>
                <c:pt idx="3">
                  <c:v>D</c:v>
                </c:pt>
                <c:pt idx="4">
                  <c:v>E</c:v>
                </c:pt>
                <c:pt idx="5">
                  <c:v>F</c:v>
                </c:pt>
                <c:pt idx="6">
                  <c:v>G</c:v>
                </c:pt>
                <c:pt idx="7">
                  <c:v>H</c:v>
                </c:pt>
              </c:strCache>
            </c:strRef>
          </c:cat>
          <c:val>
            <c:numRef>
              <c:f>UK!$BB$167:$BB$174</c:f>
              <c:numCache>
                <c:formatCode>0.0%</c:formatCode>
                <c:ptCount val="8"/>
                <c:pt idx="0">
                  <c:v>1.7023273673656601E-2</c:v>
                </c:pt>
                <c:pt idx="1">
                  <c:v>2.37429869658894E-2</c:v>
                </c:pt>
                <c:pt idx="2">
                  <c:v>7.9356614117797701E-3</c:v>
                </c:pt>
                <c:pt idx="3">
                  <c:v>1.4079399278964101E-3</c:v>
                </c:pt>
                <c:pt idx="4">
                  <c:v>5.5464300189858595E-4</c:v>
                </c:pt>
                <c:pt idx="5">
                  <c:v>1.7044606096806501E-2</c:v>
                </c:pt>
                <c:pt idx="6">
                  <c:v>2.9225419715425498E-3</c:v>
                </c:pt>
                <c:pt idx="7">
                  <c:v>1.0964865499072E-2</c:v>
                </c:pt>
              </c:numCache>
            </c:numRef>
          </c:val>
          <c:extLst>
            <c:ext xmlns:c16="http://schemas.microsoft.com/office/drawing/2014/chart" uri="{C3380CC4-5D6E-409C-BE32-E72D297353CC}">
              <c16:uniqueId val="{00000003-522A-408D-9749-AEA899732967}"/>
            </c:ext>
          </c:extLst>
        </c:ser>
        <c:dLbls>
          <c:showLegendKey val="0"/>
          <c:showVal val="0"/>
          <c:showCatName val="0"/>
          <c:showSerName val="0"/>
          <c:showPercent val="0"/>
          <c:showBubbleSize val="0"/>
        </c:dLbls>
        <c:gapWidth val="150"/>
        <c:shape val="box"/>
        <c:axId val="-377959232"/>
        <c:axId val="-377956944"/>
        <c:axId val="0"/>
      </c:bar3DChart>
      <c:catAx>
        <c:axId val="-377959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77956944"/>
        <c:crosses val="autoZero"/>
        <c:auto val="1"/>
        <c:lblAlgn val="ctr"/>
        <c:lblOffset val="100"/>
        <c:noMultiLvlLbl val="0"/>
      </c:catAx>
      <c:valAx>
        <c:axId val="-37795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77959232"/>
        <c:crosses val="autoZero"/>
        <c:crossBetween val="between"/>
        <c:majorUnit val="0.1"/>
      </c:valAx>
      <c:spPr>
        <a:noFill/>
        <a:ln>
          <a:noFill/>
        </a:ln>
        <a:effectLst/>
      </c:spPr>
    </c:plotArea>
    <c:legend>
      <c:legendPos val="b"/>
      <c:layout>
        <c:manualLayout>
          <c:xMode val="edge"/>
          <c:yMode val="edge"/>
          <c:x val="0"/>
          <c:y val="0.77197146711031905"/>
          <c:w val="1"/>
          <c:h val="0.165308031125666"/>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544357845315399"/>
          <c:y val="8.8531187122736402E-2"/>
          <c:w val="0.82971263370475401"/>
          <c:h val="0.72883981051664304"/>
        </c:manualLayout>
      </c:layout>
      <c:bar3DChart>
        <c:barDir val="col"/>
        <c:grouping val="clustered"/>
        <c:varyColors val="0"/>
        <c:ser>
          <c:idx val="0"/>
          <c:order val="0"/>
          <c:spPr>
            <a:solidFill>
              <a:schemeClr val="accent1"/>
            </a:solidFill>
            <a:ln>
              <a:noFill/>
            </a:ln>
            <a:effectLst/>
            <a:sp3d/>
          </c:spPr>
          <c:invertIfNegative val="0"/>
          <c:cat>
            <c:strRef>
              <c:f>UK!$U$230:$U$235</c:f>
              <c:strCache>
                <c:ptCount val="6"/>
                <c:pt idx="0">
                  <c:v>A</c:v>
                </c:pt>
                <c:pt idx="1">
                  <c:v>B</c:v>
                </c:pt>
                <c:pt idx="2">
                  <c:v>C</c:v>
                </c:pt>
                <c:pt idx="3">
                  <c:v>D</c:v>
                </c:pt>
                <c:pt idx="4">
                  <c:v>E</c:v>
                </c:pt>
                <c:pt idx="5">
                  <c:v>F</c:v>
                </c:pt>
              </c:strCache>
            </c:strRef>
          </c:cat>
          <c:val>
            <c:numRef>
              <c:f>UK!$V$230:$V$235</c:f>
              <c:numCache>
                <c:formatCode>General</c:formatCode>
                <c:ptCount val="6"/>
              </c:numCache>
            </c:numRef>
          </c:val>
          <c:extLst>
            <c:ext xmlns:c16="http://schemas.microsoft.com/office/drawing/2014/chart" uri="{C3380CC4-5D6E-409C-BE32-E72D297353CC}">
              <c16:uniqueId val="{00000000-8419-4418-B244-F806B05370B8}"/>
            </c:ext>
          </c:extLst>
        </c:ser>
        <c:ser>
          <c:idx val="1"/>
          <c:order val="1"/>
          <c:spPr>
            <a:solidFill>
              <a:schemeClr val="accent2"/>
            </a:solidFill>
            <a:ln>
              <a:noFill/>
            </a:ln>
            <a:effectLst/>
            <a:sp3d/>
          </c:spPr>
          <c:invertIfNegative val="0"/>
          <c:cat>
            <c:strRef>
              <c:f>UK!$U$230:$U$235</c:f>
              <c:strCache>
                <c:ptCount val="6"/>
                <c:pt idx="0">
                  <c:v>A</c:v>
                </c:pt>
                <c:pt idx="1">
                  <c:v>B</c:v>
                </c:pt>
                <c:pt idx="2">
                  <c:v>C</c:v>
                </c:pt>
                <c:pt idx="3">
                  <c:v>D</c:v>
                </c:pt>
                <c:pt idx="4">
                  <c:v>E</c:v>
                </c:pt>
                <c:pt idx="5">
                  <c:v>F</c:v>
                </c:pt>
              </c:strCache>
            </c:strRef>
          </c:cat>
          <c:val>
            <c:numRef>
              <c:f>UK!$W$230:$W$235</c:f>
              <c:numCache>
                <c:formatCode>General</c:formatCode>
                <c:ptCount val="6"/>
              </c:numCache>
            </c:numRef>
          </c:val>
          <c:extLst>
            <c:ext xmlns:c16="http://schemas.microsoft.com/office/drawing/2014/chart" uri="{C3380CC4-5D6E-409C-BE32-E72D297353CC}">
              <c16:uniqueId val="{00000001-8419-4418-B244-F806B05370B8}"/>
            </c:ext>
          </c:extLst>
        </c:ser>
        <c:ser>
          <c:idx val="2"/>
          <c:order val="2"/>
          <c:spPr>
            <a:solidFill>
              <a:schemeClr val="accent3"/>
            </a:solidFill>
            <a:ln>
              <a:noFill/>
            </a:ln>
            <a:effectLst/>
            <a:sp3d/>
          </c:spPr>
          <c:invertIfNegative val="0"/>
          <c:cat>
            <c:strRef>
              <c:f>UK!$U$230:$U$235</c:f>
              <c:strCache>
                <c:ptCount val="6"/>
                <c:pt idx="0">
                  <c:v>A</c:v>
                </c:pt>
                <c:pt idx="1">
                  <c:v>B</c:v>
                </c:pt>
                <c:pt idx="2">
                  <c:v>C</c:v>
                </c:pt>
                <c:pt idx="3">
                  <c:v>D</c:v>
                </c:pt>
                <c:pt idx="4">
                  <c:v>E</c:v>
                </c:pt>
                <c:pt idx="5">
                  <c:v>F</c:v>
                </c:pt>
              </c:strCache>
            </c:strRef>
          </c:cat>
          <c:val>
            <c:numRef>
              <c:f>UK!$X$230:$X$235</c:f>
              <c:numCache>
                <c:formatCode>General</c:formatCode>
                <c:ptCount val="6"/>
              </c:numCache>
            </c:numRef>
          </c:val>
          <c:extLst>
            <c:ext xmlns:c16="http://schemas.microsoft.com/office/drawing/2014/chart" uri="{C3380CC4-5D6E-409C-BE32-E72D297353CC}">
              <c16:uniqueId val="{00000002-8419-4418-B244-F806B05370B8}"/>
            </c:ext>
          </c:extLst>
        </c:ser>
        <c:ser>
          <c:idx val="3"/>
          <c:order val="3"/>
          <c:spPr>
            <a:solidFill>
              <a:srgbClr val="FF6600"/>
            </a:solidFill>
            <a:ln>
              <a:noFill/>
            </a:ln>
            <a:effectLst/>
            <a:sp3d/>
          </c:spPr>
          <c:invertIfNegative val="0"/>
          <c:cat>
            <c:strRef>
              <c:f>UK!$U$230:$U$235</c:f>
              <c:strCache>
                <c:ptCount val="6"/>
                <c:pt idx="0">
                  <c:v>A</c:v>
                </c:pt>
                <c:pt idx="1">
                  <c:v>B</c:v>
                </c:pt>
                <c:pt idx="2">
                  <c:v>C</c:v>
                </c:pt>
                <c:pt idx="3">
                  <c:v>D</c:v>
                </c:pt>
                <c:pt idx="4">
                  <c:v>E</c:v>
                </c:pt>
                <c:pt idx="5">
                  <c:v>F</c:v>
                </c:pt>
              </c:strCache>
            </c:strRef>
          </c:cat>
          <c:val>
            <c:numRef>
              <c:f>UK!$Y$230:$Y$235</c:f>
              <c:numCache>
                <c:formatCode>0.0</c:formatCode>
                <c:ptCount val="6"/>
                <c:pt idx="0">
                  <c:v>76.7</c:v>
                </c:pt>
                <c:pt idx="1">
                  <c:v>59.9</c:v>
                </c:pt>
                <c:pt idx="2">
                  <c:v>52.7</c:v>
                </c:pt>
                <c:pt idx="3">
                  <c:v>38.4</c:v>
                </c:pt>
                <c:pt idx="4">
                  <c:v>29.6</c:v>
                </c:pt>
                <c:pt idx="5">
                  <c:v>18.5</c:v>
                </c:pt>
              </c:numCache>
            </c:numRef>
          </c:val>
          <c:extLst>
            <c:ext xmlns:c16="http://schemas.microsoft.com/office/drawing/2014/chart" uri="{C3380CC4-5D6E-409C-BE32-E72D297353CC}">
              <c16:uniqueId val="{00000003-8419-4418-B244-F806B05370B8}"/>
            </c:ext>
          </c:extLst>
        </c:ser>
        <c:dLbls>
          <c:showLegendKey val="0"/>
          <c:showVal val="0"/>
          <c:showCatName val="0"/>
          <c:showSerName val="0"/>
          <c:showPercent val="0"/>
          <c:showBubbleSize val="0"/>
        </c:dLbls>
        <c:gapWidth val="150"/>
        <c:shape val="box"/>
        <c:axId val="-616240512"/>
        <c:axId val="-842845488"/>
        <c:axId val="0"/>
      </c:bar3DChart>
      <c:catAx>
        <c:axId val="-61624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842845488"/>
        <c:crosses val="autoZero"/>
        <c:auto val="1"/>
        <c:lblAlgn val="ctr"/>
        <c:lblOffset val="100"/>
        <c:noMultiLvlLbl val="0"/>
      </c:catAx>
      <c:valAx>
        <c:axId val="-842845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r>
                  <a:rPr lang="en-GB"/>
                  <a:t>Area damged [m</a:t>
                </a:r>
                <a:r>
                  <a:rPr lang="en-GB" baseline="30000"/>
                  <a:t>2</a:t>
                </a:r>
                <a:r>
                  <a:rPr lang="en-GB" baseline="0"/>
                  <a:t>]</a:t>
                </a:r>
                <a:endParaRPr lang="en-GB"/>
              </a:p>
            </c:rich>
          </c:tx>
          <c:layout>
            <c:manualLayout>
              <c:xMode val="edge"/>
              <c:yMode val="edge"/>
              <c:x val="5.4422054109305599E-3"/>
              <c:y val="0.161794071515707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6162405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charset="0"/>
          <a:ea typeface="Times New Roman" charset="0"/>
          <a:cs typeface="Times New Roman"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86159268680199"/>
          <c:y val="7.6184277368554695E-2"/>
          <c:w val="0.85313840731319801"/>
          <c:h val="0.74547244094488196"/>
        </c:manualLayout>
      </c:layout>
      <c:bar3DChart>
        <c:barDir val="col"/>
        <c:grouping val="clustered"/>
        <c:varyColors val="0"/>
        <c:ser>
          <c:idx val="0"/>
          <c:order val="0"/>
          <c:spPr>
            <a:solidFill>
              <a:schemeClr val="accent1"/>
            </a:solidFill>
            <a:ln>
              <a:noFill/>
            </a:ln>
            <a:effectLst/>
            <a:sp3d/>
          </c:spPr>
          <c:invertIfNegative val="0"/>
          <c:cat>
            <c:strRef>
              <c:f>Sheet1!$M$463:$M$467</c:f>
              <c:strCache>
                <c:ptCount val="5"/>
                <c:pt idx="0">
                  <c:v>A</c:v>
                </c:pt>
                <c:pt idx="1">
                  <c:v>B</c:v>
                </c:pt>
                <c:pt idx="2">
                  <c:v>C</c:v>
                </c:pt>
                <c:pt idx="3">
                  <c:v>D</c:v>
                </c:pt>
                <c:pt idx="4">
                  <c:v>E</c:v>
                </c:pt>
              </c:strCache>
            </c:strRef>
          </c:cat>
          <c:val>
            <c:numRef>
              <c:f>Sheet1!$N$463:$N$467</c:f>
              <c:numCache>
                <c:formatCode>0.0%</c:formatCode>
                <c:ptCount val="5"/>
                <c:pt idx="0">
                  <c:v>0.166658638020457</c:v>
                </c:pt>
                <c:pt idx="1">
                  <c:v>0.33696228142010698</c:v>
                </c:pt>
                <c:pt idx="2">
                  <c:v>8.6971648174018201E-2</c:v>
                </c:pt>
                <c:pt idx="3">
                  <c:v>0.33867505927817099</c:v>
                </c:pt>
                <c:pt idx="4">
                  <c:v>7.0732373107246699E-2</c:v>
                </c:pt>
              </c:numCache>
            </c:numRef>
          </c:val>
          <c:extLst>
            <c:ext xmlns:c16="http://schemas.microsoft.com/office/drawing/2014/chart" uri="{C3380CC4-5D6E-409C-BE32-E72D297353CC}">
              <c16:uniqueId val="{00000000-D413-4230-9185-850F45B7FF15}"/>
            </c:ext>
          </c:extLst>
        </c:ser>
        <c:dLbls>
          <c:showLegendKey val="0"/>
          <c:showVal val="0"/>
          <c:showCatName val="0"/>
          <c:showSerName val="0"/>
          <c:showPercent val="0"/>
          <c:showBubbleSize val="0"/>
        </c:dLbls>
        <c:gapWidth val="150"/>
        <c:shape val="box"/>
        <c:axId val="-464075968"/>
        <c:axId val="-845779024"/>
        <c:axId val="0"/>
      </c:bar3DChart>
      <c:catAx>
        <c:axId val="-464075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45779024"/>
        <c:crosses val="autoZero"/>
        <c:auto val="1"/>
        <c:lblAlgn val="ctr"/>
        <c:lblOffset val="100"/>
        <c:noMultiLvlLbl val="0"/>
      </c:catAx>
      <c:valAx>
        <c:axId val="-8457790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4075968"/>
        <c:crosses val="autoZero"/>
        <c:crossBetween val="between"/>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83873604622601"/>
          <c:y val="0.101920815366523"/>
          <c:w val="0.83560731739044503"/>
          <c:h val="0.65851032635032702"/>
        </c:manualLayout>
      </c:layout>
      <c:bar3DChart>
        <c:barDir val="col"/>
        <c:grouping val="clustered"/>
        <c:varyColors val="0"/>
        <c:ser>
          <c:idx val="0"/>
          <c:order val="0"/>
          <c:tx>
            <c:strRef>
              <c:f>Sheet1!$AC$470</c:f>
              <c:strCache>
                <c:ptCount val="1"/>
                <c:pt idx="0">
                  <c:v>Fire</c:v>
                </c:pt>
              </c:strCache>
            </c:strRef>
          </c:tx>
          <c:spPr>
            <a:solidFill>
              <a:schemeClr val="accent1"/>
            </a:solidFill>
            <a:ln>
              <a:noFill/>
            </a:ln>
            <a:effectLst/>
            <a:sp3d/>
          </c:spPr>
          <c:invertIfNegative val="0"/>
          <c:cat>
            <c:strRef>
              <c:f>Sheet1!$AB$471:$AB$478</c:f>
              <c:strCache>
                <c:ptCount val="8"/>
                <c:pt idx="0">
                  <c:v>A</c:v>
                </c:pt>
                <c:pt idx="1">
                  <c:v>B</c:v>
                </c:pt>
                <c:pt idx="2">
                  <c:v>C</c:v>
                </c:pt>
                <c:pt idx="3">
                  <c:v>D</c:v>
                </c:pt>
                <c:pt idx="4">
                  <c:v>E</c:v>
                </c:pt>
                <c:pt idx="5">
                  <c:v>F</c:v>
                </c:pt>
                <c:pt idx="6">
                  <c:v>G</c:v>
                </c:pt>
                <c:pt idx="7">
                  <c:v>H</c:v>
                </c:pt>
              </c:strCache>
            </c:strRef>
          </c:cat>
          <c:val>
            <c:numRef>
              <c:f>Sheet1!$AC$471:$AC$478</c:f>
              <c:numCache>
                <c:formatCode>0.0%</c:formatCode>
                <c:ptCount val="8"/>
                <c:pt idx="0">
                  <c:v>0.18203439443834599</c:v>
                </c:pt>
                <c:pt idx="1">
                  <c:v>9.8792535675082307E-3</c:v>
                </c:pt>
                <c:pt idx="2">
                  <c:v>4.5188437614343199E-2</c:v>
                </c:pt>
                <c:pt idx="3">
                  <c:v>8.8547383827296003E-2</c:v>
                </c:pt>
                <c:pt idx="4">
                  <c:v>3.3113794365166503E-2</c:v>
                </c:pt>
                <c:pt idx="5">
                  <c:v>1.6282473472374701E-2</c:v>
                </c:pt>
                <c:pt idx="6">
                  <c:v>0.103549213318697</c:v>
                </c:pt>
                <c:pt idx="7">
                  <c:v>1.8477863154043199E-2</c:v>
                </c:pt>
              </c:numCache>
            </c:numRef>
          </c:val>
          <c:extLst>
            <c:ext xmlns:c16="http://schemas.microsoft.com/office/drawing/2014/chart" uri="{C3380CC4-5D6E-409C-BE32-E72D297353CC}">
              <c16:uniqueId val="{00000000-2890-4CB7-9B28-03F7647BA302}"/>
            </c:ext>
          </c:extLst>
        </c:ser>
        <c:ser>
          <c:idx val="1"/>
          <c:order val="1"/>
          <c:tx>
            <c:strRef>
              <c:f>Sheet1!$AD$470</c:f>
              <c:strCache>
                <c:ptCount val="1"/>
                <c:pt idx="0">
                  <c:v>Flame</c:v>
                </c:pt>
              </c:strCache>
            </c:strRef>
          </c:tx>
          <c:spPr>
            <a:solidFill>
              <a:schemeClr val="accent2"/>
            </a:solidFill>
            <a:ln>
              <a:noFill/>
            </a:ln>
            <a:effectLst/>
            <a:sp3d/>
          </c:spPr>
          <c:invertIfNegative val="0"/>
          <c:cat>
            <c:strRef>
              <c:f>Sheet1!$AB$471:$AB$478</c:f>
              <c:strCache>
                <c:ptCount val="8"/>
                <c:pt idx="0">
                  <c:v>A</c:v>
                </c:pt>
                <c:pt idx="1">
                  <c:v>B</c:v>
                </c:pt>
                <c:pt idx="2">
                  <c:v>C</c:v>
                </c:pt>
                <c:pt idx="3">
                  <c:v>D</c:v>
                </c:pt>
                <c:pt idx="4">
                  <c:v>E</c:v>
                </c:pt>
                <c:pt idx="5">
                  <c:v>F</c:v>
                </c:pt>
                <c:pt idx="6">
                  <c:v>G</c:v>
                </c:pt>
                <c:pt idx="7">
                  <c:v>H</c:v>
                </c:pt>
              </c:strCache>
            </c:strRef>
          </c:cat>
          <c:val>
            <c:numRef>
              <c:f>Sheet1!$AD$471:$AD$478</c:f>
              <c:numCache>
                <c:formatCode>0.0%</c:formatCode>
                <c:ptCount val="8"/>
                <c:pt idx="0">
                  <c:v>9.8792535675082307E-3</c:v>
                </c:pt>
                <c:pt idx="1">
                  <c:v>1.7014270032930798E-2</c:v>
                </c:pt>
                <c:pt idx="2">
                  <c:v>8.8547383827296003E-2</c:v>
                </c:pt>
                <c:pt idx="3">
                  <c:v>0.15221368459568199</c:v>
                </c:pt>
                <c:pt idx="4">
                  <c:v>4.50054884742042E-2</c:v>
                </c:pt>
                <c:pt idx="5">
                  <c:v>2.39663373582144E-2</c:v>
                </c:pt>
                <c:pt idx="6">
                  <c:v>0.124222466154409</c:v>
                </c:pt>
                <c:pt idx="7">
                  <c:v>3.6223929747530199E-2</c:v>
                </c:pt>
              </c:numCache>
            </c:numRef>
          </c:val>
          <c:extLst>
            <c:ext xmlns:c16="http://schemas.microsoft.com/office/drawing/2014/chart" uri="{C3380CC4-5D6E-409C-BE32-E72D297353CC}">
              <c16:uniqueId val="{00000001-2890-4CB7-9B28-03F7647BA302}"/>
            </c:ext>
          </c:extLst>
        </c:ser>
        <c:ser>
          <c:idx val="2"/>
          <c:order val="2"/>
          <c:tx>
            <c:strRef>
              <c:f>Sheet1!$AE$470</c:f>
              <c:strCache>
                <c:ptCount val="1"/>
                <c:pt idx="0">
                  <c:v>Smoke </c:v>
                </c:pt>
              </c:strCache>
            </c:strRef>
          </c:tx>
          <c:spPr>
            <a:solidFill>
              <a:schemeClr val="accent3"/>
            </a:solidFill>
            <a:ln>
              <a:noFill/>
            </a:ln>
            <a:effectLst/>
            <a:sp3d/>
          </c:spPr>
          <c:invertIfNegative val="0"/>
          <c:cat>
            <c:strRef>
              <c:f>Sheet1!$AB$471:$AB$478</c:f>
              <c:strCache>
                <c:ptCount val="8"/>
                <c:pt idx="0">
                  <c:v>A</c:v>
                </c:pt>
                <c:pt idx="1">
                  <c:v>B</c:v>
                </c:pt>
                <c:pt idx="2">
                  <c:v>C</c:v>
                </c:pt>
                <c:pt idx="3">
                  <c:v>D</c:v>
                </c:pt>
                <c:pt idx="4">
                  <c:v>E</c:v>
                </c:pt>
                <c:pt idx="5">
                  <c:v>F</c:v>
                </c:pt>
                <c:pt idx="6">
                  <c:v>G</c:v>
                </c:pt>
                <c:pt idx="7">
                  <c:v>H</c:v>
                </c:pt>
              </c:strCache>
            </c:strRef>
          </c:cat>
          <c:val>
            <c:numRef>
              <c:f>Sheet1!$AE$471:$AE$478</c:f>
              <c:numCache>
                <c:formatCode>0.0%</c:formatCode>
                <c:ptCount val="8"/>
                <c:pt idx="0">
                  <c:v>9.4950603732162506E-2</c:v>
                </c:pt>
                <c:pt idx="1">
                  <c:v>2.2685693377241099E-2</c:v>
                </c:pt>
                <c:pt idx="2">
                  <c:v>3.5675082327113097E-2</c:v>
                </c:pt>
                <c:pt idx="3">
                  <c:v>6.5861690450054897E-2</c:v>
                </c:pt>
                <c:pt idx="4">
                  <c:v>5.2323454079765797E-2</c:v>
                </c:pt>
                <c:pt idx="5">
                  <c:v>3.9882912550310998E-2</c:v>
                </c:pt>
                <c:pt idx="6">
                  <c:v>0.16026344676179999</c:v>
                </c:pt>
                <c:pt idx="7">
                  <c:v>2.54299304793268E-2</c:v>
                </c:pt>
              </c:numCache>
            </c:numRef>
          </c:val>
          <c:extLst>
            <c:ext xmlns:c16="http://schemas.microsoft.com/office/drawing/2014/chart" uri="{C3380CC4-5D6E-409C-BE32-E72D297353CC}">
              <c16:uniqueId val="{00000002-2890-4CB7-9B28-03F7647BA302}"/>
            </c:ext>
          </c:extLst>
        </c:ser>
        <c:ser>
          <c:idx val="3"/>
          <c:order val="3"/>
          <c:tx>
            <c:strRef>
              <c:f>Sheet1!$AF$470</c:f>
              <c:strCache>
                <c:ptCount val="1"/>
                <c:pt idx="0">
                  <c:v>Water</c:v>
                </c:pt>
              </c:strCache>
            </c:strRef>
          </c:tx>
          <c:spPr>
            <a:solidFill>
              <a:schemeClr val="accent4"/>
            </a:solidFill>
            <a:ln>
              <a:noFill/>
            </a:ln>
            <a:effectLst/>
            <a:sp3d/>
          </c:spPr>
          <c:invertIfNegative val="0"/>
          <c:cat>
            <c:strRef>
              <c:f>Sheet1!$AB$471:$AB$478</c:f>
              <c:strCache>
                <c:ptCount val="8"/>
                <c:pt idx="0">
                  <c:v>A</c:v>
                </c:pt>
                <c:pt idx="1">
                  <c:v>B</c:v>
                </c:pt>
                <c:pt idx="2">
                  <c:v>C</c:v>
                </c:pt>
                <c:pt idx="3">
                  <c:v>D</c:v>
                </c:pt>
                <c:pt idx="4">
                  <c:v>E</c:v>
                </c:pt>
                <c:pt idx="5">
                  <c:v>F</c:v>
                </c:pt>
                <c:pt idx="6">
                  <c:v>G</c:v>
                </c:pt>
                <c:pt idx="7">
                  <c:v>H</c:v>
                </c:pt>
              </c:strCache>
            </c:strRef>
          </c:cat>
          <c:val>
            <c:numRef>
              <c:f>Sheet1!$AF$471:$AF$478</c:f>
              <c:numCache>
                <c:formatCode>0.0%</c:formatCode>
                <c:ptCount val="8"/>
                <c:pt idx="0">
                  <c:v>0.20307354555433599</c:v>
                </c:pt>
                <c:pt idx="1">
                  <c:v>1.02451518477863E-2</c:v>
                </c:pt>
                <c:pt idx="2">
                  <c:v>3.8602268569337697E-2</c:v>
                </c:pt>
                <c:pt idx="3">
                  <c:v>6.8422978412001498E-2</c:v>
                </c:pt>
                <c:pt idx="4">
                  <c:v>4.1163556531284298E-2</c:v>
                </c:pt>
                <c:pt idx="5">
                  <c:v>1.7197219173069898E-2</c:v>
                </c:pt>
                <c:pt idx="6">
                  <c:v>0.104281009879254</c:v>
                </c:pt>
                <c:pt idx="7">
                  <c:v>1.40870837907062E-2</c:v>
                </c:pt>
              </c:numCache>
            </c:numRef>
          </c:val>
          <c:extLst>
            <c:ext xmlns:c16="http://schemas.microsoft.com/office/drawing/2014/chart" uri="{C3380CC4-5D6E-409C-BE32-E72D297353CC}">
              <c16:uniqueId val="{00000003-2890-4CB7-9B28-03F7647BA302}"/>
            </c:ext>
          </c:extLst>
        </c:ser>
        <c:dLbls>
          <c:showLegendKey val="0"/>
          <c:showVal val="0"/>
          <c:showCatName val="0"/>
          <c:showSerName val="0"/>
          <c:showPercent val="0"/>
          <c:showBubbleSize val="0"/>
        </c:dLbls>
        <c:gapWidth val="150"/>
        <c:shape val="box"/>
        <c:axId val="-423331216"/>
        <c:axId val="-712195600"/>
        <c:axId val="0"/>
      </c:bar3DChart>
      <c:catAx>
        <c:axId val="-423331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712195600"/>
        <c:crosses val="autoZero"/>
        <c:auto val="1"/>
        <c:lblAlgn val="ctr"/>
        <c:lblOffset val="100"/>
        <c:noMultiLvlLbl val="0"/>
      </c:catAx>
      <c:valAx>
        <c:axId val="-712195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3331216"/>
        <c:crosses val="autoZero"/>
        <c:crossBetween val="between"/>
      </c:valAx>
      <c:spPr>
        <a:noFill/>
        <a:ln>
          <a:noFill/>
        </a:ln>
        <a:effectLst/>
      </c:spPr>
    </c:plotArea>
    <c:legend>
      <c:legendPos val="b"/>
      <c:layout>
        <c:manualLayout>
          <c:xMode val="edge"/>
          <c:yMode val="edge"/>
          <c:x val="0.20116464128502401"/>
          <c:y val="0.83641431336175098"/>
          <c:w val="0.59767039623820195"/>
          <c:h val="0.140065498476743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51995361906501"/>
          <c:y val="7.8400627205017698E-2"/>
          <c:w val="0.77904782015162699"/>
          <c:h val="0.78979495458010895"/>
        </c:manualLayout>
      </c:layout>
      <c:bar3DChart>
        <c:barDir val="col"/>
        <c:grouping val="standard"/>
        <c:varyColors val="0"/>
        <c:ser>
          <c:idx val="0"/>
          <c:order val="0"/>
          <c:tx>
            <c:strRef>
              <c:f>Sheet1!$A$25</c:f>
              <c:strCache>
                <c:ptCount val="1"/>
                <c:pt idx="0">
                  <c:v>A</c:v>
                </c:pt>
              </c:strCache>
            </c:strRef>
          </c:tx>
          <c:spPr>
            <a:solidFill>
              <a:schemeClr val="accent1"/>
            </a:solidFill>
            <a:ln>
              <a:noFill/>
            </a:ln>
            <a:effectLst/>
            <a:sp3d/>
          </c:spPr>
          <c:invertIfNegative val="0"/>
          <c:cat>
            <c:numRef>
              <c:f>Sheet1!$B$24:$F$24</c:f>
              <c:numCache>
                <c:formatCode>General</c:formatCode>
                <c:ptCount val="5"/>
                <c:pt idx="0">
                  <c:v>1</c:v>
                </c:pt>
                <c:pt idx="1">
                  <c:v>2</c:v>
                </c:pt>
                <c:pt idx="2">
                  <c:v>3</c:v>
                </c:pt>
                <c:pt idx="3">
                  <c:v>4</c:v>
                </c:pt>
                <c:pt idx="4">
                  <c:v>5</c:v>
                </c:pt>
              </c:numCache>
            </c:numRef>
          </c:cat>
          <c:val>
            <c:numRef>
              <c:f>Sheet1!$B$25:$F$25</c:f>
              <c:numCache>
                <c:formatCode>0.00%</c:formatCode>
                <c:ptCount val="5"/>
                <c:pt idx="0">
                  <c:v>0.96257423947046294</c:v>
                </c:pt>
                <c:pt idx="1">
                  <c:v>3.1667951217300601E-2</c:v>
                </c:pt>
                <c:pt idx="2">
                  <c:v>4.7603935258648099E-3</c:v>
                </c:pt>
                <c:pt idx="3">
                  <c:v>7.0272475858004302E-4</c:v>
                </c:pt>
                <c:pt idx="4">
                  <c:v>2.94691027791631E-4</c:v>
                </c:pt>
              </c:numCache>
            </c:numRef>
          </c:val>
          <c:extLst>
            <c:ext xmlns:c16="http://schemas.microsoft.com/office/drawing/2014/chart" uri="{C3380CC4-5D6E-409C-BE32-E72D297353CC}">
              <c16:uniqueId val="{00000000-8D06-4C38-86FD-7E20DF95EF03}"/>
            </c:ext>
          </c:extLst>
        </c:ser>
        <c:ser>
          <c:idx val="1"/>
          <c:order val="1"/>
          <c:tx>
            <c:strRef>
              <c:f>Sheet1!$A$26</c:f>
              <c:strCache>
                <c:ptCount val="1"/>
                <c:pt idx="0">
                  <c:v>B</c:v>
                </c:pt>
              </c:strCache>
            </c:strRef>
          </c:tx>
          <c:spPr>
            <a:solidFill>
              <a:schemeClr val="accent2"/>
            </a:solidFill>
            <a:ln>
              <a:noFill/>
            </a:ln>
            <a:effectLst/>
            <a:sp3d/>
          </c:spPr>
          <c:invertIfNegative val="0"/>
          <c:cat>
            <c:numRef>
              <c:f>Sheet1!$B$24:$F$24</c:f>
              <c:numCache>
                <c:formatCode>General</c:formatCode>
                <c:ptCount val="5"/>
                <c:pt idx="0">
                  <c:v>1</c:v>
                </c:pt>
                <c:pt idx="1">
                  <c:v>2</c:v>
                </c:pt>
                <c:pt idx="2">
                  <c:v>3</c:v>
                </c:pt>
                <c:pt idx="3">
                  <c:v>4</c:v>
                </c:pt>
                <c:pt idx="4">
                  <c:v>5</c:v>
                </c:pt>
              </c:numCache>
            </c:numRef>
          </c:cat>
          <c:val>
            <c:numRef>
              <c:f>Sheet1!$B$26:$F$26</c:f>
              <c:numCache>
                <c:formatCode>0.00%</c:formatCode>
                <c:ptCount val="5"/>
                <c:pt idx="0">
                  <c:v>0.923395896988215</c:v>
                </c:pt>
                <c:pt idx="1">
                  <c:v>6.9983995344100103E-2</c:v>
                </c:pt>
                <c:pt idx="2">
                  <c:v>6.1836170522333797E-3</c:v>
                </c:pt>
                <c:pt idx="3">
                  <c:v>3.6374217954313997E-4</c:v>
                </c:pt>
                <c:pt idx="4">
                  <c:v>7.2748435908628003E-5</c:v>
                </c:pt>
              </c:numCache>
            </c:numRef>
          </c:val>
          <c:extLst>
            <c:ext xmlns:c16="http://schemas.microsoft.com/office/drawing/2014/chart" uri="{C3380CC4-5D6E-409C-BE32-E72D297353CC}">
              <c16:uniqueId val="{00000001-8D06-4C38-86FD-7E20DF95EF03}"/>
            </c:ext>
          </c:extLst>
        </c:ser>
        <c:ser>
          <c:idx val="2"/>
          <c:order val="2"/>
          <c:tx>
            <c:strRef>
              <c:f>Sheet1!$A$27</c:f>
              <c:strCache>
                <c:ptCount val="1"/>
                <c:pt idx="0">
                  <c:v>C</c:v>
                </c:pt>
              </c:strCache>
            </c:strRef>
          </c:tx>
          <c:spPr>
            <a:solidFill>
              <a:schemeClr val="accent3"/>
            </a:solidFill>
            <a:ln>
              <a:noFill/>
            </a:ln>
            <a:effectLst/>
            <a:sp3d/>
          </c:spPr>
          <c:invertIfNegative val="0"/>
          <c:cat>
            <c:numRef>
              <c:f>Sheet1!$B$24:$F$24</c:f>
              <c:numCache>
                <c:formatCode>General</c:formatCode>
                <c:ptCount val="5"/>
                <c:pt idx="0">
                  <c:v>1</c:v>
                </c:pt>
                <c:pt idx="1">
                  <c:v>2</c:v>
                </c:pt>
                <c:pt idx="2">
                  <c:v>3</c:v>
                </c:pt>
                <c:pt idx="3">
                  <c:v>4</c:v>
                </c:pt>
                <c:pt idx="4">
                  <c:v>5</c:v>
                </c:pt>
              </c:numCache>
            </c:numRef>
          </c:cat>
          <c:val>
            <c:numRef>
              <c:f>Sheet1!$B$27:$F$27</c:f>
              <c:numCache>
                <c:formatCode>0.00%</c:formatCode>
                <c:ptCount val="5"/>
                <c:pt idx="0">
                  <c:v>0.88851651059635295</c:v>
                </c:pt>
                <c:pt idx="1">
                  <c:v>0.100443568260227</c:v>
                </c:pt>
                <c:pt idx="2">
                  <c:v>1.00542138984722E-2</c:v>
                </c:pt>
                <c:pt idx="3">
                  <c:v>7.885657959586E-4</c:v>
                </c:pt>
                <c:pt idx="4">
                  <c:v>1.9714144898965E-4</c:v>
                </c:pt>
              </c:numCache>
            </c:numRef>
          </c:val>
          <c:extLst>
            <c:ext xmlns:c16="http://schemas.microsoft.com/office/drawing/2014/chart" uri="{C3380CC4-5D6E-409C-BE32-E72D297353CC}">
              <c16:uniqueId val="{00000002-8D06-4C38-86FD-7E20DF95EF03}"/>
            </c:ext>
          </c:extLst>
        </c:ser>
        <c:ser>
          <c:idx val="3"/>
          <c:order val="3"/>
          <c:tx>
            <c:strRef>
              <c:f>Sheet1!$A$28</c:f>
              <c:strCache>
                <c:ptCount val="1"/>
                <c:pt idx="0">
                  <c:v>D</c:v>
                </c:pt>
              </c:strCache>
            </c:strRef>
          </c:tx>
          <c:spPr>
            <a:solidFill>
              <a:schemeClr val="accent4"/>
            </a:solidFill>
            <a:ln>
              <a:noFill/>
            </a:ln>
            <a:effectLst/>
            <a:sp3d/>
          </c:spPr>
          <c:invertIfNegative val="0"/>
          <c:cat>
            <c:numRef>
              <c:f>Sheet1!$B$24:$F$24</c:f>
              <c:numCache>
                <c:formatCode>General</c:formatCode>
                <c:ptCount val="5"/>
                <c:pt idx="0">
                  <c:v>1</c:v>
                </c:pt>
                <c:pt idx="1">
                  <c:v>2</c:v>
                </c:pt>
                <c:pt idx="2">
                  <c:v>3</c:v>
                </c:pt>
                <c:pt idx="3">
                  <c:v>4</c:v>
                </c:pt>
                <c:pt idx="4">
                  <c:v>5</c:v>
                </c:pt>
              </c:numCache>
            </c:numRef>
          </c:cat>
          <c:val>
            <c:numRef>
              <c:f>Sheet1!$B$28:$F$28</c:f>
              <c:numCache>
                <c:formatCode>0.00%</c:formatCode>
                <c:ptCount val="5"/>
                <c:pt idx="0">
                  <c:v>0.83878851775530705</c:v>
                </c:pt>
                <c:pt idx="1">
                  <c:v>0.12689893132697599</c:v>
                </c:pt>
                <c:pt idx="2">
                  <c:v>3.09100493602339E-2</c:v>
                </c:pt>
                <c:pt idx="3">
                  <c:v>3.0670436574495598E-3</c:v>
                </c:pt>
                <c:pt idx="4">
                  <c:v>3.3545790003354601E-4</c:v>
                </c:pt>
              </c:numCache>
            </c:numRef>
          </c:val>
          <c:extLst>
            <c:ext xmlns:c16="http://schemas.microsoft.com/office/drawing/2014/chart" uri="{C3380CC4-5D6E-409C-BE32-E72D297353CC}">
              <c16:uniqueId val="{00000003-8D06-4C38-86FD-7E20DF95EF03}"/>
            </c:ext>
          </c:extLst>
        </c:ser>
        <c:dLbls>
          <c:showLegendKey val="0"/>
          <c:showVal val="0"/>
          <c:showCatName val="0"/>
          <c:showSerName val="0"/>
          <c:showPercent val="0"/>
          <c:showBubbleSize val="0"/>
        </c:dLbls>
        <c:gapWidth val="150"/>
        <c:shape val="box"/>
        <c:axId val="-741387568"/>
        <c:axId val="-839998256"/>
        <c:axId val="-385482048"/>
      </c:bar3DChart>
      <c:catAx>
        <c:axId val="-741387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39998256"/>
        <c:crosses val="autoZero"/>
        <c:auto val="1"/>
        <c:lblAlgn val="ctr"/>
        <c:lblOffset val="100"/>
        <c:noMultiLvlLbl val="0"/>
      </c:catAx>
      <c:valAx>
        <c:axId val="-839998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741387568"/>
        <c:crosses val="autoZero"/>
        <c:crossBetween val="between"/>
        <c:majorUnit val="0.5"/>
        <c:minorUnit val="0.25"/>
      </c:valAx>
      <c:serAx>
        <c:axId val="-3854820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39998256"/>
        <c:crosses val="autoZero"/>
        <c:tickLblSkip val="1"/>
      </c:ser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950351785263999"/>
          <c:y val="7.9400088222320198E-2"/>
          <c:w val="0.83010080603069603"/>
          <c:h val="0.62455220225835195"/>
        </c:manualLayout>
      </c:layout>
      <c:bar3DChart>
        <c:barDir val="col"/>
        <c:grouping val="clustered"/>
        <c:varyColors val="0"/>
        <c:ser>
          <c:idx val="0"/>
          <c:order val="0"/>
          <c:tx>
            <c:strRef>
              <c:f>Sheet1!$Q$555</c:f>
              <c:strCache>
                <c:ptCount val="1"/>
                <c:pt idx="0">
                  <c:v>USA</c:v>
                </c:pt>
              </c:strCache>
            </c:strRef>
          </c:tx>
          <c:spPr>
            <a:solidFill>
              <a:schemeClr val="accent1"/>
            </a:solidFill>
            <a:ln>
              <a:noFill/>
            </a:ln>
            <a:effectLst/>
            <a:sp3d/>
          </c:spPr>
          <c:invertIfNegative val="0"/>
          <c:cat>
            <c:strRef>
              <c:f>Sheet1!$P$556:$P$559</c:f>
              <c:strCache>
                <c:ptCount val="4"/>
                <c:pt idx="0">
                  <c:v>A</c:v>
                </c:pt>
                <c:pt idx="1">
                  <c:v>B</c:v>
                </c:pt>
                <c:pt idx="2">
                  <c:v>C</c:v>
                </c:pt>
                <c:pt idx="3">
                  <c:v>D</c:v>
                </c:pt>
              </c:strCache>
            </c:strRef>
          </c:cat>
          <c:val>
            <c:numRef>
              <c:f>Sheet1!$Q$556:$Q$559</c:f>
              <c:numCache>
                <c:formatCode>0.0%</c:formatCode>
                <c:ptCount val="4"/>
                <c:pt idx="0">
                  <c:v>0.496400206988098</c:v>
                </c:pt>
                <c:pt idx="1">
                  <c:v>0.15464485792067001</c:v>
                </c:pt>
                <c:pt idx="2">
                  <c:v>0.114158435889936</c:v>
                </c:pt>
                <c:pt idx="3">
                  <c:v>0.234796499201296</c:v>
                </c:pt>
              </c:numCache>
            </c:numRef>
          </c:val>
          <c:extLst>
            <c:ext xmlns:c16="http://schemas.microsoft.com/office/drawing/2014/chart" uri="{C3380CC4-5D6E-409C-BE32-E72D297353CC}">
              <c16:uniqueId val="{00000000-BAE3-40EB-B014-3920BE57C5EB}"/>
            </c:ext>
          </c:extLst>
        </c:ser>
        <c:ser>
          <c:idx val="1"/>
          <c:order val="1"/>
          <c:tx>
            <c:strRef>
              <c:f>Sheet1!$R$555</c:f>
              <c:strCache>
                <c:ptCount val="1"/>
                <c:pt idx="0">
                  <c:v>NZ</c:v>
                </c:pt>
              </c:strCache>
            </c:strRef>
          </c:tx>
          <c:spPr>
            <a:solidFill>
              <a:schemeClr val="accent2"/>
            </a:solidFill>
            <a:ln>
              <a:noFill/>
            </a:ln>
            <a:effectLst/>
            <a:sp3d/>
          </c:spPr>
          <c:invertIfNegative val="0"/>
          <c:cat>
            <c:strRef>
              <c:f>Sheet1!$P$556:$P$559</c:f>
              <c:strCache>
                <c:ptCount val="4"/>
                <c:pt idx="0">
                  <c:v>A</c:v>
                </c:pt>
                <c:pt idx="1">
                  <c:v>B</c:v>
                </c:pt>
                <c:pt idx="2">
                  <c:v>C</c:v>
                </c:pt>
                <c:pt idx="3">
                  <c:v>D</c:v>
                </c:pt>
              </c:strCache>
            </c:strRef>
          </c:cat>
          <c:val>
            <c:numRef>
              <c:f>Sheet1!$R$556:$R$559</c:f>
              <c:numCache>
                <c:formatCode>0.0%</c:formatCode>
                <c:ptCount val="4"/>
                <c:pt idx="0">
                  <c:v>0.80497621661178198</c:v>
                </c:pt>
                <c:pt idx="1">
                  <c:v>3.4394438346139797E-2</c:v>
                </c:pt>
                <c:pt idx="2">
                  <c:v>3.7596048298573E-2</c:v>
                </c:pt>
                <c:pt idx="3">
                  <c:v>0.10894621295279899</c:v>
                </c:pt>
              </c:numCache>
            </c:numRef>
          </c:val>
          <c:extLst>
            <c:ext xmlns:c16="http://schemas.microsoft.com/office/drawing/2014/chart" uri="{C3380CC4-5D6E-409C-BE32-E72D297353CC}">
              <c16:uniqueId val="{00000001-BAE3-40EB-B014-3920BE57C5EB}"/>
            </c:ext>
          </c:extLst>
        </c:ser>
        <c:dLbls>
          <c:showLegendKey val="0"/>
          <c:showVal val="0"/>
          <c:showCatName val="0"/>
          <c:showSerName val="0"/>
          <c:showPercent val="0"/>
          <c:showBubbleSize val="0"/>
        </c:dLbls>
        <c:gapWidth val="150"/>
        <c:shape val="box"/>
        <c:axId val="-712910944"/>
        <c:axId val="-385630944"/>
        <c:axId val="0"/>
      </c:bar3DChart>
      <c:catAx>
        <c:axId val="-712910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5630944"/>
        <c:crosses val="autoZero"/>
        <c:auto val="1"/>
        <c:lblAlgn val="ctr"/>
        <c:lblOffset val="100"/>
        <c:noMultiLvlLbl val="0"/>
      </c:catAx>
      <c:valAx>
        <c:axId val="-3856309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2910944"/>
        <c:crosses val="autoZero"/>
        <c:crossBetween val="between"/>
        <c:minorUnit val="0.25"/>
      </c:valAx>
      <c:spPr>
        <a:noFill/>
        <a:ln>
          <a:noFill/>
        </a:ln>
        <a:effectLst/>
      </c:spPr>
    </c:plotArea>
    <c:legend>
      <c:legendPos val="b"/>
      <c:layout>
        <c:manualLayout>
          <c:xMode val="edge"/>
          <c:yMode val="edge"/>
          <c:x val="0.39082098217225197"/>
          <c:y val="0.81592100281686197"/>
          <c:w val="0.23467425535707701"/>
          <c:h val="0.15761230110903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43059929563"/>
          <c:y val="7.6184277368554695E-2"/>
          <c:w val="0.866843536256928"/>
          <c:h val="0.61132048514097004"/>
        </c:manualLayout>
      </c:layout>
      <c:bar3DChart>
        <c:barDir val="col"/>
        <c:grouping val="clustered"/>
        <c:varyColors val="0"/>
        <c:ser>
          <c:idx val="0"/>
          <c:order val="0"/>
          <c:tx>
            <c:strRef>
              <c:f>Sheet1!$AC$235</c:f>
              <c:strCache>
                <c:ptCount val="1"/>
                <c:pt idx="0">
                  <c:v>Residential buildings </c:v>
                </c:pt>
              </c:strCache>
            </c:strRef>
          </c:tx>
          <c:spPr>
            <a:solidFill>
              <a:schemeClr val="accent1"/>
            </a:solidFill>
            <a:ln>
              <a:noFill/>
            </a:ln>
            <a:effectLst/>
            <a:sp3d/>
          </c:spPr>
          <c:invertIfNegative val="0"/>
          <c:cat>
            <c:strRef>
              <c:f>Sheet1!$AB$236:$AB$250</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Sheet1!$AC$236:$AC$250</c:f>
              <c:numCache>
                <c:formatCode>0.0%</c:formatCode>
                <c:ptCount val="15"/>
                <c:pt idx="0">
                  <c:v>3.2985386221294398E-2</c:v>
                </c:pt>
                <c:pt idx="1">
                  <c:v>3.5490605427974998E-3</c:v>
                </c:pt>
                <c:pt idx="2">
                  <c:v>1.5866388308976999E-2</c:v>
                </c:pt>
                <c:pt idx="3">
                  <c:v>9.9373695198329906E-2</c:v>
                </c:pt>
                <c:pt idx="4">
                  <c:v>0.39624217118997901</c:v>
                </c:pt>
                <c:pt idx="5">
                  <c:v>4.9895615866388299E-2</c:v>
                </c:pt>
                <c:pt idx="6">
                  <c:v>3.3611691022964497E-2</c:v>
                </c:pt>
                <c:pt idx="7">
                  <c:v>3.5073068893528202E-2</c:v>
                </c:pt>
                <c:pt idx="8">
                  <c:v>2.54697286012526E-2</c:v>
                </c:pt>
                <c:pt idx="9">
                  <c:v>9.3945720250521898E-3</c:v>
                </c:pt>
                <c:pt idx="10">
                  <c:v>1.27348643006263E-2</c:v>
                </c:pt>
                <c:pt idx="11">
                  <c:v>1.5448851774530301E-2</c:v>
                </c:pt>
                <c:pt idx="12">
                  <c:v>7.3068893528183696E-3</c:v>
                </c:pt>
                <c:pt idx="13">
                  <c:v>4.5929018789144002E-2</c:v>
                </c:pt>
                <c:pt idx="14">
                  <c:v>9.3945720250521898E-3</c:v>
                </c:pt>
              </c:numCache>
            </c:numRef>
          </c:val>
          <c:extLst>
            <c:ext xmlns:c16="http://schemas.microsoft.com/office/drawing/2014/chart" uri="{C3380CC4-5D6E-409C-BE32-E72D297353CC}">
              <c16:uniqueId val="{00000000-2CAE-4C98-94F8-68E6209B8B64}"/>
            </c:ext>
          </c:extLst>
        </c:ser>
        <c:ser>
          <c:idx val="1"/>
          <c:order val="1"/>
          <c:tx>
            <c:strRef>
              <c:f>Sheet1!$AD$235</c:f>
              <c:strCache>
                <c:ptCount val="1"/>
                <c:pt idx="0">
                  <c:v>Non-residential buildings</c:v>
                </c:pt>
              </c:strCache>
            </c:strRef>
          </c:tx>
          <c:spPr>
            <a:solidFill>
              <a:schemeClr val="accent2"/>
            </a:solidFill>
            <a:ln>
              <a:noFill/>
            </a:ln>
            <a:effectLst/>
            <a:sp3d/>
          </c:spPr>
          <c:invertIfNegative val="0"/>
          <c:cat>
            <c:strRef>
              <c:f>Sheet1!$AB$236:$AB$250</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Sheet1!$AD$236:$AD$250</c:f>
              <c:numCache>
                <c:formatCode>0.0%</c:formatCode>
                <c:ptCount val="15"/>
                <c:pt idx="0">
                  <c:v>1.8371607515657602E-2</c:v>
                </c:pt>
                <c:pt idx="1">
                  <c:v>8.3507306889352801E-4</c:v>
                </c:pt>
                <c:pt idx="2">
                  <c:v>4.38413361169102E-3</c:v>
                </c:pt>
                <c:pt idx="3">
                  <c:v>1.87891440501044E-2</c:v>
                </c:pt>
                <c:pt idx="4">
                  <c:v>6.0542797494780802E-2</c:v>
                </c:pt>
                <c:pt idx="5">
                  <c:v>1.67014613778706E-2</c:v>
                </c:pt>
                <c:pt idx="6">
                  <c:v>1.00208768267223E-2</c:v>
                </c:pt>
                <c:pt idx="7">
                  <c:v>1.2526096033402901E-2</c:v>
                </c:pt>
                <c:pt idx="8">
                  <c:v>1.06471816283925E-2</c:v>
                </c:pt>
                <c:pt idx="9">
                  <c:v>9.6033402922755702E-3</c:v>
                </c:pt>
                <c:pt idx="10">
                  <c:v>6.8893528183716097E-3</c:v>
                </c:pt>
                <c:pt idx="11">
                  <c:v>9.1858037578288095E-3</c:v>
                </c:pt>
                <c:pt idx="12">
                  <c:v>5.2192066805845502E-3</c:v>
                </c:pt>
                <c:pt idx="13">
                  <c:v>2.0876826722338201E-2</c:v>
                </c:pt>
                <c:pt idx="14">
                  <c:v>3.3402922755741099E-3</c:v>
                </c:pt>
              </c:numCache>
            </c:numRef>
          </c:val>
          <c:extLst>
            <c:ext xmlns:c16="http://schemas.microsoft.com/office/drawing/2014/chart" uri="{C3380CC4-5D6E-409C-BE32-E72D297353CC}">
              <c16:uniqueId val="{00000001-2CAE-4C98-94F8-68E6209B8B64}"/>
            </c:ext>
          </c:extLst>
        </c:ser>
        <c:dLbls>
          <c:showLegendKey val="0"/>
          <c:showVal val="0"/>
          <c:showCatName val="0"/>
          <c:showSerName val="0"/>
          <c:showPercent val="0"/>
          <c:showBubbleSize val="0"/>
        </c:dLbls>
        <c:gapWidth val="150"/>
        <c:shape val="box"/>
        <c:axId val="-740978448"/>
        <c:axId val="-740552448"/>
        <c:axId val="0"/>
      </c:bar3DChart>
      <c:catAx>
        <c:axId val="-740978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740552448"/>
        <c:crosses val="autoZero"/>
        <c:auto val="1"/>
        <c:lblAlgn val="ctr"/>
        <c:lblOffset val="100"/>
        <c:noMultiLvlLbl val="0"/>
      </c:catAx>
      <c:valAx>
        <c:axId val="-7405524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740978448"/>
        <c:crosses val="autoZero"/>
        <c:crossBetween val="between"/>
        <c:majorUnit val="0.2"/>
        <c:minorUnit val="0.1"/>
      </c:valAx>
      <c:spPr>
        <a:noFill/>
        <a:ln>
          <a:noFill/>
        </a:ln>
        <a:effectLst/>
      </c:spPr>
    </c:plotArea>
    <c:legend>
      <c:legendPos val="b"/>
      <c:layout>
        <c:manualLayout>
          <c:xMode val="edge"/>
          <c:yMode val="edge"/>
          <c:x val="4.9999919702062502E-2"/>
          <c:y val="0.81990570231140503"/>
          <c:w val="0.89999983940412498"/>
          <c:h val="0.1800942976885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18857321518199"/>
          <c:y val="9.1605821999522802E-2"/>
          <c:w val="0.85044734611935302"/>
          <c:h val="0.68858601765688399"/>
        </c:manualLayout>
      </c:layout>
      <c:bar3DChart>
        <c:barDir val="col"/>
        <c:grouping val="clustered"/>
        <c:varyColors val="0"/>
        <c:ser>
          <c:idx val="0"/>
          <c:order val="0"/>
          <c:spPr>
            <a:solidFill>
              <a:schemeClr val="accent1"/>
            </a:solidFill>
            <a:ln>
              <a:noFill/>
            </a:ln>
            <a:effectLst/>
            <a:sp3d/>
          </c:spPr>
          <c:invertIfNegative val="0"/>
          <c:cat>
            <c:strRef>
              <c:f>Sheet1!$N$257:$N$267</c:f>
              <c:strCache>
                <c:ptCount val="11"/>
                <c:pt idx="0">
                  <c:v>A</c:v>
                </c:pt>
                <c:pt idx="1">
                  <c:v>B</c:v>
                </c:pt>
                <c:pt idx="2">
                  <c:v>C</c:v>
                </c:pt>
                <c:pt idx="3">
                  <c:v>D</c:v>
                </c:pt>
                <c:pt idx="4">
                  <c:v>E</c:v>
                </c:pt>
                <c:pt idx="5">
                  <c:v>F</c:v>
                </c:pt>
                <c:pt idx="6">
                  <c:v>G</c:v>
                </c:pt>
                <c:pt idx="7">
                  <c:v>H</c:v>
                </c:pt>
                <c:pt idx="8">
                  <c:v>I</c:v>
                </c:pt>
                <c:pt idx="9">
                  <c:v>J</c:v>
                </c:pt>
                <c:pt idx="10">
                  <c:v>K</c:v>
                </c:pt>
              </c:strCache>
            </c:strRef>
          </c:cat>
          <c:val>
            <c:numRef>
              <c:f>Sheet1!$O$257:$O$267</c:f>
              <c:numCache>
                <c:formatCode>0.0%</c:formatCode>
                <c:ptCount val="11"/>
                <c:pt idx="0">
                  <c:v>8.1883128778164505E-2</c:v>
                </c:pt>
                <c:pt idx="1">
                  <c:v>3.3156255724491698E-2</c:v>
                </c:pt>
                <c:pt idx="2">
                  <c:v>9.8919215973621494E-2</c:v>
                </c:pt>
                <c:pt idx="3">
                  <c:v>2.5279355193258801E-2</c:v>
                </c:pt>
                <c:pt idx="4">
                  <c:v>1.06246565305001E-2</c:v>
                </c:pt>
                <c:pt idx="5">
                  <c:v>0.26561641326250202</c:v>
                </c:pt>
                <c:pt idx="6">
                  <c:v>0.22055321487451901</c:v>
                </c:pt>
                <c:pt idx="7">
                  <c:v>1.15405751969225E-2</c:v>
                </c:pt>
                <c:pt idx="8">
                  <c:v>2.54625389265433E-2</c:v>
                </c:pt>
                <c:pt idx="9">
                  <c:v>8.3531782377724906E-2</c:v>
                </c:pt>
                <c:pt idx="10">
                  <c:v>0.143432863161751</c:v>
                </c:pt>
              </c:numCache>
            </c:numRef>
          </c:val>
          <c:extLst>
            <c:ext xmlns:c16="http://schemas.microsoft.com/office/drawing/2014/chart" uri="{C3380CC4-5D6E-409C-BE32-E72D297353CC}">
              <c16:uniqueId val="{00000000-1812-4C88-BD81-99993C7098E4}"/>
            </c:ext>
          </c:extLst>
        </c:ser>
        <c:dLbls>
          <c:showLegendKey val="0"/>
          <c:showVal val="0"/>
          <c:showCatName val="0"/>
          <c:showSerName val="0"/>
          <c:showPercent val="0"/>
          <c:showBubbleSize val="0"/>
        </c:dLbls>
        <c:gapWidth val="150"/>
        <c:shape val="box"/>
        <c:axId val="-465162800"/>
        <c:axId val="-426062320"/>
        <c:axId val="0"/>
      </c:bar3DChart>
      <c:catAx>
        <c:axId val="-465162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6062320"/>
        <c:crosses val="autoZero"/>
        <c:auto val="1"/>
        <c:lblAlgn val="ctr"/>
        <c:lblOffset val="100"/>
        <c:noMultiLvlLbl val="0"/>
      </c:catAx>
      <c:valAx>
        <c:axId val="-4260623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5162800"/>
        <c:crosses val="autoZero"/>
        <c:crossBetween val="between"/>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293784634006"/>
          <c:y val="7.9931045107991802E-2"/>
          <c:w val="0.88070109631011895"/>
          <c:h val="0.57105226997339198"/>
        </c:manualLayout>
      </c:layout>
      <c:bar3DChart>
        <c:barDir val="col"/>
        <c:grouping val="clustered"/>
        <c:varyColors val="0"/>
        <c:ser>
          <c:idx val="0"/>
          <c:order val="0"/>
          <c:tx>
            <c:strRef>
              <c:f>Sheet1!$O$372</c:f>
              <c:strCache>
                <c:ptCount val="1"/>
                <c:pt idx="0">
                  <c:v>UK</c:v>
                </c:pt>
              </c:strCache>
            </c:strRef>
          </c:tx>
          <c:spPr>
            <a:solidFill>
              <a:schemeClr val="accent1"/>
            </a:solidFill>
            <a:ln>
              <a:noFill/>
            </a:ln>
            <a:effectLst/>
            <a:sp3d/>
          </c:spPr>
          <c:invertIfNegative val="0"/>
          <c:cat>
            <c:strRef>
              <c:f>Sheet1!$N$373:$N$383</c:f>
              <c:strCache>
                <c:ptCount val="11"/>
                <c:pt idx="0">
                  <c:v>A</c:v>
                </c:pt>
                <c:pt idx="1">
                  <c:v>B</c:v>
                </c:pt>
                <c:pt idx="2">
                  <c:v>C</c:v>
                </c:pt>
                <c:pt idx="3">
                  <c:v>D</c:v>
                </c:pt>
                <c:pt idx="4">
                  <c:v>E</c:v>
                </c:pt>
                <c:pt idx="5">
                  <c:v>F</c:v>
                </c:pt>
                <c:pt idx="6">
                  <c:v>G</c:v>
                </c:pt>
                <c:pt idx="7">
                  <c:v>H</c:v>
                </c:pt>
                <c:pt idx="8">
                  <c:v>I</c:v>
                </c:pt>
                <c:pt idx="9">
                  <c:v>J</c:v>
                </c:pt>
                <c:pt idx="10">
                  <c:v>K</c:v>
                </c:pt>
              </c:strCache>
            </c:strRef>
          </c:cat>
          <c:val>
            <c:numRef>
              <c:f>Sheet1!$O$373:$O$383</c:f>
              <c:numCache>
                <c:formatCode>0.0%</c:formatCode>
                <c:ptCount val="11"/>
                <c:pt idx="0">
                  <c:v>0.25528510783539898</c:v>
                </c:pt>
                <c:pt idx="1">
                  <c:v>0.23749386692834401</c:v>
                </c:pt>
                <c:pt idx="2">
                  <c:v>6.7261130191778498E-2</c:v>
                </c:pt>
                <c:pt idx="3">
                  <c:v>0.20756447724897101</c:v>
                </c:pt>
                <c:pt idx="4">
                  <c:v>1.53166798216609E-2</c:v>
                </c:pt>
                <c:pt idx="5">
                  <c:v>1.8132559677453801E-2</c:v>
                </c:pt>
                <c:pt idx="6">
                  <c:v>4.49474155769354E-2</c:v>
                </c:pt>
                <c:pt idx="7">
                  <c:v>8.5607014100731696E-2</c:v>
                </c:pt>
                <c:pt idx="8">
                  <c:v>5.6104272884356897E-2</c:v>
                </c:pt>
                <c:pt idx="9">
                  <c:v>1.2116816349169101E-2</c:v>
                </c:pt>
                <c:pt idx="10">
                  <c:v>0</c:v>
                </c:pt>
              </c:numCache>
            </c:numRef>
          </c:val>
          <c:extLst>
            <c:ext xmlns:c16="http://schemas.microsoft.com/office/drawing/2014/chart" uri="{C3380CC4-5D6E-409C-BE32-E72D297353CC}">
              <c16:uniqueId val="{00000000-B8A3-4A24-8DB8-720E8112DCB0}"/>
            </c:ext>
          </c:extLst>
        </c:ser>
        <c:ser>
          <c:idx val="1"/>
          <c:order val="1"/>
          <c:tx>
            <c:strRef>
              <c:f>Sheet1!$P$372</c:f>
              <c:strCache>
                <c:ptCount val="1"/>
                <c:pt idx="0">
                  <c:v>NZ</c:v>
                </c:pt>
              </c:strCache>
            </c:strRef>
          </c:tx>
          <c:spPr>
            <a:solidFill>
              <a:schemeClr val="accent2"/>
            </a:solidFill>
            <a:ln>
              <a:noFill/>
            </a:ln>
            <a:effectLst/>
            <a:sp3d/>
          </c:spPr>
          <c:invertIfNegative val="0"/>
          <c:cat>
            <c:strRef>
              <c:f>Sheet1!$N$373:$N$383</c:f>
              <c:strCache>
                <c:ptCount val="11"/>
                <c:pt idx="0">
                  <c:v>A</c:v>
                </c:pt>
                <c:pt idx="1">
                  <c:v>B</c:v>
                </c:pt>
                <c:pt idx="2">
                  <c:v>C</c:v>
                </c:pt>
                <c:pt idx="3">
                  <c:v>D</c:v>
                </c:pt>
                <c:pt idx="4">
                  <c:v>E</c:v>
                </c:pt>
                <c:pt idx="5">
                  <c:v>F</c:v>
                </c:pt>
                <c:pt idx="6">
                  <c:v>G</c:v>
                </c:pt>
                <c:pt idx="7">
                  <c:v>H</c:v>
                </c:pt>
                <c:pt idx="8">
                  <c:v>I</c:v>
                </c:pt>
                <c:pt idx="9">
                  <c:v>J</c:v>
                </c:pt>
                <c:pt idx="10">
                  <c:v>K</c:v>
                </c:pt>
              </c:strCache>
            </c:strRef>
          </c:cat>
          <c:val>
            <c:numRef>
              <c:f>Sheet1!$P$373:$P$383</c:f>
              <c:numCache>
                <c:formatCode>0.0%</c:formatCode>
                <c:ptCount val="11"/>
                <c:pt idx="0">
                  <c:v>0.21257423714929399</c:v>
                </c:pt>
                <c:pt idx="1">
                  <c:v>0.17018226500102401</c:v>
                </c:pt>
                <c:pt idx="2">
                  <c:v>4.3415932828179397E-2</c:v>
                </c:pt>
                <c:pt idx="3">
                  <c:v>0.17509727626459101</c:v>
                </c:pt>
                <c:pt idx="4">
                  <c:v>2.96948597173868E-2</c:v>
                </c:pt>
                <c:pt idx="5">
                  <c:v>5.3450747491296302E-2</c:v>
                </c:pt>
                <c:pt idx="6">
                  <c:v>3.0104443989350801E-2</c:v>
                </c:pt>
                <c:pt idx="7">
                  <c:v>0.24800327667417599</c:v>
                </c:pt>
                <c:pt idx="8">
                  <c:v>2.1912758550071701E-2</c:v>
                </c:pt>
                <c:pt idx="9">
                  <c:v>0</c:v>
                </c:pt>
                <c:pt idx="10">
                  <c:v>1.5564202334630401E-2</c:v>
                </c:pt>
              </c:numCache>
            </c:numRef>
          </c:val>
          <c:extLst>
            <c:ext xmlns:c16="http://schemas.microsoft.com/office/drawing/2014/chart" uri="{C3380CC4-5D6E-409C-BE32-E72D297353CC}">
              <c16:uniqueId val="{00000001-B8A3-4A24-8DB8-720E8112DCB0}"/>
            </c:ext>
          </c:extLst>
        </c:ser>
        <c:dLbls>
          <c:showLegendKey val="0"/>
          <c:showVal val="0"/>
          <c:showCatName val="0"/>
          <c:showSerName val="0"/>
          <c:showPercent val="0"/>
          <c:showBubbleSize val="0"/>
        </c:dLbls>
        <c:gapWidth val="150"/>
        <c:shape val="box"/>
        <c:axId val="-463755888"/>
        <c:axId val="-385518256"/>
        <c:axId val="0"/>
      </c:bar3DChart>
      <c:catAx>
        <c:axId val="-463755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5518256"/>
        <c:crosses val="autoZero"/>
        <c:auto val="1"/>
        <c:lblAlgn val="ctr"/>
        <c:lblOffset val="100"/>
        <c:noMultiLvlLbl val="0"/>
      </c:catAx>
      <c:valAx>
        <c:axId val="-385518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3755888"/>
        <c:crosses val="autoZero"/>
        <c:crossBetween val="between"/>
        <c:majorUnit val="0.2"/>
        <c:minorUnit val="0.1"/>
      </c:valAx>
      <c:spPr>
        <a:noFill/>
        <a:ln>
          <a:noFill/>
        </a:ln>
        <a:effectLst/>
      </c:spPr>
    </c:plotArea>
    <c:legend>
      <c:legendPos val="b"/>
      <c:layout>
        <c:manualLayout>
          <c:xMode val="edge"/>
          <c:yMode val="edge"/>
          <c:x val="0.38085586579499803"/>
          <c:y val="0.81104860570376902"/>
          <c:w val="0.20626264791360599"/>
          <c:h val="0.18895139429623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4964172423199"/>
          <c:y val="8.8911533117183902E-2"/>
          <c:w val="0.87607039917556295"/>
          <c:h val="0.70295136637332101"/>
        </c:manualLayout>
      </c:layout>
      <c:bar3DChart>
        <c:barDir val="col"/>
        <c:grouping val="clustered"/>
        <c:varyColors val="0"/>
        <c:ser>
          <c:idx val="0"/>
          <c:order val="0"/>
          <c:spPr>
            <a:solidFill>
              <a:schemeClr val="accent1"/>
            </a:solidFill>
            <a:ln>
              <a:noFill/>
            </a:ln>
            <a:effectLst/>
            <a:sp3d/>
          </c:spPr>
          <c:invertIfNegative val="0"/>
          <c:cat>
            <c:strRef>
              <c:f>Sheet1!$O$349:$O$357</c:f>
              <c:strCache>
                <c:ptCount val="9"/>
                <c:pt idx="0">
                  <c:v>A</c:v>
                </c:pt>
                <c:pt idx="1">
                  <c:v>B</c:v>
                </c:pt>
                <c:pt idx="2">
                  <c:v>C</c:v>
                </c:pt>
                <c:pt idx="3">
                  <c:v>D</c:v>
                </c:pt>
                <c:pt idx="4">
                  <c:v>E</c:v>
                </c:pt>
                <c:pt idx="5">
                  <c:v>F</c:v>
                </c:pt>
                <c:pt idx="6">
                  <c:v>G</c:v>
                </c:pt>
                <c:pt idx="7">
                  <c:v>H</c:v>
                </c:pt>
                <c:pt idx="8">
                  <c:v>I</c:v>
                </c:pt>
              </c:strCache>
            </c:strRef>
          </c:cat>
          <c:val>
            <c:numRef>
              <c:f>Sheet1!$P$349:$P$357</c:f>
              <c:numCache>
                <c:formatCode>0.0%</c:formatCode>
                <c:ptCount val="9"/>
                <c:pt idx="0">
                  <c:v>6.0336972602605503E-2</c:v>
                </c:pt>
                <c:pt idx="1">
                  <c:v>3.2152503127071803E-2</c:v>
                </c:pt>
                <c:pt idx="2">
                  <c:v>2.6329454566831199E-2</c:v>
                </c:pt>
                <c:pt idx="3">
                  <c:v>8.5908745023628597E-3</c:v>
                </c:pt>
                <c:pt idx="4">
                  <c:v>1.11611152297377E-2</c:v>
                </c:pt>
                <c:pt idx="5">
                  <c:v>3.8409912572624799E-2</c:v>
                </c:pt>
                <c:pt idx="6">
                  <c:v>0.215763054504126</c:v>
                </c:pt>
                <c:pt idx="7">
                  <c:v>0.123771624150465</c:v>
                </c:pt>
                <c:pt idx="8">
                  <c:v>0.48348448874417499</c:v>
                </c:pt>
              </c:numCache>
            </c:numRef>
          </c:val>
          <c:extLst>
            <c:ext xmlns:c16="http://schemas.microsoft.com/office/drawing/2014/chart" uri="{C3380CC4-5D6E-409C-BE32-E72D297353CC}">
              <c16:uniqueId val="{00000000-7C86-4FFC-A3A8-9CD8B27331D9}"/>
            </c:ext>
          </c:extLst>
        </c:ser>
        <c:dLbls>
          <c:showLegendKey val="0"/>
          <c:showVal val="0"/>
          <c:showCatName val="0"/>
          <c:showSerName val="0"/>
          <c:showPercent val="0"/>
          <c:showBubbleSize val="0"/>
        </c:dLbls>
        <c:gapWidth val="150"/>
        <c:shape val="box"/>
        <c:axId val="-845406144"/>
        <c:axId val="-840037360"/>
        <c:axId val="0"/>
      </c:bar3DChart>
      <c:catAx>
        <c:axId val="-84540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40037360"/>
        <c:crosses val="autoZero"/>
        <c:auto val="1"/>
        <c:lblAlgn val="ctr"/>
        <c:lblOffset val="100"/>
        <c:noMultiLvlLbl val="0"/>
      </c:catAx>
      <c:valAx>
        <c:axId val="-840037360"/>
        <c:scaling>
          <c:orientation val="minMax"/>
        </c:scaling>
        <c:delete val="0"/>
        <c:axPos val="l"/>
        <c:majorGridlines>
          <c:spPr>
            <a:ln w="1270"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4540614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49894028336201"/>
          <c:y val="8.8911900900724802E-2"/>
          <c:w val="0.843031343496911"/>
          <c:h val="0.66245113478462203"/>
        </c:manualLayout>
      </c:layout>
      <c:bar3DChart>
        <c:barDir val="col"/>
        <c:grouping val="clustered"/>
        <c:varyColors val="0"/>
        <c:ser>
          <c:idx val="0"/>
          <c:order val="0"/>
          <c:spPr>
            <a:solidFill>
              <a:schemeClr val="accent1"/>
            </a:solidFill>
            <a:ln>
              <a:noFill/>
            </a:ln>
            <a:effectLst/>
            <a:sp3d/>
          </c:spPr>
          <c:invertIfNegative val="0"/>
          <c:cat>
            <c:strRef>
              <c:f>Sheet1!$AD$613:$AD$615</c:f>
              <c:strCache>
                <c:ptCount val="3"/>
                <c:pt idx="0">
                  <c:v>A</c:v>
                </c:pt>
                <c:pt idx="1">
                  <c:v>B</c:v>
                </c:pt>
                <c:pt idx="2">
                  <c:v>C</c:v>
                </c:pt>
              </c:strCache>
            </c:strRef>
          </c:cat>
          <c:val>
            <c:numRef>
              <c:f>Sheet1!$AE$613:$AE$615</c:f>
              <c:numCache>
                <c:formatCode>0.0%</c:formatCode>
                <c:ptCount val="3"/>
                <c:pt idx="0">
                  <c:v>0.55232374328169498</c:v>
                </c:pt>
                <c:pt idx="1">
                  <c:v>0.43171040151754703</c:v>
                </c:pt>
                <c:pt idx="2">
                  <c:v>1.5965855200758799E-2</c:v>
                </c:pt>
              </c:numCache>
            </c:numRef>
          </c:val>
          <c:extLst>
            <c:ext xmlns:c16="http://schemas.microsoft.com/office/drawing/2014/chart" uri="{C3380CC4-5D6E-409C-BE32-E72D297353CC}">
              <c16:uniqueId val="{00000000-08B3-4DE7-98DB-93A19989D986}"/>
            </c:ext>
          </c:extLst>
        </c:ser>
        <c:dLbls>
          <c:showLegendKey val="0"/>
          <c:showVal val="0"/>
          <c:showCatName val="0"/>
          <c:showSerName val="0"/>
          <c:showPercent val="0"/>
          <c:showBubbleSize val="0"/>
        </c:dLbls>
        <c:gapWidth val="150"/>
        <c:shape val="box"/>
        <c:axId val="-465927072"/>
        <c:axId val="-840133440"/>
        <c:axId val="0"/>
      </c:bar3DChart>
      <c:catAx>
        <c:axId val="-465927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40133440"/>
        <c:crosses val="autoZero"/>
        <c:auto val="1"/>
        <c:lblAlgn val="ctr"/>
        <c:lblOffset val="100"/>
        <c:noMultiLvlLbl val="0"/>
      </c:catAx>
      <c:valAx>
        <c:axId val="-84013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5927072"/>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Sheet1!$I$691:$I$697</c:f>
              <c:strCache>
                <c:ptCount val="7"/>
                <c:pt idx="0">
                  <c:v>A</c:v>
                </c:pt>
                <c:pt idx="1">
                  <c:v>B</c:v>
                </c:pt>
                <c:pt idx="2">
                  <c:v>C</c:v>
                </c:pt>
                <c:pt idx="3">
                  <c:v>D</c:v>
                </c:pt>
                <c:pt idx="4">
                  <c:v>E</c:v>
                </c:pt>
                <c:pt idx="5">
                  <c:v>F</c:v>
                </c:pt>
                <c:pt idx="6">
                  <c:v>G</c:v>
                </c:pt>
              </c:strCache>
            </c:strRef>
          </c:cat>
          <c:val>
            <c:numRef>
              <c:f>Sheet1!$J$691:$J$697</c:f>
              <c:numCache>
                <c:formatCode>0.0%</c:formatCode>
                <c:ptCount val="7"/>
                <c:pt idx="0">
                  <c:v>0.76110945016715204</c:v>
                </c:pt>
                <c:pt idx="1">
                  <c:v>8.5070529720327193E-3</c:v>
                </c:pt>
                <c:pt idx="2">
                  <c:v>6.4101867203000595E-2</c:v>
                </c:pt>
                <c:pt idx="3">
                  <c:v>1.6117196205799999E-2</c:v>
                </c:pt>
                <c:pt idx="4">
                  <c:v>3.7697388090125801E-2</c:v>
                </c:pt>
                <c:pt idx="5">
                  <c:v>9.0642241730763996E-3</c:v>
                </c:pt>
                <c:pt idx="6">
                  <c:v>0.103402821188813</c:v>
                </c:pt>
              </c:numCache>
            </c:numRef>
          </c:val>
          <c:extLst>
            <c:ext xmlns:c16="http://schemas.microsoft.com/office/drawing/2014/chart" uri="{C3380CC4-5D6E-409C-BE32-E72D297353CC}">
              <c16:uniqueId val="{00000000-7981-4015-87F0-A43E1920490F}"/>
            </c:ext>
          </c:extLst>
        </c:ser>
        <c:dLbls>
          <c:showLegendKey val="0"/>
          <c:showVal val="0"/>
          <c:showCatName val="0"/>
          <c:showSerName val="0"/>
          <c:showPercent val="0"/>
          <c:showBubbleSize val="0"/>
        </c:dLbls>
        <c:gapWidth val="150"/>
        <c:shape val="box"/>
        <c:axId val="-466240128"/>
        <c:axId val="-840257088"/>
        <c:axId val="0"/>
      </c:bar3DChart>
      <c:catAx>
        <c:axId val="-466240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40257088"/>
        <c:crosses val="autoZero"/>
        <c:auto val="1"/>
        <c:lblAlgn val="ctr"/>
        <c:lblOffset val="100"/>
        <c:noMultiLvlLbl val="0"/>
      </c:catAx>
      <c:valAx>
        <c:axId val="-840257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62401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Sheet1!$H$718:$H$734</c:f>
              <c:strCache>
                <c:ptCount val="17"/>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strCache>
            </c:strRef>
          </c:cat>
          <c:val>
            <c:numRef>
              <c:f>Sheet1!$I$718:$I$734</c:f>
              <c:numCache>
                <c:formatCode>0.0%</c:formatCode>
                <c:ptCount val="17"/>
                <c:pt idx="0">
                  <c:v>3.65898280278083E-4</c:v>
                </c:pt>
                <c:pt idx="1">
                  <c:v>3.1101353823637001E-3</c:v>
                </c:pt>
                <c:pt idx="2">
                  <c:v>4.3907793633369899E-3</c:v>
                </c:pt>
                <c:pt idx="3">
                  <c:v>0.21697768020490299</c:v>
                </c:pt>
                <c:pt idx="4">
                  <c:v>7.3179656055616501E-4</c:v>
                </c:pt>
                <c:pt idx="5">
                  <c:v>7.3179656055616501E-4</c:v>
                </c:pt>
                <c:pt idx="6">
                  <c:v>3.65898280278083E-4</c:v>
                </c:pt>
                <c:pt idx="7">
                  <c:v>1.8477863154043199E-2</c:v>
                </c:pt>
                <c:pt idx="8">
                  <c:v>5.4884742041712395E-4</c:v>
                </c:pt>
                <c:pt idx="9">
                  <c:v>1.11598975484815E-2</c:v>
                </c:pt>
                <c:pt idx="10">
                  <c:v>1.2806439809732899E-3</c:v>
                </c:pt>
                <c:pt idx="11">
                  <c:v>0.118551042810099</c:v>
                </c:pt>
                <c:pt idx="12">
                  <c:v>3.0735455543358901E-2</c:v>
                </c:pt>
                <c:pt idx="13">
                  <c:v>5.4884742041712395E-4</c:v>
                </c:pt>
                <c:pt idx="14">
                  <c:v>2.1953896816685001E-2</c:v>
                </c:pt>
                <c:pt idx="15">
                  <c:v>5.4884742041712395E-4</c:v>
                </c:pt>
                <c:pt idx="16">
                  <c:v>3.4760336626417799E-3</c:v>
                </c:pt>
              </c:numCache>
            </c:numRef>
          </c:val>
          <c:extLst>
            <c:ext xmlns:c16="http://schemas.microsoft.com/office/drawing/2014/chart" uri="{C3380CC4-5D6E-409C-BE32-E72D297353CC}">
              <c16:uniqueId val="{00000000-1C8A-4E07-806B-65DBED0BC53B}"/>
            </c:ext>
          </c:extLst>
        </c:ser>
        <c:dLbls>
          <c:showLegendKey val="0"/>
          <c:showVal val="0"/>
          <c:showCatName val="0"/>
          <c:showSerName val="0"/>
          <c:showPercent val="0"/>
          <c:showBubbleSize val="0"/>
        </c:dLbls>
        <c:gapWidth val="150"/>
        <c:shape val="box"/>
        <c:axId val="-377965472"/>
        <c:axId val="-424132000"/>
        <c:axId val="0"/>
      </c:bar3DChart>
      <c:catAx>
        <c:axId val="-377965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4132000"/>
        <c:crosses val="autoZero"/>
        <c:auto val="1"/>
        <c:lblAlgn val="ctr"/>
        <c:lblOffset val="100"/>
        <c:noMultiLvlLbl val="0"/>
      </c:catAx>
      <c:valAx>
        <c:axId val="-424132000"/>
        <c:scaling>
          <c:orientation val="minMax"/>
          <c:max val="0.2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77965472"/>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BB74-398F-4CCB-A2F3-8FF19FAA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10</Pages>
  <Words>6199</Words>
  <Characters>50669</Characters>
  <Application>Microsoft Office Word</Application>
  <DocSecurity>0</DocSecurity>
  <Lines>422</Lines>
  <Paragraphs>113</Paragraphs>
  <ScaleCrop>false</ScaleCrop>
  <HeadingPairs>
    <vt:vector size="2" baseType="variant">
      <vt:variant>
        <vt:lpstr>Title</vt:lpstr>
      </vt:variant>
      <vt:variant>
        <vt:i4>1</vt:i4>
      </vt:variant>
    </vt:vector>
  </HeadingPairs>
  <TitlesOfParts>
    <vt:vector size="1" baseType="lpstr">
      <vt:lpstr>ASRANet 2006</vt:lpstr>
    </vt:vector>
  </TitlesOfParts>
  <Company>NA-ME @ UGS</Company>
  <LinksUpToDate>false</LinksUpToDate>
  <CharactersWithSpaces>56755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ASRANet 2006</dc:title>
  <dc:subject/>
  <dc:creator>RUSH David</dc:creator>
  <cp:keywords/>
  <cp:lastModifiedBy>MANES Martina</cp:lastModifiedBy>
  <cp:revision>61</cp:revision>
  <cp:lastPrinted>2004-04-20T13:37:00Z</cp:lastPrinted>
  <dcterms:created xsi:type="dcterms:W3CDTF">2017-06-07T13:13:00Z</dcterms:created>
  <dcterms:modified xsi:type="dcterms:W3CDTF">2019-03-14T12:10:00Z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ba7b5dcd-e671-3c55-aed1-b045e936ca2d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