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2F84" w14:textId="7CE21643" w:rsidR="00BD59D6" w:rsidRPr="00D332F6" w:rsidRDefault="009B159E" w:rsidP="00794A90">
      <w:pPr>
        <w:spacing w:line="360" w:lineRule="auto"/>
        <w:jc w:val="center"/>
        <w:rPr>
          <w:rFonts w:ascii="Arial" w:hAnsi="Arial" w:cs="Arial"/>
          <w:b/>
          <w:sz w:val="24"/>
        </w:rPr>
      </w:pPr>
      <w:r w:rsidRPr="00D332F6">
        <w:rPr>
          <w:rFonts w:ascii="Arial" w:hAnsi="Arial" w:cs="Arial"/>
          <w:b/>
          <w:sz w:val="24"/>
        </w:rPr>
        <w:t xml:space="preserve">Performance of models to predict hepatocellular carcinoma risk among </w:t>
      </w:r>
      <w:r w:rsidR="00525223" w:rsidRPr="00D332F6">
        <w:rPr>
          <w:rFonts w:ascii="Arial" w:hAnsi="Arial" w:cs="Arial"/>
          <w:b/>
          <w:sz w:val="24"/>
        </w:rPr>
        <w:t xml:space="preserve">UK </w:t>
      </w:r>
      <w:r w:rsidRPr="00D332F6">
        <w:rPr>
          <w:rFonts w:ascii="Arial" w:hAnsi="Arial" w:cs="Arial"/>
          <w:b/>
          <w:sz w:val="24"/>
        </w:rPr>
        <w:t>patients with cirrhosis and cured hepatitis C infection.</w:t>
      </w:r>
    </w:p>
    <w:p w14:paraId="717ADEC1" w14:textId="77777777" w:rsidR="00BE6DA4" w:rsidRPr="00D332F6" w:rsidRDefault="00BE6DA4" w:rsidP="00794A90">
      <w:pPr>
        <w:spacing w:line="360" w:lineRule="auto"/>
        <w:jc w:val="center"/>
        <w:rPr>
          <w:rFonts w:ascii="Arial" w:hAnsi="Arial" w:cs="Arial"/>
        </w:rPr>
      </w:pPr>
    </w:p>
    <w:p w14:paraId="7E9F55AA" w14:textId="6810F120" w:rsidR="00182660" w:rsidRPr="00D332F6" w:rsidRDefault="00182660" w:rsidP="0020175A">
      <w:pPr>
        <w:spacing w:line="360" w:lineRule="auto"/>
        <w:rPr>
          <w:rFonts w:ascii="Arial" w:hAnsi="Arial" w:cs="Arial"/>
          <w:color w:val="auto"/>
        </w:rPr>
      </w:pPr>
      <w:r w:rsidRPr="00D332F6">
        <w:rPr>
          <w:rFonts w:ascii="Arial" w:hAnsi="Arial" w:cs="Arial"/>
        </w:rPr>
        <w:t xml:space="preserve">AUTHORS: </w:t>
      </w:r>
      <w:r w:rsidRPr="00D332F6">
        <w:rPr>
          <w:rFonts w:ascii="Arial" w:hAnsi="Arial" w:cs="Arial"/>
          <w:color w:val="auto"/>
        </w:rPr>
        <w:t>Hamish Innes</w:t>
      </w:r>
      <w:r w:rsidR="003C5FD9" w:rsidRPr="00D332F6">
        <w:rPr>
          <w:rFonts w:ascii="Arial" w:hAnsi="Arial" w:cs="Arial"/>
          <w:color w:val="auto"/>
          <w:vertAlign w:val="superscript"/>
        </w:rPr>
        <w:t>1,2,3</w:t>
      </w:r>
      <w:r w:rsidRPr="00D332F6">
        <w:rPr>
          <w:rFonts w:ascii="Arial" w:hAnsi="Arial" w:cs="Arial"/>
          <w:color w:val="auto"/>
        </w:rPr>
        <w:t>; Peter Jepsen</w:t>
      </w:r>
      <w:r w:rsidR="003C5FD9" w:rsidRPr="00D332F6">
        <w:rPr>
          <w:rFonts w:ascii="Arial" w:hAnsi="Arial" w:cs="Arial"/>
          <w:color w:val="auto"/>
          <w:vertAlign w:val="superscript"/>
        </w:rPr>
        <w:t>3,4,5</w:t>
      </w:r>
      <w:r w:rsidRPr="00D332F6">
        <w:rPr>
          <w:rFonts w:ascii="Arial" w:hAnsi="Arial" w:cs="Arial"/>
          <w:color w:val="auto"/>
        </w:rPr>
        <w:t>; Scott McDonald</w:t>
      </w:r>
      <w:r w:rsidR="00E06D03" w:rsidRPr="00D332F6">
        <w:rPr>
          <w:rFonts w:ascii="Arial" w:hAnsi="Arial" w:cs="Arial"/>
          <w:color w:val="auto"/>
          <w:vertAlign w:val="superscript"/>
        </w:rPr>
        <w:t>1,2</w:t>
      </w:r>
      <w:r w:rsidRPr="00D332F6">
        <w:rPr>
          <w:rFonts w:ascii="Arial" w:hAnsi="Arial" w:cs="Arial"/>
          <w:color w:val="auto"/>
        </w:rPr>
        <w:t>; John Dillon</w:t>
      </w:r>
      <w:r w:rsidR="00D602E3" w:rsidRPr="00D332F6">
        <w:rPr>
          <w:rFonts w:ascii="Arial" w:hAnsi="Arial" w:cs="Arial"/>
          <w:color w:val="auto"/>
          <w:vertAlign w:val="superscript"/>
        </w:rPr>
        <w:t>6</w:t>
      </w:r>
      <w:r w:rsidRPr="00D332F6">
        <w:rPr>
          <w:rFonts w:ascii="Arial" w:hAnsi="Arial" w:cs="Arial"/>
          <w:color w:val="auto"/>
        </w:rPr>
        <w:t xml:space="preserve">; </w:t>
      </w:r>
      <w:r w:rsidR="0065242A" w:rsidRPr="00D332F6">
        <w:rPr>
          <w:rFonts w:ascii="Arial" w:hAnsi="Arial" w:cs="Arial"/>
          <w:color w:val="auto"/>
        </w:rPr>
        <w:t>Victoria Hamill</w:t>
      </w:r>
      <w:r w:rsidR="00D602E3" w:rsidRPr="00D332F6">
        <w:rPr>
          <w:rFonts w:ascii="Arial" w:hAnsi="Arial" w:cs="Arial"/>
          <w:color w:val="auto"/>
          <w:vertAlign w:val="superscript"/>
        </w:rPr>
        <w:t>1,2</w:t>
      </w:r>
      <w:r w:rsidR="0065242A" w:rsidRPr="00D332F6">
        <w:rPr>
          <w:rFonts w:ascii="Arial" w:hAnsi="Arial" w:cs="Arial"/>
          <w:color w:val="auto"/>
        </w:rPr>
        <w:t>; Alan Yeung</w:t>
      </w:r>
      <w:r w:rsidR="00D602E3" w:rsidRPr="00D332F6">
        <w:rPr>
          <w:rFonts w:ascii="Arial" w:hAnsi="Arial" w:cs="Arial"/>
          <w:color w:val="auto"/>
          <w:vertAlign w:val="superscript"/>
        </w:rPr>
        <w:t>1,2</w:t>
      </w:r>
      <w:r w:rsidR="0065242A" w:rsidRPr="00D332F6">
        <w:rPr>
          <w:rFonts w:ascii="Arial" w:hAnsi="Arial" w:cs="Arial"/>
          <w:color w:val="auto"/>
        </w:rPr>
        <w:t>; Jennifer Benselin</w:t>
      </w:r>
      <w:r w:rsidR="00D602E3" w:rsidRPr="00D332F6">
        <w:rPr>
          <w:rFonts w:ascii="Arial" w:hAnsi="Arial" w:cs="Arial"/>
          <w:color w:val="auto"/>
          <w:vertAlign w:val="superscript"/>
        </w:rPr>
        <w:t>7</w:t>
      </w:r>
      <w:r w:rsidR="0065242A" w:rsidRPr="00D332F6">
        <w:rPr>
          <w:rFonts w:ascii="Arial" w:hAnsi="Arial" w:cs="Arial"/>
          <w:color w:val="auto"/>
        </w:rPr>
        <w:t>; April Went</w:t>
      </w:r>
      <w:r w:rsidR="00D602E3" w:rsidRPr="00D332F6">
        <w:rPr>
          <w:rFonts w:ascii="Arial" w:hAnsi="Arial" w:cs="Arial"/>
          <w:color w:val="auto"/>
          <w:vertAlign w:val="superscript"/>
        </w:rPr>
        <w:t>2</w:t>
      </w:r>
      <w:r w:rsidR="0065242A" w:rsidRPr="00D332F6">
        <w:rPr>
          <w:rFonts w:ascii="Arial" w:hAnsi="Arial" w:cs="Arial"/>
          <w:color w:val="auto"/>
        </w:rPr>
        <w:t>;</w:t>
      </w:r>
      <w:r w:rsidR="006D3747" w:rsidRPr="00D332F6">
        <w:rPr>
          <w:rFonts w:ascii="Arial" w:hAnsi="Arial" w:cs="Arial"/>
          <w:color w:val="auto"/>
        </w:rPr>
        <w:t xml:space="preserve"> </w:t>
      </w:r>
      <w:r w:rsidR="0065242A" w:rsidRPr="00D332F6">
        <w:rPr>
          <w:rFonts w:ascii="Arial" w:hAnsi="Arial" w:cs="Arial"/>
          <w:color w:val="auto"/>
        </w:rPr>
        <w:t>Andrew Fraser</w:t>
      </w:r>
      <w:r w:rsidR="00D602E3" w:rsidRPr="00D332F6">
        <w:rPr>
          <w:rFonts w:ascii="Arial" w:hAnsi="Arial" w:cs="Arial"/>
          <w:color w:val="auto"/>
          <w:vertAlign w:val="superscript"/>
        </w:rPr>
        <w:t>8,9</w:t>
      </w:r>
      <w:r w:rsidR="0065242A" w:rsidRPr="00D332F6">
        <w:rPr>
          <w:rFonts w:ascii="Arial" w:hAnsi="Arial" w:cs="Arial"/>
          <w:color w:val="auto"/>
        </w:rPr>
        <w:t>; Andrew Bathgate</w:t>
      </w:r>
      <w:r w:rsidR="00D602E3" w:rsidRPr="00D332F6">
        <w:rPr>
          <w:rFonts w:ascii="Arial" w:hAnsi="Arial" w:cs="Arial"/>
          <w:color w:val="auto"/>
          <w:vertAlign w:val="superscript"/>
        </w:rPr>
        <w:t>10</w:t>
      </w:r>
      <w:r w:rsidR="0065242A" w:rsidRPr="00D332F6">
        <w:rPr>
          <w:rFonts w:ascii="Arial" w:hAnsi="Arial" w:cs="Arial"/>
          <w:color w:val="auto"/>
        </w:rPr>
        <w:t xml:space="preserve">; </w:t>
      </w:r>
      <w:r w:rsidR="0021173C" w:rsidRPr="00D332F6">
        <w:rPr>
          <w:rFonts w:ascii="Arial" w:hAnsi="Arial" w:cs="Arial"/>
          <w:color w:val="auto"/>
        </w:rPr>
        <w:t xml:space="preserve">M. </w:t>
      </w:r>
      <w:r w:rsidR="0065242A" w:rsidRPr="00D332F6">
        <w:rPr>
          <w:rFonts w:ascii="Arial" w:hAnsi="Arial" w:cs="Arial"/>
          <w:color w:val="auto"/>
        </w:rPr>
        <w:t>Azim Ansari</w:t>
      </w:r>
      <w:r w:rsidR="00D602E3" w:rsidRPr="00D332F6">
        <w:rPr>
          <w:rFonts w:ascii="Arial" w:hAnsi="Arial" w:cs="Arial"/>
          <w:color w:val="auto"/>
          <w:vertAlign w:val="superscript"/>
        </w:rPr>
        <w:t>11</w:t>
      </w:r>
      <w:r w:rsidR="0065242A" w:rsidRPr="00D332F6">
        <w:rPr>
          <w:rFonts w:ascii="Arial" w:hAnsi="Arial" w:cs="Arial"/>
          <w:color w:val="auto"/>
        </w:rPr>
        <w:t xml:space="preserve">; </w:t>
      </w:r>
      <w:r w:rsidR="006D3747" w:rsidRPr="00D332F6">
        <w:rPr>
          <w:rFonts w:ascii="Arial" w:hAnsi="Arial" w:cs="Arial"/>
          <w:color w:val="auto"/>
        </w:rPr>
        <w:t>Stephen Barclay</w:t>
      </w:r>
      <w:r w:rsidR="00D602E3" w:rsidRPr="00D332F6">
        <w:rPr>
          <w:rFonts w:ascii="Arial" w:hAnsi="Arial" w:cs="Arial"/>
          <w:color w:val="auto"/>
          <w:vertAlign w:val="superscript"/>
        </w:rPr>
        <w:t>12</w:t>
      </w:r>
      <w:r w:rsidR="006D3747" w:rsidRPr="00D332F6">
        <w:rPr>
          <w:rFonts w:ascii="Arial" w:hAnsi="Arial" w:cs="Arial"/>
          <w:color w:val="auto"/>
        </w:rPr>
        <w:t>; David Goldberg</w:t>
      </w:r>
      <w:r w:rsidR="00D602E3" w:rsidRPr="00D332F6">
        <w:rPr>
          <w:rFonts w:ascii="Arial" w:hAnsi="Arial" w:cs="Arial"/>
          <w:color w:val="auto"/>
          <w:vertAlign w:val="superscript"/>
        </w:rPr>
        <w:t>1,2</w:t>
      </w:r>
      <w:r w:rsidR="006D3747" w:rsidRPr="00D332F6">
        <w:rPr>
          <w:rFonts w:ascii="Arial" w:hAnsi="Arial" w:cs="Arial"/>
          <w:color w:val="auto"/>
        </w:rPr>
        <w:t xml:space="preserve">; Peter </w:t>
      </w:r>
      <w:r w:rsidR="0021173C" w:rsidRPr="00D332F6">
        <w:rPr>
          <w:rFonts w:ascii="Arial" w:hAnsi="Arial" w:cs="Arial"/>
          <w:color w:val="auto"/>
        </w:rPr>
        <w:t xml:space="preserve">C </w:t>
      </w:r>
      <w:r w:rsidR="006D3747" w:rsidRPr="00D332F6">
        <w:rPr>
          <w:rFonts w:ascii="Arial" w:hAnsi="Arial" w:cs="Arial"/>
          <w:color w:val="auto"/>
        </w:rPr>
        <w:t>Hayes</w:t>
      </w:r>
      <w:r w:rsidR="00D602E3" w:rsidRPr="00D332F6">
        <w:rPr>
          <w:rFonts w:ascii="Arial" w:hAnsi="Arial" w:cs="Arial"/>
          <w:color w:val="auto"/>
          <w:vertAlign w:val="superscript"/>
        </w:rPr>
        <w:t>10</w:t>
      </w:r>
      <w:r w:rsidR="006D3747" w:rsidRPr="00D332F6">
        <w:rPr>
          <w:rFonts w:ascii="Arial" w:hAnsi="Arial" w:cs="Arial"/>
          <w:color w:val="auto"/>
        </w:rPr>
        <w:t>; Philip Johnson</w:t>
      </w:r>
      <w:r w:rsidR="00D602E3" w:rsidRPr="00D332F6">
        <w:rPr>
          <w:rFonts w:ascii="Arial" w:hAnsi="Arial" w:cs="Arial"/>
          <w:color w:val="auto"/>
          <w:vertAlign w:val="superscript"/>
        </w:rPr>
        <w:t>13</w:t>
      </w:r>
      <w:r w:rsidR="006D3747" w:rsidRPr="00D332F6">
        <w:rPr>
          <w:rFonts w:ascii="Arial" w:hAnsi="Arial" w:cs="Arial"/>
          <w:color w:val="auto"/>
        </w:rPr>
        <w:t>; Eleanor Barnes</w:t>
      </w:r>
      <w:r w:rsidR="00371A90" w:rsidRPr="00D332F6">
        <w:rPr>
          <w:rFonts w:ascii="Arial" w:hAnsi="Arial" w:cs="Arial"/>
          <w:color w:val="auto"/>
          <w:vertAlign w:val="superscript"/>
        </w:rPr>
        <w:t>11</w:t>
      </w:r>
      <w:r w:rsidR="006D3747" w:rsidRPr="00D332F6">
        <w:rPr>
          <w:rFonts w:ascii="Arial" w:hAnsi="Arial" w:cs="Arial"/>
          <w:color w:val="auto"/>
        </w:rPr>
        <w:t>; William Irving</w:t>
      </w:r>
      <w:r w:rsidR="00371A90" w:rsidRPr="00D332F6">
        <w:rPr>
          <w:rFonts w:ascii="Arial" w:hAnsi="Arial" w:cs="Arial"/>
          <w:color w:val="auto"/>
          <w:vertAlign w:val="superscript"/>
        </w:rPr>
        <w:t>7</w:t>
      </w:r>
      <w:r w:rsidR="006D3747" w:rsidRPr="00D332F6">
        <w:rPr>
          <w:rFonts w:ascii="Arial" w:hAnsi="Arial" w:cs="Arial"/>
          <w:color w:val="auto"/>
        </w:rPr>
        <w:t xml:space="preserve">; </w:t>
      </w:r>
      <w:r w:rsidR="00CB1C98" w:rsidRPr="00D332F6">
        <w:rPr>
          <w:rFonts w:ascii="Arial" w:hAnsi="Arial" w:cs="Arial"/>
          <w:color w:val="auto"/>
        </w:rPr>
        <w:t>Sharon Hutchinson</w:t>
      </w:r>
      <w:r w:rsidR="00371A90" w:rsidRPr="00D332F6">
        <w:rPr>
          <w:rFonts w:ascii="Arial" w:hAnsi="Arial" w:cs="Arial"/>
          <w:color w:val="auto"/>
          <w:vertAlign w:val="superscript"/>
        </w:rPr>
        <w:t>1,2</w:t>
      </w:r>
      <w:r w:rsidR="00CB1C98" w:rsidRPr="00D332F6">
        <w:rPr>
          <w:rFonts w:ascii="Arial" w:hAnsi="Arial" w:cs="Arial"/>
          <w:color w:val="auto"/>
        </w:rPr>
        <w:t xml:space="preserve">*; </w:t>
      </w:r>
      <w:r w:rsidR="00627FFA" w:rsidRPr="00D332F6">
        <w:rPr>
          <w:rFonts w:ascii="Arial" w:hAnsi="Arial" w:cs="Arial"/>
          <w:color w:val="auto"/>
        </w:rPr>
        <w:t xml:space="preserve">Indra </w:t>
      </w:r>
      <w:r w:rsidR="006D3747" w:rsidRPr="00D332F6">
        <w:rPr>
          <w:rFonts w:ascii="Arial" w:hAnsi="Arial" w:cs="Arial"/>
          <w:color w:val="auto"/>
        </w:rPr>
        <w:t>Neil Guha</w:t>
      </w:r>
      <w:r w:rsidR="00371A90" w:rsidRPr="00D332F6">
        <w:rPr>
          <w:rFonts w:ascii="Arial" w:hAnsi="Arial" w:cs="Arial"/>
          <w:color w:val="auto"/>
          <w:vertAlign w:val="superscript"/>
        </w:rPr>
        <w:t>7</w:t>
      </w:r>
      <w:r w:rsidR="006D3747" w:rsidRPr="00D332F6">
        <w:rPr>
          <w:rFonts w:ascii="Arial" w:hAnsi="Arial" w:cs="Arial"/>
          <w:color w:val="auto"/>
        </w:rPr>
        <w:t>*</w:t>
      </w:r>
      <w:r w:rsidR="00CB1C98" w:rsidRPr="00D332F6">
        <w:rPr>
          <w:rFonts w:ascii="Arial" w:hAnsi="Arial" w:cs="Arial"/>
          <w:color w:val="auto"/>
        </w:rPr>
        <w:t>.</w:t>
      </w:r>
      <w:r w:rsidR="006D3747" w:rsidRPr="00D332F6">
        <w:rPr>
          <w:rFonts w:ascii="Arial" w:hAnsi="Arial" w:cs="Arial"/>
          <w:color w:val="auto"/>
        </w:rPr>
        <w:t xml:space="preserve"> </w:t>
      </w:r>
    </w:p>
    <w:p w14:paraId="68F12F86" w14:textId="2C25E505" w:rsidR="00BD59D6" w:rsidRPr="00D332F6" w:rsidRDefault="006D3747" w:rsidP="0020175A">
      <w:pPr>
        <w:spacing w:line="360" w:lineRule="auto"/>
        <w:rPr>
          <w:rFonts w:ascii="Arial" w:hAnsi="Arial" w:cs="Arial"/>
          <w:color w:val="auto"/>
        </w:rPr>
      </w:pPr>
      <w:r w:rsidRPr="00D332F6">
        <w:rPr>
          <w:rFonts w:ascii="Arial" w:hAnsi="Arial" w:cs="Arial"/>
          <w:color w:val="auto"/>
        </w:rPr>
        <w:t>*joint senior authors</w:t>
      </w:r>
    </w:p>
    <w:p w14:paraId="4A1F807F" w14:textId="6926C608" w:rsidR="000516AA" w:rsidRPr="00D332F6" w:rsidRDefault="009A0AB7">
      <w:pPr>
        <w:spacing w:line="360" w:lineRule="auto"/>
        <w:rPr>
          <w:rFonts w:ascii="Arial" w:hAnsi="Arial" w:cs="Arial"/>
          <w:color w:val="auto"/>
        </w:rPr>
      </w:pPr>
      <w:r w:rsidRPr="00D332F6">
        <w:rPr>
          <w:rFonts w:ascii="Arial" w:hAnsi="Arial" w:cs="Arial"/>
          <w:color w:val="auto"/>
        </w:rPr>
        <w:t xml:space="preserve">AFFILIATIONS: </w:t>
      </w:r>
    </w:p>
    <w:p w14:paraId="7884E3E1" w14:textId="4CEA96CB" w:rsidR="003C5FD9" w:rsidRPr="00D332F6" w:rsidRDefault="003C5FD9">
      <w:pPr>
        <w:pStyle w:val="ListParagraph"/>
        <w:numPr>
          <w:ilvl w:val="0"/>
          <w:numId w:val="8"/>
        </w:numPr>
        <w:spacing w:after="200" w:line="360" w:lineRule="auto"/>
        <w:rPr>
          <w:rFonts w:ascii="Arial" w:hAnsi="Arial" w:cs="Arial"/>
          <w:color w:val="auto"/>
          <w:lang w:val="en-US"/>
        </w:rPr>
      </w:pPr>
      <w:r w:rsidRPr="00D332F6">
        <w:rPr>
          <w:rFonts w:ascii="Arial" w:hAnsi="Arial" w:cs="Arial"/>
          <w:color w:val="auto"/>
          <w:lang w:val="en-US"/>
        </w:rPr>
        <w:t xml:space="preserve">School of Health and Life Sciences; Glasgow Caledonian University. Glasgow UK. </w:t>
      </w:r>
    </w:p>
    <w:p w14:paraId="5EA7B8F2" w14:textId="028CB04C" w:rsidR="003C5FD9" w:rsidRPr="00D332F6" w:rsidRDefault="003C5FD9" w:rsidP="004608D8">
      <w:pPr>
        <w:pStyle w:val="ListParagraph"/>
        <w:numPr>
          <w:ilvl w:val="0"/>
          <w:numId w:val="8"/>
        </w:numPr>
        <w:autoSpaceDE w:val="0"/>
        <w:autoSpaceDN w:val="0"/>
        <w:adjustRightInd w:val="0"/>
        <w:spacing w:after="200" w:line="360" w:lineRule="auto"/>
        <w:jc w:val="both"/>
        <w:rPr>
          <w:rFonts w:ascii="Arial" w:hAnsi="Arial" w:cs="Arial"/>
          <w:color w:val="auto"/>
          <w:lang w:val="en-US"/>
        </w:rPr>
      </w:pPr>
      <w:r w:rsidRPr="00D332F6">
        <w:rPr>
          <w:rFonts w:ascii="Arial" w:hAnsi="Arial" w:cs="Arial"/>
          <w:color w:val="auto"/>
        </w:rPr>
        <w:t xml:space="preserve">Public Health Scotland, Glasgow, UK. </w:t>
      </w:r>
    </w:p>
    <w:p w14:paraId="1D272A39" w14:textId="77777777" w:rsidR="003C5FD9" w:rsidRPr="00D332F6" w:rsidRDefault="003C5FD9" w:rsidP="0020175A">
      <w:pPr>
        <w:pStyle w:val="ListParagraph"/>
        <w:numPr>
          <w:ilvl w:val="0"/>
          <w:numId w:val="8"/>
        </w:numPr>
        <w:autoSpaceDE w:val="0"/>
        <w:autoSpaceDN w:val="0"/>
        <w:adjustRightInd w:val="0"/>
        <w:spacing w:after="200" w:line="360" w:lineRule="auto"/>
        <w:jc w:val="both"/>
        <w:rPr>
          <w:rFonts w:ascii="Arial" w:hAnsi="Arial" w:cs="Arial"/>
          <w:color w:val="auto"/>
          <w:lang w:val="en-US"/>
        </w:rPr>
      </w:pPr>
      <w:r w:rsidRPr="00D332F6">
        <w:rPr>
          <w:rFonts w:ascii="Arial" w:hAnsi="Arial" w:cs="Arial"/>
          <w:color w:val="auto"/>
          <w:lang w:val="en-US"/>
        </w:rPr>
        <w:t xml:space="preserve">Division of Epidemiology and Public Health, University of Nottingham, Nottingham, UK. </w:t>
      </w:r>
    </w:p>
    <w:p w14:paraId="11E6CE02" w14:textId="77777777" w:rsidR="00AA4D50" w:rsidRPr="00D332F6" w:rsidRDefault="003C5FD9" w:rsidP="004608D8">
      <w:pPr>
        <w:pStyle w:val="ListParagraph"/>
        <w:numPr>
          <w:ilvl w:val="0"/>
          <w:numId w:val="8"/>
        </w:numPr>
        <w:spacing w:after="0" w:line="360" w:lineRule="auto"/>
        <w:textAlignment w:val="top"/>
        <w:rPr>
          <w:rFonts w:ascii="Arial" w:eastAsia="Times New Roman" w:hAnsi="Arial" w:cs="Arial"/>
          <w:color w:val="auto"/>
          <w:lang w:eastAsia="en-GB"/>
        </w:rPr>
      </w:pPr>
      <w:r w:rsidRPr="00D332F6">
        <w:rPr>
          <w:rFonts w:ascii="Arial" w:eastAsia="Times New Roman" w:hAnsi="Arial" w:cs="Arial"/>
          <w:color w:val="auto"/>
          <w:lang w:eastAsia="en-GB"/>
        </w:rPr>
        <w:t>Department of Hepatology and Gastroenterology, Aarhus University Hospital, Aarhus, Denmark</w:t>
      </w:r>
    </w:p>
    <w:p w14:paraId="067B8315" w14:textId="4D1AA2DD" w:rsidR="003C5FD9" w:rsidRPr="00D332F6" w:rsidRDefault="003C5FD9" w:rsidP="004608D8">
      <w:pPr>
        <w:pStyle w:val="ListParagraph"/>
        <w:numPr>
          <w:ilvl w:val="0"/>
          <w:numId w:val="8"/>
        </w:numPr>
        <w:spacing w:after="0" w:line="360" w:lineRule="auto"/>
        <w:textAlignment w:val="top"/>
        <w:rPr>
          <w:rFonts w:ascii="Arial" w:eastAsia="Times New Roman" w:hAnsi="Arial" w:cs="Arial"/>
          <w:color w:val="auto"/>
          <w:lang w:eastAsia="en-GB"/>
        </w:rPr>
      </w:pPr>
      <w:r w:rsidRPr="00D332F6">
        <w:rPr>
          <w:rFonts w:ascii="Arial" w:eastAsia="Times New Roman" w:hAnsi="Arial" w:cs="Arial"/>
          <w:color w:val="auto"/>
          <w:lang w:eastAsia="en-GB"/>
        </w:rPr>
        <w:t>Department of Clinical Epidemiology, Aarhus University Hospital, Aarhus, Denmark</w:t>
      </w:r>
    </w:p>
    <w:p w14:paraId="60584247" w14:textId="394622AE" w:rsidR="00AA4D50" w:rsidRPr="00D332F6" w:rsidRDefault="003225BC" w:rsidP="0020175A">
      <w:pPr>
        <w:pStyle w:val="ListParagraph"/>
        <w:numPr>
          <w:ilvl w:val="0"/>
          <w:numId w:val="8"/>
        </w:numPr>
        <w:autoSpaceDE w:val="0"/>
        <w:autoSpaceDN w:val="0"/>
        <w:adjustRightInd w:val="0"/>
        <w:spacing w:after="200" w:line="360" w:lineRule="auto"/>
        <w:jc w:val="both"/>
        <w:rPr>
          <w:rFonts w:ascii="Arial" w:hAnsi="Arial" w:cs="Arial"/>
          <w:color w:val="auto"/>
          <w:lang w:val="en-US"/>
        </w:rPr>
      </w:pPr>
      <w:r w:rsidRPr="00D332F6">
        <w:rPr>
          <w:rFonts w:ascii="Arial" w:hAnsi="Arial" w:cs="Arial"/>
          <w:color w:val="auto"/>
        </w:rPr>
        <w:t>Division of Molecular and Clinical Medicine</w:t>
      </w:r>
      <w:r w:rsidRPr="00D332F6">
        <w:rPr>
          <w:rFonts w:ascii="Arial" w:hAnsi="Arial" w:cs="Arial"/>
          <w:color w:val="auto"/>
          <w:shd w:val="clear" w:color="auto" w:fill="FFFFFF"/>
        </w:rPr>
        <w:t>; School of Medicine, University of</w:t>
      </w:r>
      <w:r w:rsidR="00AA4D50" w:rsidRPr="00D332F6">
        <w:rPr>
          <w:rFonts w:ascii="Arial" w:hAnsi="Arial" w:cs="Arial"/>
          <w:color w:val="auto"/>
          <w:shd w:val="clear" w:color="auto" w:fill="FFFFFF"/>
        </w:rPr>
        <w:t xml:space="preserve"> Dundee, UK.</w:t>
      </w:r>
    </w:p>
    <w:p w14:paraId="7A8E3838" w14:textId="5FC718CB" w:rsidR="00D602E3" w:rsidRPr="00D332F6" w:rsidRDefault="00D602E3" w:rsidP="0020175A">
      <w:pPr>
        <w:pStyle w:val="ListParagraph"/>
        <w:numPr>
          <w:ilvl w:val="0"/>
          <w:numId w:val="8"/>
        </w:numPr>
        <w:autoSpaceDE w:val="0"/>
        <w:autoSpaceDN w:val="0"/>
        <w:adjustRightInd w:val="0"/>
        <w:spacing w:after="200" w:line="360" w:lineRule="auto"/>
        <w:jc w:val="both"/>
        <w:rPr>
          <w:rFonts w:ascii="Arial" w:hAnsi="Arial" w:cs="Arial"/>
          <w:color w:val="auto"/>
          <w:lang w:val="en-US"/>
        </w:rPr>
      </w:pPr>
      <w:r w:rsidRPr="00D332F6">
        <w:rPr>
          <w:rFonts w:ascii="Arial" w:hAnsi="Arial" w:cs="Arial"/>
          <w:color w:val="auto"/>
        </w:rPr>
        <w:t xml:space="preserve">NIHR Nottingham Biomedical Research Centre, Nottingham University Hospitals NHS Trust and the University of Nottingham, Nottingham, UK.  </w:t>
      </w:r>
    </w:p>
    <w:p w14:paraId="57695E41" w14:textId="2A5F4FFF" w:rsidR="00D602E3" w:rsidRPr="00D332F6" w:rsidRDefault="00AA4D50">
      <w:pPr>
        <w:pStyle w:val="ListParagraph"/>
        <w:numPr>
          <w:ilvl w:val="0"/>
          <w:numId w:val="8"/>
        </w:numPr>
        <w:autoSpaceDE w:val="0"/>
        <w:autoSpaceDN w:val="0"/>
        <w:adjustRightInd w:val="0"/>
        <w:spacing w:after="200" w:line="360" w:lineRule="auto"/>
        <w:jc w:val="both"/>
        <w:rPr>
          <w:rFonts w:ascii="Arial" w:hAnsi="Arial" w:cs="Arial"/>
          <w:lang w:val="en-US"/>
        </w:rPr>
      </w:pPr>
      <w:r w:rsidRPr="00D332F6">
        <w:rPr>
          <w:rFonts w:ascii="Arial" w:eastAsia="Times New Roman" w:hAnsi="Arial" w:cs="Arial"/>
          <w:color w:val="212121"/>
          <w:lang w:eastAsia="en-GB"/>
        </w:rPr>
        <w:t>Aberdeen Royal Infirmary, Aberdeen, UK.</w:t>
      </w:r>
    </w:p>
    <w:p w14:paraId="63CA9DA8" w14:textId="77777777" w:rsidR="00AA4D50" w:rsidRPr="00D332F6" w:rsidRDefault="00AA4D50">
      <w:pPr>
        <w:pStyle w:val="ListParagraph"/>
        <w:numPr>
          <w:ilvl w:val="0"/>
          <w:numId w:val="8"/>
        </w:numPr>
        <w:autoSpaceDE w:val="0"/>
        <w:autoSpaceDN w:val="0"/>
        <w:adjustRightInd w:val="0"/>
        <w:spacing w:after="200" w:line="360" w:lineRule="auto"/>
        <w:jc w:val="both"/>
        <w:rPr>
          <w:rFonts w:ascii="Arial" w:hAnsi="Arial" w:cs="Arial"/>
          <w:lang w:val="en-US"/>
        </w:rPr>
      </w:pPr>
      <w:r w:rsidRPr="00D332F6">
        <w:rPr>
          <w:rFonts w:ascii="Arial" w:eastAsia="Times New Roman" w:hAnsi="Arial" w:cs="Arial"/>
          <w:color w:val="212121"/>
          <w:lang w:eastAsia="en-GB"/>
        </w:rPr>
        <w:t>Queen Elizabeth University Hospital, Glasgow, UK</w:t>
      </w:r>
    </w:p>
    <w:p w14:paraId="65BE18B7" w14:textId="4389863A" w:rsidR="00AA4D50" w:rsidRPr="00D332F6" w:rsidRDefault="00AA4D50">
      <w:pPr>
        <w:pStyle w:val="ListParagraph"/>
        <w:numPr>
          <w:ilvl w:val="0"/>
          <w:numId w:val="8"/>
        </w:numPr>
        <w:autoSpaceDE w:val="0"/>
        <w:autoSpaceDN w:val="0"/>
        <w:adjustRightInd w:val="0"/>
        <w:spacing w:after="200" w:line="360" w:lineRule="auto"/>
        <w:jc w:val="both"/>
        <w:rPr>
          <w:rFonts w:ascii="Arial" w:hAnsi="Arial" w:cs="Arial"/>
          <w:lang w:val="en-US"/>
        </w:rPr>
      </w:pPr>
      <w:r w:rsidRPr="00D332F6">
        <w:rPr>
          <w:rFonts w:ascii="Arial" w:hAnsi="Arial" w:cs="Arial"/>
          <w:color w:val="212121"/>
          <w:shd w:val="clear" w:color="auto" w:fill="FFFFFF"/>
        </w:rPr>
        <w:t>Royal Infirmary of Edinburgh, Edinburgh, UK</w:t>
      </w:r>
    </w:p>
    <w:p w14:paraId="0DEF4A25" w14:textId="784AF374" w:rsidR="00D602E3" w:rsidRPr="00D332F6" w:rsidRDefault="00D602E3">
      <w:pPr>
        <w:pStyle w:val="ListParagraph"/>
        <w:numPr>
          <w:ilvl w:val="0"/>
          <w:numId w:val="8"/>
        </w:numPr>
        <w:autoSpaceDE w:val="0"/>
        <w:autoSpaceDN w:val="0"/>
        <w:adjustRightInd w:val="0"/>
        <w:spacing w:after="200" w:line="360" w:lineRule="auto"/>
        <w:jc w:val="both"/>
        <w:rPr>
          <w:rFonts w:ascii="Arial" w:hAnsi="Arial" w:cs="Arial"/>
          <w:lang w:val="en-US"/>
        </w:rPr>
      </w:pPr>
      <w:r w:rsidRPr="00D332F6">
        <w:rPr>
          <w:rFonts w:ascii="Arial" w:hAnsi="Arial" w:cs="Arial"/>
          <w:color w:val="000000"/>
          <w:shd w:val="clear" w:color="auto" w:fill="FFFFFF"/>
        </w:rPr>
        <w:t>Peter Medawar Building for Pathogen Research, Nuffield Department of Medicine and the Oxford NIHR Biomedical Research Centre, Oxford University, UK.</w:t>
      </w:r>
    </w:p>
    <w:p w14:paraId="07D2D071" w14:textId="77777777" w:rsidR="00D602E3" w:rsidRPr="00D332F6" w:rsidRDefault="00AA4D50">
      <w:pPr>
        <w:pStyle w:val="ListParagraph"/>
        <w:numPr>
          <w:ilvl w:val="0"/>
          <w:numId w:val="8"/>
        </w:numPr>
        <w:autoSpaceDE w:val="0"/>
        <w:autoSpaceDN w:val="0"/>
        <w:adjustRightInd w:val="0"/>
        <w:spacing w:after="200" w:line="360" w:lineRule="auto"/>
        <w:jc w:val="both"/>
        <w:rPr>
          <w:rFonts w:ascii="Arial" w:hAnsi="Arial" w:cs="Arial"/>
          <w:lang w:val="en-US"/>
        </w:rPr>
      </w:pPr>
      <w:r w:rsidRPr="00D332F6">
        <w:rPr>
          <w:rFonts w:ascii="Arial" w:hAnsi="Arial" w:cs="Arial"/>
          <w:color w:val="212121"/>
          <w:shd w:val="clear" w:color="auto" w:fill="FFFFFF"/>
        </w:rPr>
        <w:t>Glasgow Royal Infirmary, Glasgow, UK.</w:t>
      </w:r>
    </w:p>
    <w:p w14:paraId="0F8816EC" w14:textId="66A2F781" w:rsidR="009A0AB7" w:rsidRPr="00D332F6" w:rsidRDefault="00800798" w:rsidP="004608D8">
      <w:pPr>
        <w:pStyle w:val="ListParagraph"/>
        <w:numPr>
          <w:ilvl w:val="0"/>
          <w:numId w:val="8"/>
        </w:numPr>
        <w:spacing w:after="200" w:line="360" w:lineRule="auto"/>
        <w:rPr>
          <w:rFonts w:ascii="Arial" w:hAnsi="Arial" w:cs="Arial"/>
        </w:rPr>
      </w:pPr>
      <w:r w:rsidRPr="00D332F6">
        <w:rPr>
          <w:rFonts w:ascii="Arial" w:hAnsi="Arial" w:cs="Arial"/>
          <w:color w:val="212121"/>
          <w:shd w:val="clear" w:color="auto" w:fill="FFFFFF"/>
        </w:rPr>
        <w:t>Department of Molecular and Clinical Cancer Medicine, University of Liverpool, Liverpool, UK.</w:t>
      </w:r>
    </w:p>
    <w:p w14:paraId="20E768E5" w14:textId="5A46DCFE" w:rsidR="000516AA" w:rsidRPr="00D332F6" w:rsidRDefault="00794A90" w:rsidP="004608D8">
      <w:pPr>
        <w:spacing w:line="360" w:lineRule="auto"/>
        <w:rPr>
          <w:rFonts w:ascii="Arial" w:hAnsi="Arial" w:cs="Arial"/>
        </w:rPr>
      </w:pPr>
      <w:r w:rsidRPr="00D332F6">
        <w:rPr>
          <w:rFonts w:ascii="Arial" w:hAnsi="Arial" w:cs="Arial"/>
        </w:rPr>
        <w:t>CONFLICTS OF INTEREST</w:t>
      </w:r>
      <w:r w:rsidR="000516AA" w:rsidRPr="00D332F6">
        <w:rPr>
          <w:rFonts w:ascii="Arial" w:hAnsi="Arial" w:cs="Arial"/>
        </w:rPr>
        <w:t xml:space="preserve">: </w:t>
      </w:r>
      <w:r w:rsidR="00A50849" w:rsidRPr="00D332F6">
        <w:rPr>
          <w:rFonts w:ascii="Arial" w:hAnsi="Arial" w:cs="Arial"/>
        </w:rPr>
        <w:t xml:space="preserve">There are no conflicts of interest to disclose. </w:t>
      </w:r>
    </w:p>
    <w:p w14:paraId="145A92AD" w14:textId="7697F64C" w:rsidR="008E1F73" w:rsidRPr="00D332F6" w:rsidRDefault="00794A90" w:rsidP="004608D8">
      <w:pPr>
        <w:spacing w:line="360" w:lineRule="auto"/>
        <w:rPr>
          <w:rFonts w:ascii="Arial" w:hAnsi="Arial" w:cs="Arial"/>
          <w:color w:val="000000"/>
        </w:rPr>
      </w:pPr>
      <w:r w:rsidRPr="00D332F6">
        <w:rPr>
          <w:rFonts w:ascii="Arial" w:hAnsi="Arial" w:cs="Arial"/>
        </w:rPr>
        <w:t>FINANCIAL SUPPORT:</w:t>
      </w:r>
      <w:r w:rsidR="000516AA" w:rsidRPr="00D332F6">
        <w:rPr>
          <w:rFonts w:ascii="Arial" w:hAnsi="Arial" w:cs="Arial"/>
        </w:rPr>
        <w:t xml:space="preserve"> </w:t>
      </w:r>
      <w:r w:rsidR="008E1F73" w:rsidRPr="00D332F6">
        <w:rPr>
          <w:rFonts w:ascii="Arial" w:hAnsi="Arial" w:cs="Arial"/>
        </w:rPr>
        <w:t>This study has three main sources of financial support:</w:t>
      </w:r>
      <w:r w:rsidR="000516AA" w:rsidRPr="00D332F6">
        <w:rPr>
          <w:rFonts w:ascii="Arial" w:hAnsi="Arial" w:cs="Arial"/>
        </w:rPr>
        <w:t xml:space="preserve"> </w:t>
      </w:r>
      <w:r w:rsidR="008E1F73" w:rsidRPr="00D332F6">
        <w:rPr>
          <w:rFonts w:ascii="Arial" w:hAnsi="Arial" w:cs="Arial"/>
        </w:rPr>
        <w:t xml:space="preserve">a) </w:t>
      </w:r>
      <w:r w:rsidR="000516AA" w:rsidRPr="00D332F6">
        <w:rPr>
          <w:rFonts w:ascii="Arial" w:hAnsi="Arial" w:cs="Arial"/>
        </w:rPr>
        <w:t>Medical Research Foundation (Grant ID:C0825)</w:t>
      </w:r>
      <w:r w:rsidR="008E1F73" w:rsidRPr="00D332F6">
        <w:rPr>
          <w:rFonts w:ascii="Arial" w:hAnsi="Arial" w:cs="Arial"/>
        </w:rPr>
        <w:t>; b) Public Health</w:t>
      </w:r>
      <w:r w:rsidR="000516AA" w:rsidRPr="00D332F6">
        <w:rPr>
          <w:rFonts w:ascii="Arial" w:hAnsi="Arial" w:cs="Arial"/>
        </w:rPr>
        <w:t xml:space="preserve"> Scotland</w:t>
      </w:r>
      <w:r w:rsidR="008E1F73" w:rsidRPr="00D332F6">
        <w:rPr>
          <w:rFonts w:ascii="Arial" w:hAnsi="Arial" w:cs="Arial"/>
        </w:rPr>
        <w:t xml:space="preserve">; and c) Medical Research Council (Grant ID: MR/K01532X/1). </w:t>
      </w:r>
      <w:r w:rsidR="00895AF6" w:rsidRPr="00D332F6">
        <w:rPr>
          <w:rFonts w:ascii="Arial" w:hAnsi="Arial" w:cs="Arial"/>
        </w:rPr>
        <w:t xml:space="preserve">For more </w:t>
      </w:r>
      <w:r w:rsidR="008E1F73" w:rsidRPr="00D332F6">
        <w:rPr>
          <w:rFonts w:ascii="Arial" w:hAnsi="Arial" w:cs="Arial"/>
        </w:rPr>
        <w:t>detailed information</w:t>
      </w:r>
      <w:r w:rsidR="00895AF6" w:rsidRPr="00D332F6">
        <w:rPr>
          <w:rFonts w:ascii="Arial" w:hAnsi="Arial" w:cs="Arial"/>
        </w:rPr>
        <w:t>, please see</w:t>
      </w:r>
      <w:r w:rsidR="008E1F73" w:rsidRPr="00D332F6">
        <w:rPr>
          <w:rFonts w:ascii="Arial" w:hAnsi="Arial" w:cs="Arial"/>
        </w:rPr>
        <w:t xml:space="preserve"> our “Funding and acknowledgements” paragraph. </w:t>
      </w:r>
    </w:p>
    <w:p w14:paraId="3F2E210C" w14:textId="4BFBDC7B" w:rsidR="000516AA" w:rsidRPr="00D332F6" w:rsidRDefault="00794A90" w:rsidP="004608D8">
      <w:pPr>
        <w:spacing w:line="360" w:lineRule="auto"/>
        <w:rPr>
          <w:rFonts w:ascii="Arial" w:hAnsi="Arial" w:cs="Arial"/>
        </w:rPr>
      </w:pPr>
      <w:r w:rsidRPr="00D332F6">
        <w:rPr>
          <w:rFonts w:ascii="Arial" w:hAnsi="Arial" w:cs="Arial"/>
        </w:rPr>
        <w:lastRenderedPageBreak/>
        <w:t>AUTHOR CONTRIBUTIONS</w:t>
      </w:r>
      <w:r w:rsidR="000516AA" w:rsidRPr="00D332F6">
        <w:rPr>
          <w:rFonts w:ascii="Arial" w:hAnsi="Arial" w:cs="Arial"/>
        </w:rPr>
        <w:t xml:space="preserve">: a) Study concept: all authors; b) study design: HI, </w:t>
      </w:r>
      <w:r w:rsidR="00F521D8" w:rsidRPr="00D332F6">
        <w:rPr>
          <w:rFonts w:ascii="Arial" w:hAnsi="Arial" w:cs="Arial"/>
        </w:rPr>
        <w:t xml:space="preserve">JP, SH, </w:t>
      </w:r>
      <w:r w:rsidR="00971B23" w:rsidRPr="00D332F6">
        <w:rPr>
          <w:rFonts w:ascii="Arial" w:hAnsi="Arial" w:cs="Arial"/>
        </w:rPr>
        <w:t>I</w:t>
      </w:r>
      <w:r w:rsidR="00F521D8" w:rsidRPr="00D332F6">
        <w:rPr>
          <w:rFonts w:ascii="Arial" w:hAnsi="Arial" w:cs="Arial"/>
        </w:rPr>
        <w:t xml:space="preserve">NG, WI, </w:t>
      </w:r>
      <w:r w:rsidR="000B1982" w:rsidRPr="00D332F6">
        <w:rPr>
          <w:rFonts w:ascii="Arial" w:hAnsi="Arial" w:cs="Arial"/>
        </w:rPr>
        <w:t xml:space="preserve">EB, </w:t>
      </w:r>
      <w:r w:rsidR="00F521D8" w:rsidRPr="00D332F6">
        <w:rPr>
          <w:rFonts w:ascii="Arial" w:hAnsi="Arial" w:cs="Arial"/>
        </w:rPr>
        <w:t>SM</w:t>
      </w:r>
      <w:r w:rsidR="000516AA" w:rsidRPr="00D332F6">
        <w:rPr>
          <w:rFonts w:ascii="Arial" w:hAnsi="Arial" w:cs="Arial"/>
        </w:rPr>
        <w:t xml:space="preserve">; c) acquisition of data: HI, </w:t>
      </w:r>
      <w:r w:rsidR="00F521D8" w:rsidRPr="00D332F6">
        <w:rPr>
          <w:rFonts w:ascii="Arial" w:hAnsi="Arial" w:cs="Arial"/>
        </w:rPr>
        <w:t xml:space="preserve">WI, SH, </w:t>
      </w:r>
      <w:r w:rsidR="0024004B" w:rsidRPr="00D332F6">
        <w:rPr>
          <w:rFonts w:ascii="Arial" w:hAnsi="Arial" w:cs="Arial"/>
        </w:rPr>
        <w:t>I</w:t>
      </w:r>
      <w:r w:rsidR="00F521D8" w:rsidRPr="00D332F6">
        <w:rPr>
          <w:rFonts w:ascii="Arial" w:hAnsi="Arial" w:cs="Arial"/>
        </w:rPr>
        <w:t>N</w:t>
      </w:r>
      <w:r w:rsidR="000B1982" w:rsidRPr="00D332F6">
        <w:rPr>
          <w:rFonts w:ascii="Arial" w:hAnsi="Arial" w:cs="Arial"/>
        </w:rPr>
        <w:t>G</w:t>
      </w:r>
      <w:r w:rsidR="00F521D8" w:rsidRPr="00D332F6">
        <w:rPr>
          <w:rFonts w:ascii="Arial" w:hAnsi="Arial" w:cs="Arial"/>
        </w:rPr>
        <w:t>, EB;</w:t>
      </w:r>
      <w:r w:rsidR="000516AA" w:rsidRPr="00D332F6">
        <w:rPr>
          <w:rFonts w:ascii="Arial" w:hAnsi="Arial" w:cs="Arial"/>
        </w:rPr>
        <w:t xml:space="preserve"> d) resources:</w:t>
      </w:r>
      <w:r w:rsidR="00F521D8" w:rsidRPr="00D332F6">
        <w:rPr>
          <w:rFonts w:ascii="Arial" w:hAnsi="Arial" w:cs="Arial"/>
        </w:rPr>
        <w:t xml:space="preserve"> </w:t>
      </w:r>
      <w:r w:rsidR="000B1982" w:rsidRPr="00D332F6">
        <w:rPr>
          <w:rFonts w:ascii="Arial" w:hAnsi="Arial" w:cs="Arial"/>
        </w:rPr>
        <w:t>All authors</w:t>
      </w:r>
      <w:r w:rsidR="00F521D8" w:rsidRPr="00D332F6">
        <w:rPr>
          <w:rFonts w:ascii="Arial" w:hAnsi="Arial" w:cs="Arial"/>
        </w:rPr>
        <w:t xml:space="preserve">; </w:t>
      </w:r>
      <w:r w:rsidR="000516AA" w:rsidRPr="00D332F6">
        <w:rPr>
          <w:rFonts w:ascii="Arial" w:hAnsi="Arial" w:cs="Arial"/>
        </w:rPr>
        <w:t xml:space="preserve">e) Statistical analysis: HI, </w:t>
      </w:r>
      <w:r w:rsidR="00F521D8" w:rsidRPr="00D332F6">
        <w:rPr>
          <w:rFonts w:ascii="Arial" w:hAnsi="Arial" w:cs="Arial"/>
        </w:rPr>
        <w:t>JP, SM</w:t>
      </w:r>
      <w:r w:rsidR="000516AA" w:rsidRPr="00D332F6">
        <w:rPr>
          <w:rFonts w:ascii="Arial" w:hAnsi="Arial" w:cs="Arial"/>
        </w:rPr>
        <w:t>; f) drafting manuscript: HI, J</w:t>
      </w:r>
      <w:r w:rsidR="00F521D8" w:rsidRPr="00D332F6">
        <w:rPr>
          <w:rFonts w:ascii="Arial" w:hAnsi="Arial" w:cs="Arial"/>
        </w:rPr>
        <w:t>P</w:t>
      </w:r>
      <w:r w:rsidR="00F113FE" w:rsidRPr="00D332F6">
        <w:rPr>
          <w:rFonts w:ascii="Arial" w:hAnsi="Arial" w:cs="Arial"/>
        </w:rPr>
        <w:t xml:space="preserve">; </w:t>
      </w:r>
      <w:r w:rsidR="000516AA" w:rsidRPr="00D332F6">
        <w:rPr>
          <w:rFonts w:ascii="Arial" w:hAnsi="Arial" w:cs="Arial"/>
        </w:rPr>
        <w:t>g) critical revision of manuscript: all authors. The corresponding author attests that all listed authors meet authorship criteria and that no others meeting the criteria have been omitted.</w:t>
      </w:r>
    </w:p>
    <w:p w14:paraId="67B69C4E" w14:textId="0D4C6662" w:rsidR="000516AA" w:rsidRPr="00D332F6" w:rsidRDefault="00794A90" w:rsidP="004608D8">
      <w:pPr>
        <w:spacing w:line="360" w:lineRule="auto"/>
        <w:rPr>
          <w:rFonts w:ascii="Arial" w:hAnsi="Arial" w:cs="Arial"/>
        </w:rPr>
      </w:pPr>
      <w:r w:rsidRPr="00D332F6">
        <w:rPr>
          <w:rFonts w:ascii="Arial" w:hAnsi="Arial" w:cs="Arial"/>
        </w:rPr>
        <w:t xml:space="preserve">WORD COUNT: </w:t>
      </w:r>
      <w:r w:rsidR="00C70B67" w:rsidRPr="00D332F6">
        <w:rPr>
          <w:rFonts w:ascii="Arial" w:hAnsi="Arial" w:cs="Arial"/>
        </w:rPr>
        <w:t>5,850</w:t>
      </w:r>
      <w:r w:rsidR="000516AA" w:rsidRPr="00D332F6">
        <w:rPr>
          <w:rFonts w:ascii="Arial" w:hAnsi="Arial" w:cs="Arial"/>
        </w:rPr>
        <w:t xml:space="preserve"> words (including abstract; introduction, methods, results, discussion; references and figure/table legends).</w:t>
      </w:r>
    </w:p>
    <w:p w14:paraId="63973918" w14:textId="2AC2C37D" w:rsidR="000516AA" w:rsidRPr="00D332F6" w:rsidRDefault="00794A90" w:rsidP="004608D8">
      <w:pPr>
        <w:spacing w:line="360" w:lineRule="auto"/>
        <w:rPr>
          <w:rFonts w:ascii="Arial" w:hAnsi="Arial" w:cs="Arial"/>
        </w:rPr>
      </w:pPr>
      <w:r w:rsidRPr="00D332F6">
        <w:rPr>
          <w:rFonts w:ascii="Arial" w:hAnsi="Arial" w:cs="Arial"/>
        </w:rPr>
        <w:t>CORRESPONDING AUTHOR INFORMATION</w:t>
      </w:r>
      <w:r w:rsidR="000516AA" w:rsidRPr="00D332F6">
        <w:rPr>
          <w:rFonts w:ascii="Arial" w:hAnsi="Arial" w:cs="Arial"/>
        </w:rPr>
        <w:t xml:space="preserve">:  </w:t>
      </w:r>
    </w:p>
    <w:p w14:paraId="3B7648FA" w14:textId="77777777" w:rsidR="000516AA" w:rsidRPr="00D332F6" w:rsidRDefault="000516AA" w:rsidP="004608D8">
      <w:pPr>
        <w:spacing w:line="360" w:lineRule="auto"/>
        <w:rPr>
          <w:rFonts w:ascii="Arial" w:hAnsi="Arial" w:cs="Arial"/>
        </w:rPr>
      </w:pPr>
      <w:r w:rsidRPr="00D332F6">
        <w:rPr>
          <w:rFonts w:ascii="Arial" w:hAnsi="Arial" w:cs="Arial"/>
        </w:rPr>
        <w:t xml:space="preserve">Dr Hamish Innes; Glasgow Caledonian University, George Moore Building, Room M403A; Cowcaddens Road; G4 0BA. </w:t>
      </w:r>
      <w:hyperlink r:id="rId11" w:history="1">
        <w:r w:rsidRPr="00D332F6">
          <w:rPr>
            <w:rStyle w:val="Hyperlink"/>
            <w:rFonts w:ascii="Arial" w:hAnsi="Arial" w:cs="Arial"/>
            <w:u w:val="none"/>
          </w:rPr>
          <w:t>Tel:0141-5332950</w:t>
        </w:r>
      </w:hyperlink>
      <w:r w:rsidRPr="00D332F6">
        <w:rPr>
          <w:rFonts w:ascii="Arial" w:hAnsi="Arial" w:cs="Arial"/>
        </w:rPr>
        <w:t>; Email:Hamish.innes@gcu.ac.uk</w:t>
      </w:r>
    </w:p>
    <w:p w14:paraId="43DA70F1" w14:textId="5FF88FF8" w:rsidR="000516AA" w:rsidRPr="00D332F6" w:rsidRDefault="00794A90" w:rsidP="004608D8">
      <w:pPr>
        <w:spacing w:line="360" w:lineRule="auto"/>
        <w:rPr>
          <w:rFonts w:ascii="Arial" w:hAnsi="Arial" w:cs="Arial"/>
        </w:rPr>
      </w:pPr>
      <w:r w:rsidRPr="00D332F6">
        <w:rPr>
          <w:rFonts w:ascii="Arial" w:hAnsi="Arial" w:cs="Arial"/>
        </w:rPr>
        <w:t>ABBREVIATIONS</w:t>
      </w:r>
      <w:r w:rsidR="000516AA" w:rsidRPr="00D332F6">
        <w:rPr>
          <w:rFonts w:ascii="Arial" w:hAnsi="Arial" w:cs="Arial"/>
        </w:rPr>
        <w:t xml:space="preserve"> (order of appearance): </w:t>
      </w:r>
    </w:p>
    <w:p w14:paraId="47EB4394" w14:textId="27164AB9" w:rsidR="00E973A5" w:rsidRPr="00D332F6" w:rsidRDefault="00895AF6" w:rsidP="0020175A">
      <w:pPr>
        <w:spacing w:line="360" w:lineRule="auto"/>
        <w:rPr>
          <w:rFonts w:ascii="Arial" w:hAnsi="Arial" w:cs="Arial"/>
        </w:rPr>
      </w:pPr>
      <w:r w:rsidRPr="00D332F6">
        <w:rPr>
          <w:rFonts w:ascii="Arial" w:hAnsi="Arial" w:cs="Arial"/>
        </w:rPr>
        <w:t>aMAP, age-Male gender-ALBI-platelet count score;</w:t>
      </w:r>
      <w:r w:rsidR="000042EE" w:rsidRPr="00D332F6">
        <w:rPr>
          <w:rFonts w:ascii="Arial" w:hAnsi="Arial" w:cs="Arial"/>
        </w:rPr>
        <w:t xml:space="preserve"> HCV, hepatitis C Virus; </w:t>
      </w:r>
      <w:r w:rsidR="00F113FE" w:rsidRPr="00D332F6">
        <w:rPr>
          <w:rFonts w:ascii="Arial" w:hAnsi="Arial" w:cs="Arial"/>
        </w:rPr>
        <w:t>THRI, Toronto HCC Risk Index; VHA</w:t>
      </w:r>
      <w:r w:rsidR="00A965DB" w:rsidRPr="00D332F6">
        <w:rPr>
          <w:rFonts w:ascii="Arial" w:hAnsi="Arial" w:cs="Arial"/>
        </w:rPr>
        <w:t>, Veteran Health Affairs;</w:t>
      </w:r>
      <w:r w:rsidR="00F113FE" w:rsidRPr="00D332F6">
        <w:rPr>
          <w:rFonts w:ascii="Arial" w:hAnsi="Arial" w:cs="Arial"/>
        </w:rPr>
        <w:t xml:space="preserve"> </w:t>
      </w:r>
      <w:r w:rsidRPr="00D332F6">
        <w:rPr>
          <w:rFonts w:ascii="Arial" w:hAnsi="Arial" w:cs="Arial"/>
        </w:rPr>
        <w:t>HCC, hepatocellular carcinoma</w:t>
      </w:r>
      <w:r w:rsidR="000042EE" w:rsidRPr="00D332F6">
        <w:rPr>
          <w:rFonts w:ascii="Arial" w:hAnsi="Arial" w:cs="Arial"/>
        </w:rPr>
        <w:t>;</w:t>
      </w:r>
      <w:r w:rsidR="00B55D3F" w:rsidRPr="00D332F6">
        <w:rPr>
          <w:rFonts w:ascii="Arial" w:hAnsi="Arial" w:cs="Arial"/>
        </w:rPr>
        <w:t xml:space="preserve"> PNPLA3,</w:t>
      </w:r>
      <w:r w:rsidR="000042EE" w:rsidRPr="00D332F6">
        <w:rPr>
          <w:rFonts w:ascii="Arial" w:hAnsi="Arial" w:cs="Arial"/>
        </w:rPr>
        <w:t xml:space="preserve"> Patatin-like phospholipase domain-containing protein </w:t>
      </w:r>
      <w:r w:rsidR="00B55D3F" w:rsidRPr="00D332F6">
        <w:rPr>
          <w:rFonts w:ascii="Arial" w:hAnsi="Arial" w:cs="Arial"/>
        </w:rPr>
        <w:t xml:space="preserve">3; STOPHCV, </w:t>
      </w:r>
      <w:r w:rsidR="00E973A5" w:rsidRPr="00D332F6">
        <w:rPr>
          <w:rFonts w:ascii="Arial" w:hAnsi="Arial" w:cs="Arial"/>
        </w:rPr>
        <w:t>STratified medicine to Optimise Treatment of Hepatitis C Viru</w:t>
      </w:r>
      <w:r w:rsidR="00B55D3F" w:rsidRPr="00D332F6">
        <w:rPr>
          <w:rFonts w:ascii="Arial" w:hAnsi="Arial" w:cs="Arial"/>
        </w:rPr>
        <w:t xml:space="preserve">s; </w:t>
      </w:r>
      <w:r w:rsidR="00E973A5" w:rsidRPr="00D332F6">
        <w:rPr>
          <w:rFonts w:ascii="Arial" w:hAnsi="Arial" w:cs="Arial"/>
        </w:rPr>
        <w:t>SMR06</w:t>
      </w:r>
      <w:r w:rsidR="00B55D3F" w:rsidRPr="00D332F6">
        <w:rPr>
          <w:rFonts w:ascii="Arial" w:hAnsi="Arial" w:cs="Arial"/>
        </w:rPr>
        <w:t xml:space="preserve">, Scottish cancer register; </w:t>
      </w:r>
      <w:r w:rsidR="00E973A5" w:rsidRPr="00D332F6">
        <w:rPr>
          <w:rFonts w:ascii="Arial" w:hAnsi="Arial" w:cs="Arial"/>
        </w:rPr>
        <w:t>SMR01</w:t>
      </w:r>
      <w:r w:rsidR="00B55D3F" w:rsidRPr="00D332F6">
        <w:rPr>
          <w:rFonts w:ascii="Arial" w:hAnsi="Arial" w:cs="Arial"/>
        </w:rPr>
        <w:t xml:space="preserve">, Scottish inpatient hospital admission database; </w:t>
      </w:r>
      <w:r w:rsidR="00E973A5" w:rsidRPr="00D332F6">
        <w:rPr>
          <w:rFonts w:ascii="Arial" w:hAnsi="Arial" w:cs="Arial"/>
        </w:rPr>
        <w:t>ICD</w:t>
      </w:r>
      <w:r w:rsidR="00B55D3F" w:rsidRPr="00D332F6">
        <w:rPr>
          <w:rFonts w:ascii="Arial" w:hAnsi="Arial" w:cs="Arial"/>
        </w:rPr>
        <w:t xml:space="preserve">, international classification of diseases; SVR, sustained virological response; C-index, Concordance index. </w:t>
      </w:r>
    </w:p>
    <w:p w14:paraId="59476476" w14:textId="77777777" w:rsidR="0057395F" w:rsidRPr="00D332F6" w:rsidRDefault="0057395F" w:rsidP="0057395F">
      <w:pPr>
        <w:spacing w:line="360" w:lineRule="auto"/>
        <w:rPr>
          <w:rFonts w:ascii="Arial" w:hAnsi="Arial" w:cs="Arial"/>
        </w:rPr>
      </w:pPr>
      <w:r w:rsidRPr="00D332F6">
        <w:rPr>
          <w:rFonts w:ascii="Arial" w:hAnsi="Arial" w:cs="Arial"/>
        </w:rPr>
        <w:t xml:space="preserve">DATA AVAILABILITY STATEMENT:  </w:t>
      </w:r>
    </w:p>
    <w:p w14:paraId="22E5EFE4" w14:textId="7040699D" w:rsidR="00A96628" w:rsidRPr="00D332F6" w:rsidRDefault="0057395F" w:rsidP="0057395F">
      <w:pPr>
        <w:spacing w:line="360" w:lineRule="auto"/>
        <w:rPr>
          <w:rFonts w:ascii="Arial" w:hAnsi="Arial" w:cs="Arial"/>
        </w:rPr>
        <w:sectPr w:rsidR="00A96628" w:rsidRPr="00D332F6">
          <w:pgSz w:w="11906" w:h="16838"/>
          <w:pgMar w:top="1440" w:right="1440" w:bottom="1440" w:left="1440" w:header="0" w:footer="0" w:gutter="0"/>
          <w:cols w:space="720"/>
          <w:formProt w:val="0"/>
          <w:docGrid w:linePitch="360" w:charSpace="-2049"/>
        </w:sectPr>
      </w:pPr>
      <w:r w:rsidRPr="00D332F6">
        <w:rPr>
          <w:rFonts w:ascii="Arial" w:hAnsi="Arial" w:cs="Arial"/>
        </w:rPr>
        <w:t xml:space="preserve">The </w:t>
      </w:r>
      <w:r w:rsidR="001E63C4" w:rsidRPr="00D332F6">
        <w:rPr>
          <w:rFonts w:ascii="Arial" w:hAnsi="Arial" w:cs="Arial"/>
        </w:rPr>
        <w:t>S</w:t>
      </w:r>
      <w:r w:rsidRPr="00D332F6">
        <w:rPr>
          <w:rFonts w:ascii="Arial" w:hAnsi="Arial" w:cs="Arial"/>
        </w:rPr>
        <w:t>cottish data used in this study are not publicly available, but can be acquired through successful application to the Public Benefit and Privacy Panel for Health and Social Care (</w:t>
      </w:r>
      <w:hyperlink r:id="rId12" w:history="1">
        <w:r w:rsidRPr="00D332F6">
          <w:rPr>
            <w:rStyle w:val="Hyperlink"/>
            <w:rFonts w:ascii="Arial" w:hAnsi="Arial" w:cs="Arial"/>
            <w:u w:val="none"/>
          </w:rPr>
          <w:t>https://www.informationgovernance.scot.nhs.uk/pbpphsc/home/for-applicants/</w:t>
        </w:r>
      </w:hyperlink>
      <w:r w:rsidRPr="00D332F6">
        <w:rPr>
          <w:rFonts w:ascii="Arial" w:hAnsi="Arial" w:cs="Arial"/>
        </w:rPr>
        <w:t xml:space="preserve"> )</w:t>
      </w:r>
      <w:r w:rsidR="001E63C4" w:rsidRPr="00D332F6">
        <w:rPr>
          <w:rFonts w:ascii="Arial" w:hAnsi="Arial" w:cs="Arial"/>
        </w:rPr>
        <w:t xml:space="preserve">. </w:t>
      </w:r>
      <w:r w:rsidR="00A96628" w:rsidRPr="00D332F6">
        <w:rPr>
          <w:rFonts w:ascii="Arial" w:hAnsi="Arial" w:cs="Arial"/>
        </w:rPr>
        <w:t xml:space="preserve">The STOPHCV consortium welcomes collaboration with interested parties. Anonymised samples and clinical data held on the study database are accessible through application to the HCVRUK Tissue Data Access Committee. </w:t>
      </w:r>
      <w:r w:rsidR="00656CF5" w:rsidRPr="00D332F6">
        <w:rPr>
          <w:rFonts w:ascii="Arial" w:hAnsi="Arial" w:cs="Arial"/>
        </w:rPr>
        <w:t>C</w:t>
      </w:r>
      <w:r w:rsidR="00A96628" w:rsidRPr="00D332F6">
        <w:rPr>
          <w:rFonts w:ascii="Arial" w:hAnsi="Arial" w:cs="Arial"/>
        </w:rPr>
        <w:t>ontact Prof</w:t>
      </w:r>
      <w:r w:rsidR="00A94B38" w:rsidRPr="00D332F6">
        <w:rPr>
          <w:rFonts w:ascii="Arial" w:hAnsi="Arial" w:cs="Arial"/>
        </w:rPr>
        <w:t>essor</w:t>
      </w:r>
      <w:r w:rsidR="00A96628" w:rsidRPr="00D332F6">
        <w:rPr>
          <w:rFonts w:ascii="Arial" w:hAnsi="Arial" w:cs="Arial"/>
        </w:rPr>
        <w:t xml:space="preserve"> Indra Neil Guha (</w:t>
      </w:r>
      <w:hyperlink r:id="rId13" w:history="1">
        <w:r w:rsidR="00A96628" w:rsidRPr="00D332F6">
          <w:rPr>
            <w:rStyle w:val="Hyperlink"/>
            <w:rFonts w:ascii="Arial" w:hAnsi="Arial" w:cs="Arial"/>
            <w:u w:val="none"/>
          </w:rPr>
          <w:t>neil.guha@nottingham.ac.uk</w:t>
        </w:r>
      </w:hyperlink>
      <w:r w:rsidR="00A96628" w:rsidRPr="00D332F6">
        <w:rPr>
          <w:rFonts w:ascii="Arial" w:hAnsi="Arial" w:cs="Arial"/>
        </w:rPr>
        <w:t>) or Prof</w:t>
      </w:r>
      <w:r w:rsidR="00A94B38" w:rsidRPr="00D332F6">
        <w:rPr>
          <w:rFonts w:ascii="Arial" w:hAnsi="Arial" w:cs="Arial"/>
        </w:rPr>
        <w:t>essor</w:t>
      </w:r>
      <w:r w:rsidR="00A96628" w:rsidRPr="00D332F6">
        <w:rPr>
          <w:rFonts w:ascii="Arial" w:hAnsi="Arial" w:cs="Arial"/>
        </w:rPr>
        <w:t xml:space="preserve"> William Irving (</w:t>
      </w:r>
      <w:hyperlink r:id="rId14" w:history="1">
        <w:r w:rsidR="00A96628" w:rsidRPr="00D332F6">
          <w:rPr>
            <w:rStyle w:val="Hyperlink"/>
            <w:rFonts w:ascii="Arial" w:hAnsi="Arial" w:cs="Arial"/>
            <w:u w:val="none"/>
          </w:rPr>
          <w:t>will.irving@nottingham.ac.uk</w:t>
        </w:r>
      </w:hyperlink>
      <w:r w:rsidR="00A96628" w:rsidRPr="00D332F6">
        <w:rPr>
          <w:rFonts w:ascii="Arial" w:hAnsi="Arial" w:cs="Arial"/>
        </w:rPr>
        <w:t xml:space="preserve">) for more information. Please note that we cannot share linked NHS digital data with other research groups, or any data variables derived from linked NHS digital data. </w:t>
      </w:r>
    </w:p>
    <w:p w14:paraId="68F12F87" w14:textId="2738825C" w:rsidR="00BD59D6" w:rsidRPr="00D332F6" w:rsidRDefault="009B159E">
      <w:pPr>
        <w:spacing w:line="360" w:lineRule="auto"/>
        <w:rPr>
          <w:rFonts w:ascii="Arial" w:hAnsi="Arial" w:cs="Arial"/>
          <w:b/>
          <w:sz w:val="24"/>
        </w:rPr>
      </w:pPr>
      <w:r w:rsidRPr="00D332F6">
        <w:rPr>
          <w:rFonts w:ascii="Arial" w:hAnsi="Arial" w:cs="Arial"/>
          <w:b/>
          <w:sz w:val="24"/>
        </w:rPr>
        <w:t>ABSTRACT:</w:t>
      </w:r>
    </w:p>
    <w:p w14:paraId="68F12F88" w14:textId="77777777" w:rsidR="00BD59D6" w:rsidRPr="00D332F6" w:rsidRDefault="009B159E">
      <w:pPr>
        <w:spacing w:line="360" w:lineRule="auto"/>
        <w:rPr>
          <w:rFonts w:ascii="Arial" w:hAnsi="Arial" w:cs="Arial"/>
        </w:rPr>
      </w:pPr>
      <w:r w:rsidRPr="00D332F6">
        <w:rPr>
          <w:rFonts w:ascii="Arial" w:hAnsi="Arial" w:cs="Arial"/>
        </w:rPr>
        <w:t>BACKGROUND:</w:t>
      </w:r>
    </w:p>
    <w:p w14:paraId="68F12F89" w14:textId="3C1FFC75" w:rsidR="00BD59D6" w:rsidRPr="00D332F6" w:rsidRDefault="009B159E">
      <w:pPr>
        <w:spacing w:line="360" w:lineRule="auto"/>
        <w:rPr>
          <w:rFonts w:ascii="Arial" w:hAnsi="Arial" w:cs="Arial"/>
        </w:rPr>
      </w:pPr>
      <w:r w:rsidRPr="00D332F6">
        <w:rPr>
          <w:rFonts w:ascii="Arial" w:hAnsi="Arial" w:cs="Arial"/>
        </w:rPr>
        <w:t>Hepatocellular carcinoma (HCC) prediction models can inform clinical decisions about HCC screening</w:t>
      </w:r>
      <w:r w:rsidR="008F0E98" w:rsidRPr="00D332F6">
        <w:rPr>
          <w:rFonts w:ascii="Arial" w:hAnsi="Arial" w:cs="Arial"/>
        </w:rPr>
        <w:t xml:space="preserve"> provided </w:t>
      </w:r>
      <w:r w:rsidRPr="00D332F6">
        <w:rPr>
          <w:rFonts w:ascii="Arial" w:hAnsi="Arial" w:cs="Arial"/>
        </w:rPr>
        <w:t>their predictions are robust.  We</w:t>
      </w:r>
      <w:r w:rsidR="00525223" w:rsidRPr="00D332F6">
        <w:rPr>
          <w:rFonts w:ascii="Arial" w:hAnsi="Arial" w:cs="Arial"/>
        </w:rPr>
        <w:t xml:space="preserve"> conducted</w:t>
      </w:r>
      <w:r w:rsidR="000A06A7" w:rsidRPr="00D332F6">
        <w:rPr>
          <w:rFonts w:ascii="Arial" w:hAnsi="Arial" w:cs="Arial"/>
        </w:rPr>
        <w:t xml:space="preserve"> an</w:t>
      </w:r>
      <w:r w:rsidR="00525223" w:rsidRPr="00D332F6">
        <w:rPr>
          <w:rFonts w:ascii="Arial" w:hAnsi="Arial" w:cs="Arial"/>
        </w:rPr>
        <w:t xml:space="preserve"> external validation </w:t>
      </w:r>
      <w:r w:rsidRPr="00D332F6">
        <w:rPr>
          <w:rFonts w:ascii="Arial" w:hAnsi="Arial" w:cs="Arial"/>
        </w:rPr>
        <w:t>of six HCC prediction models for UK patients with cirrhosis and a hepatitis C virus (HCV) virologic</w:t>
      </w:r>
      <w:r w:rsidR="00F935DC" w:rsidRPr="00D332F6">
        <w:rPr>
          <w:rFonts w:ascii="Arial" w:hAnsi="Arial" w:cs="Arial"/>
        </w:rPr>
        <w:t>al</w:t>
      </w:r>
      <w:r w:rsidRPr="00D332F6">
        <w:rPr>
          <w:rFonts w:ascii="Arial" w:hAnsi="Arial" w:cs="Arial"/>
        </w:rPr>
        <w:t xml:space="preserve"> cure.</w:t>
      </w:r>
    </w:p>
    <w:p w14:paraId="68F12F8A" w14:textId="77777777" w:rsidR="00BD59D6" w:rsidRPr="00D332F6" w:rsidRDefault="009B159E">
      <w:pPr>
        <w:spacing w:line="360" w:lineRule="auto"/>
        <w:rPr>
          <w:rFonts w:ascii="Arial" w:hAnsi="Arial" w:cs="Arial"/>
        </w:rPr>
      </w:pPr>
      <w:r w:rsidRPr="00D332F6">
        <w:rPr>
          <w:rFonts w:ascii="Arial" w:hAnsi="Arial" w:cs="Arial"/>
        </w:rPr>
        <w:t>METHODS:</w:t>
      </w:r>
    </w:p>
    <w:p w14:paraId="68F12F8B" w14:textId="12C89117" w:rsidR="00BD59D6" w:rsidRPr="00D332F6" w:rsidRDefault="009B159E">
      <w:pPr>
        <w:spacing w:line="360" w:lineRule="auto"/>
        <w:rPr>
          <w:rFonts w:ascii="Arial" w:hAnsi="Arial" w:cs="Arial"/>
        </w:rPr>
      </w:pPr>
      <w:r w:rsidRPr="00D332F6">
        <w:rPr>
          <w:rFonts w:ascii="Arial" w:hAnsi="Arial" w:cs="Arial"/>
        </w:rPr>
        <w:t>Cirrhosis patients with cured HCV were identified from the Scotland HCV clinical database (N=21</w:t>
      </w:r>
      <w:r w:rsidR="000E2AA2" w:rsidRPr="00D332F6">
        <w:rPr>
          <w:rFonts w:ascii="Arial" w:hAnsi="Arial" w:cs="Arial"/>
        </w:rPr>
        <w:t>39</w:t>
      </w:r>
      <w:r w:rsidR="00B4287A" w:rsidRPr="00D332F6">
        <w:rPr>
          <w:rFonts w:ascii="Arial" w:hAnsi="Arial" w:cs="Arial"/>
        </w:rPr>
        <w:t>) and the STOPHCV study (N=60</w:t>
      </w:r>
      <w:r w:rsidR="000E2AA2" w:rsidRPr="00D332F6">
        <w:rPr>
          <w:rFonts w:ascii="Arial" w:hAnsi="Arial" w:cs="Arial"/>
        </w:rPr>
        <w:t>6</w:t>
      </w:r>
      <w:r w:rsidR="00B4287A" w:rsidRPr="00D332F6">
        <w:rPr>
          <w:rFonts w:ascii="Arial" w:hAnsi="Arial" w:cs="Arial"/>
        </w:rPr>
        <w:t>)</w:t>
      </w:r>
      <w:r w:rsidRPr="00D332F6">
        <w:rPr>
          <w:rFonts w:ascii="Arial" w:hAnsi="Arial" w:cs="Arial"/>
        </w:rPr>
        <w:t xml:space="preserve">. We calculated </w:t>
      </w:r>
      <w:r w:rsidR="00505078" w:rsidRPr="00D332F6">
        <w:rPr>
          <w:rFonts w:ascii="Arial" w:hAnsi="Arial" w:cs="Arial"/>
        </w:rPr>
        <w:t xml:space="preserve">patient </w:t>
      </w:r>
      <w:r w:rsidR="000042EE" w:rsidRPr="00D332F6">
        <w:rPr>
          <w:rFonts w:ascii="Arial" w:hAnsi="Arial" w:cs="Arial"/>
        </w:rPr>
        <w:t>values for</w:t>
      </w:r>
      <w:r w:rsidR="00505078" w:rsidRPr="00D332F6">
        <w:rPr>
          <w:rFonts w:ascii="Arial" w:hAnsi="Arial" w:cs="Arial"/>
        </w:rPr>
        <w:t xml:space="preserve"> four </w:t>
      </w:r>
      <w:r w:rsidR="008E516A" w:rsidRPr="00D332F6">
        <w:rPr>
          <w:rFonts w:ascii="Arial" w:hAnsi="Arial" w:cs="Arial"/>
        </w:rPr>
        <w:t xml:space="preserve">competing </w:t>
      </w:r>
      <w:r w:rsidR="00505078" w:rsidRPr="00D332F6">
        <w:rPr>
          <w:rFonts w:ascii="Arial" w:hAnsi="Arial" w:cs="Arial"/>
        </w:rPr>
        <w:t>non-genetic HCC prediction models</w:t>
      </w:r>
      <w:r w:rsidR="000042EE" w:rsidRPr="00D332F6">
        <w:rPr>
          <w:rFonts w:ascii="Arial" w:hAnsi="Arial" w:cs="Arial"/>
        </w:rPr>
        <w:t xml:space="preserve">, </w:t>
      </w:r>
      <w:r w:rsidR="00505078" w:rsidRPr="00D332F6">
        <w:rPr>
          <w:rFonts w:ascii="Arial" w:hAnsi="Arial" w:cs="Arial"/>
        </w:rPr>
        <w:t>plus</w:t>
      </w:r>
      <w:r w:rsidR="000042EE" w:rsidRPr="00D332F6">
        <w:rPr>
          <w:rFonts w:ascii="Arial" w:hAnsi="Arial" w:cs="Arial"/>
        </w:rPr>
        <w:t xml:space="preserve"> </w:t>
      </w:r>
      <w:r w:rsidRPr="00D332F6">
        <w:rPr>
          <w:rFonts w:ascii="Arial" w:hAnsi="Arial" w:cs="Arial"/>
        </w:rPr>
        <w:t>two genetic models</w:t>
      </w:r>
      <w:r w:rsidR="00505078" w:rsidRPr="00D332F6">
        <w:rPr>
          <w:rFonts w:ascii="Arial" w:hAnsi="Arial" w:cs="Arial"/>
        </w:rPr>
        <w:t xml:space="preserve"> (for STOPHCV cohort only). </w:t>
      </w:r>
      <w:r w:rsidRPr="00D332F6">
        <w:rPr>
          <w:rFonts w:ascii="Arial" w:hAnsi="Arial" w:cs="Arial"/>
        </w:rPr>
        <w:t xml:space="preserve"> Follow-up began at the date of </w:t>
      </w:r>
      <w:r w:rsidR="00C07E5B" w:rsidRPr="00D332F6">
        <w:rPr>
          <w:rFonts w:ascii="Arial" w:hAnsi="Arial" w:cs="Arial"/>
        </w:rPr>
        <w:t>SVR achievement</w:t>
      </w:r>
      <w:r w:rsidRPr="00D332F6">
        <w:rPr>
          <w:rFonts w:ascii="Arial" w:hAnsi="Arial" w:cs="Arial"/>
        </w:rPr>
        <w:t>. HCC diagnoses were identified through linkage to nation</w:t>
      </w:r>
      <w:r w:rsidR="00F935DC" w:rsidRPr="00D332F6">
        <w:rPr>
          <w:rFonts w:ascii="Arial" w:hAnsi="Arial" w:cs="Arial"/>
        </w:rPr>
        <w:t>-</w:t>
      </w:r>
      <w:r w:rsidRPr="00D332F6">
        <w:rPr>
          <w:rFonts w:ascii="Arial" w:hAnsi="Arial" w:cs="Arial"/>
        </w:rPr>
        <w:t>wide cancer, hospitalisation and mortality registries. We compared discrimination and calibration measures between prediction models.</w:t>
      </w:r>
    </w:p>
    <w:p w14:paraId="68F12F8C" w14:textId="77777777" w:rsidR="00BD59D6" w:rsidRPr="00D332F6" w:rsidRDefault="009B159E">
      <w:pPr>
        <w:spacing w:line="360" w:lineRule="auto"/>
        <w:rPr>
          <w:rFonts w:ascii="Arial" w:hAnsi="Arial" w:cs="Arial"/>
        </w:rPr>
      </w:pPr>
      <w:r w:rsidRPr="00D332F6">
        <w:rPr>
          <w:rFonts w:ascii="Arial" w:hAnsi="Arial" w:cs="Arial"/>
        </w:rPr>
        <w:t xml:space="preserve">RESULTS </w:t>
      </w:r>
    </w:p>
    <w:p w14:paraId="68F12F8D" w14:textId="48064C73" w:rsidR="00BD59D6" w:rsidRPr="00D332F6" w:rsidRDefault="009B159E">
      <w:pPr>
        <w:spacing w:line="360" w:lineRule="auto"/>
        <w:rPr>
          <w:rFonts w:ascii="Arial" w:hAnsi="Arial" w:cs="Arial"/>
        </w:rPr>
      </w:pPr>
      <w:r w:rsidRPr="00D332F6">
        <w:rPr>
          <w:rFonts w:ascii="Arial" w:hAnsi="Arial" w:cs="Arial"/>
        </w:rPr>
        <w:t>Mean follow-up was 3.</w:t>
      </w:r>
      <w:r w:rsidR="00F935DC" w:rsidRPr="00D332F6">
        <w:rPr>
          <w:rFonts w:ascii="Arial" w:hAnsi="Arial" w:cs="Arial"/>
        </w:rPr>
        <w:t>4-3.9</w:t>
      </w:r>
      <w:r w:rsidRPr="00D332F6">
        <w:rPr>
          <w:rFonts w:ascii="Arial" w:hAnsi="Arial" w:cs="Arial"/>
        </w:rPr>
        <w:t xml:space="preserve"> years, </w:t>
      </w:r>
      <w:r w:rsidR="00E209E9" w:rsidRPr="00D332F6">
        <w:rPr>
          <w:rFonts w:ascii="Arial" w:hAnsi="Arial" w:cs="Arial"/>
        </w:rPr>
        <w:t>with</w:t>
      </w:r>
      <w:r w:rsidRPr="00D332F6">
        <w:rPr>
          <w:rFonts w:ascii="Arial" w:hAnsi="Arial" w:cs="Arial"/>
        </w:rPr>
        <w:t xml:space="preserve"> 11</w:t>
      </w:r>
      <w:r w:rsidR="00F935DC" w:rsidRPr="00D332F6">
        <w:rPr>
          <w:rFonts w:ascii="Arial" w:hAnsi="Arial" w:cs="Arial"/>
        </w:rPr>
        <w:t>8</w:t>
      </w:r>
      <w:r w:rsidRPr="00D332F6">
        <w:rPr>
          <w:rFonts w:ascii="Arial" w:hAnsi="Arial" w:cs="Arial"/>
        </w:rPr>
        <w:t xml:space="preserve"> (Scotland)</w:t>
      </w:r>
      <w:r w:rsidR="00B4287A" w:rsidRPr="00D332F6">
        <w:rPr>
          <w:rFonts w:ascii="Arial" w:hAnsi="Arial" w:cs="Arial"/>
        </w:rPr>
        <w:t xml:space="preserve"> and 4</w:t>
      </w:r>
      <w:r w:rsidR="00F935DC" w:rsidRPr="00D332F6">
        <w:rPr>
          <w:rFonts w:ascii="Arial" w:hAnsi="Arial" w:cs="Arial"/>
        </w:rPr>
        <w:t>0</w:t>
      </w:r>
      <w:r w:rsidR="00B4287A" w:rsidRPr="00D332F6">
        <w:rPr>
          <w:rFonts w:ascii="Arial" w:hAnsi="Arial" w:cs="Arial"/>
        </w:rPr>
        <w:t xml:space="preserve"> (STOPHCV)</w:t>
      </w:r>
      <w:r w:rsidRPr="00D332F6">
        <w:rPr>
          <w:rFonts w:ascii="Arial" w:hAnsi="Arial" w:cs="Arial"/>
        </w:rPr>
        <w:t xml:space="preserve"> incident HCCs </w:t>
      </w:r>
      <w:r w:rsidR="00B4287A" w:rsidRPr="00D332F6">
        <w:rPr>
          <w:rFonts w:ascii="Arial" w:hAnsi="Arial" w:cs="Arial"/>
        </w:rPr>
        <w:t>observed</w:t>
      </w:r>
      <w:r w:rsidRPr="00D332F6">
        <w:rPr>
          <w:rFonts w:ascii="Arial" w:hAnsi="Arial" w:cs="Arial"/>
        </w:rPr>
        <w:t xml:space="preserve">. The aMAP </w:t>
      </w:r>
      <w:r w:rsidR="00FB6E42" w:rsidRPr="00D332F6">
        <w:rPr>
          <w:rFonts w:ascii="Arial" w:hAnsi="Arial" w:cs="Arial"/>
        </w:rPr>
        <w:t>(Age-Male gender-A</w:t>
      </w:r>
      <w:r w:rsidR="0071409B" w:rsidRPr="00D332F6">
        <w:rPr>
          <w:rFonts w:ascii="Arial" w:hAnsi="Arial" w:cs="Arial"/>
        </w:rPr>
        <w:t>lbi score</w:t>
      </w:r>
      <w:r w:rsidR="00FB6E42" w:rsidRPr="00D332F6">
        <w:rPr>
          <w:rFonts w:ascii="Arial" w:hAnsi="Arial" w:cs="Arial"/>
        </w:rPr>
        <w:t xml:space="preserve">-Platelet count) </w:t>
      </w:r>
      <w:r w:rsidRPr="00D332F6">
        <w:rPr>
          <w:rFonts w:ascii="Arial" w:hAnsi="Arial" w:cs="Arial"/>
        </w:rPr>
        <w:t xml:space="preserve">model showed the best discrimination; e.g. C-index in Scottish cohort was 0.77 (95%CI:0.73-0.81). However, </w:t>
      </w:r>
      <w:r w:rsidR="00EF6069" w:rsidRPr="00D332F6">
        <w:rPr>
          <w:rFonts w:ascii="Arial" w:hAnsi="Arial" w:cs="Arial"/>
        </w:rPr>
        <w:t xml:space="preserve">for all models, </w:t>
      </w:r>
      <w:r w:rsidRPr="00D332F6">
        <w:rPr>
          <w:rFonts w:ascii="Arial" w:hAnsi="Arial" w:cs="Arial"/>
        </w:rPr>
        <w:t>discrimination varied by cohort (better for Scottish cohort)</w:t>
      </w:r>
      <w:r w:rsidR="00EF6069" w:rsidRPr="00D332F6">
        <w:rPr>
          <w:rFonts w:ascii="Arial" w:hAnsi="Arial" w:cs="Arial"/>
        </w:rPr>
        <w:t xml:space="preserve"> and by</w:t>
      </w:r>
      <w:r w:rsidR="001F1414" w:rsidRPr="00D332F6">
        <w:rPr>
          <w:rFonts w:ascii="Arial" w:hAnsi="Arial" w:cs="Arial"/>
        </w:rPr>
        <w:t xml:space="preserve"> </w:t>
      </w:r>
      <w:r w:rsidRPr="00D332F6">
        <w:rPr>
          <w:rFonts w:ascii="Arial" w:hAnsi="Arial" w:cs="Arial"/>
        </w:rPr>
        <w:t xml:space="preserve">age (better for younger </w:t>
      </w:r>
      <w:r w:rsidR="00790EBB" w:rsidRPr="00D332F6">
        <w:rPr>
          <w:rFonts w:ascii="Arial" w:hAnsi="Arial" w:cs="Arial"/>
        </w:rPr>
        <w:t>patients</w:t>
      </w:r>
      <w:r w:rsidRPr="00D332F6">
        <w:rPr>
          <w:rFonts w:ascii="Arial" w:hAnsi="Arial" w:cs="Arial"/>
        </w:rPr>
        <w:t>)</w:t>
      </w:r>
      <w:r w:rsidR="00FB6E42" w:rsidRPr="00D332F6">
        <w:rPr>
          <w:rFonts w:ascii="Arial" w:hAnsi="Arial" w:cs="Arial"/>
        </w:rPr>
        <w:t xml:space="preserve">. Also, genetic models performed better in HCV genotype 3 patients. </w:t>
      </w:r>
    </w:p>
    <w:p w14:paraId="68F12F8E" w14:textId="52985D75" w:rsidR="00BD59D6" w:rsidRPr="00D332F6" w:rsidRDefault="00F7211F">
      <w:pPr>
        <w:spacing w:line="360" w:lineRule="auto"/>
        <w:rPr>
          <w:rFonts w:ascii="Arial" w:hAnsi="Arial" w:cs="Arial"/>
        </w:rPr>
      </w:pPr>
      <w:r w:rsidRPr="00D332F6">
        <w:rPr>
          <w:rFonts w:ascii="Arial" w:hAnsi="Arial" w:cs="Arial"/>
        </w:rPr>
        <w:t>The observed 3-year HCC risk was 3.</w:t>
      </w:r>
      <w:r w:rsidR="00C50782" w:rsidRPr="00D332F6">
        <w:rPr>
          <w:rFonts w:ascii="Arial" w:hAnsi="Arial" w:cs="Arial"/>
        </w:rPr>
        <w:t>3</w:t>
      </w:r>
      <w:r w:rsidRPr="00D332F6">
        <w:rPr>
          <w:rFonts w:ascii="Arial" w:hAnsi="Arial" w:cs="Arial"/>
        </w:rPr>
        <w:t>%</w:t>
      </w:r>
      <w:r w:rsidR="00D60C42" w:rsidRPr="00D332F6">
        <w:rPr>
          <w:rFonts w:ascii="Arial" w:hAnsi="Arial" w:cs="Arial"/>
        </w:rPr>
        <w:t xml:space="preserve"> </w:t>
      </w:r>
      <w:r w:rsidRPr="00D332F6">
        <w:rPr>
          <w:rFonts w:ascii="Arial" w:hAnsi="Arial" w:cs="Arial"/>
        </w:rPr>
        <w:t>(95%CI: 2.</w:t>
      </w:r>
      <w:r w:rsidR="00C50782" w:rsidRPr="00D332F6">
        <w:rPr>
          <w:rFonts w:ascii="Arial" w:hAnsi="Arial" w:cs="Arial"/>
        </w:rPr>
        <w:t>6</w:t>
      </w:r>
      <w:r w:rsidRPr="00D332F6">
        <w:rPr>
          <w:rFonts w:ascii="Arial" w:hAnsi="Arial" w:cs="Arial"/>
        </w:rPr>
        <w:t>-4.</w:t>
      </w:r>
      <w:r w:rsidR="00C50782" w:rsidRPr="00D332F6">
        <w:rPr>
          <w:rFonts w:ascii="Arial" w:hAnsi="Arial" w:cs="Arial"/>
        </w:rPr>
        <w:t>2</w:t>
      </w:r>
      <w:r w:rsidRPr="00D332F6">
        <w:rPr>
          <w:rFonts w:ascii="Arial" w:hAnsi="Arial" w:cs="Arial"/>
        </w:rPr>
        <w:t xml:space="preserve">) and </w:t>
      </w:r>
      <w:r w:rsidR="007C5CCF" w:rsidRPr="00D332F6">
        <w:rPr>
          <w:rFonts w:ascii="Arial" w:hAnsi="Arial" w:cs="Arial"/>
        </w:rPr>
        <w:t>5.</w:t>
      </w:r>
      <w:r w:rsidR="007A54EC" w:rsidRPr="00D332F6">
        <w:rPr>
          <w:rFonts w:ascii="Arial" w:hAnsi="Arial" w:cs="Arial"/>
        </w:rPr>
        <w:t>1</w:t>
      </w:r>
      <w:r w:rsidR="007C5CCF" w:rsidRPr="00D332F6">
        <w:rPr>
          <w:rFonts w:ascii="Arial" w:hAnsi="Arial" w:cs="Arial"/>
        </w:rPr>
        <w:t>% (3.</w:t>
      </w:r>
      <w:r w:rsidR="007A54EC" w:rsidRPr="00D332F6">
        <w:rPr>
          <w:rFonts w:ascii="Arial" w:hAnsi="Arial" w:cs="Arial"/>
        </w:rPr>
        <w:t>5</w:t>
      </w:r>
      <w:r w:rsidR="007C5CCF" w:rsidRPr="00D332F6">
        <w:rPr>
          <w:rFonts w:ascii="Arial" w:hAnsi="Arial" w:cs="Arial"/>
        </w:rPr>
        <w:t>-7.</w:t>
      </w:r>
      <w:r w:rsidR="007A54EC" w:rsidRPr="00D332F6">
        <w:rPr>
          <w:rFonts w:ascii="Arial" w:hAnsi="Arial" w:cs="Arial"/>
        </w:rPr>
        <w:t>0</w:t>
      </w:r>
      <w:r w:rsidR="007C5CCF" w:rsidRPr="00D332F6">
        <w:rPr>
          <w:rFonts w:ascii="Arial" w:hAnsi="Arial" w:cs="Arial"/>
        </w:rPr>
        <w:t xml:space="preserve">%) in the Scottish and STOPHCV cohort respectively. </w:t>
      </w:r>
      <w:r w:rsidR="001F1414" w:rsidRPr="00D332F6">
        <w:rPr>
          <w:rFonts w:ascii="Arial" w:hAnsi="Arial" w:cs="Arial"/>
        </w:rPr>
        <w:t>These were most closely matched by</w:t>
      </w:r>
      <w:r w:rsidR="0071409B" w:rsidRPr="00D332F6">
        <w:rPr>
          <w:rFonts w:ascii="Arial" w:hAnsi="Arial" w:cs="Arial"/>
        </w:rPr>
        <w:t xml:space="preserve"> </w:t>
      </w:r>
      <w:r w:rsidR="001F1414" w:rsidRPr="00D332F6">
        <w:rPr>
          <w:rFonts w:ascii="Arial" w:hAnsi="Arial" w:cs="Arial"/>
        </w:rPr>
        <w:t>aMAP</w:t>
      </w:r>
      <w:r w:rsidR="0071409B" w:rsidRPr="00D332F6">
        <w:rPr>
          <w:rFonts w:ascii="Arial" w:hAnsi="Arial" w:cs="Arial"/>
        </w:rPr>
        <w:t xml:space="preserve">, </w:t>
      </w:r>
      <w:r w:rsidR="000E17E5" w:rsidRPr="00D332F6">
        <w:rPr>
          <w:rFonts w:ascii="Arial" w:hAnsi="Arial" w:cs="Arial"/>
        </w:rPr>
        <w:t>where the</w:t>
      </w:r>
      <w:r w:rsidR="001F1414" w:rsidRPr="00D332F6">
        <w:rPr>
          <w:rFonts w:ascii="Arial" w:hAnsi="Arial" w:cs="Arial"/>
        </w:rPr>
        <w:t xml:space="preserve"> </w:t>
      </w:r>
      <w:r w:rsidR="003320F5" w:rsidRPr="00D332F6">
        <w:rPr>
          <w:rFonts w:ascii="Arial" w:hAnsi="Arial" w:cs="Arial"/>
        </w:rPr>
        <w:t xml:space="preserve">mean </w:t>
      </w:r>
      <w:r w:rsidR="001F1414" w:rsidRPr="00D332F6">
        <w:rPr>
          <w:rFonts w:ascii="Arial" w:hAnsi="Arial" w:cs="Arial"/>
        </w:rPr>
        <w:t xml:space="preserve">predicted 3-year risk </w:t>
      </w:r>
      <w:r w:rsidR="000E17E5" w:rsidRPr="00D332F6">
        <w:rPr>
          <w:rFonts w:ascii="Arial" w:hAnsi="Arial" w:cs="Arial"/>
        </w:rPr>
        <w:t>was</w:t>
      </w:r>
      <w:r w:rsidR="001F1414" w:rsidRPr="00D332F6">
        <w:rPr>
          <w:rFonts w:ascii="Arial" w:hAnsi="Arial" w:cs="Arial"/>
        </w:rPr>
        <w:t xml:space="preserve"> 3.6%</w:t>
      </w:r>
      <w:r w:rsidR="000E17E5" w:rsidRPr="00D332F6">
        <w:rPr>
          <w:rFonts w:ascii="Arial" w:hAnsi="Arial" w:cs="Arial"/>
        </w:rPr>
        <w:t xml:space="preserve"> </w:t>
      </w:r>
      <w:r w:rsidR="001F1414" w:rsidRPr="00D332F6">
        <w:rPr>
          <w:rFonts w:ascii="Arial" w:hAnsi="Arial" w:cs="Arial"/>
        </w:rPr>
        <w:t xml:space="preserve">and </w:t>
      </w:r>
      <w:r w:rsidR="007A54EC" w:rsidRPr="00D332F6">
        <w:rPr>
          <w:rFonts w:ascii="Arial" w:hAnsi="Arial" w:cs="Arial"/>
        </w:rPr>
        <w:t xml:space="preserve">5.0% </w:t>
      </w:r>
      <w:r w:rsidR="000E17E5" w:rsidRPr="00D332F6">
        <w:rPr>
          <w:rFonts w:ascii="Arial" w:hAnsi="Arial" w:cs="Arial"/>
        </w:rPr>
        <w:t>in the Scottish and STOPHCV cohorts, respectively.</w:t>
      </w:r>
      <w:r w:rsidR="007A54EC" w:rsidRPr="00D332F6">
        <w:rPr>
          <w:rFonts w:ascii="Arial" w:hAnsi="Arial" w:cs="Arial"/>
        </w:rPr>
        <w:t xml:space="preserve"> </w:t>
      </w:r>
    </w:p>
    <w:p w14:paraId="68F12F8F" w14:textId="77777777" w:rsidR="00BD59D6" w:rsidRPr="00D332F6" w:rsidRDefault="009B159E">
      <w:pPr>
        <w:spacing w:line="360" w:lineRule="auto"/>
        <w:rPr>
          <w:rFonts w:ascii="Arial" w:hAnsi="Arial" w:cs="Arial"/>
        </w:rPr>
      </w:pPr>
      <w:r w:rsidRPr="00D332F6">
        <w:rPr>
          <w:rFonts w:ascii="Arial" w:hAnsi="Arial" w:cs="Arial"/>
        </w:rPr>
        <w:t xml:space="preserve">CONCLUSIONS: </w:t>
      </w:r>
    </w:p>
    <w:p w14:paraId="112A31F3" w14:textId="77777777" w:rsidR="001A301D" w:rsidRPr="00D332F6" w:rsidRDefault="00E209E9">
      <w:pPr>
        <w:pStyle w:val="NormalWeb"/>
        <w:spacing w:before="0" w:after="160" w:line="360" w:lineRule="auto"/>
        <w:rPr>
          <w:rFonts w:ascii="Arial" w:hAnsi="Arial" w:cs="Arial"/>
          <w:sz w:val="22"/>
          <w:szCs w:val="22"/>
        </w:rPr>
      </w:pPr>
      <w:r w:rsidRPr="00D332F6">
        <w:rPr>
          <w:rFonts w:ascii="Arial" w:hAnsi="Arial" w:cs="Arial"/>
          <w:sz w:val="22"/>
          <w:szCs w:val="22"/>
        </w:rPr>
        <w:t xml:space="preserve">aMAP </w:t>
      </w:r>
      <w:r w:rsidR="00735F4F" w:rsidRPr="00D332F6">
        <w:rPr>
          <w:rFonts w:ascii="Arial" w:hAnsi="Arial" w:cs="Arial"/>
          <w:sz w:val="22"/>
          <w:szCs w:val="22"/>
        </w:rPr>
        <w:t>was the best performing model</w:t>
      </w:r>
      <w:r w:rsidR="001134E8" w:rsidRPr="00D332F6">
        <w:rPr>
          <w:rFonts w:ascii="Arial" w:hAnsi="Arial" w:cs="Arial"/>
          <w:sz w:val="22"/>
          <w:szCs w:val="22"/>
        </w:rPr>
        <w:t xml:space="preserve"> in terms </w:t>
      </w:r>
      <w:r w:rsidR="00F3154D" w:rsidRPr="00D332F6">
        <w:rPr>
          <w:rFonts w:ascii="Arial" w:hAnsi="Arial" w:cs="Arial"/>
          <w:sz w:val="22"/>
          <w:szCs w:val="22"/>
        </w:rPr>
        <w:t>of both</w:t>
      </w:r>
      <w:r w:rsidR="001134E8" w:rsidRPr="00D332F6">
        <w:rPr>
          <w:rFonts w:ascii="Arial" w:hAnsi="Arial" w:cs="Arial"/>
          <w:sz w:val="22"/>
          <w:szCs w:val="22"/>
        </w:rPr>
        <w:t xml:space="preserve"> discrimination</w:t>
      </w:r>
      <w:r w:rsidR="00F3154D" w:rsidRPr="00D332F6">
        <w:rPr>
          <w:rFonts w:ascii="Arial" w:hAnsi="Arial" w:cs="Arial"/>
          <w:sz w:val="22"/>
          <w:szCs w:val="22"/>
        </w:rPr>
        <w:t xml:space="preserve"> and </w:t>
      </w:r>
      <w:r w:rsidR="00D60C42" w:rsidRPr="00D332F6">
        <w:rPr>
          <w:rFonts w:ascii="Arial" w:hAnsi="Arial" w:cs="Arial"/>
          <w:sz w:val="22"/>
          <w:szCs w:val="22"/>
        </w:rPr>
        <w:t>calibration</w:t>
      </w:r>
      <w:r w:rsidR="00AE263B" w:rsidRPr="00D332F6">
        <w:rPr>
          <w:rFonts w:ascii="Arial" w:hAnsi="Arial" w:cs="Arial"/>
          <w:sz w:val="22"/>
          <w:szCs w:val="22"/>
        </w:rPr>
        <w:t xml:space="preserve"> and should be used as a benchmark for rival models to surpass</w:t>
      </w:r>
      <w:r w:rsidR="00624813" w:rsidRPr="00D332F6">
        <w:rPr>
          <w:rFonts w:ascii="Arial" w:hAnsi="Arial" w:cs="Arial"/>
          <w:sz w:val="22"/>
          <w:szCs w:val="22"/>
        </w:rPr>
        <w:t>.</w:t>
      </w:r>
      <w:r w:rsidR="001C4CFA" w:rsidRPr="00D332F6">
        <w:rPr>
          <w:rFonts w:ascii="Arial" w:hAnsi="Arial" w:cs="Arial"/>
          <w:sz w:val="22"/>
          <w:szCs w:val="22"/>
        </w:rPr>
        <w:t xml:space="preserve"> </w:t>
      </w:r>
      <w:r w:rsidR="006F7943" w:rsidRPr="00D332F6">
        <w:rPr>
          <w:rFonts w:ascii="Arial" w:hAnsi="Arial" w:cs="Arial"/>
          <w:sz w:val="22"/>
          <w:szCs w:val="22"/>
        </w:rPr>
        <w:t>This study underlines</w:t>
      </w:r>
      <w:r w:rsidR="00624813" w:rsidRPr="00D332F6">
        <w:rPr>
          <w:rFonts w:ascii="Arial" w:hAnsi="Arial" w:cs="Arial"/>
          <w:sz w:val="22"/>
          <w:szCs w:val="22"/>
        </w:rPr>
        <w:t xml:space="preserve"> </w:t>
      </w:r>
      <w:r w:rsidR="006F13A9" w:rsidRPr="00D332F6">
        <w:rPr>
          <w:rFonts w:ascii="Arial" w:hAnsi="Arial" w:cs="Arial"/>
          <w:sz w:val="22"/>
          <w:szCs w:val="22"/>
        </w:rPr>
        <w:t xml:space="preserve">the </w:t>
      </w:r>
      <w:r w:rsidR="00F3154D" w:rsidRPr="00D332F6">
        <w:rPr>
          <w:rFonts w:ascii="Arial" w:hAnsi="Arial" w:cs="Arial"/>
          <w:sz w:val="22"/>
          <w:szCs w:val="22"/>
        </w:rPr>
        <w:t xml:space="preserve">opportunity for </w:t>
      </w:r>
      <w:r w:rsidR="006F7943" w:rsidRPr="00D332F6">
        <w:rPr>
          <w:rFonts w:ascii="Arial" w:hAnsi="Arial" w:cs="Arial"/>
          <w:sz w:val="22"/>
          <w:szCs w:val="22"/>
        </w:rPr>
        <w:t>“real world”</w:t>
      </w:r>
      <w:r w:rsidR="00F3154D" w:rsidRPr="00D332F6">
        <w:rPr>
          <w:rFonts w:ascii="Arial" w:hAnsi="Arial" w:cs="Arial"/>
          <w:sz w:val="22"/>
          <w:szCs w:val="22"/>
        </w:rPr>
        <w:t xml:space="preserve"> risk stratification in </w:t>
      </w:r>
      <w:r w:rsidR="00737786" w:rsidRPr="00D332F6">
        <w:rPr>
          <w:rFonts w:ascii="Arial" w:hAnsi="Arial" w:cs="Arial"/>
          <w:sz w:val="22"/>
          <w:szCs w:val="22"/>
        </w:rPr>
        <w:t>cirrhosis patients with cured HCV</w:t>
      </w:r>
      <w:r w:rsidR="006F13A9" w:rsidRPr="00D332F6">
        <w:rPr>
          <w:rFonts w:ascii="Arial" w:hAnsi="Arial" w:cs="Arial"/>
          <w:sz w:val="22"/>
          <w:szCs w:val="22"/>
        </w:rPr>
        <w:t xml:space="preserve">. </w:t>
      </w:r>
      <w:r w:rsidR="001C4CFA" w:rsidRPr="00D332F6">
        <w:rPr>
          <w:rFonts w:ascii="Arial" w:hAnsi="Arial" w:cs="Arial"/>
          <w:sz w:val="22"/>
          <w:szCs w:val="22"/>
        </w:rPr>
        <w:t>However,</w:t>
      </w:r>
      <w:r w:rsidR="00737786" w:rsidRPr="00D332F6">
        <w:rPr>
          <w:rFonts w:ascii="Arial" w:hAnsi="Arial" w:cs="Arial"/>
          <w:sz w:val="22"/>
          <w:szCs w:val="22"/>
        </w:rPr>
        <w:t xml:space="preserve"> </w:t>
      </w:r>
      <w:r w:rsidR="00810C7A" w:rsidRPr="00D332F6">
        <w:rPr>
          <w:rFonts w:ascii="Arial" w:hAnsi="Arial" w:cs="Arial"/>
          <w:sz w:val="22"/>
          <w:szCs w:val="22"/>
        </w:rPr>
        <w:t>auxiliary</w:t>
      </w:r>
      <w:r w:rsidR="00737786" w:rsidRPr="00D332F6">
        <w:rPr>
          <w:rFonts w:ascii="Arial" w:hAnsi="Arial" w:cs="Arial"/>
          <w:sz w:val="22"/>
          <w:szCs w:val="22"/>
        </w:rPr>
        <w:t xml:space="preserve"> research is needed to </w:t>
      </w:r>
      <w:r w:rsidR="00B079DB" w:rsidRPr="00D332F6">
        <w:rPr>
          <w:rFonts w:ascii="Arial" w:hAnsi="Arial" w:cs="Arial"/>
          <w:sz w:val="22"/>
          <w:szCs w:val="22"/>
        </w:rPr>
        <w:t xml:space="preserve">help </w:t>
      </w:r>
      <w:r w:rsidR="00737786" w:rsidRPr="00D332F6">
        <w:rPr>
          <w:rFonts w:ascii="Arial" w:hAnsi="Arial" w:cs="Arial"/>
          <w:sz w:val="22"/>
          <w:szCs w:val="22"/>
        </w:rPr>
        <w:t>translate a HCC risk prediction into a HCC screening decision.</w:t>
      </w:r>
    </w:p>
    <w:p w14:paraId="3C583AF3" w14:textId="1F9B642C" w:rsidR="002E2160" w:rsidRPr="00D332F6" w:rsidRDefault="001A301D" w:rsidP="003F1C1F">
      <w:pPr>
        <w:pStyle w:val="NormalWeb"/>
        <w:spacing w:before="0" w:after="160" w:line="360" w:lineRule="auto"/>
        <w:rPr>
          <w:rFonts w:ascii="Arial" w:hAnsi="Arial" w:cs="Arial"/>
          <w:sz w:val="22"/>
          <w:szCs w:val="22"/>
        </w:rPr>
      </w:pPr>
      <w:r w:rsidRPr="00D332F6">
        <w:rPr>
          <w:rFonts w:ascii="Arial" w:hAnsi="Arial" w:cs="Arial"/>
          <w:sz w:val="22"/>
          <w:szCs w:val="22"/>
        </w:rPr>
        <w:t xml:space="preserve">LAY SUMMARY: </w:t>
      </w:r>
      <w:r w:rsidR="00737786" w:rsidRPr="00D332F6">
        <w:rPr>
          <w:rFonts w:ascii="Arial" w:hAnsi="Arial" w:cs="Arial"/>
          <w:sz w:val="22"/>
          <w:szCs w:val="22"/>
        </w:rPr>
        <w:t xml:space="preserve"> </w:t>
      </w:r>
      <w:r w:rsidRPr="00D332F6">
        <w:rPr>
          <w:rFonts w:ascii="Arial" w:hAnsi="Arial" w:cs="Arial"/>
          <w:sz w:val="22"/>
          <w:szCs w:val="22"/>
        </w:rPr>
        <w:t xml:space="preserve">Patients with cirrhosis and cured hepatitis C are at high risk of liver cancer- but the risk varies substantially from one patient to the next. </w:t>
      </w:r>
      <w:r w:rsidR="003F1C1F" w:rsidRPr="00D332F6">
        <w:rPr>
          <w:rFonts w:ascii="Arial" w:hAnsi="Arial" w:cs="Arial"/>
          <w:sz w:val="22"/>
          <w:szCs w:val="22"/>
        </w:rPr>
        <w:t xml:space="preserve">Risk calculator tools can alert clinicians to high risk patients and thereby influence decision-making. In this study we tested the performance of 6 risk calculators in more than 2500 patients with cirrhosis and cured hepatitis C. We show that some risk calculators are considerably better than others. Overall, we found that the “aMAP" calculator </w:t>
      </w:r>
      <w:r w:rsidR="00AC4363" w:rsidRPr="00D332F6">
        <w:rPr>
          <w:rFonts w:ascii="Arial" w:hAnsi="Arial" w:cs="Arial"/>
          <w:sz w:val="22"/>
          <w:szCs w:val="22"/>
        </w:rPr>
        <w:t>worked the</w:t>
      </w:r>
      <w:r w:rsidR="003F1C1F" w:rsidRPr="00D332F6">
        <w:rPr>
          <w:rFonts w:ascii="Arial" w:hAnsi="Arial" w:cs="Arial"/>
          <w:sz w:val="22"/>
          <w:szCs w:val="22"/>
        </w:rPr>
        <w:t xml:space="preserve"> best</w:t>
      </w:r>
      <w:r w:rsidR="001729DD" w:rsidRPr="00D332F6">
        <w:rPr>
          <w:rFonts w:ascii="Arial" w:hAnsi="Arial" w:cs="Arial"/>
          <w:sz w:val="22"/>
          <w:szCs w:val="22"/>
        </w:rPr>
        <w:t>, but more work is needed to convert</w:t>
      </w:r>
      <w:r w:rsidR="00AC4363" w:rsidRPr="00D332F6">
        <w:rPr>
          <w:rFonts w:ascii="Arial" w:hAnsi="Arial" w:cs="Arial"/>
          <w:sz w:val="22"/>
          <w:szCs w:val="22"/>
        </w:rPr>
        <w:t xml:space="preserve"> prediction</w:t>
      </w:r>
      <w:r w:rsidR="001729DD" w:rsidRPr="00D332F6">
        <w:rPr>
          <w:rFonts w:ascii="Arial" w:hAnsi="Arial" w:cs="Arial"/>
          <w:sz w:val="22"/>
          <w:szCs w:val="22"/>
        </w:rPr>
        <w:t>s</w:t>
      </w:r>
      <w:r w:rsidR="00AC4363" w:rsidRPr="00D332F6">
        <w:rPr>
          <w:rFonts w:ascii="Arial" w:hAnsi="Arial" w:cs="Arial"/>
          <w:sz w:val="22"/>
          <w:szCs w:val="22"/>
        </w:rPr>
        <w:t xml:space="preserve"> into </w:t>
      </w:r>
      <w:r w:rsidR="001729DD" w:rsidRPr="00D332F6">
        <w:rPr>
          <w:rFonts w:ascii="Arial" w:hAnsi="Arial" w:cs="Arial"/>
          <w:sz w:val="22"/>
          <w:szCs w:val="22"/>
        </w:rPr>
        <w:t>clinical decisions</w:t>
      </w:r>
      <w:r w:rsidR="00AC4363" w:rsidRPr="00D332F6">
        <w:rPr>
          <w:rFonts w:ascii="Arial" w:hAnsi="Arial" w:cs="Arial"/>
          <w:sz w:val="22"/>
          <w:szCs w:val="22"/>
        </w:rPr>
        <w:t xml:space="preserve">.  </w:t>
      </w:r>
    </w:p>
    <w:p w14:paraId="73058781" w14:textId="013AAE42" w:rsidR="00CF1459" w:rsidRPr="00D332F6" w:rsidRDefault="00CF1459" w:rsidP="00CF1459">
      <w:pPr>
        <w:spacing w:line="360" w:lineRule="auto"/>
        <w:rPr>
          <w:rFonts w:ascii="Arial" w:hAnsi="Arial" w:cs="Arial"/>
        </w:rPr>
      </w:pPr>
      <w:r w:rsidRPr="00D332F6">
        <w:rPr>
          <w:rFonts w:ascii="Arial" w:hAnsi="Arial" w:cs="Arial"/>
        </w:rPr>
        <w:t>KEYWORDS:</w:t>
      </w:r>
    </w:p>
    <w:p w14:paraId="2A19E81A" w14:textId="52E8E33D" w:rsidR="00FE73B8" w:rsidRPr="00D332F6" w:rsidRDefault="006B64EA">
      <w:pPr>
        <w:spacing w:line="360" w:lineRule="auto"/>
        <w:rPr>
          <w:rFonts w:ascii="Arial" w:hAnsi="Arial" w:cs="Arial"/>
        </w:rPr>
      </w:pPr>
      <w:r w:rsidRPr="00D332F6">
        <w:rPr>
          <w:rFonts w:ascii="Arial" w:hAnsi="Arial" w:cs="Arial"/>
        </w:rPr>
        <w:t>P</w:t>
      </w:r>
      <w:r w:rsidR="00CF1459" w:rsidRPr="00D332F6">
        <w:rPr>
          <w:rFonts w:ascii="Arial" w:hAnsi="Arial" w:cs="Arial"/>
        </w:rPr>
        <w:t xml:space="preserve">rognosis; </w:t>
      </w:r>
      <w:r w:rsidRPr="00D332F6">
        <w:rPr>
          <w:rFonts w:ascii="Arial" w:hAnsi="Arial" w:cs="Arial"/>
        </w:rPr>
        <w:t>R</w:t>
      </w:r>
      <w:r w:rsidR="00CF1459" w:rsidRPr="00D332F6">
        <w:rPr>
          <w:rFonts w:ascii="Arial" w:hAnsi="Arial" w:cs="Arial"/>
        </w:rPr>
        <w:t xml:space="preserve">isk prediction; </w:t>
      </w:r>
      <w:r w:rsidRPr="00D332F6">
        <w:rPr>
          <w:rFonts w:ascii="Arial" w:hAnsi="Arial" w:cs="Arial"/>
        </w:rPr>
        <w:t>Primary l</w:t>
      </w:r>
      <w:r w:rsidR="00CF1459" w:rsidRPr="00D332F6">
        <w:rPr>
          <w:rFonts w:ascii="Arial" w:hAnsi="Arial" w:cs="Arial"/>
        </w:rPr>
        <w:t xml:space="preserve">iver cancer; </w:t>
      </w:r>
      <w:r w:rsidRPr="00D332F6">
        <w:rPr>
          <w:rFonts w:ascii="Arial" w:hAnsi="Arial" w:cs="Arial"/>
        </w:rPr>
        <w:t>E</w:t>
      </w:r>
      <w:r w:rsidR="00CF1459" w:rsidRPr="00D332F6">
        <w:rPr>
          <w:rFonts w:ascii="Arial" w:hAnsi="Arial" w:cs="Arial"/>
        </w:rPr>
        <w:t xml:space="preserve">xternal validation; </w:t>
      </w:r>
      <w:r w:rsidRPr="00D332F6">
        <w:rPr>
          <w:rFonts w:ascii="Arial" w:hAnsi="Arial" w:cs="Arial"/>
        </w:rPr>
        <w:t>G</w:t>
      </w:r>
      <w:r w:rsidR="00CF1459" w:rsidRPr="00D332F6">
        <w:rPr>
          <w:rFonts w:ascii="Arial" w:hAnsi="Arial" w:cs="Arial"/>
        </w:rPr>
        <w:t xml:space="preserve">enetic risk scores. </w:t>
      </w:r>
    </w:p>
    <w:p w14:paraId="1939CC90" w14:textId="77777777" w:rsidR="008135C0" w:rsidRPr="00D332F6" w:rsidRDefault="008135C0">
      <w:pPr>
        <w:spacing w:line="360" w:lineRule="auto"/>
        <w:rPr>
          <w:rFonts w:ascii="Arial" w:hAnsi="Arial" w:cs="Arial"/>
          <w:b/>
          <w:sz w:val="24"/>
          <w:szCs w:val="24"/>
        </w:rPr>
      </w:pPr>
    </w:p>
    <w:p w14:paraId="68F12F92" w14:textId="0C1EABFC" w:rsidR="00BD59D6" w:rsidRPr="00D332F6" w:rsidRDefault="009B159E">
      <w:pPr>
        <w:spacing w:line="360" w:lineRule="auto"/>
        <w:rPr>
          <w:rFonts w:ascii="Arial" w:hAnsi="Arial" w:cs="Arial"/>
        </w:rPr>
      </w:pPr>
      <w:r w:rsidRPr="00D332F6">
        <w:rPr>
          <w:rFonts w:ascii="Arial" w:hAnsi="Arial" w:cs="Arial"/>
          <w:b/>
          <w:sz w:val="24"/>
          <w:szCs w:val="24"/>
        </w:rPr>
        <w:t>INTRODUCTION</w:t>
      </w:r>
    </w:p>
    <w:p w14:paraId="68F12F93" w14:textId="77777777" w:rsidR="00BD59D6" w:rsidRPr="00D332F6" w:rsidRDefault="009B159E">
      <w:pPr>
        <w:spacing w:line="360" w:lineRule="auto"/>
        <w:rPr>
          <w:rFonts w:ascii="Arial" w:hAnsi="Arial" w:cs="Arial"/>
        </w:rPr>
      </w:pPr>
      <w:r w:rsidRPr="00D332F6">
        <w:rPr>
          <w:rFonts w:ascii="Arial" w:hAnsi="Arial" w:cs="Arial"/>
          <w:noProof/>
        </w:rPr>
        <w:drawing>
          <wp:anchor distT="0" distB="0" distL="0" distR="0" simplePos="0" relativeHeight="251656704" behindDoc="1" locked="0" layoutInCell="1" allowOverlap="1" wp14:anchorId="68F13135" wp14:editId="68F13136">
            <wp:simplePos x="0" y="0"/>
            <wp:positionH relativeFrom="column">
              <wp:posOffset>2176780</wp:posOffset>
            </wp:positionH>
            <wp:positionV relativeFrom="paragraph">
              <wp:posOffset>2014855</wp:posOffset>
            </wp:positionV>
            <wp:extent cx="21590" cy="19685"/>
            <wp:effectExtent l="0" t="0" r="0" b="0"/>
            <wp:wrapNone/>
            <wp:docPr id="1" name="In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k 19"/>
                    <pic:cNvPicPr>
                      <a:picLocks noChangeAspect="1" noChangeArrowheads="1"/>
                    </pic:cNvPicPr>
                  </pic:nvPicPr>
                  <pic:blipFill>
                    <a:blip r:embed="rId15"/>
                    <a:stretch>
                      <a:fillRect/>
                    </a:stretch>
                  </pic:blipFill>
                  <pic:spPr bwMode="auto">
                    <a:xfrm>
                      <a:off x="0" y="0"/>
                      <a:ext cx="21590" cy="19685"/>
                    </a:xfrm>
                    <a:prstGeom prst="rect">
                      <a:avLst/>
                    </a:prstGeom>
                  </pic:spPr>
                </pic:pic>
              </a:graphicData>
            </a:graphic>
          </wp:anchor>
        </w:drawing>
      </w:r>
      <w:r w:rsidRPr="00D332F6">
        <w:rPr>
          <w:rFonts w:ascii="Arial" w:hAnsi="Arial" w:cs="Arial"/>
          <w:noProof/>
        </w:rPr>
        <w:drawing>
          <wp:anchor distT="0" distB="0" distL="0" distR="0" simplePos="0" relativeHeight="251658752" behindDoc="1" locked="0" layoutInCell="1" allowOverlap="1" wp14:anchorId="68F13137" wp14:editId="68F13138">
            <wp:simplePos x="0" y="0"/>
            <wp:positionH relativeFrom="column">
              <wp:posOffset>2082800</wp:posOffset>
            </wp:positionH>
            <wp:positionV relativeFrom="paragraph">
              <wp:posOffset>2020570</wp:posOffset>
            </wp:positionV>
            <wp:extent cx="23495" cy="20955"/>
            <wp:effectExtent l="0" t="0" r="0" b="0"/>
            <wp:wrapNone/>
            <wp:docPr id="2" name="In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k 22"/>
                    <pic:cNvPicPr>
                      <a:picLocks noChangeAspect="1" noChangeArrowheads="1"/>
                    </pic:cNvPicPr>
                  </pic:nvPicPr>
                  <pic:blipFill>
                    <a:blip r:embed="rId16"/>
                    <a:stretch>
                      <a:fillRect/>
                    </a:stretch>
                  </pic:blipFill>
                  <pic:spPr bwMode="auto">
                    <a:xfrm>
                      <a:off x="0" y="0"/>
                      <a:ext cx="23495" cy="20955"/>
                    </a:xfrm>
                    <a:prstGeom prst="rect">
                      <a:avLst/>
                    </a:prstGeom>
                  </pic:spPr>
                </pic:pic>
              </a:graphicData>
            </a:graphic>
          </wp:anchor>
        </w:drawing>
      </w:r>
      <w:r w:rsidRPr="00D332F6">
        <w:rPr>
          <w:rFonts w:ascii="Arial" w:hAnsi="Arial" w:cs="Arial"/>
        </w:rPr>
        <w:t>Patients with hepatitis C virus (HCV) related cirrhosis remain at high risk of hepatocellular carcinoma (HCC) after a virological cure</w:t>
      </w:r>
      <w:r w:rsidRPr="00D332F6">
        <w:rPr>
          <w:rFonts w:ascii="Arial" w:hAnsi="Arial" w:cs="Arial"/>
          <w:vertAlign w:val="superscript"/>
        </w:rPr>
        <w:t>4-6</w:t>
      </w:r>
      <w:r w:rsidRPr="00D332F6">
        <w:rPr>
          <w:rFonts w:ascii="Arial" w:hAnsi="Arial" w:cs="Arial"/>
        </w:rPr>
        <w:t>, which does not appear to diminish over time.</w:t>
      </w:r>
      <w:r w:rsidRPr="00D332F6">
        <w:rPr>
          <w:rFonts w:ascii="Arial" w:hAnsi="Arial" w:cs="Arial"/>
          <w:vertAlign w:val="superscript"/>
        </w:rPr>
        <w:t>7</w:t>
      </w:r>
      <w:r w:rsidRPr="00D332F6">
        <w:rPr>
          <w:rFonts w:ascii="Arial" w:hAnsi="Arial" w:cs="Arial"/>
        </w:rPr>
        <w:t xml:space="preserve"> HCC has amongst the worst five-year survival probabilities of any c</w:t>
      </w:r>
      <w:bookmarkStart w:id="0" w:name="_Hlk65990317"/>
      <w:bookmarkEnd w:id="0"/>
      <w:r w:rsidRPr="00D332F6">
        <w:rPr>
          <w:rFonts w:ascii="Arial" w:hAnsi="Arial" w:cs="Arial"/>
        </w:rPr>
        <w:t>ancer.</w:t>
      </w:r>
      <w:r w:rsidRPr="00D332F6">
        <w:rPr>
          <w:rFonts w:ascii="Arial" w:hAnsi="Arial" w:cs="Arial"/>
          <w:vertAlign w:val="superscript"/>
        </w:rPr>
        <w:t>8</w:t>
      </w:r>
      <w:r w:rsidRPr="00D332F6">
        <w:rPr>
          <w:rFonts w:ascii="Arial" w:hAnsi="Arial" w:cs="Arial"/>
        </w:rPr>
        <w:t xml:space="preserve"> However, if detected at an early stage - i.e. when curative treatments can be administered - five-year survival can exceed 70%.</w:t>
      </w:r>
      <w:r w:rsidRPr="00D332F6">
        <w:rPr>
          <w:rFonts w:ascii="Arial" w:hAnsi="Arial" w:cs="Arial"/>
          <w:vertAlign w:val="superscript"/>
        </w:rPr>
        <w:t>8</w:t>
      </w:r>
      <w:r w:rsidRPr="00D332F6">
        <w:rPr>
          <w:rFonts w:ascii="Arial" w:hAnsi="Arial" w:cs="Arial"/>
        </w:rPr>
        <w:t xml:space="preserve"> The current standard-of-care-for early HCC detection is biannual abdominal ultrasound surveillance with or without alpha fetoprotein.</w:t>
      </w:r>
      <w:r w:rsidRPr="00D332F6">
        <w:rPr>
          <w:rFonts w:ascii="Arial" w:hAnsi="Arial" w:cs="Arial"/>
          <w:vertAlign w:val="superscript"/>
        </w:rPr>
        <w:t xml:space="preserve"> 9,10</w:t>
      </w:r>
      <w:r w:rsidRPr="00D332F6">
        <w:rPr>
          <w:rFonts w:ascii="Arial" w:hAnsi="Arial" w:cs="Arial"/>
        </w:rPr>
        <w:t xml:space="preserve"> Although existing clinical guidelines recommend this intervention for all cirrhosis patients after HCV eradication, there is growing recognition that a more targeted approach is needed – i.e. where clinicians focus their finite resources on patients who stand to benefit the most from surveillance.</w:t>
      </w:r>
      <w:r w:rsidRPr="00D332F6">
        <w:rPr>
          <w:rFonts w:ascii="Arial" w:hAnsi="Arial" w:cs="Arial"/>
          <w:vertAlign w:val="superscript"/>
        </w:rPr>
        <w:t>11,12</w:t>
      </w:r>
    </w:p>
    <w:p w14:paraId="68F12F94" w14:textId="17475A45" w:rsidR="00BD59D6" w:rsidRPr="00D332F6" w:rsidRDefault="009B159E">
      <w:pPr>
        <w:spacing w:line="360" w:lineRule="auto"/>
        <w:rPr>
          <w:rFonts w:ascii="Arial" w:hAnsi="Arial" w:cs="Arial"/>
        </w:rPr>
      </w:pPr>
      <w:r w:rsidRPr="00D332F6">
        <w:rPr>
          <w:rFonts w:ascii="Arial" w:hAnsi="Arial" w:cs="Arial"/>
        </w:rPr>
        <w:t>It is against this backdrop that HCC prediction models are now emerging that can estimate a patient’s risk of developing HCC from routine data. Currently such scores include the Albi-male-age-platelet count (aMAP)</w:t>
      </w:r>
      <w:r w:rsidRPr="00D332F6">
        <w:rPr>
          <w:rFonts w:ascii="Arial" w:hAnsi="Arial" w:cs="Arial"/>
          <w:vertAlign w:val="superscript"/>
        </w:rPr>
        <w:t>13</w:t>
      </w:r>
      <w:r w:rsidRPr="00D332F6">
        <w:rPr>
          <w:rFonts w:ascii="Arial" w:hAnsi="Arial" w:cs="Arial"/>
        </w:rPr>
        <w:t>, the Toronto HCC risk Index (THRI)</w:t>
      </w:r>
      <w:r w:rsidRPr="00D332F6">
        <w:rPr>
          <w:rFonts w:ascii="Arial" w:hAnsi="Arial" w:cs="Arial"/>
          <w:vertAlign w:val="superscript"/>
        </w:rPr>
        <w:t>14</w:t>
      </w:r>
      <w:r w:rsidRPr="00D332F6">
        <w:rPr>
          <w:rFonts w:ascii="Arial" w:hAnsi="Arial" w:cs="Arial"/>
        </w:rPr>
        <w:t>, models derived from the US Veteran Health Affairs (VHA) cohort</w:t>
      </w:r>
      <w:r w:rsidRPr="00D332F6">
        <w:rPr>
          <w:rFonts w:ascii="Arial" w:hAnsi="Arial" w:cs="Arial"/>
          <w:vertAlign w:val="superscript"/>
        </w:rPr>
        <w:t>15</w:t>
      </w:r>
      <w:r w:rsidRPr="00D332F6">
        <w:rPr>
          <w:rFonts w:ascii="Arial" w:hAnsi="Arial" w:cs="Arial"/>
        </w:rPr>
        <w:t xml:space="preserve">, and models from the </w:t>
      </w:r>
      <w:r w:rsidR="007F2B7C" w:rsidRPr="00D332F6">
        <w:rPr>
          <w:rFonts w:ascii="Arial" w:hAnsi="Arial" w:cs="Arial"/>
        </w:rPr>
        <w:t xml:space="preserve">French prospective </w:t>
      </w:r>
      <w:r w:rsidRPr="00D332F6">
        <w:rPr>
          <w:rFonts w:ascii="Arial" w:hAnsi="Arial" w:cs="Arial"/>
        </w:rPr>
        <w:t xml:space="preserve">ANRS-CO12 </w:t>
      </w:r>
      <w:r w:rsidR="007F2B7C" w:rsidRPr="00D332F6">
        <w:rPr>
          <w:rFonts w:ascii="Arial" w:hAnsi="Arial" w:cs="Arial"/>
        </w:rPr>
        <w:t xml:space="preserve">Cir Vir </w:t>
      </w:r>
      <w:r w:rsidRPr="00D332F6">
        <w:rPr>
          <w:rFonts w:ascii="Arial" w:hAnsi="Arial" w:cs="Arial"/>
        </w:rPr>
        <w:t>cohort.</w:t>
      </w:r>
      <w:r w:rsidRPr="00D332F6">
        <w:rPr>
          <w:rFonts w:ascii="Arial" w:hAnsi="Arial" w:cs="Arial"/>
          <w:vertAlign w:val="superscript"/>
        </w:rPr>
        <w:t>16</w:t>
      </w:r>
      <w:r w:rsidRPr="00D332F6">
        <w:rPr>
          <w:rFonts w:ascii="Arial" w:hAnsi="Arial" w:cs="Arial"/>
        </w:rPr>
        <w:t xml:space="preserve"> In addition, two genetic prediction models for HCC have recently been published,</w:t>
      </w:r>
      <w:r w:rsidRPr="00D332F6">
        <w:rPr>
          <w:rFonts w:ascii="Arial" w:hAnsi="Arial" w:cs="Arial"/>
          <w:vertAlign w:val="superscript"/>
        </w:rPr>
        <w:t>17-19</w:t>
      </w:r>
      <w:r w:rsidRPr="00D332F6">
        <w:rPr>
          <w:rFonts w:ascii="Arial" w:hAnsi="Arial" w:cs="Arial"/>
        </w:rPr>
        <w:t xml:space="preserve"> drawing on common genetic polymorphisms such as the rs738409 variant in </w:t>
      </w:r>
      <w:r w:rsidRPr="00D332F6">
        <w:rPr>
          <w:rFonts w:ascii="Arial" w:hAnsi="Arial" w:cs="Arial"/>
          <w:i/>
        </w:rPr>
        <w:t>Patatin-like phospholipase domain-containing protein 3 (PNPLA3)</w:t>
      </w:r>
      <w:r w:rsidRPr="00D332F6">
        <w:rPr>
          <w:rFonts w:ascii="Arial" w:hAnsi="Arial" w:cs="Arial"/>
        </w:rPr>
        <w:t>.</w:t>
      </w:r>
      <w:r w:rsidRPr="00D332F6">
        <w:rPr>
          <w:rFonts w:ascii="Arial" w:hAnsi="Arial" w:cs="Arial"/>
          <w:vertAlign w:val="superscript"/>
        </w:rPr>
        <w:t>20</w:t>
      </w:r>
    </w:p>
    <w:p w14:paraId="68F12F95" w14:textId="275EBAF8" w:rsidR="00BD59D6" w:rsidRPr="00D332F6" w:rsidRDefault="009B159E">
      <w:pPr>
        <w:spacing w:line="360" w:lineRule="auto"/>
        <w:rPr>
          <w:rFonts w:ascii="Arial" w:hAnsi="Arial" w:cs="Arial"/>
        </w:rPr>
      </w:pPr>
      <w:r w:rsidRPr="00D332F6">
        <w:rPr>
          <w:rFonts w:ascii="Arial" w:hAnsi="Arial" w:cs="Arial"/>
        </w:rPr>
        <w:t xml:space="preserve">To enhance clinical decision making, it is </w:t>
      </w:r>
      <w:r w:rsidR="002B2A78" w:rsidRPr="00D332F6">
        <w:rPr>
          <w:rFonts w:ascii="Arial" w:hAnsi="Arial" w:cs="Arial"/>
        </w:rPr>
        <w:t>crucial</w:t>
      </w:r>
      <w:r w:rsidRPr="00D332F6">
        <w:rPr>
          <w:rFonts w:ascii="Arial" w:hAnsi="Arial" w:cs="Arial"/>
        </w:rPr>
        <w:t xml:space="preserve"> that HCC prediction models are able to accurately predict HCC risk in a given patient. Inaccurate predictions have the potential to do harm. For example, underestimating HCC risk could lead to higher-risk patients being denied biannual ultrasound screening, and vice versa, overestimating HCC risk could lead to unnecessary screening in lower risk patients. </w:t>
      </w:r>
    </w:p>
    <w:p w14:paraId="68F12F96" w14:textId="783794E1" w:rsidR="00BD59D6" w:rsidRPr="00D332F6" w:rsidRDefault="009B159E">
      <w:pPr>
        <w:spacing w:line="360" w:lineRule="auto"/>
        <w:rPr>
          <w:rFonts w:ascii="Arial" w:hAnsi="Arial" w:cs="Arial"/>
        </w:rPr>
      </w:pPr>
      <w:r w:rsidRPr="00D332F6">
        <w:rPr>
          <w:rFonts w:ascii="Arial" w:hAnsi="Arial" w:cs="Arial"/>
        </w:rPr>
        <w:t>At present, there are uncertainties regarding the performance of existing HCC prediction models. First, the acid-test of a prediction model’s accuracy is validation in a cohort that is independent from the one used to “train” the model (known as external validation).</w:t>
      </w:r>
      <w:r w:rsidRPr="00D332F6">
        <w:rPr>
          <w:rFonts w:ascii="Arial" w:hAnsi="Arial" w:cs="Arial"/>
          <w:vertAlign w:val="superscript"/>
        </w:rPr>
        <w:t>21</w:t>
      </w:r>
      <w:r w:rsidRPr="00D332F6">
        <w:rPr>
          <w:rFonts w:ascii="Arial" w:hAnsi="Arial" w:cs="Arial"/>
        </w:rPr>
        <w:t xml:space="preserve"> Studies show that model performance is systematically better when measured on the same dataset used to train the model, versus when measured on an “unseen” dataset,</w:t>
      </w:r>
      <w:r w:rsidRPr="00D332F6">
        <w:rPr>
          <w:rFonts w:ascii="Arial" w:hAnsi="Arial" w:cs="Arial"/>
          <w:vertAlign w:val="superscript"/>
        </w:rPr>
        <w:t>22</w:t>
      </w:r>
      <w:r w:rsidRPr="00D332F6">
        <w:rPr>
          <w:rFonts w:ascii="Arial" w:hAnsi="Arial" w:cs="Arial"/>
        </w:rPr>
        <w:t xml:space="preserve"> Existing HCC prediction models have not been rigorously validated in external cohorts (with the exception of the aMAP</w:t>
      </w:r>
      <w:r w:rsidRPr="00D332F6">
        <w:rPr>
          <w:rFonts w:ascii="Arial" w:hAnsi="Arial" w:cs="Arial"/>
          <w:vertAlign w:val="superscript"/>
        </w:rPr>
        <w:t>13</w:t>
      </w:r>
      <w:r w:rsidRPr="00D332F6">
        <w:rPr>
          <w:rFonts w:ascii="Arial" w:hAnsi="Arial" w:cs="Arial"/>
        </w:rPr>
        <w:t>) and thus their performance could be overly optimistic. Second, studies have not adopted a competing risk perspective when evaluating model performance. This may be important because cirrhosis patients are at high risk of dying from causes unrelated to HCC, such as liver failure</w:t>
      </w:r>
      <w:r w:rsidRPr="00D332F6">
        <w:rPr>
          <w:rFonts w:ascii="Arial" w:hAnsi="Arial" w:cs="Arial"/>
          <w:vertAlign w:val="superscript"/>
        </w:rPr>
        <w:t>23</w:t>
      </w:r>
      <w:r w:rsidRPr="00D332F6">
        <w:rPr>
          <w:rFonts w:ascii="Arial" w:hAnsi="Arial" w:cs="Arial"/>
        </w:rPr>
        <w:t xml:space="preserve"> and non-HCC cancer</w:t>
      </w:r>
      <w:r w:rsidRPr="00D332F6">
        <w:rPr>
          <w:rFonts w:ascii="Arial" w:hAnsi="Arial" w:cs="Arial"/>
          <w:vertAlign w:val="superscript"/>
        </w:rPr>
        <w:t>24</w:t>
      </w:r>
      <w:r w:rsidRPr="00D332F6">
        <w:rPr>
          <w:rFonts w:ascii="Arial" w:hAnsi="Arial" w:cs="Arial"/>
        </w:rPr>
        <w:t>; failing to take this into account could lead to biased estimates of prognosis</w:t>
      </w:r>
      <w:r w:rsidRPr="00D332F6">
        <w:rPr>
          <w:rFonts w:ascii="Arial" w:hAnsi="Arial" w:cs="Arial"/>
          <w:vertAlign w:val="superscript"/>
        </w:rPr>
        <w:t>25</w:t>
      </w:r>
      <w:r w:rsidRPr="00D332F6">
        <w:rPr>
          <w:rFonts w:ascii="Arial" w:hAnsi="Arial" w:cs="Arial"/>
        </w:rPr>
        <w:t xml:space="preserve">. Third, the question of whether model performance is the same for all patients, or if it varies according to clinical characteristics, has not been explored. Fourth, genetic prediction models have practical advantages over non-genetic models (e.g. risk score is constant over time, and hence only needs to be measured once). However, it is not clear how they compare performance-wise to their non-genetic counterparts. With these issues in mind, the aim of this study was to investigate the performance of selected HCC prediction models for patients with cured HCV cirrhosis in two separate UK cohorts. </w:t>
      </w:r>
    </w:p>
    <w:p w14:paraId="1F9BA2B4" w14:textId="77777777" w:rsidR="00FB6E42" w:rsidRPr="00D332F6" w:rsidRDefault="00FB6E42">
      <w:pPr>
        <w:spacing w:line="360" w:lineRule="auto"/>
        <w:rPr>
          <w:rFonts w:ascii="Arial" w:hAnsi="Arial" w:cs="Arial"/>
        </w:rPr>
      </w:pPr>
    </w:p>
    <w:p w14:paraId="68F12F97" w14:textId="77777777" w:rsidR="00BD59D6" w:rsidRPr="00D332F6" w:rsidRDefault="009B159E">
      <w:pPr>
        <w:spacing w:line="360" w:lineRule="auto"/>
        <w:rPr>
          <w:rFonts w:ascii="Arial" w:hAnsi="Arial" w:cs="Arial"/>
          <w:b/>
          <w:sz w:val="24"/>
        </w:rPr>
      </w:pPr>
      <w:r w:rsidRPr="00D332F6">
        <w:rPr>
          <w:rFonts w:ascii="Arial" w:hAnsi="Arial" w:cs="Arial"/>
          <w:b/>
          <w:sz w:val="24"/>
        </w:rPr>
        <w:t>METHODS:</w:t>
      </w:r>
    </w:p>
    <w:p w14:paraId="68F12F98" w14:textId="77777777" w:rsidR="00BD59D6" w:rsidRPr="00D332F6" w:rsidRDefault="009B159E">
      <w:pPr>
        <w:spacing w:line="360" w:lineRule="auto"/>
        <w:rPr>
          <w:rFonts w:ascii="Arial" w:hAnsi="Arial" w:cs="Arial"/>
        </w:rPr>
      </w:pPr>
      <w:r w:rsidRPr="00D332F6">
        <w:rPr>
          <w:rFonts w:ascii="Arial" w:hAnsi="Arial" w:cs="Arial"/>
        </w:rPr>
        <w:t>HCC PREDICTION MODELS:</w:t>
      </w:r>
    </w:p>
    <w:p w14:paraId="68F12F99" w14:textId="77777777" w:rsidR="00BD59D6" w:rsidRPr="00D332F6" w:rsidRDefault="009B159E">
      <w:pPr>
        <w:spacing w:line="360" w:lineRule="auto"/>
        <w:rPr>
          <w:rFonts w:ascii="Arial" w:hAnsi="Arial" w:cs="Arial"/>
        </w:rPr>
      </w:pPr>
      <w:r w:rsidRPr="00D332F6">
        <w:rPr>
          <w:rFonts w:ascii="Arial" w:hAnsi="Arial" w:cs="Arial"/>
        </w:rPr>
        <w:t>This study focuses on six HCC prediction models that are suitable or potentially suitable for patients with cirrhosis after HCV virological cure.</w:t>
      </w:r>
    </w:p>
    <w:p w14:paraId="68F12F9A" w14:textId="1CC79E94" w:rsidR="00BD59D6" w:rsidRPr="00D332F6" w:rsidRDefault="009B159E">
      <w:pPr>
        <w:spacing w:line="360" w:lineRule="auto"/>
        <w:rPr>
          <w:rFonts w:ascii="Arial" w:hAnsi="Arial" w:cs="Arial"/>
        </w:rPr>
      </w:pPr>
      <w:r w:rsidRPr="00D332F6">
        <w:rPr>
          <w:rFonts w:ascii="Arial" w:hAnsi="Arial" w:cs="Arial"/>
        </w:rPr>
        <w:t>These six models were: aMAP</w:t>
      </w:r>
      <w:r w:rsidR="0071409B" w:rsidRPr="00D332F6">
        <w:rPr>
          <w:rFonts w:ascii="Arial" w:hAnsi="Arial" w:cs="Arial"/>
        </w:rPr>
        <w:t xml:space="preserve"> (2020)</w:t>
      </w:r>
      <w:r w:rsidRPr="00D332F6">
        <w:rPr>
          <w:rFonts w:ascii="Arial" w:hAnsi="Arial" w:cs="Arial"/>
        </w:rPr>
        <w:t>;</w:t>
      </w:r>
      <w:r w:rsidRPr="00D332F6">
        <w:rPr>
          <w:rFonts w:ascii="Arial" w:hAnsi="Arial" w:cs="Arial"/>
          <w:vertAlign w:val="superscript"/>
        </w:rPr>
        <w:t>13</w:t>
      </w:r>
      <w:r w:rsidRPr="00D332F6">
        <w:rPr>
          <w:rFonts w:ascii="Arial" w:hAnsi="Arial" w:cs="Arial"/>
        </w:rPr>
        <w:t xml:space="preserve"> THRI</w:t>
      </w:r>
      <w:r w:rsidR="0071409B" w:rsidRPr="00D332F6">
        <w:rPr>
          <w:rFonts w:ascii="Arial" w:hAnsi="Arial" w:cs="Arial"/>
        </w:rPr>
        <w:t xml:space="preserve"> (2018)</w:t>
      </w:r>
      <w:r w:rsidRPr="00D332F6">
        <w:rPr>
          <w:rFonts w:ascii="Arial" w:hAnsi="Arial" w:cs="Arial"/>
        </w:rPr>
        <w:t>;</w:t>
      </w:r>
      <w:r w:rsidRPr="00D332F6">
        <w:rPr>
          <w:rFonts w:ascii="Arial" w:hAnsi="Arial" w:cs="Arial"/>
          <w:vertAlign w:val="superscript"/>
        </w:rPr>
        <w:t>14</w:t>
      </w:r>
      <w:r w:rsidRPr="00D332F6">
        <w:rPr>
          <w:rFonts w:ascii="Arial" w:hAnsi="Arial" w:cs="Arial"/>
        </w:rPr>
        <w:t xml:space="preserve"> VHA cirrhosis SVR score</w:t>
      </w:r>
      <w:r w:rsidR="0071409B" w:rsidRPr="00D332F6">
        <w:rPr>
          <w:rFonts w:ascii="Arial" w:hAnsi="Arial" w:cs="Arial"/>
        </w:rPr>
        <w:t xml:space="preserve"> (2018)</w:t>
      </w:r>
      <w:r w:rsidRPr="00D332F6">
        <w:rPr>
          <w:rFonts w:ascii="Arial" w:hAnsi="Arial" w:cs="Arial"/>
        </w:rPr>
        <w:t>;</w:t>
      </w:r>
      <w:r w:rsidRPr="00D332F6">
        <w:rPr>
          <w:rFonts w:ascii="Arial" w:hAnsi="Arial" w:cs="Arial"/>
          <w:vertAlign w:val="superscript"/>
        </w:rPr>
        <w:t>15</w:t>
      </w:r>
      <w:r w:rsidRPr="00D332F6">
        <w:rPr>
          <w:rFonts w:ascii="Arial" w:hAnsi="Arial" w:cs="Arial"/>
        </w:rPr>
        <w:t xml:space="preserve"> ANRS CO12 CirVir score</w:t>
      </w:r>
      <w:r w:rsidR="0071409B" w:rsidRPr="00D332F6">
        <w:rPr>
          <w:rFonts w:ascii="Arial" w:hAnsi="Arial" w:cs="Arial"/>
        </w:rPr>
        <w:t xml:space="preserve"> (2017)</w:t>
      </w:r>
      <w:r w:rsidRPr="00D332F6">
        <w:rPr>
          <w:rFonts w:ascii="Arial" w:hAnsi="Arial" w:cs="Arial"/>
        </w:rPr>
        <w:t>;</w:t>
      </w:r>
      <w:r w:rsidRPr="00D332F6">
        <w:rPr>
          <w:rFonts w:ascii="Arial" w:hAnsi="Arial" w:cs="Arial"/>
          <w:vertAlign w:val="superscript"/>
        </w:rPr>
        <w:t>16</w:t>
      </w:r>
      <w:r w:rsidRPr="00D332F6">
        <w:rPr>
          <w:rFonts w:ascii="Arial" w:hAnsi="Arial" w:cs="Arial"/>
        </w:rPr>
        <w:t xml:space="preserve"> Dongiovanni et al Genetic risk score</w:t>
      </w:r>
      <w:r w:rsidR="0071409B" w:rsidRPr="00D332F6">
        <w:rPr>
          <w:rFonts w:ascii="Arial" w:hAnsi="Arial" w:cs="Arial"/>
        </w:rPr>
        <w:t xml:space="preserve"> (2020)</w:t>
      </w:r>
      <w:r w:rsidRPr="00D332F6">
        <w:rPr>
          <w:rFonts w:ascii="Arial" w:hAnsi="Arial" w:cs="Arial"/>
        </w:rPr>
        <w:t>;</w:t>
      </w:r>
      <w:r w:rsidRPr="00D332F6">
        <w:rPr>
          <w:rFonts w:ascii="Arial" w:hAnsi="Arial" w:cs="Arial"/>
          <w:vertAlign w:val="superscript"/>
        </w:rPr>
        <w:t>17,18</w:t>
      </w:r>
      <w:r w:rsidRPr="00D332F6">
        <w:rPr>
          <w:rFonts w:ascii="Arial" w:hAnsi="Arial" w:cs="Arial"/>
        </w:rPr>
        <w:t xml:space="preserve"> and Gellert-Kristensen et al Genetic risk score</w:t>
      </w:r>
      <w:r w:rsidR="0071409B" w:rsidRPr="00D332F6">
        <w:rPr>
          <w:rFonts w:ascii="Arial" w:hAnsi="Arial" w:cs="Arial"/>
        </w:rPr>
        <w:t xml:space="preserve"> (2020)</w:t>
      </w:r>
      <w:r w:rsidR="007E7A00" w:rsidRPr="00D332F6">
        <w:rPr>
          <w:rFonts w:ascii="Arial" w:hAnsi="Arial" w:cs="Arial"/>
        </w:rPr>
        <w:t>.</w:t>
      </w:r>
      <w:r w:rsidRPr="00D332F6">
        <w:rPr>
          <w:rFonts w:ascii="Arial" w:hAnsi="Arial" w:cs="Arial"/>
          <w:vertAlign w:val="superscript"/>
        </w:rPr>
        <w:t>19</w:t>
      </w:r>
    </w:p>
    <w:p w14:paraId="68F12F9B" w14:textId="311B5A6D" w:rsidR="00BD59D6" w:rsidRPr="00D332F6" w:rsidRDefault="009B159E">
      <w:pPr>
        <w:spacing w:line="360" w:lineRule="auto"/>
        <w:rPr>
          <w:rFonts w:ascii="Arial" w:hAnsi="Arial" w:cs="Arial"/>
        </w:rPr>
      </w:pPr>
      <w:r w:rsidRPr="00D332F6">
        <w:rPr>
          <w:rFonts w:ascii="Arial" w:hAnsi="Arial" w:cs="Arial"/>
        </w:rPr>
        <w:t>For each prediction model, we extracted information from published articles relating to the following aspects of model derivation: sample size, average duration of follow-up, number of HCCs observed, proportion with HCV aetiology; specific prognostic factors selected and the discrimination performance reported</w:t>
      </w:r>
      <w:r w:rsidR="00DD0AE6" w:rsidRPr="00D332F6">
        <w:rPr>
          <w:rFonts w:ascii="Arial" w:hAnsi="Arial" w:cs="Arial"/>
        </w:rPr>
        <w:t xml:space="preserve"> see Table S1-S2 and Appendix A). </w:t>
      </w:r>
    </w:p>
    <w:p w14:paraId="68F12F9C" w14:textId="77777777" w:rsidR="00BD59D6" w:rsidRPr="00D332F6" w:rsidRDefault="009B159E">
      <w:pPr>
        <w:spacing w:line="360" w:lineRule="auto"/>
        <w:rPr>
          <w:rFonts w:ascii="Arial" w:hAnsi="Arial" w:cs="Arial"/>
        </w:rPr>
      </w:pPr>
      <w:r w:rsidRPr="00D332F6">
        <w:rPr>
          <w:rFonts w:ascii="Arial" w:hAnsi="Arial" w:cs="Arial"/>
        </w:rPr>
        <w:t>DATA SOURCES FOR EXTERNAL VALIDATION:</w:t>
      </w:r>
    </w:p>
    <w:p w14:paraId="68F12F9D" w14:textId="77777777" w:rsidR="00BD59D6" w:rsidRPr="00D332F6" w:rsidRDefault="009B159E">
      <w:pPr>
        <w:spacing w:line="360" w:lineRule="auto"/>
        <w:rPr>
          <w:rFonts w:ascii="Arial" w:hAnsi="Arial" w:cs="Arial"/>
        </w:rPr>
      </w:pPr>
      <w:r w:rsidRPr="00D332F6">
        <w:rPr>
          <w:rFonts w:ascii="Arial" w:hAnsi="Arial" w:cs="Arial"/>
        </w:rPr>
        <w:t>Model performance was assessed on cirrhosis SVR patients from two UK cohorts, both followed from the date of SVR achievement.</w:t>
      </w:r>
    </w:p>
    <w:p w14:paraId="68F12F9E" w14:textId="77777777" w:rsidR="00BD59D6" w:rsidRPr="00D332F6" w:rsidRDefault="009B159E">
      <w:pPr>
        <w:spacing w:line="360" w:lineRule="auto"/>
        <w:rPr>
          <w:rFonts w:ascii="Arial" w:hAnsi="Arial" w:cs="Arial"/>
        </w:rPr>
      </w:pPr>
      <w:r w:rsidRPr="00D332F6">
        <w:rPr>
          <w:rFonts w:ascii="Arial" w:hAnsi="Arial" w:cs="Arial"/>
        </w:rPr>
        <w:t>STOPHCV COHORT</w:t>
      </w:r>
    </w:p>
    <w:p w14:paraId="68F12F9F" w14:textId="01ED2561" w:rsidR="00BD59D6" w:rsidRPr="00D332F6" w:rsidRDefault="009B159E">
      <w:pPr>
        <w:spacing w:line="360" w:lineRule="auto"/>
        <w:rPr>
          <w:rFonts w:ascii="Arial" w:hAnsi="Arial" w:cs="Arial"/>
          <w:color w:val="auto"/>
        </w:rPr>
      </w:pPr>
      <w:r w:rsidRPr="00D332F6">
        <w:rPr>
          <w:rFonts w:ascii="Arial" w:hAnsi="Arial" w:cs="Arial"/>
        </w:rPr>
        <w:t xml:space="preserve">The STratified medicine to Optimise Treatment of Hepatitis C Virus (STOP-HCV) cirrhosis cohort is a prospective cohort study of 1255 patients with liver cirrhosis and a history of chronic HCV infection. Participants were recruited from 31 liver clinics across the UK (except Northern Ireland) in Jan 2015-July 2016- i.e. coinciding with the introduction of direct acting antivirals. Cirrhosis was defined on the basis of: a) Histological assessment (Ishak 5/6 or Metavir 4); OR b) imaging results consistent with cirrhosis, including Fibroscan greater than 15kPa; OR c) validated serum biomarker consistent with cirrhosis (including APRI&gt;2 and ELF test&gt;10.48).  Detailed clinical and laboratory information were collected on participants at the time </w:t>
      </w:r>
      <w:r w:rsidRPr="00D332F6">
        <w:rPr>
          <w:rFonts w:ascii="Arial" w:hAnsi="Arial" w:cs="Arial"/>
          <w:color w:val="auto"/>
        </w:rPr>
        <w:t xml:space="preserve">of study enrolment and during subsequent annual study visits. Participants also provided a blood sample at enrolment which was used to generate genotyping information using the Affymetrix UK Biobank array, which directly characterises individuals with respect to more than 800,000 genetic variants. Participants have also been linked to health registries covering England and/or Wales, including the Hospital Episodes Statistics Admitted patients care dataset; cancer registrations collected by Public Health England; and death registrations. </w:t>
      </w:r>
      <w:r w:rsidR="0095197D" w:rsidRPr="00D332F6">
        <w:rPr>
          <w:rFonts w:ascii="Arial" w:hAnsi="Arial" w:cs="Arial"/>
          <w:color w:val="auto"/>
        </w:rPr>
        <w:t xml:space="preserve">The study was approved by the West Midlands </w:t>
      </w:r>
      <w:r w:rsidR="00B074F6" w:rsidRPr="00D332F6">
        <w:rPr>
          <w:rFonts w:ascii="Arial" w:hAnsi="Arial" w:cs="Arial"/>
          <w:color w:val="auto"/>
        </w:rPr>
        <w:t xml:space="preserve">Research Ethics Committee </w:t>
      </w:r>
      <w:r w:rsidR="0095197D" w:rsidRPr="00D332F6">
        <w:rPr>
          <w:rFonts w:ascii="Arial" w:hAnsi="Arial" w:cs="Arial"/>
          <w:color w:val="auto"/>
        </w:rPr>
        <w:t xml:space="preserve">(application reference: 14/WM/1128); </w:t>
      </w:r>
      <w:r w:rsidR="00940DDB" w:rsidRPr="00D332F6">
        <w:rPr>
          <w:rFonts w:ascii="Arial" w:hAnsi="Arial" w:cs="Arial"/>
          <w:color w:val="auto"/>
        </w:rPr>
        <w:t xml:space="preserve">Informed consent was obtained from all participants.  </w:t>
      </w:r>
    </w:p>
    <w:p w14:paraId="68F12FA0" w14:textId="77777777" w:rsidR="00BD59D6" w:rsidRPr="00D332F6" w:rsidRDefault="009B159E">
      <w:pPr>
        <w:spacing w:line="360" w:lineRule="auto"/>
        <w:rPr>
          <w:rFonts w:ascii="Arial" w:hAnsi="Arial" w:cs="Arial"/>
          <w:color w:val="auto"/>
        </w:rPr>
      </w:pPr>
      <w:r w:rsidRPr="00D332F6">
        <w:rPr>
          <w:rFonts w:ascii="Arial" w:hAnsi="Arial" w:cs="Arial"/>
          <w:color w:val="auto"/>
        </w:rPr>
        <w:t>SCOTTISH HCV CLINICAL DATABASE</w:t>
      </w:r>
    </w:p>
    <w:p w14:paraId="05C22290" w14:textId="7A2AABE8" w:rsidR="00940DDB" w:rsidRPr="00D332F6" w:rsidRDefault="009B159E">
      <w:pPr>
        <w:spacing w:line="360" w:lineRule="auto"/>
        <w:rPr>
          <w:rFonts w:ascii="Arial" w:hAnsi="Arial" w:cs="Arial"/>
          <w:color w:val="auto"/>
        </w:rPr>
      </w:pPr>
      <w:r w:rsidRPr="00D332F6">
        <w:rPr>
          <w:rFonts w:ascii="Arial" w:hAnsi="Arial" w:cs="Arial"/>
          <w:color w:val="auto"/>
        </w:rPr>
        <w:t>The Scottish HCV clinical database has been described extensively elsewhere.</w:t>
      </w:r>
      <w:r w:rsidRPr="00D332F6">
        <w:rPr>
          <w:rFonts w:ascii="Arial" w:hAnsi="Arial" w:cs="Arial"/>
          <w:color w:val="auto"/>
          <w:vertAlign w:val="superscript"/>
        </w:rPr>
        <w:t>2,26,27</w:t>
      </w:r>
      <w:r w:rsidRPr="00D332F6">
        <w:rPr>
          <w:rFonts w:ascii="Arial" w:hAnsi="Arial" w:cs="Arial"/>
          <w:color w:val="auto"/>
        </w:rPr>
        <w:t xml:space="preserve"> </w:t>
      </w:r>
      <w:r w:rsidR="00687BCD" w:rsidRPr="00D332F6">
        <w:rPr>
          <w:rFonts w:ascii="Arial" w:hAnsi="Arial" w:cs="Arial"/>
          <w:color w:val="auto"/>
        </w:rPr>
        <w:t>I</w:t>
      </w:r>
      <w:r w:rsidRPr="00D332F6">
        <w:rPr>
          <w:rFonts w:ascii="Arial" w:hAnsi="Arial" w:cs="Arial"/>
          <w:color w:val="auto"/>
        </w:rPr>
        <w:t>t is a retrospective cohort study of c.25,000 patients in Scotland who have attended a specialist liver clinic appointment for care/management of chronic HCV infection. The database records information collected during routine clinical care including antiviral treatment episodes, diagnosis of cirrhosis and the results of laboratory tests. It is also linked routinely to national health registries in Scotland, including the hospital, mortality and cancer registers.</w:t>
      </w:r>
      <w:r w:rsidR="00940DDB" w:rsidRPr="00D332F6">
        <w:rPr>
          <w:rFonts w:ascii="Arial" w:hAnsi="Arial" w:cs="Arial"/>
          <w:color w:val="auto"/>
        </w:rPr>
        <w:t xml:space="preserve"> </w:t>
      </w:r>
      <w:r w:rsidR="004E1356" w:rsidRPr="00D332F6">
        <w:rPr>
          <w:rFonts w:ascii="Arial" w:hAnsi="Arial" w:cs="Arial"/>
          <w:color w:val="auto"/>
        </w:rPr>
        <w:t xml:space="preserve">Approval to link these registries and perform data analysis was granted </w:t>
      </w:r>
      <w:r w:rsidR="00940DDB" w:rsidRPr="00D332F6">
        <w:rPr>
          <w:rFonts w:ascii="Arial" w:hAnsi="Arial" w:cs="Arial"/>
          <w:color w:val="auto"/>
        </w:rPr>
        <w:t xml:space="preserve">by </w:t>
      </w:r>
      <w:r w:rsidR="004E1356" w:rsidRPr="00D332F6">
        <w:rPr>
          <w:rFonts w:ascii="Arial" w:hAnsi="Arial" w:cs="Arial"/>
          <w:color w:val="auto"/>
        </w:rPr>
        <w:t xml:space="preserve">the </w:t>
      </w:r>
      <w:r w:rsidR="00940DDB" w:rsidRPr="00D332F6">
        <w:rPr>
          <w:rFonts w:ascii="Arial" w:hAnsi="Arial" w:cs="Arial"/>
          <w:color w:val="auto"/>
        </w:rPr>
        <w:t xml:space="preserve">Privacy </w:t>
      </w:r>
      <w:r w:rsidR="004E1356" w:rsidRPr="00D332F6">
        <w:rPr>
          <w:rFonts w:ascii="Arial" w:hAnsi="Arial" w:cs="Arial"/>
          <w:color w:val="auto"/>
        </w:rPr>
        <w:t>P</w:t>
      </w:r>
      <w:r w:rsidR="00940DDB" w:rsidRPr="00D332F6">
        <w:rPr>
          <w:rFonts w:ascii="Arial" w:hAnsi="Arial" w:cs="Arial"/>
          <w:color w:val="auto"/>
        </w:rPr>
        <w:t xml:space="preserve">ublic </w:t>
      </w:r>
      <w:r w:rsidR="004E1356" w:rsidRPr="00D332F6">
        <w:rPr>
          <w:rFonts w:ascii="Arial" w:hAnsi="Arial" w:cs="Arial"/>
          <w:color w:val="auto"/>
        </w:rPr>
        <w:t>B</w:t>
      </w:r>
      <w:r w:rsidR="00940DDB" w:rsidRPr="00D332F6">
        <w:rPr>
          <w:rFonts w:ascii="Arial" w:hAnsi="Arial" w:cs="Arial"/>
          <w:color w:val="auto"/>
        </w:rPr>
        <w:t xml:space="preserve">enefit </w:t>
      </w:r>
      <w:r w:rsidR="004E1356" w:rsidRPr="00D332F6">
        <w:rPr>
          <w:rFonts w:ascii="Arial" w:hAnsi="Arial" w:cs="Arial"/>
          <w:color w:val="auto"/>
        </w:rPr>
        <w:t>P</w:t>
      </w:r>
      <w:r w:rsidR="00940DDB" w:rsidRPr="00D332F6">
        <w:rPr>
          <w:rFonts w:ascii="Arial" w:hAnsi="Arial" w:cs="Arial"/>
          <w:color w:val="auto"/>
        </w:rPr>
        <w:t>anel</w:t>
      </w:r>
      <w:r w:rsidR="004E1356" w:rsidRPr="00D332F6">
        <w:rPr>
          <w:rFonts w:ascii="Arial" w:hAnsi="Arial" w:cs="Arial"/>
          <w:color w:val="auto"/>
        </w:rPr>
        <w:t xml:space="preserve"> for Health a</w:t>
      </w:r>
      <w:r w:rsidR="001732B8" w:rsidRPr="00D332F6">
        <w:rPr>
          <w:rFonts w:ascii="Arial" w:hAnsi="Arial" w:cs="Arial"/>
          <w:color w:val="auto"/>
        </w:rPr>
        <w:t>n</w:t>
      </w:r>
      <w:r w:rsidR="004E1356" w:rsidRPr="00D332F6">
        <w:rPr>
          <w:rFonts w:ascii="Arial" w:hAnsi="Arial" w:cs="Arial"/>
          <w:color w:val="auto"/>
        </w:rPr>
        <w:t>d Social Care in NHS Scotland</w:t>
      </w:r>
      <w:r w:rsidR="00940DDB" w:rsidRPr="00D332F6">
        <w:rPr>
          <w:rFonts w:ascii="Arial" w:hAnsi="Arial" w:cs="Arial"/>
          <w:color w:val="auto"/>
        </w:rPr>
        <w:t xml:space="preserve"> (application number: 1516-0457).</w:t>
      </w:r>
    </w:p>
    <w:p w14:paraId="68F12FA2" w14:textId="77777777" w:rsidR="00BD59D6" w:rsidRPr="00D332F6" w:rsidRDefault="009B159E">
      <w:pPr>
        <w:spacing w:line="360" w:lineRule="auto"/>
        <w:rPr>
          <w:rFonts w:ascii="Arial" w:hAnsi="Arial" w:cs="Arial"/>
        </w:rPr>
      </w:pPr>
      <w:r w:rsidRPr="00D332F6">
        <w:rPr>
          <w:rFonts w:ascii="Arial" w:hAnsi="Arial" w:cs="Arial"/>
        </w:rPr>
        <w:t xml:space="preserve">Liver cirrhosis was defined as compensated or decompensated cirrhosis diagnosed during routine clinical investigation. Diagnoses were typically made following liver biopsy; transient elastography; abdominal ultrasound; clinical examination; and routine liver function tests, according to clinical guidelines at that time. Of note, no information on genetic risk factors/polymorphisms were available in the Scottish cohort. </w:t>
      </w:r>
    </w:p>
    <w:p w14:paraId="68F12FA3" w14:textId="77777777" w:rsidR="00BD59D6" w:rsidRPr="00D332F6" w:rsidRDefault="009B159E">
      <w:pPr>
        <w:spacing w:line="360" w:lineRule="auto"/>
        <w:rPr>
          <w:rFonts w:ascii="Arial" w:hAnsi="Arial" w:cs="Arial"/>
        </w:rPr>
      </w:pPr>
      <w:r w:rsidRPr="00D332F6">
        <w:rPr>
          <w:rFonts w:ascii="Arial" w:hAnsi="Arial" w:cs="Arial"/>
        </w:rPr>
        <w:t xml:space="preserve">INCLUSION CRITERIA: </w:t>
      </w:r>
    </w:p>
    <w:p w14:paraId="68F12FA4" w14:textId="77777777" w:rsidR="00BD59D6" w:rsidRPr="00D332F6" w:rsidRDefault="009B159E">
      <w:pPr>
        <w:spacing w:line="360" w:lineRule="auto"/>
        <w:rPr>
          <w:rFonts w:ascii="Arial" w:hAnsi="Arial" w:cs="Arial"/>
        </w:rPr>
      </w:pPr>
      <w:r w:rsidRPr="00D332F6">
        <w:rPr>
          <w:rFonts w:ascii="Arial" w:hAnsi="Arial" w:cs="Arial"/>
        </w:rPr>
        <w:t xml:space="preserve">For both cohorts, we included all patients with cirrhosis prior to initiating antiviral therapy and who subsequently achieved SVR. All SVRs were included irrespective of antiviral treatment regimen. If a patient had more than one treatment episode resulting in SVR, then the first episode was selected. </w:t>
      </w:r>
    </w:p>
    <w:p w14:paraId="68F12FA5" w14:textId="77777777" w:rsidR="00BD59D6" w:rsidRPr="00D332F6" w:rsidRDefault="009B159E">
      <w:pPr>
        <w:spacing w:line="360" w:lineRule="auto"/>
        <w:rPr>
          <w:rFonts w:ascii="Arial" w:hAnsi="Arial" w:cs="Arial"/>
        </w:rPr>
      </w:pPr>
      <w:r w:rsidRPr="00D332F6">
        <w:rPr>
          <w:rFonts w:ascii="Arial" w:hAnsi="Arial" w:cs="Arial"/>
        </w:rPr>
        <w:t>EXCLUSION CRITERIA:</w:t>
      </w:r>
    </w:p>
    <w:p w14:paraId="68F12FA6" w14:textId="77777777" w:rsidR="00BD59D6" w:rsidRPr="00D332F6" w:rsidRDefault="009B159E">
      <w:pPr>
        <w:spacing w:line="360" w:lineRule="auto"/>
        <w:rPr>
          <w:rFonts w:ascii="Arial" w:hAnsi="Arial" w:cs="Arial"/>
        </w:rPr>
      </w:pPr>
      <w:r w:rsidRPr="00D332F6">
        <w:rPr>
          <w:rFonts w:ascii="Arial" w:hAnsi="Arial" w:cs="Arial"/>
        </w:rPr>
        <w:t xml:space="preserve">Of those satisfying our aforementioned inclusion criteria, we then excluded patients as follows. </w:t>
      </w:r>
    </w:p>
    <w:p w14:paraId="68F12FA7" w14:textId="2419B6ED" w:rsidR="00BD59D6" w:rsidRPr="00D332F6" w:rsidRDefault="009B159E">
      <w:pPr>
        <w:spacing w:line="360" w:lineRule="auto"/>
        <w:rPr>
          <w:rFonts w:ascii="Arial" w:hAnsi="Arial" w:cs="Arial"/>
        </w:rPr>
      </w:pPr>
      <w:r w:rsidRPr="00D332F6">
        <w:rPr>
          <w:rFonts w:ascii="Arial" w:hAnsi="Arial" w:cs="Arial"/>
        </w:rPr>
        <w:t>For the STOPHCV cohort, we first excluded participants recruited from Scottish and Welsh clinics where linkage data to health registries were unavailable or not complete. This exclusion also ensured there was no patient overlap between the STOPHCV and Scottish cohorts. Second, we excluded participants with a diagnosis of HCC prior to completing antiviral therapy. Third, we excluded participants who had already achieved an SVR at the time of STOPHCV study enrolment. This exclusion was applied to prevent immortal time bias</w:t>
      </w:r>
      <w:r w:rsidR="001074FB" w:rsidRPr="00D332F6">
        <w:rPr>
          <w:rFonts w:ascii="Arial" w:hAnsi="Arial" w:cs="Arial"/>
          <w:vertAlign w:val="superscript"/>
        </w:rPr>
        <w:t>28</w:t>
      </w:r>
      <w:r w:rsidRPr="00D332F6">
        <w:rPr>
          <w:rFonts w:ascii="Arial" w:hAnsi="Arial" w:cs="Arial"/>
        </w:rPr>
        <w:t xml:space="preserve"> between SVR achievement and STOPHCV study enrolment. </w:t>
      </w:r>
    </w:p>
    <w:p w14:paraId="68F12FA8" w14:textId="116E24A2" w:rsidR="00BD59D6" w:rsidRPr="00D332F6" w:rsidRDefault="009B159E">
      <w:pPr>
        <w:spacing w:line="360" w:lineRule="auto"/>
        <w:rPr>
          <w:rFonts w:ascii="Arial" w:hAnsi="Arial" w:cs="Arial"/>
        </w:rPr>
      </w:pPr>
      <w:r w:rsidRPr="00D332F6">
        <w:rPr>
          <w:rFonts w:ascii="Arial" w:hAnsi="Arial" w:cs="Arial"/>
        </w:rPr>
        <w:t xml:space="preserve">For the Scottish cohort, we excluded individuals with a history of HCC prior to achieving SVR. No other exclusions were made. </w:t>
      </w:r>
    </w:p>
    <w:p w14:paraId="68F12FA9" w14:textId="77777777" w:rsidR="00BD59D6" w:rsidRPr="00D332F6" w:rsidRDefault="009B159E">
      <w:pPr>
        <w:spacing w:line="360" w:lineRule="auto"/>
        <w:rPr>
          <w:rFonts w:ascii="Arial" w:hAnsi="Arial" w:cs="Arial"/>
        </w:rPr>
      </w:pPr>
      <w:r w:rsidRPr="00D332F6">
        <w:rPr>
          <w:rFonts w:ascii="Arial" w:hAnsi="Arial" w:cs="Arial"/>
        </w:rPr>
        <w:t xml:space="preserve">HCC RISK PREDICTIONS: </w:t>
      </w:r>
    </w:p>
    <w:p w14:paraId="68F12FAA" w14:textId="35F191B6" w:rsidR="00BD59D6" w:rsidRPr="00D332F6" w:rsidRDefault="009B159E">
      <w:pPr>
        <w:spacing w:line="360" w:lineRule="auto"/>
        <w:rPr>
          <w:rFonts w:ascii="Arial" w:hAnsi="Arial" w:cs="Arial"/>
        </w:rPr>
      </w:pPr>
      <w:r w:rsidRPr="00D332F6">
        <w:rPr>
          <w:rFonts w:ascii="Arial" w:hAnsi="Arial" w:cs="Arial"/>
        </w:rPr>
        <w:t xml:space="preserve">Many of the prognostic factors included in the </w:t>
      </w:r>
      <w:r w:rsidR="000D3CDD" w:rsidRPr="00D332F6">
        <w:rPr>
          <w:rFonts w:ascii="Arial" w:hAnsi="Arial" w:cs="Arial"/>
        </w:rPr>
        <w:t xml:space="preserve">non-genetic </w:t>
      </w:r>
      <w:r w:rsidRPr="00D332F6">
        <w:rPr>
          <w:rFonts w:ascii="Arial" w:hAnsi="Arial" w:cs="Arial"/>
        </w:rPr>
        <w:t>HCC risk prediction models are dynamic insofar as they change over time. For prognostic factors based on laboratory tests (i.e. albumin, platelet count etc), we selected the most recent test on or prior to the start of antiviral treatment. Tests conducted more than twelve months before initiating treatment were excluded. We considered using laboratory tests conducted up to twelve months prior to SVR achievement to align with the date of follow-up commencement (see later paragraph on “definition of risk sets”), however we decided against this because antiviral treatment can cause acute and temporary changes in liver blood test values that may not necessarily reflect long-term risk profile. Age however, was based on age at the time of SVR achievement (i.e. time zero).  Information on Gamma Glutamyl transferase was not available in the STOPHCV cohort, precluding calculating values for the ANRS C012 CirVir model.</w:t>
      </w:r>
      <w:r w:rsidRPr="00D332F6">
        <w:rPr>
          <w:rFonts w:ascii="Arial" w:hAnsi="Arial" w:cs="Arial"/>
          <w:vertAlign w:val="superscript"/>
        </w:rPr>
        <w:t>16</w:t>
      </w:r>
    </w:p>
    <w:p w14:paraId="68F12FAB" w14:textId="77777777" w:rsidR="00BD59D6" w:rsidRPr="00D332F6" w:rsidRDefault="009B159E">
      <w:pPr>
        <w:spacing w:line="360" w:lineRule="auto"/>
        <w:rPr>
          <w:rFonts w:ascii="Arial" w:hAnsi="Arial" w:cs="Arial"/>
        </w:rPr>
      </w:pPr>
      <w:r w:rsidRPr="00D332F6">
        <w:rPr>
          <w:rFonts w:ascii="Arial" w:hAnsi="Arial" w:cs="Arial"/>
        </w:rPr>
        <w:t>PRIMARY OUTCOME EVENT</w:t>
      </w:r>
    </w:p>
    <w:p w14:paraId="68F12FAD" w14:textId="47B90006" w:rsidR="00BD59D6" w:rsidRPr="00D332F6" w:rsidRDefault="009B159E">
      <w:pPr>
        <w:spacing w:line="360" w:lineRule="auto"/>
        <w:rPr>
          <w:rFonts w:ascii="Arial" w:hAnsi="Arial" w:cs="Arial"/>
        </w:rPr>
      </w:pPr>
      <w:r w:rsidRPr="00D332F6">
        <w:rPr>
          <w:rFonts w:ascii="Arial" w:hAnsi="Arial" w:cs="Arial"/>
        </w:rPr>
        <w:t xml:space="preserve">The primary outcome event was diagnosis of hepatocellular carcinoma (HCC), identified through linkage to relevant administrative health databases. Specifically, for the STOP-HCV study, we used data from the England Admitted Patient Care database, the national cancer registry and mortality register to identify incident cases of HCC. </w:t>
      </w:r>
    </w:p>
    <w:p w14:paraId="68F12FAF" w14:textId="573DAF56" w:rsidR="00BD59D6" w:rsidRPr="00D332F6" w:rsidRDefault="009B159E">
      <w:pPr>
        <w:spacing w:line="360" w:lineRule="auto"/>
        <w:rPr>
          <w:rFonts w:ascii="Arial" w:hAnsi="Arial" w:cs="Arial"/>
        </w:rPr>
      </w:pPr>
      <w:r w:rsidRPr="00D332F6">
        <w:rPr>
          <w:rFonts w:ascii="Arial" w:hAnsi="Arial" w:cs="Arial"/>
        </w:rPr>
        <w:t>For the Scottish HCV clinical database, we used the equivalent National inpatient hospital admission database (SMR01), cancer registry (SMR6) and mortality register to identify HCC cases. For all registries/administrative databases, we used the standard ICD10</w:t>
      </w:r>
      <w:r w:rsidR="00A2498C" w:rsidRPr="00D332F6">
        <w:rPr>
          <w:rFonts w:ascii="Arial" w:hAnsi="Arial" w:cs="Arial"/>
        </w:rPr>
        <w:t xml:space="preserve"> “</w:t>
      </w:r>
      <w:r w:rsidRPr="00D332F6">
        <w:rPr>
          <w:rFonts w:ascii="Arial" w:hAnsi="Arial" w:cs="Arial"/>
        </w:rPr>
        <w:t>C22.0”</w:t>
      </w:r>
      <w:r w:rsidR="00A2498C" w:rsidRPr="00D332F6">
        <w:rPr>
          <w:rFonts w:ascii="Arial" w:hAnsi="Arial" w:cs="Arial"/>
        </w:rPr>
        <w:t xml:space="preserve"> or ICD9:155.0</w:t>
      </w:r>
      <w:r w:rsidRPr="00D332F6">
        <w:rPr>
          <w:rFonts w:ascii="Arial" w:hAnsi="Arial" w:cs="Arial"/>
        </w:rPr>
        <w:t xml:space="preserve"> code </w:t>
      </w:r>
      <w:r w:rsidR="00A2498C" w:rsidRPr="00D332F6">
        <w:rPr>
          <w:rFonts w:ascii="Arial" w:hAnsi="Arial" w:cs="Arial"/>
        </w:rPr>
        <w:t>in the primary</w:t>
      </w:r>
      <w:r w:rsidRPr="00D332F6">
        <w:rPr>
          <w:rFonts w:ascii="Arial" w:hAnsi="Arial" w:cs="Arial"/>
        </w:rPr>
        <w:t xml:space="preserve"> diagnostic/cause of death position to define HCC. </w:t>
      </w:r>
    </w:p>
    <w:p w14:paraId="68F12FB0" w14:textId="77777777" w:rsidR="00BD59D6" w:rsidRPr="00D332F6" w:rsidRDefault="009B159E">
      <w:pPr>
        <w:spacing w:line="360" w:lineRule="auto"/>
        <w:rPr>
          <w:rFonts w:ascii="Arial" w:hAnsi="Arial" w:cs="Arial"/>
        </w:rPr>
      </w:pPr>
      <w:r w:rsidRPr="00D332F6">
        <w:rPr>
          <w:rFonts w:ascii="Arial" w:hAnsi="Arial" w:cs="Arial"/>
        </w:rPr>
        <w:t>STATISTICAL ANALYSIS:</w:t>
      </w:r>
    </w:p>
    <w:p w14:paraId="68F12FB1" w14:textId="77777777" w:rsidR="00BD59D6" w:rsidRPr="00D332F6" w:rsidRDefault="009B159E">
      <w:pPr>
        <w:spacing w:line="360" w:lineRule="auto"/>
        <w:rPr>
          <w:rFonts w:ascii="Arial" w:hAnsi="Arial" w:cs="Arial"/>
        </w:rPr>
      </w:pPr>
      <w:r w:rsidRPr="00D332F6">
        <w:rPr>
          <w:rFonts w:ascii="Arial" w:hAnsi="Arial" w:cs="Arial"/>
        </w:rPr>
        <w:t>DEFINITION OF RISK SETS</w:t>
      </w:r>
    </w:p>
    <w:p w14:paraId="68F12FB2" w14:textId="77777777" w:rsidR="00BD59D6" w:rsidRPr="00D332F6" w:rsidRDefault="009B159E">
      <w:pPr>
        <w:spacing w:line="360" w:lineRule="auto"/>
        <w:rPr>
          <w:rFonts w:ascii="Arial" w:hAnsi="Arial" w:cs="Arial"/>
        </w:rPr>
      </w:pPr>
      <w:r w:rsidRPr="00D332F6">
        <w:rPr>
          <w:rFonts w:ascii="Arial" w:hAnsi="Arial" w:cs="Arial"/>
        </w:rPr>
        <w:t>All statistical analyses were underpinned by survival analysis methods. Follow-up time began at the date of SVR achievement. This was defined as six months after the treatment completion date for episodes initiated before the year 2014 (i.e. SVR24); and three months after the treatment completion date for episodes initiated from 2014 onwards (i.e. SVR12). This aligns with how SVR was defined by clinicians during the time period of this study. Follow-up ended at the date of incident HCC (if at all), mortality (if at all) or the date of study completion. For both cohorts, the study completion date was 1</w:t>
      </w:r>
      <w:r w:rsidRPr="00D332F6">
        <w:rPr>
          <w:rFonts w:ascii="Arial" w:hAnsi="Arial" w:cs="Arial"/>
          <w:vertAlign w:val="superscript"/>
        </w:rPr>
        <w:t>st</w:t>
      </w:r>
      <w:r w:rsidRPr="00D332F6">
        <w:rPr>
          <w:rFonts w:ascii="Arial" w:hAnsi="Arial" w:cs="Arial"/>
        </w:rPr>
        <w:t xml:space="preserve"> Jan 2020, corresponding to the date the hospital admission registers were complete to. Unless indicated otherwise, non-HCC mortality was treated as a competing risk in all analyses. </w:t>
      </w:r>
    </w:p>
    <w:p w14:paraId="68F12FB3" w14:textId="77777777" w:rsidR="00BD59D6" w:rsidRPr="00D332F6" w:rsidRDefault="009B159E">
      <w:pPr>
        <w:spacing w:line="360" w:lineRule="auto"/>
        <w:rPr>
          <w:rFonts w:ascii="Arial" w:hAnsi="Arial" w:cs="Arial"/>
        </w:rPr>
      </w:pPr>
      <w:r w:rsidRPr="00D332F6">
        <w:rPr>
          <w:rFonts w:ascii="Arial" w:hAnsi="Arial" w:cs="Arial"/>
        </w:rPr>
        <w:t>MULTIPLE IMPUTATION</w:t>
      </w:r>
    </w:p>
    <w:p w14:paraId="68F12FB4" w14:textId="1667B0FE" w:rsidR="00BD59D6" w:rsidRPr="00D332F6" w:rsidRDefault="009B159E">
      <w:pPr>
        <w:spacing w:before="120" w:line="360" w:lineRule="auto"/>
        <w:rPr>
          <w:rFonts w:ascii="Arial" w:hAnsi="Arial" w:cs="Arial"/>
        </w:rPr>
      </w:pPr>
      <w:r w:rsidRPr="00D332F6">
        <w:rPr>
          <w:rFonts w:ascii="Arial" w:hAnsi="Arial" w:cs="Arial"/>
        </w:rPr>
        <w:t>Multiple imputation was used to replace missing data for the individual components of each HCC prediction model with plausible imputed estimates.</w:t>
      </w:r>
      <w:r w:rsidRPr="00D332F6">
        <w:rPr>
          <w:rFonts w:ascii="Arial" w:hAnsi="Arial" w:cs="Arial"/>
          <w:vertAlign w:val="superscript"/>
        </w:rPr>
        <w:t>2</w:t>
      </w:r>
      <w:r w:rsidR="001074FB" w:rsidRPr="00D332F6">
        <w:rPr>
          <w:rFonts w:ascii="Arial" w:hAnsi="Arial" w:cs="Arial"/>
          <w:vertAlign w:val="superscript"/>
        </w:rPr>
        <w:t>9</w:t>
      </w:r>
      <w:r w:rsidRPr="00D332F6">
        <w:rPr>
          <w:rFonts w:ascii="Arial" w:hAnsi="Arial" w:cs="Arial"/>
        </w:rPr>
        <w:t xml:space="preserve"> We generated 20 imputations for each missing prediction using predictive mean matching.  The following variables were used to predict these imputed values: a) the Nelson-Aalen estimate of the baseline cumulative hazard, b) the outcome variable (i.e. HCC status), c) gender, d) decompensated cirrhosis, e) age, f) alcohol use and g) type of antiviral treatment (i.e. IFN-based or not). Rubin’s rules were used to combine statistics of interest across imputation datasets.</w:t>
      </w:r>
      <w:r w:rsidR="00196A17" w:rsidRPr="00D332F6">
        <w:rPr>
          <w:rFonts w:ascii="Arial" w:hAnsi="Arial" w:cs="Arial"/>
          <w:vertAlign w:val="superscript"/>
        </w:rPr>
        <w:t xml:space="preserve">30 </w:t>
      </w:r>
      <w:r w:rsidRPr="00D332F6">
        <w:rPr>
          <w:rFonts w:ascii="Arial" w:hAnsi="Arial" w:cs="Arial"/>
        </w:rPr>
        <w:t>Similarly, cumulative incidence curves by risk tertile are based on the average estimate across the 20 imputation datasets created. Risk “tertiles” refer to three groups; a) those whose prediction is in the 33</w:t>
      </w:r>
      <w:r w:rsidRPr="00D332F6">
        <w:rPr>
          <w:rFonts w:ascii="Arial" w:hAnsi="Arial" w:cs="Arial"/>
          <w:vertAlign w:val="superscript"/>
        </w:rPr>
        <w:t>rd</w:t>
      </w:r>
      <w:r w:rsidRPr="00D332F6">
        <w:rPr>
          <w:rFonts w:ascii="Arial" w:hAnsi="Arial" w:cs="Arial"/>
        </w:rPr>
        <w:t xml:space="preserve"> percentile or lower; b) those in the 33-67</w:t>
      </w:r>
      <w:r w:rsidRPr="00D332F6">
        <w:rPr>
          <w:rFonts w:ascii="Arial" w:hAnsi="Arial" w:cs="Arial"/>
          <w:vertAlign w:val="superscript"/>
        </w:rPr>
        <w:t>th</w:t>
      </w:r>
      <w:r w:rsidRPr="00D332F6">
        <w:rPr>
          <w:rFonts w:ascii="Arial" w:hAnsi="Arial" w:cs="Arial"/>
        </w:rPr>
        <w:t xml:space="preserve"> percentile, and c) those in the 68-100</w:t>
      </w:r>
      <w:r w:rsidRPr="00D332F6">
        <w:rPr>
          <w:rFonts w:ascii="Arial" w:hAnsi="Arial" w:cs="Arial"/>
          <w:vertAlign w:val="superscript"/>
        </w:rPr>
        <w:t>th</w:t>
      </w:r>
      <w:r w:rsidRPr="00D332F6">
        <w:rPr>
          <w:rFonts w:ascii="Arial" w:hAnsi="Arial" w:cs="Arial"/>
        </w:rPr>
        <w:t xml:space="preserve"> percentile. </w:t>
      </w:r>
    </w:p>
    <w:p w14:paraId="68F12FB5" w14:textId="77777777" w:rsidR="00BD59D6" w:rsidRPr="00D332F6" w:rsidRDefault="009B159E">
      <w:pPr>
        <w:spacing w:line="360" w:lineRule="auto"/>
        <w:rPr>
          <w:rFonts w:ascii="Arial" w:hAnsi="Arial" w:cs="Arial"/>
        </w:rPr>
      </w:pPr>
      <w:r w:rsidRPr="00D332F6">
        <w:rPr>
          <w:rFonts w:ascii="Arial" w:hAnsi="Arial" w:cs="Arial"/>
        </w:rPr>
        <w:t>PREDICTION MODEL PERFORMANCE</w:t>
      </w:r>
    </w:p>
    <w:p w14:paraId="68F12FB6" w14:textId="77777777" w:rsidR="00BD59D6" w:rsidRPr="00D332F6" w:rsidRDefault="009B159E">
      <w:pPr>
        <w:spacing w:line="360" w:lineRule="auto"/>
        <w:rPr>
          <w:rFonts w:ascii="Arial" w:hAnsi="Arial" w:cs="Arial"/>
        </w:rPr>
      </w:pPr>
      <w:r w:rsidRPr="00D332F6">
        <w:rPr>
          <w:rFonts w:ascii="Arial" w:hAnsi="Arial" w:cs="Arial"/>
        </w:rPr>
        <w:t>Each prediction model was assessed in terms of two main aspects of prognostic model performance</w:t>
      </w:r>
      <w:r w:rsidRPr="00D332F6">
        <w:rPr>
          <w:rFonts w:ascii="Arial" w:hAnsi="Arial" w:cs="Arial"/>
          <w:vertAlign w:val="superscript"/>
        </w:rPr>
        <w:t>21</w:t>
      </w:r>
      <w:r w:rsidRPr="00D332F6">
        <w:rPr>
          <w:rFonts w:ascii="Arial" w:hAnsi="Arial" w:cs="Arial"/>
        </w:rPr>
        <w:t>:</w:t>
      </w:r>
      <w:r w:rsidRPr="00D332F6">
        <w:rPr>
          <w:rFonts w:ascii="Arial" w:hAnsi="Arial" w:cs="Arial"/>
          <w:vertAlign w:val="superscript"/>
        </w:rPr>
        <w:t xml:space="preserve"> </w:t>
      </w:r>
    </w:p>
    <w:p w14:paraId="68F12FB7" w14:textId="77777777" w:rsidR="00BD59D6" w:rsidRPr="00D332F6" w:rsidRDefault="009B159E">
      <w:pPr>
        <w:pStyle w:val="ListParagraph"/>
        <w:numPr>
          <w:ilvl w:val="0"/>
          <w:numId w:val="1"/>
        </w:numPr>
        <w:spacing w:line="360" w:lineRule="auto"/>
        <w:rPr>
          <w:rFonts w:ascii="Arial" w:hAnsi="Arial" w:cs="Arial"/>
        </w:rPr>
      </w:pPr>
      <w:r w:rsidRPr="00D332F6">
        <w:rPr>
          <w:rFonts w:ascii="Arial" w:hAnsi="Arial" w:cs="Arial"/>
        </w:rPr>
        <w:t>Discriminative ability (i.e. ability to differentiate between patients who develop HCC and those who do not).</w:t>
      </w:r>
    </w:p>
    <w:p w14:paraId="68F12FB8" w14:textId="77777777" w:rsidR="00BD59D6" w:rsidRPr="00D332F6" w:rsidRDefault="009B159E">
      <w:pPr>
        <w:pStyle w:val="ListParagraph"/>
        <w:numPr>
          <w:ilvl w:val="0"/>
          <w:numId w:val="1"/>
        </w:numPr>
        <w:spacing w:line="360" w:lineRule="auto"/>
        <w:rPr>
          <w:rFonts w:ascii="Arial" w:hAnsi="Arial" w:cs="Arial"/>
        </w:rPr>
      </w:pPr>
      <w:r w:rsidRPr="00D332F6">
        <w:rPr>
          <w:rFonts w:ascii="Arial" w:hAnsi="Arial" w:cs="Arial"/>
        </w:rPr>
        <w:t>Calibration (agreement between the 3-year risk of HCC predicted by the model versus the 3-year HCC risk actually observed).</w:t>
      </w:r>
    </w:p>
    <w:p w14:paraId="68F12FB9" w14:textId="77777777" w:rsidR="00BD59D6" w:rsidRPr="00D332F6" w:rsidRDefault="009B159E">
      <w:pPr>
        <w:spacing w:line="360" w:lineRule="auto"/>
        <w:rPr>
          <w:rFonts w:ascii="Arial" w:hAnsi="Arial" w:cs="Arial"/>
        </w:rPr>
      </w:pPr>
      <w:r w:rsidRPr="00D332F6">
        <w:rPr>
          <w:rFonts w:ascii="Arial" w:hAnsi="Arial" w:cs="Arial"/>
        </w:rPr>
        <w:t>DISCRIMINATION</w:t>
      </w:r>
    </w:p>
    <w:p w14:paraId="68F12FBA" w14:textId="652FEFFF" w:rsidR="00BD59D6" w:rsidRPr="00D332F6" w:rsidRDefault="009B159E">
      <w:pPr>
        <w:spacing w:before="120" w:line="360" w:lineRule="auto"/>
        <w:rPr>
          <w:rFonts w:ascii="Arial" w:hAnsi="Arial" w:cs="Arial"/>
        </w:rPr>
      </w:pPr>
      <w:r w:rsidRPr="00D332F6">
        <w:rPr>
          <w:rFonts w:ascii="Arial" w:hAnsi="Arial" w:cs="Arial"/>
        </w:rPr>
        <w:t xml:space="preserve">The discriminative ability of each HCC prediction model was investigated in </w:t>
      </w:r>
      <w:r w:rsidR="00DC76EF" w:rsidRPr="00D332F6">
        <w:rPr>
          <w:rFonts w:ascii="Arial" w:hAnsi="Arial" w:cs="Arial"/>
        </w:rPr>
        <w:t>three</w:t>
      </w:r>
      <w:r w:rsidRPr="00D332F6">
        <w:rPr>
          <w:rFonts w:ascii="Arial" w:hAnsi="Arial" w:cs="Arial"/>
        </w:rPr>
        <w:t xml:space="preserve"> ways.</w:t>
      </w:r>
      <w:bookmarkStart w:id="1" w:name="_GoBack"/>
      <w:bookmarkEnd w:id="1"/>
    </w:p>
    <w:p w14:paraId="68F12FBB" w14:textId="0624312C" w:rsidR="00BD59D6" w:rsidRPr="00D332F6" w:rsidRDefault="009B159E">
      <w:pPr>
        <w:spacing w:before="120" w:line="360" w:lineRule="auto"/>
        <w:rPr>
          <w:rFonts w:ascii="Arial" w:hAnsi="Arial" w:cs="Arial"/>
        </w:rPr>
      </w:pPr>
      <w:r w:rsidRPr="00D332F6">
        <w:rPr>
          <w:rFonts w:ascii="Arial" w:hAnsi="Arial" w:cs="Arial"/>
        </w:rPr>
        <w:t>First, we assessed the discrimination of each model visually, by plotting the cumulative incidence of HCC for individuals with low, moderate and high scores. Categorisation into low, medium and high groups was based on risk tertiles, as described earlier. Cumulative incidence was computed non-parametrically using the “stcompet” command within Stata v16.</w:t>
      </w:r>
      <w:r w:rsidR="001074FB" w:rsidRPr="00D332F6">
        <w:rPr>
          <w:rFonts w:ascii="Arial" w:hAnsi="Arial" w:cs="Arial"/>
          <w:vertAlign w:val="superscript"/>
        </w:rPr>
        <w:t>3</w:t>
      </w:r>
      <w:r w:rsidR="00B900D4" w:rsidRPr="00D332F6">
        <w:rPr>
          <w:rFonts w:ascii="Arial" w:hAnsi="Arial" w:cs="Arial"/>
          <w:vertAlign w:val="superscript"/>
        </w:rPr>
        <w:t>1</w:t>
      </w:r>
      <w:r w:rsidRPr="00D332F6">
        <w:rPr>
          <w:rFonts w:ascii="Arial" w:hAnsi="Arial" w:cs="Arial"/>
        </w:rPr>
        <w:t xml:space="preserve"> Non-HCC mortality was treated as the competing risk event. </w:t>
      </w:r>
    </w:p>
    <w:p w14:paraId="68F12FBC" w14:textId="1D224828" w:rsidR="00BD59D6" w:rsidRPr="00D332F6" w:rsidRDefault="009B159E">
      <w:pPr>
        <w:spacing w:before="120" w:line="360" w:lineRule="auto"/>
        <w:rPr>
          <w:rFonts w:ascii="Arial" w:hAnsi="Arial" w:cs="Arial"/>
        </w:rPr>
      </w:pPr>
      <w:r w:rsidRPr="00D332F6">
        <w:rPr>
          <w:rFonts w:ascii="Arial" w:hAnsi="Arial" w:cs="Arial"/>
        </w:rPr>
        <w:t>Secondly, we determined each prediction model’s discriminative ability quantitatively using the Concordance-index (C-index</w:t>
      </w:r>
      <w:r w:rsidR="00EB5194" w:rsidRPr="00D332F6">
        <w:rPr>
          <w:rFonts w:ascii="Arial" w:hAnsi="Arial" w:cs="Arial"/>
        </w:rPr>
        <w:t>), which provides an overall summary of a risk score’s discriminative ability. Specifically, the C-index measures the proportion of all possible “participant-pairs” that are “concordant”. A “participant pair” refers to a random selection of two individuals from the dataset, and this pair is said to be “concordant” if the individual with the higher risk score develops the outcome event of interest sooner than the individual with the lower risk score.</w:t>
      </w:r>
      <w:r w:rsidR="00373B0B" w:rsidRPr="00D332F6">
        <w:rPr>
          <w:rFonts w:ascii="Arial" w:hAnsi="Arial" w:cs="Arial"/>
          <w:vertAlign w:val="superscript"/>
        </w:rPr>
        <w:t>3</w:t>
      </w:r>
      <w:r w:rsidR="003C2A64" w:rsidRPr="00D332F6">
        <w:rPr>
          <w:rFonts w:ascii="Arial" w:hAnsi="Arial" w:cs="Arial"/>
          <w:vertAlign w:val="superscript"/>
        </w:rPr>
        <w:t xml:space="preserve">2 </w:t>
      </w:r>
      <w:r w:rsidRPr="00D332F6">
        <w:rPr>
          <w:rFonts w:ascii="Arial" w:hAnsi="Arial" w:cs="Arial"/>
        </w:rPr>
        <w:t>In our base-case analysis, we used a version of the C-index adapted for a competing-risk scenario, as previously described by Wolbers et al.</w:t>
      </w:r>
      <w:r w:rsidRPr="00D332F6">
        <w:rPr>
          <w:rFonts w:ascii="Arial" w:hAnsi="Arial" w:cs="Arial"/>
          <w:vertAlign w:val="superscript"/>
        </w:rPr>
        <w:t>3</w:t>
      </w:r>
      <w:r w:rsidR="003C2A64" w:rsidRPr="00D332F6">
        <w:rPr>
          <w:rFonts w:ascii="Arial" w:hAnsi="Arial" w:cs="Arial"/>
          <w:vertAlign w:val="superscript"/>
        </w:rPr>
        <w:t>3</w:t>
      </w:r>
      <w:r w:rsidRPr="00D332F6">
        <w:rPr>
          <w:rFonts w:ascii="Arial" w:hAnsi="Arial" w:cs="Arial"/>
        </w:rPr>
        <w:t xml:space="preserve"> The key difference between the standard C-index and competing-risk adjusted C-index is that in the latter, individuals with a competing risk event are assumed to have an infinite survival time. In addition, we also calculated the </w:t>
      </w:r>
      <w:r w:rsidR="00EB5194" w:rsidRPr="00D332F6">
        <w:rPr>
          <w:rFonts w:ascii="Arial" w:hAnsi="Arial" w:cs="Arial"/>
        </w:rPr>
        <w:t xml:space="preserve">standard Harrell </w:t>
      </w:r>
      <w:r w:rsidRPr="00D332F6">
        <w:rPr>
          <w:rFonts w:ascii="Arial" w:hAnsi="Arial" w:cs="Arial"/>
        </w:rPr>
        <w:t xml:space="preserve">C-index </w:t>
      </w:r>
      <w:r w:rsidR="00EB5194" w:rsidRPr="00D332F6">
        <w:rPr>
          <w:rFonts w:ascii="Arial" w:hAnsi="Arial" w:cs="Arial"/>
        </w:rPr>
        <w:t xml:space="preserve">which does not account </w:t>
      </w:r>
      <w:r w:rsidRPr="00D332F6">
        <w:rPr>
          <w:rFonts w:ascii="Arial" w:hAnsi="Arial" w:cs="Arial"/>
        </w:rPr>
        <w:t>for competing risks. For all versions of the C-index, higher values indicate better discrimination; a value of 0.5 indicates zero discrimination (i.e. no better than chance), whilst a value of 1.0 indicates perfect discrimination.</w:t>
      </w:r>
    </w:p>
    <w:p w14:paraId="68F12FBD" w14:textId="77777777" w:rsidR="00BD59D6" w:rsidRPr="00D332F6" w:rsidRDefault="009B159E">
      <w:pPr>
        <w:spacing w:before="120" w:line="360" w:lineRule="auto"/>
        <w:rPr>
          <w:rFonts w:ascii="Arial" w:hAnsi="Arial" w:cs="Arial"/>
        </w:rPr>
      </w:pPr>
      <w:r w:rsidRPr="00D332F6">
        <w:rPr>
          <w:rFonts w:ascii="Arial" w:hAnsi="Arial" w:cs="Arial"/>
        </w:rPr>
        <w:t>Thirdly, we assessed if the C-index of each prediction model varied according to selected patient characteristics. These characteristics were as follows: age&lt;60years; gender; history of heavy alcohol use (defined as consumption of &gt;50 units/week for a sustained period of &gt;6 months before SVR); genotype 3; and SVR through IFN-free therapy.</w:t>
      </w:r>
    </w:p>
    <w:p w14:paraId="68F12FBF" w14:textId="77777777" w:rsidR="00BD59D6" w:rsidRPr="00D332F6" w:rsidRDefault="009B159E">
      <w:pPr>
        <w:spacing w:line="360" w:lineRule="auto"/>
        <w:rPr>
          <w:rFonts w:ascii="Arial" w:hAnsi="Arial" w:cs="Arial"/>
        </w:rPr>
      </w:pPr>
      <w:r w:rsidRPr="00D332F6">
        <w:rPr>
          <w:rFonts w:ascii="Arial" w:hAnsi="Arial" w:cs="Arial"/>
        </w:rPr>
        <w:t>CALIBRATION:</w:t>
      </w:r>
    </w:p>
    <w:p w14:paraId="68F12FC0" w14:textId="7D322FAA" w:rsidR="00BD59D6" w:rsidRPr="00D332F6" w:rsidRDefault="009B159E">
      <w:pPr>
        <w:spacing w:line="360" w:lineRule="auto"/>
        <w:rPr>
          <w:rFonts w:ascii="Arial" w:hAnsi="Arial" w:cs="Arial"/>
        </w:rPr>
      </w:pPr>
      <w:r w:rsidRPr="00D332F6">
        <w:rPr>
          <w:rFonts w:ascii="Arial" w:hAnsi="Arial" w:cs="Arial"/>
        </w:rPr>
        <w:t>Calibration measures how closely the predicted risk of HCC matches the observed risk of HCC.</w:t>
      </w:r>
      <w:r w:rsidRPr="00D332F6">
        <w:rPr>
          <w:rFonts w:ascii="Arial" w:hAnsi="Arial" w:cs="Arial"/>
          <w:vertAlign w:val="superscript"/>
        </w:rPr>
        <w:t>21,3</w:t>
      </w:r>
      <w:r w:rsidR="003C2A64" w:rsidRPr="00D332F6">
        <w:rPr>
          <w:rFonts w:ascii="Arial" w:hAnsi="Arial" w:cs="Arial"/>
          <w:vertAlign w:val="superscript"/>
        </w:rPr>
        <w:t>4</w:t>
      </w:r>
      <w:r w:rsidRPr="00D332F6">
        <w:rPr>
          <w:rFonts w:ascii="Arial" w:hAnsi="Arial" w:cs="Arial"/>
        </w:rPr>
        <w:t xml:space="preserve"> For this analysis, we calculated the 3-year predicted and 3-year observed risk of HCC for individuals with low, moderate and high predictions (again defined according to risk tertiles). </w:t>
      </w:r>
    </w:p>
    <w:p w14:paraId="68F12FC1" w14:textId="77777777" w:rsidR="00BD59D6" w:rsidRPr="00D332F6" w:rsidRDefault="009B159E">
      <w:pPr>
        <w:spacing w:line="360" w:lineRule="auto"/>
        <w:rPr>
          <w:rFonts w:ascii="Arial" w:hAnsi="Arial" w:cs="Arial"/>
        </w:rPr>
      </w:pPr>
      <w:r w:rsidRPr="00D332F6">
        <w:rPr>
          <w:rFonts w:ascii="Arial" w:hAnsi="Arial" w:cs="Arial"/>
        </w:rPr>
        <w:t>The predicted 3-year probability of HCC was calculated using standard Cox regression, as prescribed by the authors of each risk score. Namely:1-S</w:t>
      </w:r>
      <w:r w:rsidRPr="00D332F6">
        <w:rPr>
          <w:rFonts w:ascii="Arial" w:hAnsi="Arial" w:cs="Arial"/>
          <w:vertAlign w:val="subscript"/>
        </w:rPr>
        <w:t>0</w:t>
      </w:r>
      <w:r w:rsidRPr="00D332F6">
        <w:rPr>
          <w:rFonts w:ascii="Arial" w:hAnsi="Arial" w:cs="Arial"/>
        </w:rPr>
        <w:t>(t)</w:t>
      </w:r>
      <w:r w:rsidRPr="00D332F6">
        <w:rPr>
          <w:rFonts w:ascii="Arial" w:hAnsi="Arial" w:cs="Arial"/>
          <w:vertAlign w:val="superscript"/>
        </w:rPr>
        <w:t>exp(linear predictor)</w:t>
      </w:r>
    </w:p>
    <w:p w14:paraId="68F12FC2" w14:textId="77777777" w:rsidR="00BD59D6" w:rsidRPr="00D332F6" w:rsidRDefault="009B159E">
      <w:pPr>
        <w:spacing w:line="360" w:lineRule="auto"/>
        <w:rPr>
          <w:rFonts w:ascii="Arial" w:hAnsi="Arial" w:cs="Arial"/>
        </w:rPr>
      </w:pPr>
      <w:r w:rsidRPr="00D332F6">
        <w:rPr>
          <w:rFonts w:ascii="Arial" w:hAnsi="Arial" w:cs="Arial"/>
        </w:rPr>
        <w:t>Where t=3 years, and S</w:t>
      </w:r>
      <w:r w:rsidRPr="00D332F6">
        <w:rPr>
          <w:rFonts w:ascii="Arial" w:hAnsi="Arial" w:cs="Arial"/>
          <w:vertAlign w:val="subscript"/>
        </w:rPr>
        <w:t>0</w:t>
      </w:r>
      <w:r w:rsidRPr="00D332F6">
        <w:rPr>
          <w:rFonts w:ascii="Arial" w:hAnsi="Arial" w:cs="Arial"/>
        </w:rPr>
        <w:t xml:space="preserve">(t) refers to the estimated three-year HCC-free survival for individuals with zero for all independent variables in the model. We contacted the authors for this information, if these details were not clear in the original paper.   </w:t>
      </w:r>
    </w:p>
    <w:p w14:paraId="68F12FC3" w14:textId="77777777" w:rsidR="00BD59D6" w:rsidRPr="00D332F6" w:rsidRDefault="009B159E">
      <w:pPr>
        <w:spacing w:line="360" w:lineRule="auto"/>
        <w:rPr>
          <w:rFonts w:ascii="Arial" w:hAnsi="Arial" w:cs="Arial"/>
        </w:rPr>
      </w:pPr>
      <w:r w:rsidRPr="00D332F6">
        <w:rPr>
          <w:rFonts w:ascii="Arial" w:hAnsi="Arial" w:cs="Arial"/>
        </w:rPr>
        <w:t xml:space="preserve">Our calculation of the 3-year observed HCC probability was based on the cumulative incidence function with non-HCC mortality treated as a competing risk. </w:t>
      </w:r>
    </w:p>
    <w:p w14:paraId="68F12FC4" w14:textId="77777777" w:rsidR="00BD59D6" w:rsidRPr="00D332F6" w:rsidRDefault="009B159E">
      <w:pPr>
        <w:spacing w:line="360" w:lineRule="auto"/>
        <w:rPr>
          <w:rFonts w:ascii="Arial" w:hAnsi="Arial" w:cs="Arial"/>
        </w:rPr>
      </w:pPr>
      <w:r w:rsidRPr="00D332F6">
        <w:rPr>
          <w:rFonts w:ascii="Arial" w:hAnsi="Arial" w:cs="Arial"/>
        </w:rPr>
        <w:t xml:space="preserve">Finally, we did not perform a calibration analysis for the genetic models, as they were not intended to estimate the probability of HCC at a particular point in time. </w:t>
      </w:r>
    </w:p>
    <w:p w14:paraId="68F12FC5" w14:textId="77777777" w:rsidR="00BD59D6" w:rsidRPr="00D332F6" w:rsidRDefault="00BD59D6">
      <w:pPr>
        <w:spacing w:line="360" w:lineRule="auto"/>
        <w:rPr>
          <w:rFonts w:ascii="Arial" w:hAnsi="Arial" w:cs="Arial"/>
        </w:rPr>
      </w:pPr>
    </w:p>
    <w:p w14:paraId="68F12FC6" w14:textId="77777777" w:rsidR="00BD59D6" w:rsidRPr="00D332F6" w:rsidRDefault="009B159E">
      <w:pPr>
        <w:spacing w:line="360" w:lineRule="auto"/>
        <w:rPr>
          <w:rFonts w:ascii="Arial" w:hAnsi="Arial" w:cs="Arial"/>
          <w:b/>
          <w:sz w:val="24"/>
        </w:rPr>
      </w:pPr>
      <w:r w:rsidRPr="00D332F6">
        <w:rPr>
          <w:rFonts w:ascii="Arial" w:hAnsi="Arial" w:cs="Arial"/>
          <w:b/>
          <w:sz w:val="24"/>
        </w:rPr>
        <w:t>RESULTS</w:t>
      </w:r>
    </w:p>
    <w:p w14:paraId="68F12FC7" w14:textId="21A92FC1" w:rsidR="00BD59D6" w:rsidRPr="00D332F6" w:rsidRDefault="009B159E">
      <w:pPr>
        <w:spacing w:line="360" w:lineRule="auto"/>
        <w:rPr>
          <w:rFonts w:ascii="Arial" w:hAnsi="Arial" w:cs="Arial"/>
        </w:rPr>
      </w:pPr>
      <w:r w:rsidRPr="00D332F6">
        <w:rPr>
          <w:rFonts w:ascii="Arial" w:hAnsi="Arial" w:cs="Arial"/>
        </w:rPr>
        <w:t xml:space="preserve">DERIVATION OF </w:t>
      </w:r>
      <w:r w:rsidR="000E17E5" w:rsidRPr="00D332F6">
        <w:rPr>
          <w:rFonts w:ascii="Arial" w:hAnsi="Arial" w:cs="Arial"/>
        </w:rPr>
        <w:t>EXTERNAL VALIDATION COHORTS</w:t>
      </w:r>
    </w:p>
    <w:p w14:paraId="68F12FC8" w14:textId="531F4E81" w:rsidR="00BD59D6" w:rsidRPr="00D332F6" w:rsidRDefault="009B159E">
      <w:pPr>
        <w:spacing w:line="360" w:lineRule="auto"/>
        <w:rPr>
          <w:rFonts w:ascii="Arial" w:hAnsi="Arial" w:cs="Arial"/>
        </w:rPr>
      </w:pPr>
      <w:r w:rsidRPr="00D332F6">
        <w:rPr>
          <w:rFonts w:ascii="Arial" w:hAnsi="Arial" w:cs="Arial"/>
        </w:rPr>
        <w:t xml:space="preserve">2245 patients met our inclusion criteria from the Scottish cohort. We then excluded </w:t>
      </w:r>
      <w:r w:rsidR="002C36B6" w:rsidRPr="00D332F6">
        <w:rPr>
          <w:rFonts w:ascii="Arial" w:hAnsi="Arial" w:cs="Arial"/>
        </w:rPr>
        <w:t>106</w:t>
      </w:r>
      <w:r w:rsidRPr="00D332F6">
        <w:rPr>
          <w:rFonts w:ascii="Arial" w:hAnsi="Arial" w:cs="Arial"/>
        </w:rPr>
        <w:t xml:space="preserve"> patients with HCC prior to treatment completion. Thus, the final sample size was 2,1</w:t>
      </w:r>
      <w:r w:rsidR="002C36B6" w:rsidRPr="00D332F6">
        <w:rPr>
          <w:rFonts w:ascii="Arial" w:hAnsi="Arial" w:cs="Arial"/>
        </w:rPr>
        <w:t>39</w:t>
      </w:r>
      <w:r w:rsidR="00BB7B61" w:rsidRPr="00D332F6">
        <w:rPr>
          <w:rFonts w:ascii="Arial" w:hAnsi="Arial" w:cs="Arial"/>
        </w:rPr>
        <w:t xml:space="preserve"> (See Figure S1)</w:t>
      </w:r>
      <w:r w:rsidRPr="00D332F6">
        <w:rPr>
          <w:rFonts w:ascii="Arial" w:hAnsi="Arial" w:cs="Arial"/>
        </w:rPr>
        <w:t xml:space="preserve">.  </w:t>
      </w:r>
    </w:p>
    <w:p w14:paraId="68F12FC9" w14:textId="1AD25787" w:rsidR="00BD59D6" w:rsidRPr="00D332F6" w:rsidRDefault="009B159E">
      <w:pPr>
        <w:spacing w:line="360" w:lineRule="auto"/>
        <w:rPr>
          <w:rFonts w:ascii="Arial" w:hAnsi="Arial" w:cs="Arial"/>
        </w:rPr>
      </w:pPr>
      <w:r w:rsidRPr="00D332F6">
        <w:rPr>
          <w:rFonts w:ascii="Arial" w:hAnsi="Arial" w:cs="Arial"/>
        </w:rPr>
        <w:t xml:space="preserve">1019 participants from the STOPHCV study met our inclusion criteria. We then excluded 79 patients from Scotland and Wales. Secondly, </w:t>
      </w:r>
      <w:r w:rsidR="00340209" w:rsidRPr="00D332F6">
        <w:rPr>
          <w:rFonts w:ascii="Arial" w:hAnsi="Arial" w:cs="Arial"/>
        </w:rPr>
        <w:t>77</w:t>
      </w:r>
      <w:r w:rsidRPr="00D332F6">
        <w:rPr>
          <w:rFonts w:ascii="Arial" w:hAnsi="Arial" w:cs="Arial"/>
        </w:rPr>
        <w:t xml:space="preserve"> patients with HCC prior to SVR achievement were also excluded. Finally, a further 25</w:t>
      </w:r>
      <w:r w:rsidR="00340209" w:rsidRPr="00D332F6">
        <w:rPr>
          <w:rFonts w:ascii="Arial" w:hAnsi="Arial" w:cs="Arial"/>
        </w:rPr>
        <w:t>7</w:t>
      </w:r>
      <w:r w:rsidRPr="00D332F6">
        <w:rPr>
          <w:rFonts w:ascii="Arial" w:hAnsi="Arial" w:cs="Arial"/>
        </w:rPr>
        <w:t xml:space="preserve"> patients who achieved SVR before enrolling into STOPHCV were removed to avoid immortal time bias. Thus, the final sample size was 60</w:t>
      </w:r>
      <w:r w:rsidR="00340209" w:rsidRPr="00D332F6">
        <w:rPr>
          <w:rFonts w:ascii="Arial" w:hAnsi="Arial" w:cs="Arial"/>
        </w:rPr>
        <w:t>6</w:t>
      </w:r>
      <w:r w:rsidR="00BB7B61" w:rsidRPr="00D332F6">
        <w:rPr>
          <w:rFonts w:ascii="Arial" w:hAnsi="Arial" w:cs="Arial"/>
        </w:rPr>
        <w:t xml:space="preserve"> (see Figure S1). </w:t>
      </w:r>
    </w:p>
    <w:p w14:paraId="68F12FCA" w14:textId="000AC2A6" w:rsidR="00BD59D6" w:rsidRPr="00D332F6" w:rsidRDefault="000E17E5">
      <w:pPr>
        <w:spacing w:line="360" w:lineRule="auto"/>
        <w:rPr>
          <w:rFonts w:ascii="Arial" w:hAnsi="Arial" w:cs="Arial"/>
        </w:rPr>
      </w:pPr>
      <w:r w:rsidRPr="00D332F6">
        <w:rPr>
          <w:rFonts w:ascii="Arial" w:hAnsi="Arial" w:cs="Arial"/>
        </w:rPr>
        <w:t xml:space="preserve">PATIENT </w:t>
      </w:r>
      <w:r w:rsidR="009B159E" w:rsidRPr="00D332F6">
        <w:rPr>
          <w:rFonts w:ascii="Arial" w:hAnsi="Arial" w:cs="Arial"/>
        </w:rPr>
        <w:t>CHARACTERISTICS:</w:t>
      </w:r>
    </w:p>
    <w:p w14:paraId="68F12FCB" w14:textId="434403D9" w:rsidR="00BD59D6" w:rsidRPr="00D332F6" w:rsidRDefault="009B159E">
      <w:pPr>
        <w:spacing w:line="360" w:lineRule="auto"/>
        <w:rPr>
          <w:rFonts w:ascii="Arial" w:hAnsi="Arial" w:cs="Arial"/>
        </w:rPr>
      </w:pPr>
      <w:r w:rsidRPr="00D332F6">
        <w:rPr>
          <w:rFonts w:ascii="Arial" w:hAnsi="Arial" w:cs="Arial"/>
        </w:rPr>
        <w:t xml:space="preserve">Patients in both cohorts were mainly middle-aged (i.e. between 40-65 years old), male (&gt;70%) and of White ethnicity (&gt;80%) (Table </w:t>
      </w:r>
      <w:r w:rsidR="0068500B" w:rsidRPr="00D332F6">
        <w:rPr>
          <w:rFonts w:ascii="Arial" w:hAnsi="Arial" w:cs="Arial"/>
        </w:rPr>
        <w:t>1</w:t>
      </w:r>
      <w:r w:rsidRPr="00D332F6">
        <w:rPr>
          <w:rFonts w:ascii="Arial" w:hAnsi="Arial" w:cs="Arial"/>
        </w:rPr>
        <w:t>). However, there were notable differences between these two cohorts. Firstly, patients in the STOPHCV cohort were older than the Scottish cohort (mean age: 56.5 vs 50.2 years). Secondly, the proportion of patients that had achieved SVR through IFN-free therapies was higher in the STOPHCV that the Scottish cohort (92% achieved SVR via IFN-free therapies in STOPHCV versus 61% in Scottish cohort). Thirdly, the proportion of patients with past HCV genotype 3 infection was lower in the STOPHCV cohort (38% versus 50%). Finally, average values for the VHA, THRI and aMAP scores were all higher in the STOPHCV cohort versus the Scottish cohort, indicating that STOPHCV had higher predicted HCC risk.</w:t>
      </w:r>
    </w:p>
    <w:p w14:paraId="68F12FCC" w14:textId="77777777" w:rsidR="00BD59D6" w:rsidRPr="00D332F6" w:rsidRDefault="009B159E">
      <w:pPr>
        <w:spacing w:line="360" w:lineRule="auto"/>
        <w:rPr>
          <w:rFonts w:ascii="Arial" w:hAnsi="Arial" w:cs="Arial"/>
        </w:rPr>
      </w:pPr>
      <w:r w:rsidRPr="00D332F6">
        <w:rPr>
          <w:rFonts w:ascii="Arial" w:hAnsi="Arial" w:cs="Arial"/>
        </w:rPr>
        <w:t>The proportion of patients with missing predictions was generally &lt;20%. However, missing data was more substantial in the Scottish cohort for the VHA model (24% missing) and the ANRS C012 model (60% missing).</w:t>
      </w:r>
    </w:p>
    <w:p w14:paraId="68F12FCD" w14:textId="23546CFB" w:rsidR="00BD59D6" w:rsidRPr="00D332F6" w:rsidRDefault="009B159E">
      <w:pPr>
        <w:spacing w:line="360" w:lineRule="auto"/>
        <w:rPr>
          <w:rFonts w:ascii="Arial" w:hAnsi="Arial" w:cs="Arial"/>
        </w:rPr>
      </w:pPr>
      <w:r w:rsidRPr="00D332F6">
        <w:rPr>
          <w:rFonts w:ascii="Arial" w:hAnsi="Arial" w:cs="Arial"/>
        </w:rPr>
        <w:t xml:space="preserve">CUMULATIVE INCIDENCE OF HCC </w:t>
      </w:r>
      <w:r w:rsidR="000E17E5" w:rsidRPr="00D332F6">
        <w:rPr>
          <w:rFonts w:ascii="Arial" w:hAnsi="Arial" w:cs="Arial"/>
        </w:rPr>
        <w:t>AND NON-</w:t>
      </w:r>
      <w:r w:rsidRPr="00D332F6">
        <w:rPr>
          <w:rFonts w:ascii="Arial" w:hAnsi="Arial" w:cs="Arial"/>
        </w:rPr>
        <w:t>HCC MORTALITY:</w:t>
      </w:r>
    </w:p>
    <w:p w14:paraId="68F12FCE" w14:textId="5FE52A98" w:rsidR="00BD59D6" w:rsidRPr="00D332F6" w:rsidRDefault="009B159E">
      <w:pPr>
        <w:spacing w:line="360" w:lineRule="auto"/>
        <w:rPr>
          <w:rFonts w:ascii="Arial" w:hAnsi="Arial" w:cs="Arial"/>
        </w:rPr>
      </w:pPr>
      <w:r w:rsidRPr="00D332F6">
        <w:rPr>
          <w:rFonts w:ascii="Arial" w:hAnsi="Arial" w:cs="Arial"/>
        </w:rPr>
        <w:t>In the Scottish cohort, participants were followed for a mean 3.9 years after SVR, during which time 11</w:t>
      </w:r>
      <w:r w:rsidR="00D161DC" w:rsidRPr="00D332F6">
        <w:rPr>
          <w:rFonts w:ascii="Arial" w:hAnsi="Arial" w:cs="Arial"/>
        </w:rPr>
        <w:t>8</w:t>
      </w:r>
      <w:r w:rsidRPr="00D332F6">
        <w:rPr>
          <w:rFonts w:ascii="Arial" w:hAnsi="Arial" w:cs="Arial"/>
        </w:rPr>
        <w:t xml:space="preserve"> incident HCC events and 21</w:t>
      </w:r>
      <w:r w:rsidR="00D161DC" w:rsidRPr="00D332F6">
        <w:rPr>
          <w:rFonts w:ascii="Arial" w:hAnsi="Arial" w:cs="Arial"/>
        </w:rPr>
        <w:t>4</w:t>
      </w:r>
      <w:r w:rsidRPr="00D332F6">
        <w:rPr>
          <w:rFonts w:ascii="Arial" w:hAnsi="Arial" w:cs="Arial"/>
        </w:rPr>
        <w:t xml:space="preserve"> non-HCC related deaths occurred</w:t>
      </w:r>
      <w:r w:rsidR="0068500B" w:rsidRPr="00D332F6">
        <w:rPr>
          <w:rFonts w:ascii="Arial" w:hAnsi="Arial" w:cs="Arial"/>
        </w:rPr>
        <w:t xml:space="preserve"> (Table 2). </w:t>
      </w:r>
      <w:r w:rsidRPr="00D332F6">
        <w:rPr>
          <w:rFonts w:ascii="Arial" w:hAnsi="Arial" w:cs="Arial"/>
        </w:rPr>
        <w:t>The cumulative incidence of HCC and non-HCC mortality at 3 years was 3.</w:t>
      </w:r>
      <w:r w:rsidR="00D161DC" w:rsidRPr="00D332F6">
        <w:rPr>
          <w:rFonts w:ascii="Arial" w:hAnsi="Arial" w:cs="Arial"/>
        </w:rPr>
        <w:t>3</w:t>
      </w:r>
      <w:r w:rsidRPr="00D332F6">
        <w:rPr>
          <w:rFonts w:ascii="Arial" w:hAnsi="Arial" w:cs="Arial"/>
        </w:rPr>
        <w:t>% (95% CI: 2.</w:t>
      </w:r>
      <w:r w:rsidR="00D161DC" w:rsidRPr="00D332F6">
        <w:rPr>
          <w:rFonts w:ascii="Arial" w:hAnsi="Arial" w:cs="Arial"/>
        </w:rPr>
        <w:t>6</w:t>
      </w:r>
      <w:r w:rsidRPr="00D332F6">
        <w:rPr>
          <w:rFonts w:ascii="Arial" w:hAnsi="Arial" w:cs="Arial"/>
        </w:rPr>
        <w:t>-4.</w:t>
      </w:r>
      <w:r w:rsidR="00D161DC" w:rsidRPr="00D332F6">
        <w:rPr>
          <w:rFonts w:ascii="Arial" w:hAnsi="Arial" w:cs="Arial"/>
        </w:rPr>
        <w:t>2</w:t>
      </w:r>
      <w:r w:rsidRPr="00D332F6">
        <w:rPr>
          <w:rFonts w:ascii="Arial" w:hAnsi="Arial" w:cs="Arial"/>
        </w:rPr>
        <w:t>) and 8.</w:t>
      </w:r>
      <w:r w:rsidR="00D161DC" w:rsidRPr="00D332F6">
        <w:rPr>
          <w:rFonts w:ascii="Arial" w:hAnsi="Arial" w:cs="Arial"/>
        </w:rPr>
        <w:t>5</w:t>
      </w:r>
      <w:r w:rsidRPr="00D332F6">
        <w:rPr>
          <w:rFonts w:ascii="Arial" w:hAnsi="Arial" w:cs="Arial"/>
        </w:rPr>
        <w:t xml:space="preserve">% (95%CI: </w:t>
      </w:r>
      <w:r w:rsidR="00D161DC" w:rsidRPr="00D332F6">
        <w:rPr>
          <w:rFonts w:ascii="Arial" w:hAnsi="Arial" w:cs="Arial"/>
        </w:rPr>
        <w:t>7.2</w:t>
      </w:r>
      <w:r w:rsidRPr="00D332F6">
        <w:rPr>
          <w:rFonts w:ascii="Arial" w:hAnsi="Arial" w:cs="Arial"/>
        </w:rPr>
        <w:t>-</w:t>
      </w:r>
      <w:r w:rsidR="00D161DC" w:rsidRPr="00D332F6">
        <w:rPr>
          <w:rFonts w:ascii="Arial" w:hAnsi="Arial" w:cs="Arial"/>
        </w:rPr>
        <w:t>9</w:t>
      </w:r>
      <w:r w:rsidRPr="00D332F6">
        <w:rPr>
          <w:rFonts w:ascii="Arial" w:hAnsi="Arial" w:cs="Arial"/>
        </w:rPr>
        <w:t>.8), respectively</w:t>
      </w:r>
      <w:r w:rsidR="0068500B" w:rsidRPr="00D332F6">
        <w:rPr>
          <w:rFonts w:ascii="Arial" w:hAnsi="Arial" w:cs="Arial"/>
        </w:rPr>
        <w:t xml:space="preserve"> (Table 2 &amp; Figure 1)</w:t>
      </w:r>
      <w:r w:rsidRPr="00D332F6">
        <w:rPr>
          <w:rFonts w:ascii="Arial" w:hAnsi="Arial" w:cs="Arial"/>
        </w:rPr>
        <w:t>.</w:t>
      </w:r>
    </w:p>
    <w:p w14:paraId="68F12FCF" w14:textId="487E4E41" w:rsidR="00BD59D6" w:rsidRPr="00D332F6" w:rsidRDefault="009B159E">
      <w:pPr>
        <w:spacing w:line="360" w:lineRule="auto"/>
        <w:rPr>
          <w:rFonts w:ascii="Arial" w:hAnsi="Arial" w:cs="Arial"/>
        </w:rPr>
      </w:pPr>
      <w:r w:rsidRPr="00D332F6">
        <w:rPr>
          <w:rFonts w:ascii="Arial" w:hAnsi="Arial" w:cs="Arial"/>
        </w:rPr>
        <w:t>STOPHCV patients were followed for a mean of 3.4 years after SVR, during which time 4</w:t>
      </w:r>
      <w:r w:rsidR="00D161DC" w:rsidRPr="00D332F6">
        <w:rPr>
          <w:rFonts w:ascii="Arial" w:hAnsi="Arial" w:cs="Arial"/>
        </w:rPr>
        <w:t>0</w:t>
      </w:r>
      <w:r w:rsidRPr="00D332F6">
        <w:rPr>
          <w:rFonts w:ascii="Arial" w:hAnsi="Arial" w:cs="Arial"/>
        </w:rPr>
        <w:t xml:space="preserve"> incident HCCs and 36 non-HCC deaths occurred (Table </w:t>
      </w:r>
      <w:r w:rsidR="0068500B" w:rsidRPr="00D332F6">
        <w:rPr>
          <w:rFonts w:ascii="Arial" w:hAnsi="Arial" w:cs="Arial"/>
        </w:rPr>
        <w:t>2</w:t>
      </w:r>
      <w:r w:rsidRPr="00D332F6">
        <w:rPr>
          <w:rFonts w:ascii="Arial" w:hAnsi="Arial" w:cs="Arial"/>
        </w:rPr>
        <w:t>). The cumulative incidence of HCC and non-HCC mortality at 3 years was 5.</w:t>
      </w:r>
      <w:r w:rsidR="00D161DC" w:rsidRPr="00D332F6">
        <w:rPr>
          <w:rFonts w:ascii="Arial" w:hAnsi="Arial" w:cs="Arial"/>
        </w:rPr>
        <w:t>1</w:t>
      </w:r>
      <w:r w:rsidRPr="00D332F6">
        <w:rPr>
          <w:rFonts w:ascii="Arial" w:hAnsi="Arial" w:cs="Arial"/>
        </w:rPr>
        <w:t>% (95% CI: 3.</w:t>
      </w:r>
      <w:r w:rsidR="00D161DC" w:rsidRPr="00D332F6">
        <w:rPr>
          <w:rFonts w:ascii="Arial" w:hAnsi="Arial" w:cs="Arial"/>
        </w:rPr>
        <w:t>5</w:t>
      </w:r>
      <w:r w:rsidRPr="00D332F6">
        <w:rPr>
          <w:rFonts w:ascii="Arial" w:hAnsi="Arial" w:cs="Arial"/>
        </w:rPr>
        <w:t>-7.</w:t>
      </w:r>
      <w:r w:rsidR="00D161DC" w:rsidRPr="00D332F6">
        <w:rPr>
          <w:rFonts w:ascii="Arial" w:hAnsi="Arial" w:cs="Arial"/>
        </w:rPr>
        <w:t>0</w:t>
      </w:r>
      <w:r w:rsidRPr="00D332F6">
        <w:rPr>
          <w:rFonts w:ascii="Arial" w:hAnsi="Arial" w:cs="Arial"/>
        </w:rPr>
        <w:t>), and 5.0% (95% CI: 3.5-7.0), respectively</w:t>
      </w:r>
      <w:r w:rsidR="0068500B" w:rsidRPr="00D332F6">
        <w:rPr>
          <w:rFonts w:ascii="Arial" w:hAnsi="Arial" w:cs="Arial"/>
        </w:rPr>
        <w:t xml:space="preserve"> </w:t>
      </w:r>
      <w:r w:rsidRPr="00D332F6">
        <w:rPr>
          <w:rFonts w:ascii="Arial" w:hAnsi="Arial" w:cs="Arial"/>
        </w:rPr>
        <w:t>(Figure 1)</w:t>
      </w:r>
      <w:r w:rsidR="0068500B" w:rsidRPr="00D332F6">
        <w:rPr>
          <w:rFonts w:ascii="Arial" w:hAnsi="Arial" w:cs="Arial"/>
        </w:rPr>
        <w:t>.</w:t>
      </w:r>
      <w:r w:rsidRPr="00D332F6">
        <w:rPr>
          <w:rFonts w:ascii="Arial" w:hAnsi="Arial" w:cs="Arial"/>
        </w:rPr>
        <w:t xml:space="preserve"> </w:t>
      </w:r>
    </w:p>
    <w:p w14:paraId="68F12FD0" w14:textId="2B6416F5" w:rsidR="00BD59D6" w:rsidRPr="00D332F6" w:rsidRDefault="009B159E">
      <w:pPr>
        <w:spacing w:line="360" w:lineRule="auto"/>
        <w:rPr>
          <w:rFonts w:ascii="Arial" w:hAnsi="Arial" w:cs="Arial"/>
        </w:rPr>
      </w:pPr>
      <w:r w:rsidRPr="00D332F6">
        <w:rPr>
          <w:rFonts w:ascii="Arial" w:hAnsi="Arial" w:cs="Arial"/>
        </w:rPr>
        <w:t xml:space="preserve">Drug-related mortality and deaths from external causes were more common in the Scottish cohort versus STOPHCV. One-third of non-HCC mortality was from drug-related or external causes in the Scottish cohort, compared to only 10% in the STOPHCV study (Table </w:t>
      </w:r>
      <w:r w:rsidR="00FE250E" w:rsidRPr="00D332F6">
        <w:rPr>
          <w:rFonts w:ascii="Arial" w:hAnsi="Arial" w:cs="Arial"/>
        </w:rPr>
        <w:t>2</w:t>
      </w:r>
      <w:r w:rsidRPr="00D332F6">
        <w:rPr>
          <w:rFonts w:ascii="Arial" w:hAnsi="Arial" w:cs="Arial"/>
        </w:rPr>
        <w:t xml:space="preserve">). </w:t>
      </w:r>
    </w:p>
    <w:p w14:paraId="68F12FD4" w14:textId="77777777" w:rsidR="00BD59D6" w:rsidRPr="00D332F6" w:rsidRDefault="009B159E">
      <w:pPr>
        <w:spacing w:line="360" w:lineRule="auto"/>
        <w:rPr>
          <w:rFonts w:ascii="Arial" w:hAnsi="Arial" w:cs="Arial"/>
        </w:rPr>
      </w:pPr>
      <w:r w:rsidRPr="00D332F6">
        <w:rPr>
          <w:rFonts w:ascii="Arial" w:hAnsi="Arial" w:cs="Arial"/>
        </w:rPr>
        <w:t>PERFORMANCE OF HCC PREDICTION MODELS:</w:t>
      </w:r>
    </w:p>
    <w:p w14:paraId="68F12FD5" w14:textId="77777777" w:rsidR="00BD59D6" w:rsidRPr="00D332F6" w:rsidRDefault="009B159E">
      <w:pPr>
        <w:spacing w:line="360" w:lineRule="auto"/>
        <w:rPr>
          <w:rFonts w:ascii="Arial" w:hAnsi="Arial" w:cs="Arial"/>
        </w:rPr>
      </w:pPr>
      <w:r w:rsidRPr="00D332F6">
        <w:rPr>
          <w:rFonts w:ascii="Arial" w:hAnsi="Arial" w:cs="Arial"/>
        </w:rPr>
        <w:t xml:space="preserve">DISCRIMINATION </w:t>
      </w:r>
    </w:p>
    <w:p w14:paraId="68F12FD6" w14:textId="37EEB6D2" w:rsidR="00BD59D6" w:rsidRPr="00D332F6" w:rsidRDefault="009B159E">
      <w:pPr>
        <w:spacing w:line="360" w:lineRule="auto"/>
        <w:rPr>
          <w:rFonts w:ascii="Arial" w:hAnsi="Arial" w:cs="Arial"/>
        </w:rPr>
      </w:pPr>
      <w:r w:rsidRPr="00D332F6">
        <w:rPr>
          <w:rFonts w:ascii="Arial" w:hAnsi="Arial" w:cs="Arial"/>
        </w:rPr>
        <w:t xml:space="preserve">In cumulative incidence plots, higher predicted HCC risks were associated with a higher HCC cumulative incidence (Figures </w:t>
      </w:r>
      <w:r w:rsidR="007060C0" w:rsidRPr="00D332F6">
        <w:rPr>
          <w:rFonts w:ascii="Arial" w:hAnsi="Arial" w:cs="Arial"/>
        </w:rPr>
        <w:t>S</w:t>
      </w:r>
      <w:r w:rsidR="008B4F39" w:rsidRPr="00D332F6">
        <w:rPr>
          <w:rFonts w:ascii="Arial" w:hAnsi="Arial" w:cs="Arial"/>
        </w:rPr>
        <w:t>2</w:t>
      </w:r>
      <w:r w:rsidRPr="00D332F6">
        <w:rPr>
          <w:rFonts w:ascii="Arial" w:hAnsi="Arial" w:cs="Arial"/>
        </w:rPr>
        <w:t>-</w:t>
      </w:r>
      <w:r w:rsidR="008B4F39" w:rsidRPr="00D332F6">
        <w:rPr>
          <w:rFonts w:ascii="Arial" w:hAnsi="Arial" w:cs="Arial"/>
        </w:rPr>
        <w:t>3</w:t>
      </w:r>
      <w:r w:rsidRPr="00D332F6">
        <w:rPr>
          <w:rFonts w:ascii="Arial" w:hAnsi="Arial" w:cs="Arial"/>
        </w:rPr>
        <w:t xml:space="preserve">). However, the degree of discrimination varied considerably by prediction model and also by cohort. </w:t>
      </w:r>
    </w:p>
    <w:p w14:paraId="68F12FD7" w14:textId="16846C03" w:rsidR="00BD59D6" w:rsidRPr="00D332F6" w:rsidRDefault="009B159E">
      <w:pPr>
        <w:spacing w:line="360" w:lineRule="auto"/>
        <w:rPr>
          <w:rFonts w:ascii="Arial" w:hAnsi="Arial" w:cs="Arial"/>
        </w:rPr>
      </w:pPr>
      <w:r w:rsidRPr="00D332F6">
        <w:rPr>
          <w:rFonts w:ascii="Arial" w:hAnsi="Arial" w:cs="Arial"/>
        </w:rPr>
        <w:t>In the Scottish cohort, the aMAP score exhibited the best discrimination (C-index: 0.77</w:t>
      </w:r>
      <w:r w:rsidR="009C5C76" w:rsidRPr="00D332F6">
        <w:rPr>
          <w:rFonts w:ascii="Arial" w:hAnsi="Arial" w:cs="Arial"/>
        </w:rPr>
        <w:t>1</w:t>
      </w:r>
      <w:r w:rsidRPr="00D332F6">
        <w:rPr>
          <w:rFonts w:ascii="Arial" w:hAnsi="Arial" w:cs="Arial"/>
        </w:rPr>
        <w:t>; 95% CI: 0.7</w:t>
      </w:r>
      <w:r w:rsidR="00667498" w:rsidRPr="00D332F6">
        <w:rPr>
          <w:rFonts w:ascii="Arial" w:hAnsi="Arial" w:cs="Arial"/>
        </w:rPr>
        <w:t>31</w:t>
      </w:r>
      <w:r w:rsidRPr="00D332F6">
        <w:rPr>
          <w:rFonts w:ascii="Arial" w:hAnsi="Arial" w:cs="Arial"/>
        </w:rPr>
        <w:t>-0.81</w:t>
      </w:r>
      <w:r w:rsidR="00667498" w:rsidRPr="00D332F6">
        <w:rPr>
          <w:rFonts w:ascii="Arial" w:hAnsi="Arial" w:cs="Arial"/>
        </w:rPr>
        <w:t>0</w:t>
      </w:r>
      <w:r w:rsidRPr="00D332F6">
        <w:rPr>
          <w:rFonts w:ascii="Arial" w:hAnsi="Arial" w:cs="Arial"/>
        </w:rPr>
        <w:t>), followed by the VHA model (0.7</w:t>
      </w:r>
      <w:r w:rsidR="00667498" w:rsidRPr="00D332F6">
        <w:rPr>
          <w:rFonts w:ascii="Arial" w:hAnsi="Arial" w:cs="Arial"/>
        </w:rPr>
        <w:t>15</w:t>
      </w:r>
      <w:r w:rsidRPr="00D332F6">
        <w:rPr>
          <w:rFonts w:ascii="Arial" w:hAnsi="Arial" w:cs="Arial"/>
        </w:rPr>
        <w:t>; 95% CI:0.6</w:t>
      </w:r>
      <w:r w:rsidR="00667498" w:rsidRPr="00D332F6">
        <w:rPr>
          <w:rFonts w:ascii="Arial" w:hAnsi="Arial" w:cs="Arial"/>
        </w:rPr>
        <w:t>68</w:t>
      </w:r>
      <w:r w:rsidRPr="00D332F6">
        <w:rPr>
          <w:rFonts w:ascii="Arial" w:hAnsi="Arial" w:cs="Arial"/>
        </w:rPr>
        <w:t>-0.7</w:t>
      </w:r>
      <w:r w:rsidR="00667498" w:rsidRPr="00D332F6">
        <w:rPr>
          <w:rFonts w:ascii="Arial" w:hAnsi="Arial" w:cs="Arial"/>
        </w:rPr>
        <w:t>61</w:t>
      </w:r>
      <w:r w:rsidRPr="00D332F6">
        <w:rPr>
          <w:rFonts w:ascii="Arial" w:hAnsi="Arial" w:cs="Arial"/>
        </w:rPr>
        <w:t>), THRI (0.71</w:t>
      </w:r>
      <w:r w:rsidR="00667498" w:rsidRPr="00D332F6">
        <w:rPr>
          <w:rFonts w:ascii="Arial" w:hAnsi="Arial" w:cs="Arial"/>
        </w:rPr>
        <w:t>9</w:t>
      </w:r>
      <w:r w:rsidRPr="00D332F6">
        <w:rPr>
          <w:rFonts w:ascii="Arial" w:hAnsi="Arial" w:cs="Arial"/>
        </w:rPr>
        <w:t>; 95% CI: 0.6</w:t>
      </w:r>
      <w:r w:rsidR="00667498" w:rsidRPr="00D332F6">
        <w:rPr>
          <w:rFonts w:ascii="Arial" w:hAnsi="Arial" w:cs="Arial"/>
        </w:rPr>
        <w:t>73</w:t>
      </w:r>
      <w:r w:rsidRPr="00D332F6">
        <w:rPr>
          <w:rFonts w:ascii="Arial" w:hAnsi="Arial" w:cs="Arial"/>
        </w:rPr>
        <w:t>-0.76</w:t>
      </w:r>
      <w:r w:rsidR="00667498" w:rsidRPr="00D332F6">
        <w:rPr>
          <w:rFonts w:ascii="Arial" w:hAnsi="Arial" w:cs="Arial"/>
        </w:rPr>
        <w:t>4</w:t>
      </w:r>
      <w:r w:rsidRPr="00D332F6">
        <w:rPr>
          <w:rFonts w:ascii="Arial" w:hAnsi="Arial" w:cs="Arial"/>
        </w:rPr>
        <w:t>), and ANRS CO12 (0.70</w:t>
      </w:r>
      <w:r w:rsidR="00667498" w:rsidRPr="00D332F6">
        <w:rPr>
          <w:rFonts w:ascii="Arial" w:hAnsi="Arial" w:cs="Arial"/>
        </w:rPr>
        <w:t>3;</w:t>
      </w:r>
      <w:r w:rsidRPr="00D332F6">
        <w:rPr>
          <w:rFonts w:ascii="Arial" w:hAnsi="Arial" w:cs="Arial"/>
        </w:rPr>
        <w:t xml:space="preserve"> 95% CI: 0.65</w:t>
      </w:r>
      <w:r w:rsidR="00667498" w:rsidRPr="00D332F6">
        <w:rPr>
          <w:rFonts w:ascii="Arial" w:hAnsi="Arial" w:cs="Arial"/>
        </w:rPr>
        <w:t>6</w:t>
      </w:r>
      <w:r w:rsidRPr="00D332F6">
        <w:rPr>
          <w:rFonts w:ascii="Arial" w:hAnsi="Arial" w:cs="Arial"/>
        </w:rPr>
        <w:t>-0.7</w:t>
      </w:r>
      <w:r w:rsidR="00667498" w:rsidRPr="00D332F6">
        <w:rPr>
          <w:rFonts w:ascii="Arial" w:hAnsi="Arial" w:cs="Arial"/>
        </w:rPr>
        <w:t>49</w:t>
      </w:r>
      <w:r w:rsidRPr="00D332F6">
        <w:rPr>
          <w:rFonts w:ascii="Arial" w:hAnsi="Arial" w:cs="Arial"/>
        </w:rPr>
        <w:t xml:space="preserve">). (Figure </w:t>
      </w:r>
      <w:r w:rsidR="00D26F48" w:rsidRPr="00D332F6">
        <w:rPr>
          <w:rFonts w:ascii="Arial" w:hAnsi="Arial" w:cs="Arial"/>
        </w:rPr>
        <w:t>2</w:t>
      </w:r>
      <w:r w:rsidRPr="00D332F6">
        <w:rPr>
          <w:rFonts w:ascii="Arial" w:hAnsi="Arial" w:cs="Arial"/>
        </w:rPr>
        <w:t>)</w:t>
      </w:r>
    </w:p>
    <w:p w14:paraId="68F12FD8" w14:textId="5CCFA789" w:rsidR="00BD59D6" w:rsidRPr="00D332F6" w:rsidRDefault="009B159E">
      <w:pPr>
        <w:spacing w:line="360" w:lineRule="auto"/>
        <w:rPr>
          <w:rFonts w:ascii="Arial" w:hAnsi="Arial" w:cs="Arial"/>
        </w:rPr>
      </w:pPr>
      <w:r w:rsidRPr="00D332F6">
        <w:rPr>
          <w:rFonts w:ascii="Arial" w:hAnsi="Arial" w:cs="Arial"/>
        </w:rPr>
        <w:t>HCC prediction models exhibited poorer discriminative performance (i.e. lower C-index values) in the STOPHCV cohort, but the general ranking was similar. For example, aMAP was also the top performing score in STOPHCV (C-index: 0.70</w:t>
      </w:r>
      <w:r w:rsidR="005C05C5" w:rsidRPr="00D332F6">
        <w:rPr>
          <w:rFonts w:ascii="Arial" w:hAnsi="Arial" w:cs="Arial"/>
        </w:rPr>
        <w:t>1</w:t>
      </w:r>
      <w:r w:rsidRPr="00D332F6">
        <w:rPr>
          <w:rFonts w:ascii="Arial" w:hAnsi="Arial" w:cs="Arial"/>
        </w:rPr>
        <w:t>; 95% CI: 0.6</w:t>
      </w:r>
      <w:r w:rsidR="005C05C5" w:rsidRPr="00D332F6">
        <w:rPr>
          <w:rFonts w:ascii="Arial" w:hAnsi="Arial" w:cs="Arial"/>
        </w:rPr>
        <w:t>38</w:t>
      </w:r>
      <w:r w:rsidRPr="00D332F6">
        <w:rPr>
          <w:rFonts w:ascii="Arial" w:hAnsi="Arial" w:cs="Arial"/>
        </w:rPr>
        <w:t>-0.76</w:t>
      </w:r>
      <w:r w:rsidR="005C05C5" w:rsidRPr="00D332F6">
        <w:rPr>
          <w:rFonts w:ascii="Arial" w:hAnsi="Arial" w:cs="Arial"/>
        </w:rPr>
        <w:t>4</w:t>
      </w:r>
      <w:r w:rsidRPr="00D332F6">
        <w:rPr>
          <w:rFonts w:ascii="Arial" w:hAnsi="Arial" w:cs="Arial"/>
        </w:rPr>
        <w:t>); followed by VHA (0.65</w:t>
      </w:r>
      <w:r w:rsidR="005C05C5" w:rsidRPr="00D332F6">
        <w:rPr>
          <w:rFonts w:ascii="Arial" w:hAnsi="Arial" w:cs="Arial"/>
        </w:rPr>
        <w:t>7</w:t>
      </w:r>
      <w:r w:rsidRPr="00D332F6">
        <w:rPr>
          <w:rFonts w:ascii="Arial" w:hAnsi="Arial" w:cs="Arial"/>
        </w:rPr>
        <w:t>; 95% CI: 0.57</w:t>
      </w:r>
      <w:r w:rsidR="005C05C5" w:rsidRPr="00D332F6">
        <w:rPr>
          <w:rFonts w:ascii="Arial" w:hAnsi="Arial" w:cs="Arial"/>
        </w:rPr>
        <w:t>6</w:t>
      </w:r>
      <w:r w:rsidRPr="00D332F6">
        <w:rPr>
          <w:rFonts w:ascii="Arial" w:hAnsi="Arial" w:cs="Arial"/>
        </w:rPr>
        <w:t>-0.73</w:t>
      </w:r>
      <w:r w:rsidR="005C05C5" w:rsidRPr="00D332F6">
        <w:rPr>
          <w:rFonts w:ascii="Arial" w:hAnsi="Arial" w:cs="Arial"/>
        </w:rPr>
        <w:t>7</w:t>
      </w:r>
      <w:r w:rsidRPr="00D332F6">
        <w:rPr>
          <w:rFonts w:ascii="Arial" w:hAnsi="Arial" w:cs="Arial"/>
        </w:rPr>
        <w:t>), followed by THRI (0.64</w:t>
      </w:r>
      <w:r w:rsidR="005C05C5" w:rsidRPr="00D332F6">
        <w:rPr>
          <w:rFonts w:ascii="Arial" w:hAnsi="Arial" w:cs="Arial"/>
        </w:rPr>
        <w:t>8</w:t>
      </w:r>
      <w:r w:rsidRPr="00D332F6">
        <w:rPr>
          <w:rFonts w:ascii="Arial" w:hAnsi="Arial" w:cs="Arial"/>
        </w:rPr>
        <w:t>; 95% CI:0.57</w:t>
      </w:r>
      <w:r w:rsidR="005C05C5" w:rsidRPr="00D332F6">
        <w:rPr>
          <w:rFonts w:ascii="Arial" w:hAnsi="Arial" w:cs="Arial"/>
        </w:rPr>
        <w:t>7</w:t>
      </w:r>
      <w:r w:rsidRPr="00D332F6">
        <w:rPr>
          <w:rFonts w:ascii="Arial" w:hAnsi="Arial" w:cs="Arial"/>
        </w:rPr>
        <w:t>-0.7</w:t>
      </w:r>
      <w:r w:rsidR="005C05C5" w:rsidRPr="00D332F6">
        <w:rPr>
          <w:rFonts w:ascii="Arial" w:hAnsi="Arial" w:cs="Arial"/>
        </w:rPr>
        <w:t>18</w:t>
      </w:r>
      <w:r w:rsidRPr="00D332F6">
        <w:rPr>
          <w:rFonts w:ascii="Arial" w:hAnsi="Arial" w:cs="Arial"/>
        </w:rPr>
        <w:t>). (Figure 4). The Dongiovanni GRS had a C-index value of 0.61</w:t>
      </w:r>
      <w:r w:rsidR="005C05C5" w:rsidRPr="00D332F6">
        <w:rPr>
          <w:rFonts w:ascii="Arial" w:hAnsi="Arial" w:cs="Arial"/>
        </w:rPr>
        <w:t>3</w:t>
      </w:r>
      <w:r w:rsidRPr="00D332F6">
        <w:rPr>
          <w:rFonts w:ascii="Arial" w:hAnsi="Arial" w:cs="Arial"/>
        </w:rPr>
        <w:t xml:space="preserve"> (95% CI:0.53</w:t>
      </w:r>
      <w:r w:rsidR="005C05C5" w:rsidRPr="00D332F6">
        <w:rPr>
          <w:rFonts w:ascii="Arial" w:hAnsi="Arial" w:cs="Arial"/>
        </w:rPr>
        <w:t>0</w:t>
      </w:r>
      <w:r w:rsidRPr="00D332F6">
        <w:rPr>
          <w:rFonts w:ascii="Arial" w:hAnsi="Arial" w:cs="Arial"/>
        </w:rPr>
        <w:t>-0.69</w:t>
      </w:r>
      <w:r w:rsidR="005C05C5" w:rsidRPr="00D332F6">
        <w:rPr>
          <w:rFonts w:ascii="Arial" w:hAnsi="Arial" w:cs="Arial"/>
        </w:rPr>
        <w:t>5</w:t>
      </w:r>
      <w:r w:rsidRPr="00D332F6">
        <w:rPr>
          <w:rFonts w:ascii="Arial" w:hAnsi="Arial" w:cs="Arial"/>
        </w:rPr>
        <w:t>), and the Gellert-Kristensen GRS C-index value was 0.5</w:t>
      </w:r>
      <w:r w:rsidR="005C05C5" w:rsidRPr="00D332F6">
        <w:rPr>
          <w:rFonts w:ascii="Arial" w:hAnsi="Arial" w:cs="Arial"/>
        </w:rPr>
        <w:t>59</w:t>
      </w:r>
      <w:r w:rsidRPr="00D332F6">
        <w:rPr>
          <w:rFonts w:ascii="Arial" w:hAnsi="Arial" w:cs="Arial"/>
        </w:rPr>
        <w:t xml:space="preserve"> (95% CI:0.4</w:t>
      </w:r>
      <w:r w:rsidR="005C05C5" w:rsidRPr="00D332F6">
        <w:rPr>
          <w:rFonts w:ascii="Arial" w:hAnsi="Arial" w:cs="Arial"/>
        </w:rPr>
        <w:t>73</w:t>
      </w:r>
      <w:r w:rsidRPr="00D332F6">
        <w:rPr>
          <w:rFonts w:ascii="Arial" w:hAnsi="Arial" w:cs="Arial"/>
        </w:rPr>
        <w:t>-0.6</w:t>
      </w:r>
      <w:r w:rsidR="005C05C5" w:rsidRPr="00D332F6">
        <w:rPr>
          <w:rFonts w:ascii="Arial" w:hAnsi="Arial" w:cs="Arial"/>
        </w:rPr>
        <w:t>45</w:t>
      </w:r>
      <w:r w:rsidRPr="00D332F6">
        <w:rPr>
          <w:rFonts w:ascii="Arial" w:hAnsi="Arial" w:cs="Arial"/>
        </w:rPr>
        <w:t>). (Figure 4).</w:t>
      </w:r>
      <w:r w:rsidR="005C05C5" w:rsidRPr="00D332F6">
        <w:rPr>
          <w:rFonts w:ascii="Arial" w:hAnsi="Arial" w:cs="Arial"/>
        </w:rPr>
        <w:t xml:space="preserve"> </w:t>
      </w:r>
      <w:r w:rsidR="005C5A13" w:rsidRPr="00D332F6">
        <w:rPr>
          <w:rFonts w:ascii="Arial" w:hAnsi="Arial" w:cs="Arial"/>
        </w:rPr>
        <w:t xml:space="preserve">All </w:t>
      </w:r>
      <w:r w:rsidR="0032436B" w:rsidRPr="00D332F6">
        <w:rPr>
          <w:rFonts w:ascii="Arial" w:hAnsi="Arial" w:cs="Arial"/>
        </w:rPr>
        <w:t xml:space="preserve">C-index values were marginally higher when using </w:t>
      </w:r>
      <w:r w:rsidR="005C05C5" w:rsidRPr="00D332F6">
        <w:rPr>
          <w:rFonts w:ascii="Arial" w:hAnsi="Arial" w:cs="Arial"/>
        </w:rPr>
        <w:t>the standard Harrell’s C-inde</w:t>
      </w:r>
      <w:r w:rsidR="005C5A13" w:rsidRPr="00D332F6">
        <w:rPr>
          <w:rFonts w:ascii="Arial" w:hAnsi="Arial" w:cs="Arial"/>
        </w:rPr>
        <w:t>x</w:t>
      </w:r>
      <w:r w:rsidR="0032436B" w:rsidRPr="00D332F6">
        <w:rPr>
          <w:rFonts w:ascii="Arial" w:hAnsi="Arial" w:cs="Arial"/>
        </w:rPr>
        <w:t xml:space="preserve"> as opposed to the Wolbers-modified C-index.</w:t>
      </w:r>
      <w:r w:rsidR="005C5A13" w:rsidRPr="00D332F6">
        <w:rPr>
          <w:rFonts w:ascii="Arial" w:hAnsi="Arial" w:cs="Arial"/>
        </w:rPr>
        <w:t xml:space="preserve"> (Table S</w:t>
      </w:r>
      <w:r w:rsidR="0021524F" w:rsidRPr="00D332F6">
        <w:rPr>
          <w:rFonts w:ascii="Arial" w:hAnsi="Arial" w:cs="Arial"/>
        </w:rPr>
        <w:t>3</w:t>
      </w:r>
      <w:r w:rsidR="005C5A13" w:rsidRPr="00D332F6">
        <w:rPr>
          <w:rFonts w:ascii="Arial" w:hAnsi="Arial" w:cs="Arial"/>
        </w:rPr>
        <w:t xml:space="preserve">). </w:t>
      </w:r>
    </w:p>
    <w:p w14:paraId="68F12FD9" w14:textId="77777777" w:rsidR="00BD59D6" w:rsidRPr="00D332F6" w:rsidRDefault="009B159E">
      <w:pPr>
        <w:spacing w:line="360" w:lineRule="auto"/>
        <w:rPr>
          <w:rFonts w:ascii="Arial" w:hAnsi="Arial" w:cs="Arial"/>
        </w:rPr>
      </w:pPr>
      <w:r w:rsidRPr="00D332F6">
        <w:rPr>
          <w:rFonts w:ascii="Arial" w:hAnsi="Arial" w:cs="Arial"/>
        </w:rPr>
        <w:t>VARIABILITY IN DISCRIMINATION</w:t>
      </w:r>
    </w:p>
    <w:p w14:paraId="68F12FDA" w14:textId="46864E8C" w:rsidR="00BD59D6" w:rsidRPr="00D332F6" w:rsidRDefault="009B159E">
      <w:pPr>
        <w:spacing w:line="360" w:lineRule="auto"/>
        <w:rPr>
          <w:rFonts w:ascii="Arial" w:hAnsi="Arial" w:cs="Arial"/>
        </w:rPr>
      </w:pPr>
      <w:r w:rsidRPr="00D332F6">
        <w:rPr>
          <w:rFonts w:ascii="Arial" w:hAnsi="Arial" w:cs="Arial"/>
        </w:rPr>
        <w:t>Our analysis of variability in model discrimination highlighted two patient factors of interest (Figures S</w:t>
      </w:r>
      <w:r w:rsidR="008B4F39" w:rsidRPr="00D332F6">
        <w:rPr>
          <w:rFonts w:ascii="Arial" w:hAnsi="Arial" w:cs="Arial"/>
        </w:rPr>
        <w:t>4</w:t>
      </w:r>
      <w:r w:rsidRPr="00D332F6">
        <w:rPr>
          <w:rFonts w:ascii="Arial" w:hAnsi="Arial" w:cs="Arial"/>
        </w:rPr>
        <w:t>-S</w:t>
      </w:r>
      <w:r w:rsidR="008B4F39" w:rsidRPr="00D332F6">
        <w:rPr>
          <w:rFonts w:ascii="Arial" w:hAnsi="Arial" w:cs="Arial"/>
        </w:rPr>
        <w:t>5</w:t>
      </w:r>
      <w:r w:rsidRPr="00D332F6">
        <w:rPr>
          <w:rFonts w:ascii="Arial" w:hAnsi="Arial" w:cs="Arial"/>
        </w:rPr>
        <w:t>). First, discrimination was better for younger patients versus older patients. This was apparent across both cohorts for all non-genetic models. In the Scottish cohort for example, the aMAP had a C-index of 0.</w:t>
      </w:r>
      <w:r w:rsidR="002B1816" w:rsidRPr="00D332F6">
        <w:rPr>
          <w:rFonts w:ascii="Arial" w:hAnsi="Arial" w:cs="Arial"/>
        </w:rPr>
        <w:t>59</w:t>
      </w:r>
      <w:r w:rsidR="002308F8" w:rsidRPr="00D332F6">
        <w:rPr>
          <w:rFonts w:ascii="Arial" w:hAnsi="Arial" w:cs="Arial"/>
        </w:rPr>
        <w:t xml:space="preserve"> (95%CI: 0.49-0.70)</w:t>
      </w:r>
      <w:r w:rsidRPr="00D332F6">
        <w:rPr>
          <w:rFonts w:ascii="Arial" w:hAnsi="Arial" w:cs="Arial"/>
        </w:rPr>
        <w:t xml:space="preserve"> for those age&gt;60 years at SVR achievement versus 0.</w:t>
      </w:r>
      <w:r w:rsidR="000719C1" w:rsidRPr="00D332F6">
        <w:rPr>
          <w:rFonts w:ascii="Arial" w:hAnsi="Arial" w:cs="Arial"/>
        </w:rPr>
        <w:t>80</w:t>
      </w:r>
      <w:r w:rsidR="002308F8" w:rsidRPr="00D332F6">
        <w:rPr>
          <w:rFonts w:ascii="Arial" w:hAnsi="Arial" w:cs="Arial"/>
        </w:rPr>
        <w:t xml:space="preserve"> (95%CI:0.75-0.84)</w:t>
      </w:r>
      <w:r w:rsidRPr="00D332F6">
        <w:rPr>
          <w:rFonts w:ascii="Arial" w:hAnsi="Arial" w:cs="Arial"/>
        </w:rPr>
        <w:t xml:space="preserve"> for those aged&lt;60 years</w:t>
      </w:r>
      <w:r w:rsidR="000719C1" w:rsidRPr="00D332F6">
        <w:rPr>
          <w:rFonts w:ascii="Arial" w:hAnsi="Arial" w:cs="Arial"/>
        </w:rPr>
        <w:t xml:space="preserve"> </w:t>
      </w:r>
      <w:r w:rsidRPr="00D332F6">
        <w:rPr>
          <w:rFonts w:ascii="Arial" w:hAnsi="Arial" w:cs="Arial"/>
        </w:rPr>
        <w:t xml:space="preserve">(Figure </w:t>
      </w:r>
      <w:r w:rsidR="00AD69C0" w:rsidRPr="00D332F6">
        <w:rPr>
          <w:rFonts w:ascii="Arial" w:hAnsi="Arial" w:cs="Arial"/>
        </w:rPr>
        <w:t>3</w:t>
      </w:r>
      <w:r w:rsidRPr="00D332F6">
        <w:rPr>
          <w:rFonts w:ascii="Arial" w:hAnsi="Arial" w:cs="Arial"/>
        </w:rPr>
        <w:t>). Secondly, GRS discrimination was better for patients with past genotype 3 infection. For example, the C-index of the Dongiovanni GRS was 0.7</w:t>
      </w:r>
      <w:r w:rsidR="000719C1" w:rsidRPr="00D332F6">
        <w:rPr>
          <w:rFonts w:ascii="Arial" w:hAnsi="Arial" w:cs="Arial"/>
        </w:rPr>
        <w:t>8</w:t>
      </w:r>
      <w:r w:rsidRPr="00D332F6">
        <w:rPr>
          <w:rFonts w:ascii="Arial" w:hAnsi="Arial" w:cs="Arial"/>
        </w:rPr>
        <w:t xml:space="preserve"> (95%CI:0.</w:t>
      </w:r>
      <w:r w:rsidR="000719C1" w:rsidRPr="00D332F6">
        <w:rPr>
          <w:rFonts w:ascii="Arial" w:hAnsi="Arial" w:cs="Arial"/>
        </w:rPr>
        <w:t>70</w:t>
      </w:r>
      <w:r w:rsidRPr="00D332F6">
        <w:rPr>
          <w:rFonts w:ascii="Arial" w:hAnsi="Arial" w:cs="Arial"/>
        </w:rPr>
        <w:t>-0.8</w:t>
      </w:r>
      <w:r w:rsidR="000719C1" w:rsidRPr="00D332F6">
        <w:rPr>
          <w:rFonts w:ascii="Arial" w:hAnsi="Arial" w:cs="Arial"/>
        </w:rPr>
        <w:t>7</w:t>
      </w:r>
      <w:r w:rsidRPr="00D332F6">
        <w:rPr>
          <w:rFonts w:ascii="Arial" w:hAnsi="Arial" w:cs="Arial"/>
        </w:rPr>
        <w:t>) in genotype 3 patients versus 0.50 (95%CI:0.39-0.6</w:t>
      </w:r>
      <w:r w:rsidR="0032436B" w:rsidRPr="00D332F6">
        <w:rPr>
          <w:rFonts w:ascii="Arial" w:hAnsi="Arial" w:cs="Arial"/>
        </w:rPr>
        <w:t>2</w:t>
      </w:r>
      <w:r w:rsidRPr="00D332F6">
        <w:rPr>
          <w:rFonts w:ascii="Arial" w:hAnsi="Arial" w:cs="Arial"/>
        </w:rPr>
        <w:t>) in non-genotype 3 patients.</w:t>
      </w:r>
    </w:p>
    <w:p w14:paraId="68F12FDB" w14:textId="7D8E0B1F" w:rsidR="00BD59D6" w:rsidRPr="00D332F6" w:rsidRDefault="009B159E">
      <w:pPr>
        <w:spacing w:line="360" w:lineRule="auto"/>
        <w:rPr>
          <w:rFonts w:ascii="Arial" w:hAnsi="Arial" w:cs="Arial"/>
        </w:rPr>
      </w:pPr>
      <w:r w:rsidRPr="00D332F6">
        <w:rPr>
          <w:rFonts w:ascii="Arial" w:hAnsi="Arial" w:cs="Arial"/>
        </w:rPr>
        <w:t>Otherwise, no major heterogeneity in model discrimination was observed according to IFN-free therapies, alcohol history, gender, or decompensated disease. (Figures S</w:t>
      </w:r>
      <w:r w:rsidR="008B4F39" w:rsidRPr="00D332F6">
        <w:rPr>
          <w:rFonts w:ascii="Arial" w:hAnsi="Arial" w:cs="Arial"/>
        </w:rPr>
        <w:t>4</w:t>
      </w:r>
      <w:r w:rsidRPr="00D332F6">
        <w:rPr>
          <w:rFonts w:ascii="Arial" w:hAnsi="Arial" w:cs="Arial"/>
        </w:rPr>
        <w:t>-</w:t>
      </w:r>
      <w:r w:rsidR="008B4F39" w:rsidRPr="00D332F6">
        <w:rPr>
          <w:rFonts w:ascii="Arial" w:hAnsi="Arial" w:cs="Arial"/>
        </w:rPr>
        <w:t>5</w:t>
      </w:r>
      <w:r w:rsidRPr="00D332F6">
        <w:rPr>
          <w:rFonts w:ascii="Arial" w:hAnsi="Arial" w:cs="Arial"/>
        </w:rPr>
        <w:t>).</w:t>
      </w:r>
    </w:p>
    <w:p w14:paraId="68F12FDE" w14:textId="77777777" w:rsidR="00BD59D6" w:rsidRPr="00D332F6" w:rsidRDefault="009B159E">
      <w:pPr>
        <w:spacing w:line="360" w:lineRule="auto"/>
        <w:rPr>
          <w:rFonts w:ascii="Arial" w:hAnsi="Arial" w:cs="Arial"/>
        </w:rPr>
      </w:pPr>
      <w:r w:rsidRPr="00D332F6">
        <w:rPr>
          <w:rFonts w:ascii="Arial" w:hAnsi="Arial" w:cs="Arial"/>
        </w:rPr>
        <w:t>CALBIRATION:</w:t>
      </w:r>
    </w:p>
    <w:p w14:paraId="68F12FDF" w14:textId="2F382A13" w:rsidR="00BD59D6" w:rsidRPr="00D332F6" w:rsidRDefault="009B159E">
      <w:pPr>
        <w:spacing w:line="360" w:lineRule="auto"/>
        <w:rPr>
          <w:rFonts w:ascii="Arial" w:hAnsi="Arial" w:cs="Arial"/>
        </w:rPr>
      </w:pPr>
      <w:r w:rsidRPr="00D332F6">
        <w:rPr>
          <w:rFonts w:ascii="Arial" w:hAnsi="Arial" w:cs="Arial"/>
        </w:rPr>
        <w:t>In the Scottish cohort, the observed 3-year probability of HCC was 3.</w:t>
      </w:r>
      <w:r w:rsidR="00B808EB" w:rsidRPr="00D332F6">
        <w:rPr>
          <w:rFonts w:ascii="Arial" w:hAnsi="Arial" w:cs="Arial"/>
        </w:rPr>
        <w:t>3</w:t>
      </w:r>
      <w:r w:rsidRPr="00D332F6">
        <w:rPr>
          <w:rFonts w:ascii="Arial" w:hAnsi="Arial" w:cs="Arial"/>
        </w:rPr>
        <w:t>% (95% CI:2.</w:t>
      </w:r>
      <w:r w:rsidR="00B808EB" w:rsidRPr="00D332F6">
        <w:rPr>
          <w:rFonts w:ascii="Arial" w:hAnsi="Arial" w:cs="Arial"/>
        </w:rPr>
        <w:t>6</w:t>
      </w:r>
      <w:r w:rsidRPr="00D332F6">
        <w:rPr>
          <w:rFonts w:ascii="Arial" w:hAnsi="Arial" w:cs="Arial"/>
        </w:rPr>
        <w:t>-4.</w:t>
      </w:r>
      <w:r w:rsidR="00B808EB" w:rsidRPr="00D332F6">
        <w:rPr>
          <w:rFonts w:ascii="Arial" w:hAnsi="Arial" w:cs="Arial"/>
        </w:rPr>
        <w:t>2</w:t>
      </w:r>
      <w:r w:rsidRPr="00D332F6">
        <w:rPr>
          <w:rFonts w:ascii="Arial" w:hAnsi="Arial" w:cs="Arial"/>
        </w:rPr>
        <w:t>). This compared with predicted probabilities of 2.0% (THRI), 3.1% (VHA), 3.6% (aMAP) and 3.9% (ANRS CO12 model). In STOPHCV, the 3-year observed probability of HCC was 5.</w:t>
      </w:r>
      <w:r w:rsidR="00CB7B95" w:rsidRPr="00D332F6">
        <w:rPr>
          <w:rFonts w:ascii="Arial" w:hAnsi="Arial" w:cs="Arial"/>
        </w:rPr>
        <w:t>1</w:t>
      </w:r>
      <w:r w:rsidRPr="00D332F6">
        <w:rPr>
          <w:rFonts w:ascii="Arial" w:hAnsi="Arial" w:cs="Arial"/>
        </w:rPr>
        <w:t>% (95%CI: 3.</w:t>
      </w:r>
      <w:r w:rsidR="00CB7B95" w:rsidRPr="00D332F6">
        <w:rPr>
          <w:rFonts w:ascii="Arial" w:hAnsi="Arial" w:cs="Arial"/>
        </w:rPr>
        <w:t>5</w:t>
      </w:r>
      <w:r w:rsidRPr="00D332F6">
        <w:rPr>
          <w:rFonts w:ascii="Arial" w:hAnsi="Arial" w:cs="Arial"/>
        </w:rPr>
        <w:t>-7.</w:t>
      </w:r>
      <w:r w:rsidR="00CB7B95" w:rsidRPr="00D332F6">
        <w:rPr>
          <w:rFonts w:ascii="Arial" w:hAnsi="Arial" w:cs="Arial"/>
        </w:rPr>
        <w:t>0</w:t>
      </w:r>
      <w:r w:rsidRPr="00D332F6">
        <w:rPr>
          <w:rFonts w:ascii="Arial" w:hAnsi="Arial" w:cs="Arial"/>
        </w:rPr>
        <w:t xml:space="preserve">), compared to predicted probabilities of 2.5% (THRI model), 3.8% (VHA model) and 5.0% (aMAP model) (Figure </w:t>
      </w:r>
      <w:r w:rsidR="00012A0C" w:rsidRPr="00D332F6">
        <w:rPr>
          <w:rFonts w:ascii="Arial" w:hAnsi="Arial" w:cs="Arial"/>
        </w:rPr>
        <w:t>S</w:t>
      </w:r>
      <w:r w:rsidR="00D93003" w:rsidRPr="00D332F6">
        <w:rPr>
          <w:rFonts w:ascii="Arial" w:hAnsi="Arial" w:cs="Arial"/>
        </w:rPr>
        <w:t>6</w:t>
      </w:r>
      <w:r w:rsidRPr="00D332F6">
        <w:rPr>
          <w:rFonts w:ascii="Arial" w:hAnsi="Arial" w:cs="Arial"/>
        </w:rPr>
        <w:t>).</w:t>
      </w:r>
    </w:p>
    <w:p w14:paraId="68F12FE0" w14:textId="73EE1AAB" w:rsidR="00BD59D6" w:rsidRPr="00D332F6" w:rsidRDefault="009B159E">
      <w:pPr>
        <w:spacing w:line="360" w:lineRule="auto"/>
        <w:rPr>
          <w:rFonts w:ascii="Arial" w:hAnsi="Arial" w:cs="Arial"/>
        </w:rPr>
      </w:pPr>
      <w:r w:rsidRPr="00D332F6">
        <w:rPr>
          <w:rFonts w:ascii="Arial" w:hAnsi="Arial" w:cs="Arial"/>
        </w:rPr>
        <w:t xml:space="preserve">When we examined calibration </w:t>
      </w:r>
      <w:r w:rsidR="00310E17" w:rsidRPr="00D332F6">
        <w:rPr>
          <w:rFonts w:ascii="Arial" w:hAnsi="Arial" w:cs="Arial"/>
        </w:rPr>
        <w:t>according to risk tertiles</w:t>
      </w:r>
      <w:r w:rsidRPr="00D332F6">
        <w:rPr>
          <w:rFonts w:ascii="Arial" w:hAnsi="Arial" w:cs="Arial"/>
        </w:rPr>
        <w:t xml:space="preserve">, we saw </w:t>
      </w:r>
      <w:r w:rsidR="00D91167" w:rsidRPr="00D332F6">
        <w:rPr>
          <w:rFonts w:ascii="Arial" w:hAnsi="Arial" w:cs="Arial"/>
        </w:rPr>
        <w:t>some instances of under-prediction in</w:t>
      </w:r>
      <w:r w:rsidRPr="00D332F6">
        <w:rPr>
          <w:rFonts w:ascii="Arial" w:hAnsi="Arial" w:cs="Arial"/>
        </w:rPr>
        <w:t xml:space="preserve"> highe</w:t>
      </w:r>
      <w:r w:rsidR="00D91167" w:rsidRPr="00D332F6">
        <w:rPr>
          <w:rFonts w:ascii="Arial" w:hAnsi="Arial" w:cs="Arial"/>
        </w:rPr>
        <w:t>r</w:t>
      </w:r>
      <w:r w:rsidRPr="00D332F6">
        <w:rPr>
          <w:rFonts w:ascii="Arial" w:hAnsi="Arial" w:cs="Arial"/>
        </w:rPr>
        <w:t xml:space="preserve"> risk</w:t>
      </w:r>
      <w:r w:rsidR="00D91167" w:rsidRPr="00D332F6">
        <w:rPr>
          <w:rFonts w:ascii="Arial" w:hAnsi="Arial" w:cs="Arial"/>
        </w:rPr>
        <w:t xml:space="preserve"> patients</w:t>
      </w:r>
      <w:r w:rsidRPr="00D332F6">
        <w:rPr>
          <w:rFonts w:ascii="Arial" w:hAnsi="Arial" w:cs="Arial"/>
        </w:rPr>
        <w:t xml:space="preserve">. </w:t>
      </w:r>
      <w:r w:rsidR="00B90F2E" w:rsidRPr="00D332F6">
        <w:rPr>
          <w:rFonts w:ascii="Arial" w:hAnsi="Arial" w:cs="Arial"/>
        </w:rPr>
        <w:t>For example, i</w:t>
      </w:r>
      <w:r w:rsidRPr="00D332F6">
        <w:rPr>
          <w:rFonts w:ascii="Arial" w:hAnsi="Arial" w:cs="Arial"/>
        </w:rPr>
        <w:t>n the Scottish cohort</w:t>
      </w:r>
      <w:r w:rsidR="00B90F2E" w:rsidRPr="00D332F6">
        <w:rPr>
          <w:rFonts w:ascii="Arial" w:hAnsi="Arial" w:cs="Arial"/>
        </w:rPr>
        <w:t xml:space="preserve">, </w:t>
      </w:r>
      <w:r w:rsidRPr="00D332F6">
        <w:rPr>
          <w:rFonts w:ascii="Arial" w:hAnsi="Arial" w:cs="Arial"/>
        </w:rPr>
        <w:t>the observed 3-year risk for individuals w</w:t>
      </w:r>
      <w:r w:rsidR="005C482C" w:rsidRPr="00D332F6">
        <w:rPr>
          <w:rFonts w:ascii="Arial" w:hAnsi="Arial" w:cs="Arial"/>
        </w:rPr>
        <w:t xml:space="preserve">hose </w:t>
      </w:r>
      <w:r w:rsidRPr="00D332F6">
        <w:rPr>
          <w:rFonts w:ascii="Arial" w:hAnsi="Arial" w:cs="Arial"/>
        </w:rPr>
        <w:t xml:space="preserve">THRI </w:t>
      </w:r>
      <w:r w:rsidR="005C482C" w:rsidRPr="00D332F6">
        <w:rPr>
          <w:rFonts w:ascii="Arial" w:hAnsi="Arial" w:cs="Arial"/>
        </w:rPr>
        <w:t>score was in tertile 3</w:t>
      </w:r>
      <w:r w:rsidRPr="00D332F6">
        <w:rPr>
          <w:rFonts w:ascii="Arial" w:hAnsi="Arial" w:cs="Arial"/>
        </w:rPr>
        <w:t xml:space="preserve"> (11.</w:t>
      </w:r>
      <w:r w:rsidR="002B02AE" w:rsidRPr="00D332F6">
        <w:rPr>
          <w:rFonts w:ascii="Arial" w:hAnsi="Arial" w:cs="Arial"/>
        </w:rPr>
        <w:t>3</w:t>
      </w:r>
      <w:r w:rsidRPr="00D332F6">
        <w:rPr>
          <w:rFonts w:ascii="Arial" w:hAnsi="Arial" w:cs="Arial"/>
        </w:rPr>
        <w:t>% 95%CI:4.6-18.</w:t>
      </w:r>
      <w:r w:rsidR="00173D6E" w:rsidRPr="00D332F6">
        <w:rPr>
          <w:rFonts w:ascii="Arial" w:hAnsi="Arial" w:cs="Arial"/>
        </w:rPr>
        <w:t>0</w:t>
      </w:r>
      <w:r w:rsidRPr="00D332F6">
        <w:rPr>
          <w:rFonts w:ascii="Arial" w:hAnsi="Arial" w:cs="Arial"/>
        </w:rPr>
        <w:t xml:space="preserve">) was almost twice the predicted risk (6.4%). This under-prediction affected the VHA model </w:t>
      </w:r>
      <w:r w:rsidR="002D4CFA" w:rsidRPr="00D332F6">
        <w:rPr>
          <w:rFonts w:ascii="Arial" w:hAnsi="Arial" w:cs="Arial"/>
        </w:rPr>
        <w:t xml:space="preserve">as well </w:t>
      </w:r>
      <w:r w:rsidRPr="00D332F6">
        <w:rPr>
          <w:rFonts w:ascii="Arial" w:hAnsi="Arial" w:cs="Arial"/>
        </w:rPr>
        <w:t xml:space="preserve">to some extent, but </w:t>
      </w:r>
      <w:r w:rsidR="00895FCA" w:rsidRPr="00D332F6">
        <w:rPr>
          <w:rFonts w:ascii="Arial" w:hAnsi="Arial" w:cs="Arial"/>
        </w:rPr>
        <w:t>did not affect the</w:t>
      </w:r>
      <w:r w:rsidRPr="00D332F6">
        <w:rPr>
          <w:rFonts w:ascii="Arial" w:hAnsi="Arial" w:cs="Arial"/>
        </w:rPr>
        <w:t xml:space="preserve"> aMAP </w:t>
      </w:r>
      <w:r w:rsidR="00895FCA" w:rsidRPr="00D332F6">
        <w:rPr>
          <w:rFonts w:ascii="Arial" w:hAnsi="Arial" w:cs="Arial"/>
        </w:rPr>
        <w:t>or</w:t>
      </w:r>
      <w:r w:rsidRPr="00D332F6">
        <w:rPr>
          <w:rFonts w:ascii="Arial" w:hAnsi="Arial" w:cs="Arial"/>
        </w:rPr>
        <w:t xml:space="preserve"> ANRS CO12 models (Figure </w:t>
      </w:r>
      <w:r w:rsidR="00012A0C" w:rsidRPr="00D332F6">
        <w:rPr>
          <w:rFonts w:ascii="Arial" w:hAnsi="Arial" w:cs="Arial"/>
        </w:rPr>
        <w:t>4</w:t>
      </w:r>
      <w:r w:rsidRPr="00D332F6">
        <w:rPr>
          <w:rFonts w:ascii="Arial" w:hAnsi="Arial" w:cs="Arial"/>
        </w:rPr>
        <w:t xml:space="preserve">). </w:t>
      </w:r>
    </w:p>
    <w:p w14:paraId="68F12FE1" w14:textId="77777777" w:rsidR="00BD59D6" w:rsidRPr="00D332F6" w:rsidRDefault="00BD59D6">
      <w:pPr>
        <w:spacing w:line="360" w:lineRule="auto"/>
        <w:rPr>
          <w:rFonts w:ascii="Arial" w:hAnsi="Arial" w:cs="Arial"/>
        </w:rPr>
      </w:pPr>
    </w:p>
    <w:p w14:paraId="68F12FE2" w14:textId="77777777" w:rsidR="00BD59D6" w:rsidRPr="00D332F6" w:rsidRDefault="009B159E">
      <w:pPr>
        <w:spacing w:line="360" w:lineRule="auto"/>
        <w:rPr>
          <w:rFonts w:ascii="Arial" w:hAnsi="Arial" w:cs="Arial"/>
          <w:b/>
          <w:sz w:val="24"/>
        </w:rPr>
      </w:pPr>
      <w:r w:rsidRPr="00D332F6">
        <w:rPr>
          <w:rFonts w:ascii="Arial" w:hAnsi="Arial" w:cs="Arial"/>
          <w:b/>
          <w:sz w:val="24"/>
        </w:rPr>
        <w:t>DISCUSSION</w:t>
      </w:r>
    </w:p>
    <w:p w14:paraId="4EFF6702" w14:textId="4E99D8B1" w:rsidR="00BF7E49" w:rsidRPr="00D332F6" w:rsidRDefault="00DE7E35">
      <w:pPr>
        <w:spacing w:line="360" w:lineRule="auto"/>
        <w:rPr>
          <w:rFonts w:ascii="Arial" w:hAnsi="Arial" w:cs="Arial"/>
        </w:rPr>
      </w:pPr>
      <w:r w:rsidRPr="00D332F6">
        <w:rPr>
          <w:rFonts w:ascii="Arial" w:hAnsi="Arial" w:cs="Arial"/>
        </w:rPr>
        <w:t>HCC risk prediction models</w:t>
      </w:r>
      <w:r w:rsidR="005B5A5B" w:rsidRPr="00D332F6">
        <w:rPr>
          <w:rFonts w:ascii="Arial" w:hAnsi="Arial" w:cs="Arial"/>
        </w:rPr>
        <w:t xml:space="preserve"> </w:t>
      </w:r>
      <w:r w:rsidR="00D178BD" w:rsidRPr="00D332F6">
        <w:rPr>
          <w:rFonts w:ascii="Arial" w:hAnsi="Arial" w:cs="Arial"/>
        </w:rPr>
        <w:t>have the potential to support</w:t>
      </w:r>
      <w:r w:rsidRPr="00D332F6">
        <w:rPr>
          <w:rFonts w:ascii="Arial" w:hAnsi="Arial" w:cs="Arial"/>
        </w:rPr>
        <w:t xml:space="preserve"> </w:t>
      </w:r>
      <w:r w:rsidR="009B159E" w:rsidRPr="00D332F6">
        <w:rPr>
          <w:rFonts w:ascii="Arial" w:hAnsi="Arial" w:cs="Arial"/>
        </w:rPr>
        <w:t xml:space="preserve">clinical decision </w:t>
      </w:r>
      <w:r w:rsidR="005B5A5B" w:rsidRPr="00D332F6">
        <w:rPr>
          <w:rFonts w:ascii="Arial" w:hAnsi="Arial" w:cs="Arial"/>
        </w:rPr>
        <w:t xml:space="preserve">making, but </w:t>
      </w:r>
      <w:r w:rsidR="008121D4" w:rsidRPr="00D332F6">
        <w:rPr>
          <w:rFonts w:ascii="Arial" w:hAnsi="Arial" w:cs="Arial"/>
        </w:rPr>
        <w:t>equally could</w:t>
      </w:r>
      <w:r w:rsidR="00D178BD" w:rsidRPr="00D332F6">
        <w:rPr>
          <w:rFonts w:ascii="Arial" w:hAnsi="Arial" w:cs="Arial"/>
        </w:rPr>
        <w:t xml:space="preserve"> cause</w:t>
      </w:r>
      <w:r w:rsidR="009B159E" w:rsidRPr="00D332F6">
        <w:rPr>
          <w:rFonts w:ascii="Arial" w:hAnsi="Arial" w:cs="Arial"/>
        </w:rPr>
        <w:t xml:space="preserve"> harm if their predictions are not robust. </w:t>
      </w:r>
      <w:r w:rsidR="00F459F5" w:rsidRPr="00D332F6">
        <w:rPr>
          <w:rFonts w:ascii="Arial" w:hAnsi="Arial" w:cs="Arial"/>
        </w:rPr>
        <w:t>In</w:t>
      </w:r>
      <w:r w:rsidR="009B159E" w:rsidRPr="00D332F6">
        <w:rPr>
          <w:rFonts w:ascii="Arial" w:hAnsi="Arial" w:cs="Arial"/>
        </w:rPr>
        <w:t xml:space="preserve"> this study</w:t>
      </w:r>
      <w:r w:rsidRPr="00D332F6">
        <w:rPr>
          <w:rFonts w:ascii="Arial" w:hAnsi="Arial" w:cs="Arial"/>
        </w:rPr>
        <w:t>,</w:t>
      </w:r>
      <w:r w:rsidR="009B159E" w:rsidRPr="00D332F6">
        <w:rPr>
          <w:rFonts w:ascii="Arial" w:hAnsi="Arial" w:cs="Arial"/>
        </w:rPr>
        <w:t xml:space="preserve"> we </w:t>
      </w:r>
      <w:r w:rsidRPr="00D332F6">
        <w:rPr>
          <w:rFonts w:ascii="Arial" w:hAnsi="Arial" w:cs="Arial"/>
        </w:rPr>
        <w:t xml:space="preserve">used external validation to </w:t>
      </w:r>
      <w:r w:rsidR="009B159E" w:rsidRPr="00D332F6">
        <w:rPr>
          <w:rFonts w:ascii="Arial" w:hAnsi="Arial" w:cs="Arial"/>
        </w:rPr>
        <w:t xml:space="preserve">quantify the performance of existing </w:t>
      </w:r>
      <w:r w:rsidR="00B532D4" w:rsidRPr="00D332F6">
        <w:rPr>
          <w:rFonts w:ascii="Arial" w:hAnsi="Arial" w:cs="Arial"/>
        </w:rPr>
        <w:t xml:space="preserve">HCC </w:t>
      </w:r>
      <w:r w:rsidR="009B159E" w:rsidRPr="00D332F6">
        <w:rPr>
          <w:rFonts w:ascii="Arial" w:hAnsi="Arial" w:cs="Arial"/>
        </w:rPr>
        <w:t>prediction models for individuals with cirrhosis and cured HCV</w:t>
      </w:r>
      <w:r w:rsidRPr="00D332F6">
        <w:rPr>
          <w:rFonts w:ascii="Arial" w:hAnsi="Arial" w:cs="Arial"/>
        </w:rPr>
        <w:t>.</w:t>
      </w:r>
      <w:r w:rsidR="009B159E" w:rsidRPr="00D332F6">
        <w:rPr>
          <w:rFonts w:ascii="Arial" w:hAnsi="Arial" w:cs="Arial"/>
        </w:rPr>
        <w:t xml:space="preserve"> </w:t>
      </w:r>
      <w:r w:rsidR="0068165F" w:rsidRPr="00D332F6">
        <w:rPr>
          <w:rFonts w:ascii="Arial" w:hAnsi="Arial" w:cs="Arial"/>
        </w:rPr>
        <w:t>There are three key findings to draw attention to. F</w:t>
      </w:r>
      <w:r w:rsidR="008B2CC6" w:rsidRPr="00D332F6">
        <w:rPr>
          <w:rFonts w:ascii="Arial" w:hAnsi="Arial" w:cs="Arial"/>
        </w:rPr>
        <w:t>irst</w:t>
      </w:r>
      <w:r w:rsidR="0068165F" w:rsidRPr="00D332F6">
        <w:rPr>
          <w:rFonts w:ascii="Arial" w:hAnsi="Arial" w:cs="Arial"/>
        </w:rPr>
        <w:t>, our</w:t>
      </w:r>
      <w:r w:rsidR="00403E33" w:rsidRPr="00D332F6">
        <w:rPr>
          <w:rFonts w:ascii="Arial" w:hAnsi="Arial" w:cs="Arial"/>
        </w:rPr>
        <w:t xml:space="preserve"> </w:t>
      </w:r>
      <w:r w:rsidR="00BA3F31" w:rsidRPr="00D332F6">
        <w:rPr>
          <w:rFonts w:ascii="Arial" w:hAnsi="Arial" w:cs="Arial"/>
        </w:rPr>
        <w:t xml:space="preserve">data confirm that </w:t>
      </w:r>
      <w:r w:rsidR="00403E33" w:rsidRPr="00D332F6">
        <w:rPr>
          <w:rFonts w:ascii="Arial" w:hAnsi="Arial" w:cs="Arial"/>
        </w:rPr>
        <w:t xml:space="preserve">HCC prediction models </w:t>
      </w:r>
      <w:r w:rsidR="0068165F" w:rsidRPr="00D332F6">
        <w:rPr>
          <w:rFonts w:ascii="Arial" w:hAnsi="Arial" w:cs="Arial"/>
        </w:rPr>
        <w:t>are able to discriminate</w:t>
      </w:r>
      <w:r w:rsidR="00403E33" w:rsidRPr="00D332F6">
        <w:rPr>
          <w:rFonts w:ascii="Arial" w:hAnsi="Arial" w:cs="Arial"/>
        </w:rPr>
        <w:t xml:space="preserve"> between patients who go onto develop HCC and those who do not. In other words,</w:t>
      </w:r>
      <w:r w:rsidR="0068165F" w:rsidRPr="00D332F6">
        <w:rPr>
          <w:rFonts w:ascii="Arial" w:hAnsi="Arial" w:cs="Arial"/>
        </w:rPr>
        <w:t xml:space="preserve"> </w:t>
      </w:r>
      <w:r w:rsidR="00295256" w:rsidRPr="00D332F6">
        <w:rPr>
          <w:rFonts w:ascii="Arial" w:hAnsi="Arial" w:cs="Arial"/>
        </w:rPr>
        <w:t xml:space="preserve">across all models, an increase in </w:t>
      </w:r>
      <w:r w:rsidR="00295256" w:rsidRPr="00D332F6">
        <w:rPr>
          <w:rFonts w:ascii="Arial" w:hAnsi="Arial" w:cs="Arial"/>
          <w:i/>
        </w:rPr>
        <w:t xml:space="preserve">predicted </w:t>
      </w:r>
      <w:r w:rsidR="00295256" w:rsidRPr="00D332F6">
        <w:rPr>
          <w:rFonts w:ascii="Arial" w:hAnsi="Arial" w:cs="Arial"/>
        </w:rPr>
        <w:t xml:space="preserve">HCC risk </w:t>
      </w:r>
      <w:r w:rsidR="008121D4" w:rsidRPr="00D332F6">
        <w:rPr>
          <w:rFonts w:ascii="Arial" w:hAnsi="Arial" w:cs="Arial"/>
        </w:rPr>
        <w:t>was</w:t>
      </w:r>
      <w:r w:rsidR="00295256" w:rsidRPr="00D332F6">
        <w:rPr>
          <w:rFonts w:ascii="Arial" w:hAnsi="Arial" w:cs="Arial"/>
        </w:rPr>
        <w:t xml:space="preserve"> mirrored by an increase in </w:t>
      </w:r>
      <w:r w:rsidR="00295256" w:rsidRPr="00D332F6">
        <w:rPr>
          <w:rFonts w:ascii="Arial" w:hAnsi="Arial" w:cs="Arial"/>
          <w:i/>
        </w:rPr>
        <w:t>observed</w:t>
      </w:r>
      <w:r w:rsidR="00295256" w:rsidRPr="00D332F6">
        <w:rPr>
          <w:rFonts w:ascii="Arial" w:hAnsi="Arial" w:cs="Arial"/>
        </w:rPr>
        <w:t xml:space="preserve"> HCC risk </w:t>
      </w:r>
      <w:r w:rsidR="0068165F" w:rsidRPr="00D332F6">
        <w:rPr>
          <w:rFonts w:ascii="Arial" w:hAnsi="Arial" w:cs="Arial"/>
        </w:rPr>
        <w:t>(and vice versa).</w:t>
      </w:r>
      <w:r w:rsidR="00403E33" w:rsidRPr="00D332F6">
        <w:rPr>
          <w:rFonts w:ascii="Arial" w:hAnsi="Arial" w:cs="Arial"/>
        </w:rPr>
        <w:t xml:space="preserve"> Nevertheless, </w:t>
      </w:r>
      <w:r w:rsidR="009B159E" w:rsidRPr="00D332F6">
        <w:rPr>
          <w:rFonts w:ascii="Arial" w:hAnsi="Arial" w:cs="Arial"/>
        </w:rPr>
        <w:t>not all models provide the same level of discrimination</w:t>
      </w:r>
      <w:r w:rsidR="00403E33" w:rsidRPr="00D332F6">
        <w:rPr>
          <w:rFonts w:ascii="Arial" w:hAnsi="Arial" w:cs="Arial"/>
        </w:rPr>
        <w:t xml:space="preserve"> in a UK setting</w:t>
      </w:r>
      <w:r w:rsidR="009B159E" w:rsidRPr="00D332F6">
        <w:rPr>
          <w:rFonts w:ascii="Arial" w:hAnsi="Arial" w:cs="Arial"/>
        </w:rPr>
        <w:t xml:space="preserve">. Overall, </w:t>
      </w:r>
      <w:r w:rsidR="00B45BA9" w:rsidRPr="00D332F6">
        <w:rPr>
          <w:rFonts w:ascii="Arial" w:hAnsi="Arial" w:cs="Arial"/>
        </w:rPr>
        <w:t xml:space="preserve">the </w:t>
      </w:r>
      <w:r w:rsidR="009B159E" w:rsidRPr="00D332F6">
        <w:rPr>
          <w:rFonts w:ascii="Arial" w:hAnsi="Arial" w:cs="Arial"/>
        </w:rPr>
        <w:t xml:space="preserve">aMAP </w:t>
      </w:r>
      <w:r w:rsidR="00185D34" w:rsidRPr="00D332F6">
        <w:rPr>
          <w:rFonts w:ascii="Arial" w:hAnsi="Arial" w:cs="Arial"/>
        </w:rPr>
        <w:t>model</w:t>
      </w:r>
      <w:r w:rsidR="0068165F" w:rsidRPr="00D332F6">
        <w:rPr>
          <w:rFonts w:ascii="Arial" w:hAnsi="Arial" w:cs="Arial"/>
        </w:rPr>
        <w:t xml:space="preserve"> exhibit</w:t>
      </w:r>
      <w:r w:rsidR="00185D34" w:rsidRPr="00D332F6">
        <w:rPr>
          <w:rFonts w:ascii="Arial" w:hAnsi="Arial" w:cs="Arial"/>
        </w:rPr>
        <w:t>ed</w:t>
      </w:r>
      <w:r w:rsidR="0068165F" w:rsidRPr="00D332F6">
        <w:rPr>
          <w:rFonts w:ascii="Arial" w:hAnsi="Arial" w:cs="Arial"/>
        </w:rPr>
        <w:t xml:space="preserve"> the best discrimina</w:t>
      </w:r>
      <w:r w:rsidR="00DB2322" w:rsidRPr="00D332F6">
        <w:rPr>
          <w:rFonts w:ascii="Arial" w:hAnsi="Arial" w:cs="Arial"/>
        </w:rPr>
        <w:t>tive ability</w:t>
      </w:r>
      <w:r w:rsidR="0068165F" w:rsidRPr="00D332F6">
        <w:rPr>
          <w:rFonts w:ascii="Arial" w:hAnsi="Arial" w:cs="Arial"/>
        </w:rPr>
        <w:t xml:space="preserve"> with a C-index of 0.78 in the Scottish and 0.71 in STOPHCV. </w:t>
      </w:r>
      <w:r w:rsidR="009B159E" w:rsidRPr="00D332F6">
        <w:rPr>
          <w:rFonts w:ascii="Arial" w:hAnsi="Arial" w:cs="Arial"/>
        </w:rPr>
        <w:t xml:space="preserve"> </w:t>
      </w:r>
      <w:r w:rsidR="00624813" w:rsidRPr="00D332F6">
        <w:rPr>
          <w:rFonts w:ascii="Arial" w:hAnsi="Arial" w:cs="Arial"/>
        </w:rPr>
        <w:t>The</w:t>
      </w:r>
      <w:r w:rsidR="00213B0F" w:rsidRPr="00D332F6">
        <w:rPr>
          <w:rFonts w:ascii="Arial" w:hAnsi="Arial" w:cs="Arial"/>
        </w:rPr>
        <w:t xml:space="preserve"> </w:t>
      </w:r>
      <w:r w:rsidR="00A9195B" w:rsidRPr="00D332F6">
        <w:rPr>
          <w:rFonts w:ascii="Arial" w:hAnsi="Arial" w:cs="Arial"/>
        </w:rPr>
        <w:t xml:space="preserve">aMAP </w:t>
      </w:r>
      <w:r w:rsidR="009D4569" w:rsidRPr="00D332F6">
        <w:rPr>
          <w:rFonts w:ascii="Arial" w:hAnsi="Arial" w:cs="Arial"/>
        </w:rPr>
        <w:t xml:space="preserve">model </w:t>
      </w:r>
      <w:r w:rsidR="00A9195B" w:rsidRPr="00D332F6">
        <w:rPr>
          <w:rFonts w:ascii="Arial" w:hAnsi="Arial" w:cs="Arial"/>
        </w:rPr>
        <w:t xml:space="preserve">is derived </w:t>
      </w:r>
      <w:r w:rsidR="00624813" w:rsidRPr="00D332F6">
        <w:rPr>
          <w:rFonts w:ascii="Arial" w:hAnsi="Arial" w:cs="Arial"/>
        </w:rPr>
        <w:t xml:space="preserve">entirely </w:t>
      </w:r>
      <w:r w:rsidR="00A9195B" w:rsidRPr="00D332F6">
        <w:rPr>
          <w:rFonts w:ascii="Arial" w:hAnsi="Arial" w:cs="Arial"/>
        </w:rPr>
        <w:t>from</w:t>
      </w:r>
      <w:r w:rsidR="00213B0F" w:rsidRPr="00D332F6">
        <w:rPr>
          <w:rFonts w:ascii="Arial" w:hAnsi="Arial" w:cs="Arial"/>
        </w:rPr>
        <w:t xml:space="preserve"> routinely available prognostic factors –</w:t>
      </w:r>
      <w:r w:rsidR="00277187" w:rsidRPr="00D332F6">
        <w:rPr>
          <w:rFonts w:ascii="Arial" w:hAnsi="Arial" w:cs="Arial"/>
        </w:rPr>
        <w:t xml:space="preserve"> i.e.</w:t>
      </w:r>
      <w:r w:rsidR="00213B0F" w:rsidRPr="00D332F6">
        <w:rPr>
          <w:rFonts w:ascii="Arial" w:hAnsi="Arial" w:cs="Arial"/>
        </w:rPr>
        <w:t xml:space="preserve"> age, albumin, bilirubin, platelet count and gender </w:t>
      </w:r>
      <w:r w:rsidR="00B45BA9" w:rsidRPr="00D332F6">
        <w:rPr>
          <w:rFonts w:ascii="Arial" w:hAnsi="Arial" w:cs="Arial"/>
        </w:rPr>
        <w:t>–</w:t>
      </w:r>
      <w:r w:rsidR="00213B0F" w:rsidRPr="00D332F6">
        <w:rPr>
          <w:rFonts w:ascii="Arial" w:hAnsi="Arial" w:cs="Arial"/>
        </w:rPr>
        <w:t xml:space="preserve"> </w:t>
      </w:r>
      <w:r w:rsidR="00624813" w:rsidRPr="00D332F6">
        <w:rPr>
          <w:rFonts w:ascii="Arial" w:hAnsi="Arial" w:cs="Arial"/>
        </w:rPr>
        <w:t xml:space="preserve">and thus </w:t>
      </w:r>
      <w:r w:rsidR="00493F05" w:rsidRPr="00D332F6">
        <w:rPr>
          <w:rFonts w:ascii="Arial" w:hAnsi="Arial" w:cs="Arial"/>
        </w:rPr>
        <w:t xml:space="preserve">this provides encouragement regarding </w:t>
      </w:r>
      <w:r w:rsidR="00BB5247" w:rsidRPr="00D332F6">
        <w:rPr>
          <w:rFonts w:ascii="Arial" w:hAnsi="Arial" w:cs="Arial"/>
        </w:rPr>
        <w:t>opportunities</w:t>
      </w:r>
      <w:r w:rsidR="00493F05" w:rsidRPr="00D332F6">
        <w:rPr>
          <w:rFonts w:ascii="Arial" w:hAnsi="Arial" w:cs="Arial"/>
        </w:rPr>
        <w:t xml:space="preserve"> for </w:t>
      </w:r>
      <w:r w:rsidR="00624813" w:rsidRPr="00D332F6">
        <w:rPr>
          <w:rFonts w:ascii="Arial" w:hAnsi="Arial" w:cs="Arial"/>
        </w:rPr>
        <w:t>“real world”</w:t>
      </w:r>
      <w:r w:rsidR="00B45BA9" w:rsidRPr="00D332F6">
        <w:rPr>
          <w:rFonts w:ascii="Arial" w:hAnsi="Arial" w:cs="Arial"/>
        </w:rPr>
        <w:t xml:space="preserve"> risk stratification in this </w:t>
      </w:r>
      <w:r w:rsidR="00A9195B" w:rsidRPr="00D332F6">
        <w:rPr>
          <w:rFonts w:ascii="Arial" w:hAnsi="Arial" w:cs="Arial"/>
        </w:rPr>
        <w:t>growing</w:t>
      </w:r>
      <w:r w:rsidR="00E31C80" w:rsidRPr="00D332F6">
        <w:rPr>
          <w:rFonts w:ascii="Arial" w:hAnsi="Arial" w:cs="Arial"/>
        </w:rPr>
        <w:t xml:space="preserve"> patient group. </w:t>
      </w:r>
      <w:r w:rsidR="00254EAD" w:rsidRPr="00D332F6">
        <w:rPr>
          <w:rFonts w:ascii="Arial" w:hAnsi="Arial" w:cs="Arial"/>
        </w:rPr>
        <w:t xml:space="preserve">Another </w:t>
      </w:r>
      <w:r w:rsidR="00541101" w:rsidRPr="00D332F6">
        <w:rPr>
          <w:rFonts w:ascii="Arial" w:hAnsi="Arial" w:cs="Arial"/>
        </w:rPr>
        <w:t>corol</w:t>
      </w:r>
      <w:r w:rsidR="00320CC2" w:rsidRPr="00D332F6">
        <w:rPr>
          <w:rFonts w:ascii="Arial" w:hAnsi="Arial" w:cs="Arial"/>
        </w:rPr>
        <w:t>l</w:t>
      </w:r>
      <w:r w:rsidR="00541101" w:rsidRPr="00D332F6">
        <w:rPr>
          <w:rFonts w:ascii="Arial" w:hAnsi="Arial" w:cs="Arial"/>
        </w:rPr>
        <w:t>ary</w:t>
      </w:r>
      <w:r w:rsidR="00254EAD" w:rsidRPr="00D332F6">
        <w:rPr>
          <w:rFonts w:ascii="Arial" w:hAnsi="Arial" w:cs="Arial"/>
        </w:rPr>
        <w:t xml:space="preserve"> </w:t>
      </w:r>
      <w:r w:rsidR="00541101" w:rsidRPr="00D332F6">
        <w:rPr>
          <w:rFonts w:ascii="Arial" w:hAnsi="Arial" w:cs="Arial"/>
        </w:rPr>
        <w:t>is</w:t>
      </w:r>
      <w:r w:rsidR="00EC7B0F" w:rsidRPr="00D332F6">
        <w:rPr>
          <w:rFonts w:ascii="Arial" w:hAnsi="Arial" w:cs="Arial"/>
        </w:rPr>
        <w:t xml:space="preserve"> that</w:t>
      </w:r>
      <w:r w:rsidR="00921F26" w:rsidRPr="00D332F6">
        <w:rPr>
          <w:rFonts w:ascii="Arial" w:hAnsi="Arial" w:cs="Arial"/>
        </w:rPr>
        <w:t xml:space="preserve"> aMAP should be used a</w:t>
      </w:r>
      <w:r w:rsidR="00737786" w:rsidRPr="00D332F6">
        <w:rPr>
          <w:rFonts w:ascii="Arial" w:hAnsi="Arial" w:cs="Arial"/>
        </w:rPr>
        <w:t>s a</w:t>
      </w:r>
      <w:r w:rsidR="00921F26" w:rsidRPr="00D332F6">
        <w:rPr>
          <w:rFonts w:ascii="Arial" w:hAnsi="Arial" w:cs="Arial"/>
        </w:rPr>
        <w:t xml:space="preserve"> benchmark for rival </w:t>
      </w:r>
      <w:r w:rsidR="00EC7B0F" w:rsidRPr="00D332F6">
        <w:rPr>
          <w:rFonts w:ascii="Arial" w:hAnsi="Arial" w:cs="Arial"/>
        </w:rPr>
        <w:t xml:space="preserve">prognostic </w:t>
      </w:r>
      <w:r w:rsidR="00921F26" w:rsidRPr="00D332F6">
        <w:rPr>
          <w:rFonts w:ascii="Arial" w:hAnsi="Arial" w:cs="Arial"/>
        </w:rPr>
        <w:t xml:space="preserve">models to surpass. This will help the research community evaluate whether a </w:t>
      </w:r>
      <w:r w:rsidR="00691D10" w:rsidRPr="00D332F6">
        <w:rPr>
          <w:rFonts w:ascii="Arial" w:hAnsi="Arial" w:cs="Arial"/>
        </w:rPr>
        <w:t>proposed</w:t>
      </w:r>
      <w:r w:rsidR="00921F26" w:rsidRPr="00D332F6">
        <w:rPr>
          <w:rFonts w:ascii="Arial" w:hAnsi="Arial" w:cs="Arial"/>
        </w:rPr>
        <w:t xml:space="preserve"> n</w:t>
      </w:r>
      <w:r w:rsidR="00737786" w:rsidRPr="00D332F6">
        <w:rPr>
          <w:rFonts w:ascii="Arial" w:hAnsi="Arial" w:cs="Arial"/>
        </w:rPr>
        <w:t>ew</w:t>
      </w:r>
      <w:r w:rsidR="00921F26" w:rsidRPr="00D332F6">
        <w:rPr>
          <w:rFonts w:ascii="Arial" w:hAnsi="Arial" w:cs="Arial"/>
        </w:rPr>
        <w:t xml:space="preserve"> model (of which many are likely to emerge in the years ahead)</w:t>
      </w:r>
      <w:r w:rsidR="00737786" w:rsidRPr="00D332F6">
        <w:rPr>
          <w:rFonts w:ascii="Arial" w:hAnsi="Arial" w:cs="Arial"/>
        </w:rPr>
        <w:t xml:space="preserve"> </w:t>
      </w:r>
      <w:r w:rsidR="00921F26" w:rsidRPr="00D332F6">
        <w:rPr>
          <w:rFonts w:ascii="Arial" w:hAnsi="Arial" w:cs="Arial"/>
        </w:rPr>
        <w:t>provides added</w:t>
      </w:r>
      <w:r w:rsidR="00691D10" w:rsidRPr="00D332F6">
        <w:rPr>
          <w:rFonts w:ascii="Arial" w:hAnsi="Arial" w:cs="Arial"/>
        </w:rPr>
        <w:t>-</w:t>
      </w:r>
      <w:r w:rsidR="00921F26" w:rsidRPr="00D332F6">
        <w:rPr>
          <w:rFonts w:ascii="Arial" w:hAnsi="Arial" w:cs="Arial"/>
        </w:rPr>
        <w:t xml:space="preserve">value over existing alternatives. </w:t>
      </w:r>
      <w:r w:rsidR="00294F1E" w:rsidRPr="00D332F6">
        <w:rPr>
          <w:rFonts w:ascii="Arial" w:hAnsi="Arial" w:cs="Arial"/>
        </w:rPr>
        <w:t>A</w:t>
      </w:r>
      <w:r w:rsidR="00EC7B0F" w:rsidRPr="00D332F6">
        <w:rPr>
          <w:rFonts w:ascii="Arial" w:hAnsi="Arial" w:cs="Arial"/>
        </w:rPr>
        <w:t xml:space="preserve"> second </w:t>
      </w:r>
      <w:r w:rsidR="00254EAD" w:rsidRPr="00D332F6">
        <w:rPr>
          <w:rFonts w:ascii="Arial" w:hAnsi="Arial" w:cs="Arial"/>
        </w:rPr>
        <w:t>novel</w:t>
      </w:r>
      <w:r w:rsidR="00EC7B0F" w:rsidRPr="00D332F6">
        <w:rPr>
          <w:rFonts w:ascii="Arial" w:hAnsi="Arial" w:cs="Arial"/>
        </w:rPr>
        <w:t xml:space="preserve"> aspect of this study is that it</w:t>
      </w:r>
      <w:r w:rsidR="00272FA2" w:rsidRPr="00D332F6">
        <w:rPr>
          <w:rFonts w:ascii="Arial" w:hAnsi="Arial" w:cs="Arial"/>
        </w:rPr>
        <w:t xml:space="preserve"> </w:t>
      </w:r>
      <w:r w:rsidR="0068165F" w:rsidRPr="00D332F6">
        <w:rPr>
          <w:rFonts w:ascii="Arial" w:hAnsi="Arial" w:cs="Arial"/>
        </w:rPr>
        <w:t>highlights</w:t>
      </w:r>
      <w:r w:rsidR="006D6392" w:rsidRPr="00D332F6">
        <w:rPr>
          <w:rFonts w:ascii="Arial" w:hAnsi="Arial" w:cs="Arial"/>
        </w:rPr>
        <w:t xml:space="preserve"> the existence of</w:t>
      </w:r>
      <w:r w:rsidR="00EC7B0F" w:rsidRPr="00D332F6">
        <w:rPr>
          <w:rFonts w:ascii="Arial" w:hAnsi="Arial" w:cs="Arial"/>
        </w:rPr>
        <w:t xml:space="preserve"> heterogeneity in model performance</w:t>
      </w:r>
      <w:r w:rsidR="006D6392" w:rsidRPr="00D332F6">
        <w:rPr>
          <w:rFonts w:ascii="Arial" w:hAnsi="Arial" w:cs="Arial"/>
        </w:rPr>
        <w:t xml:space="preserve"> – i.e</w:t>
      </w:r>
      <w:r w:rsidR="00E31C80" w:rsidRPr="00D332F6">
        <w:rPr>
          <w:rFonts w:ascii="Arial" w:hAnsi="Arial" w:cs="Arial"/>
        </w:rPr>
        <w:t>.</w:t>
      </w:r>
      <w:r w:rsidR="006D6392" w:rsidRPr="00D332F6">
        <w:rPr>
          <w:rFonts w:ascii="Arial" w:hAnsi="Arial" w:cs="Arial"/>
        </w:rPr>
        <w:t xml:space="preserve"> </w:t>
      </w:r>
      <w:r w:rsidR="002F1558" w:rsidRPr="00D332F6">
        <w:rPr>
          <w:rFonts w:ascii="Arial" w:hAnsi="Arial" w:cs="Arial"/>
        </w:rPr>
        <w:t>variability in</w:t>
      </w:r>
      <w:r w:rsidR="006D6392" w:rsidRPr="00D332F6">
        <w:rPr>
          <w:rFonts w:ascii="Arial" w:hAnsi="Arial" w:cs="Arial"/>
        </w:rPr>
        <w:t xml:space="preserve"> model performance </w:t>
      </w:r>
      <w:r w:rsidR="002F1558" w:rsidRPr="00D332F6">
        <w:rPr>
          <w:rFonts w:ascii="Arial" w:hAnsi="Arial" w:cs="Arial"/>
        </w:rPr>
        <w:t>according to</w:t>
      </w:r>
      <w:r w:rsidR="006D6392" w:rsidRPr="00D332F6">
        <w:rPr>
          <w:rFonts w:ascii="Arial" w:hAnsi="Arial" w:cs="Arial"/>
        </w:rPr>
        <w:t xml:space="preserve"> patient</w:t>
      </w:r>
      <w:r w:rsidR="002F1558" w:rsidRPr="00D332F6">
        <w:rPr>
          <w:rFonts w:ascii="Arial" w:hAnsi="Arial" w:cs="Arial"/>
        </w:rPr>
        <w:t xml:space="preserve"> characteristics</w:t>
      </w:r>
      <w:r w:rsidR="006D6392" w:rsidRPr="00D332F6">
        <w:rPr>
          <w:rFonts w:ascii="Arial" w:hAnsi="Arial" w:cs="Arial"/>
        </w:rPr>
        <w:t>.</w:t>
      </w:r>
      <w:r w:rsidR="009B159E" w:rsidRPr="00D332F6">
        <w:rPr>
          <w:rFonts w:ascii="Arial" w:hAnsi="Arial" w:cs="Arial"/>
        </w:rPr>
        <w:t xml:space="preserve"> </w:t>
      </w:r>
      <w:r w:rsidR="0068165F" w:rsidRPr="00D332F6">
        <w:rPr>
          <w:rFonts w:ascii="Arial" w:hAnsi="Arial" w:cs="Arial"/>
        </w:rPr>
        <w:t xml:space="preserve">For example, we found that </w:t>
      </w:r>
      <w:r w:rsidRPr="00D332F6">
        <w:rPr>
          <w:rFonts w:ascii="Arial" w:hAnsi="Arial" w:cs="Arial"/>
        </w:rPr>
        <w:t>most prediction models</w:t>
      </w:r>
      <w:r w:rsidR="009B159E" w:rsidRPr="00D332F6">
        <w:rPr>
          <w:rFonts w:ascii="Arial" w:hAnsi="Arial" w:cs="Arial"/>
        </w:rPr>
        <w:t xml:space="preserve"> were</w:t>
      </w:r>
      <w:r w:rsidR="0068165F" w:rsidRPr="00D332F6">
        <w:rPr>
          <w:rFonts w:ascii="Arial" w:hAnsi="Arial" w:cs="Arial"/>
        </w:rPr>
        <w:t xml:space="preserve"> </w:t>
      </w:r>
      <w:r w:rsidR="009B159E" w:rsidRPr="00D332F6">
        <w:rPr>
          <w:rFonts w:ascii="Arial" w:hAnsi="Arial" w:cs="Arial"/>
        </w:rPr>
        <w:t xml:space="preserve">more discriminating in younger patients </w:t>
      </w:r>
      <w:r w:rsidR="00EC7B0F" w:rsidRPr="00D332F6">
        <w:rPr>
          <w:rFonts w:ascii="Arial" w:hAnsi="Arial" w:cs="Arial"/>
        </w:rPr>
        <w:t>versus</w:t>
      </w:r>
      <w:r w:rsidRPr="00D332F6">
        <w:rPr>
          <w:rFonts w:ascii="Arial" w:hAnsi="Arial" w:cs="Arial"/>
        </w:rPr>
        <w:t xml:space="preserve"> older</w:t>
      </w:r>
      <w:r w:rsidR="009B159E" w:rsidRPr="00D332F6">
        <w:rPr>
          <w:rFonts w:ascii="Arial" w:hAnsi="Arial" w:cs="Arial"/>
        </w:rPr>
        <w:t xml:space="preserve"> patients</w:t>
      </w:r>
      <w:r w:rsidR="00EC7B0F" w:rsidRPr="00D332F6">
        <w:rPr>
          <w:rFonts w:ascii="Arial" w:hAnsi="Arial" w:cs="Arial"/>
        </w:rPr>
        <w:t xml:space="preserve"> (Figure 3)</w:t>
      </w:r>
      <w:r w:rsidR="00E87341" w:rsidRPr="00D332F6">
        <w:rPr>
          <w:rFonts w:ascii="Arial" w:hAnsi="Arial" w:cs="Arial"/>
        </w:rPr>
        <w:t xml:space="preserve">, although we are </w:t>
      </w:r>
      <w:r w:rsidR="00844F8A" w:rsidRPr="00D332F6">
        <w:rPr>
          <w:rFonts w:ascii="Arial" w:hAnsi="Arial" w:cs="Arial"/>
        </w:rPr>
        <w:t xml:space="preserve">not </w:t>
      </w:r>
      <w:r w:rsidR="00E87341" w:rsidRPr="00D332F6">
        <w:rPr>
          <w:rFonts w:ascii="Arial" w:hAnsi="Arial" w:cs="Arial"/>
        </w:rPr>
        <w:t xml:space="preserve">clear </w:t>
      </w:r>
      <w:r w:rsidR="0056055B" w:rsidRPr="00D332F6">
        <w:rPr>
          <w:rFonts w:ascii="Arial" w:hAnsi="Arial" w:cs="Arial"/>
        </w:rPr>
        <w:t>exactly why this is the case</w:t>
      </w:r>
      <w:r w:rsidR="009B159E" w:rsidRPr="00D332F6">
        <w:rPr>
          <w:rFonts w:ascii="Arial" w:hAnsi="Arial" w:cs="Arial"/>
        </w:rPr>
        <w:t xml:space="preserve">. </w:t>
      </w:r>
      <w:r w:rsidR="00295256" w:rsidRPr="00D332F6">
        <w:rPr>
          <w:rFonts w:ascii="Arial" w:hAnsi="Arial" w:cs="Arial"/>
        </w:rPr>
        <w:t>In a similar vein, we</w:t>
      </w:r>
      <w:r w:rsidR="009E3BE3" w:rsidRPr="00D332F6">
        <w:rPr>
          <w:rFonts w:ascii="Arial" w:hAnsi="Arial" w:cs="Arial"/>
        </w:rPr>
        <w:t xml:space="preserve"> </w:t>
      </w:r>
      <w:r w:rsidR="00D178BD" w:rsidRPr="00D332F6">
        <w:rPr>
          <w:rFonts w:ascii="Arial" w:hAnsi="Arial" w:cs="Arial"/>
        </w:rPr>
        <w:t>show that</w:t>
      </w:r>
      <w:r w:rsidR="009B159E" w:rsidRPr="00D332F6">
        <w:rPr>
          <w:rFonts w:ascii="Arial" w:hAnsi="Arial" w:cs="Arial"/>
        </w:rPr>
        <w:t xml:space="preserve"> </w:t>
      </w:r>
      <w:r w:rsidRPr="00D332F6">
        <w:rPr>
          <w:rFonts w:ascii="Arial" w:hAnsi="Arial" w:cs="Arial"/>
        </w:rPr>
        <w:t xml:space="preserve">the </w:t>
      </w:r>
      <w:r w:rsidR="009B159E" w:rsidRPr="00D332F6">
        <w:rPr>
          <w:rFonts w:ascii="Arial" w:hAnsi="Arial" w:cs="Arial"/>
        </w:rPr>
        <w:t>Dongiovanni et al GRS</w:t>
      </w:r>
      <w:r w:rsidR="009E3BE3" w:rsidRPr="00D332F6">
        <w:rPr>
          <w:rFonts w:ascii="Arial" w:hAnsi="Arial" w:cs="Arial"/>
        </w:rPr>
        <w:t xml:space="preserve"> exhibited far</w:t>
      </w:r>
      <w:r w:rsidR="009B159E" w:rsidRPr="00D332F6">
        <w:rPr>
          <w:rFonts w:ascii="Arial" w:hAnsi="Arial" w:cs="Arial"/>
        </w:rPr>
        <w:t xml:space="preserve"> better discrimination for patients with past genotype 3 infection (C-index: 0.7</w:t>
      </w:r>
      <w:r w:rsidR="009E3BE3" w:rsidRPr="00D332F6">
        <w:rPr>
          <w:rFonts w:ascii="Arial" w:hAnsi="Arial" w:cs="Arial"/>
        </w:rPr>
        <w:t>8</w:t>
      </w:r>
      <w:r w:rsidR="009B159E" w:rsidRPr="00D332F6">
        <w:rPr>
          <w:rFonts w:ascii="Arial" w:hAnsi="Arial" w:cs="Arial"/>
        </w:rPr>
        <w:t xml:space="preserve">) </w:t>
      </w:r>
      <w:r w:rsidR="0068165F" w:rsidRPr="00D332F6">
        <w:rPr>
          <w:rFonts w:ascii="Arial" w:hAnsi="Arial" w:cs="Arial"/>
        </w:rPr>
        <w:t>that for those with</w:t>
      </w:r>
      <w:r w:rsidR="009B159E" w:rsidRPr="00D332F6">
        <w:rPr>
          <w:rFonts w:ascii="Arial" w:hAnsi="Arial" w:cs="Arial"/>
        </w:rPr>
        <w:t xml:space="preserve"> non-genotype 3 infection (C-index: 0.50).</w:t>
      </w:r>
      <w:r w:rsidR="00D178BD" w:rsidRPr="00D332F6">
        <w:rPr>
          <w:rFonts w:ascii="Arial" w:hAnsi="Arial" w:cs="Arial"/>
        </w:rPr>
        <w:t xml:space="preserve"> </w:t>
      </w:r>
      <w:r w:rsidR="009B159E" w:rsidRPr="00D332F6">
        <w:rPr>
          <w:rFonts w:ascii="Arial" w:hAnsi="Arial" w:cs="Arial"/>
        </w:rPr>
        <w:t>Th</w:t>
      </w:r>
      <w:r w:rsidR="00844F8A" w:rsidRPr="00D332F6">
        <w:rPr>
          <w:rFonts w:ascii="Arial" w:hAnsi="Arial" w:cs="Arial"/>
        </w:rPr>
        <w:t>is</w:t>
      </w:r>
      <w:r w:rsidR="000737F6" w:rsidRPr="00D332F6">
        <w:rPr>
          <w:rFonts w:ascii="Arial" w:hAnsi="Arial" w:cs="Arial"/>
        </w:rPr>
        <w:t xml:space="preserve"> </w:t>
      </w:r>
      <w:r w:rsidR="00C12578" w:rsidRPr="00D332F6">
        <w:rPr>
          <w:rFonts w:ascii="Arial" w:hAnsi="Arial" w:cs="Arial"/>
        </w:rPr>
        <w:t xml:space="preserve">could be because the Dongiovanni GRS </w:t>
      </w:r>
      <w:r w:rsidR="003156AC" w:rsidRPr="00D332F6">
        <w:rPr>
          <w:rFonts w:ascii="Arial" w:hAnsi="Arial" w:cs="Arial"/>
        </w:rPr>
        <w:t>was originally developed as a</w:t>
      </w:r>
      <w:r w:rsidR="00C12578" w:rsidRPr="00D332F6">
        <w:rPr>
          <w:rFonts w:ascii="Arial" w:hAnsi="Arial" w:cs="Arial"/>
        </w:rPr>
        <w:t xml:space="preserve"> risk score for </w:t>
      </w:r>
      <w:r w:rsidR="009B159E" w:rsidRPr="00D332F6">
        <w:rPr>
          <w:rFonts w:ascii="Arial" w:hAnsi="Arial" w:cs="Arial"/>
        </w:rPr>
        <w:t xml:space="preserve">hepatic steatosis, which is well-known to be a more </w:t>
      </w:r>
      <w:r w:rsidR="00272FA2" w:rsidRPr="00D332F6">
        <w:rPr>
          <w:rFonts w:ascii="Arial" w:hAnsi="Arial" w:cs="Arial"/>
        </w:rPr>
        <w:t xml:space="preserve">prominent histological </w:t>
      </w:r>
      <w:r w:rsidR="009B159E" w:rsidRPr="00D332F6">
        <w:rPr>
          <w:rFonts w:ascii="Arial" w:hAnsi="Arial" w:cs="Arial"/>
        </w:rPr>
        <w:t xml:space="preserve">feature of HCV genotype 3 infection versus </w:t>
      </w:r>
      <w:r w:rsidR="00272FA2" w:rsidRPr="00D332F6">
        <w:rPr>
          <w:rFonts w:ascii="Arial" w:hAnsi="Arial" w:cs="Arial"/>
        </w:rPr>
        <w:t>genotype 2/3 infection</w:t>
      </w:r>
      <w:r w:rsidR="009B159E" w:rsidRPr="00D332F6">
        <w:rPr>
          <w:rFonts w:ascii="Arial" w:hAnsi="Arial" w:cs="Arial"/>
        </w:rPr>
        <w:t>.</w:t>
      </w:r>
      <w:r w:rsidR="009B159E" w:rsidRPr="00D332F6">
        <w:rPr>
          <w:rFonts w:ascii="Arial" w:hAnsi="Arial" w:cs="Arial"/>
          <w:vertAlign w:val="superscript"/>
        </w:rPr>
        <w:t>3</w:t>
      </w:r>
      <w:r w:rsidR="003C2A64" w:rsidRPr="00D332F6">
        <w:rPr>
          <w:rFonts w:ascii="Arial" w:hAnsi="Arial" w:cs="Arial"/>
          <w:vertAlign w:val="superscript"/>
        </w:rPr>
        <w:t>5</w:t>
      </w:r>
      <w:r w:rsidR="009B159E" w:rsidRPr="00D332F6">
        <w:rPr>
          <w:rFonts w:ascii="Arial" w:hAnsi="Arial" w:cs="Arial"/>
          <w:vertAlign w:val="superscript"/>
        </w:rPr>
        <w:t>,3</w:t>
      </w:r>
      <w:r w:rsidR="003C2A64" w:rsidRPr="00D332F6">
        <w:rPr>
          <w:rFonts w:ascii="Arial" w:hAnsi="Arial" w:cs="Arial"/>
          <w:vertAlign w:val="superscript"/>
        </w:rPr>
        <w:t>6</w:t>
      </w:r>
      <w:r w:rsidR="009B159E" w:rsidRPr="00D332F6">
        <w:rPr>
          <w:rFonts w:ascii="Arial" w:hAnsi="Arial" w:cs="Arial"/>
        </w:rPr>
        <w:t xml:space="preserve"> </w:t>
      </w:r>
      <w:r w:rsidR="00295256" w:rsidRPr="00D332F6">
        <w:rPr>
          <w:rFonts w:ascii="Arial" w:hAnsi="Arial" w:cs="Arial"/>
        </w:rPr>
        <w:t>A</w:t>
      </w:r>
      <w:r w:rsidR="009B159E" w:rsidRPr="00D332F6">
        <w:rPr>
          <w:rFonts w:ascii="Arial" w:hAnsi="Arial" w:cs="Arial"/>
        </w:rPr>
        <w:t xml:space="preserve"> </w:t>
      </w:r>
      <w:r w:rsidR="003D27AC" w:rsidRPr="00D332F6">
        <w:rPr>
          <w:rFonts w:ascii="Arial" w:hAnsi="Arial" w:cs="Arial"/>
        </w:rPr>
        <w:t xml:space="preserve">third </w:t>
      </w:r>
      <w:r w:rsidR="00185D34" w:rsidRPr="00D332F6">
        <w:rPr>
          <w:rFonts w:ascii="Arial" w:hAnsi="Arial" w:cs="Arial"/>
        </w:rPr>
        <w:t>important</w:t>
      </w:r>
      <w:r w:rsidR="009B159E" w:rsidRPr="00D332F6">
        <w:rPr>
          <w:rFonts w:ascii="Arial" w:hAnsi="Arial" w:cs="Arial"/>
        </w:rPr>
        <w:t xml:space="preserve"> observation from this study is</w:t>
      </w:r>
      <w:r w:rsidR="00493F05" w:rsidRPr="00D332F6">
        <w:rPr>
          <w:rFonts w:ascii="Arial" w:hAnsi="Arial" w:cs="Arial"/>
        </w:rPr>
        <w:t xml:space="preserve"> to caution</w:t>
      </w:r>
      <w:r w:rsidR="009B159E" w:rsidRPr="00D332F6">
        <w:rPr>
          <w:rFonts w:ascii="Arial" w:hAnsi="Arial" w:cs="Arial"/>
        </w:rPr>
        <w:t xml:space="preserve"> that </w:t>
      </w:r>
      <w:r w:rsidR="00493F05" w:rsidRPr="00D332F6">
        <w:rPr>
          <w:rFonts w:ascii="Arial" w:hAnsi="Arial" w:cs="Arial"/>
        </w:rPr>
        <w:t xml:space="preserve">some </w:t>
      </w:r>
      <w:r w:rsidR="009B159E" w:rsidRPr="00D332F6">
        <w:rPr>
          <w:rFonts w:ascii="Arial" w:hAnsi="Arial" w:cs="Arial"/>
        </w:rPr>
        <w:t xml:space="preserve">models </w:t>
      </w:r>
      <w:r w:rsidR="00493F05" w:rsidRPr="00D332F6">
        <w:rPr>
          <w:rFonts w:ascii="Arial" w:hAnsi="Arial" w:cs="Arial"/>
        </w:rPr>
        <w:t xml:space="preserve">may </w:t>
      </w:r>
      <w:r w:rsidR="009B159E" w:rsidRPr="00D332F6">
        <w:rPr>
          <w:rFonts w:ascii="Arial" w:hAnsi="Arial" w:cs="Arial"/>
        </w:rPr>
        <w:t>under predict 3-year HCC risk</w:t>
      </w:r>
      <w:r w:rsidR="00295256" w:rsidRPr="00D332F6">
        <w:rPr>
          <w:rFonts w:ascii="Arial" w:hAnsi="Arial" w:cs="Arial"/>
        </w:rPr>
        <w:t>. This</w:t>
      </w:r>
      <w:r w:rsidR="009B159E" w:rsidRPr="00D332F6">
        <w:rPr>
          <w:rFonts w:ascii="Arial" w:hAnsi="Arial" w:cs="Arial"/>
        </w:rPr>
        <w:t xml:space="preserve"> </w:t>
      </w:r>
      <w:r w:rsidR="00185D34" w:rsidRPr="00D332F6">
        <w:rPr>
          <w:rFonts w:ascii="Arial" w:hAnsi="Arial" w:cs="Arial"/>
        </w:rPr>
        <w:t xml:space="preserve">was </w:t>
      </w:r>
      <w:r w:rsidR="006D6392" w:rsidRPr="00D332F6">
        <w:rPr>
          <w:rFonts w:ascii="Arial" w:hAnsi="Arial" w:cs="Arial"/>
        </w:rPr>
        <w:t xml:space="preserve">most prominent </w:t>
      </w:r>
      <w:r w:rsidR="00185D34" w:rsidRPr="00D332F6">
        <w:rPr>
          <w:rFonts w:ascii="Arial" w:hAnsi="Arial" w:cs="Arial"/>
        </w:rPr>
        <w:t xml:space="preserve">for the THRI </w:t>
      </w:r>
      <w:r w:rsidR="00493F05" w:rsidRPr="00D332F6">
        <w:rPr>
          <w:rFonts w:ascii="Arial" w:hAnsi="Arial" w:cs="Arial"/>
        </w:rPr>
        <w:t xml:space="preserve">model </w:t>
      </w:r>
      <w:r w:rsidR="00917075" w:rsidRPr="00D332F6">
        <w:rPr>
          <w:rFonts w:ascii="Arial" w:hAnsi="Arial" w:cs="Arial"/>
        </w:rPr>
        <w:t xml:space="preserve">among </w:t>
      </w:r>
      <w:r w:rsidR="00185D34" w:rsidRPr="00D332F6">
        <w:rPr>
          <w:rFonts w:ascii="Arial" w:hAnsi="Arial" w:cs="Arial"/>
        </w:rPr>
        <w:t>higher risk patients.</w:t>
      </w:r>
      <w:r w:rsidR="009B159E" w:rsidRPr="00D332F6">
        <w:rPr>
          <w:rFonts w:ascii="Arial" w:hAnsi="Arial" w:cs="Arial"/>
        </w:rPr>
        <w:t xml:space="preserve"> Thus, re-calibration may be necessary before adopting th</w:t>
      </w:r>
      <w:r w:rsidR="00185D34" w:rsidRPr="00D332F6">
        <w:rPr>
          <w:rFonts w:ascii="Arial" w:hAnsi="Arial" w:cs="Arial"/>
        </w:rPr>
        <w:t xml:space="preserve">is model </w:t>
      </w:r>
      <w:r w:rsidR="009B159E" w:rsidRPr="00D332F6">
        <w:rPr>
          <w:rFonts w:ascii="Arial" w:hAnsi="Arial" w:cs="Arial"/>
        </w:rPr>
        <w:t>in a UK setting</w:t>
      </w:r>
      <w:r w:rsidR="00185D34" w:rsidRPr="00D332F6">
        <w:rPr>
          <w:rFonts w:ascii="Arial" w:hAnsi="Arial" w:cs="Arial"/>
        </w:rPr>
        <w:t xml:space="preserve"> (albeit</w:t>
      </w:r>
      <w:r w:rsidR="00F27DF2" w:rsidRPr="00D332F6">
        <w:rPr>
          <w:rFonts w:ascii="Arial" w:hAnsi="Arial" w:cs="Arial"/>
        </w:rPr>
        <w:t>,</w:t>
      </w:r>
      <w:r w:rsidR="00185D34" w:rsidRPr="00D332F6">
        <w:rPr>
          <w:rFonts w:ascii="Arial" w:hAnsi="Arial" w:cs="Arial"/>
        </w:rPr>
        <w:t xml:space="preserve"> </w:t>
      </w:r>
      <w:r w:rsidR="000E021E" w:rsidRPr="00D332F6">
        <w:rPr>
          <w:rFonts w:ascii="Arial" w:hAnsi="Arial" w:cs="Arial"/>
        </w:rPr>
        <w:t xml:space="preserve">we acknowledge that </w:t>
      </w:r>
      <w:r w:rsidR="00185D34" w:rsidRPr="00D332F6">
        <w:rPr>
          <w:rFonts w:ascii="Arial" w:hAnsi="Arial" w:cs="Arial"/>
        </w:rPr>
        <w:t xml:space="preserve">underpredicting high risk patients would </w:t>
      </w:r>
      <w:r w:rsidR="00272FA2" w:rsidRPr="00D332F6">
        <w:rPr>
          <w:rFonts w:ascii="Arial" w:hAnsi="Arial" w:cs="Arial"/>
        </w:rPr>
        <w:t>probably not</w:t>
      </w:r>
      <w:r w:rsidR="00185D34" w:rsidRPr="00D332F6">
        <w:rPr>
          <w:rFonts w:ascii="Arial" w:hAnsi="Arial" w:cs="Arial"/>
        </w:rPr>
        <w:t xml:space="preserve"> alter </w:t>
      </w:r>
      <w:r w:rsidR="003F24DB" w:rsidRPr="00D332F6">
        <w:rPr>
          <w:rFonts w:ascii="Arial" w:hAnsi="Arial" w:cs="Arial"/>
        </w:rPr>
        <w:t xml:space="preserve">HCC screening decisions). </w:t>
      </w:r>
      <w:r w:rsidR="009B159E" w:rsidRPr="00D332F6">
        <w:rPr>
          <w:rFonts w:ascii="Arial" w:hAnsi="Arial" w:cs="Arial"/>
        </w:rPr>
        <w:t xml:space="preserve"> </w:t>
      </w:r>
    </w:p>
    <w:p w14:paraId="04DC7605" w14:textId="47E0E166" w:rsidR="00706636" w:rsidRPr="00D332F6" w:rsidRDefault="00BF7E49">
      <w:pPr>
        <w:spacing w:line="360" w:lineRule="auto"/>
        <w:rPr>
          <w:rFonts w:ascii="Arial" w:hAnsi="Arial" w:cs="Arial"/>
        </w:rPr>
      </w:pPr>
      <w:r w:rsidRPr="00D332F6">
        <w:rPr>
          <w:rFonts w:ascii="Arial" w:hAnsi="Arial" w:cs="Arial"/>
        </w:rPr>
        <w:t>A</w:t>
      </w:r>
      <w:r w:rsidR="002E7D60" w:rsidRPr="00D332F6">
        <w:rPr>
          <w:rFonts w:ascii="Arial" w:hAnsi="Arial" w:cs="Arial"/>
        </w:rPr>
        <w:t xml:space="preserve">n important question that </w:t>
      </w:r>
      <w:r w:rsidR="00B41463" w:rsidRPr="00D332F6">
        <w:rPr>
          <w:rFonts w:ascii="Arial" w:hAnsi="Arial" w:cs="Arial"/>
        </w:rPr>
        <w:t xml:space="preserve">this study </w:t>
      </w:r>
      <w:r w:rsidR="001575FF" w:rsidRPr="00D332F6">
        <w:rPr>
          <w:rFonts w:ascii="Arial" w:hAnsi="Arial" w:cs="Arial"/>
        </w:rPr>
        <w:t>doesn’t</w:t>
      </w:r>
      <w:r w:rsidR="00B41463" w:rsidRPr="00D332F6">
        <w:rPr>
          <w:rFonts w:ascii="Arial" w:hAnsi="Arial" w:cs="Arial"/>
        </w:rPr>
        <w:t xml:space="preserve"> answer is how to </w:t>
      </w:r>
      <w:r w:rsidR="00E87E41" w:rsidRPr="00D332F6">
        <w:rPr>
          <w:rFonts w:ascii="Arial" w:hAnsi="Arial" w:cs="Arial"/>
        </w:rPr>
        <w:t xml:space="preserve">translate </w:t>
      </w:r>
      <w:r w:rsidR="003642E2" w:rsidRPr="00D332F6">
        <w:rPr>
          <w:rFonts w:ascii="Arial" w:hAnsi="Arial" w:cs="Arial"/>
        </w:rPr>
        <w:t xml:space="preserve">a </w:t>
      </w:r>
      <w:r w:rsidR="000E1C2C" w:rsidRPr="00D332F6">
        <w:rPr>
          <w:rFonts w:ascii="Arial" w:hAnsi="Arial" w:cs="Arial"/>
        </w:rPr>
        <w:t xml:space="preserve">HCC </w:t>
      </w:r>
      <w:r w:rsidR="002E7D60" w:rsidRPr="00D332F6">
        <w:rPr>
          <w:rFonts w:ascii="Arial" w:hAnsi="Arial" w:cs="Arial"/>
        </w:rPr>
        <w:t>risk prediction</w:t>
      </w:r>
      <w:r w:rsidR="007B6CAA" w:rsidRPr="00D332F6">
        <w:rPr>
          <w:rFonts w:ascii="Arial" w:hAnsi="Arial" w:cs="Arial"/>
        </w:rPr>
        <w:t xml:space="preserve"> into a</w:t>
      </w:r>
      <w:r w:rsidR="003642E2" w:rsidRPr="00D332F6">
        <w:rPr>
          <w:rFonts w:ascii="Arial" w:hAnsi="Arial" w:cs="Arial"/>
        </w:rPr>
        <w:t xml:space="preserve"> </w:t>
      </w:r>
      <w:r w:rsidR="007B6CAA" w:rsidRPr="00D332F6">
        <w:rPr>
          <w:rFonts w:ascii="Arial" w:hAnsi="Arial" w:cs="Arial"/>
        </w:rPr>
        <w:t>HCC screening decision</w:t>
      </w:r>
      <w:r w:rsidR="003642E2" w:rsidRPr="00D332F6">
        <w:rPr>
          <w:rFonts w:ascii="Arial" w:hAnsi="Arial" w:cs="Arial"/>
        </w:rPr>
        <w:t xml:space="preserve"> for a given patient</w:t>
      </w:r>
      <w:r w:rsidR="007B6CAA" w:rsidRPr="00D332F6">
        <w:rPr>
          <w:rFonts w:ascii="Arial" w:hAnsi="Arial" w:cs="Arial"/>
        </w:rPr>
        <w:t xml:space="preserve">. </w:t>
      </w:r>
      <w:r w:rsidR="00F40DBE" w:rsidRPr="00D332F6">
        <w:rPr>
          <w:rFonts w:ascii="Arial" w:hAnsi="Arial" w:cs="Arial"/>
        </w:rPr>
        <w:t>There is agreement in the field that HCC risk prediction models</w:t>
      </w:r>
      <w:r w:rsidR="00B41463" w:rsidRPr="00D332F6">
        <w:rPr>
          <w:rFonts w:ascii="Arial" w:hAnsi="Arial" w:cs="Arial"/>
        </w:rPr>
        <w:t xml:space="preserve"> will have most </w:t>
      </w:r>
      <w:r w:rsidR="006E70BA" w:rsidRPr="00D332F6">
        <w:rPr>
          <w:rFonts w:ascii="Arial" w:hAnsi="Arial" w:cs="Arial"/>
        </w:rPr>
        <w:t xml:space="preserve">clinical </w:t>
      </w:r>
      <w:r w:rsidR="00B41463" w:rsidRPr="00D332F6">
        <w:rPr>
          <w:rFonts w:ascii="Arial" w:hAnsi="Arial" w:cs="Arial"/>
        </w:rPr>
        <w:t>utility</w:t>
      </w:r>
      <w:r w:rsidR="00F40DBE" w:rsidRPr="00D332F6">
        <w:rPr>
          <w:rFonts w:ascii="Arial" w:hAnsi="Arial" w:cs="Arial"/>
        </w:rPr>
        <w:t xml:space="preserve"> </w:t>
      </w:r>
      <w:r w:rsidR="006E70BA" w:rsidRPr="00D332F6">
        <w:rPr>
          <w:rFonts w:ascii="Arial" w:hAnsi="Arial" w:cs="Arial"/>
        </w:rPr>
        <w:t xml:space="preserve">for </w:t>
      </w:r>
      <w:r w:rsidR="00F40DBE" w:rsidRPr="00D332F6">
        <w:rPr>
          <w:rFonts w:ascii="Arial" w:hAnsi="Arial" w:cs="Arial"/>
        </w:rPr>
        <w:t>identify</w:t>
      </w:r>
      <w:r w:rsidR="00B41463" w:rsidRPr="00D332F6">
        <w:rPr>
          <w:rFonts w:ascii="Arial" w:hAnsi="Arial" w:cs="Arial"/>
        </w:rPr>
        <w:t>ing</w:t>
      </w:r>
      <w:r w:rsidR="00F40DBE" w:rsidRPr="00D332F6">
        <w:rPr>
          <w:rFonts w:ascii="Arial" w:hAnsi="Arial" w:cs="Arial"/>
        </w:rPr>
        <w:t xml:space="preserve"> patients </w:t>
      </w:r>
      <w:r w:rsidR="007767C6" w:rsidRPr="00D332F6">
        <w:rPr>
          <w:rFonts w:ascii="Arial" w:hAnsi="Arial" w:cs="Arial"/>
        </w:rPr>
        <w:t>whose</w:t>
      </w:r>
      <w:r w:rsidR="00F40DBE" w:rsidRPr="00D332F6">
        <w:rPr>
          <w:rFonts w:ascii="Arial" w:hAnsi="Arial" w:cs="Arial"/>
        </w:rPr>
        <w:t xml:space="preserve"> risk of HCC is too low for screening to be of </w:t>
      </w:r>
      <w:r w:rsidR="00D307A8" w:rsidRPr="00D332F6">
        <w:rPr>
          <w:rFonts w:ascii="Arial" w:hAnsi="Arial" w:cs="Arial"/>
        </w:rPr>
        <w:t xml:space="preserve">net </w:t>
      </w:r>
      <w:r w:rsidR="00F40DBE" w:rsidRPr="00D332F6">
        <w:rPr>
          <w:rFonts w:ascii="Arial" w:hAnsi="Arial" w:cs="Arial"/>
        </w:rPr>
        <w:t>benefit</w:t>
      </w:r>
      <w:r w:rsidR="00D307A8" w:rsidRPr="00D332F6">
        <w:rPr>
          <w:rFonts w:ascii="Arial" w:hAnsi="Arial" w:cs="Arial"/>
        </w:rPr>
        <w:t>. However,</w:t>
      </w:r>
      <w:r w:rsidR="00F40DBE" w:rsidRPr="00D332F6">
        <w:rPr>
          <w:rFonts w:ascii="Arial" w:hAnsi="Arial" w:cs="Arial"/>
        </w:rPr>
        <w:t xml:space="preserve"> there is</w:t>
      </w:r>
      <w:r w:rsidR="00D307A8" w:rsidRPr="00D332F6">
        <w:rPr>
          <w:rFonts w:ascii="Arial" w:hAnsi="Arial" w:cs="Arial"/>
        </w:rPr>
        <w:t xml:space="preserve"> </w:t>
      </w:r>
      <w:r w:rsidR="00F35BCD" w:rsidRPr="00D332F6">
        <w:rPr>
          <w:rFonts w:ascii="Arial" w:hAnsi="Arial" w:cs="Arial"/>
        </w:rPr>
        <w:t xml:space="preserve">considerable </w:t>
      </w:r>
      <w:r w:rsidR="00F40DBE" w:rsidRPr="00D332F6">
        <w:rPr>
          <w:rFonts w:ascii="Arial" w:hAnsi="Arial" w:cs="Arial"/>
        </w:rPr>
        <w:t xml:space="preserve">ambiguity </w:t>
      </w:r>
      <w:r w:rsidR="0070592A" w:rsidRPr="00D332F6">
        <w:rPr>
          <w:rFonts w:ascii="Arial" w:hAnsi="Arial" w:cs="Arial"/>
        </w:rPr>
        <w:t xml:space="preserve">regarding </w:t>
      </w:r>
      <w:r w:rsidR="00F40DBE" w:rsidRPr="00D332F6">
        <w:rPr>
          <w:rFonts w:ascii="Arial" w:hAnsi="Arial" w:cs="Arial"/>
        </w:rPr>
        <w:t>which patients are “low risk” and how this should be define</w:t>
      </w:r>
      <w:r w:rsidR="00781A4F" w:rsidRPr="00D332F6">
        <w:rPr>
          <w:rFonts w:ascii="Arial" w:hAnsi="Arial" w:cs="Arial"/>
        </w:rPr>
        <w:t>d</w:t>
      </w:r>
      <w:r w:rsidR="00F40DBE" w:rsidRPr="00D332F6">
        <w:rPr>
          <w:rFonts w:ascii="Arial" w:hAnsi="Arial" w:cs="Arial"/>
        </w:rPr>
        <w:t xml:space="preserve">. </w:t>
      </w:r>
      <w:r w:rsidR="008F1A69" w:rsidRPr="00D332F6">
        <w:rPr>
          <w:rFonts w:ascii="Arial" w:hAnsi="Arial" w:cs="Arial"/>
        </w:rPr>
        <w:t xml:space="preserve">In our view, the </w:t>
      </w:r>
      <w:r w:rsidR="00F40DBE" w:rsidRPr="00D332F6">
        <w:rPr>
          <w:rFonts w:ascii="Arial" w:hAnsi="Arial" w:cs="Arial"/>
        </w:rPr>
        <w:t>definition of low risk should</w:t>
      </w:r>
      <w:r w:rsidR="008F1A69" w:rsidRPr="00D332F6">
        <w:rPr>
          <w:rFonts w:ascii="Arial" w:hAnsi="Arial" w:cs="Arial"/>
        </w:rPr>
        <w:t xml:space="preserve"> </w:t>
      </w:r>
      <w:r w:rsidR="006E70BA" w:rsidRPr="00D332F6">
        <w:rPr>
          <w:rFonts w:ascii="Arial" w:hAnsi="Arial" w:cs="Arial"/>
        </w:rPr>
        <w:t xml:space="preserve">reflect </w:t>
      </w:r>
      <w:r w:rsidR="00F35BCD" w:rsidRPr="00D332F6">
        <w:rPr>
          <w:rFonts w:ascii="Arial" w:hAnsi="Arial" w:cs="Arial"/>
        </w:rPr>
        <w:t xml:space="preserve">a compromise between </w:t>
      </w:r>
      <w:r w:rsidR="006E70BA" w:rsidRPr="00D332F6">
        <w:rPr>
          <w:rFonts w:ascii="Arial" w:hAnsi="Arial" w:cs="Arial"/>
        </w:rPr>
        <w:t>multiple factors</w:t>
      </w:r>
      <w:r w:rsidR="002E7D60" w:rsidRPr="00D332F6">
        <w:rPr>
          <w:rFonts w:ascii="Arial" w:hAnsi="Arial" w:cs="Arial"/>
        </w:rPr>
        <w:t>,</w:t>
      </w:r>
      <w:r w:rsidR="00D34825" w:rsidRPr="00D332F6">
        <w:rPr>
          <w:rFonts w:ascii="Arial" w:hAnsi="Arial" w:cs="Arial"/>
        </w:rPr>
        <w:t xml:space="preserve"> </w:t>
      </w:r>
      <w:r w:rsidR="00F35BCD" w:rsidRPr="00D332F6">
        <w:rPr>
          <w:rFonts w:ascii="Arial" w:hAnsi="Arial" w:cs="Arial"/>
        </w:rPr>
        <w:t>such as</w:t>
      </w:r>
      <w:r w:rsidR="008F1A69" w:rsidRPr="00D332F6">
        <w:rPr>
          <w:rFonts w:ascii="Arial" w:hAnsi="Arial" w:cs="Arial"/>
        </w:rPr>
        <w:t xml:space="preserve">: a) cost-effectiveness data; b) general population HCC incidence; c) patient preferences; d) clinical view and other clinical factors </w:t>
      </w:r>
      <w:r w:rsidR="00B41463" w:rsidRPr="00D332F6">
        <w:rPr>
          <w:rFonts w:ascii="Arial" w:hAnsi="Arial" w:cs="Arial"/>
        </w:rPr>
        <w:t>(e.g.</w:t>
      </w:r>
      <w:r w:rsidR="00977D9E" w:rsidRPr="00D332F6">
        <w:rPr>
          <w:rFonts w:ascii="Arial" w:hAnsi="Arial" w:cs="Arial"/>
        </w:rPr>
        <w:t xml:space="preserve"> likelihood of receiving curative treatment in the event of </w:t>
      </w:r>
      <w:r w:rsidR="00B41463" w:rsidRPr="00D332F6">
        <w:rPr>
          <w:rFonts w:ascii="Arial" w:hAnsi="Arial" w:cs="Arial"/>
        </w:rPr>
        <w:t xml:space="preserve">a </w:t>
      </w:r>
      <w:r w:rsidR="00977D9E" w:rsidRPr="00D332F6">
        <w:rPr>
          <w:rFonts w:ascii="Arial" w:hAnsi="Arial" w:cs="Arial"/>
        </w:rPr>
        <w:t>HCC</w:t>
      </w:r>
      <w:r w:rsidR="00B41463" w:rsidRPr="00D332F6">
        <w:rPr>
          <w:rFonts w:ascii="Arial" w:hAnsi="Arial" w:cs="Arial"/>
        </w:rPr>
        <w:t xml:space="preserve"> diagnosis)</w:t>
      </w:r>
      <w:r w:rsidR="00977D9E" w:rsidRPr="00D332F6">
        <w:rPr>
          <w:rFonts w:ascii="Arial" w:hAnsi="Arial" w:cs="Arial"/>
        </w:rPr>
        <w:t xml:space="preserve">; </w:t>
      </w:r>
      <w:r w:rsidR="00D34825" w:rsidRPr="00D332F6">
        <w:rPr>
          <w:rFonts w:ascii="Arial" w:hAnsi="Arial" w:cs="Arial"/>
        </w:rPr>
        <w:t xml:space="preserve">and </w:t>
      </w:r>
      <w:r w:rsidR="00977D9E" w:rsidRPr="00D332F6">
        <w:rPr>
          <w:rFonts w:ascii="Arial" w:hAnsi="Arial" w:cs="Arial"/>
        </w:rPr>
        <w:t>e) resources available for HCC screening.</w:t>
      </w:r>
      <w:r w:rsidR="003E4684" w:rsidRPr="00D332F6">
        <w:rPr>
          <w:rFonts w:ascii="Arial" w:hAnsi="Arial" w:cs="Arial"/>
        </w:rPr>
        <w:t xml:space="preserve"> </w:t>
      </w:r>
      <w:r w:rsidR="008F1A69" w:rsidRPr="00D332F6">
        <w:rPr>
          <w:rFonts w:ascii="Arial" w:hAnsi="Arial" w:cs="Arial"/>
        </w:rPr>
        <w:t xml:space="preserve">In </w:t>
      </w:r>
      <w:r w:rsidR="006E70BA" w:rsidRPr="00D332F6">
        <w:rPr>
          <w:rFonts w:ascii="Arial" w:hAnsi="Arial" w:cs="Arial"/>
        </w:rPr>
        <w:t>th</w:t>
      </w:r>
      <w:r w:rsidR="009762FF" w:rsidRPr="00D332F6">
        <w:rPr>
          <w:rFonts w:ascii="Arial" w:hAnsi="Arial" w:cs="Arial"/>
        </w:rPr>
        <w:t>e</w:t>
      </w:r>
      <w:r w:rsidR="006E70BA" w:rsidRPr="00D332F6">
        <w:rPr>
          <w:rFonts w:ascii="Arial" w:hAnsi="Arial" w:cs="Arial"/>
        </w:rPr>
        <w:t xml:space="preserve"> </w:t>
      </w:r>
      <w:r w:rsidR="00F35BCD" w:rsidRPr="00D332F6">
        <w:rPr>
          <w:rFonts w:ascii="Arial" w:hAnsi="Arial" w:cs="Arial"/>
        </w:rPr>
        <w:t>real world</w:t>
      </w:r>
      <w:r w:rsidR="002E7D60" w:rsidRPr="00D332F6">
        <w:rPr>
          <w:rFonts w:ascii="Arial" w:hAnsi="Arial" w:cs="Arial"/>
        </w:rPr>
        <w:t>,</w:t>
      </w:r>
      <w:r w:rsidR="008F1A69" w:rsidRPr="00D332F6">
        <w:rPr>
          <w:rFonts w:ascii="Arial" w:hAnsi="Arial" w:cs="Arial"/>
        </w:rPr>
        <w:t xml:space="preserve"> </w:t>
      </w:r>
      <w:r w:rsidR="00B36945" w:rsidRPr="00D332F6">
        <w:rPr>
          <w:rFonts w:ascii="Arial" w:hAnsi="Arial" w:cs="Arial"/>
        </w:rPr>
        <w:t>“</w:t>
      </w:r>
      <w:r w:rsidR="008F1A69" w:rsidRPr="00D332F6">
        <w:rPr>
          <w:rFonts w:ascii="Arial" w:hAnsi="Arial" w:cs="Arial"/>
        </w:rPr>
        <w:t>low risk</w:t>
      </w:r>
      <w:r w:rsidR="00B36945" w:rsidRPr="00D332F6">
        <w:rPr>
          <w:rFonts w:ascii="Arial" w:hAnsi="Arial" w:cs="Arial"/>
        </w:rPr>
        <w:t>”</w:t>
      </w:r>
      <w:r w:rsidR="008F1A69" w:rsidRPr="00D332F6">
        <w:rPr>
          <w:rFonts w:ascii="Arial" w:hAnsi="Arial" w:cs="Arial"/>
        </w:rPr>
        <w:t xml:space="preserve"> is likely to represent a range of values rather than a hard threshold, and it i</w:t>
      </w:r>
      <w:r w:rsidR="00CD48B2" w:rsidRPr="00D332F6">
        <w:rPr>
          <w:rFonts w:ascii="Arial" w:hAnsi="Arial" w:cs="Arial"/>
        </w:rPr>
        <w:t xml:space="preserve">s unlikely to be the </w:t>
      </w:r>
      <w:r w:rsidR="008F1A69" w:rsidRPr="00D332F6">
        <w:rPr>
          <w:rFonts w:ascii="Arial" w:hAnsi="Arial" w:cs="Arial"/>
        </w:rPr>
        <w:t xml:space="preserve">same for all patients. </w:t>
      </w:r>
      <w:r w:rsidR="00D34825" w:rsidRPr="00D332F6">
        <w:rPr>
          <w:rFonts w:ascii="Arial" w:hAnsi="Arial" w:cs="Arial"/>
        </w:rPr>
        <w:t>It</w:t>
      </w:r>
      <w:r w:rsidR="007736F1" w:rsidRPr="00D332F6">
        <w:rPr>
          <w:rFonts w:ascii="Arial" w:hAnsi="Arial" w:cs="Arial"/>
        </w:rPr>
        <w:t xml:space="preserve"> </w:t>
      </w:r>
      <w:r w:rsidR="00F40DBE" w:rsidRPr="00D332F6">
        <w:rPr>
          <w:rFonts w:ascii="Arial" w:hAnsi="Arial" w:cs="Arial"/>
        </w:rPr>
        <w:t xml:space="preserve">will also inevitably </w:t>
      </w:r>
      <w:r w:rsidR="008F1A69" w:rsidRPr="00D332F6">
        <w:rPr>
          <w:rFonts w:ascii="Arial" w:hAnsi="Arial" w:cs="Arial"/>
        </w:rPr>
        <w:t>change as new surveillance technologies emerge</w:t>
      </w:r>
      <w:r w:rsidR="00977D9E" w:rsidRPr="00D332F6">
        <w:rPr>
          <w:rFonts w:ascii="Arial" w:hAnsi="Arial" w:cs="Arial"/>
        </w:rPr>
        <w:t xml:space="preserve"> with </w:t>
      </w:r>
      <w:r w:rsidR="0032553E" w:rsidRPr="00D332F6">
        <w:rPr>
          <w:rFonts w:ascii="Arial" w:hAnsi="Arial" w:cs="Arial"/>
        </w:rPr>
        <w:t>different performance characteristics to abdominal ultrasound</w:t>
      </w:r>
      <w:r w:rsidR="00977D9E" w:rsidRPr="00D332F6">
        <w:rPr>
          <w:rFonts w:ascii="Arial" w:hAnsi="Arial" w:cs="Arial"/>
        </w:rPr>
        <w:t xml:space="preserve">. </w:t>
      </w:r>
      <w:r w:rsidR="009762FF" w:rsidRPr="00D332F6">
        <w:rPr>
          <w:rFonts w:ascii="Arial" w:hAnsi="Arial" w:cs="Arial"/>
        </w:rPr>
        <w:t>Thus, t</w:t>
      </w:r>
      <w:r w:rsidR="006E70BA" w:rsidRPr="00D332F6">
        <w:rPr>
          <w:rFonts w:ascii="Arial" w:hAnsi="Arial" w:cs="Arial"/>
        </w:rPr>
        <w:t>o</w:t>
      </w:r>
      <w:r w:rsidR="002E7D60" w:rsidRPr="00D332F6">
        <w:rPr>
          <w:rFonts w:ascii="Arial" w:hAnsi="Arial" w:cs="Arial"/>
        </w:rPr>
        <w:t xml:space="preserve"> support</w:t>
      </w:r>
      <w:r w:rsidR="00F40DBE" w:rsidRPr="00D332F6">
        <w:rPr>
          <w:rFonts w:ascii="Arial" w:hAnsi="Arial" w:cs="Arial"/>
        </w:rPr>
        <w:t xml:space="preserve"> HCC screening decisio</w:t>
      </w:r>
      <w:r w:rsidR="006E70BA" w:rsidRPr="00D332F6">
        <w:rPr>
          <w:rFonts w:ascii="Arial" w:hAnsi="Arial" w:cs="Arial"/>
        </w:rPr>
        <w:t>ns</w:t>
      </w:r>
      <w:r w:rsidR="00F40DBE" w:rsidRPr="00D332F6">
        <w:rPr>
          <w:rFonts w:ascii="Arial" w:hAnsi="Arial" w:cs="Arial"/>
        </w:rPr>
        <w:t xml:space="preserve">, </w:t>
      </w:r>
      <w:r w:rsidR="009762FF" w:rsidRPr="00D332F6">
        <w:rPr>
          <w:rFonts w:ascii="Arial" w:hAnsi="Arial" w:cs="Arial"/>
        </w:rPr>
        <w:t xml:space="preserve">versatile </w:t>
      </w:r>
      <w:r w:rsidR="00F40DBE" w:rsidRPr="00D332F6">
        <w:rPr>
          <w:rFonts w:ascii="Arial" w:hAnsi="Arial" w:cs="Arial"/>
        </w:rPr>
        <w:t>models</w:t>
      </w:r>
      <w:r w:rsidR="002E7D60" w:rsidRPr="00D332F6">
        <w:rPr>
          <w:rFonts w:ascii="Arial" w:hAnsi="Arial" w:cs="Arial"/>
        </w:rPr>
        <w:t xml:space="preserve"> </w:t>
      </w:r>
      <w:r w:rsidR="009762FF" w:rsidRPr="00D332F6">
        <w:rPr>
          <w:rFonts w:ascii="Arial" w:hAnsi="Arial" w:cs="Arial"/>
        </w:rPr>
        <w:t xml:space="preserve">are </w:t>
      </w:r>
      <w:r w:rsidR="002E7D60" w:rsidRPr="00D332F6">
        <w:rPr>
          <w:rFonts w:ascii="Arial" w:hAnsi="Arial" w:cs="Arial"/>
        </w:rPr>
        <w:t>need</w:t>
      </w:r>
      <w:r w:rsidR="009762FF" w:rsidRPr="00D332F6">
        <w:rPr>
          <w:rFonts w:ascii="Arial" w:hAnsi="Arial" w:cs="Arial"/>
        </w:rPr>
        <w:t xml:space="preserve">ed </w:t>
      </w:r>
      <w:r w:rsidR="006E70BA" w:rsidRPr="00D332F6">
        <w:rPr>
          <w:rFonts w:ascii="Arial" w:hAnsi="Arial" w:cs="Arial"/>
        </w:rPr>
        <w:t>with</w:t>
      </w:r>
      <w:r w:rsidR="0032553E" w:rsidRPr="00D332F6">
        <w:rPr>
          <w:rFonts w:ascii="Arial" w:hAnsi="Arial" w:cs="Arial"/>
        </w:rPr>
        <w:t xml:space="preserve"> good</w:t>
      </w:r>
      <w:r w:rsidR="00102D5F" w:rsidRPr="00D332F6">
        <w:rPr>
          <w:rFonts w:ascii="Arial" w:hAnsi="Arial" w:cs="Arial"/>
        </w:rPr>
        <w:t xml:space="preserve"> calibration </w:t>
      </w:r>
      <w:r w:rsidR="00D066BB" w:rsidRPr="00D332F6">
        <w:rPr>
          <w:rFonts w:ascii="Arial" w:hAnsi="Arial" w:cs="Arial"/>
        </w:rPr>
        <w:t xml:space="preserve">across </w:t>
      </w:r>
      <w:r w:rsidR="006E70BA" w:rsidRPr="00D332F6">
        <w:rPr>
          <w:rFonts w:ascii="Arial" w:hAnsi="Arial" w:cs="Arial"/>
        </w:rPr>
        <w:t>the risk spectrum</w:t>
      </w:r>
      <w:r w:rsidR="00D066BB" w:rsidRPr="00D332F6">
        <w:rPr>
          <w:rFonts w:ascii="Arial" w:hAnsi="Arial" w:cs="Arial"/>
        </w:rPr>
        <w:t>.</w:t>
      </w:r>
      <w:r w:rsidR="00F40DBE" w:rsidRPr="00D332F6">
        <w:rPr>
          <w:rFonts w:ascii="Arial" w:hAnsi="Arial" w:cs="Arial"/>
        </w:rPr>
        <w:t xml:space="preserve"> </w:t>
      </w:r>
      <w:r w:rsidR="002E7D60" w:rsidRPr="00D332F6">
        <w:rPr>
          <w:rFonts w:ascii="Arial" w:hAnsi="Arial" w:cs="Arial"/>
        </w:rPr>
        <w:t xml:space="preserve">This is why we </w:t>
      </w:r>
      <w:r w:rsidR="00EB35B4" w:rsidRPr="00D332F6">
        <w:rPr>
          <w:rFonts w:ascii="Arial" w:hAnsi="Arial" w:cs="Arial"/>
        </w:rPr>
        <w:t xml:space="preserve">focused on </w:t>
      </w:r>
      <w:r w:rsidR="002E7D60" w:rsidRPr="00D332F6">
        <w:rPr>
          <w:rFonts w:ascii="Arial" w:hAnsi="Arial" w:cs="Arial"/>
        </w:rPr>
        <w:t>calibration</w:t>
      </w:r>
      <w:r w:rsidR="00F40DBE" w:rsidRPr="00D332F6">
        <w:rPr>
          <w:rFonts w:ascii="Arial" w:hAnsi="Arial" w:cs="Arial"/>
        </w:rPr>
        <w:t xml:space="preserve"> in this study</w:t>
      </w:r>
      <w:r w:rsidR="002E7D60" w:rsidRPr="00D332F6">
        <w:rPr>
          <w:rFonts w:ascii="Arial" w:hAnsi="Arial" w:cs="Arial"/>
        </w:rPr>
        <w:t xml:space="preserve">. </w:t>
      </w:r>
      <w:r w:rsidR="006E70BA" w:rsidRPr="00D332F6">
        <w:rPr>
          <w:rFonts w:ascii="Arial" w:hAnsi="Arial" w:cs="Arial"/>
        </w:rPr>
        <w:t>We deliberately</w:t>
      </w:r>
      <w:r w:rsidR="008E4B9E" w:rsidRPr="00D332F6">
        <w:rPr>
          <w:rFonts w:ascii="Arial" w:hAnsi="Arial" w:cs="Arial"/>
        </w:rPr>
        <w:t xml:space="preserve"> </w:t>
      </w:r>
      <w:r w:rsidR="000E1C2C" w:rsidRPr="00D332F6">
        <w:rPr>
          <w:rFonts w:ascii="Arial" w:hAnsi="Arial" w:cs="Arial"/>
        </w:rPr>
        <w:t>avoided defining</w:t>
      </w:r>
      <w:r w:rsidR="00E87E41" w:rsidRPr="00D332F6">
        <w:rPr>
          <w:rFonts w:ascii="Arial" w:hAnsi="Arial" w:cs="Arial"/>
        </w:rPr>
        <w:t xml:space="preserve"> </w:t>
      </w:r>
      <w:r w:rsidR="009762FF" w:rsidRPr="00D332F6">
        <w:rPr>
          <w:rFonts w:ascii="Arial" w:hAnsi="Arial" w:cs="Arial"/>
        </w:rPr>
        <w:t>“</w:t>
      </w:r>
      <w:r w:rsidR="00E87E41" w:rsidRPr="00D332F6">
        <w:rPr>
          <w:rFonts w:ascii="Arial" w:hAnsi="Arial" w:cs="Arial"/>
        </w:rPr>
        <w:t>low risk</w:t>
      </w:r>
      <w:r w:rsidR="009762FF" w:rsidRPr="00D332F6">
        <w:rPr>
          <w:rFonts w:ascii="Arial" w:hAnsi="Arial" w:cs="Arial"/>
        </w:rPr>
        <w:t>”</w:t>
      </w:r>
      <w:r w:rsidR="00E87E41" w:rsidRPr="00D332F6">
        <w:rPr>
          <w:rFonts w:ascii="Arial" w:hAnsi="Arial" w:cs="Arial"/>
        </w:rPr>
        <w:t xml:space="preserve"> </w:t>
      </w:r>
      <w:r w:rsidR="006E70BA" w:rsidRPr="00D332F6">
        <w:rPr>
          <w:rFonts w:ascii="Arial" w:hAnsi="Arial" w:cs="Arial"/>
        </w:rPr>
        <w:t>based on what is optimal for</w:t>
      </w:r>
      <w:r w:rsidR="00020A5F" w:rsidRPr="00D332F6">
        <w:rPr>
          <w:rFonts w:ascii="Arial" w:hAnsi="Arial" w:cs="Arial"/>
        </w:rPr>
        <w:t xml:space="preserve"> a</w:t>
      </w:r>
      <w:r w:rsidR="009D78E7" w:rsidRPr="00D332F6">
        <w:rPr>
          <w:rFonts w:ascii="Arial" w:hAnsi="Arial" w:cs="Arial"/>
        </w:rPr>
        <w:t xml:space="preserve"> </w:t>
      </w:r>
      <w:r w:rsidR="009762FF" w:rsidRPr="00D332F6">
        <w:rPr>
          <w:rFonts w:ascii="Arial" w:hAnsi="Arial" w:cs="Arial"/>
        </w:rPr>
        <w:t>given</w:t>
      </w:r>
      <w:r w:rsidR="009D78E7" w:rsidRPr="00D332F6">
        <w:rPr>
          <w:rFonts w:ascii="Arial" w:hAnsi="Arial" w:cs="Arial"/>
        </w:rPr>
        <w:t xml:space="preserve"> </w:t>
      </w:r>
      <w:r w:rsidR="006E70BA" w:rsidRPr="00D332F6">
        <w:rPr>
          <w:rFonts w:ascii="Arial" w:hAnsi="Arial" w:cs="Arial"/>
        </w:rPr>
        <w:t xml:space="preserve">model – i.e. </w:t>
      </w:r>
      <w:r w:rsidR="009762FF" w:rsidRPr="00D332F6">
        <w:rPr>
          <w:rFonts w:ascii="Arial" w:hAnsi="Arial" w:cs="Arial"/>
        </w:rPr>
        <w:t xml:space="preserve">which previous studies have done by </w:t>
      </w:r>
      <w:r w:rsidR="005E0C08" w:rsidRPr="00D332F6">
        <w:rPr>
          <w:rFonts w:ascii="Arial" w:hAnsi="Arial" w:cs="Arial"/>
        </w:rPr>
        <w:t>identifying the risk threshold at which the</w:t>
      </w:r>
      <w:r w:rsidR="00E87E41" w:rsidRPr="00D332F6">
        <w:rPr>
          <w:rFonts w:ascii="Arial" w:hAnsi="Arial" w:cs="Arial"/>
        </w:rPr>
        <w:t xml:space="preserve"> sensitivity/specificity</w:t>
      </w:r>
      <w:r w:rsidR="00D066BB" w:rsidRPr="00D332F6">
        <w:rPr>
          <w:rFonts w:ascii="Arial" w:hAnsi="Arial" w:cs="Arial"/>
        </w:rPr>
        <w:t xml:space="preserve"> are</w:t>
      </w:r>
      <w:r w:rsidR="006E70BA" w:rsidRPr="00D332F6">
        <w:rPr>
          <w:rFonts w:ascii="Arial" w:hAnsi="Arial" w:cs="Arial"/>
        </w:rPr>
        <w:t xml:space="preserve"> optimised</w:t>
      </w:r>
      <w:r w:rsidR="00D066BB" w:rsidRPr="00D332F6">
        <w:rPr>
          <w:rFonts w:ascii="Arial" w:hAnsi="Arial" w:cs="Arial"/>
        </w:rPr>
        <w:t>.</w:t>
      </w:r>
      <w:r w:rsidR="00E87E41" w:rsidRPr="00D332F6">
        <w:rPr>
          <w:rFonts w:ascii="Arial" w:hAnsi="Arial" w:cs="Arial"/>
        </w:rPr>
        <w:t xml:space="preserve"> </w:t>
      </w:r>
      <w:r w:rsidR="002E7D60" w:rsidRPr="00D332F6">
        <w:rPr>
          <w:rFonts w:ascii="Arial" w:hAnsi="Arial" w:cs="Arial"/>
        </w:rPr>
        <w:t>This approach</w:t>
      </w:r>
      <w:r w:rsidR="006E70BA" w:rsidRPr="00D332F6">
        <w:rPr>
          <w:rFonts w:ascii="Arial" w:hAnsi="Arial" w:cs="Arial"/>
        </w:rPr>
        <w:t xml:space="preserve"> is statistically dubious</w:t>
      </w:r>
      <w:r w:rsidR="008B23E4" w:rsidRPr="00D332F6">
        <w:rPr>
          <w:rFonts w:ascii="Arial" w:hAnsi="Arial" w:cs="Arial"/>
          <w:vertAlign w:val="superscript"/>
        </w:rPr>
        <w:t>3</w:t>
      </w:r>
      <w:r w:rsidR="003C2A64" w:rsidRPr="00D332F6">
        <w:rPr>
          <w:rFonts w:ascii="Arial" w:hAnsi="Arial" w:cs="Arial"/>
          <w:vertAlign w:val="superscript"/>
        </w:rPr>
        <w:t>7</w:t>
      </w:r>
      <w:r w:rsidR="006E70BA" w:rsidRPr="00D332F6">
        <w:rPr>
          <w:rFonts w:ascii="Arial" w:hAnsi="Arial" w:cs="Arial"/>
        </w:rPr>
        <w:t>, but more to the point,</w:t>
      </w:r>
      <w:r w:rsidR="002E7D60" w:rsidRPr="00D332F6">
        <w:rPr>
          <w:rFonts w:ascii="Arial" w:hAnsi="Arial" w:cs="Arial"/>
        </w:rPr>
        <w:t xml:space="preserve"> </w:t>
      </w:r>
      <w:r w:rsidR="006E70BA" w:rsidRPr="00D332F6">
        <w:rPr>
          <w:rFonts w:ascii="Arial" w:hAnsi="Arial" w:cs="Arial"/>
        </w:rPr>
        <w:t xml:space="preserve">it </w:t>
      </w:r>
      <w:r w:rsidR="002E7D60" w:rsidRPr="00D332F6">
        <w:rPr>
          <w:rFonts w:ascii="Arial" w:hAnsi="Arial" w:cs="Arial"/>
        </w:rPr>
        <w:t xml:space="preserve">is </w:t>
      </w:r>
      <w:r w:rsidR="00325730" w:rsidRPr="00D332F6">
        <w:rPr>
          <w:rFonts w:ascii="Arial" w:hAnsi="Arial" w:cs="Arial"/>
        </w:rPr>
        <w:t>equivalent to</w:t>
      </w:r>
      <w:r w:rsidR="00E87E41" w:rsidRPr="00D332F6">
        <w:rPr>
          <w:rFonts w:ascii="Arial" w:hAnsi="Arial" w:cs="Arial"/>
        </w:rPr>
        <w:t xml:space="preserve"> letting </w:t>
      </w:r>
      <w:r w:rsidR="002C6647" w:rsidRPr="00D332F6">
        <w:rPr>
          <w:rFonts w:ascii="Arial" w:hAnsi="Arial" w:cs="Arial"/>
        </w:rPr>
        <w:t>a statistical</w:t>
      </w:r>
      <w:r w:rsidR="00E87E41" w:rsidRPr="00D332F6">
        <w:rPr>
          <w:rFonts w:ascii="Arial" w:hAnsi="Arial" w:cs="Arial"/>
        </w:rPr>
        <w:t xml:space="preserve"> model dictate </w:t>
      </w:r>
      <w:r w:rsidR="002C6647" w:rsidRPr="00D332F6">
        <w:rPr>
          <w:rFonts w:ascii="Arial" w:hAnsi="Arial" w:cs="Arial"/>
        </w:rPr>
        <w:t>a clinical decision</w:t>
      </w:r>
      <w:r w:rsidR="003A496E" w:rsidRPr="00D332F6">
        <w:rPr>
          <w:rFonts w:ascii="Arial" w:hAnsi="Arial" w:cs="Arial"/>
        </w:rPr>
        <w:t>, as opposed to using a statistical model to help implement a clinical decision</w:t>
      </w:r>
      <w:r w:rsidR="00E87E41" w:rsidRPr="00D332F6">
        <w:rPr>
          <w:rFonts w:ascii="Arial" w:hAnsi="Arial" w:cs="Arial"/>
        </w:rPr>
        <w:t>.</w:t>
      </w:r>
      <w:r w:rsidR="005E0C08" w:rsidRPr="00D332F6">
        <w:rPr>
          <w:rFonts w:ascii="Arial" w:hAnsi="Arial" w:cs="Arial"/>
        </w:rPr>
        <w:t xml:space="preserve"> </w:t>
      </w:r>
      <w:bookmarkStart w:id="2" w:name="_Hlk72488454"/>
      <w:bookmarkEnd w:id="2"/>
      <w:r w:rsidR="003B14CC" w:rsidRPr="00D332F6">
        <w:rPr>
          <w:rFonts w:ascii="Arial" w:hAnsi="Arial" w:cs="Arial"/>
        </w:rPr>
        <w:t xml:space="preserve">Thus, </w:t>
      </w:r>
      <w:r w:rsidR="00706636" w:rsidRPr="00D332F6">
        <w:rPr>
          <w:rFonts w:ascii="Arial" w:hAnsi="Arial" w:cs="Arial"/>
        </w:rPr>
        <w:t xml:space="preserve">auxiliary research to define “low risk” may be needed before models such as </w:t>
      </w:r>
      <w:r w:rsidR="005563D3" w:rsidRPr="00D332F6">
        <w:rPr>
          <w:rFonts w:ascii="Arial" w:hAnsi="Arial" w:cs="Arial"/>
        </w:rPr>
        <w:t>aMAP</w:t>
      </w:r>
      <w:r w:rsidR="00706636" w:rsidRPr="00D332F6">
        <w:rPr>
          <w:rFonts w:ascii="Arial" w:hAnsi="Arial" w:cs="Arial"/>
        </w:rPr>
        <w:t xml:space="preserve"> can be </w:t>
      </w:r>
      <w:r w:rsidR="00067902" w:rsidRPr="00D332F6">
        <w:rPr>
          <w:rFonts w:ascii="Arial" w:hAnsi="Arial" w:cs="Arial"/>
        </w:rPr>
        <w:t xml:space="preserve">confidently </w:t>
      </w:r>
      <w:r w:rsidR="00706636" w:rsidRPr="00D332F6">
        <w:rPr>
          <w:rFonts w:ascii="Arial" w:hAnsi="Arial" w:cs="Arial"/>
        </w:rPr>
        <w:t xml:space="preserve">deployed. </w:t>
      </w:r>
      <w:r w:rsidR="0059097B" w:rsidRPr="00D332F6">
        <w:rPr>
          <w:rFonts w:ascii="Arial" w:hAnsi="Arial" w:cs="Arial"/>
        </w:rPr>
        <w:t>Microsimulation M</w:t>
      </w:r>
      <w:r w:rsidR="003E4684" w:rsidRPr="00D332F6">
        <w:rPr>
          <w:rFonts w:ascii="Arial" w:hAnsi="Arial" w:cs="Arial"/>
        </w:rPr>
        <w:t>arkov models</w:t>
      </w:r>
      <w:r w:rsidR="00831296" w:rsidRPr="00D332F6">
        <w:rPr>
          <w:rFonts w:ascii="Arial" w:hAnsi="Arial" w:cs="Arial"/>
          <w:vertAlign w:val="superscript"/>
        </w:rPr>
        <w:t>3</w:t>
      </w:r>
      <w:r w:rsidR="003C2A64" w:rsidRPr="00D332F6">
        <w:rPr>
          <w:rFonts w:ascii="Arial" w:hAnsi="Arial" w:cs="Arial"/>
          <w:vertAlign w:val="superscript"/>
        </w:rPr>
        <w:t>8</w:t>
      </w:r>
      <w:r w:rsidR="00831296" w:rsidRPr="00D332F6">
        <w:rPr>
          <w:rFonts w:ascii="Arial" w:hAnsi="Arial" w:cs="Arial"/>
        </w:rPr>
        <w:t xml:space="preserve"> </w:t>
      </w:r>
      <w:r w:rsidR="00706636" w:rsidRPr="00D332F6">
        <w:rPr>
          <w:rFonts w:ascii="Arial" w:hAnsi="Arial" w:cs="Arial"/>
        </w:rPr>
        <w:t>may be useful for estimating the benefits of screenin</w:t>
      </w:r>
      <w:r w:rsidR="006111DA" w:rsidRPr="00D332F6">
        <w:rPr>
          <w:rFonts w:ascii="Arial" w:hAnsi="Arial" w:cs="Arial"/>
        </w:rPr>
        <w:t>g</w:t>
      </w:r>
      <w:r w:rsidR="00573CD3" w:rsidRPr="00D332F6">
        <w:rPr>
          <w:rFonts w:ascii="Arial" w:hAnsi="Arial" w:cs="Arial"/>
        </w:rPr>
        <w:t xml:space="preserve"> (i.e. in terms of life-years or quality-adjusted-life-years gained)</w:t>
      </w:r>
      <w:r w:rsidR="00706636" w:rsidRPr="00D332F6">
        <w:rPr>
          <w:rFonts w:ascii="Arial" w:hAnsi="Arial" w:cs="Arial"/>
        </w:rPr>
        <w:t xml:space="preserve"> </w:t>
      </w:r>
      <w:r w:rsidR="00573CD3" w:rsidRPr="00D332F6">
        <w:rPr>
          <w:rFonts w:ascii="Arial" w:hAnsi="Arial" w:cs="Arial"/>
        </w:rPr>
        <w:t xml:space="preserve">according to 3-year HCC probability. </w:t>
      </w:r>
    </w:p>
    <w:p w14:paraId="31A91733" w14:textId="77777777" w:rsidR="003E4684" w:rsidRPr="00D332F6" w:rsidRDefault="003E4684">
      <w:pPr>
        <w:spacing w:line="360" w:lineRule="auto"/>
        <w:rPr>
          <w:rFonts w:ascii="Arial" w:hAnsi="Arial" w:cs="Arial"/>
        </w:rPr>
      </w:pPr>
    </w:p>
    <w:p w14:paraId="68F12FE7" w14:textId="629CF661" w:rsidR="00BD59D6" w:rsidRPr="00D332F6" w:rsidRDefault="009B159E">
      <w:pPr>
        <w:spacing w:line="360" w:lineRule="auto"/>
        <w:rPr>
          <w:rFonts w:ascii="Arial" w:hAnsi="Arial" w:cs="Arial"/>
        </w:rPr>
      </w:pPr>
      <w:r w:rsidRPr="00D332F6">
        <w:rPr>
          <w:rFonts w:ascii="Arial" w:hAnsi="Arial" w:cs="Arial"/>
        </w:rPr>
        <w:t xml:space="preserve">This study has several strengths. </w:t>
      </w:r>
      <w:r w:rsidR="00850AD9" w:rsidRPr="00D332F6">
        <w:rPr>
          <w:rFonts w:ascii="Arial" w:hAnsi="Arial" w:cs="Arial"/>
        </w:rPr>
        <w:t xml:space="preserve">Firstly, our </w:t>
      </w:r>
      <w:r w:rsidRPr="00D332F6">
        <w:rPr>
          <w:rFonts w:ascii="Arial" w:hAnsi="Arial" w:cs="Arial"/>
        </w:rPr>
        <w:t>focus on external</w:t>
      </w:r>
      <w:r w:rsidR="009C6551" w:rsidRPr="00D332F6">
        <w:rPr>
          <w:rFonts w:ascii="Arial" w:hAnsi="Arial" w:cs="Arial"/>
        </w:rPr>
        <w:t xml:space="preserve">ly validating </w:t>
      </w:r>
      <w:r w:rsidR="00850AD9" w:rsidRPr="00D332F6">
        <w:rPr>
          <w:rFonts w:ascii="Arial" w:hAnsi="Arial" w:cs="Arial"/>
        </w:rPr>
        <w:t xml:space="preserve">competing </w:t>
      </w:r>
      <w:r w:rsidRPr="00D332F6">
        <w:rPr>
          <w:rFonts w:ascii="Arial" w:hAnsi="Arial" w:cs="Arial"/>
        </w:rPr>
        <w:t xml:space="preserve">models fills an important gap in the literature. </w:t>
      </w:r>
      <w:r w:rsidR="00850AD9" w:rsidRPr="00D332F6">
        <w:rPr>
          <w:rFonts w:ascii="Arial" w:hAnsi="Arial" w:cs="Arial"/>
        </w:rPr>
        <w:t xml:space="preserve">i.e. most previous studies have opted to develop new risks models, rather than evaluate the performance of existing ones. </w:t>
      </w:r>
      <w:r w:rsidRPr="00D332F6">
        <w:rPr>
          <w:rFonts w:ascii="Arial" w:hAnsi="Arial" w:cs="Arial"/>
        </w:rPr>
        <w:t xml:space="preserve">Secondly, </w:t>
      </w:r>
      <w:r w:rsidR="00EB35B4" w:rsidRPr="00D332F6">
        <w:rPr>
          <w:rFonts w:ascii="Arial" w:hAnsi="Arial" w:cs="Arial"/>
        </w:rPr>
        <w:t xml:space="preserve">as previously discussed, </w:t>
      </w:r>
      <w:r w:rsidRPr="00D332F6">
        <w:rPr>
          <w:rFonts w:ascii="Arial" w:hAnsi="Arial" w:cs="Arial"/>
        </w:rPr>
        <w:t xml:space="preserve">we have assessed model performance not only in terms of discrimination, but calibration too. A third strength is that our estimates of model </w:t>
      </w:r>
      <w:r w:rsidR="00EB35B4" w:rsidRPr="00D332F6">
        <w:rPr>
          <w:rFonts w:ascii="Arial" w:hAnsi="Arial" w:cs="Arial"/>
        </w:rPr>
        <w:t>performance</w:t>
      </w:r>
      <w:r w:rsidRPr="00D332F6">
        <w:rPr>
          <w:rFonts w:ascii="Arial" w:hAnsi="Arial" w:cs="Arial"/>
        </w:rPr>
        <w:t xml:space="preserve"> account for non-HCC mortality as a competing risk. This perspective is important because cirrhosis patients are at high risk of mortality from liver failure, and this may bias estimates of model performance.</w:t>
      </w:r>
      <w:r w:rsidRPr="00D332F6">
        <w:rPr>
          <w:rFonts w:ascii="Arial" w:hAnsi="Arial" w:cs="Arial"/>
          <w:vertAlign w:val="superscript"/>
        </w:rPr>
        <w:t xml:space="preserve">25 </w:t>
      </w:r>
      <w:r w:rsidRPr="00D332F6">
        <w:rPr>
          <w:rFonts w:ascii="Arial" w:hAnsi="Arial" w:cs="Arial"/>
        </w:rPr>
        <w:t xml:space="preserve">However, whilst we found that C-indexes were lower when accounting for competing risks, the differences were </w:t>
      </w:r>
      <w:r w:rsidR="00BF7E49" w:rsidRPr="00D332F6">
        <w:rPr>
          <w:rFonts w:ascii="Arial" w:hAnsi="Arial" w:cs="Arial"/>
        </w:rPr>
        <w:t xml:space="preserve">very </w:t>
      </w:r>
      <w:r w:rsidRPr="00D332F6">
        <w:rPr>
          <w:rFonts w:ascii="Arial" w:hAnsi="Arial" w:cs="Arial"/>
        </w:rPr>
        <w:t xml:space="preserve">modest. A fourth strength is the adoption of a dual cohort perspective, enabling us to perform the same analysis in two different cohorts and analyse variability. This </w:t>
      </w:r>
      <w:r w:rsidR="00182660" w:rsidRPr="00D332F6">
        <w:rPr>
          <w:rFonts w:ascii="Arial" w:hAnsi="Arial" w:cs="Arial"/>
        </w:rPr>
        <w:t>has supported our</w:t>
      </w:r>
      <w:r w:rsidRPr="00D332F6">
        <w:rPr>
          <w:rFonts w:ascii="Arial" w:hAnsi="Arial" w:cs="Arial"/>
        </w:rPr>
        <w:t xml:space="preserve"> investigati</w:t>
      </w:r>
      <w:r w:rsidR="00182660" w:rsidRPr="00D332F6">
        <w:rPr>
          <w:rFonts w:ascii="Arial" w:hAnsi="Arial" w:cs="Arial"/>
        </w:rPr>
        <w:t>on</w:t>
      </w:r>
      <w:r w:rsidRPr="00D332F6">
        <w:rPr>
          <w:rFonts w:ascii="Arial" w:hAnsi="Arial" w:cs="Arial"/>
        </w:rPr>
        <w:t xml:space="preserve"> </w:t>
      </w:r>
      <w:r w:rsidR="00182660" w:rsidRPr="00D332F6">
        <w:rPr>
          <w:rFonts w:ascii="Arial" w:hAnsi="Arial" w:cs="Arial"/>
        </w:rPr>
        <w:t xml:space="preserve">of heterogeneity in </w:t>
      </w:r>
      <w:r w:rsidRPr="00D332F6">
        <w:rPr>
          <w:rFonts w:ascii="Arial" w:hAnsi="Arial" w:cs="Arial"/>
        </w:rPr>
        <w:t xml:space="preserve">model performance.  Another unique asset of this study is that we have collected data on genetic and non-genetic models, and have thus been able to compare the discriminative ability of these two model types. </w:t>
      </w:r>
      <w:r w:rsidR="0009485C" w:rsidRPr="00D332F6">
        <w:rPr>
          <w:rFonts w:ascii="Arial" w:hAnsi="Arial" w:cs="Arial"/>
        </w:rPr>
        <w:t xml:space="preserve"> </w:t>
      </w:r>
      <w:r w:rsidRPr="00D332F6">
        <w:rPr>
          <w:rFonts w:ascii="Arial" w:hAnsi="Arial" w:cs="Arial"/>
        </w:rPr>
        <w:t>Our study has limitations too that warrant discussion. One of the main limitations is that predictions were missing for some patients. Whilst the proportion missing data was generally low (&lt;20%), missing data was more substantial for the ANRS-CO12 (60% missing in Scottish cohort) and VHA models (24% missing in Scottish cohort). We used multiple imputation to maximise statistical power and correct potential bias from a complete-case analysis. Nevertheless, the performance of the ANRS-CO12 model in particular should be viewed with caution in light of the missing data. Second, we cannot exclude the possibility that some of the patients in our dataset may have been had HCC or been developing HCC before SVR was achieved. Third, we were not able to evaluate all models developed so far for HCV cirrhosis patients, including those proposed by Pons et al</w:t>
      </w:r>
      <w:r w:rsidRPr="00D332F6">
        <w:rPr>
          <w:rFonts w:ascii="Arial" w:hAnsi="Arial" w:cs="Arial"/>
          <w:vertAlign w:val="superscript"/>
        </w:rPr>
        <w:t>3</w:t>
      </w:r>
      <w:r w:rsidR="00927455" w:rsidRPr="00D332F6">
        <w:rPr>
          <w:rFonts w:ascii="Arial" w:hAnsi="Arial" w:cs="Arial"/>
          <w:vertAlign w:val="superscript"/>
        </w:rPr>
        <w:t>9</w:t>
      </w:r>
      <w:r w:rsidRPr="00D332F6">
        <w:rPr>
          <w:rFonts w:ascii="Arial" w:hAnsi="Arial" w:cs="Arial"/>
        </w:rPr>
        <w:t>, Audurea et al</w:t>
      </w:r>
      <w:r w:rsidR="00927455" w:rsidRPr="00D332F6">
        <w:rPr>
          <w:rFonts w:ascii="Arial" w:hAnsi="Arial" w:cs="Arial"/>
          <w:vertAlign w:val="superscript"/>
        </w:rPr>
        <w:t>40</w:t>
      </w:r>
      <w:r w:rsidRPr="00D332F6">
        <w:rPr>
          <w:rFonts w:ascii="Arial" w:hAnsi="Arial" w:cs="Arial"/>
        </w:rPr>
        <w:t xml:space="preserve"> and Alonso Lopez et al</w:t>
      </w:r>
      <w:r w:rsidR="001964BB" w:rsidRPr="00D332F6">
        <w:rPr>
          <w:rFonts w:ascii="Arial" w:hAnsi="Arial" w:cs="Arial"/>
        </w:rPr>
        <w:t>.</w:t>
      </w:r>
      <w:r w:rsidR="00831296" w:rsidRPr="00D332F6">
        <w:rPr>
          <w:rFonts w:ascii="Arial" w:hAnsi="Arial" w:cs="Arial"/>
          <w:vertAlign w:val="superscript"/>
        </w:rPr>
        <w:t>4</w:t>
      </w:r>
      <w:r w:rsidR="00927455" w:rsidRPr="00D332F6">
        <w:rPr>
          <w:rFonts w:ascii="Arial" w:hAnsi="Arial" w:cs="Arial"/>
          <w:vertAlign w:val="superscript"/>
        </w:rPr>
        <w:t>1</w:t>
      </w:r>
      <w:r w:rsidRPr="00D332F6">
        <w:rPr>
          <w:rFonts w:ascii="Arial" w:hAnsi="Arial" w:cs="Arial"/>
        </w:rPr>
        <w:t xml:space="preserve"> These scores were omitted from our analysis because data for factors such as liver stiffness and prothrombin time were unavailable in the Scottish and STOPHCV studies. This is also an inherent weakness of the scores themselves insofar as a model can only be useful if it can be calculated using “real world” data. Fourth, although patients were followed up from the point of SVR achievement, we did not have information on the specific date that the SVR test was performed. Thus, a conservative estimate of six months after treatment completion was used to ensure our analysis was not affected by immortal time bias</w:t>
      </w:r>
      <w:r w:rsidR="00A455CC" w:rsidRPr="00D332F6">
        <w:rPr>
          <w:rFonts w:ascii="Arial" w:hAnsi="Arial" w:cs="Arial"/>
          <w:vertAlign w:val="superscript"/>
        </w:rPr>
        <w:t>28</w:t>
      </w:r>
      <w:r w:rsidRPr="00D332F6">
        <w:rPr>
          <w:rFonts w:ascii="Arial" w:hAnsi="Arial" w:cs="Arial"/>
        </w:rPr>
        <w:t xml:space="preserve"> (</w:t>
      </w:r>
      <w:r w:rsidR="00A455CC" w:rsidRPr="00D332F6">
        <w:rPr>
          <w:rFonts w:ascii="Arial" w:hAnsi="Arial" w:cs="Arial"/>
        </w:rPr>
        <w:t xml:space="preserve">i.e. </w:t>
      </w:r>
      <w:r w:rsidRPr="00D332F6">
        <w:rPr>
          <w:rFonts w:ascii="Arial" w:hAnsi="Arial" w:cs="Arial"/>
        </w:rPr>
        <w:t xml:space="preserve">equivalent to SVR24). </w:t>
      </w:r>
    </w:p>
    <w:p w14:paraId="15C8286F" w14:textId="3171D6D2" w:rsidR="005C3526" w:rsidRPr="00D332F6" w:rsidRDefault="009B159E">
      <w:pPr>
        <w:spacing w:line="360" w:lineRule="auto"/>
        <w:rPr>
          <w:rFonts w:ascii="Arial" w:hAnsi="Arial" w:cs="Arial"/>
        </w:rPr>
      </w:pPr>
      <w:r w:rsidRPr="00D332F6">
        <w:rPr>
          <w:rFonts w:ascii="Arial" w:hAnsi="Arial" w:cs="Arial"/>
        </w:rPr>
        <w:t xml:space="preserve">In summary, </w:t>
      </w:r>
      <w:r w:rsidR="001C0855" w:rsidRPr="00D332F6">
        <w:rPr>
          <w:rFonts w:ascii="Arial" w:hAnsi="Arial" w:cs="Arial"/>
        </w:rPr>
        <w:t xml:space="preserve">this </w:t>
      </w:r>
      <w:r w:rsidR="004569E0" w:rsidRPr="00D332F6">
        <w:rPr>
          <w:rFonts w:ascii="Arial" w:hAnsi="Arial" w:cs="Arial"/>
        </w:rPr>
        <w:t>is the first</w:t>
      </w:r>
      <w:r w:rsidR="00F870E9" w:rsidRPr="00D332F6">
        <w:rPr>
          <w:rFonts w:ascii="Arial" w:hAnsi="Arial" w:cs="Arial"/>
        </w:rPr>
        <w:t xml:space="preserve"> stud</w:t>
      </w:r>
      <w:r w:rsidR="004569E0" w:rsidRPr="00D332F6">
        <w:rPr>
          <w:rFonts w:ascii="Arial" w:hAnsi="Arial" w:cs="Arial"/>
        </w:rPr>
        <w:t>y</w:t>
      </w:r>
      <w:r w:rsidR="00F870E9" w:rsidRPr="00D332F6">
        <w:rPr>
          <w:rFonts w:ascii="Arial" w:hAnsi="Arial" w:cs="Arial"/>
        </w:rPr>
        <w:t xml:space="preserve"> </w:t>
      </w:r>
      <w:r w:rsidR="005C3526" w:rsidRPr="00D332F6">
        <w:rPr>
          <w:rFonts w:ascii="Arial" w:hAnsi="Arial" w:cs="Arial"/>
        </w:rPr>
        <w:t>compar</w:t>
      </w:r>
      <w:r w:rsidR="001C0855" w:rsidRPr="00D332F6">
        <w:rPr>
          <w:rFonts w:ascii="Arial" w:hAnsi="Arial" w:cs="Arial"/>
        </w:rPr>
        <w:t>ing</w:t>
      </w:r>
      <w:r w:rsidR="005C3526" w:rsidRPr="00D332F6">
        <w:rPr>
          <w:rFonts w:ascii="Arial" w:hAnsi="Arial" w:cs="Arial"/>
        </w:rPr>
        <w:t xml:space="preserve"> the</w:t>
      </w:r>
      <w:r w:rsidR="00F870E9" w:rsidRPr="00D332F6">
        <w:rPr>
          <w:rFonts w:ascii="Arial" w:hAnsi="Arial" w:cs="Arial"/>
        </w:rPr>
        <w:t xml:space="preserve"> performance </w:t>
      </w:r>
      <w:r w:rsidRPr="00D332F6">
        <w:rPr>
          <w:rFonts w:ascii="Arial" w:hAnsi="Arial" w:cs="Arial"/>
        </w:rPr>
        <w:t xml:space="preserve">of </w:t>
      </w:r>
      <w:r w:rsidR="00DB7D35" w:rsidRPr="00D332F6">
        <w:rPr>
          <w:rFonts w:ascii="Arial" w:hAnsi="Arial" w:cs="Arial"/>
        </w:rPr>
        <w:t>competing</w:t>
      </w:r>
      <w:r w:rsidR="005C3526" w:rsidRPr="00D332F6">
        <w:rPr>
          <w:rFonts w:ascii="Arial" w:hAnsi="Arial" w:cs="Arial"/>
        </w:rPr>
        <w:t xml:space="preserve"> </w:t>
      </w:r>
      <w:r w:rsidRPr="00D332F6">
        <w:rPr>
          <w:rFonts w:ascii="Arial" w:hAnsi="Arial" w:cs="Arial"/>
        </w:rPr>
        <w:t xml:space="preserve">HCC risk </w:t>
      </w:r>
      <w:r w:rsidR="005C3526" w:rsidRPr="00D332F6">
        <w:rPr>
          <w:rFonts w:ascii="Arial" w:hAnsi="Arial" w:cs="Arial"/>
        </w:rPr>
        <w:t xml:space="preserve">prediction </w:t>
      </w:r>
      <w:r w:rsidRPr="00D332F6">
        <w:rPr>
          <w:rFonts w:ascii="Arial" w:hAnsi="Arial" w:cs="Arial"/>
        </w:rPr>
        <w:t>model</w:t>
      </w:r>
      <w:r w:rsidR="005C3526" w:rsidRPr="00D332F6">
        <w:rPr>
          <w:rFonts w:ascii="Arial" w:hAnsi="Arial" w:cs="Arial"/>
        </w:rPr>
        <w:t xml:space="preserve">s. </w:t>
      </w:r>
      <w:r w:rsidR="003B67D9" w:rsidRPr="00D332F6">
        <w:rPr>
          <w:rFonts w:ascii="Arial" w:hAnsi="Arial" w:cs="Arial"/>
        </w:rPr>
        <w:t>Our</w:t>
      </w:r>
      <w:r w:rsidR="005C3526" w:rsidRPr="00D332F6">
        <w:rPr>
          <w:rFonts w:ascii="Arial" w:hAnsi="Arial" w:cs="Arial"/>
        </w:rPr>
        <w:t xml:space="preserve"> findings </w:t>
      </w:r>
      <w:r w:rsidR="001D67FF" w:rsidRPr="00D332F6">
        <w:rPr>
          <w:rFonts w:ascii="Arial" w:hAnsi="Arial" w:cs="Arial"/>
        </w:rPr>
        <w:t xml:space="preserve">highlight the opportunities for </w:t>
      </w:r>
      <w:r w:rsidR="00E82B8B" w:rsidRPr="00D332F6">
        <w:rPr>
          <w:rFonts w:ascii="Arial" w:hAnsi="Arial" w:cs="Arial"/>
        </w:rPr>
        <w:t>pra</w:t>
      </w:r>
      <w:r w:rsidR="001D67FF" w:rsidRPr="00D332F6">
        <w:rPr>
          <w:rFonts w:ascii="Arial" w:hAnsi="Arial" w:cs="Arial"/>
        </w:rPr>
        <w:t xml:space="preserve">ctical </w:t>
      </w:r>
      <w:r w:rsidR="00E3020F" w:rsidRPr="00D332F6">
        <w:rPr>
          <w:rFonts w:ascii="Arial" w:hAnsi="Arial" w:cs="Arial"/>
        </w:rPr>
        <w:t>HCC risk-</w:t>
      </w:r>
      <w:r w:rsidR="001D67FF" w:rsidRPr="00D332F6">
        <w:rPr>
          <w:rFonts w:ascii="Arial" w:hAnsi="Arial" w:cs="Arial"/>
        </w:rPr>
        <w:t xml:space="preserve">stratification in a UK setting for patients with cirrhosis and cured HCV. </w:t>
      </w:r>
      <w:r w:rsidR="00AA1F46" w:rsidRPr="00D332F6">
        <w:rPr>
          <w:rFonts w:ascii="Arial" w:hAnsi="Arial" w:cs="Arial"/>
        </w:rPr>
        <w:t>If</w:t>
      </w:r>
      <w:r w:rsidR="00D74B00" w:rsidRPr="00D332F6">
        <w:rPr>
          <w:rFonts w:ascii="Arial" w:hAnsi="Arial" w:cs="Arial"/>
        </w:rPr>
        <w:t xml:space="preserve"> models</w:t>
      </w:r>
      <w:r w:rsidR="00E06F23" w:rsidRPr="00D332F6">
        <w:rPr>
          <w:rFonts w:ascii="Arial" w:hAnsi="Arial" w:cs="Arial"/>
        </w:rPr>
        <w:t xml:space="preserve"> </w:t>
      </w:r>
      <w:r w:rsidR="00AA1F46" w:rsidRPr="00D332F6">
        <w:rPr>
          <w:rFonts w:ascii="Arial" w:hAnsi="Arial" w:cs="Arial"/>
        </w:rPr>
        <w:t xml:space="preserve">are </w:t>
      </w:r>
      <w:r w:rsidR="00E06F23" w:rsidRPr="00D332F6">
        <w:rPr>
          <w:rFonts w:ascii="Arial" w:hAnsi="Arial" w:cs="Arial"/>
        </w:rPr>
        <w:t>to</w:t>
      </w:r>
      <w:r w:rsidR="0054552C" w:rsidRPr="00D332F6">
        <w:rPr>
          <w:rFonts w:ascii="Arial" w:hAnsi="Arial" w:cs="Arial"/>
        </w:rPr>
        <w:t xml:space="preserve"> support HCC screening </w:t>
      </w:r>
      <w:r w:rsidR="00E06F23" w:rsidRPr="00D332F6">
        <w:rPr>
          <w:rFonts w:ascii="Arial" w:hAnsi="Arial" w:cs="Arial"/>
        </w:rPr>
        <w:t xml:space="preserve">decisions however, </w:t>
      </w:r>
      <w:r w:rsidR="00AA1F46" w:rsidRPr="00D332F6">
        <w:rPr>
          <w:rFonts w:ascii="Arial" w:hAnsi="Arial" w:cs="Arial"/>
        </w:rPr>
        <w:t xml:space="preserve">then </w:t>
      </w:r>
      <w:r w:rsidR="00E06F23" w:rsidRPr="00D332F6">
        <w:rPr>
          <w:rFonts w:ascii="Arial" w:hAnsi="Arial" w:cs="Arial"/>
        </w:rPr>
        <w:t xml:space="preserve">a </w:t>
      </w:r>
      <w:r w:rsidR="00604B5C" w:rsidRPr="00D332F6">
        <w:rPr>
          <w:rFonts w:ascii="Arial" w:hAnsi="Arial" w:cs="Arial"/>
        </w:rPr>
        <w:t xml:space="preserve">consensus </w:t>
      </w:r>
      <w:r w:rsidR="00077014" w:rsidRPr="00D332F6">
        <w:rPr>
          <w:rFonts w:ascii="Arial" w:hAnsi="Arial" w:cs="Arial"/>
        </w:rPr>
        <w:t xml:space="preserve">will </w:t>
      </w:r>
      <w:r w:rsidR="00AA1F46" w:rsidRPr="00D332F6">
        <w:rPr>
          <w:rFonts w:ascii="Arial" w:hAnsi="Arial" w:cs="Arial"/>
        </w:rPr>
        <w:t xml:space="preserve">ultimately </w:t>
      </w:r>
      <w:r w:rsidR="00077014" w:rsidRPr="00D332F6">
        <w:rPr>
          <w:rFonts w:ascii="Arial" w:hAnsi="Arial" w:cs="Arial"/>
        </w:rPr>
        <w:t>be</w:t>
      </w:r>
      <w:r w:rsidR="00D74B00" w:rsidRPr="00D332F6">
        <w:rPr>
          <w:rFonts w:ascii="Arial" w:hAnsi="Arial" w:cs="Arial"/>
        </w:rPr>
        <w:t xml:space="preserve"> needed </w:t>
      </w:r>
      <w:r w:rsidR="00E06F23" w:rsidRPr="00D332F6">
        <w:rPr>
          <w:rFonts w:ascii="Arial" w:hAnsi="Arial" w:cs="Arial"/>
        </w:rPr>
        <w:t xml:space="preserve">regarding </w:t>
      </w:r>
      <w:r w:rsidR="00D2078B" w:rsidRPr="00D332F6">
        <w:rPr>
          <w:rFonts w:ascii="Arial" w:hAnsi="Arial" w:cs="Arial"/>
        </w:rPr>
        <w:t xml:space="preserve">the </w:t>
      </w:r>
      <w:r w:rsidR="00604B5C" w:rsidRPr="00D332F6">
        <w:rPr>
          <w:rFonts w:ascii="Arial" w:hAnsi="Arial" w:cs="Arial"/>
        </w:rPr>
        <w:t>individualised probability</w:t>
      </w:r>
      <w:r w:rsidR="00695723" w:rsidRPr="00D332F6">
        <w:rPr>
          <w:rFonts w:ascii="Arial" w:hAnsi="Arial" w:cs="Arial"/>
        </w:rPr>
        <w:t xml:space="preserve"> of HCC</w:t>
      </w:r>
      <w:r w:rsidR="00604B5C" w:rsidRPr="00D332F6">
        <w:rPr>
          <w:rFonts w:ascii="Arial" w:hAnsi="Arial" w:cs="Arial"/>
        </w:rPr>
        <w:t xml:space="preserve"> </w:t>
      </w:r>
      <w:r w:rsidR="003074B8" w:rsidRPr="00D332F6">
        <w:rPr>
          <w:rFonts w:ascii="Arial" w:hAnsi="Arial" w:cs="Arial"/>
        </w:rPr>
        <w:t xml:space="preserve">at which screening </w:t>
      </w:r>
      <w:r w:rsidR="00760B0A" w:rsidRPr="00D332F6">
        <w:rPr>
          <w:rFonts w:ascii="Arial" w:hAnsi="Arial" w:cs="Arial"/>
        </w:rPr>
        <w:t>should</w:t>
      </w:r>
      <w:r w:rsidR="00604B5C" w:rsidRPr="00D332F6">
        <w:rPr>
          <w:rFonts w:ascii="Arial" w:hAnsi="Arial" w:cs="Arial"/>
        </w:rPr>
        <w:t xml:space="preserve"> be</w:t>
      </w:r>
      <w:r w:rsidR="003074B8" w:rsidRPr="00D332F6">
        <w:rPr>
          <w:rFonts w:ascii="Arial" w:hAnsi="Arial" w:cs="Arial"/>
        </w:rPr>
        <w:t xml:space="preserve"> avoided.</w:t>
      </w:r>
    </w:p>
    <w:p w14:paraId="68F12FE9" w14:textId="77777777" w:rsidR="00BD59D6" w:rsidRPr="00D332F6" w:rsidRDefault="00BD59D6">
      <w:pPr>
        <w:spacing w:line="360" w:lineRule="auto"/>
        <w:rPr>
          <w:rFonts w:ascii="Arial" w:hAnsi="Arial" w:cs="Arial"/>
        </w:rPr>
      </w:pPr>
    </w:p>
    <w:p w14:paraId="68F12FEA" w14:textId="77777777" w:rsidR="00BD59D6" w:rsidRPr="00D332F6" w:rsidRDefault="009B159E">
      <w:pPr>
        <w:spacing w:line="360" w:lineRule="auto"/>
        <w:rPr>
          <w:rFonts w:ascii="Arial" w:hAnsi="Arial" w:cs="Arial"/>
          <w:b/>
          <w:sz w:val="24"/>
        </w:rPr>
      </w:pPr>
      <w:bookmarkStart w:id="3" w:name="_Hlk65903538"/>
      <w:bookmarkEnd w:id="3"/>
      <w:r w:rsidRPr="00D332F6">
        <w:rPr>
          <w:rFonts w:ascii="Arial" w:hAnsi="Arial" w:cs="Arial"/>
          <w:b/>
          <w:sz w:val="24"/>
        </w:rPr>
        <w:t xml:space="preserve">REFERENCES: </w:t>
      </w:r>
    </w:p>
    <w:p w14:paraId="68F12FEB" w14:textId="77777777" w:rsidR="00BD59D6" w:rsidRPr="00D332F6" w:rsidRDefault="009B159E">
      <w:pPr>
        <w:spacing w:line="360" w:lineRule="auto"/>
        <w:rPr>
          <w:rFonts w:ascii="Arial" w:hAnsi="Arial" w:cs="Arial"/>
        </w:rPr>
      </w:pPr>
      <w:r w:rsidRPr="00D332F6">
        <w:rPr>
          <w:rFonts w:ascii="Arial" w:hAnsi="Arial" w:cs="Arial"/>
        </w:rPr>
        <w:t xml:space="preserve">[1] Carrat F, Fontain H, Dorival C, Simony M, Diallo A, Hezode C, et al. Clinical outcomes in patients with chronic hepatitis C after direct-acting antiviral treatment: a prospective cohort study. Lancet 2019;393:1453-1464. </w:t>
      </w:r>
    </w:p>
    <w:p w14:paraId="68F12FEC" w14:textId="77777777" w:rsidR="00BD59D6" w:rsidRPr="00D332F6" w:rsidRDefault="009B159E">
      <w:pPr>
        <w:spacing w:line="360" w:lineRule="auto"/>
        <w:rPr>
          <w:rFonts w:ascii="Arial" w:hAnsi="Arial" w:cs="Arial"/>
        </w:rPr>
      </w:pPr>
      <w:r w:rsidRPr="00D332F6">
        <w:rPr>
          <w:rFonts w:ascii="Arial" w:hAnsi="Arial" w:cs="Arial"/>
        </w:rPr>
        <w:t xml:space="preserve">[2] McDonald SA, Pollock KG, Barclay ST, Goldberg DJ, Bathgate A, Bramley P, et al. Real-word impact following initiation of interferon-free hepatitis C regimens on liver-related outcomes and all-cause mortality among patients with compensated cirrhosis. J Viral Hepat. 2020;27:270-280. </w:t>
      </w:r>
    </w:p>
    <w:p w14:paraId="68F12FED" w14:textId="329300AB" w:rsidR="00BD59D6" w:rsidRPr="00D332F6" w:rsidRDefault="009B159E">
      <w:pPr>
        <w:spacing w:line="360" w:lineRule="auto"/>
        <w:rPr>
          <w:rFonts w:ascii="Arial" w:hAnsi="Arial" w:cs="Arial"/>
        </w:rPr>
      </w:pPr>
      <w:r w:rsidRPr="00D332F6">
        <w:rPr>
          <w:rFonts w:ascii="Arial" w:hAnsi="Arial" w:cs="Arial"/>
        </w:rPr>
        <w:t>[3] Sahakyan Y, Lee-Kim V, Bremner KE, Bielecki JM, Krahn MD. Impact of direct-acting antiviral regimens on mortality and morbidity outcomes in patients with chronic hepatitis c: Systematic review and meta-analysis. J Viral Hepat. 2021</w:t>
      </w:r>
      <w:r w:rsidR="00F239F3" w:rsidRPr="00D332F6">
        <w:rPr>
          <w:rFonts w:ascii="Arial" w:hAnsi="Arial" w:cs="Arial"/>
        </w:rPr>
        <w:t>;28:739-754.</w:t>
      </w:r>
      <w:r w:rsidRPr="00D332F6">
        <w:rPr>
          <w:rFonts w:ascii="Arial" w:hAnsi="Arial" w:cs="Arial"/>
        </w:rPr>
        <w:t xml:space="preserve"> </w:t>
      </w:r>
    </w:p>
    <w:p w14:paraId="68F12FEE" w14:textId="77777777" w:rsidR="00BD59D6" w:rsidRPr="00D332F6" w:rsidRDefault="009B159E">
      <w:pPr>
        <w:spacing w:line="360" w:lineRule="auto"/>
        <w:rPr>
          <w:rFonts w:ascii="Arial" w:hAnsi="Arial" w:cs="Arial"/>
        </w:rPr>
      </w:pPr>
      <w:r w:rsidRPr="00D332F6">
        <w:rPr>
          <w:rFonts w:ascii="Arial" w:hAnsi="Arial" w:cs="Arial"/>
        </w:rPr>
        <w:t>[4] El-Serag HB, Kanwal F, Richardson P, Kramer J. Risk of hepatocellular carcinoma after sustained virological response in veterans with hepatitis C virus infection. Hepatology. 2016;64:130-7.</w:t>
      </w:r>
    </w:p>
    <w:p w14:paraId="68F12FEF" w14:textId="77777777" w:rsidR="00BD59D6" w:rsidRPr="00D332F6" w:rsidRDefault="009B159E">
      <w:pPr>
        <w:spacing w:line="360" w:lineRule="auto"/>
        <w:rPr>
          <w:rFonts w:ascii="Arial" w:hAnsi="Arial" w:cs="Arial"/>
        </w:rPr>
      </w:pPr>
      <w:r w:rsidRPr="00D332F6">
        <w:rPr>
          <w:rFonts w:ascii="Arial" w:hAnsi="Arial" w:cs="Arial"/>
        </w:rPr>
        <w:t xml:space="preserve">[5] Innes H, Barclay ST, Hayes PC, Fraser A, Dillon JF, Stanley A, et al. The risk of hepatocellular carcinoma in cirrhotic patients with hepatitis C and sustained viral response: Role of the treatment regimen. J hepatol 2018;68:646-654 </w:t>
      </w:r>
    </w:p>
    <w:p w14:paraId="68F12FF0" w14:textId="77777777" w:rsidR="00BD59D6" w:rsidRPr="00D332F6" w:rsidRDefault="009B159E">
      <w:pPr>
        <w:spacing w:line="360" w:lineRule="auto"/>
        <w:rPr>
          <w:rFonts w:ascii="Arial" w:hAnsi="Arial" w:cs="Arial"/>
        </w:rPr>
      </w:pPr>
      <w:r w:rsidRPr="00D332F6">
        <w:rPr>
          <w:rFonts w:ascii="Arial" w:hAnsi="Arial" w:cs="Arial"/>
        </w:rPr>
        <w:t xml:space="preserve"> [6] van der Meer AJ, Feld JJ, Hofer H, Almasio PL, Calvaruso V, Fernandez-Rodriguez CM, et al. Risk of cirrhosis-related complications in patients with advanced fibrosis following hepatitis C virus eradication. J Hepatol. 2017; 66:485-493.</w:t>
      </w:r>
    </w:p>
    <w:p w14:paraId="68F12FF1" w14:textId="77777777" w:rsidR="00BD59D6" w:rsidRPr="00D332F6" w:rsidRDefault="009B159E">
      <w:pPr>
        <w:spacing w:line="360" w:lineRule="auto"/>
        <w:rPr>
          <w:rFonts w:ascii="Arial" w:hAnsi="Arial" w:cs="Arial"/>
        </w:rPr>
      </w:pPr>
      <w:r w:rsidRPr="00D332F6">
        <w:rPr>
          <w:rFonts w:ascii="Arial" w:hAnsi="Arial" w:cs="Arial"/>
        </w:rPr>
        <w:t xml:space="preserve">[7] Ioannou GN, Beste LA, Green PK, Singal AG, Tapper EB, Waljee AK, et al. Increased risk for hepatocellular carcinoma persists up to 10 years after HCV eradication in patients with baseline cirrhosis or high FIB-4 scores. Gastroenterology. 2019;157:1264-1278. </w:t>
      </w:r>
    </w:p>
    <w:p w14:paraId="68F12FF2" w14:textId="77777777" w:rsidR="00BD59D6" w:rsidRPr="00D332F6" w:rsidRDefault="009B159E">
      <w:pPr>
        <w:spacing w:line="360" w:lineRule="auto"/>
        <w:rPr>
          <w:rFonts w:ascii="Arial" w:hAnsi="Arial" w:cs="Arial"/>
        </w:rPr>
      </w:pPr>
      <w:r w:rsidRPr="00D332F6">
        <w:rPr>
          <w:rFonts w:ascii="Arial" w:hAnsi="Arial" w:cs="Arial"/>
        </w:rPr>
        <w:t>[8] Allemani C, Matsuda T, Di Carlo V, Harewood R, Matz M, Niksic M, et al. Global surveillance of trends in cancer survival 2000-2014 (CONCORD-3): analysis of individual records for 37 513025 patients diagnosed with one of 18 cancers from 322 population-based registries in 71 countries. Lancet 2018;391:1023-1075.</w:t>
      </w:r>
    </w:p>
    <w:p w14:paraId="68F12FF3" w14:textId="77777777" w:rsidR="00BD59D6" w:rsidRPr="00D332F6" w:rsidRDefault="009B159E">
      <w:pPr>
        <w:spacing w:line="360" w:lineRule="auto"/>
        <w:rPr>
          <w:rFonts w:ascii="Arial" w:hAnsi="Arial" w:cs="Arial"/>
        </w:rPr>
      </w:pPr>
      <w:r w:rsidRPr="00D332F6">
        <w:rPr>
          <w:rFonts w:ascii="Arial" w:hAnsi="Arial" w:cs="Arial"/>
        </w:rPr>
        <w:t xml:space="preserve">[9] EASL-EORTC clinical practice guidelines: management of hepatocellular carcinoma.. J hepatol. 2012;56:908-943. </w:t>
      </w:r>
    </w:p>
    <w:p w14:paraId="68F12FF4" w14:textId="77777777" w:rsidR="00BD59D6" w:rsidRPr="00D332F6" w:rsidRDefault="009B159E">
      <w:pPr>
        <w:spacing w:line="360" w:lineRule="auto"/>
        <w:rPr>
          <w:rFonts w:ascii="Arial" w:hAnsi="Arial" w:cs="Arial"/>
        </w:rPr>
      </w:pPr>
      <w:r w:rsidRPr="00D332F6">
        <w:rPr>
          <w:rFonts w:ascii="Arial" w:hAnsi="Arial" w:cs="Arial"/>
        </w:rPr>
        <w:t>[10] Heimbach JK, Kulik LM, Finn RS, et al. AASLD guidelines for the treatment of hepatocellular carcinoma. Hepatology 2018;67:358–380.</w:t>
      </w:r>
    </w:p>
    <w:p w14:paraId="68F12FF5" w14:textId="77777777" w:rsidR="00BD59D6" w:rsidRPr="00D332F6" w:rsidRDefault="009B159E">
      <w:pPr>
        <w:spacing w:line="360" w:lineRule="auto"/>
        <w:rPr>
          <w:rFonts w:ascii="Arial" w:hAnsi="Arial" w:cs="Arial"/>
        </w:rPr>
      </w:pPr>
      <w:r w:rsidRPr="00D332F6">
        <w:rPr>
          <w:rFonts w:ascii="Arial" w:hAnsi="Arial" w:cs="Arial"/>
        </w:rPr>
        <w:t>[11] Kanwal F, Singal AG. Surveillance for hepatocellular carcinoma: current best practice and future direction. Gastroenterology. 2019;157:54-64</w:t>
      </w:r>
    </w:p>
    <w:p w14:paraId="68F12FF6" w14:textId="0B31A928" w:rsidR="00BD59D6" w:rsidRPr="00D332F6" w:rsidRDefault="009B159E">
      <w:pPr>
        <w:spacing w:line="360" w:lineRule="auto"/>
        <w:rPr>
          <w:rFonts w:ascii="Arial" w:hAnsi="Arial" w:cs="Arial"/>
        </w:rPr>
      </w:pPr>
      <w:r w:rsidRPr="00D332F6">
        <w:rPr>
          <w:rFonts w:ascii="Arial" w:hAnsi="Arial" w:cs="Arial"/>
        </w:rPr>
        <w:t xml:space="preserve">[12] Fujiwara N, Friedman SL, Goossens N, Hoshida Y. Risk factors and prevention of hepatocellular carcinoma in the era of precision medicine. J </w:t>
      </w:r>
      <w:r w:rsidR="00A300D8" w:rsidRPr="00D332F6">
        <w:rPr>
          <w:rFonts w:ascii="Arial" w:hAnsi="Arial" w:cs="Arial"/>
        </w:rPr>
        <w:t>H</w:t>
      </w:r>
      <w:r w:rsidRPr="00D332F6">
        <w:rPr>
          <w:rFonts w:ascii="Arial" w:hAnsi="Arial" w:cs="Arial"/>
        </w:rPr>
        <w:t>epatol. 2018;68:526-549</w:t>
      </w:r>
    </w:p>
    <w:p w14:paraId="68F12FF7" w14:textId="58BD9B14" w:rsidR="00BD59D6" w:rsidRPr="00D332F6" w:rsidRDefault="009B159E">
      <w:pPr>
        <w:spacing w:line="360" w:lineRule="auto"/>
        <w:rPr>
          <w:rFonts w:ascii="Arial" w:hAnsi="Arial" w:cs="Arial"/>
        </w:rPr>
      </w:pPr>
      <w:r w:rsidRPr="00D332F6">
        <w:rPr>
          <w:rFonts w:ascii="Arial" w:hAnsi="Arial" w:cs="Arial"/>
        </w:rPr>
        <w:t>[13] Fan R, Papatheodoridis G, Sun J, Innes H, Toyoda H, Xie Q, et al. aMAP risk score</w:t>
      </w:r>
      <w:r w:rsidR="00A300D8" w:rsidRPr="00D332F6">
        <w:rPr>
          <w:rFonts w:ascii="Arial" w:hAnsi="Arial" w:cs="Arial"/>
        </w:rPr>
        <w:t xml:space="preserve"> predicts hepatocellular carcinoma development in patients with chronic hepatitis</w:t>
      </w:r>
      <w:r w:rsidRPr="00D332F6">
        <w:rPr>
          <w:rFonts w:ascii="Arial" w:hAnsi="Arial" w:cs="Arial"/>
        </w:rPr>
        <w:t>. J Hepatol. 2020</w:t>
      </w:r>
      <w:r w:rsidR="00A300D8" w:rsidRPr="00D332F6">
        <w:rPr>
          <w:rFonts w:ascii="Arial" w:hAnsi="Arial" w:cs="Arial"/>
        </w:rPr>
        <w:t>;73:1368-1378.</w:t>
      </w:r>
    </w:p>
    <w:p w14:paraId="68F12FF8" w14:textId="77777777" w:rsidR="00BD59D6" w:rsidRPr="00D332F6" w:rsidRDefault="009B159E">
      <w:pPr>
        <w:spacing w:line="360" w:lineRule="auto"/>
        <w:rPr>
          <w:rFonts w:ascii="Arial" w:hAnsi="Arial" w:cs="Arial"/>
        </w:rPr>
      </w:pPr>
      <w:r w:rsidRPr="00D332F6">
        <w:rPr>
          <w:rFonts w:ascii="Arial" w:hAnsi="Arial" w:cs="Arial"/>
        </w:rPr>
        <w:t>[14] Sharma SA, Kowgier M, Hansen BE, Brouwer WP, Maan R, Wong D, et al. Toronto HCC risk index: A validated scoring system to predict 10-year risk of HCC in patients with cirrhosis. J Hepatol. 2018;68:92-99.</w:t>
      </w:r>
    </w:p>
    <w:p w14:paraId="68F12FF9" w14:textId="77777777" w:rsidR="00BD59D6" w:rsidRPr="00D332F6" w:rsidRDefault="009B159E">
      <w:pPr>
        <w:spacing w:line="360" w:lineRule="auto"/>
        <w:rPr>
          <w:rFonts w:ascii="Arial" w:hAnsi="Arial" w:cs="Arial"/>
        </w:rPr>
      </w:pPr>
      <w:r w:rsidRPr="00D332F6">
        <w:rPr>
          <w:rFonts w:ascii="Arial" w:hAnsi="Arial" w:cs="Arial"/>
        </w:rPr>
        <w:t xml:space="preserve">[15] Ioannou GN, Green PK, Beste LA, Mun EJ, Kerr KF, Berry K. Development of models estimating the risk of hepatocellular carcinoma after antiviral treatment for hepatitis C. J Hepatol. 2018;69:1088-1098. </w:t>
      </w:r>
    </w:p>
    <w:p w14:paraId="68F12FFA" w14:textId="77777777" w:rsidR="00BD59D6" w:rsidRPr="00D332F6" w:rsidRDefault="009B159E">
      <w:pPr>
        <w:spacing w:line="360" w:lineRule="auto"/>
        <w:rPr>
          <w:rFonts w:ascii="Arial" w:hAnsi="Arial" w:cs="Arial"/>
        </w:rPr>
      </w:pPr>
      <w:r w:rsidRPr="00D332F6">
        <w:rPr>
          <w:rFonts w:ascii="Arial" w:hAnsi="Arial" w:cs="Arial"/>
        </w:rPr>
        <w:t>[16] Ganne-Carrie N, Layese R, Bourcier V, Cagnot C, Marcellin P, Guyader D, et al. Nomogram for individualised prediction of hepatocellular carcinoma occurrence in hepatitis C virus cirrhosis (ANRS CO12 CirVir). Hepatology. 2016;64:1136-1147.</w:t>
      </w:r>
    </w:p>
    <w:p w14:paraId="68F12FFB" w14:textId="77777777" w:rsidR="00BD59D6" w:rsidRPr="00D332F6" w:rsidRDefault="009B159E">
      <w:pPr>
        <w:spacing w:line="360" w:lineRule="auto"/>
        <w:rPr>
          <w:rFonts w:ascii="Arial" w:hAnsi="Arial" w:cs="Arial"/>
        </w:rPr>
      </w:pPr>
      <w:r w:rsidRPr="00D332F6">
        <w:rPr>
          <w:rFonts w:ascii="Arial" w:hAnsi="Arial" w:cs="Arial"/>
        </w:rPr>
        <w:t>[17] Dongiovanni P, Stender S, Pietrelli A, Mancina RM, Cespiati A, Petta S, et al. Causal relationship of hepatic fat with liver damage and inuslin resistance in non-alcoholic fatty liver. Journal of Internal Medicine. 2018;283:356-370.</w:t>
      </w:r>
    </w:p>
    <w:p w14:paraId="68F12FFC" w14:textId="32807C23" w:rsidR="00BD59D6" w:rsidRPr="00D332F6" w:rsidRDefault="009B159E">
      <w:pPr>
        <w:spacing w:line="360" w:lineRule="auto"/>
        <w:rPr>
          <w:rFonts w:ascii="Arial" w:hAnsi="Arial" w:cs="Arial"/>
        </w:rPr>
      </w:pPr>
      <w:r w:rsidRPr="00D332F6">
        <w:rPr>
          <w:rFonts w:ascii="Arial" w:hAnsi="Arial" w:cs="Arial"/>
        </w:rPr>
        <w:t xml:space="preserve">[18] Degasperi E, Galmozzi E, Pelusi S, D’ambrosio R, Soffredini R, Borghi M. et al. Hepatic fat – genetic risk score predicts hepatocellular carcinoma in patients </w:t>
      </w:r>
      <w:r w:rsidR="00950D0E" w:rsidRPr="00D332F6">
        <w:rPr>
          <w:rFonts w:ascii="Arial" w:hAnsi="Arial" w:cs="Arial"/>
        </w:rPr>
        <w:t xml:space="preserve">with cirrhotic HCV </w:t>
      </w:r>
      <w:r w:rsidRPr="00D332F6">
        <w:rPr>
          <w:rFonts w:ascii="Arial" w:hAnsi="Arial" w:cs="Arial"/>
        </w:rPr>
        <w:t>treated with DAAs. Hepatology. 2020</w:t>
      </w:r>
      <w:r w:rsidR="00950D0E" w:rsidRPr="00D332F6">
        <w:rPr>
          <w:rFonts w:ascii="Arial" w:hAnsi="Arial" w:cs="Arial"/>
        </w:rPr>
        <w:t>;72:1912-1923.</w:t>
      </w:r>
    </w:p>
    <w:p w14:paraId="68F12FFD" w14:textId="63F14CA9" w:rsidR="00BD59D6" w:rsidRPr="00D332F6" w:rsidRDefault="009B159E">
      <w:pPr>
        <w:spacing w:line="360" w:lineRule="auto"/>
        <w:rPr>
          <w:rFonts w:ascii="Arial" w:hAnsi="Arial" w:cs="Arial"/>
        </w:rPr>
      </w:pPr>
      <w:r w:rsidRPr="00D332F6">
        <w:rPr>
          <w:rFonts w:ascii="Arial" w:hAnsi="Arial" w:cs="Arial"/>
        </w:rPr>
        <w:t>[19] Gellert-Kristensen H, Richardson TG, Davey-Smith G, Nordestgaard BG, Tybjaerg-Hansen A, Stender S. Combined effect of PNPLA3, TM6SF2 and HSD17B13 variants on risk of cirrhosis and hepatocellular carcinoma in the general population. Hepatology. 2020</w:t>
      </w:r>
      <w:r w:rsidR="00950D0E" w:rsidRPr="00D332F6">
        <w:rPr>
          <w:rFonts w:ascii="Arial" w:hAnsi="Arial" w:cs="Arial"/>
        </w:rPr>
        <w:t>;72:845-856.</w:t>
      </w:r>
    </w:p>
    <w:p w14:paraId="68F12FFE" w14:textId="77777777" w:rsidR="00BD59D6" w:rsidRPr="00D332F6" w:rsidRDefault="009B159E">
      <w:pPr>
        <w:spacing w:line="360" w:lineRule="auto"/>
        <w:rPr>
          <w:rFonts w:ascii="Arial" w:hAnsi="Arial" w:cs="Arial"/>
        </w:rPr>
      </w:pPr>
      <w:r w:rsidRPr="00D332F6">
        <w:rPr>
          <w:rFonts w:ascii="Arial" w:hAnsi="Arial" w:cs="Arial"/>
        </w:rPr>
        <w:t>[20] Trepo E, Romeo S, Zucman-Rossi J, Nahon P. PNPLA3 gene in liver diseases. J Hepatol. 2016;399-412.</w:t>
      </w:r>
    </w:p>
    <w:p w14:paraId="68F13000" w14:textId="121C8E6D" w:rsidR="00BD59D6" w:rsidRPr="00D332F6" w:rsidRDefault="009B159E">
      <w:pPr>
        <w:spacing w:line="360" w:lineRule="auto"/>
        <w:rPr>
          <w:rFonts w:ascii="Arial" w:hAnsi="Arial" w:cs="Arial"/>
        </w:rPr>
      </w:pPr>
      <w:r w:rsidRPr="00D332F6">
        <w:rPr>
          <w:rFonts w:ascii="Arial" w:hAnsi="Arial" w:cs="Arial"/>
        </w:rPr>
        <w:t xml:space="preserve">[21] Moons KGM, Altman DG, Reitsma JB, Ioannidis JPA, Macaskill P, Steyerberg EW, et al. Transparent reporting of a multivariable prediction model for individual prognosis or diagnosis (TRIPOD): explanation and elaboration. Ann Intern Med. 2015;162:W1-73. </w:t>
      </w:r>
    </w:p>
    <w:p w14:paraId="68F13001" w14:textId="77777777" w:rsidR="00BD59D6" w:rsidRPr="00D332F6" w:rsidRDefault="009B159E">
      <w:pPr>
        <w:spacing w:line="360" w:lineRule="auto"/>
        <w:rPr>
          <w:rFonts w:ascii="Arial" w:hAnsi="Arial" w:cs="Arial"/>
        </w:rPr>
      </w:pPr>
      <w:r w:rsidRPr="00D332F6">
        <w:rPr>
          <w:rFonts w:ascii="Arial" w:hAnsi="Arial" w:cs="Arial"/>
        </w:rPr>
        <w:t>[22] Collin GS, de Groot JA; Dutton S, Omar O, Shanyinde M, Tajar A, et al. External validation of multivariable prediction models: a systematic review of methodological conduct and reporting. BMC Med Res Methodol. 2014;14:40.</w:t>
      </w:r>
      <w:r w:rsidRPr="00D332F6">
        <w:rPr>
          <w:rFonts w:ascii="Arial" w:hAnsi="Arial" w:cs="Arial"/>
          <w:color w:val="212121"/>
        </w:rPr>
        <w:t> </w:t>
      </w:r>
      <w:r w:rsidRPr="00D332F6">
        <w:rPr>
          <w:rStyle w:val="citation-doi"/>
          <w:rFonts w:ascii="Arial" w:hAnsi="Arial" w:cs="Arial"/>
        </w:rPr>
        <w:t>doi: 10.1186/1471-2288-14-40.</w:t>
      </w:r>
    </w:p>
    <w:p w14:paraId="68F13002" w14:textId="77777777" w:rsidR="00BD59D6" w:rsidRPr="00D332F6" w:rsidRDefault="009B159E">
      <w:pPr>
        <w:spacing w:line="360" w:lineRule="auto"/>
        <w:rPr>
          <w:rFonts w:ascii="Arial" w:hAnsi="Arial" w:cs="Arial"/>
        </w:rPr>
      </w:pPr>
      <w:r w:rsidRPr="00D332F6">
        <w:rPr>
          <w:rStyle w:val="citation-doi"/>
          <w:rFonts w:ascii="Arial" w:hAnsi="Arial" w:cs="Arial"/>
        </w:rPr>
        <w:t xml:space="preserve">[23] D’Amico G, Garcia-Tsao G, Pagliaro L. Natural history and prognostic indicators of survival in cirrhosis: a systematic review of 118 studies. J Hepatol. 2006;44:217-31. </w:t>
      </w:r>
    </w:p>
    <w:p w14:paraId="68F13003" w14:textId="77777777" w:rsidR="00BD59D6" w:rsidRPr="00D332F6" w:rsidRDefault="009B159E">
      <w:pPr>
        <w:spacing w:line="360" w:lineRule="auto"/>
        <w:rPr>
          <w:rFonts w:ascii="Arial" w:hAnsi="Arial" w:cs="Arial"/>
        </w:rPr>
      </w:pPr>
      <w:r w:rsidRPr="00D332F6">
        <w:rPr>
          <w:rStyle w:val="citation-doi"/>
          <w:rFonts w:ascii="Arial" w:hAnsi="Arial" w:cs="Arial"/>
        </w:rPr>
        <w:t xml:space="preserve">[24] Hong CY, Sinn DH, Kang D, Paik SW, Guallar E, Cho J, Gwak GY. Incidence of extrahepatic cancers among individuals with chronic hepatitis B or C virus infection: A nationwide cohort study. J viral Hepat. 2020;27:896-903. </w:t>
      </w:r>
    </w:p>
    <w:p w14:paraId="68F13004" w14:textId="77777777" w:rsidR="00BD59D6" w:rsidRPr="00D332F6" w:rsidRDefault="009B159E">
      <w:pPr>
        <w:spacing w:line="360" w:lineRule="auto"/>
        <w:rPr>
          <w:rFonts w:ascii="Arial" w:hAnsi="Arial" w:cs="Arial"/>
        </w:rPr>
      </w:pPr>
      <w:r w:rsidRPr="00D332F6">
        <w:rPr>
          <w:rFonts w:ascii="Arial" w:hAnsi="Arial" w:cs="Arial"/>
        </w:rPr>
        <w:t>[25] Jepsen P, Vilstrup V, Andersen PK. The clinical course of cirrhosis: the importance of multistate models and competing risks analysis. Hepatology. 2015;62:2922-302.</w:t>
      </w:r>
    </w:p>
    <w:p w14:paraId="68F13005" w14:textId="4C824650" w:rsidR="00BD59D6" w:rsidRPr="00D332F6" w:rsidRDefault="009B159E">
      <w:pPr>
        <w:spacing w:line="360" w:lineRule="auto"/>
        <w:rPr>
          <w:rFonts w:ascii="Arial" w:hAnsi="Arial" w:cs="Arial"/>
        </w:rPr>
      </w:pPr>
      <w:r w:rsidRPr="00D332F6">
        <w:rPr>
          <w:rFonts w:ascii="Arial" w:hAnsi="Arial" w:cs="Arial"/>
        </w:rPr>
        <w:t>[26] McDonald SA, Hutchinson SJ, Innes HA, Allen S, Bramley P, Bhattacharyya, et al. Attendance at specialist hepatitis clinics and initiation of antiviral treatment among persons chronically infected with hepatitis C: examining the early impact of Scotland’s hepatitis C action plan.</w:t>
      </w:r>
      <w:r w:rsidR="00950D0E" w:rsidRPr="00D332F6">
        <w:rPr>
          <w:rFonts w:ascii="Arial" w:hAnsi="Arial" w:cs="Arial"/>
        </w:rPr>
        <w:t xml:space="preserve"> J Viral Hepat. 2014;21:366-76.</w:t>
      </w:r>
    </w:p>
    <w:p w14:paraId="68F13006" w14:textId="5B2A6906" w:rsidR="00BD59D6" w:rsidRPr="00D332F6" w:rsidRDefault="009B159E">
      <w:pPr>
        <w:spacing w:line="360" w:lineRule="auto"/>
        <w:rPr>
          <w:rFonts w:ascii="Arial" w:hAnsi="Arial" w:cs="Arial"/>
        </w:rPr>
      </w:pPr>
      <w:r w:rsidRPr="00D332F6">
        <w:rPr>
          <w:rFonts w:ascii="Arial" w:hAnsi="Arial" w:cs="Arial"/>
        </w:rPr>
        <w:t>[27] McDonald SA, Innes HA, Hayes PC, Dillon JF, Mills PR, Goldberg DJ, et al. What is the impact of a country-wide scale-up in antiviral therapy on the characteristics and sustained viral response rates of patients treated for hepatitis C? J Hepatol. 2015;62:262-268.</w:t>
      </w:r>
    </w:p>
    <w:p w14:paraId="050BF68E" w14:textId="406340FF" w:rsidR="001C0855" w:rsidRPr="00D332F6" w:rsidRDefault="001C0855">
      <w:pPr>
        <w:spacing w:line="360" w:lineRule="auto"/>
        <w:rPr>
          <w:rFonts w:ascii="Arial" w:hAnsi="Arial" w:cs="Arial"/>
        </w:rPr>
      </w:pPr>
      <w:r w:rsidRPr="00D332F6">
        <w:rPr>
          <w:rFonts w:ascii="Arial" w:hAnsi="Arial" w:cs="Arial"/>
        </w:rPr>
        <w:t xml:space="preserve">[28] </w:t>
      </w:r>
      <w:r w:rsidR="001074FB" w:rsidRPr="00D332F6">
        <w:rPr>
          <w:rFonts w:ascii="Arial" w:hAnsi="Arial" w:cs="Arial"/>
        </w:rPr>
        <w:t xml:space="preserve">Suissa S. Immortal time bias in pharmaco-epidemiology. Am J Epidemiol. 2008;167:492-9. </w:t>
      </w:r>
    </w:p>
    <w:p w14:paraId="68F13007" w14:textId="1AA092C0" w:rsidR="00BD59D6" w:rsidRPr="00D332F6" w:rsidRDefault="009B159E">
      <w:pPr>
        <w:spacing w:line="360" w:lineRule="auto"/>
        <w:rPr>
          <w:rFonts w:ascii="Arial" w:hAnsi="Arial" w:cs="Arial"/>
        </w:rPr>
      </w:pPr>
      <w:r w:rsidRPr="00D332F6">
        <w:rPr>
          <w:rFonts w:ascii="Arial" w:hAnsi="Arial" w:cs="Arial"/>
        </w:rPr>
        <w:t>[2</w:t>
      </w:r>
      <w:r w:rsidR="001074FB" w:rsidRPr="00D332F6">
        <w:rPr>
          <w:rFonts w:ascii="Arial" w:hAnsi="Arial" w:cs="Arial"/>
        </w:rPr>
        <w:t>9</w:t>
      </w:r>
      <w:r w:rsidRPr="00D332F6">
        <w:rPr>
          <w:rFonts w:ascii="Arial" w:hAnsi="Arial" w:cs="Arial"/>
        </w:rPr>
        <w:t xml:space="preserve">] Sterne JAC, White IR, Carlin JB, Spratt M, Royston P, Kenward MG, et al. Multiple imputation for missing data in epidemiological and clinical research: potential and pitfalls. BMJ. 2009;338:B2393. </w:t>
      </w:r>
    </w:p>
    <w:p w14:paraId="1D2A8986" w14:textId="09312763" w:rsidR="00196A17" w:rsidRPr="00D332F6" w:rsidRDefault="00196A17">
      <w:pPr>
        <w:spacing w:line="360" w:lineRule="auto"/>
        <w:rPr>
          <w:rFonts w:ascii="Arial" w:hAnsi="Arial" w:cs="Arial"/>
        </w:rPr>
      </w:pPr>
      <w:r w:rsidRPr="00D332F6">
        <w:rPr>
          <w:rFonts w:ascii="Arial" w:hAnsi="Arial" w:cs="Arial"/>
          <w:color w:val="333333"/>
          <w:shd w:val="clear" w:color="auto" w:fill="FFFFFF"/>
        </w:rPr>
        <w:t>[30] Rubin D. </w:t>
      </w:r>
      <w:r w:rsidRPr="00D332F6">
        <w:rPr>
          <w:rStyle w:val="cit-source"/>
          <w:rFonts w:ascii="Arial" w:hAnsi="Arial" w:cs="Arial"/>
          <w:iCs/>
          <w:color w:val="333333"/>
          <w:bdr w:val="none" w:sz="0" w:space="0" w:color="auto" w:frame="1"/>
          <w:shd w:val="clear" w:color="auto" w:fill="FFFFFF"/>
        </w:rPr>
        <w:t>Multiple imputation for nonresponse in surveys</w:t>
      </w:r>
      <w:r w:rsidRPr="00D332F6">
        <w:rPr>
          <w:rFonts w:ascii="Arial" w:hAnsi="Arial" w:cs="Arial"/>
          <w:color w:val="333333"/>
          <w:shd w:val="clear" w:color="auto" w:fill="FFFFFF"/>
        </w:rPr>
        <w:t>. New York: Wiley, </w:t>
      </w:r>
      <w:r w:rsidRPr="00D332F6">
        <w:rPr>
          <w:rStyle w:val="cit-pub-date"/>
          <w:rFonts w:ascii="Arial" w:hAnsi="Arial" w:cs="Arial"/>
          <w:color w:val="333333"/>
          <w:bdr w:val="none" w:sz="0" w:space="0" w:color="auto" w:frame="1"/>
          <w:shd w:val="clear" w:color="auto" w:fill="FFFFFF"/>
        </w:rPr>
        <w:t>1987</w:t>
      </w:r>
      <w:r w:rsidRPr="00D332F6">
        <w:rPr>
          <w:rFonts w:ascii="Arial" w:hAnsi="Arial" w:cs="Arial"/>
          <w:color w:val="333333"/>
          <w:shd w:val="clear" w:color="auto" w:fill="FFFFFF"/>
        </w:rPr>
        <w:t>.</w:t>
      </w:r>
    </w:p>
    <w:p w14:paraId="68F13008" w14:textId="5D15F85E" w:rsidR="00BD59D6" w:rsidRPr="00D332F6" w:rsidRDefault="009B159E">
      <w:pPr>
        <w:spacing w:line="360" w:lineRule="auto"/>
        <w:rPr>
          <w:rFonts w:ascii="Arial" w:hAnsi="Arial" w:cs="Arial"/>
        </w:rPr>
      </w:pPr>
      <w:r w:rsidRPr="00D332F6">
        <w:rPr>
          <w:rFonts w:ascii="Arial" w:hAnsi="Arial" w:cs="Arial"/>
        </w:rPr>
        <w:t>[</w:t>
      </w:r>
      <w:r w:rsidR="001074FB" w:rsidRPr="00D332F6">
        <w:rPr>
          <w:rFonts w:ascii="Arial" w:hAnsi="Arial" w:cs="Arial"/>
        </w:rPr>
        <w:t>3</w:t>
      </w:r>
      <w:r w:rsidR="00B900D4" w:rsidRPr="00D332F6">
        <w:rPr>
          <w:rFonts w:ascii="Arial" w:hAnsi="Arial" w:cs="Arial"/>
        </w:rPr>
        <w:t>1</w:t>
      </w:r>
      <w:r w:rsidRPr="00D332F6">
        <w:rPr>
          <w:rFonts w:ascii="Arial" w:hAnsi="Arial" w:cs="Arial"/>
        </w:rPr>
        <w:t>] Enzo Coviello, 2003. "</w:t>
      </w:r>
      <w:hyperlink r:id="rId17">
        <w:r w:rsidRPr="00D332F6">
          <w:rPr>
            <w:rStyle w:val="InternetLink"/>
            <w:rFonts w:ascii="Arial" w:hAnsi="Arial" w:cs="Arial"/>
            <w:bCs/>
            <w:color w:val="00000A"/>
            <w:u w:val="none"/>
          </w:rPr>
          <w:t>STCOMPET: Stata module to generate cumulative incidence in presence of competing events</w:t>
        </w:r>
      </w:hyperlink>
      <w:r w:rsidRPr="00D332F6">
        <w:rPr>
          <w:rFonts w:ascii="Arial" w:hAnsi="Arial" w:cs="Arial"/>
        </w:rPr>
        <w:t>," </w:t>
      </w:r>
      <w:hyperlink r:id="rId18">
        <w:r w:rsidRPr="00D332F6">
          <w:rPr>
            <w:rStyle w:val="InternetLink"/>
            <w:rFonts w:ascii="Arial" w:hAnsi="Arial" w:cs="Arial"/>
            <w:color w:val="00000A"/>
            <w:u w:val="none"/>
          </w:rPr>
          <w:t>Statistical Software Components</w:t>
        </w:r>
      </w:hyperlink>
      <w:r w:rsidRPr="00D332F6">
        <w:rPr>
          <w:rFonts w:ascii="Arial" w:hAnsi="Arial" w:cs="Arial"/>
        </w:rPr>
        <w:t> S431301, Boston College Department of Economics, revised 11 Nov 2012.</w:t>
      </w:r>
    </w:p>
    <w:p w14:paraId="2EE6061E" w14:textId="00B2BA6B" w:rsidR="00373B0B" w:rsidRPr="00D332F6" w:rsidRDefault="00373B0B">
      <w:pPr>
        <w:spacing w:line="360" w:lineRule="auto"/>
        <w:rPr>
          <w:rFonts w:ascii="Arial" w:hAnsi="Arial" w:cs="Arial"/>
        </w:rPr>
      </w:pPr>
      <w:r w:rsidRPr="00D332F6">
        <w:rPr>
          <w:rFonts w:ascii="Arial" w:hAnsi="Arial" w:cs="Arial"/>
        </w:rPr>
        <w:t>[32] Pencina MJ, D’Agostino RB, Song L. Quantifying discrimination of Framingham risk functions with different survival C statistics. Stat Med. 2012;31:1543-53.</w:t>
      </w:r>
    </w:p>
    <w:p w14:paraId="68F13009" w14:textId="083FB429" w:rsidR="00BD59D6" w:rsidRPr="00D332F6" w:rsidRDefault="009B159E">
      <w:pPr>
        <w:spacing w:line="360" w:lineRule="auto"/>
        <w:rPr>
          <w:rFonts w:ascii="Arial" w:hAnsi="Arial" w:cs="Arial"/>
        </w:rPr>
      </w:pPr>
      <w:r w:rsidRPr="00D332F6">
        <w:rPr>
          <w:rFonts w:ascii="Arial" w:hAnsi="Arial" w:cs="Arial"/>
        </w:rPr>
        <w:t>[3</w:t>
      </w:r>
      <w:r w:rsidR="003C2A64" w:rsidRPr="00D332F6">
        <w:rPr>
          <w:rFonts w:ascii="Arial" w:hAnsi="Arial" w:cs="Arial"/>
        </w:rPr>
        <w:t>3</w:t>
      </w:r>
      <w:r w:rsidRPr="00D332F6">
        <w:rPr>
          <w:rFonts w:ascii="Arial" w:hAnsi="Arial" w:cs="Arial"/>
        </w:rPr>
        <w:t>] Wolbers M, Koller MT, Witteman JCM, Steyerberg EW. Prognostic models with competing risks. Methods and application to coronary risk prediction. Epidemiology. 2009;20:555-561.</w:t>
      </w:r>
    </w:p>
    <w:p w14:paraId="68F1300A" w14:textId="4424CBC7" w:rsidR="00BD59D6" w:rsidRPr="00D332F6" w:rsidRDefault="009B159E">
      <w:pPr>
        <w:shd w:val="clear" w:color="auto" w:fill="FFFFFF"/>
        <w:spacing w:line="360" w:lineRule="auto"/>
        <w:rPr>
          <w:rFonts w:ascii="Arial" w:hAnsi="Arial" w:cs="Arial"/>
        </w:rPr>
      </w:pPr>
      <w:r w:rsidRPr="00D332F6">
        <w:rPr>
          <w:rFonts w:ascii="Arial" w:hAnsi="Arial" w:cs="Arial"/>
        </w:rPr>
        <w:t>[3</w:t>
      </w:r>
      <w:r w:rsidR="003C2A64" w:rsidRPr="00D332F6">
        <w:rPr>
          <w:rFonts w:ascii="Arial" w:hAnsi="Arial" w:cs="Arial"/>
        </w:rPr>
        <w:t>4</w:t>
      </w:r>
      <w:r w:rsidRPr="00D332F6">
        <w:rPr>
          <w:rFonts w:ascii="Arial" w:hAnsi="Arial" w:cs="Arial"/>
        </w:rPr>
        <w:t xml:space="preserve">] Royston P, Altman DG. External validation of a Cox prognostic model: principles and methods. BMC Med Res Methodol. 2013;13:33. </w:t>
      </w:r>
    </w:p>
    <w:p w14:paraId="68F1300B" w14:textId="6C19A8D6" w:rsidR="00BD59D6" w:rsidRPr="00D332F6" w:rsidRDefault="009B159E">
      <w:pPr>
        <w:spacing w:line="360" w:lineRule="auto"/>
        <w:rPr>
          <w:rFonts w:ascii="Arial" w:hAnsi="Arial" w:cs="Arial"/>
        </w:rPr>
      </w:pPr>
      <w:r w:rsidRPr="00D332F6">
        <w:rPr>
          <w:rFonts w:ascii="Arial" w:hAnsi="Arial" w:cs="Arial"/>
        </w:rPr>
        <w:t>[3</w:t>
      </w:r>
      <w:r w:rsidR="003C2A64" w:rsidRPr="00D332F6">
        <w:rPr>
          <w:rFonts w:ascii="Arial" w:hAnsi="Arial" w:cs="Arial"/>
        </w:rPr>
        <w:t>5</w:t>
      </w:r>
      <w:r w:rsidRPr="00D332F6">
        <w:rPr>
          <w:rFonts w:ascii="Arial" w:hAnsi="Arial" w:cs="Arial"/>
        </w:rPr>
        <w:t xml:space="preserve">] Asselah T, Rubia-Brandt L, Marcellin P, Negro F. Steatosis in chronic hepatitis C: why does it really matter. Gut 2006;55:123-130. </w:t>
      </w:r>
    </w:p>
    <w:p w14:paraId="68F1300C" w14:textId="50E4D175" w:rsidR="00BD59D6" w:rsidRPr="00D332F6" w:rsidRDefault="009B159E">
      <w:pPr>
        <w:spacing w:line="360" w:lineRule="auto"/>
        <w:rPr>
          <w:rFonts w:ascii="Arial" w:hAnsi="Arial" w:cs="Arial"/>
        </w:rPr>
      </w:pPr>
      <w:r w:rsidRPr="00D332F6">
        <w:rPr>
          <w:rFonts w:ascii="Arial" w:hAnsi="Arial" w:cs="Arial"/>
        </w:rPr>
        <w:t>[3</w:t>
      </w:r>
      <w:r w:rsidR="003C2A64" w:rsidRPr="00D332F6">
        <w:rPr>
          <w:rFonts w:ascii="Arial" w:hAnsi="Arial" w:cs="Arial"/>
        </w:rPr>
        <w:t>6</w:t>
      </w:r>
      <w:r w:rsidRPr="00D332F6">
        <w:rPr>
          <w:rFonts w:ascii="Arial" w:hAnsi="Arial" w:cs="Arial"/>
        </w:rPr>
        <w:t xml:space="preserve">] Mihm S, Fayyazi, Hartmann H, Ramadori G. Analysis of histopathological manifestations of chronic hepatitis C virus infection with respect to virus genotype. Hepatology. 1997;25:735-9. </w:t>
      </w:r>
    </w:p>
    <w:p w14:paraId="68F1300E" w14:textId="5AEC3A63" w:rsidR="00BD59D6" w:rsidRPr="00D332F6" w:rsidRDefault="009B159E">
      <w:pPr>
        <w:spacing w:line="360" w:lineRule="auto"/>
        <w:rPr>
          <w:rFonts w:ascii="Arial" w:hAnsi="Arial" w:cs="Arial"/>
        </w:rPr>
      </w:pPr>
      <w:r w:rsidRPr="00D332F6">
        <w:rPr>
          <w:rFonts w:ascii="Arial" w:hAnsi="Arial" w:cs="Arial"/>
        </w:rPr>
        <w:t>[3</w:t>
      </w:r>
      <w:r w:rsidR="003C2A64" w:rsidRPr="00D332F6">
        <w:rPr>
          <w:rFonts w:ascii="Arial" w:hAnsi="Arial" w:cs="Arial"/>
        </w:rPr>
        <w:t>7</w:t>
      </w:r>
      <w:r w:rsidRPr="00D332F6">
        <w:rPr>
          <w:rFonts w:ascii="Arial" w:hAnsi="Arial" w:cs="Arial"/>
        </w:rPr>
        <w:t>] Altman DG, Royston P. The cost of dichotomising continuous variables. BMJ. 2006;332:1080.</w:t>
      </w:r>
    </w:p>
    <w:p w14:paraId="5B64EB0A" w14:textId="218E015A" w:rsidR="00831296" w:rsidRPr="00D332F6" w:rsidRDefault="00831296">
      <w:pPr>
        <w:spacing w:line="360" w:lineRule="auto"/>
        <w:rPr>
          <w:rFonts w:ascii="Arial" w:hAnsi="Arial" w:cs="Arial"/>
        </w:rPr>
      </w:pPr>
      <w:r w:rsidRPr="00D332F6">
        <w:rPr>
          <w:rFonts w:ascii="Arial" w:hAnsi="Arial" w:cs="Arial"/>
        </w:rPr>
        <w:t>[3</w:t>
      </w:r>
      <w:r w:rsidR="003C2A64" w:rsidRPr="00D332F6">
        <w:rPr>
          <w:rFonts w:ascii="Arial" w:hAnsi="Arial" w:cs="Arial"/>
        </w:rPr>
        <w:t>8</w:t>
      </w:r>
      <w:r w:rsidRPr="00D332F6">
        <w:rPr>
          <w:rFonts w:ascii="Arial" w:hAnsi="Arial" w:cs="Arial"/>
        </w:rPr>
        <w:t xml:space="preserve">] Innes H, Goldberg D, Dusheiko G, Hayes P, Mills PR, Dillon JF, et al. Patient-important benefits of clearing the hepatitis C virus through treatment: a simulation model. J Hepatol. 2014;60:1118-26. </w:t>
      </w:r>
    </w:p>
    <w:p w14:paraId="68F13011" w14:textId="69303037" w:rsidR="00BD59D6" w:rsidRPr="00D332F6" w:rsidRDefault="009B159E">
      <w:pPr>
        <w:spacing w:line="360" w:lineRule="auto"/>
        <w:rPr>
          <w:rFonts w:ascii="Arial" w:hAnsi="Arial" w:cs="Arial"/>
        </w:rPr>
      </w:pPr>
      <w:r w:rsidRPr="00D332F6">
        <w:rPr>
          <w:rFonts w:ascii="Arial" w:hAnsi="Arial" w:cs="Arial"/>
        </w:rPr>
        <w:t>[3</w:t>
      </w:r>
      <w:r w:rsidR="003C2A64" w:rsidRPr="00D332F6">
        <w:rPr>
          <w:rFonts w:ascii="Arial" w:hAnsi="Arial" w:cs="Arial"/>
        </w:rPr>
        <w:t>9</w:t>
      </w:r>
      <w:r w:rsidRPr="00D332F6">
        <w:rPr>
          <w:rFonts w:ascii="Arial" w:hAnsi="Arial" w:cs="Arial"/>
        </w:rPr>
        <w:t xml:space="preserve">] Pons M, Rodriguez-Tajes S, Esteban JI, Marino Z; Vargas V; Lens S; et al. Non-invasive prediction of liver-related events in patients with HCV-associated compensated advanced chronic liver disease after oral antivirals. J Hepatol. 2020;72:472-480. </w:t>
      </w:r>
    </w:p>
    <w:p w14:paraId="68F13012" w14:textId="5293C5E8" w:rsidR="00BD59D6" w:rsidRPr="00D332F6" w:rsidRDefault="009B159E">
      <w:pPr>
        <w:spacing w:line="360" w:lineRule="auto"/>
        <w:rPr>
          <w:rFonts w:ascii="Arial" w:hAnsi="Arial" w:cs="Arial"/>
        </w:rPr>
      </w:pPr>
      <w:r w:rsidRPr="00D332F6">
        <w:rPr>
          <w:rFonts w:ascii="Arial" w:hAnsi="Arial" w:cs="Arial"/>
        </w:rPr>
        <w:t>[</w:t>
      </w:r>
      <w:r w:rsidR="003C2A64" w:rsidRPr="00D332F6">
        <w:rPr>
          <w:rFonts w:ascii="Arial" w:hAnsi="Arial" w:cs="Arial"/>
        </w:rPr>
        <w:t>40</w:t>
      </w:r>
      <w:r w:rsidRPr="00D332F6">
        <w:rPr>
          <w:rFonts w:ascii="Arial" w:hAnsi="Arial" w:cs="Arial"/>
        </w:rPr>
        <w:t>] Audureau E, Carrat F, Layese R, Cagnot C, Asselah T, Guyader D, et al. Personalised surveillance for hepatocellular carcinoma in cirrhosis- using machine learning adapted to HCV status. J Hepatol. 2020;73;1434-1445</w:t>
      </w:r>
    </w:p>
    <w:p w14:paraId="68F13013" w14:textId="56807E23" w:rsidR="00BD59D6" w:rsidRPr="00D332F6" w:rsidRDefault="009B159E">
      <w:pPr>
        <w:spacing w:line="360" w:lineRule="auto"/>
        <w:rPr>
          <w:rFonts w:ascii="Arial" w:hAnsi="Arial" w:cs="Arial"/>
        </w:rPr>
      </w:pPr>
      <w:r w:rsidRPr="00D332F6">
        <w:rPr>
          <w:rFonts w:ascii="Arial" w:hAnsi="Arial" w:cs="Arial"/>
        </w:rPr>
        <w:t>[</w:t>
      </w:r>
      <w:r w:rsidR="003C2A64" w:rsidRPr="00D332F6">
        <w:rPr>
          <w:rFonts w:ascii="Arial" w:hAnsi="Arial" w:cs="Arial"/>
        </w:rPr>
        <w:t>41</w:t>
      </w:r>
      <w:r w:rsidRPr="00D332F6">
        <w:rPr>
          <w:rFonts w:ascii="Arial" w:hAnsi="Arial" w:cs="Arial"/>
        </w:rPr>
        <w:t>] Lopez SA, Manzano ML, Gea F, Gutierrez ML, Ahumada AM, Devesa MJ, et al. A model based on noninvasvie markers predicts very low hepatocellular carcinoma risk after viral response in hepatitis C virus-advanced fibrosis. Hepatology. 2020;72:1924-1934.</w:t>
      </w:r>
    </w:p>
    <w:p w14:paraId="68F13014" w14:textId="77777777" w:rsidR="00BD59D6" w:rsidRPr="00D332F6" w:rsidRDefault="00BD59D6">
      <w:pPr>
        <w:spacing w:line="360" w:lineRule="auto"/>
        <w:rPr>
          <w:rFonts w:ascii="Arial" w:hAnsi="Arial" w:cs="Arial"/>
        </w:rPr>
      </w:pPr>
    </w:p>
    <w:p w14:paraId="68F13016" w14:textId="2325D426" w:rsidR="00BD59D6" w:rsidRPr="00D332F6" w:rsidRDefault="009B159E">
      <w:pPr>
        <w:spacing w:line="360" w:lineRule="auto"/>
        <w:rPr>
          <w:rFonts w:ascii="Arial" w:hAnsi="Arial" w:cs="Arial"/>
          <w:b/>
        </w:rPr>
      </w:pPr>
      <w:r w:rsidRPr="00D332F6">
        <w:rPr>
          <w:rFonts w:ascii="Arial" w:hAnsi="Arial" w:cs="Arial"/>
          <w:b/>
          <w:sz w:val="24"/>
        </w:rPr>
        <w:t>TABLE AND FIGURE LEGENDS</w:t>
      </w:r>
    </w:p>
    <w:p w14:paraId="68F13019" w14:textId="40670F5C" w:rsidR="00BD59D6" w:rsidRPr="00D332F6" w:rsidRDefault="009B159E">
      <w:pPr>
        <w:spacing w:line="360" w:lineRule="auto"/>
        <w:rPr>
          <w:rFonts w:ascii="Arial" w:hAnsi="Arial" w:cs="Arial"/>
        </w:rPr>
      </w:pPr>
      <w:r w:rsidRPr="00D332F6">
        <w:rPr>
          <w:rFonts w:ascii="Arial" w:hAnsi="Arial" w:cs="Arial"/>
        </w:rPr>
        <w:t xml:space="preserve">Table </w:t>
      </w:r>
      <w:r w:rsidR="00776DAE" w:rsidRPr="00D332F6">
        <w:rPr>
          <w:rFonts w:ascii="Arial" w:hAnsi="Arial" w:cs="Arial"/>
        </w:rPr>
        <w:t>1</w:t>
      </w:r>
      <w:r w:rsidRPr="00D332F6">
        <w:rPr>
          <w:rFonts w:ascii="Arial" w:hAnsi="Arial" w:cs="Arial"/>
        </w:rPr>
        <w:t xml:space="preserve">:  Description of </w:t>
      </w:r>
      <w:r w:rsidR="007971A1" w:rsidRPr="00D332F6">
        <w:rPr>
          <w:rFonts w:ascii="Arial" w:hAnsi="Arial" w:cs="Arial"/>
        </w:rPr>
        <w:t>t</w:t>
      </w:r>
      <w:r w:rsidRPr="00D332F6">
        <w:rPr>
          <w:rFonts w:ascii="Arial" w:hAnsi="Arial" w:cs="Arial"/>
        </w:rPr>
        <w:t>he Scottish and STOP-HCV cohorts at treatment initiation.</w:t>
      </w:r>
    </w:p>
    <w:p w14:paraId="68F1301B" w14:textId="34604485" w:rsidR="00BD59D6" w:rsidRPr="00D332F6" w:rsidRDefault="009B159E">
      <w:pPr>
        <w:spacing w:line="360" w:lineRule="auto"/>
        <w:rPr>
          <w:rFonts w:ascii="Arial" w:hAnsi="Arial" w:cs="Arial"/>
        </w:rPr>
      </w:pPr>
      <w:r w:rsidRPr="00D332F6">
        <w:rPr>
          <w:rFonts w:ascii="Arial" w:hAnsi="Arial" w:cs="Arial"/>
        </w:rPr>
        <w:t xml:space="preserve">Table </w:t>
      </w:r>
      <w:r w:rsidR="00134350" w:rsidRPr="00D332F6">
        <w:rPr>
          <w:rFonts w:ascii="Arial" w:hAnsi="Arial" w:cs="Arial"/>
        </w:rPr>
        <w:t>2</w:t>
      </w:r>
      <w:r w:rsidRPr="00D332F6">
        <w:rPr>
          <w:rFonts w:ascii="Arial" w:hAnsi="Arial" w:cs="Arial"/>
        </w:rPr>
        <w:t>:  Description of follow-up data and outcome events observed in the Scottish and STOP-HCV cohorts.</w:t>
      </w:r>
    </w:p>
    <w:p w14:paraId="68F1301D" w14:textId="11E75002" w:rsidR="00BD59D6" w:rsidRPr="00D332F6" w:rsidRDefault="009B159E">
      <w:pPr>
        <w:spacing w:line="360" w:lineRule="auto"/>
        <w:rPr>
          <w:rFonts w:ascii="Arial" w:hAnsi="Arial" w:cs="Arial"/>
        </w:rPr>
      </w:pPr>
      <w:r w:rsidRPr="00D332F6">
        <w:rPr>
          <w:rFonts w:ascii="Arial" w:hAnsi="Arial" w:cs="Arial"/>
        </w:rPr>
        <w:t xml:space="preserve">FIGURE 1: Stacked cumulative incidence </w:t>
      </w:r>
      <w:r w:rsidR="00006847" w:rsidRPr="00D332F6">
        <w:rPr>
          <w:rFonts w:ascii="Arial" w:hAnsi="Arial" w:cs="Arial"/>
        </w:rPr>
        <w:t xml:space="preserve">(CI) </w:t>
      </w:r>
      <w:r w:rsidRPr="00D332F6">
        <w:rPr>
          <w:rFonts w:ascii="Arial" w:hAnsi="Arial" w:cs="Arial"/>
        </w:rPr>
        <w:t xml:space="preserve">curves for HCC and non-HCC </w:t>
      </w:r>
      <w:r w:rsidR="00006847" w:rsidRPr="00D332F6">
        <w:rPr>
          <w:rFonts w:ascii="Arial" w:hAnsi="Arial" w:cs="Arial"/>
        </w:rPr>
        <w:t>mortality.</w:t>
      </w:r>
    </w:p>
    <w:p w14:paraId="68F1301E" w14:textId="77777777" w:rsidR="00BD59D6" w:rsidRPr="00D332F6" w:rsidRDefault="009B159E">
      <w:pPr>
        <w:spacing w:line="360" w:lineRule="auto"/>
        <w:rPr>
          <w:rFonts w:ascii="Arial" w:hAnsi="Arial" w:cs="Arial"/>
        </w:rPr>
      </w:pPr>
      <w:r w:rsidRPr="00D332F6">
        <w:rPr>
          <w:rFonts w:ascii="Arial" w:hAnsi="Arial" w:cs="Arial"/>
        </w:rPr>
        <w:t>Cumulative incidence curves are generated non-parametrically – i.e. without any modelling assumptions. For the blue line, non-HCC mortality is treated as a competing risk event. Vice versa, for the red line, HCC outcome is treated as a competing risk event</w:t>
      </w:r>
    </w:p>
    <w:p w14:paraId="68F13023" w14:textId="2926A094" w:rsidR="00BD59D6" w:rsidRPr="00D332F6" w:rsidRDefault="009B159E">
      <w:pPr>
        <w:spacing w:line="360" w:lineRule="auto"/>
        <w:rPr>
          <w:rFonts w:ascii="Arial" w:hAnsi="Arial" w:cs="Arial"/>
        </w:rPr>
      </w:pPr>
      <w:r w:rsidRPr="00D332F6">
        <w:rPr>
          <w:rFonts w:ascii="Arial" w:hAnsi="Arial" w:cs="Arial"/>
        </w:rPr>
        <w:t xml:space="preserve">FIGURE </w:t>
      </w:r>
      <w:r w:rsidR="00242E53" w:rsidRPr="00D332F6">
        <w:rPr>
          <w:rFonts w:ascii="Arial" w:hAnsi="Arial" w:cs="Arial"/>
        </w:rPr>
        <w:t>2</w:t>
      </w:r>
      <w:r w:rsidRPr="00D332F6">
        <w:rPr>
          <w:rFonts w:ascii="Arial" w:hAnsi="Arial" w:cs="Arial"/>
        </w:rPr>
        <w:t>: Discriminative ability of HCC prediction models in Scottish and STOPHCV cohorts, in terms of the Concordance Index</w:t>
      </w:r>
      <w:r w:rsidR="00242E53" w:rsidRPr="00D332F6">
        <w:rPr>
          <w:rFonts w:ascii="Arial" w:hAnsi="Arial" w:cs="Arial"/>
        </w:rPr>
        <w:t xml:space="preserve"> (C-index)</w:t>
      </w:r>
      <w:r w:rsidRPr="00D332F6">
        <w:rPr>
          <w:rFonts w:ascii="Arial" w:hAnsi="Arial" w:cs="Arial"/>
        </w:rPr>
        <w:t>.</w:t>
      </w:r>
    </w:p>
    <w:p w14:paraId="68F13024" w14:textId="77777777" w:rsidR="00BD59D6" w:rsidRPr="00D332F6" w:rsidRDefault="009B159E">
      <w:pPr>
        <w:spacing w:line="360" w:lineRule="auto"/>
        <w:rPr>
          <w:rFonts w:ascii="Arial" w:hAnsi="Arial" w:cs="Arial"/>
        </w:rPr>
      </w:pPr>
      <w:r w:rsidRPr="00D332F6">
        <w:rPr>
          <w:rFonts w:ascii="Arial" w:hAnsi="Arial" w:cs="Arial"/>
        </w:rPr>
        <w:t xml:space="preserve">Concordance index refers specifically to the Wolbers concordance index, which takes account of competing risk events. Here, non-HCC mortality is treated as a competing risk. The dashed line represents the point of zero discrimination.  </w:t>
      </w:r>
    </w:p>
    <w:p w14:paraId="68F13025" w14:textId="49EB0A28" w:rsidR="00BD59D6" w:rsidRPr="00D332F6" w:rsidRDefault="009B159E">
      <w:pPr>
        <w:spacing w:line="360" w:lineRule="auto"/>
        <w:rPr>
          <w:rFonts w:ascii="Arial" w:hAnsi="Arial" w:cs="Arial"/>
        </w:rPr>
      </w:pPr>
      <w:r w:rsidRPr="00D332F6">
        <w:rPr>
          <w:rFonts w:ascii="Arial" w:hAnsi="Arial" w:cs="Arial"/>
        </w:rPr>
        <w:t xml:space="preserve">FIGURE </w:t>
      </w:r>
      <w:r w:rsidR="00242E53" w:rsidRPr="00D332F6">
        <w:rPr>
          <w:rFonts w:ascii="Arial" w:hAnsi="Arial" w:cs="Arial"/>
        </w:rPr>
        <w:t>3</w:t>
      </w:r>
      <w:r w:rsidRPr="00D332F6">
        <w:rPr>
          <w:rFonts w:ascii="Arial" w:hAnsi="Arial" w:cs="Arial"/>
        </w:rPr>
        <w:t xml:space="preserve">; Comparison of the discriminative ability for HCC incidence, according to age. </w:t>
      </w:r>
    </w:p>
    <w:p w14:paraId="68F13026" w14:textId="77777777" w:rsidR="00BD59D6" w:rsidRPr="00D332F6" w:rsidRDefault="009B159E">
      <w:pPr>
        <w:spacing w:line="360" w:lineRule="auto"/>
        <w:rPr>
          <w:rFonts w:ascii="Arial" w:hAnsi="Arial" w:cs="Arial"/>
        </w:rPr>
      </w:pPr>
      <w:r w:rsidRPr="00D332F6">
        <w:rPr>
          <w:rFonts w:ascii="Arial" w:hAnsi="Arial" w:cs="Arial"/>
        </w:rPr>
        <w:t xml:space="preserve">Based on the Wolbers concordance index, taking account of non-HCC mortality as a competing risk. </w:t>
      </w:r>
    </w:p>
    <w:p w14:paraId="68F13027" w14:textId="574FF9F0" w:rsidR="00BD59D6" w:rsidRPr="00D332F6" w:rsidRDefault="009B159E">
      <w:pPr>
        <w:spacing w:line="360" w:lineRule="auto"/>
        <w:rPr>
          <w:rFonts w:ascii="Arial" w:hAnsi="Arial" w:cs="Arial"/>
        </w:rPr>
      </w:pPr>
      <w:r w:rsidRPr="00D332F6">
        <w:rPr>
          <w:rFonts w:ascii="Arial" w:hAnsi="Arial" w:cs="Arial"/>
        </w:rPr>
        <w:t xml:space="preserve">FIGURE </w:t>
      </w:r>
      <w:r w:rsidR="00242E53" w:rsidRPr="00D332F6">
        <w:rPr>
          <w:rFonts w:ascii="Arial" w:hAnsi="Arial" w:cs="Arial"/>
        </w:rPr>
        <w:t>4</w:t>
      </w:r>
      <w:r w:rsidRPr="00D332F6">
        <w:rPr>
          <w:rFonts w:ascii="Arial" w:hAnsi="Arial" w:cs="Arial"/>
        </w:rPr>
        <w:t xml:space="preserve">: </w:t>
      </w:r>
      <w:r w:rsidR="00242E53" w:rsidRPr="00D332F6">
        <w:rPr>
          <w:rFonts w:ascii="Arial" w:hAnsi="Arial" w:cs="Arial"/>
        </w:rPr>
        <w:t>Agreement between o</w:t>
      </w:r>
      <w:r w:rsidRPr="00D332F6">
        <w:rPr>
          <w:rFonts w:ascii="Arial" w:hAnsi="Arial" w:cs="Arial"/>
        </w:rPr>
        <w:t>bserved and predicted 3-year HCC probability</w:t>
      </w:r>
      <w:r w:rsidR="00242E53" w:rsidRPr="00D332F6">
        <w:rPr>
          <w:rFonts w:ascii="Arial" w:hAnsi="Arial" w:cs="Arial"/>
        </w:rPr>
        <w:t>, by risk tertile.</w:t>
      </w:r>
    </w:p>
    <w:p w14:paraId="1F0CAC2A" w14:textId="582C6E63" w:rsidR="005C6E17" w:rsidRDefault="005C2F37">
      <w:pPr>
        <w:spacing w:line="360" w:lineRule="auto"/>
        <w:rPr>
          <w:rFonts w:ascii="Arial" w:hAnsi="Arial" w:cs="Arial"/>
        </w:rPr>
      </w:pPr>
      <w:r w:rsidRPr="00D332F6">
        <w:rPr>
          <w:rFonts w:ascii="Arial" w:hAnsi="Arial" w:cs="Arial"/>
          <w:lang w:val="en-US"/>
        </w:rPr>
        <w:t xml:space="preserve">T1, T2 and T3 denote risk tertiles 1, 2 and 3, respectively. </w:t>
      </w:r>
      <w:r w:rsidR="00310E17" w:rsidRPr="00D332F6">
        <w:rPr>
          <w:rFonts w:ascii="Arial" w:hAnsi="Arial" w:cs="Arial"/>
          <w:lang w:val="en-US"/>
        </w:rPr>
        <w:t>Risk tertiles refer to three groups: a)  T1: those whose prediction is in the 33</w:t>
      </w:r>
      <w:r w:rsidR="00310E17" w:rsidRPr="00D332F6">
        <w:rPr>
          <w:rFonts w:ascii="Arial" w:hAnsi="Arial" w:cs="Arial"/>
          <w:vertAlign w:val="superscript"/>
          <w:lang w:val="en-US"/>
        </w:rPr>
        <w:t>rd</w:t>
      </w:r>
      <w:r w:rsidR="00310E17" w:rsidRPr="00D332F6">
        <w:rPr>
          <w:rFonts w:ascii="Arial" w:hAnsi="Arial" w:cs="Arial"/>
          <w:lang w:val="en-US"/>
        </w:rPr>
        <w:t xml:space="preserve"> percentile or lower; b) T2: those in the 33</w:t>
      </w:r>
      <w:r w:rsidR="00310E17" w:rsidRPr="00D332F6">
        <w:rPr>
          <w:rFonts w:ascii="Arial" w:hAnsi="Arial" w:cs="Arial"/>
          <w:vertAlign w:val="superscript"/>
          <w:lang w:val="en-US"/>
        </w:rPr>
        <w:t xml:space="preserve">rd </w:t>
      </w:r>
      <w:r w:rsidR="00310E17" w:rsidRPr="00D332F6">
        <w:rPr>
          <w:rFonts w:ascii="Arial" w:hAnsi="Arial" w:cs="Arial"/>
          <w:lang w:val="en-US"/>
        </w:rPr>
        <w:t>-67</w:t>
      </w:r>
      <w:r w:rsidR="00310E17" w:rsidRPr="00D332F6">
        <w:rPr>
          <w:rFonts w:ascii="Arial" w:hAnsi="Arial" w:cs="Arial"/>
          <w:vertAlign w:val="superscript"/>
          <w:lang w:val="en-US"/>
        </w:rPr>
        <w:t>th</w:t>
      </w:r>
      <w:r w:rsidR="00310E17" w:rsidRPr="00D332F6">
        <w:rPr>
          <w:rFonts w:ascii="Arial" w:hAnsi="Arial" w:cs="Arial"/>
          <w:lang w:val="en-US"/>
        </w:rPr>
        <w:t xml:space="preserve"> percentile and c) T3: those in the 68</w:t>
      </w:r>
      <w:r w:rsidR="00310E17" w:rsidRPr="00D332F6">
        <w:rPr>
          <w:rFonts w:ascii="Arial" w:hAnsi="Arial" w:cs="Arial"/>
          <w:vertAlign w:val="superscript"/>
          <w:lang w:val="en-US"/>
        </w:rPr>
        <w:t>th</w:t>
      </w:r>
      <w:r w:rsidR="00310E17" w:rsidRPr="00D332F6">
        <w:rPr>
          <w:rFonts w:ascii="Arial" w:hAnsi="Arial" w:cs="Arial"/>
          <w:lang w:val="en-US"/>
        </w:rPr>
        <w:t>-100</w:t>
      </w:r>
      <w:r w:rsidR="00310E17" w:rsidRPr="00D332F6">
        <w:rPr>
          <w:rFonts w:ascii="Arial" w:hAnsi="Arial" w:cs="Arial"/>
          <w:vertAlign w:val="superscript"/>
          <w:lang w:val="en-US"/>
        </w:rPr>
        <w:t>th</w:t>
      </w:r>
      <w:r w:rsidR="00310E17" w:rsidRPr="00D332F6">
        <w:rPr>
          <w:rFonts w:ascii="Arial" w:hAnsi="Arial" w:cs="Arial"/>
          <w:lang w:val="en-US"/>
        </w:rPr>
        <w:t xml:space="preserve"> percentile. </w:t>
      </w:r>
      <w:r w:rsidRPr="00D332F6">
        <w:rPr>
          <w:rFonts w:ascii="Arial" w:hAnsi="Arial" w:cs="Arial"/>
          <w:lang w:val="en-US"/>
        </w:rPr>
        <w:t>The green line indicates perfect agreement between observed and predicted risk. Values above the green line indicate that the observed risk is higher than the predicted risk (and vice versa).</w:t>
      </w:r>
    </w:p>
    <w:p w14:paraId="3B93C127" w14:textId="77777777" w:rsidR="006F01E3" w:rsidRPr="00D332F6" w:rsidRDefault="006F01E3">
      <w:pPr>
        <w:spacing w:line="360" w:lineRule="auto"/>
        <w:rPr>
          <w:rFonts w:ascii="Arial" w:hAnsi="Arial" w:cs="Arial"/>
        </w:rPr>
      </w:pPr>
    </w:p>
    <w:p w14:paraId="44358E37" w14:textId="1BA51128" w:rsidR="005C6E17" w:rsidRPr="00D332F6" w:rsidRDefault="005C6E17">
      <w:pPr>
        <w:spacing w:before="120" w:line="360" w:lineRule="auto"/>
        <w:rPr>
          <w:rFonts w:ascii="Arial" w:hAnsi="Arial" w:cs="Arial"/>
          <w:b/>
          <w:sz w:val="24"/>
          <w:szCs w:val="24"/>
        </w:rPr>
      </w:pPr>
      <w:r w:rsidRPr="00D332F6">
        <w:rPr>
          <w:rFonts w:ascii="Arial" w:hAnsi="Arial" w:cs="Arial"/>
          <w:b/>
          <w:sz w:val="24"/>
          <w:szCs w:val="24"/>
        </w:rPr>
        <w:t xml:space="preserve">FUNDING AND ACKNOWLEDGEMENTS: </w:t>
      </w:r>
    </w:p>
    <w:p w14:paraId="268FF171" w14:textId="6D83B81B" w:rsidR="00B242F6" w:rsidRPr="00D332F6" w:rsidRDefault="00B242F6">
      <w:pPr>
        <w:spacing w:before="120" w:line="360" w:lineRule="auto"/>
        <w:rPr>
          <w:rFonts w:ascii="Arial" w:hAnsi="Arial" w:cs="Arial"/>
        </w:rPr>
      </w:pPr>
      <w:r w:rsidRPr="00D332F6">
        <w:rPr>
          <w:rFonts w:ascii="Arial" w:hAnsi="Arial" w:cs="Arial"/>
        </w:rPr>
        <w:t>We would like to acknowledge funding from Public Health Scotland.</w:t>
      </w:r>
    </w:p>
    <w:p w14:paraId="559DAE58" w14:textId="25418FFB" w:rsidR="005C6E17" w:rsidRPr="00D332F6" w:rsidRDefault="005C6E17">
      <w:pPr>
        <w:spacing w:before="120" w:line="360" w:lineRule="auto"/>
        <w:rPr>
          <w:rFonts w:ascii="Arial" w:hAnsi="Arial" w:cs="Arial"/>
        </w:rPr>
      </w:pPr>
      <w:r w:rsidRPr="00D332F6">
        <w:rPr>
          <w:rFonts w:ascii="Arial" w:hAnsi="Arial" w:cs="Arial"/>
        </w:rPr>
        <w:t xml:space="preserve">We would like to thank the participants of the STOP-HCV cirrhosis study. </w:t>
      </w:r>
    </w:p>
    <w:p w14:paraId="1D36420F" w14:textId="77777777" w:rsidR="005C6E17" w:rsidRPr="00D332F6" w:rsidRDefault="005C6E17">
      <w:pPr>
        <w:spacing w:line="360" w:lineRule="auto"/>
        <w:rPr>
          <w:rFonts w:ascii="Arial" w:hAnsi="Arial" w:cs="Arial"/>
        </w:rPr>
      </w:pPr>
      <w:r w:rsidRPr="00D332F6">
        <w:rPr>
          <w:rFonts w:ascii="Arial" w:hAnsi="Arial" w:cs="Arial"/>
        </w:rPr>
        <w:t>HCV Research UK participating sites and Principal Investigators are as follows:</w:t>
      </w:r>
    </w:p>
    <w:p w14:paraId="4590F5FE" w14:textId="77777777" w:rsidR="005C6E17" w:rsidRPr="00D332F6" w:rsidRDefault="005C6E17">
      <w:pPr>
        <w:autoSpaceDE w:val="0"/>
        <w:autoSpaceDN w:val="0"/>
        <w:adjustRightInd w:val="0"/>
        <w:spacing w:after="0" w:line="360" w:lineRule="auto"/>
        <w:rPr>
          <w:rFonts w:ascii="Arial" w:hAnsi="Arial" w:cs="Arial"/>
        </w:rPr>
      </w:pPr>
      <w:r w:rsidRPr="00D332F6">
        <w:rPr>
          <w:rFonts w:ascii="Arial" w:hAnsi="Arial" w:cs="Arial"/>
        </w:rPr>
        <w:t xml:space="preserve">Agarwal K. (Kings College Hospital, London), Aldersley M. (St James’s University Hospital, Leeds), </w:t>
      </w:r>
    </w:p>
    <w:p w14:paraId="6539E21E" w14:textId="77777777" w:rsidR="005C6E17" w:rsidRPr="00D332F6" w:rsidRDefault="005C6E17">
      <w:pPr>
        <w:autoSpaceDE w:val="0"/>
        <w:autoSpaceDN w:val="0"/>
        <w:adjustRightInd w:val="0"/>
        <w:spacing w:after="0" w:line="360" w:lineRule="auto"/>
        <w:rPr>
          <w:rFonts w:ascii="Arial" w:hAnsi="Arial" w:cs="Arial"/>
        </w:rPr>
      </w:pPr>
      <w:r w:rsidRPr="00D332F6">
        <w:rPr>
          <w:rFonts w:ascii="Arial" w:hAnsi="Arial" w:cs="Arial"/>
        </w:rPr>
        <w:t>Aspinall R. (Queen Alexandra Hospital, Portsmouth), Barclay S. (Glasgow Royal Infirmary), Barnes E. (John Radcliffe Hospital, Oxford), Benselin J. (University of Nottingham), Brown A. (St Mary’s Hospital, London), Ch’ng C. (Singleton Hospital, Swansea), Corless L. (Hull Royal Infirmary), Cramp M. (Derriford Hospital, Plymouth), Dillon J. (Ninewells Hospital, Dundee), Shirley English (Aberdeen Royal Infirmary);  Forton D. (St George’s Hospital, London), Foster G. (The London Hospital, Fraser A. (Aberdeen Royal Infirmary), Gelson W. (Addenbrookes Hospital, Cambridge), Gorard D. (Wycombe Hospital), Gordon F. (Bristol Royal Infirmary), Kennedy N. (Monklands</w:t>
      </w:r>
    </w:p>
    <w:p w14:paraId="78A498B9" w14:textId="77777777" w:rsidR="005C6E17" w:rsidRPr="00D332F6" w:rsidRDefault="005C6E17">
      <w:pPr>
        <w:autoSpaceDE w:val="0"/>
        <w:autoSpaceDN w:val="0"/>
        <w:adjustRightInd w:val="0"/>
        <w:spacing w:after="0" w:line="360" w:lineRule="auto"/>
        <w:rPr>
          <w:rFonts w:ascii="Arial" w:hAnsi="Arial" w:cs="Arial"/>
        </w:rPr>
      </w:pPr>
      <w:r w:rsidRPr="00D332F6">
        <w:rPr>
          <w:rFonts w:ascii="Arial" w:hAnsi="Arial" w:cs="Arial"/>
        </w:rPr>
        <w:t>Hospital), Knowles J. (James Cook University Hospital, Middlesbrough), Leen C. (Western General Hospital, Edinburgh McPherson S. (Freeman Hospital, Newcastle), Moreea S. (Bradford Teaching Hospitals NHS Foundation Trust), Mutimer D. (Queen Elizabeth Hospital, Birmingham), Prince M. (Manchester Royal Infirmary, Richardson P. (Royal Liverpool University Hospital), Rosenberg W. (Royal Free Hospital &amp; University College Hospital), Ryder S. (Queen’s Medical Centre, Nottingham) Kara Rye (Royal Shrewsbury Hospital), Stone B. (Royal Hallamshire Hospital, Sheffield), Thursz M. (St Mary’s Hospital, London),, Ustianowski A. (North Manchester General Hospital), Verma S. (Royal Sussex County Hospital, Brighton), ,Wiselka M. (Leicester Royal Infirmary).</w:t>
      </w:r>
    </w:p>
    <w:p w14:paraId="5D83ECC3" w14:textId="77777777" w:rsidR="005C6E17" w:rsidRPr="00D332F6" w:rsidRDefault="005C6E17">
      <w:pPr>
        <w:autoSpaceDE w:val="0"/>
        <w:autoSpaceDN w:val="0"/>
        <w:adjustRightInd w:val="0"/>
        <w:spacing w:after="0" w:line="360" w:lineRule="auto"/>
        <w:rPr>
          <w:rFonts w:ascii="Arial" w:hAnsi="Arial" w:cs="Arial"/>
        </w:rPr>
      </w:pPr>
    </w:p>
    <w:p w14:paraId="291EE2E9" w14:textId="77777777" w:rsidR="005C6E17" w:rsidRPr="00D332F6" w:rsidRDefault="005C6E17" w:rsidP="004608D8">
      <w:pPr>
        <w:shd w:val="clear" w:color="auto" w:fill="FFFFFF"/>
        <w:spacing w:after="0" w:line="360" w:lineRule="auto"/>
        <w:rPr>
          <w:rStyle w:val="authors-list-item"/>
          <w:rFonts w:ascii="Arial" w:hAnsi="Arial" w:cs="Arial"/>
          <w:color w:val="212121"/>
        </w:rPr>
      </w:pPr>
      <w:r w:rsidRPr="00D332F6">
        <w:rPr>
          <w:rStyle w:val="Strong"/>
          <w:rFonts w:ascii="Arial" w:hAnsi="Arial" w:cs="Arial"/>
          <w:color w:val="212121"/>
        </w:rPr>
        <w:t>STOP-HCV Consortium</w:t>
      </w:r>
      <w:r w:rsidRPr="00D332F6">
        <w:rPr>
          <w:rFonts w:ascii="Arial" w:hAnsi="Arial" w:cs="Arial"/>
          <w:color w:val="212121"/>
        </w:rPr>
        <w:t xml:space="preserve">: </w:t>
      </w:r>
      <w:r w:rsidRPr="00D332F6">
        <w:rPr>
          <w:rStyle w:val="authors-list-item"/>
          <w:rFonts w:ascii="Arial" w:hAnsi="Arial" w:cs="Arial"/>
          <w:color w:val="212121"/>
        </w:rPr>
        <w:t>Barnes E (University of Oxford), Ball JK (University of Nottingham), Brainard D (Gilead Sciences), Burgess G (Conatus Pharmaceuticals), Cooke G (Imperial College, London), Dillon J (University of Dundee), Foster GR (Queen Mary University of London), Gore C (Hepatitis C Trust), Guha N (University of Nottingham), Halford R (Hepatitis C Trust), Whitby K (Gilead Sciences), Holmes C</w:t>
      </w:r>
      <w:r w:rsidRPr="00D332F6">
        <w:rPr>
          <w:rStyle w:val="authors-list-item"/>
          <w:rFonts w:ascii="Arial" w:hAnsi="Arial" w:cs="Arial"/>
          <w:color w:val="212121"/>
          <w:vertAlign w:val="superscript"/>
        </w:rPr>
        <w:t xml:space="preserve"> </w:t>
      </w:r>
      <w:r w:rsidRPr="00D332F6">
        <w:rPr>
          <w:rStyle w:val="authors-list-item"/>
          <w:rFonts w:ascii="Arial" w:hAnsi="Arial" w:cs="Arial"/>
          <w:color w:val="212121"/>
        </w:rPr>
        <w:t>(University of Oxford), Howe A (British Columbia Centre for Excellence), Hudson E (University of Oxford), Hutchinson S (Glasgow Caledonian University), Irving WL (University of Nottingham), Khakoo S (University of Southampton), Klenerman P (University of Oxford), Martin N (UC San Diego), Massetto B (Gilead Sciences), Mbisa T (Public Health England), McHutchinson J (Gilead Sciences), McKeating J (University of Oxford), McLauchlan J (Centre for Virus Research, Glasgow), Miners A (London School of Hygiene and Tropical Medicine), Murray A (OncImmune Limited), Shaw P (Merck &amp; Co), Simmonds P (University of Oxford), Spencer C (Wellcome Trust), Thomson E (Centre for Virus Research, Glasgow), Vickerman P (University of Bristol), Zitzmann N (University of Oxford).</w:t>
      </w:r>
    </w:p>
    <w:p w14:paraId="20F3D7F8" w14:textId="77777777" w:rsidR="005C6E17" w:rsidRPr="00D332F6" w:rsidRDefault="005C6E17" w:rsidP="0020175A">
      <w:pPr>
        <w:shd w:val="clear" w:color="auto" w:fill="FFFFFF"/>
        <w:spacing w:after="0" w:line="360" w:lineRule="auto"/>
        <w:rPr>
          <w:rFonts w:ascii="Arial" w:hAnsi="Arial" w:cs="Arial"/>
          <w:color w:val="212121"/>
        </w:rPr>
      </w:pPr>
    </w:p>
    <w:p w14:paraId="3125CBBF" w14:textId="73B1FADE" w:rsidR="005C6E17" w:rsidRPr="00D332F6" w:rsidRDefault="005C6E17">
      <w:pPr>
        <w:autoSpaceDE w:val="0"/>
        <w:autoSpaceDN w:val="0"/>
        <w:adjustRightInd w:val="0"/>
        <w:spacing w:after="0" w:line="360" w:lineRule="auto"/>
        <w:rPr>
          <w:rFonts w:ascii="Arial" w:hAnsi="Arial" w:cs="Arial"/>
        </w:rPr>
      </w:pPr>
      <w:r w:rsidRPr="00D332F6" w:rsidDel="00370420">
        <w:rPr>
          <w:rFonts w:ascii="Arial" w:hAnsi="Arial" w:cs="Arial"/>
        </w:rPr>
        <w:t>HCV Research UK was established by a grant from the Medical Research Foundation (award no: C0365).</w:t>
      </w:r>
    </w:p>
    <w:p w14:paraId="12063262" w14:textId="77777777" w:rsidR="005C6E17" w:rsidRPr="00D332F6" w:rsidRDefault="005C6E17">
      <w:pPr>
        <w:spacing w:before="120" w:line="360" w:lineRule="auto"/>
        <w:rPr>
          <w:rFonts w:ascii="Arial" w:hAnsi="Arial" w:cs="Arial"/>
        </w:rPr>
      </w:pPr>
      <w:r w:rsidRPr="00D332F6">
        <w:rPr>
          <w:rFonts w:ascii="Arial" w:hAnsi="Arial" w:cs="Arial"/>
        </w:rPr>
        <w:t>The STOP-HCV study was funded by a grant from the Medical Research Council, United Kingdom (grant MR/K01532X/1). </w:t>
      </w:r>
      <w:r w:rsidRPr="00D332F6">
        <w:rPr>
          <w:rFonts w:ascii="Arial" w:hAnsi="Arial" w:cs="Arial"/>
          <w:lang w:val="en-US"/>
        </w:rPr>
        <w:t xml:space="preserve">EB is </w:t>
      </w:r>
      <w:r w:rsidRPr="00D332F6">
        <w:rPr>
          <w:rFonts w:ascii="Arial" w:hAnsi="Arial" w:cs="Arial"/>
        </w:rPr>
        <w:t xml:space="preserve">an NIHR Senior Investigator. </w:t>
      </w:r>
    </w:p>
    <w:p w14:paraId="4E35D7B2" w14:textId="77777777" w:rsidR="00A50849" w:rsidRPr="00D332F6" w:rsidRDefault="005C6E17">
      <w:pPr>
        <w:spacing w:before="120" w:line="360" w:lineRule="auto"/>
        <w:rPr>
          <w:rFonts w:ascii="Arial" w:hAnsi="Arial" w:cs="Arial"/>
        </w:rPr>
      </w:pPr>
      <w:r w:rsidRPr="00D332F6">
        <w:rPr>
          <w:rFonts w:ascii="Arial" w:hAnsi="Arial" w:cs="Arial"/>
        </w:rPr>
        <w:t>Hamish Innes is supported by a viral hepatitis fellowship from the Medical Research Foundation</w:t>
      </w:r>
      <w:r w:rsidR="008B7640" w:rsidRPr="00D332F6">
        <w:rPr>
          <w:rFonts w:ascii="Arial" w:hAnsi="Arial" w:cs="Arial"/>
        </w:rPr>
        <w:t xml:space="preserve"> (award no: C0825).</w:t>
      </w:r>
    </w:p>
    <w:p w14:paraId="68F13028" w14:textId="18C30E6E" w:rsidR="00477B48" w:rsidRPr="00D332F6" w:rsidRDefault="005C6E17" w:rsidP="004608D8">
      <w:pPr>
        <w:spacing w:before="120" w:line="360" w:lineRule="auto"/>
        <w:rPr>
          <w:rFonts w:ascii="Arial" w:hAnsi="Arial" w:cs="Arial"/>
        </w:rPr>
        <w:sectPr w:rsidR="00477B48" w:rsidRPr="00D332F6">
          <w:headerReference w:type="default" r:id="rId19"/>
          <w:footerReference w:type="default" r:id="rId20"/>
          <w:pgSz w:w="11906" w:h="16838"/>
          <w:pgMar w:top="1440" w:right="1440" w:bottom="1440" w:left="1440" w:header="0" w:footer="0" w:gutter="0"/>
          <w:cols w:space="720"/>
          <w:formProt w:val="0"/>
          <w:docGrid w:linePitch="360" w:charSpace="-2049"/>
        </w:sectPr>
      </w:pPr>
      <w:r w:rsidRPr="00D332F6">
        <w:rPr>
          <w:rFonts w:ascii="Arial" w:hAnsi="Arial" w:cs="Arial"/>
        </w:rPr>
        <w:t>The views expressed in this article are those of the author</w:t>
      </w:r>
      <w:r w:rsidR="00EB2599" w:rsidRPr="00D332F6">
        <w:rPr>
          <w:rFonts w:ascii="Arial" w:hAnsi="Arial" w:cs="Arial"/>
        </w:rPr>
        <w:t>s</w:t>
      </w:r>
      <w:r w:rsidRPr="00D332F6">
        <w:rPr>
          <w:rFonts w:ascii="Arial" w:hAnsi="Arial" w:cs="Arial"/>
        </w:rPr>
        <w:t xml:space="preserve"> and not necessarily those of the NHS, the NIHR, or the Department of Healt</w:t>
      </w:r>
      <w:r w:rsidR="004466D3" w:rsidRPr="00D332F6">
        <w:rPr>
          <w:rFonts w:ascii="Arial" w:hAnsi="Arial" w:cs="Arial"/>
        </w:rPr>
        <w:t>h.</w:t>
      </w:r>
    </w:p>
    <w:p w14:paraId="68F1302A" w14:textId="4F4C5870" w:rsidR="00BD59D6" w:rsidRPr="00D332F6" w:rsidRDefault="00F459F5" w:rsidP="0020175A">
      <w:pPr>
        <w:spacing w:line="360" w:lineRule="auto"/>
        <w:rPr>
          <w:rFonts w:ascii="Arial" w:hAnsi="Arial" w:cs="Arial"/>
        </w:rPr>
      </w:pPr>
      <w:r w:rsidRPr="00D332F6">
        <w:rPr>
          <w:rFonts w:ascii="Arial" w:hAnsi="Arial" w:cs="Arial"/>
          <w:noProof/>
        </w:rPr>
        <w:drawing>
          <wp:inline distT="0" distB="0" distL="0" distR="0" wp14:anchorId="5CE5363C" wp14:editId="3D2D9713">
            <wp:extent cx="5907661" cy="594979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9346" cy="5961566"/>
                    </a:xfrm>
                    <a:prstGeom prst="rect">
                      <a:avLst/>
                    </a:prstGeom>
                    <a:noFill/>
                    <a:ln>
                      <a:noFill/>
                    </a:ln>
                  </pic:spPr>
                </pic:pic>
              </a:graphicData>
            </a:graphic>
          </wp:inline>
        </w:drawing>
      </w:r>
    </w:p>
    <w:p w14:paraId="68F1302B" w14:textId="2D567B4A" w:rsidR="00BD59D6" w:rsidRPr="00D332F6" w:rsidRDefault="00F459F5" w:rsidP="0020175A">
      <w:pPr>
        <w:spacing w:line="360" w:lineRule="auto"/>
        <w:rPr>
          <w:rFonts w:ascii="Arial" w:hAnsi="Arial" w:cs="Arial"/>
        </w:rPr>
      </w:pPr>
      <w:r w:rsidRPr="00D332F6">
        <w:rPr>
          <w:rFonts w:ascii="Arial" w:hAnsi="Arial" w:cs="Arial"/>
          <w:noProof/>
        </w:rPr>
        <w:drawing>
          <wp:inline distT="0" distB="0" distL="0" distR="0" wp14:anchorId="5C20AFB0" wp14:editId="3869B373">
            <wp:extent cx="9601202" cy="3815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06635" cy="3817414"/>
                    </a:xfrm>
                    <a:prstGeom prst="rect">
                      <a:avLst/>
                    </a:prstGeom>
                    <a:noFill/>
                    <a:ln>
                      <a:noFill/>
                    </a:ln>
                  </pic:spPr>
                </pic:pic>
              </a:graphicData>
            </a:graphic>
          </wp:inline>
        </w:drawing>
      </w:r>
    </w:p>
    <w:p w14:paraId="68F1302C" w14:textId="77777777" w:rsidR="00BD59D6" w:rsidRPr="00D332F6" w:rsidRDefault="00BD59D6" w:rsidP="0020175A">
      <w:pPr>
        <w:spacing w:line="360" w:lineRule="auto"/>
        <w:rPr>
          <w:rFonts w:ascii="Arial" w:hAnsi="Arial" w:cs="Arial"/>
        </w:rPr>
      </w:pPr>
    </w:p>
    <w:p w14:paraId="68F1302D" w14:textId="77777777" w:rsidR="00BD59D6" w:rsidRPr="00D332F6" w:rsidRDefault="00BD59D6">
      <w:pPr>
        <w:spacing w:line="360" w:lineRule="auto"/>
        <w:rPr>
          <w:rFonts w:ascii="Arial" w:hAnsi="Arial" w:cs="Arial"/>
        </w:rPr>
      </w:pPr>
    </w:p>
    <w:p w14:paraId="68F1302E" w14:textId="77777777" w:rsidR="00210065" w:rsidRPr="00D332F6" w:rsidRDefault="00210065">
      <w:pPr>
        <w:spacing w:line="360" w:lineRule="auto"/>
        <w:rPr>
          <w:rFonts w:ascii="Arial" w:hAnsi="Arial" w:cs="Arial"/>
        </w:rPr>
        <w:sectPr w:rsidR="00210065" w:rsidRPr="00D332F6">
          <w:headerReference w:type="default" r:id="rId23"/>
          <w:footerReference w:type="default" r:id="rId24"/>
          <w:pgSz w:w="16838" w:h="11906" w:orient="landscape"/>
          <w:pgMar w:top="1440" w:right="1440" w:bottom="1440" w:left="1440" w:header="0" w:footer="0" w:gutter="0"/>
          <w:cols w:space="720"/>
          <w:formProt w:val="0"/>
          <w:docGrid w:linePitch="360" w:charSpace="-2049"/>
        </w:sectPr>
      </w:pPr>
    </w:p>
    <w:p w14:paraId="68F13030" w14:textId="649E55A2" w:rsidR="00BD59D6" w:rsidRPr="00D332F6" w:rsidRDefault="00BD59D6">
      <w:pPr>
        <w:spacing w:line="360" w:lineRule="auto"/>
        <w:rPr>
          <w:rFonts w:ascii="Arial" w:hAnsi="Arial" w:cs="Arial"/>
        </w:rPr>
      </w:pPr>
    </w:p>
    <w:p w14:paraId="68F13114" w14:textId="50B5BF52" w:rsidR="00BD59D6" w:rsidRPr="00D332F6" w:rsidRDefault="00F459F5">
      <w:pPr>
        <w:spacing w:line="360" w:lineRule="auto"/>
        <w:rPr>
          <w:rFonts w:ascii="Arial" w:hAnsi="Arial" w:cs="Arial"/>
        </w:rPr>
      </w:pPr>
      <w:r w:rsidRPr="00D332F6">
        <w:rPr>
          <w:rFonts w:ascii="Arial" w:hAnsi="Arial" w:cs="Arial"/>
          <w:noProof/>
        </w:rPr>
        <w:drawing>
          <wp:inline distT="0" distB="0" distL="0" distR="0" wp14:anchorId="2C124B15" wp14:editId="3673D389">
            <wp:extent cx="8863330" cy="49853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de1.TIF"/>
                    <pic:cNvPicPr/>
                  </pic:nvPicPr>
                  <pic:blipFill>
                    <a:blip r:embed="rId25">
                      <a:extLst>
                        <a:ext uri="{28A0092B-C50C-407E-A947-70E740481C1C}">
                          <a14:useLocalDpi xmlns:a14="http://schemas.microsoft.com/office/drawing/2010/main" val="0"/>
                        </a:ext>
                      </a:extLst>
                    </a:blip>
                    <a:stretch>
                      <a:fillRect/>
                    </a:stretch>
                  </pic:blipFill>
                  <pic:spPr>
                    <a:xfrm>
                      <a:off x="0" y="0"/>
                      <a:ext cx="8863330" cy="4985385"/>
                    </a:xfrm>
                    <a:prstGeom prst="rect">
                      <a:avLst/>
                    </a:prstGeom>
                  </pic:spPr>
                </pic:pic>
              </a:graphicData>
            </a:graphic>
          </wp:inline>
        </w:drawing>
      </w:r>
    </w:p>
    <w:p w14:paraId="68F13115" w14:textId="13FE295B" w:rsidR="00BD59D6" w:rsidRPr="00D332F6" w:rsidRDefault="00520E23">
      <w:pPr>
        <w:spacing w:line="360" w:lineRule="auto"/>
        <w:rPr>
          <w:rFonts w:ascii="Arial" w:hAnsi="Arial" w:cs="Arial"/>
        </w:rPr>
      </w:pPr>
      <w:r w:rsidRPr="00D332F6">
        <w:rPr>
          <w:rFonts w:ascii="Arial" w:hAnsi="Arial" w:cs="Arial"/>
          <w:noProof/>
        </w:rPr>
        <w:drawing>
          <wp:inline distT="0" distB="0" distL="0" distR="0" wp14:anchorId="188552A7" wp14:editId="470C50D8">
            <wp:extent cx="9062113" cy="5787243"/>
            <wp:effectExtent l="0" t="0" r="571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lide2.TIF"/>
                    <pic:cNvPicPr/>
                  </pic:nvPicPr>
                  <pic:blipFill rotWithShape="1">
                    <a:blip r:embed="rId26">
                      <a:extLst>
                        <a:ext uri="{28A0092B-C50C-407E-A947-70E740481C1C}">
                          <a14:useLocalDpi xmlns:a14="http://schemas.microsoft.com/office/drawing/2010/main" val="0"/>
                        </a:ext>
                      </a:extLst>
                    </a:blip>
                    <a:srcRect l="5235" r="6688"/>
                    <a:stretch/>
                  </pic:blipFill>
                  <pic:spPr bwMode="auto">
                    <a:xfrm>
                      <a:off x="0" y="0"/>
                      <a:ext cx="9077223" cy="5796893"/>
                    </a:xfrm>
                    <a:prstGeom prst="rect">
                      <a:avLst/>
                    </a:prstGeom>
                    <a:ln>
                      <a:noFill/>
                    </a:ln>
                    <a:extLst>
                      <a:ext uri="{53640926-AAD7-44D8-BBD7-CCE9431645EC}">
                        <a14:shadowObscured xmlns:a14="http://schemas.microsoft.com/office/drawing/2010/main"/>
                      </a:ext>
                    </a:extLst>
                  </pic:spPr>
                </pic:pic>
              </a:graphicData>
            </a:graphic>
          </wp:inline>
        </w:drawing>
      </w:r>
    </w:p>
    <w:p w14:paraId="68F13117" w14:textId="1326D867" w:rsidR="00BD59D6" w:rsidRPr="00D332F6" w:rsidRDefault="00520E23">
      <w:pPr>
        <w:spacing w:line="360" w:lineRule="auto"/>
        <w:rPr>
          <w:rFonts w:ascii="Arial" w:hAnsi="Arial" w:cs="Arial"/>
        </w:rPr>
      </w:pPr>
      <w:r w:rsidRPr="00D332F6">
        <w:rPr>
          <w:rFonts w:ascii="Arial" w:hAnsi="Arial" w:cs="Arial"/>
          <w:noProof/>
        </w:rPr>
        <w:drawing>
          <wp:inline distT="0" distB="0" distL="0" distR="0" wp14:anchorId="17066AE1" wp14:editId="090119E1">
            <wp:extent cx="8898340" cy="5783772"/>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lide3.TIF"/>
                    <pic:cNvPicPr/>
                  </pic:nvPicPr>
                  <pic:blipFill rotWithShape="1">
                    <a:blip r:embed="rId27">
                      <a:extLst>
                        <a:ext uri="{28A0092B-C50C-407E-A947-70E740481C1C}">
                          <a14:useLocalDpi xmlns:a14="http://schemas.microsoft.com/office/drawing/2010/main" val="0"/>
                        </a:ext>
                      </a:extLst>
                    </a:blip>
                    <a:srcRect l="5543" r="7921"/>
                    <a:stretch/>
                  </pic:blipFill>
                  <pic:spPr bwMode="auto">
                    <a:xfrm>
                      <a:off x="0" y="0"/>
                      <a:ext cx="8904601" cy="5787841"/>
                    </a:xfrm>
                    <a:prstGeom prst="rect">
                      <a:avLst/>
                    </a:prstGeom>
                    <a:ln>
                      <a:noFill/>
                    </a:ln>
                    <a:extLst>
                      <a:ext uri="{53640926-AAD7-44D8-BBD7-CCE9431645EC}">
                        <a14:shadowObscured xmlns:a14="http://schemas.microsoft.com/office/drawing/2010/main"/>
                      </a:ext>
                    </a:extLst>
                  </pic:spPr>
                </pic:pic>
              </a:graphicData>
            </a:graphic>
          </wp:inline>
        </w:drawing>
      </w:r>
    </w:p>
    <w:p w14:paraId="0DFF1497" w14:textId="77777777" w:rsidR="00210065" w:rsidRPr="00D332F6" w:rsidRDefault="00210065">
      <w:pPr>
        <w:spacing w:line="360" w:lineRule="auto"/>
        <w:rPr>
          <w:rFonts w:ascii="Arial" w:hAnsi="Arial" w:cs="Arial"/>
        </w:rPr>
        <w:sectPr w:rsidR="00210065" w:rsidRPr="00D332F6">
          <w:headerReference w:type="default" r:id="rId28"/>
          <w:footerReference w:type="default" r:id="rId29"/>
          <w:pgSz w:w="16838" w:h="11906" w:orient="landscape"/>
          <w:pgMar w:top="1440" w:right="1440" w:bottom="1440" w:left="1440" w:header="0" w:footer="0" w:gutter="0"/>
          <w:cols w:space="720"/>
          <w:formProt w:val="0"/>
          <w:docGrid w:linePitch="360" w:charSpace="-2049"/>
        </w:sectPr>
      </w:pPr>
    </w:p>
    <w:p w14:paraId="6F833148" w14:textId="116B6D31" w:rsidR="00210065" w:rsidRPr="00D332F6" w:rsidRDefault="00955DBB" w:rsidP="00AB7BCF">
      <w:pPr>
        <w:spacing w:line="360" w:lineRule="auto"/>
        <w:jc w:val="center"/>
        <w:rPr>
          <w:rFonts w:ascii="Arial" w:hAnsi="Arial" w:cs="Arial"/>
        </w:rPr>
        <w:sectPr w:rsidR="00210065" w:rsidRPr="00D332F6" w:rsidSect="004608D8">
          <w:pgSz w:w="11906" w:h="16838"/>
          <w:pgMar w:top="1440" w:right="1440" w:bottom="1440" w:left="1440" w:header="0" w:footer="0" w:gutter="0"/>
          <w:cols w:space="720"/>
          <w:formProt w:val="0"/>
          <w:docGrid w:linePitch="360" w:charSpace="-2049"/>
        </w:sectPr>
      </w:pPr>
      <w:r w:rsidRPr="00D332F6">
        <w:rPr>
          <w:rFonts w:ascii="Arial" w:hAnsi="Arial" w:cs="Arial"/>
          <w:noProof/>
        </w:rPr>
        <w:drawing>
          <wp:inline distT="0" distB="0" distL="0" distR="0" wp14:anchorId="4989E114" wp14:editId="18B06059">
            <wp:extent cx="5322627" cy="946290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de1.TIF"/>
                    <pic:cNvPicPr/>
                  </pic:nvPicPr>
                  <pic:blipFill>
                    <a:blip r:embed="rId30">
                      <a:extLst>
                        <a:ext uri="{28A0092B-C50C-407E-A947-70E740481C1C}">
                          <a14:useLocalDpi xmlns:a14="http://schemas.microsoft.com/office/drawing/2010/main" val="0"/>
                        </a:ext>
                      </a:extLst>
                    </a:blip>
                    <a:stretch>
                      <a:fillRect/>
                    </a:stretch>
                  </pic:blipFill>
                  <pic:spPr>
                    <a:xfrm>
                      <a:off x="0" y="0"/>
                      <a:ext cx="5327168" cy="9470973"/>
                    </a:xfrm>
                    <a:prstGeom prst="rect">
                      <a:avLst/>
                    </a:prstGeom>
                  </pic:spPr>
                </pic:pic>
              </a:graphicData>
            </a:graphic>
          </wp:inline>
        </w:drawing>
      </w:r>
    </w:p>
    <w:p w14:paraId="68F13120" w14:textId="0DC5921E" w:rsidR="00BD59D6" w:rsidRPr="00D332F6" w:rsidRDefault="00BD59D6">
      <w:pPr>
        <w:spacing w:line="360" w:lineRule="auto"/>
        <w:rPr>
          <w:rFonts w:ascii="Arial" w:hAnsi="Arial" w:cs="Arial"/>
        </w:rPr>
      </w:pPr>
    </w:p>
    <w:sectPr w:rsidR="00BD59D6" w:rsidRPr="00D332F6" w:rsidSect="001964BB">
      <w:pgSz w:w="16838" w:h="11906" w:orient="landscape"/>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DB7C8" w14:textId="77777777" w:rsidR="00BF18C5" w:rsidRDefault="00BF18C5">
      <w:pPr>
        <w:spacing w:after="0" w:line="240" w:lineRule="auto"/>
      </w:pPr>
      <w:r>
        <w:separator/>
      </w:r>
    </w:p>
  </w:endnote>
  <w:endnote w:type="continuationSeparator" w:id="0">
    <w:p w14:paraId="1B061F8B" w14:textId="77777777" w:rsidR="00BF18C5" w:rsidRDefault="00BF18C5">
      <w:pPr>
        <w:spacing w:after="0" w:line="240" w:lineRule="auto"/>
      </w:pPr>
      <w:r>
        <w:continuationSeparator/>
      </w:r>
    </w:p>
  </w:endnote>
  <w:endnote w:type="continuationNotice" w:id="1">
    <w:p w14:paraId="4E01A54B" w14:textId="77777777" w:rsidR="00BF18C5" w:rsidRDefault="00BF18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04707"/>
      <w:docPartObj>
        <w:docPartGallery w:val="Page Numbers (Bottom of Page)"/>
        <w:docPartUnique/>
      </w:docPartObj>
    </w:sdtPr>
    <w:sdtEndPr>
      <w:rPr>
        <w:noProof/>
      </w:rPr>
    </w:sdtEndPr>
    <w:sdtContent>
      <w:p w14:paraId="055946BE" w14:textId="6A0CE18F" w:rsidR="00284A4A" w:rsidRDefault="00284A4A">
        <w:pPr>
          <w:pStyle w:val="Footer"/>
        </w:pPr>
        <w:r>
          <w:fldChar w:fldCharType="begin"/>
        </w:r>
        <w:r>
          <w:instrText xml:space="preserve"> PAGE   \* MERGEFORMAT </w:instrText>
        </w:r>
        <w:r>
          <w:fldChar w:fldCharType="separate"/>
        </w:r>
        <w:r>
          <w:rPr>
            <w:noProof/>
          </w:rPr>
          <w:t>2</w:t>
        </w:r>
        <w:r>
          <w:rPr>
            <w:noProof/>
          </w:rPr>
          <w:fldChar w:fldCharType="end"/>
        </w:r>
      </w:p>
    </w:sdtContent>
  </w:sdt>
  <w:p w14:paraId="68F13192" w14:textId="77777777" w:rsidR="00CD12C8" w:rsidRDefault="00CD1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3195" w14:textId="77777777" w:rsidR="00CD12C8" w:rsidRDefault="00CD12C8">
    <w:pPr>
      <w:pStyle w:val="Footer"/>
    </w:pPr>
    <w:r>
      <w:fldChar w:fldCharType="begin"/>
    </w:r>
    <w:r>
      <w:instrText>PAGE</w:instrText>
    </w:r>
    <w:r>
      <w:fldChar w:fldCharType="separate"/>
    </w:r>
    <w:r>
      <w:t>20</w:t>
    </w:r>
    <w:r>
      <w:fldChar w:fldCharType="end"/>
    </w:r>
  </w:p>
  <w:p w14:paraId="68F13196" w14:textId="77777777" w:rsidR="00CD12C8" w:rsidRDefault="00CD1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319D" w14:textId="77777777" w:rsidR="00CD12C8" w:rsidRDefault="00CD12C8">
    <w:pPr>
      <w:pStyle w:val="Footer"/>
    </w:pPr>
    <w:r>
      <w:fldChar w:fldCharType="begin"/>
    </w:r>
    <w:r>
      <w:instrText>PAGE</w:instrText>
    </w:r>
    <w:r>
      <w:fldChar w:fldCharType="separate"/>
    </w:r>
    <w:r>
      <w:t>38</w:t>
    </w:r>
    <w:r>
      <w:fldChar w:fldCharType="end"/>
    </w:r>
  </w:p>
  <w:p w14:paraId="68F1319E" w14:textId="77777777" w:rsidR="00CD12C8" w:rsidRDefault="00CD1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88533" w14:textId="77777777" w:rsidR="00BF18C5" w:rsidRDefault="00BF18C5">
      <w:pPr>
        <w:spacing w:after="0" w:line="240" w:lineRule="auto"/>
      </w:pPr>
      <w:r>
        <w:separator/>
      </w:r>
    </w:p>
  </w:footnote>
  <w:footnote w:type="continuationSeparator" w:id="0">
    <w:p w14:paraId="0856CB1A" w14:textId="77777777" w:rsidR="00BF18C5" w:rsidRDefault="00BF18C5">
      <w:pPr>
        <w:spacing w:after="0" w:line="240" w:lineRule="auto"/>
      </w:pPr>
      <w:r>
        <w:continuationSeparator/>
      </w:r>
    </w:p>
  </w:footnote>
  <w:footnote w:type="continuationNotice" w:id="1">
    <w:p w14:paraId="7DD13320" w14:textId="77777777" w:rsidR="00BF18C5" w:rsidRDefault="00BF18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318F" w14:textId="77777777" w:rsidR="00CD12C8" w:rsidRDefault="00CD12C8">
    <w:pPr>
      <w:pStyle w:val="Header"/>
    </w:pPr>
    <w:r>
      <w:tab/>
    </w:r>
    <w:r>
      <w:tab/>
      <w:t>Performance of HCC prediction models</w:t>
    </w:r>
  </w:p>
  <w:p w14:paraId="68F13190" w14:textId="77777777" w:rsidR="00CD12C8" w:rsidRDefault="00CD1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3193" w14:textId="77777777" w:rsidR="00CD12C8" w:rsidRDefault="00CD12C8">
    <w:pPr>
      <w:pStyle w:val="Header"/>
    </w:pPr>
    <w:r>
      <w:tab/>
    </w:r>
    <w:r>
      <w:tab/>
      <w:t>Performance of HCC prediction models</w:t>
    </w:r>
  </w:p>
  <w:p w14:paraId="68F13194" w14:textId="77777777" w:rsidR="00CD12C8" w:rsidRDefault="00CD1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319B" w14:textId="77777777" w:rsidR="00CD12C8" w:rsidRDefault="00CD12C8">
    <w:pPr>
      <w:pStyle w:val="Header"/>
    </w:pPr>
    <w:r>
      <w:tab/>
    </w:r>
    <w:r>
      <w:tab/>
      <w:t>Performance of HCC prediction models</w:t>
    </w:r>
  </w:p>
  <w:p w14:paraId="68F1319C" w14:textId="77777777" w:rsidR="00CD12C8" w:rsidRDefault="00CD1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59CF"/>
    <w:multiLevelType w:val="multilevel"/>
    <w:tmpl w:val="5D12021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9FD4DFF"/>
    <w:multiLevelType w:val="hybridMultilevel"/>
    <w:tmpl w:val="5DA278E0"/>
    <w:lvl w:ilvl="0" w:tplc="B85A02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96D27"/>
    <w:multiLevelType w:val="hybridMultilevel"/>
    <w:tmpl w:val="4F18D26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F255C9"/>
    <w:multiLevelType w:val="hybridMultilevel"/>
    <w:tmpl w:val="CEE4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06E22"/>
    <w:multiLevelType w:val="hybridMultilevel"/>
    <w:tmpl w:val="D84A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15C6B"/>
    <w:multiLevelType w:val="multilevel"/>
    <w:tmpl w:val="709225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BDF10E1"/>
    <w:multiLevelType w:val="hybridMultilevel"/>
    <w:tmpl w:val="AB36DC54"/>
    <w:lvl w:ilvl="0" w:tplc="7BA624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55B35"/>
    <w:multiLevelType w:val="hybridMultilevel"/>
    <w:tmpl w:val="8676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B522E2"/>
    <w:multiLevelType w:val="hybridMultilevel"/>
    <w:tmpl w:val="42AAD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FD3429"/>
    <w:multiLevelType w:val="multilevel"/>
    <w:tmpl w:val="79D6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D203C2"/>
    <w:multiLevelType w:val="multilevel"/>
    <w:tmpl w:val="AC46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7"/>
  </w:num>
  <w:num w:numId="5">
    <w:abstractNumId w:val="4"/>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D6"/>
    <w:rsid w:val="000042EE"/>
    <w:rsid w:val="00006847"/>
    <w:rsid w:val="00006CBB"/>
    <w:rsid w:val="00007932"/>
    <w:rsid w:val="00012A0C"/>
    <w:rsid w:val="00020A5F"/>
    <w:rsid w:val="0002531D"/>
    <w:rsid w:val="000516AA"/>
    <w:rsid w:val="000579AB"/>
    <w:rsid w:val="00067902"/>
    <w:rsid w:val="000719C1"/>
    <w:rsid w:val="000737F6"/>
    <w:rsid w:val="00077014"/>
    <w:rsid w:val="000946FC"/>
    <w:rsid w:val="0009485C"/>
    <w:rsid w:val="000A06A7"/>
    <w:rsid w:val="000B1982"/>
    <w:rsid w:val="000B5882"/>
    <w:rsid w:val="000D1AE9"/>
    <w:rsid w:val="000D36B5"/>
    <w:rsid w:val="000D3CDD"/>
    <w:rsid w:val="000E021E"/>
    <w:rsid w:val="000E17E5"/>
    <w:rsid w:val="000E1C2C"/>
    <w:rsid w:val="000E2AA2"/>
    <w:rsid w:val="000E3DEC"/>
    <w:rsid w:val="00101274"/>
    <w:rsid w:val="00102333"/>
    <w:rsid w:val="00102D5F"/>
    <w:rsid w:val="001074FB"/>
    <w:rsid w:val="001134E8"/>
    <w:rsid w:val="001167C6"/>
    <w:rsid w:val="00134350"/>
    <w:rsid w:val="001539DE"/>
    <w:rsid w:val="001575FF"/>
    <w:rsid w:val="001729DD"/>
    <w:rsid w:val="001732B8"/>
    <w:rsid w:val="00173D6E"/>
    <w:rsid w:val="00175758"/>
    <w:rsid w:val="001765F3"/>
    <w:rsid w:val="001775E7"/>
    <w:rsid w:val="00182660"/>
    <w:rsid w:val="00185D34"/>
    <w:rsid w:val="001964BB"/>
    <w:rsid w:val="00196A17"/>
    <w:rsid w:val="001971FE"/>
    <w:rsid w:val="001A301D"/>
    <w:rsid w:val="001C0855"/>
    <w:rsid w:val="001C4CFA"/>
    <w:rsid w:val="001D67FF"/>
    <w:rsid w:val="001E63C4"/>
    <w:rsid w:val="001F1414"/>
    <w:rsid w:val="0020175A"/>
    <w:rsid w:val="00210065"/>
    <w:rsid w:val="0021173C"/>
    <w:rsid w:val="00213B0F"/>
    <w:rsid w:val="0021524F"/>
    <w:rsid w:val="00224194"/>
    <w:rsid w:val="00224211"/>
    <w:rsid w:val="00226C4F"/>
    <w:rsid w:val="002275B4"/>
    <w:rsid w:val="002308F8"/>
    <w:rsid w:val="0024004B"/>
    <w:rsid w:val="00242E53"/>
    <w:rsid w:val="00254EAD"/>
    <w:rsid w:val="00264BBF"/>
    <w:rsid w:val="0027224F"/>
    <w:rsid w:val="00272FA2"/>
    <w:rsid w:val="00277187"/>
    <w:rsid w:val="00284A4A"/>
    <w:rsid w:val="00284B0F"/>
    <w:rsid w:val="00290992"/>
    <w:rsid w:val="00294F1E"/>
    <w:rsid w:val="00295256"/>
    <w:rsid w:val="002B02AE"/>
    <w:rsid w:val="002B1816"/>
    <w:rsid w:val="002B2A78"/>
    <w:rsid w:val="002C36B6"/>
    <w:rsid w:val="002C6647"/>
    <w:rsid w:val="002D4CFA"/>
    <w:rsid w:val="002E2160"/>
    <w:rsid w:val="002E7D60"/>
    <w:rsid w:val="002F098E"/>
    <w:rsid w:val="002F1558"/>
    <w:rsid w:val="003074B8"/>
    <w:rsid w:val="00310E17"/>
    <w:rsid w:val="00315536"/>
    <w:rsid w:val="003156AC"/>
    <w:rsid w:val="00315EC5"/>
    <w:rsid w:val="0032006D"/>
    <w:rsid w:val="00320CC2"/>
    <w:rsid w:val="003225BC"/>
    <w:rsid w:val="0032436B"/>
    <w:rsid w:val="0032553E"/>
    <w:rsid w:val="00325730"/>
    <w:rsid w:val="003320F5"/>
    <w:rsid w:val="00332D6B"/>
    <w:rsid w:val="0033510F"/>
    <w:rsid w:val="00340209"/>
    <w:rsid w:val="003642E2"/>
    <w:rsid w:val="00371A90"/>
    <w:rsid w:val="00373B0B"/>
    <w:rsid w:val="00380067"/>
    <w:rsid w:val="003A496E"/>
    <w:rsid w:val="003B14CC"/>
    <w:rsid w:val="003B5587"/>
    <w:rsid w:val="003B67D9"/>
    <w:rsid w:val="003C2A64"/>
    <w:rsid w:val="003C42C0"/>
    <w:rsid w:val="003C5FD9"/>
    <w:rsid w:val="003D2760"/>
    <w:rsid w:val="003D27AC"/>
    <w:rsid w:val="003D3192"/>
    <w:rsid w:val="003E4684"/>
    <w:rsid w:val="003F1C1F"/>
    <w:rsid w:val="003F24DB"/>
    <w:rsid w:val="003F54C5"/>
    <w:rsid w:val="00403E33"/>
    <w:rsid w:val="00426159"/>
    <w:rsid w:val="004333AE"/>
    <w:rsid w:val="00433FA9"/>
    <w:rsid w:val="004466D3"/>
    <w:rsid w:val="004569E0"/>
    <w:rsid w:val="004608D8"/>
    <w:rsid w:val="00474BC2"/>
    <w:rsid w:val="00477B48"/>
    <w:rsid w:val="00493F05"/>
    <w:rsid w:val="0049559C"/>
    <w:rsid w:val="00495FB3"/>
    <w:rsid w:val="004A7F02"/>
    <w:rsid w:val="004C2001"/>
    <w:rsid w:val="004C66F9"/>
    <w:rsid w:val="004D02D2"/>
    <w:rsid w:val="004E1356"/>
    <w:rsid w:val="004E47C8"/>
    <w:rsid w:val="004E525B"/>
    <w:rsid w:val="004F3F91"/>
    <w:rsid w:val="00505078"/>
    <w:rsid w:val="00520E23"/>
    <w:rsid w:val="00525223"/>
    <w:rsid w:val="005308DD"/>
    <w:rsid w:val="00537689"/>
    <w:rsid w:val="00541101"/>
    <w:rsid w:val="0054552C"/>
    <w:rsid w:val="005563D3"/>
    <w:rsid w:val="0056055B"/>
    <w:rsid w:val="00561449"/>
    <w:rsid w:val="00566BF7"/>
    <w:rsid w:val="0057395F"/>
    <w:rsid w:val="00573CD3"/>
    <w:rsid w:val="00583D93"/>
    <w:rsid w:val="00585413"/>
    <w:rsid w:val="0059097B"/>
    <w:rsid w:val="005A116A"/>
    <w:rsid w:val="005B1F30"/>
    <w:rsid w:val="005B5A5B"/>
    <w:rsid w:val="005C030A"/>
    <w:rsid w:val="005C05C5"/>
    <w:rsid w:val="005C2F37"/>
    <w:rsid w:val="005C3526"/>
    <w:rsid w:val="005C482C"/>
    <w:rsid w:val="005C5A13"/>
    <w:rsid w:val="005C6E17"/>
    <w:rsid w:val="005E0C08"/>
    <w:rsid w:val="005E74FC"/>
    <w:rsid w:val="005F5428"/>
    <w:rsid w:val="00604B5C"/>
    <w:rsid w:val="006111DA"/>
    <w:rsid w:val="00624813"/>
    <w:rsid w:val="00627FFA"/>
    <w:rsid w:val="006452E6"/>
    <w:rsid w:val="0065242A"/>
    <w:rsid w:val="00656CF5"/>
    <w:rsid w:val="00661E4B"/>
    <w:rsid w:val="00664741"/>
    <w:rsid w:val="00667498"/>
    <w:rsid w:val="006701C3"/>
    <w:rsid w:val="0068165F"/>
    <w:rsid w:val="0068500B"/>
    <w:rsid w:val="00687BCD"/>
    <w:rsid w:val="00691D10"/>
    <w:rsid w:val="00695723"/>
    <w:rsid w:val="006A1F2F"/>
    <w:rsid w:val="006B64EA"/>
    <w:rsid w:val="006D3747"/>
    <w:rsid w:val="006D6392"/>
    <w:rsid w:val="006E280E"/>
    <w:rsid w:val="006E6AE9"/>
    <w:rsid w:val="006E70BA"/>
    <w:rsid w:val="006F01E3"/>
    <w:rsid w:val="006F13A9"/>
    <w:rsid w:val="006F26A1"/>
    <w:rsid w:val="006F7943"/>
    <w:rsid w:val="0070592A"/>
    <w:rsid w:val="007060C0"/>
    <w:rsid w:val="00706636"/>
    <w:rsid w:val="00712D9F"/>
    <w:rsid w:val="0071409B"/>
    <w:rsid w:val="00735F4F"/>
    <w:rsid w:val="00737786"/>
    <w:rsid w:val="00743484"/>
    <w:rsid w:val="0074419C"/>
    <w:rsid w:val="007535DA"/>
    <w:rsid w:val="00760B0A"/>
    <w:rsid w:val="007736F1"/>
    <w:rsid w:val="0077436C"/>
    <w:rsid w:val="007767C6"/>
    <w:rsid w:val="00776DAE"/>
    <w:rsid w:val="00781A4F"/>
    <w:rsid w:val="00790EBB"/>
    <w:rsid w:val="00794A90"/>
    <w:rsid w:val="007971A1"/>
    <w:rsid w:val="007A3951"/>
    <w:rsid w:val="007A54EC"/>
    <w:rsid w:val="007B5472"/>
    <w:rsid w:val="007B6CAA"/>
    <w:rsid w:val="007B728C"/>
    <w:rsid w:val="007C5CCF"/>
    <w:rsid w:val="007E7A00"/>
    <w:rsid w:val="007F2B7C"/>
    <w:rsid w:val="007F2CF2"/>
    <w:rsid w:val="007F556C"/>
    <w:rsid w:val="00800798"/>
    <w:rsid w:val="00810C7A"/>
    <w:rsid w:val="0081115F"/>
    <w:rsid w:val="008121D4"/>
    <w:rsid w:val="008135C0"/>
    <w:rsid w:val="00813B52"/>
    <w:rsid w:val="00831296"/>
    <w:rsid w:val="00844F8A"/>
    <w:rsid w:val="0084672A"/>
    <w:rsid w:val="00850AD9"/>
    <w:rsid w:val="008649E8"/>
    <w:rsid w:val="0087743F"/>
    <w:rsid w:val="00881BCD"/>
    <w:rsid w:val="0089065A"/>
    <w:rsid w:val="008940BE"/>
    <w:rsid w:val="00894B22"/>
    <w:rsid w:val="00895AF6"/>
    <w:rsid w:val="00895FCA"/>
    <w:rsid w:val="00896C00"/>
    <w:rsid w:val="008A5435"/>
    <w:rsid w:val="008A79BC"/>
    <w:rsid w:val="008B23E4"/>
    <w:rsid w:val="008B2CC6"/>
    <w:rsid w:val="008B4F39"/>
    <w:rsid w:val="008B7640"/>
    <w:rsid w:val="008D1660"/>
    <w:rsid w:val="008E1F73"/>
    <w:rsid w:val="008E4B9E"/>
    <w:rsid w:val="008E516A"/>
    <w:rsid w:val="008F0E98"/>
    <w:rsid w:val="008F1A69"/>
    <w:rsid w:val="008F3570"/>
    <w:rsid w:val="00917075"/>
    <w:rsid w:val="00921F26"/>
    <w:rsid w:val="009233F2"/>
    <w:rsid w:val="00927455"/>
    <w:rsid w:val="00933CCC"/>
    <w:rsid w:val="00940DDB"/>
    <w:rsid w:val="00943333"/>
    <w:rsid w:val="00950D0E"/>
    <w:rsid w:val="0095197D"/>
    <w:rsid w:val="0095336C"/>
    <w:rsid w:val="00953E5E"/>
    <w:rsid w:val="00955DBB"/>
    <w:rsid w:val="00971B23"/>
    <w:rsid w:val="00972273"/>
    <w:rsid w:val="009762FF"/>
    <w:rsid w:val="00977D9E"/>
    <w:rsid w:val="00983053"/>
    <w:rsid w:val="009A0AB7"/>
    <w:rsid w:val="009B159E"/>
    <w:rsid w:val="009C1171"/>
    <w:rsid w:val="009C5C76"/>
    <w:rsid w:val="009C6551"/>
    <w:rsid w:val="009D4569"/>
    <w:rsid w:val="009D78E7"/>
    <w:rsid w:val="009E3BE3"/>
    <w:rsid w:val="00A048A0"/>
    <w:rsid w:val="00A0524B"/>
    <w:rsid w:val="00A103C1"/>
    <w:rsid w:val="00A114FE"/>
    <w:rsid w:val="00A2498C"/>
    <w:rsid w:val="00A300D8"/>
    <w:rsid w:val="00A44669"/>
    <w:rsid w:val="00A455CC"/>
    <w:rsid w:val="00A4597D"/>
    <w:rsid w:val="00A50849"/>
    <w:rsid w:val="00A60475"/>
    <w:rsid w:val="00A9195B"/>
    <w:rsid w:val="00A923FD"/>
    <w:rsid w:val="00A94B38"/>
    <w:rsid w:val="00A965DB"/>
    <w:rsid w:val="00A96628"/>
    <w:rsid w:val="00AA1F46"/>
    <w:rsid w:val="00AA4D50"/>
    <w:rsid w:val="00AA7EEB"/>
    <w:rsid w:val="00AB7BCF"/>
    <w:rsid w:val="00AC4363"/>
    <w:rsid w:val="00AD69C0"/>
    <w:rsid w:val="00AE263B"/>
    <w:rsid w:val="00B074F6"/>
    <w:rsid w:val="00B079DB"/>
    <w:rsid w:val="00B20BA4"/>
    <w:rsid w:val="00B242F6"/>
    <w:rsid w:val="00B279D5"/>
    <w:rsid w:val="00B3319E"/>
    <w:rsid w:val="00B35069"/>
    <w:rsid w:val="00B36275"/>
    <w:rsid w:val="00B36945"/>
    <w:rsid w:val="00B41463"/>
    <w:rsid w:val="00B4287A"/>
    <w:rsid w:val="00B45BA9"/>
    <w:rsid w:val="00B46944"/>
    <w:rsid w:val="00B51519"/>
    <w:rsid w:val="00B5157D"/>
    <w:rsid w:val="00B51DB7"/>
    <w:rsid w:val="00B532D4"/>
    <w:rsid w:val="00B557AB"/>
    <w:rsid w:val="00B55D3F"/>
    <w:rsid w:val="00B66E19"/>
    <w:rsid w:val="00B70675"/>
    <w:rsid w:val="00B808EB"/>
    <w:rsid w:val="00B900D4"/>
    <w:rsid w:val="00B90F2E"/>
    <w:rsid w:val="00BA3F31"/>
    <w:rsid w:val="00BB01AF"/>
    <w:rsid w:val="00BB2D9F"/>
    <w:rsid w:val="00BB5247"/>
    <w:rsid w:val="00BB7B61"/>
    <w:rsid w:val="00BC0C8F"/>
    <w:rsid w:val="00BD16F9"/>
    <w:rsid w:val="00BD1909"/>
    <w:rsid w:val="00BD59D6"/>
    <w:rsid w:val="00BE6DA4"/>
    <w:rsid w:val="00BF02C8"/>
    <w:rsid w:val="00BF18C5"/>
    <w:rsid w:val="00BF7E49"/>
    <w:rsid w:val="00C07E5B"/>
    <w:rsid w:val="00C12578"/>
    <w:rsid w:val="00C2503D"/>
    <w:rsid w:val="00C31D6F"/>
    <w:rsid w:val="00C50782"/>
    <w:rsid w:val="00C5260B"/>
    <w:rsid w:val="00C70B67"/>
    <w:rsid w:val="00C81050"/>
    <w:rsid w:val="00C91482"/>
    <w:rsid w:val="00C93F23"/>
    <w:rsid w:val="00CA0351"/>
    <w:rsid w:val="00CB1C98"/>
    <w:rsid w:val="00CB25BE"/>
    <w:rsid w:val="00CB7B95"/>
    <w:rsid w:val="00CC0E2C"/>
    <w:rsid w:val="00CC4380"/>
    <w:rsid w:val="00CD12C8"/>
    <w:rsid w:val="00CD1FED"/>
    <w:rsid w:val="00CD48B2"/>
    <w:rsid w:val="00CF1459"/>
    <w:rsid w:val="00CF3F8B"/>
    <w:rsid w:val="00D0590F"/>
    <w:rsid w:val="00D066BB"/>
    <w:rsid w:val="00D15002"/>
    <w:rsid w:val="00D15E92"/>
    <w:rsid w:val="00D161DC"/>
    <w:rsid w:val="00D178BD"/>
    <w:rsid w:val="00D2078B"/>
    <w:rsid w:val="00D2504C"/>
    <w:rsid w:val="00D26F48"/>
    <w:rsid w:val="00D307A8"/>
    <w:rsid w:val="00D332F6"/>
    <w:rsid w:val="00D34825"/>
    <w:rsid w:val="00D53256"/>
    <w:rsid w:val="00D602E3"/>
    <w:rsid w:val="00D60C42"/>
    <w:rsid w:val="00D74688"/>
    <w:rsid w:val="00D74B00"/>
    <w:rsid w:val="00D807B6"/>
    <w:rsid w:val="00D813D3"/>
    <w:rsid w:val="00D91167"/>
    <w:rsid w:val="00D93003"/>
    <w:rsid w:val="00D976D3"/>
    <w:rsid w:val="00DB1BEF"/>
    <w:rsid w:val="00DB2322"/>
    <w:rsid w:val="00DB5334"/>
    <w:rsid w:val="00DB7D35"/>
    <w:rsid w:val="00DC169D"/>
    <w:rsid w:val="00DC76EF"/>
    <w:rsid w:val="00DD0AE6"/>
    <w:rsid w:val="00DE7E35"/>
    <w:rsid w:val="00DF036F"/>
    <w:rsid w:val="00E00DCC"/>
    <w:rsid w:val="00E03DCC"/>
    <w:rsid w:val="00E06D03"/>
    <w:rsid w:val="00E06F23"/>
    <w:rsid w:val="00E12DBD"/>
    <w:rsid w:val="00E1353E"/>
    <w:rsid w:val="00E209E9"/>
    <w:rsid w:val="00E3020F"/>
    <w:rsid w:val="00E31C80"/>
    <w:rsid w:val="00E453DE"/>
    <w:rsid w:val="00E5685B"/>
    <w:rsid w:val="00E62417"/>
    <w:rsid w:val="00E82B8B"/>
    <w:rsid w:val="00E83917"/>
    <w:rsid w:val="00E87341"/>
    <w:rsid w:val="00E87E41"/>
    <w:rsid w:val="00E973A5"/>
    <w:rsid w:val="00E97D6A"/>
    <w:rsid w:val="00EA75CF"/>
    <w:rsid w:val="00EB2599"/>
    <w:rsid w:val="00EB35B4"/>
    <w:rsid w:val="00EB5194"/>
    <w:rsid w:val="00EB628C"/>
    <w:rsid w:val="00EC7B0F"/>
    <w:rsid w:val="00EF3566"/>
    <w:rsid w:val="00EF3C32"/>
    <w:rsid w:val="00EF6069"/>
    <w:rsid w:val="00F06871"/>
    <w:rsid w:val="00F1051F"/>
    <w:rsid w:val="00F113FE"/>
    <w:rsid w:val="00F12EC4"/>
    <w:rsid w:val="00F167B4"/>
    <w:rsid w:val="00F239F3"/>
    <w:rsid w:val="00F27DF2"/>
    <w:rsid w:val="00F3154D"/>
    <w:rsid w:val="00F35BCD"/>
    <w:rsid w:val="00F40DBE"/>
    <w:rsid w:val="00F42ECC"/>
    <w:rsid w:val="00F459F5"/>
    <w:rsid w:val="00F521D8"/>
    <w:rsid w:val="00F54703"/>
    <w:rsid w:val="00F7211F"/>
    <w:rsid w:val="00F77806"/>
    <w:rsid w:val="00F80E2B"/>
    <w:rsid w:val="00F821EC"/>
    <w:rsid w:val="00F8519B"/>
    <w:rsid w:val="00F870E9"/>
    <w:rsid w:val="00F913F9"/>
    <w:rsid w:val="00F935DC"/>
    <w:rsid w:val="00FA49DE"/>
    <w:rsid w:val="00FB6E42"/>
    <w:rsid w:val="00FD44AB"/>
    <w:rsid w:val="00FD54B9"/>
    <w:rsid w:val="00FE250E"/>
    <w:rsid w:val="00FE72E4"/>
    <w:rsid w:val="00FE73B8"/>
    <w:rsid w:val="00FE75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2F84"/>
  <w15:docId w15:val="{8FC0C501-2B53-40B1-B816-C4B67874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atentStyles>
  <w:style w:type="paragraph" w:default="1" w:styleId="Normal">
    <w:name w:val="Normal"/>
    <w:qFormat/>
    <w:pPr>
      <w:spacing w:after="160" w:line="259" w:lineRule="auto"/>
    </w:pPr>
    <w:rPr>
      <w:color w:val="00000A"/>
      <w:sz w:val="22"/>
    </w:rPr>
  </w:style>
  <w:style w:type="paragraph" w:styleId="Heading1">
    <w:name w:val="heading 1"/>
    <w:basedOn w:val="Heading"/>
    <w:uiPriority w:val="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qFormat/>
    <w:rPr>
      <w:sz w:val="16"/>
      <w:szCs w:val="16"/>
    </w:rPr>
  </w:style>
  <w:style w:type="character" w:customStyle="1" w:styleId="KommentartekstTegn">
    <w:name w:val="Kommentartekst Tegn"/>
    <w:basedOn w:val="DefaultParagraphFont"/>
    <w:qFormat/>
    <w:rPr>
      <w:sz w:val="20"/>
      <w:szCs w:val="20"/>
    </w:rPr>
  </w:style>
  <w:style w:type="character" w:customStyle="1" w:styleId="KommentaremneTegn">
    <w:name w:val="Kommentaremne Tegn"/>
    <w:basedOn w:val="KommentartekstTegn"/>
    <w:qFormat/>
    <w:rPr>
      <w:b/>
      <w:bCs/>
      <w:sz w:val="20"/>
      <w:szCs w:val="20"/>
    </w:rPr>
  </w:style>
  <w:style w:type="character" w:customStyle="1" w:styleId="MarkeringsbobletekstTegn">
    <w:name w:val="Markeringsbobletekst Tegn"/>
    <w:basedOn w:val="DefaultParagraphFont"/>
    <w:qFormat/>
    <w:rPr>
      <w:rFonts w:ascii="Segoe UI" w:hAnsi="Segoe UI" w:cs="Segoe UI"/>
      <w:sz w:val="18"/>
      <w:szCs w:val="18"/>
    </w:rPr>
  </w:style>
  <w:style w:type="character" w:customStyle="1" w:styleId="InternetLink">
    <w:name w:val="Internet Link"/>
    <w:basedOn w:val="DefaultParagraphFont"/>
    <w:rPr>
      <w:color w:val="0563C1"/>
      <w:u w:val="single"/>
    </w:rPr>
  </w:style>
  <w:style w:type="character" w:customStyle="1" w:styleId="SidehovedTegn">
    <w:name w:val="Sidehoved Tegn"/>
    <w:basedOn w:val="DefaultParagraphFont"/>
    <w:qFormat/>
  </w:style>
  <w:style w:type="character" w:customStyle="1" w:styleId="SidefodTegn">
    <w:name w:val="Sidefod Tegn"/>
    <w:basedOn w:val="DefaultParagraphFont"/>
    <w:qFormat/>
  </w:style>
  <w:style w:type="character" w:customStyle="1" w:styleId="UnresolvedMention1">
    <w:name w:val="Unresolved Mention1"/>
    <w:basedOn w:val="DefaultParagraphFont"/>
    <w:qFormat/>
    <w:rPr>
      <w:color w:val="605E5C"/>
      <w:highlight w:val="lightGray"/>
    </w:rPr>
  </w:style>
  <w:style w:type="character" w:styleId="FollowedHyperlink">
    <w:name w:val="FollowedHyperlink"/>
    <w:basedOn w:val="DefaultParagraphFont"/>
    <w:qFormat/>
    <w:rPr>
      <w:color w:val="954F72"/>
      <w:u w:val="single"/>
    </w:rPr>
  </w:style>
  <w:style w:type="character" w:styleId="UnresolvedMention">
    <w:name w:val="Unresolved Mention"/>
    <w:basedOn w:val="DefaultParagraphFont"/>
    <w:qFormat/>
    <w:rPr>
      <w:color w:val="605E5C"/>
      <w:highlight w:val="lightGray"/>
    </w:rPr>
  </w:style>
  <w:style w:type="character" w:customStyle="1" w:styleId="citation-doi">
    <w:name w:val="citation-doi"/>
    <w:basedOn w:val="DefaultParagraphFont"/>
    <w:qFormat/>
  </w:style>
  <w:style w:type="character" w:customStyle="1" w:styleId="authors-list-item">
    <w:name w:val="authors-list-item"/>
    <w:basedOn w:val="DefaultParagraphFont"/>
    <w:qFormat/>
  </w:style>
  <w:style w:type="character" w:styleId="Strong">
    <w:name w:val="Strong"/>
    <w:basedOn w:val="DefaultParagraphFont"/>
    <w:uiPriority w:val="22"/>
    <w:qFormat/>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rFonts w:ascii="Arial" w:hAnsi="Arial"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34"/>
    <w:qFormat/>
    <w:pPr>
      <w:ind w:left="720"/>
      <w:contextualSpacing/>
    </w:p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240" w:lineRule="auto"/>
    </w:pPr>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link w:val="FooterChar"/>
    <w:uiPriority w:val="99"/>
    <w:pPr>
      <w:tabs>
        <w:tab w:val="center" w:pos="4513"/>
        <w:tab w:val="right" w:pos="9026"/>
      </w:tabs>
      <w:spacing w:after="0" w:line="240" w:lineRule="auto"/>
    </w:pPr>
  </w:style>
  <w:style w:type="paragraph" w:styleId="NormalWeb">
    <w:name w:val="Normal (Web)"/>
    <w:basedOn w:val="Normal"/>
    <w:uiPriority w:val="99"/>
    <w:qFormat/>
    <w:pPr>
      <w:spacing w:before="280" w:after="280" w:line="240" w:lineRule="auto"/>
    </w:pPr>
    <w:rPr>
      <w:rFonts w:ascii="Times New Roman" w:eastAsia="Times New Roman" w:hAnsi="Times New Roman" w:cs="Times New Roman"/>
      <w:sz w:val="24"/>
      <w:szCs w:val="24"/>
      <w:lang w:eastAsia="en-GB"/>
    </w:rPr>
  </w:style>
  <w:style w:type="paragraph" w:customStyle="1" w:styleId="Default">
    <w:name w:val="Default"/>
    <w:qFormat/>
    <w:rPr>
      <w:rFonts w:ascii="Arial" w:hAnsi="Arial" w:cs="Arial"/>
      <w:color w:val="000000"/>
      <w:sz w:val="24"/>
      <w:szCs w:val="24"/>
    </w:rPr>
  </w:style>
  <w:style w:type="paragraph" w:styleId="Revision">
    <w:name w:val="Revision"/>
    <w:qFormat/>
    <w:rPr>
      <w:color w:val="00000A"/>
      <w:sz w:val="22"/>
    </w:rPr>
  </w:style>
  <w:style w:type="paragraph" w:customStyle="1" w:styleId="TableContents">
    <w:name w:val="Table Contents"/>
    <w:basedOn w:val="Normal"/>
    <w:qFormat/>
  </w:style>
  <w:style w:type="character" w:styleId="Hyperlink">
    <w:name w:val="Hyperlink"/>
    <w:basedOn w:val="DefaultParagraphFont"/>
    <w:uiPriority w:val="99"/>
    <w:unhideWhenUsed/>
    <w:rsid w:val="001775E7"/>
    <w:rPr>
      <w:color w:val="0563C1" w:themeColor="hyperlink"/>
      <w:u w:val="single"/>
    </w:rPr>
  </w:style>
  <w:style w:type="character" w:customStyle="1" w:styleId="cit-source">
    <w:name w:val="cit-source"/>
    <w:basedOn w:val="DefaultParagraphFont"/>
    <w:rsid w:val="00196A17"/>
  </w:style>
  <w:style w:type="character" w:customStyle="1" w:styleId="cit-pub-date">
    <w:name w:val="cit-pub-date"/>
    <w:basedOn w:val="DefaultParagraphFont"/>
    <w:rsid w:val="00196A17"/>
  </w:style>
  <w:style w:type="character" w:styleId="Emphasis">
    <w:name w:val="Emphasis"/>
    <w:basedOn w:val="DefaultParagraphFont"/>
    <w:uiPriority w:val="20"/>
    <w:qFormat/>
    <w:rsid w:val="00E453DE"/>
    <w:rPr>
      <w:i/>
      <w:iCs/>
    </w:rPr>
  </w:style>
  <w:style w:type="character" w:customStyle="1" w:styleId="FooterChar">
    <w:name w:val="Footer Char"/>
    <w:basedOn w:val="DefaultParagraphFont"/>
    <w:link w:val="Footer"/>
    <w:uiPriority w:val="99"/>
    <w:rsid w:val="00284A4A"/>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97953">
      <w:bodyDiv w:val="1"/>
      <w:marLeft w:val="0"/>
      <w:marRight w:val="0"/>
      <w:marTop w:val="0"/>
      <w:marBottom w:val="0"/>
      <w:divBdr>
        <w:top w:val="none" w:sz="0" w:space="0" w:color="auto"/>
        <w:left w:val="none" w:sz="0" w:space="0" w:color="auto"/>
        <w:bottom w:val="none" w:sz="0" w:space="0" w:color="auto"/>
        <w:right w:val="none" w:sz="0" w:space="0" w:color="auto"/>
      </w:divBdr>
    </w:div>
    <w:div w:id="774444535">
      <w:bodyDiv w:val="1"/>
      <w:marLeft w:val="0"/>
      <w:marRight w:val="0"/>
      <w:marTop w:val="0"/>
      <w:marBottom w:val="0"/>
      <w:divBdr>
        <w:top w:val="none" w:sz="0" w:space="0" w:color="auto"/>
        <w:left w:val="none" w:sz="0" w:space="0" w:color="auto"/>
        <w:bottom w:val="none" w:sz="0" w:space="0" w:color="auto"/>
        <w:right w:val="none" w:sz="0" w:space="0" w:color="auto"/>
      </w:divBdr>
    </w:div>
    <w:div w:id="1045565641">
      <w:bodyDiv w:val="1"/>
      <w:marLeft w:val="0"/>
      <w:marRight w:val="0"/>
      <w:marTop w:val="0"/>
      <w:marBottom w:val="0"/>
      <w:divBdr>
        <w:top w:val="none" w:sz="0" w:space="0" w:color="auto"/>
        <w:left w:val="none" w:sz="0" w:space="0" w:color="auto"/>
        <w:bottom w:val="none" w:sz="0" w:space="0" w:color="auto"/>
        <w:right w:val="none" w:sz="0" w:space="0" w:color="auto"/>
      </w:divBdr>
    </w:div>
    <w:div w:id="1225726587">
      <w:bodyDiv w:val="1"/>
      <w:marLeft w:val="0"/>
      <w:marRight w:val="0"/>
      <w:marTop w:val="0"/>
      <w:marBottom w:val="0"/>
      <w:divBdr>
        <w:top w:val="none" w:sz="0" w:space="0" w:color="auto"/>
        <w:left w:val="none" w:sz="0" w:space="0" w:color="auto"/>
        <w:bottom w:val="none" w:sz="0" w:space="0" w:color="auto"/>
        <w:right w:val="none" w:sz="0" w:space="0" w:color="auto"/>
      </w:divBdr>
    </w:div>
    <w:div w:id="1952471525">
      <w:bodyDiv w:val="1"/>
      <w:marLeft w:val="0"/>
      <w:marRight w:val="0"/>
      <w:marTop w:val="0"/>
      <w:marBottom w:val="0"/>
      <w:divBdr>
        <w:top w:val="none" w:sz="0" w:space="0" w:color="auto"/>
        <w:left w:val="none" w:sz="0" w:space="0" w:color="auto"/>
        <w:bottom w:val="none" w:sz="0" w:space="0" w:color="auto"/>
        <w:right w:val="none" w:sz="0" w:space="0" w:color="auto"/>
      </w:divBdr>
    </w:div>
    <w:div w:id="2070033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il.guha@nottingham.ac.uk" TargetMode="External"/><Relationship Id="rId18" Type="http://schemas.openxmlformats.org/officeDocument/2006/relationships/hyperlink" Target="https://ideas.repec.org/s/boc/bocode.html" TargetMode="External"/><Relationship Id="rId26" Type="http://schemas.openxmlformats.org/officeDocument/2006/relationships/image" Target="media/image6.TIF"/><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s://www.informationgovernance.scot.nhs.uk/pbpphsc/home/for-applicants/" TargetMode="External"/><Relationship Id="rId17" Type="http://schemas.openxmlformats.org/officeDocument/2006/relationships/hyperlink" Target="https://ideas.repec.org/c/boc/bocode/s431301.html" TargetMode="External"/><Relationship Id="rId25" Type="http://schemas.openxmlformats.org/officeDocument/2006/relationships/image" Target="media/image5.TI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141-5332950"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ill.irving@nottingham.ac.uk" TargetMode="External"/><Relationship Id="rId22" Type="http://schemas.openxmlformats.org/officeDocument/2006/relationships/image" Target="media/image4.emf"/><Relationship Id="rId27" Type="http://schemas.openxmlformats.org/officeDocument/2006/relationships/image" Target="media/image7.TIF"/><Relationship Id="rId30" Type="http://schemas.openxmlformats.org/officeDocument/2006/relationships/image" Target="media/image8.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F986208005F419DECD6CB15DF6E56" ma:contentTypeVersion="9" ma:contentTypeDescription="Create a new document." ma:contentTypeScope="" ma:versionID="a62528f5fe12943175b7c936edc47bb1">
  <xsd:schema xmlns:xsd="http://www.w3.org/2001/XMLSchema" xmlns:xs="http://www.w3.org/2001/XMLSchema" xmlns:p="http://schemas.microsoft.com/office/2006/metadata/properties" xmlns:ns3="20b83aca-0868-4960-a086-37251fee34a1" targetNamespace="http://schemas.microsoft.com/office/2006/metadata/properties" ma:root="true" ma:fieldsID="d653efa889b98ffc5311b68a5db8dce2" ns3:_="">
    <xsd:import namespace="20b83aca-0868-4960-a086-37251fee3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83aca-0868-4960-a086-37251fee3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05936-10BF-404B-8A28-3095F4B9F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83aca-0868-4960-a086-37251fee3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126AD-CC7A-448D-98FE-0343430E27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1EC7C1-F63E-430D-851A-4C7677FF6746}">
  <ds:schemaRefs>
    <ds:schemaRef ds:uri="http://schemas.microsoft.com/sharepoint/v3/contenttype/forms"/>
  </ds:schemaRefs>
</ds:datastoreItem>
</file>

<file path=customXml/itemProps4.xml><?xml version="1.0" encoding="utf-8"?>
<ds:datastoreItem xmlns:ds="http://schemas.openxmlformats.org/officeDocument/2006/customXml" ds:itemID="{C0C790C1-0672-46EC-A5CD-B034F9B2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27</Pages>
  <Words>7309</Words>
  <Characters>41663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48875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Innes, Hamish</dc:creator>
  <cp:keywords/>
  <dc:description/>
  <cp:lastModifiedBy>Innes, Hamish</cp:lastModifiedBy>
  <cp:revision>178</cp:revision>
  <dcterms:created xsi:type="dcterms:W3CDTF">2021-05-28T07:06:00Z</dcterms:created>
  <dcterms:modified xsi:type="dcterms:W3CDTF">2021-08-30T12:17:00Z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0x010100F0DF986208005F419DECD6CB15DF6E56</vt:lpwstr>
  </property>
</Properties>
</file>