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CF996" w14:textId="570C1DAD" w:rsidR="00B77386" w:rsidRPr="00AE18E1" w:rsidRDefault="00B77386" w:rsidP="00B77386">
      <w:pPr>
        <w:jc w:val="both"/>
        <w:rPr>
          <w:rFonts w:asciiTheme="majorHAnsi" w:hAnsiTheme="majorHAnsi" w:cstheme="majorBidi"/>
          <w:b/>
        </w:rPr>
      </w:pPr>
      <w:r w:rsidRPr="1E60C679">
        <w:rPr>
          <w:rFonts w:asciiTheme="majorHAnsi" w:hAnsiTheme="majorHAnsi" w:cstheme="majorBidi"/>
          <w:b/>
        </w:rPr>
        <w:t xml:space="preserve">Recovery from Covid-19 critical illness: a secondary analysis </w:t>
      </w:r>
      <w:r w:rsidR="4E4A2F72" w:rsidRPr="4E4A2F72">
        <w:rPr>
          <w:rFonts w:asciiTheme="majorHAnsi" w:hAnsiTheme="majorHAnsi" w:cstheme="majorBidi"/>
          <w:b/>
          <w:bCs/>
        </w:rPr>
        <w:t>of the ISARIC4C CCP-UK cohort study and the RECOVER trial</w:t>
      </w:r>
    </w:p>
    <w:p w14:paraId="0A1FEF06" w14:textId="77777777" w:rsidR="00B77386" w:rsidRPr="00AE18E1" w:rsidRDefault="00B77386" w:rsidP="00B77386">
      <w:pPr>
        <w:jc w:val="both"/>
        <w:rPr>
          <w:rFonts w:asciiTheme="majorHAnsi" w:hAnsiTheme="majorHAnsi" w:cstheme="majorHAnsi"/>
          <w:b/>
        </w:rPr>
      </w:pPr>
    </w:p>
    <w:p w14:paraId="062172A7" w14:textId="31EB69EC" w:rsidR="00B77386" w:rsidRPr="00CF126A" w:rsidRDefault="00B77386" w:rsidP="00B77386">
      <w:pPr>
        <w:jc w:val="both"/>
        <w:rPr>
          <w:rFonts w:asciiTheme="majorHAnsi" w:hAnsiTheme="majorHAnsi" w:cstheme="majorBidi"/>
          <w:b/>
          <w:bCs/>
        </w:rPr>
      </w:pPr>
      <w:r w:rsidRPr="00CF126A">
        <w:rPr>
          <w:rFonts w:asciiTheme="majorHAnsi" w:hAnsiTheme="majorHAnsi" w:cstheme="majorBidi"/>
          <w:b/>
          <w:bCs/>
        </w:rPr>
        <w:t xml:space="preserve">Ellen Pauley, Thomas M Drake, David M Griffith, </w:t>
      </w:r>
      <w:r w:rsidR="00C40294">
        <w:rPr>
          <w:rFonts w:asciiTheme="majorHAnsi" w:hAnsiTheme="majorHAnsi" w:cstheme="majorBidi"/>
          <w:b/>
          <w:bCs/>
        </w:rPr>
        <w:t xml:space="preserve">Louise </w:t>
      </w:r>
      <w:proofErr w:type="spellStart"/>
      <w:r w:rsidR="00C40294">
        <w:rPr>
          <w:rFonts w:asciiTheme="majorHAnsi" w:hAnsiTheme="majorHAnsi" w:cstheme="majorBidi"/>
          <w:b/>
          <w:bCs/>
        </w:rPr>
        <w:t>Sigfrid</w:t>
      </w:r>
      <w:proofErr w:type="spellEnd"/>
      <w:r w:rsidR="00C40294">
        <w:rPr>
          <w:rFonts w:asciiTheme="majorHAnsi" w:hAnsiTheme="majorHAnsi" w:cstheme="majorBidi"/>
          <w:b/>
          <w:bCs/>
        </w:rPr>
        <w:t xml:space="preserve">, </w:t>
      </w:r>
      <w:r w:rsidRPr="00CF126A">
        <w:rPr>
          <w:rFonts w:asciiTheme="majorHAnsi" w:hAnsiTheme="majorHAnsi" w:cstheme="majorBidi"/>
          <w:b/>
          <w:bCs/>
        </w:rPr>
        <w:t xml:space="preserve">Nazir </w:t>
      </w:r>
      <w:r w:rsidR="39D0C989" w:rsidRPr="39D0C989">
        <w:rPr>
          <w:rFonts w:asciiTheme="majorHAnsi" w:hAnsiTheme="majorHAnsi" w:cstheme="majorBidi"/>
          <w:b/>
          <w:bCs/>
        </w:rPr>
        <w:t xml:space="preserve">I </w:t>
      </w:r>
      <w:r w:rsidRPr="00CF126A">
        <w:rPr>
          <w:rFonts w:asciiTheme="majorHAnsi" w:hAnsiTheme="majorHAnsi" w:cstheme="majorBidi"/>
          <w:b/>
          <w:bCs/>
        </w:rPr>
        <w:t xml:space="preserve">Lone, Ewen M Harrison, J Kenneth </w:t>
      </w:r>
      <w:r w:rsidR="39D0C989" w:rsidRPr="39D0C989">
        <w:rPr>
          <w:rFonts w:asciiTheme="majorHAnsi" w:hAnsiTheme="majorHAnsi" w:cstheme="majorBidi"/>
          <w:b/>
          <w:bCs/>
        </w:rPr>
        <w:t>Baillie</w:t>
      </w:r>
      <w:r w:rsidRPr="00CF126A">
        <w:rPr>
          <w:rFonts w:asciiTheme="majorHAnsi" w:hAnsiTheme="majorHAnsi" w:cstheme="majorBidi"/>
          <w:b/>
          <w:bCs/>
        </w:rPr>
        <w:t xml:space="preserve">, Janet T Scott, Timothy S Walsh, Malcolm G Semple, Annemarie B Docherty </w:t>
      </w:r>
      <w:r w:rsidR="4E4A2F72" w:rsidRPr="4E4A2F72">
        <w:rPr>
          <w:rFonts w:asciiTheme="majorHAnsi" w:hAnsiTheme="majorHAnsi" w:cstheme="majorBidi"/>
          <w:b/>
          <w:bCs/>
        </w:rPr>
        <w:t xml:space="preserve">on behalf of the ISARIC4C and RECOVER </w:t>
      </w:r>
      <w:r w:rsidR="465FB13E" w:rsidRPr="465FB13E">
        <w:rPr>
          <w:rFonts w:asciiTheme="majorHAnsi" w:hAnsiTheme="majorHAnsi" w:cstheme="majorBidi"/>
          <w:b/>
          <w:bCs/>
        </w:rPr>
        <w:t>Investigators</w:t>
      </w:r>
    </w:p>
    <w:p w14:paraId="4C38305B" w14:textId="77777777" w:rsidR="00B77386" w:rsidRDefault="00B77386" w:rsidP="00B77386">
      <w:pPr>
        <w:jc w:val="both"/>
        <w:rPr>
          <w:rFonts w:asciiTheme="majorHAnsi" w:hAnsiTheme="majorHAnsi" w:cstheme="majorBidi"/>
          <w:b/>
          <w:bCs/>
        </w:rPr>
      </w:pPr>
    </w:p>
    <w:p w14:paraId="22A3FC09" w14:textId="77777777" w:rsidR="00B77386" w:rsidRDefault="00B77386" w:rsidP="00B77386">
      <w:pPr>
        <w:jc w:val="both"/>
        <w:rPr>
          <w:rFonts w:asciiTheme="majorHAnsi" w:hAnsiTheme="majorHAnsi" w:cstheme="majorBidi"/>
          <w:b/>
          <w:bCs/>
        </w:rPr>
      </w:pPr>
      <w:r>
        <w:rPr>
          <w:rFonts w:asciiTheme="majorHAnsi" w:hAnsiTheme="majorHAnsi" w:cstheme="majorBidi"/>
          <w:b/>
          <w:bCs/>
        </w:rPr>
        <w:t xml:space="preserve">Author Affiliations </w:t>
      </w:r>
    </w:p>
    <w:p w14:paraId="0808AB1B" w14:textId="43FA6F0F" w:rsidR="00B77386" w:rsidRPr="008B6E86" w:rsidRDefault="00B77386" w:rsidP="00B77386">
      <w:pPr>
        <w:rPr>
          <w:rFonts w:asciiTheme="majorHAnsi" w:eastAsia="Arial" w:hAnsiTheme="majorHAnsi" w:cstheme="majorBidi"/>
        </w:rPr>
      </w:pPr>
      <w:r w:rsidRPr="259FB393">
        <w:rPr>
          <w:rFonts w:asciiTheme="majorHAnsi" w:eastAsia="Arial" w:hAnsiTheme="majorHAnsi" w:cstheme="majorBidi"/>
          <w:b/>
        </w:rPr>
        <w:t>Ellen Pauley,</w:t>
      </w:r>
      <w:r w:rsidRPr="259FB393">
        <w:rPr>
          <w:rFonts w:asciiTheme="majorHAnsi" w:eastAsia="Arial" w:hAnsiTheme="majorHAnsi" w:cstheme="majorBidi"/>
        </w:rPr>
        <w:t xml:space="preserve"> BMedSci, Medical Student,1  </w:t>
      </w:r>
      <w:hyperlink r:id="rId8" w:history="1">
        <w:r w:rsidRPr="259FB393">
          <w:rPr>
            <w:rStyle w:val="Hyperlink"/>
            <w:rFonts w:asciiTheme="majorHAnsi" w:eastAsia="Arial" w:hAnsiTheme="majorHAnsi" w:cstheme="majorBidi"/>
            <w:shd w:val="clear" w:color="auto" w:fill="FFFFFF"/>
          </w:rPr>
          <w:t>https://orcid.org/0000-0001-6994-9722</w:t>
        </w:r>
      </w:hyperlink>
      <w:r w:rsidRPr="259FB393">
        <w:rPr>
          <w:rFonts w:asciiTheme="majorHAnsi" w:eastAsia="Arial" w:hAnsiTheme="majorHAnsi" w:cstheme="majorBidi"/>
          <w:shd w:val="clear" w:color="auto" w:fill="FFFFFF"/>
        </w:rPr>
        <w:t xml:space="preserve"> </w:t>
      </w:r>
    </w:p>
    <w:p w14:paraId="4F98E960" w14:textId="036C34C9" w:rsidR="00B77386" w:rsidRPr="008B6E86" w:rsidRDefault="00B77386" w:rsidP="00B77386">
      <w:pPr>
        <w:widowControl w:val="0"/>
        <w:pBdr>
          <w:top w:val="nil"/>
          <w:left w:val="nil"/>
          <w:bottom w:val="nil"/>
          <w:right w:val="nil"/>
          <w:between w:val="nil"/>
        </w:pBdr>
        <w:jc w:val="both"/>
        <w:rPr>
          <w:rFonts w:asciiTheme="majorHAnsi" w:eastAsia="Arial" w:hAnsiTheme="majorHAnsi" w:cstheme="majorBidi"/>
        </w:rPr>
      </w:pPr>
      <w:r w:rsidRPr="259FB393">
        <w:rPr>
          <w:rFonts w:asciiTheme="majorHAnsi" w:eastAsia="Arial" w:hAnsiTheme="majorHAnsi" w:cstheme="majorBidi"/>
          <w:b/>
        </w:rPr>
        <w:t xml:space="preserve">Thomas M Drake, </w:t>
      </w:r>
      <w:r w:rsidRPr="259FB393">
        <w:rPr>
          <w:rFonts w:asciiTheme="majorHAnsi" w:eastAsia="Arial" w:hAnsiTheme="majorHAnsi" w:cstheme="majorBidi"/>
        </w:rPr>
        <w:t>MBChB BMedSci</w:t>
      </w:r>
      <w:r w:rsidRPr="259FB393">
        <w:rPr>
          <w:rFonts w:asciiTheme="majorHAnsi" w:eastAsia="Arial" w:hAnsiTheme="majorHAnsi" w:cstheme="majorBidi"/>
          <w:b/>
        </w:rPr>
        <w:t xml:space="preserve">, </w:t>
      </w:r>
      <w:r w:rsidRPr="259FB393">
        <w:rPr>
          <w:rFonts w:asciiTheme="majorHAnsi" w:eastAsia="Arial" w:hAnsiTheme="majorHAnsi" w:cstheme="majorBidi"/>
        </w:rPr>
        <w:t xml:space="preserve">Clinical Research </w:t>
      </w:r>
      <w:r w:rsidR="259FB393" w:rsidRPr="259FB393">
        <w:rPr>
          <w:rFonts w:asciiTheme="majorHAnsi" w:eastAsia="Arial" w:hAnsiTheme="majorHAnsi" w:cstheme="majorBidi"/>
        </w:rPr>
        <w:t>Fellow</w:t>
      </w:r>
      <w:r w:rsidR="004E52CD">
        <w:rPr>
          <w:rFonts w:asciiTheme="majorHAnsi" w:eastAsia="Arial" w:hAnsiTheme="majorHAnsi" w:cstheme="majorBidi"/>
        </w:rPr>
        <w:t>,</w:t>
      </w:r>
      <w:r w:rsidR="259FB393" w:rsidRPr="259FB393">
        <w:rPr>
          <w:rFonts w:asciiTheme="majorHAnsi" w:eastAsia="Arial" w:hAnsiTheme="majorHAnsi" w:cstheme="majorBidi"/>
        </w:rPr>
        <w:t>2</w:t>
      </w:r>
      <w:r w:rsidRPr="259FB393">
        <w:rPr>
          <w:rFonts w:asciiTheme="majorHAnsi" w:eastAsia="Arial" w:hAnsiTheme="majorHAnsi" w:cstheme="majorBidi"/>
        </w:rPr>
        <w:t xml:space="preserve">  </w:t>
      </w:r>
      <w:hyperlink r:id="rId9">
        <w:r w:rsidRPr="259FB393">
          <w:rPr>
            <w:rFonts w:asciiTheme="majorHAnsi" w:eastAsia="Arial" w:hAnsiTheme="majorHAnsi" w:cstheme="majorBidi"/>
          </w:rPr>
          <w:t>https://orcid.org/0000-0002-9334-6494</w:t>
        </w:r>
      </w:hyperlink>
      <w:r w:rsidRPr="259FB393">
        <w:rPr>
          <w:rFonts w:asciiTheme="majorHAnsi" w:eastAsia="Arial" w:hAnsiTheme="majorHAnsi" w:cstheme="majorBidi"/>
        </w:rPr>
        <w:t xml:space="preserve">  </w:t>
      </w:r>
    </w:p>
    <w:p w14:paraId="383DD50D" w14:textId="15707375" w:rsidR="00B77386" w:rsidRDefault="00B77386" w:rsidP="00B77386">
      <w:r w:rsidRPr="004E52CD">
        <w:rPr>
          <w:rFonts w:asciiTheme="majorHAnsi" w:eastAsia="Arial" w:hAnsiTheme="majorHAnsi" w:cstheme="majorBidi"/>
          <w:b/>
        </w:rPr>
        <w:t>David M Griffith</w:t>
      </w:r>
      <w:r w:rsidR="259FB393" w:rsidRPr="004E52CD">
        <w:rPr>
          <w:rFonts w:asciiTheme="majorHAnsi" w:eastAsia="Arial" w:hAnsiTheme="majorHAnsi" w:cstheme="majorBidi"/>
          <w:b/>
          <w:bCs/>
        </w:rPr>
        <w:t xml:space="preserve">, </w:t>
      </w:r>
      <w:r w:rsidR="259FB393" w:rsidRPr="00EE1F1F">
        <w:rPr>
          <w:rFonts w:asciiTheme="majorHAnsi" w:eastAsia="Arial" w:hAnsiTheme="majorHAnsi" w:cstheme="majorBidi"/>
        </w:rPr>
        <w:t>MBChB, MD Reader and honorary consultant in critical care.3</w:t>
      </w:r>
      <w:r w:rsidR="00193A20" w:rsidRPr="00EE1F1F">
        <w:rPr>
          <w:rFonts w:asciiTheme="majorHAnsi" w:eastAsia="Arial" w:hAnsiTheme="majorHAnsi" w:cstheme="majorBidi"/>
        </w:rPr>
        <w:t xml:space="preserve"> </w:t>
      </w:r>
      <w:hyperlink r:id="rId10">
        <w:r w:rsidR="259FB393" w:rsidRPr="259FB393">
          <w:rPr>
            <w:rStyle w:val="Hyperlink"/>
            <w:rFonts w:ascii="Arial" w:hAnsi="Arial" w:cs="Arial"/>
            <w:sz w:val="18"/>
            <w:szCs w:val="18"/>
          </w:rPr>
          <w:t>https://orcid.org/0000-0001-9500-241X</w:t>
        </w:r>
      </w:hyperlink>
      <w:r w:rsidR="259FB393">
        <w:t xml:space="preserve"> </w:t>
      </w:r>
    </w:p>
    <w:p w14:paraId="160A005C" w14:textId="0F324C90" w:rsidR="00686941" w:rsidRPr="00F54CA1" w:rsidRDefault="00686941" w:rsidP="00B77386">
      <w:pPr>
        <w:rPr>
          <w:rFonts w:asciiTheme="majorHAnsi" w:hAnsiTheme="majorHAnsi" w:cstheme="majorHAnsi"/>
          <w:color w:val="000000" w:themeColor="text1"/>
        </w:rPr>
      </w:pPr>
      <w:r w:rsidRPr="00EE1F1F">
        <w:rPr>
          <w:rFonts w:asciiTheme="majorHAnsi" w:hAnsiTheme="majorHAnsi" w:cstheme="majorHAnsi"/>
          <w:b/>
          <w:bCs/>
        </w:rPr>
        <w:t xml:space="preserve">Louise </w:t>
      </w:r>
      <w:proofErr w:type="spellStart"/>
      <w:r w:rsidRPr="00EE1F1F">
        <w:rPr>
          <w:rFonts w:asciiTheme="majorHAnsi" w:hAnsiTheme="majorHAnsi" w:cstheme="majorHAnsi"/>
          <w:b/>
          <w:bCs/>
        </w:rPr>
        <w:t>Sigfrid</w:t>
      </w:r>
      <w:proofErr w:type="spellEnd"/>
      <w:r w:rsidRPr="00F54CA1">
        <w:rPr>
          <w:rFonts w:asciiTheme="majorHAnsi" w:hAnsiTheme="majorHAnsi" w:cstheme="majorHAnsi"/>
        </w:rPr>
        <w:t xml:space="preserve">, </w:t>
      </w:r>
      <w:r w:rsidR="006F7CF3" w:rsidRPr="00F54CA1">
        <w:rPr>
          <w:rFonts w:asciiTheme="majorHAnsi" w:hAnsiTheme="majorHAnsi" w:cstheme="majorHAnsi"/>
        </w:rPr>
        <w:t xml:space="preserve">MD PhD, Clinical Research Fellow, Public Health </w:t>
      </w:r>
      <w:proofErr w:type="gramStart"/>
      <w:r w:rsidR="006F7CF3" w:rsidRPr="00F54CA1">
        <w:rPr>
          <w:rFonts w:asciiTheme="majorHAnsi" w:hAnsiTheme="majorHAnsi" w:cstheme="majorHAnsi"/>
        </w:rPr>
        <w:t>Specialist,.</w:t>
      </w:r>
      <w:proofErr w:type="gramEnd"/>
      <w:r w:rsidR="006F7CF3" w:rsidRPr="00F54CA1">
        <w:rPr>
          <w:rFonts w:asciiTheme="majorHAnsi" w:hAnsiTheme="majorHAnsi" w:cstheme="majorHAnsi"/>
        </w:rPr>
        <w:t xml:space="preserve"> </w:t>
      </w:r>
      <w:hyperlink r:id="rId11">
        <w:r w:rsidR="00F54CA1" w:rsidRPr="00F54CA1">
          <w:rPr>
            <w:rFonts w:asciiTheme="majorHAnsi" w:eastAsia="Arial" w:hAnsiTheme="majorHAnsi" w:cstheme="majorHAnsi"/>
            <w:sz w:val="20"/>
            <w:szCs w:val="20"/>
          </w:rPr>
          <w:t>https://orcid.org/0000-0003-2764-1177</w:t>
        </w:r>
      </w:hyperlink>
      <w:r w:rsidR="00EE1F1F">
        <w:rPr>
          <w:rFonts w:asciiTheme="majorHAnsi" w:eastAsia="Arial" w:hAnsiTheme="majorHAnsi" w:cstheme="majorHAnsi"/>
          <w:sz w:val="20"/>
          <w:szCs w:val="20"/>
        </w:rPr>
        <w:t xml:space="preserve"> </w:t>
      </w:r>
    </w:p>
    <w:p w14:paraId="37233102" w14:textId="401AD9CD" w:rsidR="00B77386" w:rsidRPr="008B6E86" w:rsidRDefault="00B77386" w:rsidP="00B77386">
      <w:pPr>
        <w:jc w:val="both"/>
        <w:rPr>
          <w:rFonts w:asciiTheme="majorHAnsi" w:eastAsia="Arial" w:hAnsiTheme="majorHAnsi" w:cstheme="majorBidi"/>
          <w:b/>
        </w:rPr>
      </w:pPr>
      <w:r w:rsidRPr="259FB393">
        <w:rPr>
          <w:rFonts w:asciiTheme="majorHAnsi" w:eastAsia="Arial" w:hAnsiTheme="majorHAnsi" w:cstheme="majorBidi"/>
          <w:b/>
        </w:rPr>
        <w:t>Nazir Lone</w:t>
      </w:r>
      <w:r w:rsidRPr="259FB393">
        <w:rPr>
          <w:rFonts w:asciiTheme="majorHAnsi" w:eastAsia="Arial" w:hAnsiTheme="majorHAnsi" w:cstheme="majorBidi"/>
        </w:rPr>
        <w:t xml:space="preserve">, MBChB MSc PhD, Senior Clinical Lecturer </w:t>
      </w:r>
      <w:r w:rsidR="259FB393" w:rsidRPr="259FB393">
        <w:rPr>
          <w:rFonts w:asciiTheme="majorHAnsi" w:eastAsia="Arial" w:hAnsiTheme="majorHAnsi" w:cstheme="majorBidi"/>
        </w:rPr>
        <w:t xml:space="preserve">and </w:t>
      </w:r>
      <w:r w:rsidR="635675B7" w:rsidRPr="635675B7">
        <w:rPr>
          <w:rFonts w:asciiTheme="majorHAnsi" w:eastAsia="Arial" w:hAnsiTheme="majorHAnsi" w:cstheme="majorBidi"/>
        </w:rPr>
        <w:t xml:space="preserve">honorary </w:t>
      </w:r>
      <w:r w:rsidR="259FB393" w:rsidRPr="259FB393">
        <w:rPr>
          <w:rFonts w:asciiTheme="majorHAnsi" w:eastAsia="Arial" w:hAnsiTheme="majorHAnsi" w:cstheme="majorBidi"/>
        </w:rPr>
        <w:t>consultant in</w:t>
      </w:r>
      <w:r w:rsidRPr="259FB393">
        <w:rPr>
          <w:rFonts w:asciiTheme="majorHAnsi" w:eastAsia="Arial" w:hAnsiTheme="majorHAnsi" w:cstheme="majorBidi"/>
        </w:rPr>
        <w:t xml:space="preserve"> Critical Care,</w:t>
      </w:r>
      <w:r w:rsidR="259FB393" w:rsidRPr="259FB393">
        <w:rPr>
          <w:rFonts w:asciiTheme="majorHAnsi" w:eastAsia="Arial" w:hAnsiTheme="majorHAnsi" w:cstheme="majorBidi"/>
        </w:rPr>
        <w:t>3,</w:t>
      </w:r>
      <w:r w:rsidR="00F54CA1">
        <w:rPr>
          <w:rFonts w:asciiTheme="majorHAnsi" w:eastAsia="Arial" w:hAnsiTheme="majorHAnsi" w:cstheme="majorBidi"/>
        </w:rPr>
        <w:t>5</w:t>
      </w:r>
      <w:r w:rsidRPr="259FB393">
        <w:rPr>
          <w:rFonts w:asciiTheme="majorHAnsi" w:eastAsia="Arial" w:hAnsiTheme="majorHAnsi" w:cstheme="majorBidi"/>
        </w:rPr>
        <w:t xml:space="preserve">  </w:t>
      </w:r>
      <w:hyperlink r:id="rId12">
        <w:r w:rsidR="259FB393" w:rsidRPr="259FB393">
          <w:rPr>
            <w:rStyle w:val="Hyperlink"/>
            <w:rFonts w:asciiTheme="majorHAnsi" w:eastAsia="Arial" w:hAnsiTheme="majorHAnsi" w:cstheme="majorBidi"/>
          </w:rPr>
          <w:t>https://orcid.org/0000-0003-2707-2779</w:t>
        </w:r>
      </w:hyperlink>
      <w:r w:rsidR="259FB393" w:rsidRPr="259FB393">
        <w:rPr>
          <w:rFonts w:asciiTheme="majorHAnsi" w:eastAsia="Arial" w:hAnsiTheme="majorHAnsi" w:cstheme="majorBidi"/>
        </w:rPr>
        <w:t xml:space="preserve"> </w:t>
      </w:r>
    </w:p>
    <w:p w14:paraId="5C1BF909" w14:textId="4050003C" w:rsidR="00B77386" w:rsidRPr="008B6E86" w:rsidRDefault="00B77386" w:rsidP="00B77386">
      <w:pPr>
        <w:widowControl w:val="0"/>
        <w:pBdr>
          <w:top w:val="nil"/>
          <w:left w:val="nil"/>
          <w:bottom w:val="nil"/>
          <w:right w:val="nil"/>
          <w:between w:val="nil"/>
        </w:pBdr>
        <w:jc w:val="both"/>
        <w:rPr>
          <w:rFonts w:asciiTheme="majorHAnsi" w:eastAsia="Arial" w:hAnsiTheme="majorHAnsi" w:cstheme="majorBidi"/>
        </w:rPr>
      </w:pPr>
      <w:r w:rsidRPr="259FB393">
        <w:rPr>
          <w:rFonts w:asciiTheme="majorHAnsi" w:eastAsia="Arial" w:hAnsiTheme="majorHAnsi" w:cstheme="majorBidi"/>
          <w:b/>
        </w:rPr>
        <w:t xml:space="preserve">Ewen M Harrison, </w:t>
      </w:r>
      <w:r w:rsidRPr="259FB393">
        <w:rPr>
          <w:rFonts w:asciiTheme="majorHAnsi" w:eastAsia="Arial" w:hAnsiTheme="majorHAnsi" w:cstheme="majorBidi"/>
        </w:rPr>
        <w:t>MBChB MSc PhD</w:t>
      </w:r>
      <w:r w:rsidRPr="004D6CF0">
        <w:rPr>
          <w:rFonts w:asciiTheme="majorHAnsi" w:eastAsia="Arial" w:hAnsiTheme="majorHAnsi" w:cstheme="majorBidi"/>
        </w:rPr>
        <w:t xml:space="preserve">, </w:t>
      </w:r>
      <w:r w:rsidR="259FB393" w:rsidRPr="004D6CF0">
        <w:rPr>
          <w:rFonts w:asciiTheme="majorHAnsi" w:eastAsia="Arial" w:hAnsiTheme="majorHAnsi" w:cstheme="majorBidi"/>
        </w:rPr>
        <w:t>Professor of</w:t>
      </w:r>
      <w:r w:rsidR="259FB393" w:rsidRPr="635675B7">
        <w:rPr>
          <w:rFonts w:asciiTheme="majorHAnsi" w:eastAsia="Arial" w:hAnsiTheme="majorHAnsi" w:cstheme="majorBidi"/>
        </w:rPr>
        <w:t xml:space="preserve"> </w:t>
      </w:r>
      <w:r w:rsidR="259FB393" w:rsidRPr="259FB393">
        <w:rPr>
          <w:rFonts w:asciiTheme="majorHAnsi" w:eastAsia="Arial" w:hAnsiTheme="majorHAnsi" w:cstheme="majorBidi"/>
        </w:rPr>
        <w:t xml:space="preserve">surgery and data science,2 </w:t>
      </w:r>
      <w:r w:rsidRPr="259FB393">
        <w:rPr>
          <w:rFonts w:asciiTheme="majorHAnsi" w:eastAsia="Arial" w:hAnsiTheme="majorHAnsi" w:cstheme="majorBidi"/>
        </w:rPr>
        <w:t xml:space="preserve">UK. </w:t>
      </w:r>
      <w:hyperlink r:id="rId13">
        <w:r w:rsidRPr="259FB393">
          <w:rPr>
            <w:rFonts w:asciiTheme="majorHAnsi" w:eastAsia="Arial" w:hAnsiTheme="majorHAnsi" w:cstheme="majorBidi"/>
            <w:highlight w:val="white"/>
          </w:rPr>
          <w:t>https://orcid.org/0000-0002-5018-3066</w:t>
        </w:r>
      </w:hyperlink>
      <w:r w:rsidRPr="259FB393">
        <w:rPr>
          <w:rFonts w:asciiTheme="majorHAnsi" w:eastAsia="Arial" w:hAnsiTheme="majorHAnsi" w:cstheme="majorBidi"/>
        </w:rPr>
        <w:t xml:space="preserve"> </w:t>
      </w:r>
    </w:p>
    <w:p w14:paraId="382DA9E8" w14:textId="61225806" w:rsidR="00B77386" w:rsidRPr="008B6E86" w:rsidRDefault="259FB393" w:rsidP="00B77386">
      <w:pPr>
        <w:widowControl w:val="0"/>
        <w:pBdr>
          <w:top w:val="nil"/>
          <w:left w:val="nil"/>
          <w:bottom w:val="nil"/>
          <w:right w:val="nil"/>
          <w:between w:val="nil"/>
        </w:pBdr>
        <w:jc w:val="both"/>
        <w:rPr>
          <w:rFonts w:asciiTheme="majorHAnsi" w:eastAsia="Arial" w:hAnsiTheme="majorHAnsi" w:cstheme="majorBidi"/>
        </w:rPr>
      </w:pPr>
      <w:r w:rsidRPr="259FB393">
        <w:rPr>
          <w:rFonts w:asciiTheme="majorHAnsi" w:eastAsia="Arial" w:hAnsiTheme="majorHAnsi" w:cstheme="majorBidi"/>
          <w:b/>
          <w:bCs/>
        </w:rPr>
        <w:t>J Kenneth Baillie,</w:t>
      </w:r>
      <w:r w:rsidRPr="259FB393">
        <w:rPr>
          <w:rFonts w:asciiTheme="majorHAnsi" w:eastAsia="Arial" w:hAnsiTheme="majorHAnsi" w:cstheme="majorBidi"/>
        </w:rPr>
        <w:t xml:space="preserve"> MBChB PhD, Senior Clinical Lecturer and honorary consultant in critical care3.</w:t>
      </w:r>
      <w:r w:rsidR="00F54CA1">
        <w:rPr>
          <w:rFonts w:asciiTheme="majorHAnsi" w:eastAsia="Arial" w:hAnsiTheme="majorHAnsi" w:cstheme="majorBidi"/>
        </w:rPr>
        <w:t>6</w:t>
      </w:r>
      <w:r w:rsidRPr="259FB393">
        <w:rPr>
          <w:rFonts w:asciiTheme="majorHAnsi" w:eastAsia="Arial" w:hAnsiTheme="majorHAnsi" w:cstheme="majorBidi"/>
        </w:rPr>
        <w:t xml:space="preserve">  </w:t>
      </w:r>
      <w:hyperlink r:id="rId14">
        <w:r w:rsidRPr="259FB393">
          <w:rPr>
            <w:rStyle w:val="Hyperlink"/>
            <w:rFonts w:asciiTheme="majorHAnsi" w:eastAsia="Arial" w:hAnsiTheme="majorHAnsi" w:cstheme="majorBidi"/>
            <w:highlight w:val="white"/>
          </w:rPr>
          <w:t>https://orcid.org/0000-0001-5258-793</w:t>
        </w:r>
      </w:hyperlink>
      <w:r w:rsidRPr="259FB393">
        <w:rPr>
          <w:rFonts w:asciiTheme="majorHAnsi" w:eastAsia="Arial" w:hAnsiTheme="majorHAnsi" w:cstheme="majorBidi"/>
        </w:rPr>
        <w:t xml:space="preserve"> </w:t>
      </w:r>
    </w:p>
    <w:p w14:paraId="4ADC08BD" w14:textId="7D97D41D" w:rsidR="00B77386" w:rsidRPr="008B6E86" w:rsidRDefault="00B77386" w:rsidP="00B77386">
      <w:pPr>
        <w:jc w:val="both"/>
        <w:rPr>
          <w:rFonts w:asciiTheme="majorHAnsi" w:hAnsiTheme="majorHAnsi" w:cstheme="majorBidi"/>
          <w:b/>
        </w:rPr>
      </w:pPr>
      <w:r w:rsidRPr="3C48309F">
        <w:rPr>
          <w:rFonts w:asciiTheme="majorHAnsi" w:eastAsia="Arial" w:hAnsiTheme="majorHAnsi" w:cstheme="majorBidi"/>
          <w:b/>
        </w:rPr>
        <w:t xml:space="preserve">Janet T Scott, </w:t>
      </w:r>
      <w:r w:rsidRPr="3C48309F">
        <w:rPr>
          <w:rFonts w:asciiTheme="majorHAnsi" w:eastAsia="Arial" w:hAnsiTheme="majorHAnsi" w:cstheme="majorBidi"/>
        </w:rPr>
        <w:t>MBCh</w:t>
      </w:r>
      <w:r w:rsidR="004D351A">
        <w:rPr>
          <w:rFonts w:asciiTheme="majorHAnsi" w:eastAsia="Arial" w:hAnsiTheme="majorHAnsi" w:cstheme="majorBidi"/>
        </w:rPr>
        <w:t>B</w:t>
      </w:r>
      <w:r w:rsidRPr="3C48309F">
        <w:rPr>
          <w:rFonts w:asciiTheme="majorHAnsi" w:eastAsia="Arial" w:hAnsiTheme="majorHAnsi" w:cstheme="majorBidi"/>
        </w:rPr>
        <w:t xml:space="preserve"> PhD, Clinical Lecturer in Infectious Disease,</w:t>
      </w:r>
      <w:r w:rsidR="00F54CA1">
        <w:rPr>
          <w:rFonts w:asciiTheme="majorHAnsi" w:eastAsia="Arial" w:hAnsiTheme="majorHAnsi" w:cstheme="majorBidi"/>
        </w:rPr>
        <w:t>7</w:t>
      </w:r>
      <w:r w:rsidRPr="3C48309F">
        <w:rPr>
          <w:rFonts w:asciiTheme="majorHAnsi" w:eastAsia="Arial" w:hAnsiTheme="majorHAnsi" w:cstheme="majorBidi"/>
        </w:rPr>
        <w:t xml:space="preserve">  </w:t>
      </w:r>
      <w:hyperlink r:id="rId15">
        <w:r w:rsidRPr="3C48309F">
          <w:rPr>
            <w:rFonts w:asciiTheme="majorHAnsi" w:eastAsia="Arial" w:hAnsiTheme="majorHAnsi" w:cstheme="majorBidi"/>
          </w:rPr>
          <w:t>https://orcid.org/0000-0001-8030-5223</w:t>
        </w:r>
      </w:hyperlink>
      <w:r w:rsidRPr="3C48309F">
        <w:rPr>
          <w:rFonts w:asciiTheme="majorHAnsi" w:eastAsia="Arial" w:hAnsiTheme="majorHAnsi" w:cstheme="majorBidi"/>
        </w:rPr>
        <w:t xml:space="preserve"> </w:t>
      </w:r>
    </w:p>
    <w:p w14:paraId="7648243B" w14:textId="6CADB14D" w:rsidR="00B77386" w:rsidRPr="00345322" w:rsidRDefault="00B77386" w:rsidP="00B77386">
      <w:r w:rsidRPr="004E52CD">
        <w:rPr>
          <w:rFonts w:asciiTheme="majorHAnsi" w:hAnsiTheme="majorHAnsi" w:cstheme="majorBidi"/>
          <w:b/>
        </w:rPr>
        <w:t>Timothy S Walsh,</w:t>
      </w:r>
      <w:r w:rsidR="00193A20" w:rsidRPr="259FB393">
        <w:rPr>
          <w:rFonts w:asciiTheme="majorHAnsi" w:hAnsiTheme="majorHAnsi" w:cstheme="majorBidi"/>
          <w:b/>
        </w:rPr>
        <w:t xml:space="preserve"> </w:t>
      </w:r>
      <w:r w:rsidR="259FB393" w:rsidRPr="00B519FB">
        <w:rPr>
          <w:rFonts w:asciiTheme="majorHAnsi" w:hAnsiTheme="majorHAnsi" w:cstheme="majorBidi"/>
        </w:rPr>
        <w:t>MBChB, MD Professor of</w:t>
      </w:r>
      <w:r w:rsidR="259FB393" w:rsidRPr="259FB393">
        <w:rPr>
          <w:rFonts w:asciiTheme="majorHAnsi" w:hAnsiTheme="majorHAnsi" w:cstheme="majorBidi"/>
          <w:b/>
          <w:bCs/>
        </w:rPr>
        <w:t xml:space="preserve"> </w:t>
      </w:r>
      <w:r w:rsidR="00193A20" w:rsidRPr="259FB393">
        <w:rPr>
          <w:rFonts w:asciiTheme="majorHAnsi" w:hAnsiTheme="majorHAnsi" w:cstheme="majorBidi"/>
          <w:color w:val="000000" w:themeColor="text1"/>
        </w:rPr>
        <w:t>Anaesthesia, Critical Care &amp; Pain Medicine,</w:t>
      </w:r>
      <w:r w:rsidR="6BA32746" w:rsidRPr="6BA32746">
        <w:rPr>
          <w:rFonts w:asciiTheme="majorHAnsi" w:hAnsiTheme="majorHAnsi" w:cstheme="majorBidi"/>
          <w:color w:val="000000" w:themeColor="text1"/>
        </w:rPr>
        <w:t>3</w:t>
      </w:r>
      <w:r w:rsidR="00193A20" w:rsidRPr="259FB393">
        <w:rPr>
          <w:rFonts w:asciiTheme="majorHAnsi" w:hAnsiTheme="majorHAnsi" w:cstheme="majorBidi"/>
          <w:color w:val="000000" w:themeColor="text1"/>
        </w:rPr>
        <w:t xml:space="preserve"> </w:t>
      </w:r>
      <w:r w:rsidR="00193A20" w:rsidRPr="259FB393">
        <w:rPr>
          <w:rFonts w:asciiTheme="majorHAnsi" w:eastAsia="Arial" w:hAnsiTheme="majorHAnsi" w:cstheme="majorBidi"/>
          <w:b/>
        </w:rPr>
        <w:t xml:space="preserve"> </w:t>
      </w:r>
      <w:r w:rsidRPr="259FB393">
        <w:rPr>
          <w:rFonts w:asciiTheme="majorHAnsi" w:hAnsiTheme="majorHAnsi" w:cstheme="majorBidi"/>
          <w:b/>
        </w:rPr>
        <w:t xml:space="preserve"> </w:t>
      </w:r>
      <w:hyperlink r:id="rId16">
        <w:r w:rsidR="259FB393" w:rsidRPr="259FB393">
          <w:rPr>
            <w:rStyle w:val="Hyperlink"/>
            <w:rFonts w:ascii="Arial" w:hAnsi="Arial" w:cs="Arial"/>
            <w:sz w:val="18"/>
            <w:szCs w:val="18"/>
          </w:rPr>
          <w:t>https://orcid.org/0000-0002-3590-8540</w:t>
        </w:r>
      </w:hyperlink>
      <w:r w:rsidR="259FB393">
        <w:t xml:space="preserve"> </w:t>
      </w:r>
    </w:p>
    <w:p w14:paraId="48A2E903" w14:textId="224A8681" w:rsidR="00B77386" w:rsidRPr="00B519FB" w:rsidRDefault="3D78CB25" w:rsidP="00B77386">
      <w:pPr>
        <w:jc w:val="both"/>
        <w:rPr>
          <w:rFonts w:asciiTheme="majorHAnsi" w:hAnsiTheme="majorHAnsi" w:cstheme="majorBidi"/>
          <w:b/>
          <w:bCs/>
        </w:rPr>
      </w:pPr>
      <w:r w:rsidRPr="3D78CB25">
        <w:rPr>
          <w:rFonts w:asciiTheme="majorHAnsi" w:hAnsiTheme="majorHAnsi" w:cstheme="majorBidi"/>
          <w:b/>
          <w:bCs/>
        </w:rPr>
        <w:t xml:space="preserve">Malcolm G Semple </w:t>
      </w:r>
      <w:r w:rsidRPr="00B519FB">
        <w:rPr>
          <w:rFonts w:asciiTheme="majorHAnsi" w:hAnsiTheme="majorHAnsi" w:cstheme="majorBidi"/>
        </w:rPr>
        <w:t>MBChB PhD</w:t>
      </w:r>
      <w:r w:rsidR="00B519FB" w:rsidRPr="00B519FB">
        <w:rPr>
          <w:rFonts w:asciiTheme="majorHAnsi" w:hAnsiTheme="majorHAnsi" w:cstheme="majorBidi"/>
        </w:rPr>
        <w:t>, Professor of</w:t>
      </w:r>
      <w:r w:rsidR="00FD5D20">
        <w:rPr>
          <w:rFonts w:asciiTheme="majorHAnsi" w:hAnsiTheme="majorHAnsi" w:cstheme="majorBidi"/>
        </w:rPr>
        <w:t xml:space="preserve"> </w:t>
      </w:r>
      <w:r w:rsidR="00B519FB" w:rsidRPr="00B519FB">
        <w:rPr>
          <w:rFonts w:asciiTheme="majorHAnsi" w:hAnsiTheme="majorHAnsi" w:cstheme="majorBidi"/>
        </w:rPr>
        <w:t>outbreak medicine and child health and consultant physician in paediatric respiratory medicine</w:t>
      </w:r>
      <w:r w:rsidR="00B519FB">
        <w:rPr>
          <w:rFonts w:asciiTheme="majorHAnsi" w:hAnsiTheme="majorHAnsi" w:cstheme="majorBidi"/>
          <w:b/>
          <w:bCs/>
        </w:rPr>
        <w:t>,</w:t>
      </w:r>
      <w:r w:rsidR="00F54CA1">
        <w:rPr>
          <w:rFonts w:asciiTheme="majorHAnsi" w:hAnsiTheme="majorHAnsi" w:cstheme="majorBidi"/>
          <w:b/>
          <w:bCs/>
        </w:rPr>
        <w:t>8</w:t>
      </w:r>
      <w:r w:rsidRPr="3D78CB25">
        <w:rPr>
          <w:rFonts w:asciiTheme="majorHAnsi" w:hAnsiTheme="majorHAnsi" w:cstheme="majorBidi"/>
          <w:b/>
          <w:bCs/>
        </w:rPr>
        <w:t xml:space="preserve"> </w:t>
      </w:r>
      <w:hyperlink r:id="rId17">
        <w:r w:rsidRPr="3D78CB25">
          <w:rPr>
            <w:rStyle w:val="Hyperlink"/>
            <w:rFonts w:asciiTheme="majorHAnsi" w:hAnsiTheme="majorHAnsi" w:cstheme="majorBidi"/>
            <w:b/>
            <w:bCs/>
          </w:rPr>
          <w:t>https://orcid.org/0000-0001-9700-0418</w:t>
        </w:r>
      </w:hyperlink>
      <w:r w:rsidRPr="3D78CB25">
        <w:rPr>
          <w:rFonts w:asciiTheme="majorHAnsi" w:hAnsiTheme="majorHAnsi" w:cstheme="majorBidi"/>
          <w:b/>
          <w:bCs/>
        </w:rPr>
        <w:t xml:space="preserve"> </w:t>
      </w:r>
    </w:p>
    <w:p w14:paraId="0B94FBBF" w14:textId="076A9180" w:rsidR="00B77386" w:rsidRPr="008B6E86" w:rsidRDefault="00B77386" w:rsidP="4E4A2F72">
      <w:pPr>
        <w:jc w:val="both"/>
        <w:rPr>
          <w:rFonts w:asciiTheme="majorHAnsi" w:eastAsia="Arial" w:hAnsiTheme="majorHAnsi" w:cstheme="majorBidi"/>
        </w:rPr>
      </w:pPr>
      <w:r w:rsidRPr="259FB393">
        <w:rPr>
          <w:rFonts w:asciiTheme="majorHAnsi" w:eastAsia="Arial" w:hAnsiTheme="majorHAnsi" w:cstheme="majorBidi"/>
          <w:b/>
        </w:rPr>
        <w:t>Annemarie</w:t>
      </w:r>
      <w:r w:rsidR="350453C6" w:rsidRPr="350453C6">
        <w:rPr>
          <w:rFonts w:asciiTheme="majorHAnsi" w:eastAsia="Arial" w:hAnsiTheme="majorHAnsi" w:cstheme="majorBidi"/>
          <w:b/>
          <w:bCs/>
        </w:rPr>
        <w:t xml:space="preserve"> B</w:t>
      </w:r>
      <w:r w:rsidRPr="259FB393">
        <w:rPr>
          <w:rFonts w:asciiTheme="majorHAnsi" w:eastAsia="Arial" w:hAnsiTheme="majorHAnsi" w:cstheme="majorBidi"/>
          <w:b/>
        </w:rPr>
        <w:t xml:space="preserve"> Docherty,</w:t>
      </w:r>
      <w:r w:rsidRPr="259FB393">
        <w:rPr>
          <w:rFonts w:asciiTheme="majorHAnsi" w:eastAsia="Arial" w:hAnsiTheme="majorHAnsi" w:cstheme="majorBidi"/>
          <w:i/>
        </w:rPr>
        <w:t xml:space="preserve"> </w:t>
      </w:r>
      <w:r w:rsidRPr="259FB393">
        <w:rPr>
          <w:rFonts w:asciiTheme="majorHAnsi" w:eastAsia="Arial" w:hAnsiTheme="majorHAnsi" w:cstheme="majorBidi"/>
        </w:rPr>
        <w:t xml:space="preserve">MBChB </w:t>
      </w:r>
      <w:r w:rsidR="259FB393" w:rsidRPr="259FB393">
        <w:rPr>
          <w:rFonts w:asciiTheme="majorHAnsi" w:eastAsia="Arial" w:hAnsiTheme="majorHAnsi" w:cstheme="majorBidi"/>
        </w:rPr>
        <w:t xml:space="preserve">MPH </w:t>
      </w:r>
      <w:r w:rsidRPr="259FB393">
        <w:rPr>
          <w:rFonts w:asciiTheme="majorHAnsi" w:eastAsia="Arial" w:hAnsiTheme="majorHAnsi" w:cstheme="majorBidi"/>
        </w:rPr>
        <w:t xml:space="preserve">PhD, </w:t>
      </w:r>
      <w:r w:rsidR="259FB393" w:rsidRPr="259FB393">
        <w:rPr>
          <w:rFonts w:asciiTheme="majorHAnsi" w:eastAsia="Arial" w:hAnsiTheme="majorHAnsi" w:cstheme="majorBidi"/>
        </w:rPr>
        <w:t xml:space="preserve">senior clinical lecturer and honorary consultant in critical care </w:t>
      </w:r>
      <w:r w:rsidR="78B6F9FD" w:rsidRPr="78B6F9FD">
        <w:rPr>
          <w:rFonts w:asciiTheme="majorHAnsi" w:eastAsia="Arial" w:hAnsiTheme="majorHAnsi" w:cstheme="majorBidi"/>
        </w:rPr>
        <w:t>2,</w:t>
      </w:r>
      <w:r w:rsidR="39D0C989" w:rsidRPr="39D0C989">
        <w:rPr>
          <w:rFonts w:asciiTheme="majorHAnsi" w:eastAsia="Arial" w:hAnsiTheme="majorHAnsi" w:cstheme="majorBidi"/>
        </w:rPr>
        <w:t>3</w:t>
      </w:r>
      <w:hyperlink r:id="rId18">
        <w:r w:rsidR="259FB393" w:rsidRPr="259FB393">
          <w:rPr>
            <w:rStyle w:val="Hyperlink"/>
            <w:rFonts w:asciiTheme="majorHAnsi" w:eastAsia="Arial" w:hAnsiTheme="majorHAnsi" w:cstheme="majorBidi"/>
            <w:highlight w:val="white"/>
          </w:rPr>
          <w:t>https://orcid.org/0000-0001-8277-420X</w:t>
        </w:r>
      </w:hyperlink>
    </w:p>
    <w:p w14:paraId="715D36AF" w14:textId="07969A71" w:rsidR="00B77386" w:rsidRPr="00CF126A" w:rsidRDefault="00B77386" w:rsidP="00B77386">
      <w:pPr>
        <w:jc w:val="both"/>
        <w:rPr>
          <w:bCs/>
        </w:rPr>
      </w:pPr>
    </w:p>
    <w:p w14:paraId="3307341C" w14:textId="63414E50" w:rsidR="259FB393" w:rsidRPr="00EE1F1F" w:rsidRDefault="259FB393" w:rsidP="004E52CD">
      <w:pPr>
        <w:pStyle w:val="ListParagraph"/>
        <w:numPr>
          <w:ilvl w:val="0"/>
          <w:numId w:val="22"/>
        </w:numPr>
        <w:rPr>
          <w:rFonts w:asciiTheme="majorHAnsi" w:eastAsiaTheme="majorEastAsia" w:hAnsiTheme="majorHAnsi" w:cstheme="majorHAnsi"/>
          <w:color w:val="000000" w:themeColor="text1"/>
        </w:rPr>
      </w:pPr>
      <w:r w:rsidRPr="00EE1F1F">
        <w:rPr>
          <w:rFonts w:asciiTheme="majorHAnsi" w:hAnsiTheme="majorHAnsi" w:cstheme="majorHAnsi"/>
        </w:rPr>
        <w:t>University of Edinburgh Medical School, Edinburgh, UK.</w:t>
      </w:r>
    </w:p>
    <w:p w14:paraId="0AFD94E4" w14:textId="7FB87BC8" w:rsidR="259FB393" w:rsidRPr="00EE1F1F" w:rsidRDefault="259FB393" w:rsidP="004E52CD">
      <w:pPr>
        <w:pStyle w:val="ListParagraph"/>
        <w:numPr>
          <w:ilvl w:val="0"/>
          <w:numId w:val="22"/>
        </w:numPr>
        <w:rPr>
          <w:rFonts w:asciiTheme="majorHAnsi" w:eastAsiaTheme="majorEastAsia" w:hAnsiTheme="majorHAnsi" w:cstheme="majorHAnsi"/>
          <w:color w:val="000000" w:themeColor="text1"/>
        </w:rPr>
      </w:pPr>
      <w:r w:rsidRPr="00EE1F1F">
        <w:rPr>
          <w:rFonts w:asciiTheme="majorHAnsi" w:hAnsiTheme="majorHAnsi" w:cstheme="majorHAnsi"/>
        </w:rPr>
        <w:t xml:space="preserve">Centre for Medical Informatics, </w:t>
      </w:r>
      <w:r w:rsidR="350453C6" w:rsidRPr="00EE1F1F">
        <w:rPr>
          <w:rFonts w:asciiTheme="majorHAnsi" w:hAnsiTheme="majorHAnsi" w:cstheme="majorHAnsi"/>
        </w:rPr>
        <w:t xml:space="preserve">The Usher Institute, </w:t>
      </w:r>
      <w:r w:rsidRPr="00EE1F1F">
        <w:rPr>
          <w:rFonts w:asciiTheme="majorHAnsi" w:hAnsiTheme="majorHAnsi" w:cstheme="majorHAnsi"/>
        </w:rPr>
        <w:t>University of Edinburgh, Edinburgh, UK.</w:t>
      </w:r>
    </w:p>
    <w:p w14:paraId="6F0E8F41" w14:textId="7A0F8FBF" w:rsidR="259FB393" w:rsidRPr="00EE1F1F" w:rsidRDefault="259FB393" w:rsidP="004E52CD">
      <w:pPr>
        <w:pStyle w:val="ListParagraph"/>
        <w:numPr>
          <w:ilvl w:val="0"/>
          <w:numId w:val="22"/>
        </w:numPr>
        <w:rPr>
          <w:rFonts w:asciiTheme="majorHAnsi" w:eastAsiaTheme="majorEastAsia" w:hAnsiTheme="majorHAnsi" w:cstheme="majorHAnsi"/>
          <w:color w:val="000000" w:themeColor="text1"/>
        </w:rPr>
      </w:pPr>
      <w:r w:rsidRPr="00EE1F1F">
        <w:rPr>
          <w:rFonts w:asciiTheme="majorHAnsi" w:hAnsiTheme="majorHAnsi" w:cstheme="majorHAnsi"/>
          <w:color w:val="000000" w:themeColor="text1"/>
        </w:rPr>
        <w:t xml:space="preserve">Anaesthesia, Critical Care &amp; Pain Medicine, </w:t>
      </w:r>
      <w:r w:rsidRPr="00EE1F1F">
        <w:rPr>
          <w:rFonts w:asciiTheme="majorHAnsi" w:hAnsiTheme="majorHAnsi" w:cstheme="majorHAnsi"/>
        </w:rPr>
        <w:t>University of Edinburgh, Edinburgh, UK.</w:t>
      </w:r>
    </w:p>
    <w:p w14:paraId="420A9955" w14:textId="2BA930F7" w:rsidR="00F54CA1" w:rsidRPr="00EE1F1F" w:rsidRDefault="00F54CA1" w:rsidP="004E52CD">
      <w:pPr>
        <w:pStyle w:val="ListParagraph"/>
        <w:numPr>
          <w:ilvl w:val="0"/>
          <w:numId w:val="22"/>
        </w:numPr>
        <w:rPr>
          <w:rFonts w:asciiTheme="majorHAnsi" w:eastAsiaTheme="majorEastAsia" w:hAnsiTheme="majorHAnsi" w:cstheme="majorHAnsi"/>
          <w:color w:val="000000" w:themeColor="text1"/>
        </w:rPr>
      </w:pPr>
      <w:r w:rsidRPr="00EE1F1F">
        <w:rPr>
          <w:rFonts w:asciiTheme="majorHAnsi" w:hAnsiTheme="majorHAnsi" w:cstheme="majorHAnsi"/>
        </w:rPr>
        <w:t>Centre for Tropical Medicine and Global Health, University of Oxford, Oxford, UK</w:t>
      </w:r>
    </w:p>
    <w:p w14:paraId="02C65DFD" w14:textId="6FF6B046" w:rsidR="259FB393" w:rsidRPr="00EE1F1F" w:rsidRDefault="259FB393" w:rsidP="004E52CD">
      <w:pPr>
        <w:pStyle w:val="ListParagraph"/>
        <w:numPr>
          <w:ilvl w:val="0"/>
          <w:numId w:val="22"/>
        </w:numPr>
        <w:rPr>
          <w:rFonts w:asciiTheme="majorHAnsi" w:eastAsiaTheme="majorEastAsia" w:hAnsiTheme="majorHAnsi" w:cstheme="majorHAnsi"/>
          <w:color w:val="000000" w:themeColor="text1"/>
        </w:rPr>
      </w:pPr>
      <w:r w:rsidRPr="00EE1F1F">
        <w:rPr>
          <w:rFonts w:asciiTheme="majorHAnsi" w:hAnsiTheme="majorHAnsi" w:cstheme="majorHAnsi"/>
        </w:rPr>
        <w:t xml:space="preserve">Centre for Population Health Sciences, The Usher Institute, University of Edinburgh, Edinburgh, UK. </w:t>
      </w:r>
    </w:p>
    <w:p w14:paraId="0E745714" w14:textId="4E3E9163" w:rsidR="00791927" w:rsidRPr="00EE1F1F" w:rsidRDefault="259FB393">
      <w:pPr>
        <w:pStyle w:val="ListParagraph"/>
        <w:numPr>
          <w:ilvl w:val="0"/>
          <w:numId w:val="22"/>
        </w:numPr>
        <w:rPr>
          <w:rFonts w:asciiTheme="majorHAnsi" w:hAnsiTheme="majorHAnsi" w:cstheme="majorHAnsi"/>
          <w:color w:val="000000" w:themeColor="text1"/>
        </w:rPr>
      </w:pPr>
      <w:r w:rsidRPr="00EE1F1F">
        <w:rPr>
          <w:rFonts w:asciiTheme="majorHAnsi" w:hAnsiTheme="majorHAnsi" w:cstheme="majorHAnsi"/>
        </w:rPr>
        <w:t>Roslin Institute, University of Edinburgh, Edinburgh, UK</w:t>
      </w:r>
    </w:p>
    <w:p w14:paraId="171557A0" w14:textId="0979A216" w:rsidR="0040137B" w:rsidRPr="00EE1F1F" w:rsidRDefault="3C48309F">
      <w:pPr>
        <w:pStyle w:val="ListParagraph"/>
        <w:numPr>
          <w:ilvl w:val="0"/>
          <w:numId w:val="22"/>
        </w:numPr>
        <w:rPr>
          <w:rFonts w:asciiTheme="majorHAnsi" w:eastAsiaTheme="majorEastAsia" w:hAnsiTheme="majorHAnsi" w:cstheme="majorHAnsi"/>
          <w:color w:val="000000" w:themeColor="text1"/>
        </w:rPr>
      </w:pPr>
      <w:r w:rsidRPr="00EE1F1F">
        <w:rPr>
          <w:rFonts w:asciiTheme="majorHAnsi" w:hAnsiTheme="majorHAnsi" w:cstheme="majorHAnsi"/>
        </w:rPr>
        <w:t>MRC-University of Glasgow Centre for Virus Research, Glasgow, UK.</w:t>
      </w:r>
    </w:p>
    <w:p w14:paraId="4D9B91BE" w14:textId="3B825403" w:rsidR="5DE152D4" w:rsidRPr="00EE1F1F" w:rsidRDefault="78B6F9FD" w:rsidP="004E52CD">
      <w:pPr>
        <w:pStyle w:val="ListParagraph"/>
        <w:numPr>
          <w:ilvl w:val="0"/>
          <w:numId w:val="22"/>
        </w:numPr>
        <w:rPr>
          <w:rFonts w:asciiTheme="majorHAnsi" w:eastAsiaTheme="majorEastAsia" w:hAnsiTheme="majorHAnsi" w:cstheme="majorHAnsi"/>
          <w:color w:val="000000" w:themeColor="text1"/>
        </w:rPr>
      </w:pPr>
      <w:r w:rsidRPr="00EE1F1F">
        <w:rPr>
          <w:rFonts w:asciiTheme="majorHAnsi" w:hAnsiTheme="majorHAnsi" w:cstheme="majorHAnsi"/>
        </w:rPr>
        <w:t>NIHR Health Protection Unit in Emerging Infectious Diseases, Institute of Infection, Veterinary and Ecological Sciences, Faculty of Health and Life Sciences, University of Liverpool, Liverpool, UK</w:t>
      </w:r>
    </w:p>
    <w:p w14:paraId="2615BB51" w14:textId="4217DEAF" w:rsidR="05DF9DF9" w:rsidRDefault="05DF9DF9" w:rsidP="05DF9DF9">
      <w:pPr>
        <w:rPr>
          <w:rFonts w:asciiTheme="majorHAnsi" w:hAnsiTheme="majorHAnsi" w:cstheme="majorBidi"/>
          <w:color w:val="000000" w:themeColor="text1"/>
        </w:rPr>
      </w:pPr>
    </w:p>
    <w:p w14:paraId="3E673E61" w14:textId="36DC6E92" w:rsidR="05DF9DF9" w:rsidRDefault="20AC5B7D" w:rsidP="05DF9DF9">
      <w:pPr>
        <w:rPr>
          <w:rFonts w:asciiTheme="majorHAnsi" w:hAnsiTheme="majorHAnsi" w:cstheme="majorBidi"/>
          <w:color w:val="000000" w:themeColor="text1"/>
        </w:rPr>
      </w:pPr>
      <w:r w:rsidRPr="20AC5B7D">
        <w:rPr>
          <w:rFonts w:asciiTheme="majorHAnsi" w:hAnsiTheme="majorHAnsi" w:cstheme="majorBidi"/>
          <w:color w:val="000000" w:themeColor="text1"/>
        </w:rPr>
        <w:t xml:space="preserve">Corresponding author: Annemarie </w:t>
      </w:r>
      <w:r w:rsidR="4997841C" w:rsidRPr="4997841C">
        <w:rPr>
          <w:rFonts w:asciiTheme="majorHAnsi" w:hAnsiTheme="majorHAnsi" w:cstheme="majorBidi"/>
          <w:color w:val="000000" w:themeColor="text1"/>
        </w:rPr>
        <w:t xml:space="preserve">B </w:t>
      </w:r>
      <w:r w:rsidRPr="20AC5B7D">
        <w:rPr>
          <w:rFonts w:asciiTheme="majorHAnsi" w:hAnsiTheme="majorHAnsi" w:cstheme="majorBidi"/>
          <w:color w:val="000000" w:themeColor="text1"/>
        </w:rPr>
        <w:t>Docherty</w:t>
      </w:r>
    </w:p>
    <w:p w14:paraId="643E2398" w14:textId="77777777" w:rsidR="00CF126A" w:rsidRPr="00CF126A" w:rsidRDefault="00CF126A" w:rsidP="00CF126A">
      <w:pPr>
        <w:rPr>
          <w:rFonts w:asciiTheme="majorHAnsi" w:hAnsiTheme="majorHAnsi" w:cstheme="majorHAnsi"/>
          <w:bCs/>
          <w:color w:val="000000" w:themeColor="text1"/>
        </w:rPr>
      </w:pPr>
      <w:r w:rsidRPr="00CF126A">
        <w:rPr>
          <w:rFonts w:asciiTheme="majorHAnsi" w:hAnsiTheme="majorHAnsi" w:cstheme="majorHAnsi"/>
          <w:bCs/>
          <w:color w:val="000000" w:themeColor="text1"/>
        </w:rPr>
        <w:t xml:space="preserve">Anaesthesia, Critical Care &amp; Pain Medicine </w:t>
      </w:r>
    </w:p>
    <w:p w14:paraId="3EE871D5" w14:textId="77777777" w:rsidR="00CF126A" w:rsidRPr="00CF126A" w:rsidRDefault="00CF126A" w:rsidP="00CF126A">
      <w:pPr>
        <w:rPr>
          <w:rFonts w:asciiTheme="majorHAnsi" w:hAnsiTheme="majorHAnsi" w:cstheme="majorHAnsi"/>
          <w:bCs/>
          <w:color w:val="000000" w:themeColor="text1"/>
        </w:rPr>
      </w:pPr>
      <w:r w:rsidRPr="00CF126A">
        <w:rPr>
          <w:rFonts w:asciiTheme="majorHAnsi" w:hAnsiTheme="majorHAnsi" w:cstheme="majorHAnsi"/>
          <w:bCs/>
          <w:color w:val="000000" w:themeColor="text1"/>
        </w:rPr>
        <w:t>Deanery of Molecular, Genetic, and Population Health Sciences</w:t>
      </w:r>
    </w:p>
    <w:p w14:paraId="7663DCA1" w14:textId="77777777" w:rsidR="00CF126A" w:rsidRPr="00CF126A" w:rsidRDefault="00CF126A" w:rsidP="00CF126A">
      <w:pPr>
        <w:rPr>
          <w:rFonts w:asciiTheme="majorHAnsi" w:hAnsiTheme="majorHAnsi" w:cstheme="majorHAnsi"/>
          <w:bCs/>
          <w:color w:val="000000" w:themeColor="text1"/>
        </w:rPr>
      </w:pPr>
      <w:r w:rsidRPr="00CF126A">
        <w:rPr>
          <w:rFonts w:asciiTheme="majorHAnsi" w:hAnsiTheme="majorHAnsi" w:cstheme="majorHAnsi"/>
          <w:bCs/>
          <w:color w:val="000000" w:themeColor="text1"/>
        </w:rPr>
        <w:t>Usher Institute, University of Edinburgh</w:t>
      </w:r>
    </w:p>
    <w:p w14:paraId="70140E09" w14:textId="77777777" w:rsidR="00CF126A" w:rsidRPr="00CF126A" w:rsidRDefault="00CF126A" w:rsidP="00CF126A">
      <w:pPr>
        <w:rPr>
          <w:rFonts w:asciiTheme="majorHAnsi" w:hAnsiTheme="majorHAnsi" w:cstheme="majorHAnsi"/>
          <w:bCs/>
          <w:color w:val="000000" w:themeColor="text1"/>
        </w:rPr>
      </w:pPr>
      <w:r w:rsidRPr="00CF126A">
        <w:rPr>
          <w:rFonts w:asciiTheme="majorHAnsi" w:hAnsiTheme="majorHAnsi" w:cstheme="majorHAnsi"/>
          <w:bCs/>
          <w:color w:val="000000" w:themeColor="text1"/>
        </w:rPr>
        <w:lastRenderedPageBreak/>
        <w:t xml:space="preserve">Room S8208, 2nd Floor </w:t>
      </w:r>
    </w:p>
    <w:p w14:paraId="4C6B71B8" w14:textId="77777777" w:rsidR="00CF126A" w:rsidRPr="00CF126A" w:rsidRDefault="00CF126A" w:rsidP="00CF126A">
      <w:pPr>
        <w:rPr>
          <w:rFonts w:asciiTheme="majorHAnsi" w:hAnsiTheme="majorHAnsi" w:cstheme="majorHAnsi"/>
          <w:bCs/>
          <w:color w:val="000000" w:themeColor="text1"/>
        </w:rPr>
      </w:pPr>
      <w:r w:rsidRPr="00CF126A">
        <w:rPr>
          <w:rFonts w:asciiTheme="majorHAnsi" w:hAnsiTheme="majorHAnsi" w:cstheme="majorHAnsi"/>
          <w:bCs/>
          <w:color w:val="000000" w:themeColor="text1"/>
        </w:rPr>
        <w:t>The Royal Infirmary of Edinburgh</w:t>
      </w:r>
    </w:p>
    <w:p w14:paraId="50F682D3" w14:textId="77777777" w:rsidR="00CF126A" w:rsidRPr="00CF126A" w:rsidRDefault="00CF126A" w:rsidP="00CF126A">
      <w:pPr>
        <w:rPr>
          <w:rFonts w:asciiTheme="majorHAnsi" w:hAnsiTheme="majorHAnsi" w:cstheme="majorHAnsi"/>
          <w:bCs/>
          <w:color w:val="000000" w:themeColor="text1"/>
        </w:rPr>
      </w:pPr>
      <w:r w:rsidRPr="00CF126A">
        <w:rPr>
          <w:rFonts w:asciiTheme="majorHAnsi" w:hAnsiTheme="majorHAnsi" w:cstheme="majorHAnsi"/>
          <w:bCs/>
          <w:color w:val="000000" w:themeColor="text1"/>
        </w:rPr>
        <w:t xml:space="preserve">NHS Lothian, 51 Little France Crescent </w:t>
      </w:r>
    </w:p>
    <w:p w14:paraId="1C05B079" w14:textId="77777777" w:rsidR="00CF126A" w:rsidRPr="00CF126A" w:rsidRDefault="00CF126A" w:rsidP="00CF126A">
      <w:pPr>
        <w:rPr>
          <w:rFonts w:asciiTheme="majorHAnsi" w:hAnsiTheme="majorHAnsi" w:cstheme="majorHAnsi"/>
          <w:bCs/>
          <w:color w:val="000000" w:themeColor="text1"/>
        </w:rPr>
      </w:pPr>
      <w:r w:rsidRPr="00CF126A">
        <w:rPr>
          <w:rFonts w:asciiTheme="majorHAnsi" w:hAnsiTheme="majorHAnsi" w:cstheme="majorHAnsi"/>
          <w:bCs/>
          <w:color w:val="000000" w:themeColor="text1"/>
        </w:rPr>
        <w:t xml:space="preserve">Edinburgh </w:t>
      </w:r>
      <w:proofErr w:type="spellStart"/>
      <w:r w:rsidRPr="00CF126A">
        <w:rPr>
          <w:rFonts w:asciiTheme="majorHAnsi" w:hAnsiTheme="majorHAnsi" w:cstheme="majorHAnsi"/>
          <w:bCs/>
          <w:color w:val="000000" w:themeColor="text1"/>
        </w:rPr>
        <w:t>BioQuarter</w:t>
      </w:r>
      <w:proofErr w:type="spellEnd"/>
      <w:r w:rsidRPr="00CF126A">
        <w:rPr>
          <w:rFonts w:asciiTheme="majorHAnsi" w:hAnsiTheme="majorHAnsi" w:cstheme="majorHAnsi"/>
          <w:bCs/>
          <w:color w:val="000000" w:themeColor="text1"/>
        </w:rPr>
        <w:t xml:space="preserve"> </w:t>
      </w:r>
    </w:p>
    <w:p w14:paraId="214FC0F0" w14:textId="77777777" w:rsidR="00CF126A" w:rsidRPr="00CF126A" w:rsidRDefault="00CF126A" w:rsidP="00CF126A">
      <w:pPr>
        <w:rPr>
          <w:rFonts w:asciiTheme="majorHAnsi" w:hAnsiTheme="majorHAnsi" w:cstheme="majorHAnsi"/>
          <w:bCs/>
          <w:color w:val="000000" w:themeColor="text1"/>
        </w:rPr>
      </w:pPr>
      <w:r w:rsidRPr="00CF126A">
        <w:rPr>
          <w:rFonts w:asciiTheme="majorHAnsi" w:hAnsiTheme="majorHAnsi" w:cstheme="majorHAnsi"/>
          <w:bCs/>
          <w:color w:val="000000" w:themeColor="text1"/>
        </w:rPr>
        <w:t>Edinburgh EH16 4SA</w:t>
      </w:r>
    </w:p>
    <w:p w14:paraId="37AF8996" w14:textId="77777777" w:rsidR="00CF126A" w:rsidRDefault="00CF126A" w:rsidP="00B77386">
      <w:pPr>
        <w:jc w:val="both"/>
        <w:rPr>
          <w:b/>
          <w:bCs/>
        </w:rPr>
      </w:pPr>
    </w:p>
    <w:p w14:paraId="2007D1DC" w14:textId="77777777" w:rsidR="00B77386" w:rsidRPr="00AE18E1" w:rsidRDefault="00B77386" w:rsidP="00B77386">
      <w:pPr>
        <w:rPr>
          <w:rFonts w:asciiTheme="majorHAnsi" w:hAnsiTheme="majorHAnsi" w:cstheme="majorHAnsi"/>
          <w:bCs/>
          <w:color w:val="000000" w:themeColor="text1"/>
        </w:rPr>
      </w:pPr>
      <w:proofErr w:type="spellStart"/>
      <w:r w:rsidRPr="00AE18E1">
        <w:rPr>
          <w:rFonts w:asciiTheme="majorHAnsi" w:hAnsiTheme="majorHAnsi" w:cstheme="majorHAnsi"/>
          <w:bCs/>
          <w:color w:val="000000" w:themeColor="text1"/>
        </w:rPr>
        <w:t>MeSH</w:t>
      </w:r>
      <w:proofErr w:type="spellEnd"/>
      <w:r w:rsidRPr="00AE18E1">
        <w:rPr>
          <w:rFonts w:asciiTheme="majorHAnsi" w:hAnsiTheme="majorHAnsi" w:cstheme="majorHAnsi"/>
          <w:bCs/>
          <w:color w:val="000000" w:themeColor="text1"/>
        </w:rPr>
        <w:t xml:space="preserve"> key words: </w:t>
      </w:r>
    </w:p>
    <w:p w14:paraId="670AA92E" w14:textId="77777777" w:rsidR="00B77386" w:rsidRPr="00AE18E1" w:rsidRDefault="00B77386" w:rsidP="00B77386">
      <w:pPr>
        <w:rPr>
          <w:rFonts w:asciiTheme="majorHAnsi" w:hAnsiTheme="majorHAnsi" w:cstheme="majorHAnsi"/>
          <w:bCs/>
          <w:color w:val="000000" w:themeColor="text1"/>
        </w:rPr>
      </w:pPr>
      <w:r w:rsidRPr="00AE18E1">
        <w:rPr>
          <w:rFonts w:asciiTheme="majorHAnsi" w:hAnsiTheme="majorHAnsi" w:cstheme="majorHAnsi"/>
          <w:bCs/>
          <w:color w:val="000000" w:themeColor="text1"/>
        </w:rPr>
        <w:t>COVID-19; SARS-CoV-2; Critical Care; Critical Illness; Intensive Care Units</w:t>
      </w:r>
    </w:p>
    <w:p w14:paraId="3F5909BD" w14:textId="77777777" w:rsidR="00E04938" w:rsidRPr="00D7026D" w:rsidRDefault="00E04938" w:rsidP="00B77386">
      <w:pPr>
        <w:spacing w:line="480" w:lineRule="auto"/>
        <w:jc w:val="both"/>
        <w:rPr>
          <w:rFonts w:asciiTheme="majorHAnsi" w:hAnsiTheme="majorHAnsi" w:cstheme="majorHAnsi"/>
        </w:rPr>
      </w:pPr>
    </w:p>
    <w:p w14:paraId="1FC836A1" w14:textId="77777777" w:rsidR="00B77386" w:rsidRPr="00D7026D" w:rsidRDefault="00B77386" w:rsidP="00B77386">
      <w:pPr>
        <w:spacing w:line="480" w:lineRule="auto"/>
        <w:jc w:val="both"/>
        <w:rPr>
          <w:rFonts w:asciiTheme="majorHAnsi" w:hAnsiTheme="majorHAnsi" w:cstheme="majorHAnsi"/>
        </w:rPr>
      </w:pPr>
      <w:r w:rsidRPr="00D7026D">
        <w:rPr>
          <w:rFonts w:asciiTheme="majorHAnsi" w:hAnsiTheme="majorHAnsi" w:cstheme="majorHAnsi"/>
          <w:b/>
        </w:rPr>
        <w:t>Abstract</w:t>
      </w:r>
      <w:r w:rsidRPr="00D7026D">
        <w:rPr>
          <w:rFonts w:asciiTheme="majorHAnsi" w:hAnsiTheme="majorHAnsi" w:cstheme="majorHAnsi"/>
        </w:rPr>
        <w:t xml:space="preserve"> </w:t>
      </w:r>
    </w:p>
    <w:p w14:paraId="5EE47E7A" w14:textId="5C8807B7" w:rsidR="00B77386" w:rsidRPr="00A97DAF" w:rsidRDefault="00B77386" w:rsidP="00B77386">
      <w:pPr>
        <w:spacing w:line="480" w:lineRule="auto"/>
        <w:jc w:val="both"/>
        <w:rPr>
          <w:rFonts w:asciiTheme="majorHAnsi" w:hAnsiTheme="majorHAnsi" w:cstheme="majorHAnsi"/>
          <w:color w:val="000000" w:themeColor="text1"/>
        </w:rPr>
      </w:pPr>
      <w:r>
        <w:rPr>
          <w:rFonts w:asciiTheme="majorHAnsi" w:hAnsiTheme="majorHAnsi" w:cstheme="majorHAnsi"/>
          <w:b/>
          <w:bCs/>
          <w:color w:val="4F81BD" w:themeColor="accent1"/>
        </w:rPr>
        <w:t xml:space="preserve">Background </w:t>
      </w:r>
      <w:r>
        <w:rPr>
          <w:rFonts w:asciiTheme="majorHAnsi" w:hAnsiTheme="majorHAnsi" w:cstheme="majorHAnsi"/>
          <w:color w:val="000000" w:themeColor="text1"/>
        </w:rPr>
        <w:t>We aimed t</w:t>
      </w:r>
      <w:r w:rsidRPr="00D7026D">
        <w:rPr>
          <w:rFonts w:asciiTheme="majorHAnsi" w:hAnsiTheme="majorHAnsi" w:cstheme="majorHAnsi"/>
          <w:color w:val="000000" w:themeColor="text1"/>
        </w:rPr>
        <w:t xml:space="preserve">o compare the prevalence and severity of fatigue in survivors of Covid-19 versus non-Covid-19 critical illness, and to explore potential associations between baseline characteristics and worse recovery. </w:t>
      </w:r>
    </w:p>
    <w:p w14:paraId="7ED4ECCD" w14:textId="5340A571" w:rsidR="00B77386" w:rsidRPr="00D7026D" w:rsidRDefault="00B77386" w:rsidP="00B77386">
      <w:pPr>
        <w:spacing w:line="480" w:lineRule="auto"/>
        <w:jc w:val="both"/>
        <w:rPr>
          <w:rFonts w:asciiTheme="majorHAnsi" w:hAnsiTheme="majorHAnsi" w:cstheme="majorBidi"/>
          <w:color w:val="000000" w:themeColor="text1"/>
        </w:rPr>
      </w:pPr>
      <w:proofErr w:type="gramStart"/>
      <w:r w:rsidRPr="094F43DF">
        <w:rPr>
          <w:rFonts w:asciiTheme="majorHAnsi" w:hAnsiTheme="majorHAnsi" w:cstheme="majorBidi"/>
          <w:b/>
          <w:bCs/>
          <w:color w:val="4F81BD" w:themeColor="accent1"/>
        </w:rPr>
        <w:t xml:space="preserve">Methods </w:t>
      </w:r>
      <w:r w:rsidRPr="094F43DF">
        <w:rPr>
          <w:rFonts w:asciiTheme="majorHAnsi" w:hAnsiTheme="majorHAnsi" w:cstheme="majorBidi"/>
          <w:b/>
          <w:bCs/>
          <w:color w:val="000000" w:themeColor="text1"/>
        </w:rPr>
        <w:t xml:space="preserve"> </w:t>
      </w:r>
      <w:r w:rsidRPr="094F43DF">
        <w:rPr>
          <w:rFonts w:asciiTheme="majorHAnsi" w:hAnsiTheme="majorHAnsi" w:cstheme="majorBidi"/>
          <w:color w:val="000000" w:themeColor="text1"/>
        </w:rPr>
        <w:t>We</w:t>
      </w:r>
      <w:proofErr w:type="gramEnd"/>
      <w:r w:rsidRPr="094F43DF">
        <w:rPr>
          <w:rFonts w:asciiTheme="majorHAnsi" w:hAnsiTheme="majorHAnsi" w:cstheme="majorBidi"/>
          <w:color w:val="000000" w:themeColor="text1"/>
        </w:rPr>
        <w:t xml:space="preserve"> conducted a secondary analysis of two prospectively collected datasets. The population included was 92 patients who received invasive mechanical ventilation (IMV) with Covid-19, and 240 patients who received IMV with non-Covid-19 illness before the pandemic. </w:t>
      </w:r>
      <w:r>
        <w:rPr>
          <w:rFonts w:asciiTheme="majorHAnsi" w:hAnsiTheme="majorHAnsi" w:cstheme="majorBidi"/>
          <w:color w:val="000000" w:themeColor="text1"/>
        </w:rPr>
        <w:t xml:space="preserve">Follow-up data was collected post-hospital discharge using self-reported questionnaires. </w:t>
      </w:r>
      <w:r w:rsidRPr="094F43DF">
        <w:rPr>
          <w:rFonts w:asciiTheme="majorHAnsi" w:hAnsiTheme="majorHAnsi" w:cstheme="majorBidi"/>
          <w:color w:val="000000" w:themeColor="text1"/>
        </w:rPr>
        <w:t xml:space="preserve">The main outcome measures were self-reported fatigue severity and the prevalence of </w:t>
      </w:r>
      <w:r w:rsidR="008B68DC">
        <w:rPr>
          <w:rFonts w:asciiTheme="majorHAnsi" w:hAnsiTheme="majorHAnsi" w:cstheme="majorBidi"/>
          <w:color w:val="000000" w:themeColor="text1"/>
        </w:rPr>
        <w:t xml:space="preserve">severe </w:t>
      </w:r>
      <w:r w:rsidRPr="094F43DF">
        <w:rPr>
          <w:rFonts w:asciiTheme="majorHAnsi" w:hAnsiTheme="majorHAnsi" w:cstheme="majorBidi"/>
          <w:color w:val="000000" w:themeColor="text1"/>
        </w:rPr>
        <w:t>fatigue</w:t>
      </w:r>
      <w:r w:rsidR="00150926">
        <w:rPr>
          <w:rFonts w:asciiTheme="majorHAnsi" w:hAnsiTheme="majorHAnsi" w:cstheme="majorBidi"/>
          <w:color w:val="000000" w:themeColor="text1"/>
        </w:rPr>
        <w:t xml:space="preserve"> (severity &gt;7/10)</w:t>
      </w:r>
      <w:r w:rsidRPr="094F43DF">
        <w:rPr>
          <w:rFonts w:asciiTheme="majorHAnsi" w:hAnsiTheme="majorHAnsi" w:cstheme="majorBidi"/>
          <w:color w:val="000000" w:themeColor="text1"/>
        </w:rPr>
        <w:t xml:space="preserve"> 3 </w:t>
      </w:r>
      <w:r w:rsidR="00B538C3">
        <w:rPr>
          <w:rFonts w:asciiTheme="majorHAnsi" w:hAnsiTheme="majorHAnsi" w:cstheme="majorBidi"/>
          <w:color w:val="000000" w:themeColor="text1"/>
        </w:rPr>
        <w:t>to</w:t>
      </w:r>
      <w:r w:rsidRPr="094F43DF">
        <w:rPr>
          <w:rFonts w:asciiTheme="majorHAnsi" w:hAnsiTheme="majorHAnsi" w:cstheme="majorBidi"/>
          <w:color w:val="000000" w:themeColor="text1"/>
        </w:rPr>
        <w:t xml:space="preserve"> 12-months post-hospital discharge. </w:t>
      </w:r>
    </w:p>
    <w:p w14:paraId="498D768C" w14:textId="37E10BDA" w:rsidR="00B77386" w:rsidRPr="00A97DAF" w:rsidRDefault="00B77386" w:rsidP="00B77386">
      <w:pPr>
        <w:spacing w:line="480" w:lineRule="auto"/>
        <w:jc w:val="both"/>
        <w:rPr>
          <w:rFonts w:asciiTheme="majorHAnsi" w:hAnsiTheme="majorHAnsi" w:cstheme="majorBidi"/>
        </w:rPr>
      </w:pPr>
      <w:r w:rsidRPr="094F43DF">
        <w:rPr>
          <w:rFonts w:asciiTheme="majorHAnsi" w:hAnsiTheme="majorHAnsi" w:cstheme="majorBidi"/>
          <w:b/>
          <w:bCs/>
          <w:color w:val="4F81BD" w:themeColor="accent1"/>
        </w:rPr>
        <w:t xml:space="preserve">Results </w:t>
      </w:r>
      <w:r w:rsidRPr="094F43DF">
        <w:rPr>
          <w:rFonts w:asciiTheme="majorHAnsi" w:hAnsiTheme="majorHAnsi" w:cstheme="majorBidi"/>
          <w:color w:val="000000" w:themeColor="text1"/>
        </w:rPr>
        <w:t xml:space="preserve">Covid-19 IMV-patients were significantly younger with less prior comorbidity, and more males, than pre-pandemic IMV-patients. </w:t>
      </w:r>
      <w:r w:rsidRPr="00271440">
        <w:rPr>
          <w:rFonts w:asciiTheme="majorHAnsi" w:hAnsiTheme="majorHAnsi" w:cstheme="majorBidi"/>
          <w:color w:val="000000" w:themeColor="text1"/>
        </w:rPr>
        <w:t>At 3-months, the prevalence (</w:t>
      </w:r>
      <w:r w:rsidR="00E1472C" w:rsidRPr="00271440">
        <w:rPr>
          <w:rFonts w:asciiTheme="majorHAnsi" w:hAnsiTheme="majorHAnsi" w:cstheme="majorBidi"/>
          <w:color w:val="000000" w:themeColor="text1"/>
        </w:rPr>
        <w:t>38.9</w:t>
      </w:r>
      <w:r w:rsidRPr="00271440">
        <w:rPr>
          <w:rFonts w:asciiTheme="majorHAnsi" w:hAnsiTheme="majorHAnsi" w:cstheme="majorBidi"/>
          <w:color w:val="000000" w:themeColor="text1"/>
        </w:rPr>
        <w:t>% [7/</w:t>
      </w:r>
      <w:r w:rsidR="00E1472C" w:rsidRPr="00271440">
        <w:rPr>
          <w:rFonts w:asciiTheme="majorHAnsi" w:hAnsiTheme="majorHAnsi" w:cstheme="majorBidi"/>
          <w:color w:val="000000" w:themeColor="text1"/>
        </w:rPr>
        <w:t>1</w:t>
      </w:r>
      <w:r w:rsidRPr="00271440">
        <w:rPr>
          <w:rFonts w:asciiTheme="majorHAnsi" w:hAnsiTheme="majorHAnsi" w:cstheme="majorBidi"/>
          <w:color w:val="000000" w:themeColor="text1"/>
        </w:rPr>
        <w:t xml:space="preserve">8] vs. </w:t>
      </w:r>
      <w:r w:rsidR="00E1472C" w:rsidRPr="00271440">
        <w:rPr>
          <w:rFonts w:asciiTheme="majorHAnsi" w:hAnsiTheme="majorHAnsi" w:cstheme="majorBidi"/>
          <w:color w:val="000000" w:themeColor="text1"/>
        </w:rPr>
        <w:t>27.1</w:t>
      </w:r>
      <w:r w:rsidRPr="00271440">
        <w:rPr>
          <w:rFonts w:asciiTheme="majorHAnsi" w:hAnsiTheme="majorHAnsi" w:cstheme="majorBidi"/>
          <w:color w:val="000000" w:themeColor="text1"/>
        </w:rPr>
        <w:t>% [5</w:t>
      </w:r>
      <w:r w:rsidR="00E1472C" w:rsidRPr="00271440">
        <w:rPr>
          <w:rFonts w:asciiTheme="majorHAnsi" w:hAnsiTheme="majorHAnsi" w:cstheme="majorBidi"/>
          <w:color w:val="000000" w:themeColor="text1"/>
        </w:rPr>
        <w:t>1</w:t>
      </w:r>
      <w:r w:rsidRPr="00271440">
        <w:rPr>
          <w:rFonts w:asciiTheme="majorHAnsi" w:hAnsiTheme="majorHAnsi" w:cstheme="majorBidi"/>
          <w:color w:val="000000" w:themeColor="text1"/>
        </w:rPr>
        <w:t>/188]) and severity (median 5.5/10 vs. 5.0/10) of fatigue was similar between the Covid-19 and pre-pandemic populations respectively. At 6-months, the prevalence (</w:t>
      </w:r>
      <w:r w:rsidR="00E1472C" w:rsidRPr="00271440">
        <w:rPr>
          <w:rFonts w:asciiTheme="majorHAnsi" w:hAnsiTheme="majorHAnsi" w:cstheme="majorBidi"/>
          <w:color w:val="000000" w:themeColor="text1"/>
        </w:rPr>
        <w:t>10.3</w:t>
      </w:r>
      <w:r w:rsidRPr="00271440">
        <w:rPr>
          <w:rFonts w:asciiTheme="majorHAnsi" w:hAnsiTheme="majorHAnsi" w:cstheme="majorBidi"/>
          <w:color w:val="000000" w:themeColor="text1"/>
        </w:rPr>
        <w:t>% [</w:t>
      </w:r>
      <w:r w:rsidR="00E1472C" w:rsidRPr="00271440">
        <w:rPr>
          <w:rFonts w:asciiTheme="majorHAnsi" w:hAnsiTheme="majorHAnsi" w:cstheme="majorBidi"/>
          <w:color w:val="000000" w:themeColor="text1"/>
        </w:rPr>
        <w:t>3/29</w:t>
      </w:r>
      <w:r w:rsidRPr="00271440">
        <w:rPr>
          <w:rFonts w:asciiTheme="majorHAnsi" w:hAnsiTheme="majorHAnsi" w:cstheme="majorBidi"/>
          <w:color w:val="000000" w:themeColor="text1"/>
        </w:rPr>
        <w:t xml:space="preserve">] vs. </w:t>
      </w:r>
      <w:r w:rsidR="00271440" w:rsidRPr="00271440">
        <w:rPr>
          <w:rFonts w:asciiTheme="majorHAnsi" w:hAnsiTheme="majorHAnsi" w:cstheme="majorBidi"/>
          <w:color w:val="000000" w:themeColor="text1"/>
        </w:rPr>
        <w:t>32.5</w:t>
      </w:r>
      <w:r w:rsidRPr="00271440">
        <w:rPr>
          <w:rFonts w:asciiTheme="majorHAnsi" w:hAnsiTheme="majorHAnsi" w:cstheme="majorBidi"/>
          <w:color w:val="000000" w:themeColor="text1"/>
        </w:rPr>
        <w:t>% [</w:t>
      </w:r>
      <w:r w:rsidR="00271440" w:rsidRPr="00271440">
        <w:rPr>
          <w:rFonts w:asciiTheme="majorHAnsi" w:hAnsiTheme="majorHAnsi" w:cstheme="majorBidi"/>
          <w:color w:val="000000" w:themeColor="text1"/>
        </w:rPr>
        <w:t>54</w:t>
      </w:r>
      <w:r w:rsidRPr="00271440">
        <w:rPr>
          <w:rFonts w:asciiTheme="majorHAnsi" w:hAnsiTheme="majorHAnsi" w:cstheme="majorBidi"/>
          <w:color w:val="000000" w:themeColor="text1"/>
        </w:rPr>
        <w:t>/166]) and severity (median 2.0/10 vs. 5.7/10) of fatigue was less in the Covid-19 cohort.</w:t>
      </w:r>
      <w:r w:rsidRPr="094F43DF">
        <w:rPr>
          <w:rFonts w:asciiTheme="majorHAnsi" w:hAnsiTheme="majorHAnsi" w:cstheme="majorBidi"/>
          <w:color w:val="000000" w:themeColor="text1"/>
        </w:rPr>
        <w:t xml:space="preserve"> </w:t>
      </w:r>
      <w:r w:rsidRPr="004B5756">
        <w:rPr>
          <w:rFonts w:asciiTheme="majorHAnsi" w:hAnsiTheme="majorHAnsi" w:cstheme="majorHAnsi"/>
        </w:rPr>
        <w:t>In the total sample of IMV-patients included (</w:t>
      </w:r>
      <w:proofErr w:type="gramStart"/>
      <w:r w:rsidRPr="004B5756">
        <w:rPr>
          <w:rFonts w:asciiTheme="majorHAnsi" w:hAnsiTheme="majorHAnsi" w:cstheme="majorHAnsi"/>
        </w:rPr>
        <w:t>i.e.</w:t>
      </w:r>
      <w:proofErr w:type="gramEnd"/>
      <w:r w:rsidRPr="004B5756">
        <w:rPr>
          <w:rFonts w:asciiTheme="majorHAnsi" w:hAnsiTheme="majorHAnsi" w:cstheme="majorHAnsi"/>
        </w:rPr>
        <w:t xml:space="preserve"> all Covid-19 and pre-pandemic patients), having Covid-19 was significantly associated with less severe fatigue (severity &lt;7/10) after adjusting for age, sex, and prior comorbidity</w:t>
      </w:r>
      <w:r w:rsidR="00A9243D" w:rsidRPr="004B5756">
        <w:rPr>
          <w:rFonts w:asciiTheme="majorHAnsi" w:hAnsiTheme="majorHAnsi" w:cstheme="majorHAnsi"/>
        </w:rPr>
        <w:t xml:space="preserve"> (adjusted OR 0.35 (95%CI 0.15-0.76, p=0.01).</w:t>
      </w:r>
    </w:p>
    <w:p w14:paraId="37FC38F9" w14:textId="447465F8" w:rsidR="00B77386" w:rsidRPr="005D126B" w:rsidRDefault="00B77386" w:rsidP="00B77386">
      <w:pPr>
        <w:spacing w:line="480" w:lineRule="auto"/>
        <w:jc w:val="both"/>
        <w:rPr>
          <w:rFonts w:asciiTheme="majorHAnsi" w:hAnsiTheme="majorHAnsi" w:cstheme="majorBidi"/>
        </w:rPr>
      </w:pPr>
      <w:r w:rsidRPr="18082269">
        <w:rPr>
          <w:rFonts w:asciiTheme="majorHAnsi" w:hAnsiTheme="majorHAnsi" w:cstheme="majorBidi"/>
          <w:b/>
          <w:color w:val="4F81BD" w:themeColor="accent1"/>
        </w:rPr>
        <w:lastRenderedPageBreak/>
        <w:t>Conclusion</w:t>
      </w:r>
      <w:r w:rsidRPr="18082269">
        <w:rPr>
          <w:rFonts w:asciiTheme="majorHAnsi" w:hAnsiTheme="majorHAnsi" w:cstheme="majorBidi"/>
        </w:rPr>
        <w:t xml:space="preserve">. </w:t>
      </w:r>
      <w:r w:rsidR="009E21F0">
        <w:rPr>
          <w:rFonts w:asciiTheme="majorHAnsi" w:hAnsiTheme="majorHAnsi" w:cstheme="majorBidi"/>
        </w:rPr>
        <w:t>F</w:t>
      </w:r>
      <w:r w:rsidRPr="18082269">
        <w:rPr>
          <w:rFonts w:asciiTheme="majorHAnsi" w:hAnsiTheme="majorHAnsi" w:cstheme="majorBidi"/>
        </w:rPr>
        <w:t>atigue may be less severe after Covid-19 than after other critical illness.</w:t>
      </w:r>
    </w:p>
    <w:p w14:paraId="6222800C" w14:textId="77777777" w:rsidR="00B77386" w:rsidRPr="00D7026D" w:rsidRDefault="00B77386" w:rsidP="00B77386">
      <w:pPr>
        <w:spacing w:line="480" w:lineRule="auto"/>
        <w:jc w:val="both"/>
        <w:rPr>
          <w:rFonts w:asciiTheme="majorHAnsi" w:hAnsiTheme="majorHAnsi" w:cstheme="majorHAnsi"/>
          <w:b/>
        </w:rPr>
      </w:pPr>
      <w:r w:rsidRPr="00D7026D">
        <w:rPr>
          <w:rFonts w:asciiTheme="majorHAnsi" w:hAnsiTheme="majorHAnsi" w:cstheme="majorHAnsi"/>
          <w:b/>
        </w:rPr>
        <w:t xml:space="preserve">Introduction </w:t>
      </w:r>
    </w:p>
    <w:p w14:paraId="60973329" w14:textId="77777777" w:rsidR="00B77386" w:rsidRPr="00D7026D" w:rsidRDefault="00B77386" w:rsidP="00B77386">
      <w:pPr>
        <w:spacing w:line="480" w:lineRule="auto"/>
        <w:rPr>
          <w:rFonts w:asciiTheme="majorHAnsi" w:hAnsiTheme="majorHAnsi" w:cstheme="majorHAnsi"/>
        </w:rPr>
      </w:pPr>
    </w:p>
    <w:p w14:paraId="23928DD4" w14:textId="0C7CE743" w:rsidR="00B77386" w:rsidRPr="00D7026D" w:rsidRDefault="00B77386" w:rsidP="00B77386">
      <w:pPr>
        <w:spacing w:line="480" w:lineRule="auto"/>
        <w:ind w:firstLine="720"/>
        <w:rPr>
          <w:rFonts w:asciiTheme="majorHAnsi" w:hAnsiTheme="majorHAnsi" w:cstheme="majorBidi"/>
        </w:rPr>
      </w:pPr>
      <w:r w:rsidRPr="094F43DF">
        <w:rPr>
          <w:rFonts w:asciiTheme="majorHAnsi" w:hAnsiTheme="majorHAnsi" w:cstheme="majorBidi"/>
        </w:rPr>
        <w:t xml:space="preserve">Post Intensive Care Syndrome (PICS) describes the constellation of physical, psychological and cognitive symptoms </w:t>
      </w:r>
      <w:r w:rsidR="635675B7" w:rsidRPr="635675B7">
        <w:rPr>
          <w:rFonts w:asciiTheme="majorHAnsi" w:hAnsiTheme="majorHAnsi" w:cstheme="majorBidi"/>
        </w:rPr>
        <w:t>affecting</w:t>
      </w:r>
      <w:r w:rsidRPr="094F43DF">
        <w:rPr>
          <w:rFonts w:asciiTheme="majorHAnsi" w:hAnsiTheme="majorHAnsi" w:cstheme="majorBidi"/>
        </w:rPr>
        <w:t xml:space="preserve"> 25% of critical illness survivors, which include fatigue, muscle weakness, and posttraumatic stress</w:t>
      </w:r>
      <w:r w:rsidRPr="094F43DF">
        <w:rPr>
          <w:rFonts w:asciiTheme="majorHAnsi" w:hAnsiTheme="majorHAnsi" w:cstheme="majorBidi"/>
        </w:rPr>
        <w:fldChar w:fldCharType="begin" w:fldLock="1"/>
      </w:r>
      <w:r w:rsidR="00BA6454">
        <w:rPr>
          <w:rFonts w:asciiTheme="majorHAnsi" w:hAnsiTheme="majorHAnsi" w:cstheme="majorBidi"/>
        </w:rPr>
        <w:instrText>ADDIN CSL_CITATION {"citationItems":[{"id":"ITEM-1","itemData":{"DOI":"10.1515/jtim-2016-0016","author":[{"dropping-particle":"","family":"Rawal","given":"G","non-dropping-particle":"","parse-names":false,"suffix":""},{"dropping-particle":"","family":"Yadav","given":"S","non-dropping-particle":"","parse-names":false,"suffix":""},{"dropping-particle":"","family":"Kumar","given":"R","non-dropping-particle":"","parse-names":false,"suffix":""}],"container-title":"Journal of translational internal medicine","id":"ITEM-1","issue":"2","issued":{"date-parts":[["2017"]]},"page":"90-92","title":"Post-intensive care syndrome: An overview","type":"article-journal","volume":"5"},"uris":["http://www.mendeley.com/documents/?uuid=748478a5-c9ff-4a4c-b2ec-77f6333ae1ae"]}],"mendeley":{"formattedCitation":"&lt;sup&gt;1&lt;/sup&gt;","plainTextFormattedCitation":"1","previouslyFormattedCitation":"&lt;sup&gt;1&lt;/sup&gt;"},"properties":{"noteIndex":0},"schema":"https://github.com/citation-style-language/schema/raw/master/csl-citation.json"}</w:instrText>
      </w:r>
      <w:r w:rsidRPr="094F43DF">
        <w:rPr>
          <w:rFonts w:asciiTheme="majorHAnsi" w:hAnsiTheme="majorHAnsi" w:cstheme="majorBidi"/>
        </w:rPr>
        <w:fldChar w:fldCharType="separate"/>
      </w:r>
      <w:r w:rsidR="00483F7C" w:rsidRPr="00483F7C">
        <w:rPr>
          <w:rFonts w:asciiTheme="majorHAnsi" w:hAnsiTheme="majorHAnsi" w:cstheme="majorBidi"/>
          <w:noProof/>
          <w:vertAlign w:val="superscript"/>
        </w:rPr>
        <w:t>1</w:t>
      </w:r>
      <w:r w:rsidRPr="094F43DF">
        <w:rPr>
          <w:rFonts w:asciiTheme="majorHAnsi" w:hAnsiTheme="majorHAnsi" w:cstheme="majorBidi"/>
        </w:rPr>
        <w:fldChar w:fldCharType="end"/>
      </w:r>
      <w:r w:rsidRPr="094F43DF">
        <w:rPr>
          <w:rFonts w:asciiTheme="majorHAnsi" w:hAnsiTheme="majorHAnsi" w:cstheme="majorBidi"/>
        </w:rPr>
        <w:t>. PICS may persist for longer than 5 years and is associated with high hospital resource use and readmission rates</w:t>
      </w:r>
      <w:r w:rsidRPr="094F43DF">
        <w:rPr>
          <w:rFonts w:asciiTheme="majorHAnsi" w:hAnsiTheme="majorHAnsi" w:cstheme="majorBidi"/>
        </w:rPr>
        <w:fldChar w:fldCharType="begin" w:fldLock="1"/>
      </w:r>
      <w:r w:rsidR="00BA6454">
        <w:rPr>
          <w:rFonts w:asciiTheme="majorHAnsi" w:hAnsiTheme="majorHAnsi" w:cstheme="majorBidi"/>
        </w:rPr>
        <w:instrText>ADDIN CSL_CITATION {"citationItems":[{"id":"ITEM-1","itemData":{"DOI":"10.1164/rccm.201511-2234OC","ISSN":"1073-449X","abstract":"Rationale: Survivors of critical illness experience significant morbidity, but the impact of surviving the intensive care unit (ICU) has not been quantified comprehensively at a population level.Objectives: To identify factors associated with increased hospital resource use and to ascertain whether ICU admission was associated with increased mortality and resource use.Methods: Matched cohort study and pre/post-analysis using national linked data registries with complete population coverage. The population consisted of patients admitted to all adult general ICUs during 2005 and surviving to hospital discharge, identified from the Scottish Intensive Care Society Audit Group registry, matched (1:1) with similar hospital control subjects. Five-year outcomes included mortality and hospital resource use. Confounder adjustment was based on multivariable regression and pre/post within-individual analyses.Measurements and Main Results: Of 7,656 ICU patients, 5,259 survived to hospital discharge (5,215 [99.2%] matched to hospital control subjects). Factors present before ICU admission (comorbidities/pre-ICU hospitalizations) were stronger predictors of hospital resource use than acute illness factors. In the 5 years after the initial hospital discharge, compared with hospital control subjects, the ICU cohort had higher mortality (32.3% vs. 22.7%; hazard ratio, 1.33; 95% confidence interval, 1.22?1.46; P?&lt;?0.001), used more hospital resources (mean hospital admission rate, 4.8 vs. 3.3/person/5 yr), and had 51% higher mean 5-year hospital costs ($25,608 vs. $16,913/patient). Increased resource use persisted after confounder adjustment (P?&lt;?0.001) and using pre/post-analyses (P?&lt;?0.001). Excess resource use and mortality were greatest for younger patients without significant comorbidity.Conclusions: This complete, national study demonstrates that ICU survivorship is associated with higher 5-year mortality and hospital resource use than hospital control subjects, representing a substantial burden on individuals, caregivers, and society.","author":[{"dropping-particle":"","family":"Lone","given":"Nazir I","non-dropping-particle":"","parse-names":false,"suffix":""},{"dropping-particle":"","family":"Gillies","given":"Michael A","non-dropping-particle":"","parse-names":false,"suffix":""},{"dropping-particle":"","family":"Haddow","given":"Catriona","non-dropping-particle":"","parse-names":false,"suffix":""},{"dropping-particle":"","family":"Dobbie","given":"Richard","non-dropping-particle":"","parse-names":false,"suffix":""},{"dropping-particle":"","family":"Rowan","given":"Kathryn M","non-dropping-particle":"","parse-names":false,"suffix":""},{"dropping-particle":"","family":"Wild","given":"Sarah H","non-dropping-particle":"","parse-names":false,"suffix":""},{"dropping-particle":"","family":"Murray","given":"Gordon D","non-dropping-particle":"","parse-names":false,"suffix":""},{"dropping-particle":"","family":"Walsh","given":"Timothy S","non-dropping-particle":"","parse-names":false,"suffix":""}],"container-title":"American Journal of Respiratory and Critical Care Medicine","id":"ITEM-1","issue":"2","issued":{"date-parts":[["2016","1","27"]]},"note":"doi: 10.1164/rccm.201511-2234OC","page":"198-208","publisher":"American Thoracic Society - AJRCCM","title":"Five-Year Mortality and Hospital Costs Associated with Surviving Intensive Care","type":"article-journal","volume":"194"},"uris":["http://www.mendeley.com/documents/?uuid=9894917d-9fd0-40e1-9358-6f7ff5831935"]}],"mendeley":{"formattedCitation":"&lt;sup&gt;2&lt;/sup&gt;","plainTextFormattedCitation":"2","previouslyFormattedCitation":"&lt;sup&gt;2&lt;/sup&gt;"},"properties":{"noteIndex":0},"schema":"https://github.com/citation-style-language/schema/raw/master/csl-citation.json"}</w:instrText>
      </w:r>
      <w:r w:rsidRPr="094F43DF">
        <w:rPr>
          <w:rFonts w:asciiTheme="majorHAnsi" w:hAnsiTheme="majorHAnsi" w:cstheme="majorBidi"/>
        </w:rPr>
        <w:fldChar w:fldCharType="separate"/>
      </w:r>
      <w:r w:rsidR="00483F7C" w:rsidRPr="00483F7C">
        <w:rPr>
          <w:rFonts w:asciiTheme="majorHAnsi" w:hAnsiTheme="majorHAnsi" w:cstheme="majorBidi"/>
          <w:noProof/>
          <w:vertAlign w:val="superscript"/>
        </w:rPr>
        <w:t>2</w:t>
      </w:r>
      <w:r w:rsidRPr="094F43DF">
        <w:rPr>
          <w:rFonts w:asciiTheme="majorHAnsi" w:hAnsiTheme="majorHAnsi" w:cstheme="majorBidi"/>
        </w:rPr>
        <w:fldChar w:fldCharType="end"/>
      </w:r>
      <w:r w:rsidRPr="094F43DF">
        <w:rPr>
          <w:rFonts w:asciiTheme="majorHAnsi" w:hAnsiTheme="majorHAnsi" w:cstheme="majorBidi"/>
        </w:rPr>
        <w:t xml:space="preserve">. </w:t>
      </w:r>
      <w:r w:rsidR="00FD7F0F">
        <w:rPr>
          <w:rFonts w:asciiTheme="majorHAnsi" w:hAnsiTheme="majorHAnsi" w:cstheme="majorBidi"/>
        </w:rPr>
        <w:t xml:space="preserve"> </w:t>
      </w:r>
      <w:r w:rsidRPr="094F43DF">
        <w:rPr>
          <w:rFonts w:asciiTheme="majorHAnsi" w:hAnsiTheme="majorHAnsi" w:cstheme="majorBidi"/>
        </w:rPr>
        <w:t xml:space="preserve"> </w:t>
      </w:r>
      <w:r w:rsidR="635675B7" w:rsidRPr="635675B7">
        <w:rPr>
          <w:rFonts w:asciiTheme="majorHAnsi" w:hAnsiTheme="majorHAnsi" w:cstheme="majorBidi"/>
        </w:rPr>
        <w:t>I</w:t>
      </w:r>
      <w:r w:rsidRPr="094F43DF">
        <w:rPr>
          <w:rFonts w:asciiTheme="majorHAnsi" w:hAnsiTheme="majorHAnsi" w:cstheme="majorBidi"/>
        </w:rPr>
        <w:t>mplementation of</w:t>
      </w:r>
      <w:r w:rsidR="635675B7" w:rsidRPr="635675B7">
        <w:rPr>
          <w:rFonts w:asciiTheme="majorHAnsi" w:hAnsiTheme="majorHAnsi" w:cstheme="majorBidi"/>
        </w:rPr>
        <w:t xml:space="preserve"> post-ICU rehabilitation guidelines</w:t>
      </w:r>
      <w:r w:rsidRPr="094F43DF">
        <w:rPr>
          <w:rFonts w:asciiTheme="majorHAnsi" w:hAnsiTheme="majorHAnsi" w:cstheme="majorBidi"/>
        </w:rPr>
        <w:t xml:space="preserve">  is inconsistent, and the best ways to support intensive care unit (ICU) survivors are uncertain</w:t>
      </w:r>
      <w:r w:rsidRPr="094F43DF">
        <w:rPr>
          <w:rFonts w:asciiTheme="majorHAnsi" w:hAnsiTheme="majorHAnsi" w:cstheme="majorBidi"/>
        </w:rPr>
        <w:fldChar w:fldCharType="begin" w:fldLock="1"/>
      </w:r>
      <w:r w:rsidR="00BA6454">
        <w:rPr>
          <w:rFonts w:asciiTheme="majorHAnsi" w:hAnsiTheme="majorHAnsi" w:cstheme="majorBidi"/>
        </w:rPr>
        <w:instrText>ADDIN CSL_CITATION {"citationItems":[{"id":"ITEM-1","itemData":{"DOI":"10.1136/bmjopen-2014-004963","abstract":"Objective To determine the implementation of National Institute for Health and Care Excellence guidance (NICE CG83) for posthospital discharge critical illness follow-up and rehabilitation programmes. Design Closed-question postal survey. Setting Adult intensive care units (ICUs) across the UK, identified from national databases of organisations. Specialist-only and private ICUs were not included. Participants Senior respiratory critical care physiotherapy clinicians. Results A representative sample of 182 surveys was returned from the 240 distributed (75.8% (95% CI 70.4 to 81.2)). Only 48 organisations (27.3% (95% CI 20.7 to 33.9)) offered a follow-up service 2–3 months following hospital discharge, the majority (n=39, 84.8%) in clinic format. 12 organisations reported posthospital discharge rehabilitation programmes (6.8% (95% CI 3.1 to 10.5)), albeit only 10 of these operated on a regular basis. Lack of funding was reported as the most frequent (n=149/164, 90%) and main barrier (n=99/156, 63.5%) to providing services. Insufficient resources (n=71/164, 43.3%) and lack of priority by the clinical management team (n=66/164, 40.2%) were also highly cited barriers to service delivery. Conclusions NICE CG83 has been successful in profiling the importance of rehabilitation for survivors of critical illness. However, 4 years following publication of CG83 there has been limited development of this clinical service across the UK. Strategies to support delivery of such quality improvement programmes are urgently required to enhance patient care.","author":[{"dropping-particle":"","family":"Connolly","given":"Bronwen","non-dropping-particle":"","parse-names":false,"suffix":""},{"dropping-particle":"","family":"Douiri","given":"A","non-dropping-particle":"","parse-names":false,"suffix":""},{"dropping-particle":"","family":"Steier","given":"J","non-dropping-particle":"","parse-names":false,"suffix":""},{"dropping-particle":"","family":"Moxham","given":"J","non-dropping-particle":"","parse-names":false,"suffix":""},{"dropping-particle":"","family":"Denehy","given":"L","non-dropping-particle":"","parse-names":false,"suffix":""},{"dropping-particle":"","family":"Hart","given":"N","non-dropping-particle":"","parse-names":false,"suffix":""}],"container-title":"BMJ Open","id":"ITEM-1","issue":"5","issued":{"date-parts":[["2014","5","1"]]},"page":"e004963","title":"A UK survey of rehabilitation following critical illness: implementation of NICE Clinical Guidance 83 (CG83) following hospital discharge","type":"article-journal","volume":"4"},"uris":["http://www.mendeley.com/documents/?uuid=a190c7aa-795c-4b31-8647-e3c58cb6336c"]},{"id":"ITEM-2","itemData":{"URL":"https://www.nice.org.uk/guidance/qs158/resources/rehabilitation-after-critical-illness-in-adults-pdf-75545546693317","accessed":{"date-parts":[["2019","4","15"]]},"author":[{"dropping-particle":"","family":"Excellence","given":"National Institute for health and Care","non-dropping-particle":"","parse-names":false,"suffix":""}],"container-title":"NICE guidance","id":"ITEM-2","issued":{"date-parts":[["2017"]]},"title":"Rehabilitation after critical illness in adults","type":"webpage"},"uris":["http://www.mendeley.com/documents/?uuid=8d7f137b-267b-4d29-be67-bf23ab8dd435"]},{"id":"ITEM-3","itemData":{"author":[{"dropping-particle":"","family":"James Lind Alliance.","given":"","non-dropping-particle":"","parse-names":false,"suffix":""}],"container-title":"Intensive Care Top 10","id":"ITEM-3","issued":{"date-parts":[["2014"]]},"title":"The Priority Setting Partnerships (Online).","type":"webpage"},"uris":["http://www.mendeley.com/documents/?uuid=b44308c4-04bc-4ed6-99b4-fe8bfa20924c"]}],"mendeley":{"formattedCitation":"&lt;sup&gt;3–5&lt;/sup&gt;","plainTextFormattedCitation":"3–5","previouslyFormattedCitation":"&lt;sup&gt;3–5&lt;/sup&gt;"},"properties":{"noteIndex":0},"schema":"https://github.com/citation-style-language/schema/raw/master/csl-citation.json"}</w:instrText>
      </w:r>
      <w:r w:rsidRPr="094F43DF">
        <w:rPr>
          <w:rFonts w:asciiTheme="majorHAnsi" w:hAnsiTheme="majorHAnsi" w:cstheme="majorBidi"/>
        </w:rPr>
        <w:fldChar w:fldCharType="separate"/>
      </w:r>
      <w:r w:rsidR="00483F7C" w:rsidRPr="00483F7C">
        <w:rPr>
          <w:rFonts w:asciiTheme="majorHAnsi" w:hAnsiTheme="majorHAnsi" w:cstheme="majorBidi"/>
          <w:noProof/>
          <w:vertAlign w:val="superscript"/>
        </w:rPr>
        <w:t>3–5</w:t>
      </w:r>
      <w:r w:rsidRPr="094F43DF">
        <w:rPr>
          <w:rFonts w:asciiTheme="majorHAnsi" w:hAnsiTheme="majorHAnsi" w:cstheme="majorBidi"/>
        </w:rPr>
        <w:fldChar w:fldCharType="end"/>
      </w:r>
      <w:r w:rsidRPr="094F43DF">
        <w:rPr>
          <w:rFonts w:asciiTheme="majorHAnsi" w:hAnsiTheme="majorHAnsi" w:cstheme="majorBidi"/>
        </w:rPr>
        <w:t>; Identifying those at greatest risk of PICS and providing evidence-based strategies to enhance their recovery remain priorities for critical care research</w:t>
      </w:r>
      <w:r w:rsidRPr="094F43DF">
        <w:rPr>
          <w:rFonts w:asciiTheme="majorHAnsi" w:hAnsiTheme="majorHAnsi" w:cstheme="majorBidi"/>
        </w:rPr>
        <w:fldChar w:fldCharType="begin" w:fldLock="1"/>
      </w:r>
      <w:r w:rsidR="00BA6454">
        <w:rPr>
          <w:rFonts w:asciiTheme="majorHAnsi" w:hAnsiTheme="majorHAnsi" w:cstheme="majorBidi"/>
        </w:rPr>
        <w:instrText>ADDIN CSL_CITATION {"citationItems":[{"id":"ITEM-1","itemData":{"author":[{"dropping-particle":"","family":"James Lind Alliance.","given":"","non-dropping-particle":"","parse-names":false,"suffix":""}],"container-title":"Intensive Care Top 10","id":"ITEM-1","issued":{"date-parts":[["2014"]]},"title":"The Priority Setting Partnerships (Online).","type":"webpage"},"uris":["http://www.mendeley.com/documents/?uuid=b44308c4-04bc-4ed6-99b4-fe8bfa20924c"]}],"mendeley":{"formattedCitation":"&lt;sup&gt;5&lt;/sup&gt;","plainTextFormattedCitation":"5","previouslyFormattedCitation":"&lt;sup&gt;5&lt;/sup&gt;"},"properties":{"noteIndex":0},"schema":"https://github.com/citation-style-language/schema/raw/master/csl-citation.json"}</w:instrText>
      </w:r>
      <w:r w:rsidRPr="094F43DF">
        <w:rPr>
          <w:rFonts w:asciiTheme="majorHAnsi" w:hAnsiTheme="majorHAnsi" w:cstheme="majorBidi"/>
        </w:rPr>
        <w:fldChar w:fldCharType="separate"/>
      </w:r>
      <w:r w:rsidR="00483F7C" w:rsidRPr="00483F7C">
        <w:rPr>
          <w:rFonts w:asciiTheme="majorHAnsi" w:hAnsiTheme="majorHAnsi" w:cstheme="majorBidi"/>
          <w:noProof/>
          <w:vertAlign w:val="superscript"/>
        </w:rPr>
        <w:t>5</w:t>
      </w:r>
      <w:r w:rsidRPr="094F43DF">
        <w:rPr>
          <w:rFonts w:asciiTheme="majorHAnsi" w:hAnsiTheme="majorHAnsi" w:cstheme="majorBidi"/>
        </w:rPr>
        <w:fldChar w:fldCharType="end"/>
      </w:r>
      <w:r w:rsidRPr="094F43DF">
        <w:rPr>
          <w:rFonts w:asciiTheme="majorHAnsi" w:hAnsiTheme="majorHAnsi" w:cstheme="majorBidi"/>
        </w:rPr>
        <w:t>. The Covid-19 pandemic heralded a dramatic increase in ICU admissions</w:t>
      </w:r>
      <w:r w:rsidR="00F378E6">
        <w:rPr>
          <w:rFonts w:asciiTheme="majorHAnsi" w:hAnsiTheme="majorHAnsi" w:cstheme="majorBidi"/>
        </w:rPr>
        <w:t>:</w:t>
      </w:r>
      <w:r w:rsidR="00DA76DE">
        <w:rPr>
          <w:rFonts w:asciiTheme="majorHAnsi" w:hAnsiTheme="majorHAnsi" w:cstheme="majorBidi"/>
        </w:rPr>
        <w:t xml:space="preserve"> in one study including over 20,000 </w:t>
      </w:r>
      <w:r w:rsidR="00DB5D47">
        <w:rPr>
          <w:rFonts w:asciiTheme="majorHAnsi" w:hAnsiTheme="majorHAnsi" w:cstheme="majorBidi"/>
        </w:rPr>
        <w:t xml:space="preserve">UK </w:t>
      </w:r>
      <w:r w:rsidR="00DA76DE">
        <w:rPr>
          <w:rFonts w:asciiTheme="majorHAnsi" w:hAnsiTheme="majorHAnsi" w:cstheme="majorBidi"/>
        </w:rPr>
        <w:t>hospitalised patients, 17% required admission to ICU or high dependency units</w:t>
      </w:r>
      <w:r w:rsidR="00F378E6">
        <w:rPr>
          <w:rFonts w:asciiTheme="majorHAnsi" w:hAnsiTheme="majorHAnsi" w:cstheme="majorBidi"/>
        </w:rPr>
        <w:t xml:space="preserve"> </w:t>
      </w:r>
      <w:r w:rsidRPr="094F43DF">
        <w:rPr>
          <w:rFonts w:asciiTheme="majorHAnsi" w:hAnsiTheme="majorHAnsi" w:cstheme="majorBidi"/>
        </w:rPr>
        <w:t xml:space="preserve">, over half of </w:t>
      </w:r>
      <w:r w:rsidR="635675B7" w:rsidRPr="635675B7">
        <w:rPr>
          <w:rFonts w:asciiTheme="majorHAnsi" w:hAnsiTheme="majorHAnsi" w:cstheme="majorBidi"/>
        </w:rPr>
        <w:t>whom</w:t>
      </w:r>
      <w:r w:rsidRPr="094F43DF">
        <w:rPr>
          <w:rFonts w:asciiTheme="majorHAnsi" w:hAnsiTheme="majorHAnsi" w:cstheme="majorBidi"/>
        </w:rPr>
        <w:t xml:space="preserve"> survived to discharge, thus a vast new cohort of patients</w:t>
      </w:r>
      <w:r w:rsidR="009625D0">
        <w:rPr>
          <w:rFonts w:asciiTheme="majorHAnsi" w:hAnsiTheme="majorHAnsi" w:cstheme="majorBidi"/>
        </w:rPr>
        <w:t xml:space="preserve"> </w:t>
      </w:r>
      <w:r w:rsidRPr="094F43DF">
        <w:rPr>
          <w:rFonts w:asciiTheme="majorHAnsi" w:hAnsiTheme="majorHAnsi" w:cstheme="majorBidi"/>
        </w:rPr>
        <w:t>at risk of PICS has emerged</w:t>
      </w:r>
      <w:r w:rsidRPr="094F43DF">
        <w:rPr>
          <w:rFonts w:asciiTheme="majorHAnsi" w:hAnsiTheme="majorHAnsi" w:cstheme="majorBidi"/>
        </w:rPr>
        <w:fldChar w:fldCharType="begin" w:fldLock="1"/>
      </w:r>
      <w:r w:rsidR="00BA6454">
        <w:rPr>
          <w:rFonts w:asciiTheme="majorHAnsi" w:hAnsiTheme="majorHAnsi" w:cstheme="majorBidi"/>
        </w:rPr>
        <w:instrText>ADDIN CSL_CITATION {"citationItems":[{"id":"ITEM-1","itemData":{"DOI":"10.1136/bmj.m1985","abstract":"Objective To characterise the clinical features of patients admitted to hospital with coronavirus disease 2019 (covid-19) in the United Kingdom during the growth phase of the first wave of this outbreak who were enrolled in the International Severe Acute Respiratory and emerging Infections Consortium (ISARIC) World Health Organization (WHO) Clinical Characterisation Protocol UK (CCP-UK) study, and to explore risk factors associated with mortality in hospital.Design Prospective observational cohort study with rapid data gathering and near real time analysis.Setting 208 acute care hospitals in England, Wales, and Scotland between 6 February and 19 April 2020. A case report form developed by ISARIC and WHO was used to collect clinical data. A minimal follow-up time of two weeks (to 3 May 2020) allowed most patients to complete their hospital admission.Participants 20 133 hospital inpatients with covid-19.Main outcome measures Admission to critical care (high dependency unit or intensive care unit) and mortality in hospital.Results The median age of patients admitted to hospital with covid-19, or with a diagnosis of covid-19 made in hospital, was 73 years (interquartile range 58-82, range 0-104). More men were admitted than women (men 60%, n=12 068; women 40%, n=8065). The median duration of symptoms before admission was 4 days (interquartile range 1-8). The commonest comorbidities were chronic cardiac disease (31%, 5469/17 702), uncomplicated diabetes (21%, 3650/17 599), non-asthmatic chronic pulmonary disease (18%, 3128/17 634), and chronic kidney disease (16%, 2830/17 506); 23% (4161/18 525) had no reported major comorbidity. Overall, 41% (8199/20 133) of patients were discharged alive, 26% (5165/20 133) died, and 34% (6769/20 133) continued to receive care at the reporting date. 17% (3001/18 183) required admission to high dependency or intensive care units; of these, 28% (826/3001) were discharged alive, 32% (958/3001) died, and 41% (1217/3001) continued to receive care at the reporting date. Of those receiving mechanical ventilation, 17% (276/1658) were discharged alive, 37% (618/1658) died, and 46% (764/1658) remained in hospital. Increasing age, male sex, and comorbidities including chronic cardiac disease, non-asthmatic chronic pulmonary disease, chronic kidney disease, liver disease and obesity were associated with higher mortality in hospital.Conclusions ISARIC WHO CCP-UK is a large prospective cohort study of patients in hospital with covid-19. …","author":[{"dropping-particle":"","family":"Docherty","given":"Annemarie B","non-dropping-particle":"","parse-names":false,"suffix":""},{"dropping-particle":"","family":"Harrison","given":"Ewen M","non-dropping-particle":"","parse-names":false,"suffix":""},{"dropping-particle":"","family":"Green","given":"Christopher A","non-dropping-particle":"","parse-names":false,"suffix":""},{"dropping-particle":"","family":"Hardwick","given":"Hayley E","non-dropping-particle":"","parse-names":false,"suffix":""},{"dropping-particle":"","family":"Pius","given":"Riinu","non-dropping-particle":"","parse-names":false,"suffix":""},{"dropping-particle":"","family":"Norman","given":"Lisa","non-dropping-particle":"","parse-names":false,"suffix":""},{"dropping-particle":"","family":"Holden","given":"Karl A","non-dropping-particle":"","parse-names":false,"suffix":""},{"dropping-particle":"","family":"Read","given":"Jonathan M","non-dropping-particle":"","parse-names":false,"suffix":""},{"dropping-particle":"","family":"Dondelinger","given":"Frank","non-dropping-particle":"","parse-names":false,"suffix":""},{"dropping-particle":"","family":"Carson","given":"Gail","non-dropping-particle":"","parse-names":false,"suffix":""},{"dropping-particle":"","family":"Merson","given":"Laura","non-dropping-particle":"","parse-names":false,"suffix":""},{"dropping-particle":"","family":"Lee","given":"James","non-dropping-particle":"","parse-names":false,"suffix":""},{"dropping-particle":"","family":"Plotkin","given":"Daniel","non-dropping-particle":"","parse-names":false,"suffix":""},{"dropping-particle":"","family":"Sigfrid","given":"Louise","non-dropping-particle":"","parse-names":false,"suffix":""},{"dropping-particle":"","family":"Halpin","given":"Sophie","non-dropping-particle":"","parse-names":false,"suffix":""},{"dropping-particle":"","family":"Jackson","given":"Clare","non-dropping-particle":"","parse-names":false,"suffix":""},{"dropping-particle":"","family":"Gamble","given":"Carrol","non-dropping-particle":"","parse-names":false,"suffix":""},{"dropping-particle":"","family":"Horby","given":"Peter W","non-dropping-particle":"","parse-names":false,"suffix":""},{"dropping-particle":"","family":"Nguyen-Van-Tam","given":"Jonathan S","non-dropping-particle":"","parse-names":false,"suffix":""},{"dropping-particle":"","family":"Ho","given":"Antonia","non-dropping-particle":"","parse-names":false,"suffix":""},{"dropping-particle":"","family":"Russell","given":"Clark D","non-dropping-particle":"","parse-names":false,"suffix":""},{"dropping-particle":"","family":"Dunning","given":"Jake","non-dropping-particle":"","parse-names":false,"suffix":""},{"dropping-particle":"","family":"Openshaw","given":"Peter J M","non-dropping-particle":"","parse-names":false,"suffix":""},{"dropping-particle":"","family":"Baillie","given":"J Kenneth","non-dropping-particle":"","parse-names":false,"suffix":""},{"dropping-particle":"","family":"Semple","given":"Malcolm G","non-dropping-particle":"","parse-names":false,"suffix":""}],"container-title":"BMJ","id":"ITEM-1","issued":{"date-parts":[["2020","5","22"]]},"page":"m1985","title":"Features of 20 133 UK patients in hospital with covid-19 using the ISARIC WHO Clinical Characterisation Protocol: prospective observational cohort study","type":"article-journal","volume":"369"},"uris":["http://www.mendeley.com/documents/?uuid=1f4908b6-1332-48e6-a692-cbf1bfe3c6f2"]},{"id":"ITEM-2","itemData":{"DOI":"https://doi.org/10.1111/anae.15201","ISSN":"0003-2409","abstract":"Summary The emergence of coronavirus disease 2019 (COVID-19) has led to high demand for intensive care services worldwide. However, the mortality of patients admitted to the intensive care unit (ICU) with COVID-19 is unclear. Here, we perform a systematic review and meta-analysis, in line with PRISMA guidelines, to assess the reported ICU mortality for patients with confirmed COVID-19. We searched MEDLINE, EMBASE, PubMed and Cochrane databases up to 31 May 2020 for studies reporting ICU mortality for adult patients admitted with COVID-19. The primary outcome measure was death in intensive care as a proportion of completed ICU admissions, either through discharge from the ICU or death. The definition thus did not include patients still alive on ICU. Twenty-four observational studies including 10,150 patients were identified from centres across Asia, Europe and North America. In-ICU mortality in reported studies ranged from 0 to 84.6%. Seven studies reported outcome data for all patients. In the remaining studies, the proportion of patients discharged from ICU at the point of reporting varied from 24.5 to 97.2%. In patients with completed ICU admissions with COVID-19 infection, combined ICU mortality (95%CI) was 41.6% (34.0?49.7%), I2 = 93.2%). Sub-group analysis by continent showed that mortality is broadly consistent across the globe. As the pandemic has progressed, the reported mortality rates have fallen from above 50% to close to 40%. The in-ICU mortality from COVID-19 is higher than usually seen in ICU admissions with other viral pneumonias. Importantly, the mortality from completed episodes of ICU differs considerably from the crude mortality rates in some early reports.","author":[{"dropping-particle":"","family":"Armstrong","given":"R A","non-dropping-particle":"","parse-names":false,"suffix":""},{"dropping-particle":"","family":"Kane","given":"A D","non-dropping-particle":"","parse-names":false,"suffix":""},{"dropping-particle":"","family":"Cook","given":"T M","non-dropping-particle":"","parse-names":false,"suffix":""}],"container-title":"Anaesthesia","id":"ITEM-2","issue":"10","issued":{"date-parts":[["2020","10","1"]]},"note":"https://doi.org/10.1111/anae.15201","page":"1340-1349","publisher":"John Wiley &amp; Sons, Ltd","title":"Outcomes from intensive care in patients with COVID-19: a systematic review and meta-analysis of observational studies","type":"article-journal","volume":"75"},"uris":["http://www.mendeley.com/documents/?uuid=5c74ac95-a77b-40ce-9797-1031830f808a"]}],"mendeley":{"formattedCitation":"&lt;sup&gt;6,7&lt;/sup&gt;","plainTextFormattedCitation":"6,7","previouslyFormattedCitation":"&lt;sup&gt;6,7&lt;/sup&gt;"},"properties":{"noteIndex":0},"schema":"https://github.com/citation-style-language/schema/raw/master/csl-citation.json"}</w:instrText>
      </w:r>
      <w:r w:rsidRPr="094F43DF">
        <w:rPr>
          <w:rFonts w:asciiTheme="majorHAnsi" w:hAnsiTheme="majorHAnsi" w:cstheme="majorBidi"/>
        </w:rPr>
        <w:fldChar w:fldCharType="separate"/>
      </w:r>
      <w:r w:rsidR="00483F7C" w:rsidRPr="00483F7C">
        <w:rPr>
          <w:rFonts w:asciiTheme="majorHAnsi" w:hAnsiTheme="majorHAnsi" w:cstheme="majorBidi"/>
          <w:noProof/>
          <w:vertAlign w:val="superscript"/>
        </w:rPr>
        <w:t>6,7</w:t>
      </w:r>
      <w:r w:rsidRPr="094F43DF">
        <w:rPr>
          <w:rFonts w:asciiTheme="majorHAnsi" w:hAnsiTheme="majorHAnsi" w:cstheme="majorBidi"/>
        </w:rPr>
        <w:fldChar w:fldCharType="end"/>
      </w:r>
      <w:r w:rsidRPr="094F43DF">
        <w:rPr>
          <w:rFonts w:asciiTheme="majorHAnsi" w:hAnsiTheme="majorHAnsi" w:cstheme="majorBidi"/>
        </w:rPr>
        <w:t xml:space="preserve">. </w:t>
      </w:r>
      <w:r w:rsidR="009625D0">
        <w:rPr>
          <w:rFonts w:asciiTheme="majorHAnsi" w:hAnsiTheme="majorHAnsi" w:cstheme="majorBidi"/>
        </w:rPr>
        <w:t xml:space="preserve">This new cohort </w:t>
      </w:r>
      <w:r w:rsidR="00B30F48">
        <w:rPr>
          <w:rFonts w:asciiTheme="majorHAnsi" w:hAnsiTheme="majorHAnsi" w:cstheme="majorBidi"/>
        </w:rPr>
        <w:t>is relatively novel in terms of</w:t>
      </w:r>
      <w:r w:rsidR="006C2884">
        <w:rPr>
          <w:rFonts w:asciiTheme="majorHAnsi" w:hAnsiTheme="majorHAnsi" w:cstheme="majorBidi"/>
        </w:rPr>
        <w:t xml:space="preserve"> younger age, less previous comorbidity, and longer ICU stays than </w:t>
      </w:r>
      <w:r w:rsidR="002403A9">
        <w:rPr>
          <w:rFonts w:asciiTheme="majorHAnsi" w:hAnsiTheme="majorHAnsi" w:cstheme="majorBidi"/>
        </w:rPr>
        <w:t>ICU admissions before the Covid-19 pandemic</w:t>
      </w:r>
      <w:r w:rsidR="00C1082B">
        <w:rPr>
          <w:rFonts w:asciiTheme="majorHAnsi" w:hAnsiTheme="majorHAnsi" w:cstheme="majorBidi"/>
        </w:rPr>
        <w:fldChar w:fldCharType="begin" w:fldLock="1"/>
      </w:r>
      <w:r w:rsidR="00EF2329">
        <w:rPr>
          <w:rFonts w:asciiTheme="majorHAnsi" w:hAnsiTheme="majorHAnsi" w:cstheme="majorBidi"/>
        </w:rPr>
        <w:instrText>ADDIN CSL_CITATION {"citationItems":[{"id":"ITEM-1","itemData":{"author":[{"dropping-particle":"","family":"ICNARC: Intensive Care National Audit &amp; Research Centre","given":"","non-dropping-particle":"","parse-names":false,"suffix":""}],"id":"ITEM-1","issued":{"date-parts":[["2021"]]},"title":"ICNARC report on COVID-19 in cri?cal care: England, Wales and Northern Ireland","type":"report"},"uris":["http://www.mendeley.com/documents/?uuid=28f34e31-0448-4af3-ba15-c120cfe328b2"]},{"id":"ITEM-2","itemData":{"author":[{"dropping-particle":"","family":"SICSAG: Scottish Intensive Care Society Audit Group","given":"","non-dropping-particle":"","parse-names":false,"suffix":""}],"id":"ITEM-2","issued":{"date-parts":[["2021"]]},"title":"Scottish Intensive Care Society Audit Group report on COVID-19","type":"patent"},"uris":["http://www.mendeley.com/documents/?uuid=de807caa-eb21-4821-afcf-9e80dfe2766a"]}],"mendeley":{"formattedCitation":"&lt;sup&gt;8,9&lt;/sup&gt;","plainTextFormattedCitation":"8,9","previouslyFormattedCitation":"&lt;sup&gt;8,9&lt;/sup&gt;"},"properties":{"noteIndex":0},"schema":"https://github.com/citation-style-language/schema/raw/master/csl-citation.json"}</w:instrText>
      </w:r>
      <w:r w:rsidR="00C1082B">
        <w:rPr>
          <w:rFonts w:asciiTheme="majorHAnsi" w:hAnsiTheme="majorHAnsi" w:cstheme="majorBidi"/>
        </w:rPr>
        <w:fldChar w:fldCharType="separate"/>
      </w:r>
      <w:r w:rsidR="00E41C7A" w:rsidRPr="00E41C7A">
        <w:rPr>
          <w:rFonts w:asciiTheme="majorHAnsi" w:hAnsiTheme="majorHAnsi" w:cstheme="majorBidi"/>
          <w:noProof/>
          <w:vertAlign w:val="superscript"/>
        </w:rPr>
        <w:t>8,9</w:t>
      </w:r>
      <w:r w:rsidR="00C1082B">
        <w:rPr>
          <w:rFonts w:asciiTheme="majorHAnsi" w:hAnsiTheme="majorHAnsi" w:cstheme="majorBidi"/>
        </w:rPr>
        <w:fldChar w:fldCharType="end"/>
      </w:r>
      <w:r w:rsidR="002403A9">
        <w:rPr>
          <w:rFonts w:asciiTheme="majorHAnsi" w:hAnsiTheme="majorHAnsi" w:cstheme="majorBidi"/>
        </w:rPr>
        <w:t xml:space="preserve">. </w:t>
      </w:r>
    </w:p>
    <w:p w14:paraId="4857C100" w14:textId="77777777" w:rsidR="00B77386" w:rsidRPr="00D7026D" w:rsidRDefault="00B77386" w:rsidP="00B77386">
      <w:pPr>
        <w:spacing w:line="480" w:lineRule="auto"/>
        <w:ind w:firstLine="720"/>
        <w:rPr>
          <w:rFonts w:asciiTheme="majorHAnsi" w:hAnsiTheme="majorHAnsi" w:cstheme="majorHAnsi"/>
        </w:rPr>
      </w:pPr>
    </w:p>
    <w:p w14:paraId="699405AC" w14:textId="2EC0A572" w:rsidR="00B77386" w:rsidRPr="00D7026D" w:rsidRDefault="00B77386" w:rsidP="00B77386">
      <w:pPr>
        <w:spacing w:line="480" w:lineRule="auto"/>
        <w:ind w:firstLine="720"/>
        <w:rPr>
          <w:rFonts w:asciiTheme="majorHAnsi" w:hAnsiTheme="majorHAnsi" w:cstheme="majorBidi"/>
        </w:rPr>
      </w:pPr>
      <w:r w:rsidRPr="635675B7">
        <w:rPr>
          <w:rFonts w:asciiTheme="majorHAnsi" w:hAnsiTheme="majorHAnsi" w:cstheme="majorBidi"/>
        </w:rPr>
        <w:t xml:space="preserve"> </w:t>
      </w:r>
      <w:r w:rsidR="635675B7" w:rsidRPr="635675B7">
        <w:rPr>
          <w:rFonts w:asciiTheme="majorHAnsi" w:hAnsiTheme="majorHAnsi" w:cstheme="majorBidi"/>
        </w:rPr>
        <w:t>Many</w:t>
      </w:r>
      <w:r w:rsidRPr="635675B7">
        <w:rPr>
          <w:rFonts w:asciiTheme="majorHAnsi" w:hAnsiTheme="majorHAnsi" w:cstheme="majorBidi"/>
        </w:rPr>
        <w:t xml:space="preserve"> patients who survive acute-Covid-19 experience persistent symptoms beyond 4 weeks, known as ‘long-Covid’</w:t>
      </w:r>
      <w:r w:rsidRPr="635675B7">
        <w:rPr>
          <w:rFonts w:asciiTheme="majorHAnsi" w:hAnsiTheme="majorHAnsi" w:cstheme="majorBidi"/>
        </w:rPr>
        <w:fldChar w:fldCharType="begin" w:fldLock="1"/>
      </w:r>
      <w:r w:rsidR="00EF2329">
        <w:rPr>
          <w:rFonts w:asciiTheme="majorHAnsi" w:hAnsiTheme="majorHAnsi" w:cstheme="majorBidi"/>
        </w:rPr>
        <w:instrText>ADDIN CSL_CITATION {"citationItems":[{"id":"ITEM-1","itemData":{"URL":"https://www.nice.org.uk/guidance/ng188","accessed":{"date-parts":[["2020","3","10"]]},"author":[{"dropping-particle":"","family":"NICE","given":"","non-dropping-particle":"","parse-names":false,"suffix":""}],"container-title":"NICE guideline [NG188]","id":"ITEM-1","issued":{"date-parts":[["2020"]]},"title":"COVID-19 rapid guideline: managing the long-term effects of COVID-19","type":"webpage"},"uris":["http://www.mendeley.com/documents/?uuid=57708e0e-a0e5-475f-be01-6c2a4b09c198"]}],"mendeley":{"formattedCitation":"&lt;sup&gt;10&lt;/sup&gt;","plainTextFormattedCitation":"10","previouslyFormattedCitation":"&lt;sup&gt;10&lt;/sup&gt;"},"properties":{"noteIndex":0},"schema":"https://github.com/citation-style-language/schema/raw/master/csl-citation.json"}</w:instrText>
      </w:r>
      <w:r w:rsidRPr="635675B7">
        <w:rPr>
          <w:rFonts w:asciiTheme="majorHAnsi" w:hAnsiTheme="majorHAnsi" w:cstheme="majorBidi"/>
        </w:rPr>
        <w:fldChar w:fldCharType="separate"/>
      </w:r>
      <w:r w:rsidR="00E41C7A" w:rsidRPr="00E41C7A">
        <w:rPr>
          <w:rFonts w:asciiTheme="majorHAnsi" w:hAnsiTheme="majorHAnsi" w:cstheme="majorBidi"/>
          <w:noProof/>
          <w:vertAlign w:val="superscript"/>
        </w:rPr>
        <w:t>10</w:t>
      </w:r>
      <w:r w:rsidRPr="635675B7">
        <w:rPr>
          <w:rFonts w:asciiTheme="majorHAnsi" w:hAnsiTheme="majorHAnsi" w:cstheme="majorBidi"/>
        </w:rPr>
        <w:fldChar w:fldCharType="end"/>
      </w:r>
      <w:r w:rsidRPr="635675B7">
        <w:rPr>
          <w:rFonts w:asciiTheme="majorHAnsi" w:hAnsiTheme="majorHAnsi" w:cstheme="majorBidi"/>
        </w:rPr>
        <w:t>. This includes a wide range of symptoms, such as breathlessness, fatigue, muscle pain, many of which overlap with PICS and other post-viral syndromes</w:t>
      </w:r>
      <w:r w:rsidRPr="635675B7">
        <w:rPr>
          <w:rFonts w:asciiTheme="majorHAnsi" w:hAnsiTheme="majorHAnsi" w:cstheme="majorBidi"/>
        </w:rPr>
        <w:fldChar w:fldCharType="begin" w:fldLock="1"/>
      </w:r>
      <w:r w:rsidR="00EF2329">
        <w:rPr>
          <w:rFonts w:asciiTheme="majorHAnsi" w:hAnsiTheme="majorHAnsi" w:cstheme="majorBidi"/>
        </w:rPr>
        <w:instrText>ADDIN CSL_CITATION {"citationItems":[{"id":"ITEM-1","itemData":{"DOI":"10.1101/2021.03.22.21254057","abstract":"Background The impact of COVID-19 on physical and mental health, and employment following hospitalisation is poorly understood.Methods PHOSP-COVID is a multi-centre, UK, observational study of adults discharged from hospital with a clinical diagnosis of COVID-19 involving an assessment between two- and seven-months later including detailed symptom, physiological and biochemical testing. Multivariable logistic regression was performed for patient-perceived recovery with age, sex, ethnicity, body mass index (BMI), co-morbidities, and severity of acute illness as co-variates. Cluster analysis was performed using outcomes for breathlessness, fatigue, mental health, cognition and physical function.Findings We report findings of 1077 patients discharged in 2020, from the assessment undertaken a median 5 [IQR4 to 6] months later: 36% female, mean age 58 [SD 13] years, 69% white ethnicity, 27% mechanical ventilation, and 50% had at least two co-morbidities. At follow-up only 29% felt fully recovered, 20% had a new disability, and 19% experienced a health-related change in occupation. Factors associated with failure to recover were female, middle-age, white ethnicity, two or more co-morbidities, and more severe acute illness. The magnitude of the persistent health burden was substantial and weakly related to acute severity. Four clusters were identified with different severities of mental and physical health impairment: 1) Very severe (17%), 2) Severe (21%), 3) Moderate with cognitive impairment (17%), 4) Mild (46%), with 3%, 7%, 36% and 43% feeling fully recovered, respectively. Persistent systemic inflammation determined by C-reactive protein was related to cluster severity, but not acute illness severity.Interpretation We identified factors related to recovery from a hospital admission with COVID-19 and four different phenotypes relating to the severity of physical, mental, and cognitive health five months later. The implications for clinical care include the potential to stratify care and the need for a pro-active approach with wide-access to COVID-19 holistic clinical services.Funding: UKRI and NIHRCompeting Interest StatementThe authors have declared no competing interest.Clinical TrialISRCTN10980107Funding StatementPHOSP-COVID is supported by a grant from the MRC-UK Research and Innovation and the Department of Health and Social Care through the National Institute for Health Research (NIHR) rapid response panel to tackle COVID-19 (grant references: MR/V02…","author":[{"dropping-particle":"","family":"Evans","given":"Rachael Andrea","non-dropping-particle":"","parse-names":false,"suffix":""},{"dropping-particle":"","family":"McAuley","given":"Hamish","non-dropping-particle":"","parse-names":false,"suffix":""},{"dropping-particle":"","family":"Harrison","given":"Ewen M","non-dropping-particle":"","parse-names":false,"suffix":""},{"dropping-particle":"","family":"Shikotra","given":"Aarti","non-dropping-particle":"","parse-names":false,"suffix":""},{"dropping-particle":"","family":"Singapuri","given":"Amisha","non-dropping-particle":"","parse-names":false,"suffix":""},{"dropping-particle":"","family":"Sereno","given":"Marco","non-dropping-particle":"","parse-names":false,"suffix":""},{"dropping-particle":"","family":"Elneima","given":"Omer","non-dropping-particle":"","parse-names":false,"suffix":""},{"dropping-particle":"","family":"Docherty","given":"Annemarie B","non-dropping-particle":"","parse-names":false,"suffix":""},{"dropping-particle":"","family":"Lone","given":"Nazir I","non-dropping-particle":"","parse-names":false,"suffix":""},{"dropping-particle":"","family":"Leavy","given":"Olivia C","non-dropping-particle":"","parse-names":false,"suffix":""},{"dropping-particle":"","family":"Daines","given":"Luke","non-dropping-particle":"","parse-names":false,"suffix":""},{"dropping-particle":"","family":"Baillie","given":"J Kenneth","non-dropping-particle":"","parse-names":false,"suffix":""},{"dropping-particle":"","family":"Brown","given":"Jeremy S","non-dropping-particle":"","parse-names":false,"suffix":""},{"dropping-particle":"","family":"Chalder","given":"Trudie","non-dropping-particle":"","parse-names":false,"suffix":""},{"dropping-particle":"","family":"Soyza","given":"Anthony","non-dropping-particle":"De","parse-names":false,"suffix":""},{"dropping-particle":"","family":"Diar Bakerly","given":"Nawar","non-dropping-particle":"","parse-names":false,"suffix":""},{"dropping-particle":"","family":"Easom","given":"Nicholas","non-dropping-particle":"","parse-names":false,"suffix":""},{"dropping-particle":"","family":"Geddes","given":"John R","non-dropping-particle":"","parse-names":false,"suffix":""},{"dropping-particle":"","family":"Greening","given":"Neil J","non-dropping-particle":"","parse-names":false,"suffix":""},{"dropping-particle":"","family":"Hart","given":"Nick","non-dropping-particle":"","parse-names":false,"suffix":""},{"dropping-particle":"","family":"Heaney","given":"Liam G","non-dropping-particle":"","parse-names":false,"suffix":""},{"dropping-particle":"","family":"Heller","given":"Simon","non-dropping-particle":"","parse-names":false,"suffix":""},{"dropping-particle":"","family":"Howard","given":"Luke","non-dropping-particle":"","parse-names":false,"suffix":""},{"dropping-particle":"","family":"Jacob","given":"Joseph","non-dropping-particle":"","parse-names":false,"suffix":""},{"dropping-particle":"","family":"Jenkins","given":"R Gisli","non-dropping-particle":"","parse-names":false,"suffix":""},{"dropping-particle":"","family":"Jolley","given":"Caroline","non-dropping-particle":"","parse-names":false,"suffix":""},{"dropping-particle":"","family":"Kerr","given":"Steven","non-dropping-particle":"","parse-names":false,"suffix":""},{"dropping-particle":"","family":"Kon","given":"Onn M","non-dropping-particle":"","parse-names":false,"suffix":""},{"dropping-particle":"","family":"Lewis","given":"Keir","non-dropping-particle":"","parse-names":false,"suffix":""},{"dropping-particle":"","family":"Lord","given":"Janet M","non-dropping-particle":"","parse-names":false,"suffix":""},{"dropping-particle":"","family":"McCann","given":"Gerry P","non-dropping-particle":"","parse-names":false,"suffix":""},{"dropping-particle":"","family":"Neubauer","given":"Stefan","non-dropping-particle":"","parse-names":false,"suffix":""},{"dropping-particle":"","family":"Openshaw","given":"Peter J M","non-dropping-particle":"","parse-names":false,"suffix":""},{"dropping-particle":"","family":"Pfeffer","given":"Paul","non-dropping-particle":"","parse-names":false,"suffix":""},{"dropping-particle":"","family":"Rowland","given":"Matthew","non-dropping-particle":"","parse-names":false,"suffix":""},{"dropping-particle":"","family":"Semple","given":"Malcolm G","non-dropping-particle":"","parse-names":false,"suffix":""},{"dropping-particle":"","family":"Singh","given":"Sally J","non-dropping-particle":"","parse-names":false,"suffix":""},{"dropping-particle":"","family":"Sheikh","given":"Aziz","non-dropping-particle":"","parse-names":false,"suffix":""},{"dropping-particle":"","family":"Thomas","given":"David","non-dropping-particle":"","parse-names":false,"suffix":""},{"dropping-particle":"","family":"Toshner","given":"Mark","non-dropping-particle":"","parse-names":false,"suffix":""},{"dropping-particle":"","family":"Chalmers","given":"James D","non-dropping-particle":"","parse-names":false,"suffix":""},{"dropping-particle":"","family":"Ho","given":"Ling-Pei","non-dropping-particle":"","parse-names":false,"suffix":""},{"dropping-particle":"","family":"Horsley","given":"Alex","non-dropping-particle":"","parse-names":false,"suffix":""},{"dropping-particle":"","family":"Marks","given":"Michael","non-dropping-particle":"","parse-names":false,"suffix":""},{"dropping-particle":"","family":"Poinasamy","given":"Krisnah","non-dropping-particle":"","parse-names":false,"suffix":""},{"dropping-particle":"V","family":"Wain","given":"Louise","non-dropping-particle":"","parse-names":false,"suffix":""},{"dropping-particle":"","family":"Brightling","given":"Christopher E","non-dropping-particle":"","parse-names":false,"suffix":""}],"container-title":"medRxiv","id":"ITEM-1","issued":{"date-parts":[["2021","1","1"]]},"page":"2021.03.22.21254057","title":"Physical, cognitive and mental health impacts of COVID-19 following hospitalisation – a multi-centre prospective cohort study","type":"article-journal"},"uris":["http://www.mendeley.com/documents/?uuid=df63d4e1-614b-48a5-8460-1beaff478a87"]},{"id":"ITEM-2","itemData":{"DOI":"10.2139/ssrn.3749226","author":[{"dropping-particle":"","family":"Latronico","given":"Niola","non-dropping-particle":"","parse-names":false,"suffix":""},{"dropping-particle":"","family":"Peli","given":"Elena","non-dropping-particle":"","parse-names":false,"suffix":""},{"dropping-particle":"","family":"Rodella","given":"Federica","non-dropping-particle":"","parse-names":false,"suffix":""},{"dropping-particle":"","family":"Novelli","given":"Maria Paola","non-dropping-particle":"","parse-names":false,"suffix":""},{"dropping-particle":"","family":"Rasulo","given":"Frank Antony","non-dropping-particle":"","parse-names":false,"suffix":""},{"dropping-particle":"","family":"Piva","given":"Simone","non-dropping-particle":"","parse-names":false,"suffix":""}],"container-title":"Preprints with The Lancet","id":"ITEM-2","issued":{"date-parts":[["2021"]]},"title":"Three-Month Outcome in Survivors of COVID-19 Associated Acute Respiratory Distress Syndrome","type":"article-journal"},"uris":["http://www.mendeley.com/documents/?uuid=0a1cb898-8965-40f6-bade-208112fa5197"]},{"id":"ITEM-3","itemData":{"DOI":"10.1101/2021.03.18.21253888","author":[{"dropping-particle":"","family":"Sigfrid","given":"Louise","non-dropping-particle":"","parse-names":false,"suffix":""},{"dropping-particle":"","family":"Drake","given":"Tom M","non-dropping-particle":"","parse-names":false,"suffix":""},{"dropping-particle":"","family":"Pauley","given":"Ellen","non-dropping-particle":"","parse-names":false,"suffix":""},{"dropping-particle":"","family":"Jesudason","given":"Edwin C","non-dropping-particle":"","parse-names":false,"suffix":""},{"dropping-particle":"","family":"Olliaro","given":"Piero","non-dropping-particle":"","parse-names":false,"suffix":""},{"dropping-particle":"","family":"Lim","given":"Wei Shen","non-dropping-particle":"","parse-names":false,"suffix":""},{"dropping-particle":"","family":"Gillesen","given":"Annelise","non-dropping-particle":"","parse-names":false,"suffix":""},{"dropping-particle":"","family":"Berry","given":"Colin","non-dropping-particle":"","parse-names":false,"suffix":""},{"dropping-particle":"","family":"Lowe","given":"David","non-dropping-particle":"","parse-names":false,"suffix":""}],"editor":[{"dropping-particle":"","family":"ISARIC","given":"","non-dropping-particle":"","parse-names":false,"suffix":""}],"id":"ITEM-3","issued":{"date-parts":[["2021"]]},"title":"Long Covid in adults discharged from UK hospitals after Covid-19: A prospective, multicentre cohort study using the ISARIC WHO Clinical Characterisation Protocol.","type":"article-journal"},"uris":["http://www.mendeley.com/documents/?uuid=02b8a7f5-8ba8-4593-a137-49769450bfbd"]},{"id":"ITEM-4","itemData":{"DOI":"10.1101/2021.02.17.21251895","abstract":"Background The long-term sequalae of COVID-19 remain poorly characterised. In this study, we aimed to assess long-standing symptoms (LS) (symptoms lasting from the time of discharge) in previously hospitalised patients with COVID-19 and assess associated risk factors.Methods This is a longitudinal cohort study of adults (≥18 years of age) with clinically diagnosed or laboratory-confirmed COVID-19 admitted to Sechenov University Hospital Network in Moscow, Russia. Data were collected from patients discharged between April 8 and July 10, 2020. Participants were interviewed via telephone using Tier 1 ISARIC Long-term Follow-up Study CRF and the WHO CRF for Post COVID conditions. Reported symptoms were further categorised based on the system(s) involved. Additional information on dyspnoea, quality of life and fatigue was collected using validated instruments. Multivariable logistic regressions were performed to investigate risk factors for development of LS categories.Findings Overall, 2,649 of 4,755 patients discharged from the hospitals were available for the follow-up and included in the study. The median age of the patients was 56 years (IQR, 46–66) and 1,353 (51.1%) were women. The median follow-up time since hospital discharge was 217.5 (200.4-235.5) days. At the time of the follow-up interview 1247 (47.1%) participants reported LS. Fatigue (21.2%, 551/2599), shortness of breath (14.5%, 378/2614) and forgetfulness (9.1%, 237/2597) were the most common LS reported. Chronic fatigue (25%, 658/2593) and respiratory (17.2% 451/2616) were the most common LS categories. with reporting of multi-system involvement (MSI) less common (11.3%; 299). Female sex was associated with LS categories of chronic fatigue with an odds ratio of 1.67 (95% confidence interval 1.39 to 2.02), neurological (2.03, 1.60 to 2.58), mood and behaviour (1.83, 1.41 to 2.40), dermatological (3.26, 2.36 to 4.57), gastrointestinal (2.50, 1.64 to 3.89), sensory (1.73, 2.06 to 2.89) and respiratory (1.31, 1.06 to 1.62). Pre-existing asthma was associated with neurological (1.95, 1.25 to 2.98) and mood and behavioural changes (2.02, 1.24 to 3.18) and chronic pulmonary disease was associated with chronic fatigue (1.68, 1.21 to 2.32).Interpretation 6 to 8 months after acute infection episode almost a half of patients experience symptoms lasting since hospital discharge. One in ten individuals experiences MSI. Female sex is the main risk factor for majority of the LS categories. chronic pulmonar…","author":[{"dropping-particle":"","family":"Munblit","given":"Daniel","non-dropping-particle":"","parse-names":false,"suffix":""},{"dropping-particle":"","family":"Bobkova","given":"Polina","non-dropping-particle":"","parse-names":false,"suffix":""},{"dropping-particle":"","family":"Spiridonova","given":"Ekaterina","non-dropping-particle":"","parse-names":false,"suffix":""},{"dropping-particle":"","family":"Shikhaleva","given":"Anastasia","non-dropping-particle":"","parse-names":false,"suffix":""},{"dropping-particle":"","family":"Gamirova","given":"Aysylu","non-dropping-particle":"","parse-names":false,"suffix":""},{"dropping-particle":"","family":"Blyuss","given":"Oleg","non-dropping-particle":"","parse-names":false,"suffix":""},{"dropping-particle":"","family":"Nekliudov","given":"Nikita","non-dropping-particle":"","parse-names":false,"suffix":""},{"dropping-particle":"","family":"Bugaeva","given":"Polina","non-dropping-particle":"","parse-names":false,"suffix":""},{"dropping-particle":"","family":"Andreeva","given":"Margarita","non-dropping-particle":"","parse-names":false,"suffix":""},{"dropping-particle":"","family":"DunnGalvin","given":"Audrey","non-dropping-particle":"","parse-names":false,"suffix":""},{"dropping-particle":"","family":"Comberiati","given":"Pasquale","non-dropping-particle":"","parse-names":false,"suffix":""},{"dropping-particle":"","family":"Apfelbacher","given":"Christian","non-dropping-particle":"","parse-names":false,"suffix":""},{"dropping-particle":"","family":"Genuneit","given":"Jon","non-dropping-particle":"","parse-names":false,"suffix":""},{"dropping-particle":"","family":"Avdeev","given":"Sergey","non-dropping-particle":"","parse-names":false,"suffix":""},{"dropping-particle":"","family":"Kapustina","given":"Valentina","non-dropping-particle":"","parse-names":false,"suffix":""},{"dropping-particle":"","family":"Guekht","given":"Alla","non-dropping-particle":"","parse-names":false,"suffix":""},{"dropping-particle":"","family":"Fomin","given":"Victor","non-dropping-particle":"","parse-names":false,"suffix":""},{"dropping-particle":"","family":"Svistunov","given":"Andrey A","non-dropping-particle":"","parse-names":false,"suffix":""},{"dropping-particle":"","family":"Timashev","given":"Peter","non-dropping-particle":"","parse-names":false,"suffix":""},{"dropping-particle":"","family":"Drake","given":"Thomas M","non-dropping-particle":"","parse-names":false,"suffix":""},{"dropping-particle":"","family":"Hanson","given":"Sarah Wulf","non-dropping-particle":"","parse-names":false,"suffix":""},{"dropping-particle":"","family":"Merson","given":"Laura","non-dropping-particle":"","parse-names":false,"suffix":""},{"dropping-particle":"","family":"Horby","given":"Peter","non-dropping-particle":"","parse-names":false,"suffix":""},{"dropping-particle":"","family":"Sigfrid","given":"Louise","non-dropping-particle":"","parse-names":false,"suffix":""},{"dropping-particle":"","family":"Scott","given":"Janet T","non-dropping-particle":"","parse-names":false,"suffix":""},{"dropping-particle":"","family":"Semple","given":"Malcolm G","non-dropping-particle":"","parse-names":false,"suffix":""},{"dropping-particle":"","family":"Warner","given":"John O","non-dropping-particle":"","parse-names":false,"suffix":""},{"dropping-particle":"","family":"Vos","given":"Theo","non-dropping-particle":"","parse-names":false,"suffix":""},{"dropping-particle":"","family":"Olliaro","given":"Piero","non-dropping-particle":"","parse-names":false,"suffix":""},{"dropping-particle":"","family":"Glybochko","given":"Petr","non-dropping-particle":"","parse-names":false,"suffix":""},{"dropping-particle":"","family":"Butnaru","given":"Denis","non-dropping-particle":"","parse-names":false,"suffix":""}],"container-title":"medRxiv","id":"ITEM-4","issued":{"date-parts":[["2021","1","1"]]},"page":"2021.02.17.21251895","title":"Risk factors for long-term consequences of COVID-19 in hospitalised adults in Moscow using the ISARIC Global follow-up protocol: StopCOVID cohort study","type":"article-journal"},"uris":["http://www.mendeley.com/documents/?uuid=3aa565e3-0a95-4ad5-ba92-52c1d7fdf2a3"]},{"id":"ITEM-5","itemData":{"DOI":"10.1001/jama.2020.12603","ISSN":"0098-7484","abstract":"In Italy, a large proportion of patients with coronavirus disease 2019 (COVID-19) presented with symptoms (71.4% of 31 845 confirmed cases as of June 3, 2020). Common symptoms include cough, fever, dyspnea, musculoskeletal symptoms (myalgia, joint pain, fatigue), gastrointestinal symptoms, and anosmia/dysgeusia. However, information is lacking on symptoms that persist after recovery. We assessed persistent symptoms in patients who were discharged from the hospital after recovery from COVID-19.","author":[{"dropping-particle":"","family":"Carfì","given":"Angelo","non-dropping-particle":"","parse-names":false,"suffix":""},{"dropping-particle":"","family":"Bernabei","given":"Roberto","non-dropping-particle":"","parse-names":false,"suffix":""},{"dropping-particle":"","family":"Landi","given":"Francesco","non-dropping-particle":"","parse-names":false,"suffix":""},{"dropping-particle":"","family":"Group","given":"for the Gemelli Against COVID-19 Post-Acute Care Study","non-dropping-particle":"","parse-names":false,"suffix":""}],"container-title":"JAMA","id":"ITEM-5","issue":"6","issued":{"date-parts":[["2020"]]},"page":"603-605","title":"Persistent Symptoms in Patients After Acute COVID-19","type":"article-journal","volume":"324"},"uris":["http://www.mendeley.com/documents/?uuid=2f4b7cdf-e4be-4747-9ca5-b45e01a9d227"]},{"id":"ITEM-6","itemData":{"DOI":"10.1515/jtim-2016-0016","author":[{"dropping-particle":"","family":"Rawal","given":"G","non-dropping-particle":"","parse-names":false,"suffix":""},{"dropping-particle":"","family":"Yadav","given":"S","non-dropping-particle":"","parse-names":false,"suffix":""},{"dropping-particle":"","family":"Kumar","given":"R","non-dropping-particle":"","parse-names":false,"suffix":""}],"container-title":"Journal of translational internal medicine","id":"ITEM-6","issue":"2","issued":{"date-parts":[["2017"]]},"page":"90-92","title":"Post-intensive care syndrome: An overview","type":"article-journal","volume":"5"},"uris":["http://www.mendeley.com/documents/?uuid=748478a5-c9ff-4a4c-b2ec-77f6333ae1ae"]},{"id":"ITEM-7","itemData":{"DOI":"10.3201/eid2204.151302","ISSN":"1080-6059","abstract":"Thousands of persons have survived Ebola virus disease. Almost all survivors describe symptoms that persist or develop after hospital discharge. A cross-sectional survey of the symptoms of all survivors from the Ebola treatment unit (ETU) at 34th Regimental Military Hospital, Freetown, Sierra Leone (MH34), was conducted after discharge at their initial follow-up appointment within 3 weeks after their second negative PCR result. From its opening on December 1, 2014, through March 31, 2015, the MH34 ETU treated 84 persons (8-70 years of age) with PCR-confirmed Ebola virus disease, of whom 44 survived. Survivors reported musculoskeletal pain (70%), headache (48%), and ocular problems (14%). Those who reported headache had had lower admission cycle threshold Ebola PCR than did those who did not (p&lt;0.03). This complete survivor cohort from 1 ETU enables analysis of the proportion of symptoms of post-Ebola syndrome. The Ebola epidemic is waning, but the effects of the disease will remain.","author":[{"dropping-particle":"","family":"Scott","given":"Janet T","non-dropping-particle":"","parse-names":false,"suffix":""},{"dropping-particle":"","family":"Sesay","given":"Foday R","non-dropping-particle":"","parse-names":false,"suffix":""},{"dropping-particle":"","family":"Massaquoi","given":"Thomas A","non-dropping-particle":"","parse-names":false,"suffix":""},{"dropping-particle":"","family":"Idriss","given":"Baimba R","non-dropping-particle":"","parse-names":false,"suffix":""},{"dropping-particle":"","family":"Sahr","given":"Foday","non-dropping-particle":"","parse-names":false,"suffix":""},{"dropping-particle":"","family":"Semple","given":"Malcolm G","non-dropping-particle":"","parse-names":false,"suffix":""}],"container-title":"Emerging infectious diseases","id":"ITEM-7","issue":"4","issued":{"date-parts":[["2016","4"]]},"language":"eng","page":"641-646","publisher":"Centers for Disease Control and Prevention","title":"Post-Ebola Syndrome, Sierra Leone","type":"article-journal","volume":"22"},"uris":["http://www.mendeley.com/documents/?uuid=6c7c0d94-fc14-406f-88dc-d8f833b30dc0"]},{"id":"ITEM-8","itemData":{"DOI":"10.1016/j.pt.2019.06.004","ISSN":"1471-4922","author":[{"dropping-particle":"","family":"Hung","given":"Trinh Manh","non-dropping-particle":"","parse-names":false,"suffix":""},{"dropping-particle":"","family":"Wills","given":"Bridget","non-dropping-particle":"","parse-names":false,"suffix":""},{"dropping-particle":"","family":"Clapham","given":"Hannah E","non-dropping-particle":"","parse-names":false,"suffix":""},{"dropping-particle":"","family":"Yacoub","given":"Sophie","non-dropping-particle":"","parse-names":false,"suffix":""},{"dropping-particle":"","family":"Turner","given":"Hugo C","non-dropping-particle":"","parse-names":false,"suffix":""}],"container-title":"Trends in Parasitology","id":"ITEM-8","issue":"9","issued":{"date-parts":[["2019","9","1"]]},"note":"doi: 10.1016/j.pt.2019.06.004","page":"673-676","publisher":"Elsevier","title":"The Uncertainty Surrounding the Burden of Post-acute Consequences of Dengue Infection","type":"article-journal","volume":"35"},"uris":["http://www.mendeley.com/documents/?uuid=f3bc22d3-703a-4e73-856b-c5ca0d55a42f"]},{"id":"ITEM-9","itemData":{"DOI":"10.1016/S0140-6736(20)32656-8","ISSN":"01406736","author":[{"dropping-particle":"","family":"Huang","given":"Chaolin","non-dropping-particle":"","parse-names":false,"suffix":""},{"dropping-particle":"","family":"Huang","given":"Lixue","non-dropping-particle":"","parse-names":false,"suffix":""},{"dropping-particle":"","family":"Wang","given":"Yeming","non-dropping-particle":"","parse-names":false,"suffix":""},{"dropping-particle":"","family":"Li","given":"Xia","non-dropping-particle":"","parse-names":false,"suffix":""},{"dropping-particle":"","family":"Ren","given":"Lili","non-dropping-particle":"","parse-names":false,"suffix":""},{"dropping-particle":"","family":"Gu","given":"Xiaoying","non-dropping-particle":"","parse-names":false,"suffix":""},{"dropping-particle":"","family":"Kang","given":"Liang","non-dropping-particle":"","parse-names":false,"suffix":""},{"dropping-particle":"","family":"Guo","given":"Li","non-dropping-particle":"","parse-names":false,"suffix":""},{"dropping-particle":"","family":"Liu","given":"Min","non-dropping-particle":"","parse-names":false,"suffix":""},{"dropping-particle":"","family":"Zhou","given":"Xing","non-dropping-particle":"","parse-names":false,"suffix":""},{"dropping-particle":"","family":"Luo","given":"Jianfeng","non-dropping-particle":"","parse-names":false,"suffix":""},{"dropping-particle":"","family":"Huang","given":"Zhenghui","non-dropping-particle":"","parse-names":false,"suffix":""},{"dropping-particle":"","family":"Tu","given":"Shengjin","non-dropping-particle":"","parse-names":false,"suffix":""},{"dropping-particle":"","family":"Zhao","given":"Yue","non-dropping-particle":"","parse-names":false,"suffix":""},{"dropping-particle":"","family":"Chen","given":"Li","non-dropping-particle":"","parse-names":false,"suffix":""},{"dropping-particle":"","family":"Xu","given":"Decui","non-dropping-particle":"","parse-names":false,"suffix":""},{"dropping-particle":"","family":"Li","given":"Yanping","non-dropping-particle":"","parse-names":false,"suffix":""},{"dropping-particle":"","family":"Li","given":"Caihong","non-dropping-particle":"","parse-names":false,"suffix":""},{"dropping-particle":"","family":"Peng","given":"Lu","non-dropping-particle":"","parse-names":false,"suffix":""},{"dropping-particle":"","family":"Li","given":"Yong","non-dropping-particle":"","parse-names":false,"suffix":""},{"dropping-particle":"","family":"Xie","given":"Wuxiang","non-dropping-particle":"","parse-names":false,"suffix":""},{"dropping-particle":"","family":"Cui","given":"Dan","non-dropping-particle":"","parse-names":false,"suffix":""},{"dropping-particle":"","family":"Shang","given":"Lianhan","non-dropping-particle":"","parse-names":false,"suffix":""},{"dropping-particle":"","family":"Fan","given":"Guohui","non-dropping-particle":"","parse-names":false,"suffix":""},{"dropping-particle":"","family":"Xu","given":"Jiuyang","non-dropping-particle":"","parse-names":false,"suffix":""},{"dropping-particle":"","family":"Wang","given":"Geng","non-dropping-particle":"","parse-names":false,"suffix":""},{"dropping-particle":"","family":"Wang","given":"Ying","non-dropping-particle":"","parse-names":false,"suffix":""},{"dropping-particle":"","family":"Zhong","given":"Jingchuan","non-dropping-particle":"","parse-names":false,"suffix":""},{"dropping-particle":"","family":"Wang","given":"Chen","non-dropping-particle":"","parse-names":false,"suffix":""},{"dropping-particle":"","family":"Wang","given":"Jianwei","non-dropping-particle":"","parse-names":false,"suffix":""},{"dropping-particle":"","family":"Zhang","given":"Dingyu","non-dropping-particle":"","parse-names":false,"suffix":""},{"dropping-particle":"","family":"Cao","given":"Bin","non-dropping-particle":"","parse-names":false,"suffix":""}],"container-title":"The Lancet","id":"ITEM-9","issue":"10270","issued":{"date-parts":[["2021","1"]]},"page":"220-232","title":"6-month consequences of COVID-19 in patients discharged from hospital: a cohort study","type":"article-journal","volume":"397"},"uris":["http://www.mendeley.com/documents/?uuid=562554fa-38b6-3b17-a3ed-d0af79a3f0a2"]}],"mendeley":{"formattedCitation":"&lt;sup&gt;1,11–18&lt;/sup&gt;","plainTextFormattedCitation":"1,11–18","previouslyFormattedCitation":"&lt;sup&gt;1,11–18&lt;/sup&gt;"},"properties":{"noteIndex":0},"schema":"https://github.com/citation-style-language/schema/raw/master/csl-citation.json"}</w:instrText>
      </w:r>
      <w:r w:rsidRPr="635675B7">
        <w:rPr>
          <w:rFonts w:asciiTheme="majorHAnsi" w:hAnsiTheme="majorHAnsi" w:cstheme="majorBidi"/>
        </w:rPr>
        <w:fldChar w:fldCharType="separate"/>
      </w:r>
      <w:r w:rsidR="00E41C7A" w:rsidRPr="00E41C7A">
        <w:rPr>
          <w:rFonts w:asciiTheme="majorHAnsi" w:hAnsiTheme="majorHAnsi" w:cstheme="majorBidi"/>
          <w:noProof/>
          <w:vertAlign w:val="superscript"/>
        </w:rPr>
        <w:t>1,11–18</w:t>
      </w:r>
      <w:r w:rsidRPr="635675B7">
        <w:rPr>
          <w:rFonts w:asciiTheme="majorHAnsi" w:hAnsiTheme="majorHAnsi" w:cstheme="majorBidi"/>
        </w:rPr>
        <w:fldChar w:fldCharType="end"/>
      </w:r>
      <w:r w:rsidRPr="635675B7">
        <w:rPr>
          <w:rFonts w:asciiTheme="majorHAnsi" w:hAnsiTheme="majorHAnsi" w:cstheme="majorBidi"/>
        </w:rPr>
        <w:t xml:space="preserve">. The most common symptom of long-Covid described following both community and hospital-managed acute-Covid-19 was fatigue: fatigue was reported in 97.7% of community-managed cases who reported symptoms lasting over 28 days, and in 83% and 98% of UK and China patients respectively greater than 3-months after hospital </w:t>
      </w:r>
      <w:r w:rsidRPr="635675B7">
        <w:rPr>
          <w:rFonts w:asciiTheme="majorHAnsi" w:hAnsiTheme="majorHAnsi" w:cstheme="majorBidi"/>
        </w:rPr>
        <w:lastRenderedPageBreak/>
        <w:t>discharge following admission with acute-Covid-19</w:t>
      </w:r>
      <w:r w:rsidRPr="635675B7">
        <w:rPr>
          <w:rFonts w:asciiTheme="majorHAnsi" w:hAnsiTheme="majorHAnsi" w:cstheme="majorBidi"/>
        </w:rPr>
        <w:fldChar w:fldCharType="begin" w:fldLock="1"/>
      </w:r>
      <w:r w:rsidR="00EF2329">
        <w:rPr>
          <w:rFonts w:asciiTheme="majorHAnsi" w:hAnsiTheme="majorHAnsi" w:cstheme="majorBidi"/>
        </w:rPr>
        <w:instrText>ADDIN CSL_CITATION {"citationItems":[{"id":"ITEM-1","itemData":{"DOI":"10.1038/s41591-021-01292-y","ISSN":"1546-170X","abstract":"Reports of long-lasting coronavirus disease 2019 (COVID-19) symptoms, the so-called ‘long COVID’, are rising but little is known about prevalence, risk factors or whether it is possible to predict a protracted course early in the disease. We analyzed data from 4,182 incident cases of COVID-19 in which individuals self-reported their symptoms prospectively in the COVID Symptom Study app1. A total of 558 (13.3%) participants reported symptoms lasting ≥28 days, 189 (4.5%) for ≥8 weeks and 95 (2.3%) for ≥12 weeks. Long COVID was characterized by symptoms of fatigue, headache, dyspnea and anosmia and was more likely with increasing age and body mass index and female sex. Experiencing more than five symptoms during the first week of illness was associated with long COVID (odds ratio = 3.53 (2.76–4.50)). A simple model to distinguish between short COVID and long COVID at 7 days (total sample size, n = 2,149) showed an area under the curve of the receiver operating characteristic curve of 76%, with replication in an independent sample of 2,472 individuals who were positive for severe acute respiratory syndrome coronavirus 2. This model could be used to identify individuals at risk of long COVID for trials of prevention or treatment and to plan education and rehabilitation services.","author":[{"dropping-particle":"","family":"Sudre","given":"Carole H","non-dropping-particle":"","parse-names":false,"suffix":""},{"dropping-particle":"","family":"Murray","given":"Benjamin","non-dropping-particle":"","parse-names":false,"suffix":""},{"dropping-particle":"","family":"Varsavsky","given":"Thomas","non-dropping-particle":"","parse-names":false,"suffix":""},{"dropping-particle":"","family":"Graham","given":"Mark S","non-dropping-particle":"","parse-names":false,"suffix":""},{"dropping-particle":"","family":"Penfold","given":"Rose S","non-dropping-particle":"","parse-names":false,"suffix":""},{"dropping-particle":"","family":"Bowyer","given":"Ruth C","non-dropping-particle":"","parse-names":false,"suffix":""},{"dropping-particle":"","family":"Pujol","given":"Joan Capdevila","non-dropping-particle":"","parse-names":false,"suffix":""},{"dropping-particle":"","family":"Klaser","given":"Kerstin","non-dropping-particle":"","parse-names":false,"suffix":""},{"dropping-particle":"","family":"Antonelli","given":"Michela","non-dropping-particle":"","parse-names":false,"suffix":""},{"dropping-particle":"","family":"Canas","given":"Liane S","non-dropping-particle":"","parse-names":false,"suffix":""},{"dropping-particle":"","family":"Molteni","given":"Erika","non-dropping-particle":"","parse-names":false,"suffix":""},{"dropping-particle":"","family":"Modat","given":"Marc","non-dropping-particle":"","parse-names":false,"suffix":""},{"dropping-particle":"","family":"Jorge Cardoso","given":"M","non-dropping-particle":"","parse-names":false,"suffix":""},{"dropping-particle":"","family":"May","given":"Anna","non-dropping-particle":"","parse-names":false,"suffix":""},{"dropping-particle":"","family":"Ganesh","given":"Sajaysurya","non-dropping-particle":"","parse-names":false,"suffix":""},{"dropping-particle":"","family":"Davies","given":"Richard","non-dropping-particle":"","parse-names":false,"suffix":""},{"dropping-particle":"","family":"Nguyen","given":"Long H","non-dropping-particle":"","parse-names":false,"suffix":""},{"dropping-particle":"","family":"Drew","given":"David A","non-dropping-particle":"","parse-names":false,"suffix":""},{"dropping-particle":"","family":"Astley","given":"Christina M","non-dropping-particle":"","parse-names":false,"suffix":""},{"dropping-particle":"","family":"Joshi","given":"Amit D","non-dropping-particle":"","parse-names":false,"suffix":""},{"dropping-particle":"","family":"Merino","given":"Jordi","non-dropping-particle":"","parse-names":false,"suffix":""},{"dropping-particle":"","family":"Tsereteli","given":"Neli","non-dropping-particle":"","parse-names":false,"suffix":""},{"dropping-particle":"","family":"Fall","given":"Tove","non-dropping-particle":"","parse-names":false,"suffix":""},{"dropping-particle":"","family":"Gomez","given":"Maria F","non-dropping-particle":"","parse-names":false,"suffix":""},{"dropping-particle":"","family":"Duncan","given":"Emma L","non-dropping-particle":"","parse-names":false,"suffix":""},{"dropping-particle":"","family":"Menni","given":"Cristina","non-dropping-particle":"","parse-names":false,"suffix":""},{"dropping-particle":"","family":"Williams","given":"Frances M K","non-dropping-particle":"","parse-names":false,"suffix":""},{"dropping-particle":"","family":"Franks","given":"Paul W","non-dropping-particle":"","parse-names":false,"suffix":""},{"dropping-particle":"","family":"Chan","given":"Andrew T","non-dropping-particle":"","parse-names":false,"suffix":""},{"dropping-particle":"","family":"Wolf","given":"Jonathan","non-dropping-particle":"","parse-names":false,"suffix":""},{"dropping-particle":"","family":"Ourselin","given":"Sebastien","non-dropping-particle":"","parse-names":false,"suffix":""},{"dropping-particle":"","family":"Spector","given":"Tim","non-dropping-particle":"","parse-names":false,"suffix":""},{"dropping-particle":"","family":"Steves","given":"Claire J","non-dropping-particle":"","parse-names":false,"suffix":""}],"container-title":"Nature Medicine","id":"ITEM-1","issued":{"date-parts":[["2021"]]},"title":"Attributes and predictors of long COVID","type":"article-journal"},"uris":["http://www.mendeley.com/documents/?uuid=d922c97f-668e-4fae-b463-f52de69e9aef"]},{"id":"ITEM-2","itemData":{"DOI":"10.1101/2021.03.18.21253888","author":[{"dropping-particle":"","family":"Sigfrid","given":"Louise","non-dropping-particle":"","parse-names":false,"suffix":""},{"dropping-particle":"","family":"Drake","given":"Tom M","non-dropping-particle":"","parse-names":false,"suffix":""},{"dropping-particle":"","family":"Pauley","given":"Ellen","non-dropping-particle":"","parse-names":false,"suffix":""},{"dropping-particle":"","family":"Jesudason","given":"Edwin C","non-dropping-particle":"","parse-names":false,"suffix":""},{"dropping-particle":"","family":"Olliaro","given":"Piero","non-dropping-particle":"","parse-names":false,"suffix":""},{"dropping-particle":"","family":"Lim","given":"Wei Shen","non-dropping-particle":"","parse-names":false,"suffix":""},{"dropping-particle":"","family":"Gillesen","given":"Annelise","non-dropping-particle":"","parse-names":false,"suffix":""},{"dropping-particle":"","family":"Berry","given":"Colin","non-dropping-particle":"","parse-names":false,"suffix":""},{"dropping-particle":"","family":"Lowe","given":"David","non-dropping-particle":"","parse-names":false,"suffix":""}],"editor":[{"dropping-particle":"","family":"ISARIC","given":"","non-dropping-particle":"","parse-names":false,"suffix":""}],"id":"ITEM-2","issued":{"date-parts":[["2021"]]},"title":"Long Covid in adults discharged from UK hospitals after Covid-19: A prospective, multicentre cohort study using the ISARIC WHO Clinical Characterisation Protocol.","type":"article-journal"},"uris":["http://www.mendeley.com/documents/?uuid=02b8a7f5-8ba8-4593-a137-49769450bfbd"]},{"id":"ITEM-3","itemData":{"DOI":"10.1016/S0140-6736(20)32656-8","ISSN":"01406736","author":[{"dropping-particle":"","family":"Huang","given":"Chaolin","non-dropping-particle":"","parse-names":false,"suffix":""},{"dropping-particle":"","family":"Huang","given":"Lixue","non-dropping-particle":"","parse-names":false,"suffix":""},{"dropping-particle":"","family":"Wang","given":"Yeming","non-dropping-particle":"","parse-names":false,"suffix":""},{"dropping-particle":"","family":"Li","given":"Xia","non-dropping-particle":"","parse-names":false,"suffix":""},{"dropping-particle":"","family":"Ren","given":"Lili","non-dropping-particle":"","parse-names":false,"suffix":""},{"dropping-particle":"","family":"Gu","given":"Xiaoying","non-dropping-particle":"","parse-names":false,"suffix":""},{"dropping-particle":"","family":"Kang","given":"Liang","non-dropping-particle":"","parse-names":false,"suffix":""},{"dropping-particle":"","family":"Guo","given":"Li","non-dropping-particle":"","parse-names":false,"suffix":""},{"dropping-particle":"","family":"Liu","given":"Min","non-dropping-particle":"","parse-names":false,"suffix":""},{"dropping-particle":"","family":"Zhou","given":"Xing","non-dropping-particle":"","parse-names":false,"suffix":""},{"dropping-particle":"","family":"Luo","given":"Jianfeng","non-dropping-particle":"","parse-names":false,"suffix":""},{"dropping-particle":"","family":"Huang","given":"Zhenghui","non-dropping-particle":"","parse-names":false,"suffix":""},{"dropping-particle":"","family":"Tu","given":"Shengjin","non-dropping-particle":"","parse-names":false,"suffix":""},{"dropping-particle":"","family":"Zhao","given":"Yue","non-dropping-particle":"","parse-names":false,"suffix":""},{"dropping-particle":"","family":"Chen","given":"Li","non-dropping-particle":"","parse-names":false,"suffix":""},{"dropping-particle":"","family":"Xu","given":"Decui","non-dropping-particle":"","parse-names":false,"suffix":""},{"dropping-particle":"","family":"Li","given":"Yanping","non-dropping-particle":"","parse-names":false,"suffix":""},{"dropping-particle":"","family":"Li","given":"Caihong","non-dropping-particle":"","parse-names":false,"suffix":""},{"dropping-particle":"","family":"Peng","given":"Lu","non-dropping-particle":"","parse-names":false,"suffix":""},{"dropping-particle":"","family":"Li","given":"Yong","non-dropping-particle":"","parse-names":false,"suffix":""},{"dropping-particle":"","family":"Xie","given":"Wuxiang","non-dropping-particle":"","parse-names":false,"suffix":""},{"dropping-particle":"","family":"Cui","given":"Dan","non-dropping-particle":"","parse-names":false,"suffix":""},{"dropping-particle":"","family":"Shang","given":"Lianhan","non-dropping-particle":"","parse-names":false,"suffix":""},{"dropping-particle":"","family":"Fan","given":"Guohui","non-dropping-particle":"","parse-names":false,"suffix":""},{"dropping-particle":"","family":"Xu","given":"Jiuyang","non-dropping-particle":"","parse-names":false,"suffix":""},{"dropping-particle":"","family":"Wang","given":"Geng","non-dropping-particle":"","parse-names":false,"suffix":""},{"dropping-particle":"","family":"Wang","given":"Ying","non-dropping-particle":"","parse-names":false,"suffix":""},{"dropping-particle":"","family":"Zhong","given":"Jingchuan","non-dropping-particle":"","parse-names":false,"suffix":""},{"dropping-particle":"","family":"Wang","given":"Chen","non-dropping-particle":"","parse-names":false,"suffix":""},{"dropping-particle":"","family":"Wang","given":"Jianwei","non-dropping-particle":"","parse-names":false,"suffix":""},{"dropping-particle":"","family":"Zhang","given":"Dingyu","non-dropping-particle":"","parse-names":false,"suffix":""},{"dropping-particle":"","family":"Cao","given":"Bin","non-dropping-particle":"","parse-names":false,"suffix":""}],"container-title":"The Lancet","id":"ITEM-3","issue":"10270","issued":{"date-parts":[["2021","1"]]},"page":"220-232","title":"6-month consequences of COVID-19 in patients discharged from hospital: a cohort study","type":"article-journal","volume":"397"},"uris":["http://www.mendeley.com/documents/?uuid=562554fa-38b6-3b17-a3ed-d0af79a3f0a2"]}],"mendeley":{"formattedCitation":"&lt;sup&gt;13,18,19&lt;/sup&gt;","plainTextFormattedCitation":"13,18,19","previouslyFormattedCitation":"&lt;sup&gt;13,18,19&lt;/sup&gt;"},"properties":{"noteIndex":0},"schema":"https://github.com/citation-style-language/schema/raw/master/csl-citation.json"}</w:instrText>
      </w:r>
      <w:r w:rsidRPr="635675B7">
        <w:rPr>
          <w:rFonts w:asciiTheme="majorHAnsi" w:hAnsiTheme="majorHAnsi" w:cstheme="majorBidi"/>
        </w:rPr>
        <w:fldChar w:fldCharType="separate"/>
      </w:r>
      <w:r w:rsidR="00E41C7A" w:rsidRPr="00E41C7A">
        <w:rPr>
          <w:rFonts w:asciiTheme="majorHAnsi" w:hAnsiTheme="majorHAnsi" w:cstheme="majorBidi"/>
          <w:noProof/>
          <w:vertAlign w:val="superscript"/>
        </w:rPr>
        <w:t>13,18,19</w:t>
      </w:r>
      <w:r w:rsidRPr="635675B7">
        <w:rPr>
          <w:rFonts w:asciiTheme="majorHAnsi" w:hAnsiTheme="majorHAnsi" w:cstheme="majorBidi"/>
        </w:rPr>
        <w:fldChar w:fldCharType="end"/>
      </w:r>
      <w:r w:rsidRPr="635675B7">
        <w:rPr>
          <w:rFonts w:asciiTheme="majorHAnsi" w:hAnsiTheme="majorHAnsi" w:cstheme="majorBidi"/>
        </w:rPr>
        <w:t xml:space="preserve">. </w:t>
      </w:r>
      <w:bookmarkStart w:id="0" w:name="OLE_LINK1"/>
      <w:bookmarkStart w:id="1" w:name="OLE_LINK2"/>
      <w:r w:rsidRPr="635675B7">
        <w:rPr>
          <w:rFonts w:asciiTheme="majorHAnsi" w:hAnsiTheme="majorHAnsi" w:cstheme="majorBidi"/>
        </w:rPr>
        <w:t>Recent studies have shown requiring invasive mechanical ventilation (IMV) is associated with experiencing worse fatigue and other recovery, but have</w:t>
      </w:r>
      <w:r w:rsidR="009625D0">
        <w:rPr>
          <w:rFonts w:asciiTheme="majorHAnsi" w:hAnsiTheme="majorHAnsi" w:cstheme="majorBidi"/>
        </w:rPr>
        <w:t xml:space="preserve"> not attempted </w:t>
      </w:r>
      <w:r w:rsidRPr="635675B7">
        <w:rPr>
          <w:rFonts w:asciiTheme="majorHAnsi" w:hAnsiTheme="majorHAnsi" w:cstheme="majorBidi"/>
        </w:rPr>
        <w:t>to compare ‘long-Covid’ to recovery from all critical illness</w:t>
      </w:r>
      <w:r w:rsidR="009625D0">
        <w:rPr>
          <w:rFonts w:asciiTheme="majorHAnsi" w:hAnsiTheme="majorHAnsi" w:cstheme="majorBidi"/>
        </w:rPr>
        <w:t xml:space="preserve"> and were without control groups</w:t>
      </w:r>
      <w:r w:rsidRPr="635675B7">
        <w:rPr>
          <w:rFonts w:asciiTheme="majorHAnsi" w:hAnsiTheme="majorHAnsi" w:cstheme="majorBidi"/>
        </w:rPr>
        <w:fldChar w:fldCharType="begin" w:fldLock="1"/>
      </w:r>
      <w:r w:rsidR="00EF2329">
        <w:rPr>
          <w:rFonts w:asciiTheme="majorHAnsi" w:hAnsiTheme="majorHAnsi" w:cstheme="majorBidi"/>
        </w:rPr>
        <w:instrText>ADDIN CSL_CITATION {"citationItems":[{"id":"ITEM-1","itemData":{"DOI":"10.1101/2021.03.18.21253888","author":[{"dropping-particle":"","family":"Sigfrid","given":"Louise","non-dropping-particle":"","parse-names":false,"suffix":""},{"dropping-particle":"","family":"Drake","given":"Tom M","non-dropping-particle":"","parse-names":false,"suffix":""},{"dropping-particle":"","family":"Pauley","given":"Ellen","non-dropping-particle":"","parse-names":false,"suffix":""},{"dropping-particle":"","family":"Jesudason","given":"Edwin C","non-dropping-particle":"","parse-names":false,"suffix":""},{"dropping-particle":"","family":"Olliaro","given":"Piero","non-dropping-particle":"","parse-names":false,"suffix":""},{"dropping-particle":"","family":"Lim","given":"Wei Shen","non-dropping-particle":"","parse-names":false,"suffix":""},{"dropping-particle":"","family":"Gillesen","given":"Annelise","non-dropping-particle":"","parse-names":false,"suffix":""},{"dropping-particle":"","family":"Berry","given":"Colin","non-dropping-particle":"","parse-names":false,"suffix":""},{"dropping-particle":"","family":"Lowe","given":"David","non-dropping-particle":"","parse-names":false,"suffix":""}],"editor":[{"dropping-particle":"","family":"ISARIC","given":"","non-dropping-particle":"","parse-names":false,"suffix":""}],"id":"ITEM-1","issued":{"date-parts":[["2021"]]},"title":"Long Covid in adults discharged from UK hospitals after Covid-19: A prospective, multicentre cohort study using the ISARIC WHO Clinical Characterisation Protocol.","type":"article-journal"},"uris":["http://www.mendeley.com/documents/?uuid=02b8a7f5-8ba8-4593-a137-49769450bfbd"]},{"id":"ITEM-2","itemData":{"DOI":"10.1101/2021.02.17.21251895","abstract":"Background The long-term sequalae of COVID-19 remain poorly characterised. In this study, we aimed to assess long-standing symptoms (LS) (symptoms lasting from the time of discharge) in previously hospitalised patients with COVID-19 and assess associated risk factors.Methods This is a longitudinal cohort study of adults (≥18 years of age) with clinically diagnosed or laboratory-confirmed COVID-19 admitted to Sechenov University Hospital Network in Moscow, Russia. Data were collected from patients discharged between April 8 and July 10, 2020. Participants were interviewed via telephone using Tier 1 ISARIC Long-term Follow-up Study CRF and the WHO CRF for Post COVID conditions. Reported symptoms were further categorised based on the system(s) involved. Additional information on dyspnoea, quality of life and fatigue was collected using validated instruments. Multivariable logistic regressions were performed to investigate risk factors for development of LS categories.Findings Overall, 2,649 of 4,755 patients discharged from the hospitals were available for the follow-up and included in the study. The median age of the patients was 56 years (IQR, 46–66) and 1,353 (51.1%) were women. The median follow-up time since hospital discharge was 217.5 (200.4-235.5) days. At the time of the follow-up interview 1247 (47.1%) participants reported LS. Fatigue (21.2%, 551/2599), shortness of breath (14.5%, 378/2614) and forgetfulness (9.1%, 237/2597) were the most common LS reported. Chronic fatigue (25%, 658/2593) and respiratory (17.2% 451/2616) were the most common LS categories. with reporting of multi-system involvement (MSI) less common (11.3%; 299). Female sex was associated with LS categories of chronic fatigue with an odds ratio of 1.67 (95% confidence interval 1.39 to 2.02), neurological (2.03, 1.60 to 2.58), mood and behaviour (1.83, 1.41 to 2.40), dermatological (3.26, 2.36 to 4.57), gastrointestinal (2.50, 1.64 to 3.89), sensory (1.73, 2.06 to 2.89) and respiratory (1.31, 1.06 to 1.62). Pre-existing asthma was associated with neurological (1.95, 1.25 to 2.98) and mood and behavioural changes (2.02, 1.24 to 3.18) and chronic pulmonary disease was associated with chronic fatigue (1.68, 1.21 to 2.32).Interpretation 6 to 8 months after acute infection episode almost a half of patients experience symptoms lasting since hospital discharge. One in ten individuals experiences MSI. Female sex is the main risk factor for majority of the LS categories. chronic pulmonar…","author":[{"dropping-particle":"","family":"Munblit","given":"Daniel","non-dropping-particle":"","parse-names":false,"suffix":""},{"dropping-particle":"","family":"Bobkova","given":"Polina","non-dropping-particle":"","parse-names":false,"suffix":""},{"dropping-particle":"","family":"Spiridonova","given":"Ekaterina","non-dropping-particle":"","parse-names":false,"suffix":""},{"dropping-particle":"","family":"Shikhaleva","given":"Anastasia","non-dropping-particle":"","parse-names":false,"suffix":""},{"dropping-particle":"","family":"Gamirova","given":"Aysylu","non-dropping-particle":"","parse-names":false,"suffix":""},{"dropping-particle":"","family":"Blyuss","given":"Oleg","non-dropping-particle":"","parse-names":false,"suffix":""},{"dropping-particle":"","family":"Nekliudov","given":"Nikita","non-dropping-particle":"","parse-names":false,"suffix":""},{"dropping-particle":"","family":"Bugaeva","given":"Polina","non-dropping-particle":"","parse-names":false,"suffix":""},{"dropping-particle":"","family":"Andreeva","given":"Margarita","non-dropping-particle":"","parse-names":false,"suffix":""},{"dropping-particle":"","family":"DunnGalvin","given":"Audrey","non-dropping-particle":"","parse-names":false,"suffix":""},{"dropping-particle":"","family":"Comberiati","given":"Pasquale","non-dropping-particle":"","parse-names":false,"suffix":""},{"dropping-particle":"","family":"Apfelbacher","given":"Christian","non-dropping-particle":"","parse-names":false,"suffix":""},{"dropping-particle":"","family":"Genuneit","given":"Jon","non-dropping-particle":"","parse-names":false,"suffix":""},{"dropping-particle":"","family":"Avdeev","given":"Sergey","non-dropping-particle":"","parse-names":false,"suffix":""},{"dropping-particle":"","family":"Kapustina","given":"Valentina","non-dropping-particle":"","parse-names":false,"suffix":""},{"dropping-particle":"","family":"Guekht","given":"Alla","non-dropping-particle":"","parse-names":false,"suffix":""},{"dropping-particle":"","family":"Fomin","given":"Victor","non-dropping-particle":"","parse-names":false,"suffix":""},{"dropping-particle":"","family":"Svistunov","given":"Andrey A","non-dropping-particle":"","parse-names":false,"suffix":""},{"dropping-particle":"","family":"Timashev","given":"Peter","non-dropping-particle":"","parse-names":false,"suffix":""},{"dropping-particle":"","family":"Drake","given":"Thomas M","non-dropping-particle":"","parse-names":false,"suffix":""},{"dropping-particle":"","family":"Hanson","given":"Sarah Wulf","non-dropping-particle":"","parse-names":false,"suffix":""},{"dropping-particle":"","family":"Merson","given":"Laura","non-dropping-particle":"","parse-names":false,"suffix":""},{"dropping-particle":"","family":"Horby","given":"Peter","non-dropping-particle":"","parse-names":false,"suffix":""},{"dropping-particle":"","family":"Sigfrid","given":"Louise","non-dropping-particle":"","parse-names":false,"suffix":""},{"dropping-particle":"","family":"Scott","given":"Janet T","non-dropping-particle":"","parse-names":false,"suffix":""},{"dropping-particle":"","family":"Semple","given":"Malcolm G","non-dropping-particle":"","parse-names":false,"suffix":""},{"dropping-particle":"","family":"Warner","given":"John O","non-dropping-particle":"","parse-names":false,"suffix":""},{"dropping-particle":"","family":"Vos","given":"Theo","non-dropping-particle":"","parse-names":false,"suffix":""},{"dropping-particle":"","family":"Olliaro","given":"Piero","non-dropping-particle":"","parse-names":false,"suffix":""},{"dropping-particle":"","family":"Glybochko","given":"Petr","non-dropping-particle":"","parse-names":false,"suffix":""},{"dropping-particle":"","family":"Butnaru","given":"Denis","non-dropping-particle":"","parse-names":false,"suffix":""}],"container-title":"medRxiv","id":"ITEM-2","issued":{"date-parts":[["2021","1","1"]]},"page":"2021.02.17.21251895","title":"Risk factors for long-term consequences of COVID-19 in hospitalised adults in Moscow using the ISARIC Global follow-up protocol: StopCOVID cohort study","type":"article-journal"},"uris":["http://www.mendeley.com/documents/?uuid=3aa565e3-0a95-4ad5-ba92-52c1d7fdf2a3"]},{"id":"ITEM-3","itemData":{"DOI":"10.1101/2021.03.22.21254057","abstract":"Background The impact of COVID-19 on physical and mental health, and employment following hospitalisation is poorly understood.Methods PHOSP-COVID is a multi-centre, UK, observational study of adults discharged from hospital with a clinical diagnosis of COVID-19 involving an assessment between two- and seven-months later including detailed symptom, physiological and biochemical testing. Multivariable logistic regression was performed for patient-perceived recovery with age, sex, ethnicity, body mass index (BMI), co-morbidities, and severity of acute illness as co-variates. Cluster analysis was performed using outcomes for breathlessness, fatigue, mental health, cognition and physical function.Findings We report findings of 1077 patients discharged in 2020, from the assessment undertaken a median 5 [IQR4 to 6] months later: 36% female, mean age 58 [SD 13] years, 69% white ethnicity, 27% mechanical ventilation, and 50% had at least two co-morbidities. At follow-up only 29% felt fully recovered, 20% had a new disability, and 19% experienced a health-related change in occupation. Factors associated with failure to recover were female, middle-age, white ethnicity, two or more co-morbidities, and more severe acute illness. The magnitude of the persistent health burden was substantial and weakly related to acute severity. Four clusters were identified with different severities of mental and physical health impairment: 1) Very severe (17%), 2) Severe (21%), 3) Moderate with cognitive impairment (17%), 4) Mild (46%), with 3%, 7%, 36% and 43% feeling fully recovered, respectively. Persistent systemic inflammation determined by C-reactive protein was related to cluster severity, but not acute illness severity.Interpretation We identified factors related to recovery from a hospital admission with COVID-19 and four different phenotypes relating to the severity of physical, mental, and cognitive health five months later. The implications for clinical care include the potential to stratify care and the need for a pro-active approach with wide-access to COVID-19 holistic clinical services.Funding: UKRI and NIHRCompeting Interest StatementThe authors have declared no competing interest.Clinical TrialISRCTN10980107Funding StatementPHOSP-COVID is supported by a grant from the MRC-UK Research and Innovation and the Department of Health and Social Care through the National Institute for Health Research (NIHR) rapid response panel to tackle COVID-19 (grant references: MR/V02…","author":[{"dropping-particle":"","family":"Evans","given":"Rachael Andrea","non-dropping-particle":"","parse-names":false,"suffix":""},{"dropping-particle":"","family":"McAuley","given":"Hamish","non-dropping-particle":"","parse-names":false,"suffix":""},{"dropping-particle":"","family":"Harrison","given":"Ewen M","non-dropping-particle":"","parse-names":false,"suffix":""},{"dropping-particle":"","family":"Shikotra","given":"Aarti","non-dropping-particle":"","parse-names":false,"suffix":""},{"dropping-particle":"","family":"Singapuri","given":"Amisha","non-dropping-particle":"","parse-names":false,"suffix":""},{"dropping-particle":"","family":"Sereno","given":"Marco","non-dropping-particle":"","parse-names":false,"suffix":""},{"dropping-particle":"","family":"Elneima","given":"Omer","non-dropping-particle":"","parse-names":false,"suffix":""},{"dropping-particle":"","family":"Docherty","given":"Annemarie B","non-dropping-particle":"","parse-names":false,"suffix":""},{"dropping-particle":"","family":"Lone","given":"Nazir I","non-dropping-particle":"","parse-names":false,"suffix":""},{"dropping-particle":"","family":"Leavy","given":"Olivia C","non-dropping-particle":"","parse-names":false,"suffix":""},{"dropping-particle":"","family":"Daines","given":"Luke","non-dropping-particle":"","parse-names":false,"suffix":""},{"dropping-particle":"","family":"Baillie","given":"J Kenneth","non-dropping-particle":"","parse-names":false,"suffix":""},{"dropping-particle":"","family":"Brown","given":"Jeremy S","non-dropping-particle":"","parse-names":false,"suffix":""},{"dropping-particle":"","family":"Chalder","given":"Trudie","non-dropping-particle":"","parse-names":false,"suffix":""},{"dropping-particle":"","family":"Soyza","given":"Anthony","non-dropping-particle":"De","parse-names":false,"suffix":""},{"dropping-particle":"","family":"Diar Bakerly","given":"Nawar","non-dropping-particle":"","parse-names":false,"suffix":""},{"dropping-particle":"","family":"Easom","given":"Nicholas","non-dropping-particle":"","parse-names":false,"suffix":""},{"dropping-particle":"","family":"Geddes","given":"John R","non-dropping-particle":"","parse-names":false,"suffix":""},{"dropping-particle":"","family":"Greening","given":"Neil J","non-dropping-particle":"","parse-names":false,"suffix":""},{"dropping-particle":"","family":"Hart","given":"Nick","non-dropping-particle":"","parse-names":false,"suffix":""},{"dropping-particle":"","family":"Heaney","given":"Liam G","non-dropping-particle":"","parse-names":false,"suffix":""},{"dropping-particle":"","family":"Heller","given":"Simon","non-dropping-particle":"","parse-names":false,"suffix":""},{"dropping-particle":"","family":"Howard","given":"Luke","non-dropping-particle":"","parse-names":false,"suffix":""},{"dropping-particle":"","family":"Jacob","given":"Joseph","non-dropping-particle":"","parse-names":false,"suffix":""},{"dropping-particle":"","family":"Jenkins","given":"R Gisli","non-dropping-particle":"","parse-names":false,"suffix":""},{"dropping-particle":"","family":"Jolley","given":"Caroline","non-dropping-particle":"","parse-names":false,"suffix":""},{"dropping-particle":"","family":"Kerr","given":"Steven","non-dropping-particle":"","parse-names":false,"suffix":""},{"dropping-particle":"","family":"Kon","given":"Onn M","non-dropping-particle":"","parse-names":false,"suffix":""},{"dropping-particle":"","family":"Lewis","given":"Keir","non-dropping-particle":"","parse-names":false,"suffix":""},{"dropping-particle":"","family":"Lord","given":"Janet M","non-dropping-particle":"","parse-names":false,"suffix":""},{"dropping-particle":"","family":"McCann","given":"Gerry P","non-dropping-particle":"","parse-names":false,"suffix":""},{"dropping-particle":"","family":"Neubauer","given":"Stefan","non-dropping-particle":"","parse-names":false,"suffix":""},{"dropping-particle":"","family":"Openshaw","given":"Peter J M","non-dropping-particle":"","parse-names":false,"suffix":""},{"dropping-particle":"","family":"Pfeffer","given":"Paul","non-dropping-particle":"","parse-names":false,"suffix":""},{"dropping-particle":"","family":"Rowland","given":"Matthew","non-dropping-particle":"","parse-names":false,"suffix":""},{"dropping-particle":"","family":"Semple","given":"Malcolm G","non-dropping-particle":"","parse-names":false,"suffix":""},{"dropping-particle":"","family":"Singh","given":"Sally J","non-dropping-particle":"","parse-names":false,"suffix":""},{"dropping-particle":"","family":"Sheikh","given":"Aziz","non-dropping-particle":"","parse-names":false,"suffix":""},{"dropping-particle":"","family":"Thomas","given":"David","non-dropping-particle":"","parse-names":false,"suffix":""},{"dropping-particle":"","family":"Toshner","given":"Mark","non-dropping-particle":"","parse-names":false,"suffix":""},{"dropping-particle":"","family":"Chalmers","given":"James D","non-dropping-particle":"","parse-names":false,"suffix":""},{"dropping-particle":"","family":"Ho","given":"Ling-Pei","non-dropping-particle":"","parse-names":false,"suffix":""},{"dropping-particle":"","family":"Horsley","given":"Alex","non-dropping-particle":"","parse-names":false,"suffix":""},{"dropping-particle":"","family":"Marks","given":"Michael","non-dropping-particle":"","parse-names":false,"suffix":""},{"dropping-particle":"","family":"Poinasamy","given":"Krisnah","non-dropping-particle":"","parse-names":false,"suffix":""},{"dropping-particle":"V","family":"Wain","given":"Louise","non-dropping-particle":"","parse-names":false,"suffix":""},{"dropping-particle":"","family":"Brightling","given":"Christopher E","non-dropping-particle":"","parse-names":false,"suffix":""}],"container-title":"medRxiv","id":"ITEM-3","issued":{"date-parts":[["2021","1","1"]]},"page":"2021.03.22.21254057","title":"Physical, cognitive and mental health impacts of COVID-19 following hospitalisation – a multi-centre prospective cohort study","type":"article-journal"},"uris":["http://www.mendeley.com/documents/?uuid=df63d4e1-614b-48a5-8460-1beaff478a87"]}],"mendeley":{"formattedCitation":"&lt;sup&gt;11,13,14&lt;/sup&gt;","plainTextFormattedCitation":"11,13,14","previouslyFormattedCitation":"&lt;sup&gt;11,13,14&lt;/sup&gt;"},"properties":{"noteIndex":0},"schema":"https://github.com/citation-style-language/schema/raw/master/csl-citation.json"}</w:instrText>
      </w:r>
      <w:r w:rsidRPr="635675B7">
        <w:rPr>
          <w:rFonts w:asciiTheme="majorHAnsi" w:hAnsiTheme="majorHAnsi" w:cstheme="majorBidi"/>
        </w:rPr>
        <w:fldChar w:fldCharType="separate"/>
      </w:r>
      <w:r w:rsidR="00E41C7A" w:rsidRPr="00E41C7A">
        <w:rPr>
          <w:rFonts w:asciiTheme="majorHAnsi" w:hAnsiTheme="majorHAnsi" w:cstheme="majorBidi"/>
          <w:noProof/>
          <w:vertAlign w:val="superscript"/>
        </w:rPr>
        <w:t>11,13,14</w:t>
      </w:r>
      <w:r w:rsidRPr="635675B7">
        <w:rPr>
          <w:rFonts w:asciiTheme="majorHAnsi" w:hAnsiTheme="majorHAnsi" w:cstheme="majorBidi"/>
        </w:rPr>
        <w:fldChar w:fldCharType="end"/>
      </w:r>
      <w:r w:rsidRPr="635675B7">
        <w:rPr>
          <w:rFonts w:asciiTheme="majorHAnsi" w:hAnsiTheme="majorHAnsi" w:cstheme="majorBidi"/>
        </w:rPr>
        <w:t xml:space="preserve">. </w:t>
      </w:r>
      <w:bookmarkEnd w:id="0"/>
      <w:bookmarkEnd w:id="1"/>
    </w:p>
    <w:p w14:paraId="6EAA8E2B" w14:textId="77777777" w:rsidR="00B77386" w:rsidRPr="00D7026D" w:rsidRDefault="00B77386" w:rsidP="00B77386">
      <w:pPr>
        <w:spacing w:line="480" w:lineRule="auto"/>
        <w:ind w:firstLine="720"/>
        <w:rPr>
          <w:rFonts w:asciiTheme="majorHAnsi" w:hAnsiTheme="majorHAnsi" w:cstheme="majorHAnsi"/>
        </w:rPr>
      </w:pPr>
    </w:p>
    <w:p w14:paraId="201CFD09" w14:textId="299E0569" w:rsidR="00B77386" w:rsidRPr="00D7026D" w:rsidRDefault="635675B7" w:rsidP="00B77386">
      <w:pPr>
        <w:spacing w:line="480" w:lineRule="auto"/>
        <w:ind w:firstLine="720"/>
        <w:rPr>
          <w:rFonts w:asciiTheme="majorHAnsi" w:hAnsiTheme="majorHAnsi" w:cstheme="majorBidi"/>
        </w:rPr>
      </w:pPr>
      <w:r w:rsidRPr="635675B7">
        <w:rPr>
          <w:rFonts w:asciiTheme="majorHAnsi" w:hAnsiTheme="majorHAnsi" w:cstheme="majorBidi"/>
        </w:rPr>
        <w:t>T</w:t>
      </w:r>
      <w:r w:rsidR="00B77386" w:rsidRPr="094F43DF">
        <w:rPr>
          <w:rFonts w:asciiTheme="majorHAnsi" w:hAnsiTheme="majorHAnsi" w:cstheme="majorBidi"/>
        </w:rPr>
        <w:t>he prevalence of fatigue in ICU-survivors ranges from 13.8% to 80.9%</w:t>
      </w:r>
      <w:r w:rsidR="00B77386" w:rsidRPr="094F43DF">
        <w:rPr>
          <w:rFonts w:asciiTheme="majorHAnsi" w:hAnsiTheme="majorHAnsi" w:cstheme="majorBidi"/>
        </w:rPr>
        <w:fldChar w:fldCharType="begin" w:fldLock="1"/>
      </w:r>
      <w:r w:rsidR="00EF2329">
        <w:rPr>
          <w:rFonts w:asciiTheme="majorHAnsi" w:hAnsiTheme="majorHAnsi" w:cstheme="majorBidi"/>
        </w:rPr>
        <w:instrText>ADDIN CSL_CITATION {"citationItems":[{"id":"ITEM-1","itemData":{"DOI":"https://doi.org/10.1111/anae.15441","ISSN":"0003-2409","abstract":"Summary We conducted a mixed methods systematic review to investigate the prevalence, experience and management of fatigue in survivors of critical illness. We identified 76 studies investigating fatigue or vitality in adults discharged from an intensive care unit and split the extracted data into three datasets: vitality scores from the Short Form Health Survey-36 (n = 54); other quantitative data (n = 19); and qualitative data (n = 9). We assessed methodological quality using critical appraisal skills programme tools. We adopted a segregated approach to mixed-methods synthesis. In a final step, we attributed combined results to one of four qualitative themes: prevalence and severity; contributing factors; impacts on quality of life; and assessment and management. Prevalence of fatigue ranged from 13.8 to 80.9%. Short Form Health Survey-36 vitality scores were commonly used as a marker of fatigue. Vitality scores reached a nadir approximately one month following ICU discharge (mean (SD) 56.44 (32.30); 95%CI 52.92?59.97). They improved over time but seldom reached reference population scores. Associated biological, disease-related and psychological factors included age, poor pre-morbid status, sleep and psychological disturbance. Qualitative data highlight the profound negative impact of fatigue on survivors? quality of life. Survivors seldom had any information provided on the potential impact of fatigue. No fatigue assessment tools specific to critical illness or evidence-based interventions were reported. Fatigue is highly prevalent in survivors of critical illness, and negatively impacts recovery. Further research on developing fatigue assessment tools specifically for critically ill patients and evaluating the impact of pharmacological and non-pharmacology interventions is needed.","author":[{"dropping-particle":"","family":"Bench","given":"S","non-dropping-particle":"","parse-names":false,"suffix":""},{"dropping-particle":"","family":"Stayt","given":"L","non-dropping-particle":"","parse-names":false,"suffix":""},{"dropping-particle":"","family":"Shah","given":"A","non-dropping-particle":"","parse-names":false,"suffix":""},{"dropping-particle":"","family":"Dhiman","given":"P","non-dropping-particle":"","parse-names":false,"suffix":""},{"dropping-particle":"","family":"Czuber-Dochan","given":"W","non-dropping-particle":"","parse-names":false,"suffix":""}],"container-title":"Anaesthesia","id":"ITEM-1","issue":"n/a","issued":{"date-parts":[["2021","3","11"]]},"note":"https://doi.org/10.1111/anae.15441","publisher":"John Wiley &amp; Sons, Ltd","title":"Prevalence and experience of fatigue in survivors of critical illness: a mixed-methods systematic review","type":"article-journal","volume":"n/a"},"uris":["http://www.mendeley.com/documents/?uuid=c1dfdbc3-f8a4-4f1d-82de-2405983630c0"]}],"mendeley":{"formattedCitation":"&lt;sup&gt;20&lt;/sup&gt;","plainTextFormattedCitation":"20","previouslyFormattedCitation":"&lt;sup&gt;20&lt;/sup&gt;"},"properties":{"noteIndex":0},"schema":"https://github.com/citation-style-language/schema/raw/master/csl-citation.json"}</w:instrText>
      </w:r>
      <w:r w:rsidR="00B77386" w:rsidRPr="094F43DF">
        <w:rPr>
          <w:rFonts w:asciiTheme="majorHAnsi" w:hAnsiTheme="majorHAnsi" w:cstheme="majorBidi"/>
        </w:rPr>
        <w:fldChar w:fldCharType="separate"/>
      </w:r>
      <w:r w:rsidR="00E41C7A" w:rsidRPr="00E41C7A">
        <w:rPr>
          <w:rFonts w:asciiTheme="majorHAnsi" w:hAnsiTheme="majorHAnsi" w:cstheme="majorBidi"/>
          <w:noProof/>
          <w:vertAlign w:val="superscript"/>
        </w:rPr>
        <w:t>20</w:t>
      </w:r>
      <w:r w:rsidR="00B77386" w:rsidRPr="094F43DF">
        <w:rPr>
          <w:rFonts w:asciiTheme="majorHAnsi" w:hAnsiTheme="majorHAnsi" w:cstheme="majorBidi"/>
        </w:rPr>
        <w:fldChar w:fldCharType="end"/>
      </w:r>
      <w:r w:rsidR="00B77386" w:rsidRPr="094F43DF">
        <w:rPr>
          <w:rFonts w:asciiTheme="majorHAnsi" w:hAnsiTheme="majorHAnsi" w:cstheme="majorBidi"/>
        </w:rPr>
        <w:t>. This has a profound negative impact on survivors’ quality of life (QOL), and is one of the most prevalent and debilitating challenges of ICU-survivorship</w:t>
      </w:r>
      <w:r w:rsidR="00B77386" w:rsidRPr="094F43DF">
        <w:rPr>
          <w:rFonts w:asciiTheme="majorHAnsi" w:hAnsiTheme="majorHAnsi" w:cstheme="majorBidi"/>
        </w:rPr>
        <w:fldChar w:fldCharType="begin" w:fldLock="1"/>
      </w:r>
      <w:r w:rsidR="00EF2329">
        <w:rPr>
          <w:rFonts w:asciiTheme="majorHAnsi" w:hAnsiTheme="majorHAnsi" w:cstheme="majorBidi"/>
        </w:rPr>
        <w:instrText>ADDIN CSL_CITATION {"citationItems":[{"id":"ITEM-1","itemData":{"DOI":"https://doi.org/10.1111/anae.15441","ISSN":"0003-2409","abstract":"Summary We conducted a mixed methods systematic review to investigate the prevalence, experience and management of fatigue in survivors of critical illness. We identified 76 studies investigating fatigue or vitality in adults discharged from an intensive care unit and split the extracted data into three datasets: vitality scores from the Short Form Health Survey-36 (n = 54); other quantitative data (n = 19); and qualitative data (n = 9). We assessed methodological quality using critical appraisal skills programme tools. We adopted a segregated approach to mixed-methods synthesis. In a final step, we attributed combined results to one of four qualitative themes: prevalence and severity; contributing factors; impacts on quality of life; and assessment and management. Prevalence of fatigue ranged from 13.8 to 80.9%. Short Form Health Survey-36 vitality scores were commonly used as a marker of fatigue. Vitality scores reached a nadir approximately one month following ICU discharge (mean (SD) 56.44 (32.30); 95%CI 52.92?59.97). They improved over time but seldom reached reference population scores. Associated biological, disease-related and psychological factors included age, poor pre-morbid status, sleep and psychological disturbance. Qualitative data highlight the profound negative impact of fatigue on survivors? quality of life. Survivors seldom had any information provided on the potential impact of fatigue. No fatigue assessment tools specific to critical illness or evidence-based interventions were reported. Fatigue is highly prevalent in survivors of critical illness, and negatively impacts recovery. Further research on developing fatigue assessment tools specifically for critically ill patients and evaluating the impact of pharmacological and non-pharmacology interventions is needed.","author":[{"dropping-particle":"","family":"Bench","given":"S","non-dropping-particle":"","parse-names":false,"suffix":""},{"dropping-particle":"","family":"Stayt","given":"L","non-dropping-particle":"","parse-names":false,"suffix":""},{"dropping-particle":"","family":"Shah","given":"A","non-dropping-particle":"","parse-names":false,"suffix":""},{"dropping-particle":"","family":"Dhiman","given":"P","non-dropping-particle":"","parse-names":false,"suffix":""},{"dropping-particle":"","family":"Czuber-Dochan","given":"W","non-dropping-particle":"","parse-names":false,"suffix":""}],"container-title":"Anaesthesia","id":"ITEM-1","issue":"n/a","issued":{"date-parts":[["2021","3","11"]]},"note":"https://doi.org/10.1111/anae.15441","publisher":"John Wiley &amp; Sons, Ltd","title":"Prevalence and experience of fatigue in survivors of critical illness: a mixed-methods systematic review","type":"article-journal","volume":"n/a"},"uris":["http://www.mendeley.com/documents/?uuid=c1dfdbc3-f8a4-4f1d-82de-2405983630c0"]},{"id":"ITEM-2","itemData":{"DOI":"https://doi.org/10.1111/jocn.13659","ISSN":"0962-1067","abstract":"Aims and objectives To theorise intensive care unit survivorship after a critical illness based on longitudinal qualitative data. Background Increasingly, patients survive episodes of critical illness. However, the short- and long-term impact of critical illness includes physical, psychological, social and economic challenges long after hospital discharge. An appreciation is emerging that care needs to extend beyond critical illness to enable patients to reclaim their lives postdischarge with the term ?survivorship? being increasingly used in this context. What constitutes critical illness survivorship has, to date, not been theoretically explored. Design Longitudinal qualitative and constructivist grounded theory. Interviews (n = 46) with 17 participants were conducted at four time points: (1) before discharge from hospital, (2) four to six weeks postdischarge, (3) six months and (4) 12 months postdischarge across two adult intensive care unit setting. Method Individual face-to-face interviews. Data analysis followed the principles of Charmaz's constructivist grounded theory. ?Intensive care unit survivorship? emerged as the core category and was theorised using concepts such as status passages, liminality and temporality to understand the various transitions participants made postcritical illness. Findings Intensive care unit survivorship describes the unscheduled status passage of falling critically ill and being taken to the threshold of life and the journey to a life postcritical illness. Surviving critical illness goes beyond recovery; surviving means ?moving on? to life postcritical illness. ?Moving on? incorporates a redefinition of self that incorporates any lingering intensive care unit legacies and being in control of one's life again. Relevance to clinical practice For healthcare professionals and policymakers, it is important to realise that recovery and transitioning through to survivorship happen within an individual's time frame, not a schedule imposed by the healthcare system. Currently, there are no care pathways or policies in place for critical illness survivors that would support intensive care unit survivors and their families in the transitions to survivorship.","author":[{"dropping-particle":"","family":"Kean","given":"Susanne","non-dropping-particle":"","parse-names":false,"suffix":""},{"dropping-particle":"","family":"Salisbury","given":"Lisa G","non-dropping-particle":"","parse-names":false,"suffix":""},{"dropping-particle":"","family":"Rattray","given":"Janice","non-dropping-particle":"","parse-names":false,"suffix":""},{"dropping-particle":"","family":"Walsh","given":"Timothy S","non-dropping-particle":"","parse-names":false,"suffix":""},{"dropping-particle":"","family":"Huby","given":"Guro","non-dropping-particle":"","parse-names":false,"suffix":""},{"dropping-particle":"","family":"Ramsay","given":"Pamela","non-dropping-particle":"","parse-names":false,"suffix":""}],"container-title":"Journal of Clinical Nursing","id":"ITEM-2","issue":"19-20","issued":{"date-parts":[["2017","10","1"]]},"note":"https://doi.org/10.1111/jocn.13659","page":"3111-3124","publisher":"John Wiley &amp; Sons, Ltd","title":"‘Intensive care unit survivorship’ – a constructivist grounded theory of surviving critical illness","type":"article-journal","volume":"26"},"uris":["http://www.mendeley.com/documents/?uuid=33f130ca-c9d4-42f3-9aff-c62031e7e86f"]}],"mendeley":{"formattedCitation":"&lt;sup&gt;20,21&lt;/sup&gt;","plainTextFormattedCitation":"20,21","previouslyFormattedCitation":"&lt;sup&gt;20,21&lt;/sup&gt;"},"properties":{"noteIndex":0},"schema":"https://github.com/citation-style-language/schema/raw/master/csl-citation.json"}</w:instrText>
      </w:r>
      <w:r w:rsidR="00B77386" w:rsidRPr="094F43DF">
        <w:rPr>
          <w:rFonts w:asciiTheme="majorHAnsi" w:hAnsiTheme="majorHAnsi" w:cstheme="majorBidi"/>
        </w:rPr>
        <w:fldChar w:fldCharType="separate"/>
      </w:r>
      <w:r w:rsidR="00E41C7A" w:rsidRPr="00E41C7A">
        <w:rPr>
          <w:rFonts w:asciiTheme="majorHAnsi" w:hAnsiTheme="majorHAnsi" w:cstheme="majorBidi"/>
          <w:noProof/>
          <w:vertAlign w:val="superscript"/>
        </w:rPr>
        <w:t>20,21</w:t>
      </w:r>
      <w:r w:rsidR="00B77386" w:rsidRPr="094F43DF">
        <w:rPr>
          <w:rFonts w:asciiTheme="majorHAnsi" w:hAnsiTheme="majorHAnsi" w:cstheme="majorBidi"/>
        </w:rPr>
        <w:fldChar w:fldCharType="end"/>
      </w:r>
      <w:r w:rsidR="00B77386" w:rsidRPr="094F43DF">
        <w:rPr>
          <w:rFonts w:asciiTheme="majorHAnsi" w:hAnsiTheme="majorHAnsi" w:cstheme="majorBidi"/>
        </w:rPr>
        <w:t xml:space="preserve">.  Fatigue may lead to delayed return to employment and pre-critical illness physical fitness, difficulty in completing activities of daily living, social isolation, depression, and many other negative sequalae </w:t>
      </w:r>
      <w:r w:rsidR="00B77386" w:rsidRPr="094F43DF">
        <w:rPr>
          <w:rFonts w:asciiTheme="majorHAnsi" w:hAnsiTheme="majorHAnsi" w:cstheme="majorBidi"/>
        </w:rPr>
        <w:fldChar w:fldCharType="begin" w:fldLock="1"/>
      </w:r>
      <w:r w:rsidR="00EF2329">
        <w:rPr>
          <w:rFonts w:asciiTheme="majorHAnsi" w:hAnsiTheme="majorHAnsi" w:cstheme="majorBidi"/>
        </w:rPr>
        <w:instrText>ADDIN CSL_CITATION {"citationItems":[{"id":"ITEM-1","itemData":{"DOI":"https://doi.org/10.1111/anae.15441","ISSN":"0003-2409","abstract":"Summary We conducted a mixed methods systematic review to investigate the prevalence, experience and management of fatigue in survivors of critical illness. We identified 76 studies investigating fatigue or vitality in adults discharged from an intensive care unit and split the extracted data into three datasets: vitality scores from the Short Form Health Survey-36 (n = 54); other quantitative data (n = 19); and qualitative data (n = 9). We assessed methodological quality using critical appraisal skills programme tools. We adopted a segregated approach to mixed-methods synthesis. In a final step, we attributed combined results to one of four qualitative themes: prevalence and severity; contributing factors; impacts on quality of life; and assessment and management. Prevalence of fatigue ranged from 13.8 to 80.9%. Short Form Health Survey-36 vitality scores were commonly used as a marker of fatigue. Vitality scores reached a nadir approximately one month following ICU discharge (mean (SD) 56.44 (32.30); 95%CI 52.92?59.97). They improved over time but seldom reached reference population scores. Associated biological, disease-related and psychological factors included age, poor pre-morbid status, sleep and psychological disturbance. Qualitative data highlight the profound negative impact of fatigue on survivors? quality of life. Survivors seldom had any information provided on the potential impact of fatigue. No fatigue assessment tools specific to critical illness or evidence-based interventions were reported. Fatigue is highly prevalent in survivors of critical illness, and negatively impacts recovery. Further research on developing fatigue assessment tools specifically for critically ill patients and evaluating the impact of pharmacological and non-pharmacology interventions is needed.","author":[{"dropping-particle":"","family":"Bench","given":"S","non-dropping-particle":"","parse-names":false,"suffix":""},{"dropping-particle":"","family":"Stayt","given":"L","non-dropping-particle":"","parse-names":false,"suffix":""},{"dropping-particle":"","family":"Shah","given":"A","non-dropping-particle":"","parse-names":false,"suffix":""},{"dropping-particle":"","family":"Dhiman","given":"P","non-dropping-particle":"","parse-names":false,"suffix":""},{"dropping-particle":"","family":"Czuber-Dochan","given":"W","non-dropping-particle":"","parse-names":false,"suffix":""}],"container-title":"Anaesthesia","id":"ITEM-1","issue":"n/a","issued":{"date-parts":[["2021","3","11"]]},"note":"https://doi.org/10.1111/anae.15441","publisher":"John Wiley &amp; Sons, Ltd","title":"Prevalence and experience of fatigue in survivors of critical illness: a mixed-methods systematic review","type":"article-journal","volume":"n/a"},"uris":["http://www.mendeley.com/documents/?uuid=c1dfdbc3-f8a4-4f1d-82de-2405983630c0"]},{"id":"ITEM-2","itemData":{"DOI":"https://doi.org/10.1111/jocn.13659","ISSN":"0962-1067","abstract":"Aims and objectives To theorise intensive care unit survivorship after a critical illness based on longitudinal qualitative data. Background Increasingly, patients survive episodes of critical illness. However, the short- and long-term impact of critical illness includes physical, psychological, social and economic challenges long after hospital discharge. An appreciation is emerging that care needs to extend beyond critical illness to enable patients to reclaim their lives postdischarge with the term ?survivorship? being increasingly used in this context. What constitutes critical illness survivorship has, to date, not been theoretically explored. Design Longitudinal qualitative and constructivist grounded theory. Interviews (n = 46) with 17 participants were conducted at four time points: (1) before discharge from hospital, (2) four to six weeks postdischarge, (3) six months and (4) 12 months postdischarge across two adult intensive care unit setting. Method Individual face-to-face interviews. Data analysis followed the principles of Charmaz's constructivist grounded theory. ?Intensive care unit survivorship? emerged as the core category and was theorised using concepts such as status passages, liminality and temporality to understand the various transitions participants made postcritical illness. Findings Intensive care unit survivorship describes the unscheduled status passage of falling critically ill and being taken to the threshold of life and the journey to a life postcritical illness. Surviving critical illness goes beyond recovery; surviving means ?moving on? to life postcritical illness. ?Moving on? incorporates a redefinition of self that incorporates any lingering intensive care unit legacies and being in control of one's life again. Relevance to clinical practice For healthcare professionals and policymakers, it is important to realise that recovery and transitioning through to survivorship happen within an individual's time frame, not a schedule imposed by the healthcare system. Currently, there are no care pathways or policies in place for critical illness survivors that would support intensive care unit survivors and their families in the transitions to survivorship.","author":[{"dropping-particle":"","family":"Kean","given":"Susanne","non-dropping-particle":"","parse-names":false,"suffix":""},{"dropping-particle":"","family":"Salisbury","given":"Lisa G","non-dropping-particle":"","parse-names":false,"suffix":""},{"dropping-particle":"","family":"Rattray","given":"Janice","non-dropping-particle":"","parse-names":false,"suffix":""},{"dropping-particle":"","family":"Walsh","given":"Timothy S","non-dropping-particle":"","parse-names":false,"suffix":""},{"dropping-particle":"","family":"Huby","given":"Guro","non-dropping-particle":"","parse-names":false,"suffix":""},{"dropping-particle":"","family":"Ramsay","given":"Pamela","non-dropping-particle":"","parse-names":false,"suffix":""}],"container-title":"Journal of Clinical Nursing","id":"ITEM-2","issue":"19-20","issued":{"date-parts":[["2017","10","1"]]},"note":"https://doi.org/10.1111/jocn.13659","page":"3111-3124","publisher":"John Wiley &amp; Sons, Ltd","title":"‘Intensive care unit survivorship’ – a constructivist grounded theory of surviving critical illness","type":"article-journal","volume":"26"},"uris":["http://www.mendeley.com/documents/?uuid=33f130ca-c9d4-42f3-9aff-c62031e7e86f"]},{"id":"ITEM-3","itemData":{"DOI":"https://dx.doi.org/10.1016/j.jcrc.2019.06.022","ISSN":"1557-8615","abstract":"PURPOSE: ICU acquired Weakness (ICUaW) is a common complication of critical illness. The aim of our study was the assessment of quality of life (QoL) and functional ability of patients with ICUaW, 6months post hospital discharge., MATERIAL AND METHODS: Eight hundred seventy eight consecutive patients who had been discharged from the ICU were evaluated and 128 of them, 36 with ICUaW, were eligible for the study. Muscle strength was evaluated with MRC and Hand grip dynamometry. The Functional Independence Measure (FIM) was used to evaluate the functional ability while QoL was assessed with the Nottingham Health Profile and with the SF-36 questionnaire., RESULTS: Patients with ICUaW continued to have low MRC at hospital discharge, [53(49-56) vs. 59(58-60), p&lt;0.05]. Patients who developed ICUaW had lower Hand grip dynamometry at ICU, hospital discharge and 6months after (p&lt;0.05). Patients with ICUaW have significantly lower FIM score at hospital discharge, 3 and 6months post hospital discharge (p&lt;0.05) and persistently lower QoL at 3 and 6months post hospital discharge(p&lt;0.05)., CONCLUSIONS: ICUaW is associated with persistent deficiencies in functional ability and Qol leading to a prolonged period of recovery. Further research is needed in the field of prevention and targeted rehabilitation of functionality in this patient group. Copyright © 2019 Elsevier Inc. All rights reserved.","author":[{"dropping-particle":"","family":"Sidiras","given":"Georgios","non-dropping-particle":"","parse-names":false,"suffix":""},{"dropping-particle":"","family":"Patsaki","given":"Irini","non-dropping-particle":"","parse-names":false,"suffix":""},{"dropping-particle":"","family":"Karatzanos","given":"Eleftherios","non-dropping-particle":"","parse-names":false,"suffix":""},{"dropping-particle":"","family":"Dakoutrou","given":"Maria","non-dropping-particle":"","parse-names":false,"suffix":""},{"dropping-particle":"","family":"Kouvarakos","given":"Alexandros","non-dropping-particle":"","parse-names":false,"suffix":""},{"dropping-particle":"","family":"Mitsiou","given":"Georgios","non-dropping-particle":"","parse-names":false,"suffix":""},{"dropping-particle":"","family":"Routsi","given":"Christina","non-dropping-particle":"","parse-names":false,"suffix":""},{"dropping-particle":"","family":"Stranjalis","given":"Georgios","non-dropping-particle":"","parse-names":false,"suffix":""},{"dropping-particle":"","family":"Nanas","given":"Serafim","non-dropping-particle":"","parse-names":false,"suffix":""},{"dropping-particle":"","family":"Gerovasili","given":"Vasiliki","non-dropping-particle":"","parse-names":false,"suffix":""}],"container-title":"Journal of critical care","id":"ITEM-3","issued":{"date-parts":[["2019"]]},"page":"223-230","publisher-place":"United States","title":"Long term follow-up of quality of life and functional ability in patients with ICU acquired Weakness - A post hoc analysis.","type":"article-journal","volume":"53"},"uris":["http://www.mendeley.com/documents/?uuid=50706976-d9e8-4db3-ad86-09b513ed887f"]}],"mendeley":{"formattedCitation":"&lt;sup&gt;20–22&lt;/sup&gt;","plainTextFormattedCitation":"20–22","previouslyFormattedCitation":"&lt;sup&gt;20–22&lt;/sup&gt;"},"properties":{"noteIndex":0},"schema":"https://github.com/citation-style-language/schema/raw/master/csl-citation.json"}</w:instrText>
      </w:r>
      <w:r w:rsidR="00B77386" w:rsidRPr="094F43DF">
        <w:rPr>
          <w:rFonts w:asciiTheme="majorHAnsi" w:hAnsiTheme="majorHAnsi" w:cstheme="majorBidi"/>
        </w:rPr>
        <w:fldChar w:fldCharType="separate"/>
      </w:r>
      <w:r w:rsidR="00E41C7A" w:rsidRPr="00E41C7A">
        <w:rPr>
          <w:rFonts w:asciiTheme="majorHAnsi" w:hAnsiTheme="majorHAnsi" w:cstheme="majorBidi"/>
          <w:noProof/>
          <w:vertAlign w:val="superscript"/>
        </w:rPr>
        <w:t>20–22</w:t>
      </w:r>
      <w:r w:rsidR="00B77386" w:rsidRPr="094F43DF">
        <w:rPr>
          <w:rFonts w:asciiTheme="majorHAnsi" w:hAnsiTheme="majorHAnsi" w:cstheme="majorBidi"/>
        </w:rPr>
        <w:fldChar w:fldCharType="end"/>
      </w:r>
      <w:r w:rsidR="00B77386" w:rsidRPr="094F43DF">
        <w:rPr>
          <w:rFonts w:asciiTheme="majorHAnsi" w:hAnsiTheme="majorHAnsi" w:cstheme="majorBidi"/>
        </w:rPr>
        <w:t>. It is unclear if recovery is different in survivors of Covid-19 critical illness compared to other critical illness</w:t>
      </w:r>
      <w:r w:rsidRPr="635675B7">
        <w:rPr>
          <w:rFonts w:asciiTheme="majorHAnsi" w:hAnsiTheme="majorHAnsi" w:cstheme="majorBidi"/>
        </w:rPr>
        <w:t>,</w:t>
      </w:r>
      <w:r w:rsidR="00B77386" w:rsidRPr="094F43DF">
        <w:rPr>
          <w:rFonts w:asciiTheme="majorHAnsi" w:hAnsiTheme="majorHAnsi" w:cstheme="majorBidi"/>
        </w:rPr>
        <w:t xml:space="preserve"> </w:t>
      </w:r>
      <w:r w:rsidRPr="635675B7">
        <w:rPr>
          <w:rFonts w:asciiTheme="majorHAnsi" w:hAnsiTheme="majorHAnsi" w:cstheme="majorBidi"/>
        </w:rPr>
        <w:t>requiring</w:t>
      </w:r>
      <w:r w:rsidR="00B77386" w:rsidRPr="094F43DF">
        <w:rPr>
          <w:rFonts w:asciiTheme="majorHAnsi" w:hAnsiTheme="majorHAnsi" w:cstheme="majorBidi"/>
        </w:rPr>
        <w:t xml:space="preserve"> distinct risk assessment tools or interventions to support their recovery. </w:t>
      </w:r>
    </w:p>
    <w:p w14:paraId="13240E06" w14:textId="77777777" w:rsidR="00B77386" w:rsidRPr="00D7026D" w:rsidRDefault="00B77386" w:rsidP="00B77386">
      <w:pPr>
        <w:spacing w:line="480" w:lineRule="auto"/>
        <w:ind w:firstLine="720"/>
        <w:rPr>
          <w:rFonts w:asciiTheme="majorHAnsi" w:hAnsiTheme="majorHAnsi" w:cstheme="majorHAnsi"/>
        </w:rPr>
      </w:pPr>
    </w:p>
    <w:p w14:paraId="693AC828" w14:textId="0BB2C6D4" w:rsidR="00B77386" w:rsidRPr="00D7026D" w:rsidRDefault="00B77386" w:rsidP="00B77386">
      <w:pPr>
        <w:spacing w:line="480" w:lineRule="auto"/>
        <w:ind w:firstLine="720"/>
        <w:rPr>
          <w:rFonts w:asciiTheme="majorHAnsi" w:hAnsiTheme="majorHAnsi" w:cstheme="majorBidi"/>
        </w:rPr>
      </w:pPr>
      <w:r w:rsidRPr="635675B7">
        <w:rPr>
          <w:rFonts w:asciiTheme="majorHAnsi" w:hAnsiTheme="majorHAnsi" w:cstheme="majorBidi"/>
        </w:rPr>
        <w:t>We aimed to characterise the prevalence and severity of fatigue in Covid-19 ICU-survivors, compared to survivors of non-Covid-19 critical illness</w:t>
      </w:r>
      <w:r w:rsidR="00D84850" w:rsidRPr="635675B7">
        <w:rPr>
          <w:rFonts w:asciiTheme="majorHAnsi" w:hAnsiTheme="majorHAnsi" w:cstheme="majorBidi"/>
        </w:rPr>
        <w:t xml:space="preserve">, and </w:t>
      </w:r>
      <w:r w:rsidRPr="635675B7">
        <w:rPr>
          <w:rFonts w:asciiTheme="majorHAnsi" w:hAnsiTheme="majorHAnsi" w:cstheme="majorBidi"/>
        </w:rPr>
        <w:t xml:space="preserve">to explore potential associations between baseline characteristics and fatigue severity in these populations to identify potential groups at greater risk.  </w:t>
      </w:r>
    </w:p>
    <w:p w14:paraId="0F1D876B" w14:textId="77777777" w:rsidR="00B77386" w:rsidRPr="00D7026D" w:rsidRDefault="00B77386" w:rsidP="00B77386">
      <w:pPr>
        <w:spacing w:line="480" w:lineRule="auto"/>
        <w:ind w:firstLine="720"/>
        <w:rPr>
          <w:rFonts w:asciiTheme="majorHAnsi" w:hAnsiTheme="majorHAnsi" w:cstheme="majorHAnsi"/>
        </w:rPr>
      </w:pPr>
      <w:r w:rsidRPr="00D7026D">
        <w:rPr>
          <w:rFonts w:asciiTheme="majorHAnsi" w:hAnsiTheme="majorHAnsi" w:cstheme="majorHAnsi"/>
        </w:rPr>
        <w:t xml:space="preserve"> </w:t>
      </w:r>
    </w:p>
    <w:p w14:paraId="7AE0C206" w14:textId="77777777" w:rsidR="00B77386" w:rsidRPr="00D7026D" w:rsidRDefault="00B77386" w:rsidP="00B77386">
      <w:pPr>
        <w:spacing w:line="480" w:lineRule="auto"/>
        <w:ind w:firstLine="720"/>
        <w:rPr>
          <w:rFonts w:asciiTheme="majorHAnsi" w:hAnsiTheme="majorHAnsi" w:cstheme="majorHAnsi"/>
        </w:rPr>
      </w:pPr>
    </w:p>
    <w:p w14:paraId="1B805C30" w14:textId="77777777" w:rsidR="00B77386" w:rsidRPr="00D7026D" w:rsidRDefault="00B77386" w:rsidP="00B77386">
      <w:pPr>
        <w:spacing w:line="480" w:lineRule="auto"/>
        <w:ind w:firstLine="720"/>
        <w:rPr>
          <w:rFonts w:asciiTheme="majorHAnsi" w:hAnsiTheme="majorHAnsi" w:cstheme="majorHAnsi"/>
        </w:rPr>
      </w:pPr>
      <w:r w:rsidRPr="00D7026D">
        <w:rPr>
          <w:rFonts w:asciiTheme="majorHAnsi" w:hAnsiTheme="majorHAnsi" w:cstheme="majorHAnsi"/>
        </w:rPr>
        <w:br w:type="page"/>
      </w:r>
    </w:p>
    <w:p w14:paraId="265D6898" w14:textId="77777777" w:rsidR="00B77386" w:rsidRPr="00D7026D" w:rsidRDefault="00B77386" w:rsidP="00B77386">
      <w:pPr>
        <w:spacing w:line="480" w:lineRule="auto"/>
        <w:rPr>
          <w:rFonts w:asciiTheme="majorHAnsi" w:hAnsiTheme="majorHAnsi" w:cstheme="majorHAnsi"/>
          <w:b/>
        </w:rPr>
      </w:pPr>
      <w:r w:rsidRPr="00D7026D">
        <w:rPr>
          <w:rFonts w:asciiTheme="majorHAnsi" w:hAnsiTheme="majorHAnsi" w:cstheme="majorHAnsi"/>
          <w:b/>
        </w:rPr>
        <w:lastRenderedPageBreak/>
        <w:t xml:space="preserve">Methods </w:t>
      </w:r>
    </w:p>
    <w:p w14:paraId="688249CF" w14:textId="77777777" w:rsidR="00B77386" w:rsidRPr="00D7026D" w:rsidRDefault="00B77386" w:rsidP="00B77386">
      <w:pPr>
        <w:spacing w:line="480" w:lineRule="auto"/>
        <w:rPr>
          <w:rFonts w:asciiTheme="majorHAnsi" w:hAnsiTheme="majorHAnsi" w:cstheme="majorHAnsi"/>
          <w:i/>
        </w:rPr>
      </w:pPr>
    </w:p>
    <w:p w14:paraId="69568C0C" w14:textId="77777777" w:rsidR="00B77386" w:rsidRPr="00D7026D" w:rsidRDefault="00B77386" w:rsidP="00B77386">
      <w:pPr>
        <w:spacing w:line="480" w:lineRule="auto"/>
        <w:rPr>
          <w:rFonts w:asciiTheme="majorHAnsi" w:hAnsiTheme="majorHAnsi" w:cstheme="majorHAnsi"/>
          <w:i/>
          <w:color w:val="4F81BD" w:themeColor="accent1"/>
        </w:rPr>
      </w:pPr>
      <w:r w:rsidRPr="00D7026D">
        <w:rPr>
          <w:rFonts w:asciiTheme="majorHAnsi" w:hAnsiTheme="majorHAnsi" w:cstheme="majorHAnsi"/>
          <w:i/>
          <w:color w:val="4F81BD" w:themeColor="accent1"/>
        </w:rPr>
        <w:t>Study design and population</w:t>
      </w:r>
    </w:p>
    <w:p w14:paraId="3847A03F" w14:textId="77777777" w:rsidR="00B77386" w:rsidRPr="00D7026D" w:rsidRDefault="00B77386" w:rsidP="00B77386">
      <w:pPr>
        <w:spacing w:line="480" w:lineRule="auto"/>
        <w:rPr>
          <w:rFonts w:asciiTheme="majorHAnsi" w:hAnsiTheme="majorHAnsi" w:cstheme="majorHAnsi"/>
        </w:rPr>
      </w:pPr>
      <w:r w:rsidRPr="00D7026D">
        <w:rPr>
          <w:rFonts w:asciiTheme="majorHAnsi" w:hAnsiTheme="majorHAnsi" w:cstheme="majorHAnsi"/>
        </w:rPr>
        <w:t xml:space="preserve">This was a secondary analysis of two prospectively collected datasets. </w:t>
      </w:r>
    </w:p>
    <w:p w14:paraId="2EDB5C57" w14:textId="77777777" w:rsidR="00B77386" w:rsidRPr="00D7026D" w:rsidRDefault="00B77386" w:rsidP="00B77386">
      <w:pPr>
        <w:spacing w:line="480" w:lineRule="auto"/>
        <w:rPr>
          <w:rFonts w:asciiTheme="majorHAnsi" w:hAnsiTheme="majorHAnsi" w:cstheme="majorHAnsi"/>
          <w:iCs/>
        </w:rPr>
      </w:pPr>
    </w:p>
    <w:p w14:paraId="30724C13" w14:textId="77777777" w:rsidR="00B77386" w:rsidRPr="00D7026D" w:rsidRDefault="00B77386" w:rsidP="00B77386">
      <w:pPr>
        <w:spacing w:line="480" w:lineRule="auto"/>
        <w:rPr>
          <w:rFonts w:asciiTheme="majorHAnsi" w:hAnsiTheme="majorHAnsi" w:cstheme="majorHAnsi"/>
        </w:rPr>
      </w:pPr>
      <w:r w:rsidRPr="00D7026D">
        <w:rPr>
          <w:rFonts w:asciiTheme="majorHAnsi" w:hAnsiTheme="majorHAnsi" w:cstheme="majorHAnsi"/>
          <w:i/>
          <w:iCs/>
        </w:rPr>
        <w:t xml:space="preserve">Covid-19 cohort: International Severe Acute Respiratory Infection Consortium Coronavirus Clinical Characterisation Protocol - United Kingdom (ISARIC-4C CCP-UK): </w:t>
      </w:r>
    </w:p>
    <w:p w14:paraId="2BDD3FE8" w14:textId="3BDCA00F" w:rsidR="00B77386" w:rsidRPr="00D7026D" w:rsidRDefault="00B77386" w:rsidP="00B77386">
      <w:pPr>
        <w:spacing w:line="480" w:lineRule="auto"/>
        <w:rPr>
          <w:rFonts w:asciiTheme="majorHAnsi" w:hAnsiTheme="majorHAnsi" w:cstheme="majorBidi"/>
        </w:rPr>
      </w:pPr>
      <w:r w:rsidRPr="094F43DF">
        <w:rPr>
          <w:rFonts w:asciiTheme="majorHAnsi" w:hAnsiTheme="majorHAnsi" w:cstheme="majorBidi"/>
        </w:rPr>
        <w:t>Patients aged 18 years and over, admitted to hospital between 17</w:t>
      </w:r>
      <w:r w:rsidRPr="094F43DF">
        <w:rPr>
          <w:rFonts w:asciiTheme="majorHAnsi" w:hAnsiTheme="majorHAnsi" w:cstheme="majorBidi"/>
          <w:vertAlign w:val="superscript"/>
        </w:rPr>
        <w:t>th</w:t>
      </w:r>
      <w:r w:rsidRPr="094F43DF">
        <w:rPr>
          <w:rFonts w:asciiTheme="majorHAnsi" w:hAnsiTheme="majorHAnsi" w:cstheme="majorBidi"/>
        </w:rPr>
        <w:t xml:space="preserve"> January and 5</w:t>
      </w:r>
      <w:r w:rsidRPr="094F43DF">
        <w:rPr>
          <w:rFonts w:asciiTheme="majorHAnsi" w:hAnsiTheme="majorHAnsi" w:cstheme="majorBidi"/>
          <w:vertAlign w:val="superscript"/>
        </w:rPr>
        <w:t>th</w:t>
      </w:r>
      <w:r w:rsidRPr="094F43DF">
        <w:rPr>
          <w:rFonts w:asciiTheme="majorHAnsi" w:hAnsiTheme="majorHAnsi" w:cstheme="majorBidi"/>
        </w:rPr>
        <w:t xml:space="preserve"> October 2020 with confirmed or highly suspected SARS-CoV-2 infection at 31 UK centres, who consented to be contacted for follow-up studies, </w:t>
      </w:r>
      <w:r w:rsidR="00E02DAB">
        <w:rPr>
          <w:rFonts w:asciiTheme="majorHAnsi" w:hAnsiTheme="majorHAnsi" w:cstheme="majorBidi"/>
        </w:rPr>
        <w:t xml:space="preserve">who </w:t>
      </w:r>
      <w:r w:rsidR="003B301A">
        <w:rPr>
          <w:rFonts w:asciiTheme="majorHAnsi" w:hAnsiTheme="majorHAnsi" w:cstheme="majorBidi"/>
        </w:rPr>
        <w:t>completed a follow-up questionnaire</w:t>
      </w:r>
      <w:r w:rsidR="00E02DAB">
        <w:rPr>
          <w:rFonts w:asciiTheme="majorHAnsi" w:hAnsiTheme="majorHAnsi" w:cstheme="majorBidi"/>
        </w:rPr>
        <w:t xml:space="preserve">, and </w:t>
      </w:r>
      <w:r w:rsidRPr="094F43DF">
        <w:rPr>
          <w:rFonts w:asciiTheme="majorHAnsi" w:hAnsiTheme="majorHAnsi" w:cstheme="majorBidi"/>
        </w:rPr>
        <w:t xml:space="preserve">who were discharged at least 90 days ago </w:t>
      </w:r>
      <w:r w:rsidR="00E02DAB">
        <w:rPr>
          <w:rFonts w:asciiTheme="majorHAnsi" w:hAnsiTheme="majorHAnsi" w:cstheme="majorBidi"/>
        </w:rPr>
        <w:t xml:space="preserve">at the time of data collection </w:t>
      </w:r>
      <w:r w:rsidRPr="094F43DF">
        <w:rPr>
          <w:rFonts w:asciiTheme="majorHAnsi" w:hAnsiTheme="majorHAnsi" w:cstheme="majorBidi"/>
        </w:rPr>
        <w:t>were eligible for inclusion</w:t>
      </w:r>
      <w:r w:rsidR="00E02DAB">
        <w:rPr>
          <w:rFonts w:asciiTheme="majorHAnsi" w:hAnsiTheme="majorHAnsi" w:cstheme="majorBidi"/>
        </w:rPr>
        <w:t xml:space="preserve">. </w:t>
      </w:r>
      <w:r w:rsidRPr="094F43DF">
        <w:rPr>
          <w:rFonts w:asciiTheme="majorHAnsi" w:hAnsiTheme="majorHAnsi" w:cstheme="majorBidi"/>
        </w:rPr>
        <w:t>Patients who did not survive to follow-up were excluded. We restricted this secondary analysis to patients who received IMV.</w:t>
      </w:r>
    </w:p>
    <w:p w14:paraId="61E97A4D" w14:textId="77777777" w:rsidR="00B77386" w:rsidRPr="00D7026D" w:rsidRDefault="00B77386" w:rsidP="00B77386">
      <w:pPr>
        <w:spacing w:line="480" w:lineRule="auto"/>
        <w:rPr>
          <w:rFonts w:asciiTheme="majorHAnsi" w:hAnsiTheme="majorHAnsi" w:cstheme="majorHAnsi"/>
        </w:rPr>
      </w:pPr>
    </w:p>
    <w:p w14:paraId="5505BFB4" w14:textId="77777777" w:rsidR="00B77386" w:rsidRPr="00D7026D" w:rsidRDefault="00B77386" w:rsidP="00B77386">
      <w:pPr>
        <w:spacing w:line="480" w:lineRule="auto"/>
        <w:rPr>
          <w:rFonts w:asciiTheme="majorHAnsi" w:hAnsiTheme="majorHAnsi" w:cstheme="majorHAnsi"/>
        </w:rPr>
      </w:pPr>
      <w:r w:rsidRPr="00D7026D">
        <w:rPr>
          <w:rFonts w:asciiTheme="majorHAnsi" w:hAnsiTheme="majorHAnsi" w:cstheme="majorHAnsi"/>
          <w:i/>
          <w:iCs/>
        </w:rPr>
        <w:t xml:space="preserve">Pre-pandemic cohort: </w:t>
      </w:r>
      <w:r w:rsidRPr="00D7026D">
        <w:rPr>
          <w:rFonts w:asciiTheme="majorHAnsi" w:hAnsiTheme="majorHAnsi" w:cstheme="majorHAnsi"/>
          <w:i/>
          <w:iCs/>
          <w:color w:val="333333"/>
        </w:rPr>
        <w:t xml:space="preserve">Evaluation of a Rehabilitation Complex Intervention for Patients Following Intensive Care Discharge (RECOVER) </w:t>
      </w:r>
      <w:r w:rsidRPr="00D7026D">
        <w:rPr>
          <w:rFonts w:asciiTheme="majorHAnsi" w:hAnsiTheme="majorHAnsi" w:cstheme="majorHAnsi"/>
          <w:i/>
          <w:iCs/>
        </w:rPr>
        <w:t xml:space="preserve">trial: </w:t>
      </w:r>
    </w:p>
    <w:p w14:paraId="58982D2A" w14:textId="7684F50E" w:rsidR="00B77386" w:rsidRPr="00D7026D" w:rsidRDefault="00B77386" w:rsidP="00B77386">
      <w:pPr>
        <w:spacing w:line="480" w:lineRule="auto"/>
        <w:rPr>
          <w:rFonts w:asciiTheme="majorHAnsi" w:hAnsiTheme="majorHAnsi" w:cstheme="majorHAnsi"/>
        </w:rPr>
      </w:pPr>
      <w:r w:rsidRPr="00D7026D">
        <w:rPr>
          <w:rFonts w:asciiTheme="majorHAnsi" w:hAnsiTheme="majorHAnsi" w:cstheme="majorHAnsi"/>
        </w:rPr>
        <w:t>Patients aged 18 and over, discharged from ICU between 1</w:t>
      </w:r>
      <w:r w:rsidRPr="00D7026D">
        <w:rPr>
          <w:rFonts w:asciiTheme="majorHAnsi" w:hAnsiTheme="majorHAnsi" w:cstheme="majorHAnsi"/>
          <w:vertAlign w:val="superscript"/>
        </w:rPr>
        <w:t>st</w:t>
      </w:r>
      <w:r w:rsidRPr="00D7026D">
        <w:rPr>
          <w:rFonts w:asciiTheme="majorHAnsi" w:hAnsiTheme="majorHAnsi" w:cstheme="majorHAnsi"/>
        </w:rPr>
        <w:t xml:space="preserve"> December 2010 and 31</w:t>
      </w:r>
      <w:r w:rsidRPr="00D7026D">
        <w:rPr>
          <w:rFonts w:asciiTheme="majorHAnsi" w:hAnsiTheme="majorHAnsi" w:cstheme="majorHAnsi"/>
          <w:vertAlign w:val="superscript"/>
        </w:rPr>
        <w:t>st</w:t>
      </w:r>
      <w:r w:rsidRPr="00D7026D">
        <w:rPr>
          <w:rFonts w:asciiTheme="majorHAnsi" w:hAnsiTheme="majorHAnsi" w:cstheme="majorHAnsi"/>
        </w:rPr>
        <w:t xml:space="preserve"> January 2013 at 2 hospitals in Edinburgh, Scotland, who received a minimum of 48</w:t>
      </w:r>
      <w:r w:rsidR="00D84850">
        <w:rPr>
          <w:rFonts w:asciiTheme="majorHAnsi" w:hAnsiTheme="majorHAnsi" w:cstheme="majorHAnsi"/>
        </w:rPr>
        <w:t>-</w:t>
      </w:r>
      <w:r w:rsidRPr="00D7026D">
        <w:rPr>
          <w:rFonts w:asciiTheme="majorHAnsi" w:hAnsiTheme="majorHAnsi" w:cstheme="majorHAnsi"/>
        </w:rPr>
        <w:t>hours of IMV</w:t>
      </w:r>
      <w:r w:rsidRPr="00D7026D">
        <w:rPr>
          <w:rFonts w:asciiTheme="majorHAnsi" w:hAnsiTheme="majorHAnsi" w:cstheme="majorHAnsi"/>
        </w:rPr>
        <w:fldChar w:fldCharType="begin" w:fldLock="1"/>
      </w:r>
      <w:r w:rsidR="00EF2329">
        <w:rPr>
          <w:rFonts w:asciiTheme="majorHAnsi" w:hAnsiTheme="majorHAnsi" w:cstheme="majorHAnsi"/>
        </w:rPr>
        <w:instrText>ADDIN CSL_CITATION {"citationItems":[{"id":"ITEM-1","itemData":{"DOI":"10.1001/jamainternmed.2015.0822","ISSN":"2168-6106","abstract":"Critical illness results in disability and reduced health-related quality of life (HRQOL), but the optimum timing and components of rehabilitation are uncertain.To evaluate the effect of increasing physical and nutritional rehabilitation plus information delivered during the post–intensive care unit (ICU) acute hospital stay by dedicated rehabilitation assistants on subsequent mobility, HRQOL, and prevalent disabilities.A parallel group, randomized clinical trial with blinded outcome assessment at 2 hospitals in Edinburgh, Scotland, of 240 patients discharged from the ICU between December 1, 2010, and January 31, 2013, who required at least 48 hours of mechanical ventilation. Analysis for the primary outcome and other 3-month outcomes was performed between June and August 2013; for the 6- and 12-month outcomes and the health economic evaluation, between March and April 2014.During the post-ICU hospital stay, both groups received physiotherapy and dietetic, occupational, and speech/language therapy, but patients in the intervention group received rehabilitation that typically increased the frequency of mobility and exercise therapies 2- to 3-fold, increased dietetic assessment and treatment, used individualized goal setting, and provided greater illness-specific information. Intervention group therapy was coordinated and delivered by a dedicated rehabilitation practitioner.The Rivermead Mobility Index (RMI) (range 0-15) at 3 months; higher scores indicate greater mobility. Secondary outcomes included HRQOL, psychological outcomes, self-reported symptoms, patient experience, and cost-effectiveness during a 12-month follow-up (completed in February 2014).Median RMI at randomization was 3 (interquartile range [IQR], 1-6) and at 3 months was 13 (IQR, 10-14) for the intervention and usual care groups (mean difference, −0.2 [95% CI, −1.3 to 0.9; P = .71]). The HRQOL scores were unchanged by the intervention (mean difference in the Physical Component Summary score, −0.1 [95% CI, −3.3 to 3.1; P = .96]; and in the Mental Component Summary score, 0.2 [95% CI, −3.4 to 3.8; P = .91]). No differences were found for self-reported symptoms of fatigue, pain, appetite, joint stiffness, or breathlessness. Levels of anxiety, depression, and posttraumatic stress were similar, as were hand grip strength and the timed Up &amp;amp; Go test. No differences were found at the 6- or 12-month follow-up for any outcome measures. However, patients in the intervention group reported great…","author":[{"dropping-particle":"","family":"Walsh","given":"Timothy S","non-dropping-particle":"","parse-names":false,"suffix":""},{"dropping-particle":"","family":"Salisbury","given":"Lisa G","non-dropping-particle":"","parse-names":false,"suffix":""},{"dropping-particle":"","family":"Merriweather","given":"Judith L","non-dropping-particle":"","parse-names":false,"suffix":""},{"dropping-particle":"","family":"Boyd","given":"Julia A","non-dropping-particle":"","parse-names":false,"suffix":""},{"dropping-particle":"","family":"Griffith","given":"David M","non-dropping-particle":"","parse-names":false,"suffix":""},{"dropping-particle":"","family":"Huby","given":"Guro","non-dropping-particle":"","parse-names":false,"suffix":""},{"dropping-particle":"","family":"Kean","given":"Susanne","non-dropping-particle":"","parse-names":false,"suffix":""},{"dropping-particle":"","family":"Mackenzie","given":"Simon J","non-dropping-particle":"","parse-names":false,"suffix":""},{"dropping-particle":"","family":"Krishan","given":"Ashma","non-dropping-particle":"","parse-names":false,"suffix":""},{"dropping-particle":"","family":"Lewis","given":"Stephanie C","non-dropping-particle":"","parse-names":false,"suffix":""},{"dropping-particle":"","family":"Murray","given":"Gordon D","non-dropping-particle":"","parse-names":false,"suffix":""},{"dropping-particle":"","family":"Forbes","given":"John F","non-dropping-particle":"","parse-names":false,"suffix":""},{"dropping-particle":"","family":"Smith","given":"Joel","non-dropping-particle":"","parse-names":false,"suffix":""},{"dropping-particle":"","family":"Rattray","given":"Janice E","non-dropping-particle":"","parse-names":false,"suffix":""},{"dropping-particle":"","family":"Hull","given":"Alastair M","non-dropping-particle":"","parse-names":false,"suffix":""},{"dropping-particle":"","family":"Ramsay","given":"Pamela","non-dropping-particle":"","parse-names":false,"suffix":""},{"dropping-particle":"","family":"Investigators","given":"for the RECOVER","non-dropping-particle":"","parse-names":false,"suffix":""}],"container-title":"JAMA Internal Medicine","id":"ITEM-1","issue":"6","issued":{"date-parts":[["2015","6","1"]]},"page":"901-910","title":"Increased Hospital-Based Physical Rehabilitation and Information Provision After Intensive Care Unit Discharge: The RECOVER Randomized Clinical Trial","type":"article-journal","volume":"175"},"uris":["http://www.mendeley.com/documents/?uuid=a6cfb2dc-3dfc-4b75-b308-effba4b3b8dc"]}],"mendeley":{"formattedCitation":"&lt;sup&gt;23&lt;/sup&gt;","plainTextFormattedCitation":"23","previouslyFormattedCitation":"&lt;sup&gt;23&lt;/sup&gt;"},"properties":{"noteIndex":0},"schema":"https://github.com/citation-style-language/schema/raw/master/csl-citation.json"}</w:instrText>
      </w:r>
      <w:r w:rsidRPr="00D7026D">
        <w:rPr>
          <w:rFonts w:asciiTheme="majorHAnsi" w:hAnsiTheme="majorHAnsi" w:cstheme="majorHAnsi"/>
        </w:rPr>
        <w:fldChar w:fldCharType="separate"/>
      </w:r>
      <w:r w:rsidR="00E41C7A" w:rsidRPr="00E41C7A">
        <w:rPr>
          <w:rFonts w:asciiTheme="majorHAnsi" w:hAnsiTheme="majorHAnsi" w:cstheme="majorHAnsi"/>
          <w:noProof/>
          <w:vertAlign w:val="superscript"/>
        </w:rPr>
        <w:t>23</w:t>
      </w:r>
      <w:r w:rsidRPr="00D7026D">
        <w:rPr>
          <w:rFonts w:asciiTheme="majorHAnsi" w:hAnsiTheme="majorHAnsi" w:cstheme="majorHAnsi"/>
        </w:rPr>
        <w:fldChar w:fldCharType="end"/>
      </w:r>
      <w:r w:rsidRPr="00D7026D">
        <w:rPr>
          <w:rFonts w:asciiTheme="majorHAnsi" w:hAnsiTheme="majorHAnsi" w:cstheme="majorHAnsi"/>
        </w:rPr>
        <w:t>. Patients randomised to the intervention group received enhanced hospital and community-based physical rehabilitation, the control group received routine care</w:t>
      </w:r>
      <w:r w:rsidRPr="00D7026D">
        <w:rPr>
          <w:rFonts w:asciiTheme="majorHAnsi" w:hAnsiTheme="majorHAnsi" w:cstheme="majorHAnsi"/>
        </w:rPr>
        <w:fldChar w:fldCharType="begin" w:fldLock="1"/>
      </w:r>
      <w:r w:rsidR="00EF2329">
        <w:rPr>
          <w:rFonts w:asciiTheme="majorHAnsi" w:hAnsiTheme="majorHAnsi" w:cstheme="majorHAnsi"/>
        </w:rPr>
        <w:instrText>ADDIN CSL_CITATION {"citationItems":[{"id":"ITEM-1","itemData":{"DOI":"10.1001/jamainternmed.2015.0822","ISSN":"2168-6106","abstract":"Critical illness results in disability and reduced health-related quality of life (HRQOL), but the optimum timing and components of rehabilitation are uncertain.To evaluate the effect of increasing physical and nutritional rehabilitation plus information delivered during the post–intensive care unit (ICU) acute hospital stay by dedicated rehabilitation assistants on subsequent mobility, HRQOL, and prevalent disabilities.A parallel group, randomized clinical trial with blinded outcome assessment at 2 hospitals in Edinburgh, Scotland, of 240 patients discharged from the ICU between December 1, 2010, and January 31, 2013, who required at least 48 hours of mechanical ventilation. Analysis for the primary outcome and other 3-month outcomes was performed between June and August 2013; for the 6- and 12-month outcomes and the health economic evaluation, between March and April 2014.During the post-ICU hospital stay, both groups received physiotherapy and dietetic, occupational, and speech/language therapy, but patients in the intervention group received rehabilitation that typically increased the frequency of mobility and exercise therapies 2- to 3-fold, increased dietetic assessment and treatment, used individualized goal setting, and provided greater illness-specific information. Intervention group therapy was coordinated and delivered by a dedicated rehabilitation practitioner.The Rivermead Mobility Index (RMI) (range 0-15) at 3 months; higher scores indicate greater mobility. Secondary outcomes included HRQOL, psychological outcomes, self-reported symptoms, patient experience, and cost-effectiveness during a 12-month follow-up (completed in February 2014).Median RMI at randomization was 3 (interquartile range [IQR], 1-6) and at 3 months was 13 (IQR, 10-14) for the intervention and usual care groups (mean difference, −0.2 [95% CI, −1.3 to 0.9; P = .71]). The HRQOL scores were unchanged by the intervention (mean difference in the Physical Component Summary score, −0.1 [95% CI, −3.3 to 3.1; P = .96]; and in the Mental Component Summary score, 0.2 [95% CI, −3.4 to 3.8; P = .91]). No differences were found for self-reported symptoms of fatigue, pain, appetite, joint stiffness, or breathlessness. Levels of anxiety, depression, and posttraumatic stress were similar, as were hand grip strength and the timed Up &amp;amp; Go test. No differences were found at the 6- or 12-month follow-up for any outcome measures. However, patients in the intervention group reported great…","author":[{"dropping-particle":"","family":"Walsh","given":"Timothy S","non-dropping-particle":"","parse-names":false,"suffix":""},{"dropping-particle":"","family":"Salisbury","given":"Lisa G","non-dropping-particle":"","parse-names":false,"suffix":""},{"dropping-particle":"","family":"Merriweather","given":"Judith L","non-dropping-particle":"","parse-names":false,"suffix":""},{"dropping-particle":"","family":"Boyd","given":"Julia A","non-dropping-particle":"","parse-names":false,"suffix":""},{"dropping-particle":"","family":"Griffith","given":"David M","non-dropping-particle":"","parse-names":false,"suffix":""},{"dropping-particle":"","family":"Huby","given":"Guro","non-dropping-particle":"","parse-names":false,"suffix":""},{"dropping-particle":"","family":"Kean","given":"Susanne","non-dropping-particle":"","parse-names":false,"suffix":""},{"dropping-particle":"","family":"Mackenzie","given":"Simon J","non-dropping-particle":"","parse-names":false,"suffix":""},{"dropping-particle":"","family":"Krishan","given":"Ashma","non-dropping-particle":"","parse-names":false,"suffix":""},{"dropping-particle":"","family":"Lewis","given":"Stephanie C","non-dropping-particle":"","parse-names":false,"suffix":""},{"dropping-particle":"","family":"Murray","given":"Gordon D","non-dropping-particle":"","parse-names":false,"suffix":""},{"dropping-particle":"","family":"Forbes","given":"John F","non-dropping-particle":"","parse-names":false,"suffix":""},{"dropping-particle":"","family":"Smith","given":"Joel","non-dropping-particle":"","parse-names":false,"suffix":""},{"dropping-particle":"","family":"Rattray","given":"Janice E","non-dropping-particle":"","parse-names":false,"suffix":""},{"dropping-particle":"","family":"Hull","given":"Alastair M","non-dropping-particle":"","parse-names":false,"suffix":""},{"dropping-particle":"","family":"Ramsay","given":"Pamela","non-dropping-particle":"","parse-names":false,"suffix":""},{"dropping-particle":"","family":"Investigators","given":"for the RECOVER","non-dropping-particle":"","parse-names":false,"suffix":""}],"container-title":"JAMA Internal Medicine","id":"ITEM-1","issue":"6","issued":{"date-parts":[["2015","6","1"]]},"page":"901-910","title":"Increased Hospital-Based Physical Rehabilitation and Information Provision After Intensive Care Unit Discharge: The RECOVER Randomized Clinical Trial","type":"article-journal","volume":"175"},"uris":["http://www.mendeley.com/documents/?uuid=a6cfb2dc-3dfc-4b75-b308-effba4b3b8dc"]}],"mendeley":{"formattedCitation":"&lt;sup&gt;23&lt;/sup&gt;","plainTextFormattedCitation":"23","previouslyFormattedCitation":"&lt;sup&gt;23&lt;/sup&gt;"},"properties":{"noteIndex":0},"schema":"https://github.com/citation-style-language/schema/raw/master/csl-citation.json"}</w:instrText>
      </w:r>
      <w:r w:rsidRPr="00D7026D">
        <w:rPr>
          <w:rFonts w:asciiTheme="majorHAnsi" w:hAnsiTheme="majorHAnsi" w:cstheme="majorHAnsi"/>
        </w:rPr>
        <w:fldChar w:fldCharType="separate"/>
      </w:r>
      <w:r w:rsidR="00E41C7A" w:rsidRPr="00E41C7A">
        <w:rPr>
          <w:rFonts w:asciiTheme="majorHAnsi" w:hAnsiTheme="majorHAnsi" w:cstheme="majorHAnsi"/>
          <w:noProof/>
          <w:vertAlign w:val="superscript"/>
        </w:rPr>
        <w:t>23</w:t>
      </w:r>
      <w:r w:rsidRPr="00D7026D">
        <w:rPr>
          <w:rFonts w:asciiTheme="majorHAnsi" w:hAnsiTheme="majorHAnsi" w:cstheme="majorHAnsi"/>
        </w:rPr>
        <w:fldChar w:fldCharType="end"/>
      </w:r>
      <w:r w:rsidRPr="00D7026D">
        <w:rPr>
          <w:rFonts w:asciiTheme="majorHAnsi" w:hAnsiTheme="majorHAnsi" w:cstheme="majorHAnsi"/>
        </w:rPr>
        <w:t>. Both groups were included in this analysis, as there were no significant differences at baseline or follow-up</w:t>
      </w:r>
      <w:r>
        <w:rPr>
          <w:rFonts w:asciiTheme="majorHAnsi" w:hAnsiTheme="majorHAnsi" w:cstheme="majorHAnsi"/>
        </w:rPr>
        <w:fldChar w:fldCharType="begin" w:fldLock="1"/>
      </w:r>
      <w:r w:rsidR="00EF2329">
        <w:rPr>
          <w:rFonts w:asciiTheme="majorHAnsi" w:hAnsiTheme="majorHAnsi" w:cstheme="majorHAnsi"/>
        </w:rPr>
        <w:instrText>ADDIN CSL_CITATION {"citationItems":[{"id":"ITEM-1","itemData":{"DOI":"10.1001/jamainternmed.2015.0822","ISSN":"2168-6106","abstract":"Critical illness results in disability and reduced health-related quality of life (HRQOL), but the optimum timing and components of rehabilitation are uncertain.To evaluate the effect of increasing physical and nutritional rehabilitation plus information delivered during the post–intensive care unit (ICU) acute hospital stay by dedicated rehabilitation assistants on subsequent mobility, HRQOL, and prevalent disabilities.A parallel group, randomized clinical trial with blinded outcome assessment at 2 hospitals in Edinburgh, Scotland, of 240 patients discharged from the ICU between December 1, 2010, and January 31, 2013, who required at least 48 hours of mechanical ventilation. Analysis for the primary outcome and other 3-month outcomes was performed between June and August 2013; for the 6- and 12-month outcomes and the health economic evaluation, between March and April 2014.During the post-ICU hospital stay, both groups received physiotherapy and dietetic, occupational, and speech/language therapy, but patients in the intervention group received rehabilitation that typically increased the frequency of mobility and exercise therapies 2- to 3-fold, increased dietetic assessment and treatment, used individualized goal setting, and provided greater illness-specific information. Intervention group therapy was coordinated and delivered by a dedicated rehabilitation practitioner.The Rivermead Mobility Index (RMI) (range 0-15) at 3 months; higher scores indicate greater mobility. Secondary outcomes included HRQOL, psychological outcomes, self-reported symptoms, patient experience, and cost-effectiveness during a 12-month follow-up (completed in February 2014).Median RMI at randomization was 3 (interquartile range [IQR], 1-6) and at 3 months was 13 (IQR, 10-14) for the intervention and usual care groups (mean difference, −0.2 [95% CI, −1.3 to 0.9; P = .71]). The HRQOL scores were unchanged by the intervention (mean difference in the Physical Component Summary score, −0.1 [95% CI, −3.3 to 3.1; P = .96]; and in the Mental Component Summary score, 0.2 [95% CI, −3.4 to 3.8; P = .91]). No differences were found for self-reported symptoms of fatigue, pain, appetite, joint stiffness, or breathlessness. Levels of anxiety, depression, and posttraumatic stress were similar, as were hand grip strength and the timed Up &amp;amp; Go test. No differences were found at the 6- or 12-month follow-up for any outcome measures. However, patients in the intervention group reported great…","author":[{"dropping-particle":"","family":"Walsh","given":"Timothy S","non-dropping-particle":"","parse-names":false,"suffix":""},{"dropping-particle":"","family":"Salisbury","given":"Lisa G","non-dropping-particle":"","parse-names":false,"suffix":""},{"dropping-particle":"","family":"Merriweather","given":"Judith L","non-dropping-particle":"","parse-names":false,"suffix":""},{"dropping-particle":"","family":"Boyd","given":"Julia A","non-dropping-particle":"","parse-names":false,"suffix":""},{"dropping-particle":"","family":"Griffith","given":"David M","non-dropping-particle":"","parse-names":false,"suffix":""},{"dropping-particle":"","family":"Huby","given":"Guro","non-dropping-particle":"","parse-names":false,"suffix":""},{"dropping-particle":"","family":"Kean","given":"Susanne","non-dropping-particle":"","parse-names":false,"suffix":""},{"dropping-particle":"","family":"Mackenzie","given":"Simon J","non-dropping-particle":"","parse-names":false,"suffix":""},{"dropping-particle":"","family":"Krishan","given":"Ashma","non-dropping-particle":"","parse-names":false,"suffix":""},{"dropping-particle":"","family":"Lewis","given":"Stephanie C","non-dropping-particle":"","parse-names":false,"suffix":""},{"dropping-particle":"","family":"Murray","given":"Gordon D","non-dropping-particle":"","parse-names":false,"suffix":""},{"dropping-particle":"","family":"Forbes","given":"John F","non-dropping-particle":"","parse-names":false,"suffix":""},{"dropping-particle":"","family":"Smith","given":"Joel","non-dropping-particle":"","parse-names":false,"suffix":""},{"dropping-particle":"","family":"Rattray","given":"Janice E","non-dropping-particle":"","parse-names":false,"suffix":""},{"dropping-particle":"","family":"Hull","given":"Alastair M","non-dropping-particle":"","parse-names":false,"suffix":""},{"dropping-particle":"","family":"Ramsay","given":"Pamela","non-dropping-particle":"","parse-names":false,"suffix":""},{"dropping-particle":"","family":"Investigators","given":"for the RECOVER","non-dropping-particle":"","parse-names":false,"suffix":""}],"container-title":"JAMA Internal Medicine","id":"ITEM-1","issue":"6","issued":{"date-parts":[["2015","6","1"]]},"page":"901-910","title":"Increased Hospital-Based Physical Rehabilitation and Information Provision After Intensive Care Unit Discharge: The RECOVER Randomized Clinical Trial","type":"article-journal","volume":"175"},"uris":["http://www.mendeley.com/documents/?uuid=a6cfb2dc-3dfc-4b75-b308-effba4b3b8dc"]}],"mendeley":{"formattedCitation":"&lt;sup&gt;23&lt;/sup&gt;","plainTextFormattedCitation":"23","previouslyFormattedCitation":"&lt;sup&gt;23&lt;/sup&gt;"},"properties":{"noteIndex":0},"schema":"https://github.com/citation-style-language/schema/raw/master/csl-citation.json"}</w:instrText>
      </w:r>
      <w:r>
        <w:rPr>
          <w:rFonts w:asciiTheme="majorHAnsi" w:hAnsiTheme="majorHAnsi" w:cstheme="majorHAnsi"/>
        </w:rPr>
        <w:fldChar w:fldCharType="separate"/>
      </w:r>
      <w:r w:rsidR="00E41C7A" w:rsidRPr="00E41C7A">
        <w:rPr>
          <w:rFonts w:asciiTheme="majorHAnsi" w:hAnsiTheme="majorHAnsi" w:cstheme="majorHAnsi"/>
          <w:noProof/>
          <w:vertAlign w:val="superscript"/>
        </w:rPr>
        <w:t>23</w:t>
      </w:r>
      <w:r>
        <w:rPr>
          <w:rFonts w:asciiTheme="majorHAnsi" w:hAnsiTheme="majorHAnsi" w:cstheme="majorHAnsi"/>
        </w:rPr>
        <w:fldChar w:fldCharType="end"/>
      </w:r>
      <w:r w:rsidRPr="00D7026D">
        <w:rPr>
          <w:rFonts w:asciiTheme="majorHAnsi" w:hAnsiTheme="majorHAnsi" w:cstheme="majorHAnsi"/>
        </w:rPr>
        <w:t xml:space="preserve">. </w:t>
      </w:r>
    </w:p>
    <w:p w14:paraId="610976C1" w14:textId="77777777" w:rsidR="00B77386" w:rsidRPr="00D7026D" w:rsidRDefault="00B77386" w:rsidP="00B77386">
      <w:pPr>
        <w:spacing w:line="480" w:lineRule="auto"/>
        <w:rPr>
          <w:rFonts w:asciiTheme="majorHAnsi" w:hAnsiTheme="majorHAnsi" w:cstheme="majorHAnsi"/>
        </w:rPr>
      </w:pPr>
    </w:p>
    <w:p w14:paraId="431DA36E" w14:textId="70BDADEB" w:rsidR="00B77386" w:rsidRPr="00D7026D" w:rsidRDefault="00B77386" w:rsidP="00B77386">
      <w:pPr>
        <w:spacing w:line="480" w:lineRule="auto"/>
        <w:rPr>
          <w:rFonts w:asciiTheme="majorHAnsi" w:hAnsiTheme="majorHAnsi" w:cstheme="majorHAnsi"/>
        </w:rPr>
      </w:pPr>
      <w:r w:rsidRPr="00D7026D">
        <w:rPr>
          <w:rFonts w:asciiTheme="majorHAnsi" w:hAnsiTheme="majorHAnsi" w:cstheme="majorHAnsi"/>
        </w:rPr>
        <w:lastRenderedPageBreak/>
        <w:t>Full details of the populations included in CCP-UK and RECOVER, and study information, have previously been published</w:t>
      </w:r>
      <w:r>
        <w:rPr>
          <w:rFonts w:asciiTheme="majorHAnsi" w:hAnsiTheme="majorHAnsi" w:cstheme="majorHAnsi"/>
        </w:rPr>
        <w:fldChar w:fldCharType="begin" w:fldLock="1"/>
      </w:r>
      <w:r w:rsidR="00EF2329">
        <w:rPr>
          <w:rFonts w:asciiTheme="majorHAnsi" w:hAnsiTheme="majorHAnsi" w:cstheme="majorHAnsi"/>
        </w:rPr>
        <w:instrText>ADDIN CSL_CITATION {"citationItems":[{"id":"ITEM-1","itemData":{"DOI":"10.1001/jamainternmed.2015.0822","ISSN":"2168-6106","abstract":"Critical illness results in disability and reduced health-related quality of life (HRQOL), but the optimum timing and components of rehabilitation are uncertain.To evaluate the effect of increasing physical and nutritional rehabilitation plus information delivered during the post–intensive care unit (ICU) acute hospital stay by dedicated rehabilitation assistants on subsequent mobility, HRQOL, and prevalent disabilities.A parallel group, randomized clinical trial with blinded outcome assessment at 2 hospitals in Edinburgh, Scotland, of 240 patients discharged from the ICU between December 1, 2010, and January 31, 2013, who required at least 48 hours of mechanical ventilation. Analysis for the primary outcome and other 3-month outcomes was performed between June and August 2013; for the 6- and 12-month outcomes and the health economic evaluation, between March and April 2014.During the post-ICU hospital stay, both groups received physiotherapy and dietetic, occupational, and speech/language therapy, but patients in the intervention group received rehabilitation that typically increased the frequency of mobility and exercise therapies 2- to 3-fold, increased dietetic assessment and treatment, used individualized goal setting, and provided greater illness-specific information. Intervention group therapy was coordinated and delivered by a dedicated rehabilitation practitioner.The Rivermead Mobility Index (RMI) (range 0-15) at 3 months; higher scores indicate greater mobility. Secondary outcomes included HRQOL, psychological outcomes, self-reported symptoms, patient experience, and cost-effectiveness during a 12-month follow-up (completed in February 2014).Median RMI at randomization was 3 (interquartile range [IQR], 1-6) and at 3 months was 13 (IQR, 10-14) for the intervention and usual care groups (mean difference, −0.2 [95% CI, −1.3 to 0.9; P = .71]). The HRQOL scores were unchanged by the intervention (mean difference in the Physical Component Summary score, −0.1 [95% CI, −3.3 to 3.1; P = .96]; and in the Mental Component Summary score, 0.2 [95% CI, −3.4 to 3.8; P = .91]). No differences were found for self-reported symptoms of fatigue, pain, appetite, joint stiffness, or breathlessness. Levels of anxiety, depression, and posttraumatic stress were similar, as were hand grip strength and the timed Up &amp;amp; Go test. No differences were found at the 6- or 12-month follow-up for any outcome measures. However, patients in the intervention group reported great…","author":[{"dropping-particle":"","family":"Walsh","given":"Timothy S","non-dropping-particle":"","parse-names":false,"suffix":""},{"dropping-particle":"","family":"Salisbury","given":"Lisa G","non-dropping-particle":"","parse-names":false,"suffix":""},{"dropping-particle":"","family":"Merriweather","given":"Judith L","non-dropping-particle":"","parse-names":false,"suffix":""},{"dropping-particle":"","family":"Boyd","given":"Julia A","non-dropping-particle":"","parse-names":false,"suffix":""},{"dropping-particle":"","family":"Griffith","given":"David M","non-dropping-particle":"","parse-names":false,"suffix":""},{"dropping-particle":"","family":"Huby","given":"Guro","non-dropping-particle":"","parse-names":false,"suffix":""},{"dropping-particle":"","family":"Kean","given":"Susanne","non-dropping-particle":"","parse-names":false,"suffix":""},{"dropping-particle":"","family":"Mackenzie","given":"Simon J","non-dropping-particle":"","parse-names":false,"suffix":""},{"dropping-particle":"","family":"Krishan","given":"Ashma","non-dropping-particle":"","parse-names":false,"suffix":""},{"dropping-particle":"","family":"Lewis","given":"Stephanie C","non-dropping-particle":"","parse-names":false,"suffix":""},{"dropping-particle":"","family":"Murray","given":"Gordon D","non-dropping-particle":"","parse-names":false,"suffix":""},{"dropping-particle":"","family":"Forbes","given":"John F","non-dropping-particle":"","parse-names":false,"suffix":""},{"dropping-particle":"","family":"Smith","given":"Joel","non-dropping-particle":"","parse-names":false,"suffix":""},{"dropping-particle":"","family":"Rattray","given":"Janice E","non-dropping-particle":"","parse-names":false,"suffix":""},{"dropping-particle":"","family":"Hull","given":"Alastair M","non-dropping-particle":"","parse-names":false,"suffix":""},{"dropping-particle":"","family":"Ramsay","given":"Pamela","non-dropping-particle":"","parse-names":false,"suffix":""},{"dropping-particle":"","family":"Investigators","given":"for the RECOVER","non-dropping-particle":"","parse-names":false,"suffix":""}],"container-title":"JAMA Internal Medicine","id":"ITEM-1","issue":"6","issued":{"date-parts":[["2015","6","1"]]},"page":"901-910","title":"Increased Hospital-Based Physical Rehabilitation and Information Provision After Intensive Care Unit Discharge: The RECOVER Randomized Clinical Trial","type":"article-journal","volume":"175"},"uris":["http://www.mendeley.com/documents/?uuid=a6cfb2dc-3dfc-4b75-b308-effba4b3b8dc"]},{"id":"ITEM-2","itemData":{"DOI":"10.1101/2021.03.18.21253888","author":[{"dropping-particle":"","family":"Sigfrid","given":"Louise","non-dropping-particle":"","parse-names":false,"suffix":""},{"dropping-particle":"","family":"Drake","given":"Tom M","non-dropping-particle":"","parse-names":false,"suffix":""},{"dropping-particle":"","family":"Pauley","given":"Ellen","non-dropping-particle":"","parse-names":false,"suffix":""},{"dropping-particle":"","family":"Jesudason","given":"Edwin C","non-dropping-particle":"","parse-names":false,"suffix":""},{"dropping-particle":"","family":"Olliaro","given":"Piero","non-dropping-particle":"","parse-names":false,"suffix":""},{"dropping-particle":"","family":"Lim","given":"Wei Shen","non-dropping-particle":"","parse-names":false,"suffix":""},{"dropping-particle":"","family":"Gillesen","given":"Annelise","non-dropping-particle":"","parse-names":false,"suffix":""},{"dropping-particle":"","family":"Berry","given":"Colin","non-dropping-particle":"","parse-names":false,"suffix":""},{"dropping-particle":"","family":"Lowe","given":"David","non-dropping-particle":"","parse-names":false,"suffix":""}],"editor":[{"dropping-particle":"","family":"ISARIC","given":"","non-dropping-particle":"","parse-names":false,"suffix":""}],"id":"ITEM-2","issued":{"date-parts":[["2021"]]},"title":"Long Covid in adults discharged from UK hospitals after Covid-19: A prospective, multicentre cohort study using the ISARIC WHO Clinical Characterisation Protocol.","type":"article-journal"},"uris":["http://www.mendeley.com/documents/?uuid=02b8a7f5-8ba8-4593-a137-49769450bfbd"]}],"mendeley":{"formattedCitation":"&lt;sup&gt;13,23&lt;/sup&gt;","plainTextFormattedCitation":"13,23","previouslyFormattedCitation":"&lt;sup&gt;13,23&lt;/sup&gt;"},"properties":{"noteIndex":0},"schema":"https://github.com/citation-style-language/schema/raw/master/csl-citation.json"}</w:instrText>
      </w:r>
      <w:r>
        <w:rPr>
          <w:rFonts w:asciiTheme="majorHAnsi" w:hAnsiTheme="majorHAnsi" w:cstheme="majorHAnsi"/>
        </w:rPr>
        <w:fldChar w:fldCharType="separate"/>
      </w:r>
      <w:r w:rsidR="00E41C7A" w:rsidRPr="00E41C7A">
        <w:rPr>
          <w:rFonts w:asciiTheme="majorHAnsi" w:hAnsiTheme="majorHAnsi" w:cstheme="majorHAnsi"/>
          <w:noProof/>
          <w:vertAlign w:val="superscript"/>
        </w:rPr>
        <w:t>13,23</w:t>
      </w:r>
      <w:r>
        <w:rPr>
          <w:rFonts w:asciiTheme="majorHAnsi" w:hAnsiTheme="majorHAnsi" w:cstheme="majorHAnsi"/>
        </w:rPr>
        <w:fldChar w:fldCharType="end"/>
      </w:r>
      <w:r w:rsidRPr="00D7026D">
        <w:rPr>
          <w:rFonts w:asciiTheme="majorHAnsi" w:hAnsiTheme="majorHAnsi" w:cstheme="majorHAnsi"/>
        </w:rPr>
        <w:t xml:space="preserve">. </w:t>
      </w:r>
    </w:p>
    <w:p w14:paraId="63137A37" w14:textId="77777777" w:rsidR="00B77386" w:rsidRPr="00D7026D" w:rsidRDefault="00B77386" w:rsidP="00B77386">
      <w:pPr>
        <w:spacing w:line="480" w:lineRule="auto"/>
        <w:rPr>
          <w:rFonts w:asciiTheme="majorHAnsi" w:hAnsiTheme="majorHAnsi" w:cstheme="majorHAnsi"/>
        </w:rPr>
      </w:pPr>
    </w:p>
    <w:p w14:paraId="7D448637" w14:textId="77777777" w:rsidR="00B77386" w:rsidRPr="00D7026D" w:rsidRDefault="00B77386" w:rsidP="00B77386">
      <w:pPr>
        <w:spacing w:line="480" w:lineRule="auto"/>
        <w:rPr>
          <w:rFonts w:asciiTheme="majorHAnsi" w:hAnsiTheme="majorHAnsi" w:cstheme="majorHAnsi"/>
          <w:i/>
          <w:iCs/>
          <w:color w:val="4F81BD" w:themeColor="accent1"/>
        </w:rPr>
      </w:pPr>
      <w:r w:rsidRPr="00D7026D">
        <w:rPr>
          <w:rFonts w:asciiTheme="majorHAnsi" w:hAnsiTheme="majorHAnsi" w:cstheme="majorHAnsi"/>
          <w:i/>
          <w:iCs/>
          <w:color w:val="4F81BD" w:themeColor="accent1"/>
        </w:rPr>
        <w:t xml:space="preserve">Clinical variables </w:t>
      </w:r>
    </w:p>
    <w:p w14:paraId="48DDDDF2" w14:textId="47EB2C3D" w:rsidR="00B77386" w:rsidRPr="00D7026D" w:rsidRDefault="00B77386" w:rsidP="00B77386">
      <w:pPr>
        <w:spacing w:line="480" w:lineRule="auto"/>
        <w:rPr>
          <w:rFonts w:asciiTheme="majorHAnsi" w:hAnsiTheme="majorHAnsi" w:cstheme="majorBidi"/>
        </w:rPr>
      </w:pPr>
      <w:r w:rsidRPr="5FE4A518">
        <w:rPr>
          <w:rFonts w:asciiTheme="majorHAnsi" w:hAnsiTheme="majorHAnsi" w:cstheme="majorBidi"/>
        </w:rPr>
        <w:t xml:space="preserve">Both datasets captured demographic information, including age, sex, pre-existing comorbidities, </w:t>
      </w:r>
      <w:r w:rsidR="5FE4A518" w:rsidRPr="5FE4A518">
        <w:rPr>
          <w:rFonts w:asciiTheme="majorHAnsi" w:hAnsiTheme="majorHAnsi" w:cstheme="majorBidi"/>
        </w:rPr>
        <w:t xml:space="preserve">admission diagnosis, </w:t>
      </w:r>
      <w:r w:rsidR="00135B43" w:rsidRPr="5FE4A518">
        <w:rPr>
          <w:rFonts w:asciiTheme="majorHAnsi" w:hAnsiTheme="majorHAnsi" w:cstheme="majorBidi"/>
        </w:rPr>
        <w:t>length of hospital stay, and</w:t>
      </w:r>
      <w:r w:rsidRPr="5FE4A518">
        <w:rPr>
          <w:rFonts w:asciiTheme="majorHAnsi" w:hAnsiTheme="majorHAnsi" w:cstheme="majorBidi"/>
        </w:rPr>
        <w:t xml:space="preserve"> severity of acute illness. </w:t>
      </w:r>
      <w:r w:rsidR="00215AAA">
        <w:rPr>
          <w:rFonts w:asciiTheme="majorHAnsi" w:hAnsiTheme="majorHAnsi" w:cstheme="majorBidi"/>
        </w:rPr>
        <w:t>Comorbidities were defined in the ISARIC4C CCP-UK protocol for the Covid-19 cohort</w:t>
      </w:r>
      <w:r w:rsidR="00215AAA">
        <w:rPr>
          <w:rFonts w:asciiTheme="majorHAnsi" w:hAnsiTheme="majorHAnsi" w:cstheme="majorBidi"/>
        </w:rPr>
        <w:fldChar w:fldCharType="begin" w:fldLock="1"/>
      </w:r>
      <w:r w:rsidR="00CD1BCF">
        <w:rPr>
          <w:rFonts w:asciiTheme="majorHAnsi" w:hAnsiTheme="majorHAnsi" w:cstheme="majorBidi"/>
        </w:rPr>
        <w:instrText>ADDIN CSL_CITATION {"citationItems":[{"id":"ITEM-1","itemData":{"URL":"https://isaric4c.net/protocols/","accessed":{"date-parts":[["2020","2","1"]]},"author":[{"dropping-particle":"","family":"ISARIC","given":"","non-dropping-particle":"","parse-names":false,"suffix":""}],"id":"ITEM-1","issued":{"date-parts":[["2020"]]},"title":"ISARIC Clinical Characterisation Protocol (CCP): UK version","type":"webpage"},"uris":["http://www.mendeley.com/documents/?uuid=7be13ddb-1636-491e-9b5f-bb684feaf4a5"]}],"mendeley":{"formattedCitation":"&lt;sup&gt;24&lt;/sup&gt;","plainTextFormattedCitation":"24","previouslyFormattedCitation":"&lt;sup&gt;24&lt;/sup&gt;"},"properties":{"noteIndex":0},"schema":"https://github.com/citation-style-language/schema/raw/master/csl-citation.json"}</w:instrText>
      </w:r>
      <w:r w:rsidR="00215AAA">
        <w:rPr>
          <w:rFonts w:asciiTheme="majorHAnsi" w:hAnsiTheme="majorHAnsi" w:cstheme="majorBidi"/>
        </w:rPr>
        <w:fldChar w:fldCharType="separate"/>
      </w:r>
      <w:r w:rsidR="00215AAA" w:rsidRPr="00215AAA">
        <w:rPr>
          <w:rFonts w:asciiTheme="majorHAnsi" w:hAnsiTheme="majorHAnsi" w:cstheme="majorBidi"/>
          <w:noProof/>
          <w:vertAlign w:val="superscript"/>
        </w:rPr>
        <w:t>24</w:t>
      </w:r>
      <w:r w:rsidR="00215AAA">
        <w:rPr>
          <w:rFonts w:asciiTheme="majorHAnsi" w:hAnsiTheme="majorHAnsi" w:cstheme="majorBidi"/>
        </w:rPr>
        <w:fldChar w:fldCharType="end"/>
      </w:r>
      <w:r w:rsidR="00215AAA">
        <w:rPr>
          <w:rFonts w:asciiTheme="majorHAnsi" w:hAnsiTheme="majorHAnsi" w:cstheme="majorBidi"/>
        </w:rPr>
        <w:t>, and by the Functional Comorbidity Index</w:t>
      </w:r>
      <w:r w:rsidR="005D0436">
        <w:rPr>
          <w:rFonts w:asciiTheme="majorHAnsi" w:hAnsiTheme="majorHAnsi" w:cstheme="majorBidi"/>
        </w:rPr>
        <w:t xml:space="preserve"> (FCI)</w:t>
      </w:r>
      <w:r w:rsidR="00215AAA">
        <w:rPr>
          <w:rFonts w:asciiTheme="majorHAnsi" w:hAnsiTheme="majorHAnsi" w:cstheme="majorBidi"/>
        </w:rPr>
        <w:t xml:space="preserve"> for the pre-pandemic cohort</w:t>
      </w:r>
      <w:r w:rsidR="00215AAA">
        <w:rPr>
          <w:rFonts w:asciiTheme="majorHAnsi" w:hAnsiTheme="majorHAnsi" w:cstheme="majorBidi"/>
        </w:rPr>
        <w:fldChar w:fldCharType="begin" w:fldLock="1"/>
      </w:r>
      <w:r w:rsidR="00215AAA">
        <w:rPr>
          <w:rFonts w:asciiTheme="majorHAnsi" w:hAnsiTheme="majorHAnsi" w:cstheme="majorBidi"/>
        </w:rPr>
        <w:instrText>ADDIN CSL_CITATION {"citationItems":[{"id":"ITEM-1","itemData":{"DOI":"10.1001/jamainternmed.2015.0822","ISSN":"2168-6106","abstract":"Critical illness results in disability and reduced health-related quality of life (HRQOL), but the optimum timing and components of rehabilitation are uncertain.To evaluate the effect of increasing physical and nutritional rehabilitation plus information delivered during the post–intensive care unit (ICU) acute hospital stay by dedicated rehabilitation assistants on subsequent mobility, HRQOL, and prevalent disabilities.A parallel group, randomized clinical trial with blinded outcome assessment at 2 hospitals in Edinburgh, Scotland, of 240 patients discharged from the ICU between December 1, 2010, and January 31, 2013, who required at least 48 hours of mechanical ventilation. Analysis for the primary outcome and other 3-month outcomes was performed between June and August 2013; for the 6- and 12-month outcomes and the health economic evaluation, between March and April 2014.During the post-ICU hospital stay, both groups received physiotherapy and dietetic, occupational, and speech/language therapy, but patients in the intervention group received rehabilitation that typically increased the frequency of mobility and exercise therapies 2- to 3-fold, increased dietetic assessment and treatment, used individualized goal setting, and provided greater illness-specific information. Intervention group therapy was coordinated and delivered by a dedicated rehabilitation practitioner.The Rivermead Mobility Index (RMI) (range 0-15) at 3 months; higher scores indicate greater mobility. Secondary outcomes included HRQOL, psychological outcomes, self-reported symptoms, patient experience, and cost-effectiveness during a 12-month follow-up (completed in February 2014).Median RMI at randomization was 3 (interquartile range [IQR], 1-6) and at 3 months was 13 (IQR, 10-14) for the intervention and usual care groups (mean difference, −0.2 [95% CI, −1.3 to 0.9; P = .71]). The HRQOL scores were unchanged by the intervention (mean difference in the Physical Component Summary score, −0.1 [95% CI, −3.3 to 3.1; P = .96]; and in the Mental Component Summary score, 0.2 [95% CI, −3.4 to 3.8; P = .91]). No differences were found for self-reported symptoms of fatigue, pain, appetite, joint stiffness, or breathlessness. Levels of anxiety, depression, and posttraumatic stress were similar, as were hand grip strength and the timed Up &amp;amp; Go test. No differences were found at the 6- or 12-month follow-up for any outcome measures. However, patients in the intervention group reported great…","author":[{"dropping-particle":"","family":"Walsh","given":"Timothy S","non-dropping-particle":"","parse-names":false,"suffix":""},{"dropping-particle":"","family":"Salisbury","given":"Lisa G","non-dropping-particle":"","parse-names":false,"suffix":""},{"dropping-particle":"","family":"Merriweather","given":"Judith L","non-dropping-particle":"","parse-names":false,"suffix":""},{"dropping-particle":"","family":"Boyd","given":"Julia A","non-dropping-particle":"","parse-names":false,"suffix":""},{"dropping-particle":"","family":"Griffith","given":"David M","non-dropping-particle":"","parse-names":false,"suffix":""},{"dropping-particle":"","family":"Huby","given":"Guro","non-dropping-particle":"","parse-names":false,"suffix":""},{"dropping-particle":"","family":"Kean","given":"Susanne","non-dropping-particle":"","parse-names":false,"suffix":""},{"dropping-particle":"","family":"Mackenzie","given":"Simon J","non-dropping-particle":"","parse-names":false,"suffix":""},{"dropping-particle":"","family":"Krishan","given":"Ashma","non-dropping-particle":"","parse-names":false,"suffix":""},{"dropping-particle":"","family":"Lewis","given":"Stephanie C","non-dropping-particle":"","parse-names":false,"suffix":""},{"dropping-particle":"","family":"Murray","given":"Gordon D","non-dropping-particle":"","parse-names":false,"suffix":""},{"dropping-particle":"","family":"Forbes","given":"John F","non-dropping-particle":"","parse-names":false,"suffix":""},{"dropping-particle":"","family":"Smith","given":"Joel","non-dropping-particle":"","parse-names":false,"suffix":""},{"dropping-particle":"","family":"Rattray","given":"Janice E","non-dropping-particle":"","parse-names":false,"suffix":""},{"dropping-particle":"","family":"Hull","given":"Alastair M","non-dropping-particle":"","parse-names":false,"suffix":""},{"dropping-particle":"","family":"Ramsay","given":"Pamela","non-dropping-particle":"","parse-names":false,"suffix":""},{"dropping-particle":"","family":"Investigators","given":"for the RECOVER","non-dropping-particle":"","parse-names":false,"suffix":""}],"container-title":"JAMA Internal Medicine","id":"ITEM-1","issue":"6","issued":{"date-parts":[["2015","6","1"]]},"page":"901-910","title":"Increased Hospital-Based Physical Rehabilitation and Information Provision After Intensive Care Unit Discharge: The RECOVER Randomized Clinical Trial","type":"article-journal","volume":"175"},"uris":["http://www.mendeley.com/documents/?uuid=a6cfb2dc-3dfc-4b75-b308-effba4b3b8dc"]}],"mendeley":{"formattedCitation":"&lt;sup&gt;23&lt;/sup&gt;","plainTextFormattedCitation":"23","previouslyFormattedCitation":"&lt;sup&gt;23&lt;/sup&gt;"},"properties":{"noteIndex":0},"schema":"https://github.com/citation-style-language/schema/raw/master/csl-citation.json"}</w:instrText>
      </w:r>
      <w:r w:rsidR="00215AAA">
        <w:rPr>
          <w:rFonts w:asciiTheme="majorHAnsi" w:hAnsiTheme="majorHAnsi" w:cstheme="majorBidi"/>
        </w:rPr>
        <w:fldChar w:fldCharType="separate"/>
      </w:r>
      <w:r w:rsidR="00215AAA" w:rsidRPr="00215AAA">
        <w:rPr>
          <w:rFonts w:asciiTheme="majorHAnsi" w:hAnsiTheme="majorHAnsi" w:cstheme="majorBidi"/>
          <w:noProof/>
          <w:vertAlign w:val="superscript"/>
        </w:rPr>
        <w:t>23</w:t>
      </w:r>
      <w:r w:rsidR="00215AAA">
        <w:rPr>
          <w:rFonts w:asciiTheme="majorHAnsi" w:hAnsiTheme="majorHAnsi" w:cstheme="majorBidi"/>
        </w:rPr>
        <w:fldChar w:fldCharType="end"/>
      </w:r>
      <w:r w:rsidR="00215AAA">
        <w:rPr>
          <w:rFonts w:asciiTheme="majorHAnsi" w:hAnsiTheme="majorHAnsi" w:cstheme="majorBidi"/>
        </w:rPr>
        <w:t xml:space="preserve">. </w:t>
      </w:r>
      <w:r w:rsidR="00405576">
        <w:rPr>
          <w:rFonts w:asciiTheme="majorHAnsi" w:hAnsiTheme="majorHAnsi" w:cstheme="majorBidi"/>
        </w:rPr>
        <w:t xml:space="preserve"> </w:t>
      </w:r>
      <w:r w:rsidR="00D548DF">
        <w:rPr>
          <w:rFonts w:asciiTheme="majorHAnsi" w:hAnsiTheme="majorHAnsi" w:cstheme="majorBidi"/>
        </w:rPr>
        <w:t>For the pre-</w:t>
      </w:r>
      <w:r w:rsidR="00EC516E">
        <w:rPr>
          <w:rFonts w:asciiTheme="majorHAnsi" w:hAnsiTheme="majorHAnsi" w:cstheme="majorBidi"/>
        </w:rPr>
        <w:t>pa</w:t>
      </w:r>
      <w:r w:rsidR="00D548DF">
        <w:rPr>
          <w:rFonts w:asciiTheme="majorHAnsi" w:hAnsiTheme="majorHAnsi" w:cstheme="majorBidi"/>
        </w:rPr>
        <w:t xml:space="preserve">ndemic cohort, we combined </w:t>
      </w:r>
      <w:r w:rsidR="00EC516E">
        <w:rPr>
          <w:rFonts w:asciiTheme="majorHAnsi" w:hAnsiTheme="majorHAnsi" w:cstheme="majorBidi"/>
        </w:rPr>
        <w:t>‘Angina’, ‘Congestive heart failure or heart disease’</w:t>
      </w:r>
      <w:r w:rsidR="005D0436">
        <w:rPr>
          <w:rFonts w:asciiTheme="majorHAnsi" w:hAnsiTheme="majorHAnsi" w:cstheme="majorBidi"/>
        </w:rPr>
        <w:t xml:space="preserve">, and ‘Heart Attack’ from the FCI under the heading ‘Chronic Cardiac Disease’ to compare to </w:t>
      </w:r>
      <w:r w:rsidR="000252FA">
        <w:rPr>
          <w:rFonts w:asciiTheme="majorHAnsi" w:hAnsiTheme="majorHAnsi" w:cstheme="majorBidi"/>
        </w:rPr>
        <w:t>the Covid-19 cohort (for which this was a category in the ISARIC4C protocol);</w:t>
      </w:r>
      <w:r w:rsidR="003A2040">
        <w:rPr>
          <w:rFonts w:asciiTheme="majorHAnsi" w:hAnsiTheme="majorHAnsi" w:cstheme="majorBidi"/>
        </w:rPr>
        <w:t xml:space="preserve"> </w:t>
      </w:r>
      <w:proofErr w:type="gramStart"/>
      <w:r w:rsidR="003A2040">
        <w:rPr>
          <w:rFonts w:asciiTheme="majorHAnsi" w:hAnsiTheme="majorHAnsi" w:cstheme="majorBidi"/>
        </w:rPr>
        <w:t>similarly</w:t>
      </w:r>
      <w:proofErr w:type="gramEnd"/>
      <w:r w:rsidR="000252FA">
        <w:rPr>
          <w:rFonts w:asciiTheme="majorHAnsi" w:hAnsiTheme="majorHAnsi" w:cstheme="majorBidi"/>
        </w:rPr>
        <w:t xml:space="preserve"> </w:t>
      </w:r>
      <w:r w:rsidR="00460108">
        <w:rPr>
          <w:rFonts w:asciiTheme="majorHAnsi" w:hAnsiTheme="majorHAnsi" w:cstheme="majorBidi"/>
        </w:rPr>
        <w:t>'Chronic Obstructive Pulmonary Disease’</w:t>
      </w:r>
      <w:r w:rsidR="003A2040">
        <w:rPr>
          <w:rFonts w:asciiTheme="majorHAnsi" w:hAnsiTheme="majorHAnsi" w:cstheme="majorBidi"/>
        </w:rPr>
        <w:t xml:space="preserve"> on the FCI</w:t>
      </w:r>
      <w:r w:rsidR="00460108">
        <w:rPr>
          <w:rFonts w:asciiTheme="majorHAnsi" w:hAnsiTheme="majorHAnsi" w:cstheme="majorBidi"/>
        </w:rPr>
        <w:t xml:space="preserve"> was</w:t>
      </w:r>
      <w:r w:rsidR="003A2040">
        <w:rPr>
          <w:rFonts w:asciiTheme="majorHAnsi" w:hAnsiTheme="majorHAnsi" w:cstheme="majorBidi"/>
        </w:rPr>
        <w:t xml:space="preserve"> compared to ‘Chronic Pulmonary Disease’.</w:t>
      </w:r>
      <w:r w:rsidR="00460108">
        <w:rPr>
          <w:rFonts w:asciiTheme="majorHAnsi" w:hAnsiTheme="majorHAnsi" w:cstheme="majorBidi"/>
        </w:rPr>
        <w:t xml:space="preserve"> </w:t>
      </w:r>
      <w:r w:rsidR="005D0436">
        <w:rPr>
          <w:rFonts w:asciiTheme="majorHAnsi" w:hAnsiTheme="majorHAnsi" w:cstheme="majorBidi"/>
        </w:rPr>
        <w:t xml:space="preserve"> </w:t>
      </w:r>
      <w:r w:rsidR="00405576">
        <w:rPr>
          <w:rFonts w:asciiTheme="majorHAnsi" w:hAnsiTheme="majorHAnsi" w:cstheme="majorBidi"/>
        </w:rPr>
        <w:t>Diagnosis</w:t>
      </w:r>
      <w:r w:rsidR="00405576" w:rsidRPr="5FE4A518">
        <w:rPr>
          <w:rFonts w:asciiTheme="majorHAnsi" w:hAnsiTheme="majorHAnsi" w:cstheme="majorBidi"/>
        </w:rPr>
        <w:t xml:space="preserve"> category was captured from the RECOVER data </w:t>
      </w:r>
      <w:r w:rsidR="00405576">
        <w:rPr>
          <w:rFonts w:asciiTheme="majorHAnsi" w:hAnsiTheme="majorHAnsi" w:cstheme="majorBidi"/>
        </w:rPr>
        <w:t xml:space="preserve">in order to stratify the RECOVER cohort by diagnosis, </w:t>
      </w:r>
      <w:proofErr w:type="gramStart"/>
      <w:r w:rsidR="00405576">
        <w:rPr>
          <w:rFonts w:asciiTheme="majorHAnsi" w:hAnsiTheme="majorHAnsi" w:cstheme="majorBidi"/>
        </w:rPr>
        <w:t>to  allow</w:t>
      </w:r>
      <w:proofErr w:type="gramEnd"/>
      <w:r w:rsidR="00405576">
        <w:rPr>
          <w:rFonts w:asciiTheme="majorHAnsi" w:hAnsiTheme="majorHAnsi" w:cstheme="majorBidi"/>
        </w:rPr>
        <w:t xml:space="preserve"> those with Respiratory diagnoses only to be compared to the Covid-19 cohort. </w:t>
      </w:r>
      <w:r w:rsidRPr="5FE4A518">
        <w:rPr>
          <w:rFonts w:asciiTheme="majorHAnsi" w:hAnsiTheme="majorHAnsi" w:cstheme="majorBidi"/>
        </w:rPr>
        <w:t>Variables indicating acute illness severity differed: CCP-UK included ISARIC-4C Mortality and World Health Organisation Severity Scores</w:t>
      </w:r>
      <w:r w:rsidRPr="5FE4A518">
        <w:rPr>
          <w:rFonts w:asciiTheme="majorHAnsi" w:hAnsiTheme="majorHAnsi" w:cstheme="majorBidi"/>
        </w:rPr>
        <w:fldChar w:fldCharType="begin" w:fldLock="1"/>
      </w:r>
      <w:r w:rsidR="00CD1BCF">
        <w:rPr>
          <w:rFonts w:asciiTheme="majorHAnsi" w:hAnsiTheme="majorHAnsi" w:cstheme="majorBidi"/>
        </w:rPr>
        <w:instrText>ADDIN CSL_CITATION {"citationItems":[{"id":"ITEM-1","itemData":{"DOI":"https://doi.org/10.1016/S1473-3099(20)30483-7","ISSN":"1473-3099","abstract":"Summary Clinical research is necessary for an effective response to an emerging infectious disease outbreak. However, research efforts are often hastily organised and done using various research tools, with the result that pooling data across studies is challenging. In response to the needs of the rapidly evolving COVID-19 outbreak, the Clinical Characterisation and Management Working Group of the WHO Research and Development Blueprint programme, the International Forum for Acute Care Trialists, and the International Severe Acute Respiratory and Emerging Infections Consortium have developed a minimum set of common outcome measures for studies of COVID-19. This set includes three elements: a measure of viral burden (quantitative PCR or cycle threshold), a measure of patient survival (mortality at hospital discharge or at 60 days), and a measure of patient progression through the health-care system by use of the WHO Clinical Progression Scale, which reflects patient trajectory and resource use over the course of clinical illness. We urge investigators to include these key data elements in ongoing and future studies to expedite the pooling of data during this immediate threat, and to hone a tool for future needs.","author":[{"dropping-particle":"","family":"Marshall","given":"John C","non-dropping-particle":"","parse-names":false,"suffix":""},{"dropping-particle":"","family":"Murthy","given":"Srinivas","non-dropping-particle":"","parse-names":false,"suffix":""},{"dropping-particle":"","family":"Diaz","given":"Janet","non-dropping-particle":"","parse-names":false,"suffix":""},{"dropping-particle":"","family":"Adhikari","given":"N K","non-dropping-particle":"","parse-names":false,"suffix":""},{"dropping-particle":"","family":"Angus","given":"Derek C","non-dropping-particle":"","parse-names":false,"suffix":""},{"dropping-particle":"","family":"Arabi","given":"Yaseen M","non-dropping-particle":"","parse-names":false,"suffix":""},{"dropping-particle":"","family":"Baillie","given":"Kenneth","non-dropping-particle":"","parse-names":false,"suffix":""},{"dropping-particle":"","family":"Bauer","given":"Michael","non-dropping-particle":"","parse-names":false,"suffix":""},{"dropping-particle":"","family":"Berry","given":"Scott","non-dropping-particle":"","parse-names":false,"suffix":""},{"dropping-particle":"","family":"Blackwood","given":"Bronagh","non-dropping-particle":"","parse-names":false,"suffix":""},{"dropping-particle":"","family":"Bonten","given":"Marc","non-dropping-particle":"","parse-names":false,"suffix":""},{"dropping-particle":"","family":"Bozza","given":"Fernando","non-dropping-particle":"","parse-names":false,"suffix":""},{"dropping-particle":"","family":"Brunkhorst","given":"Frank","non-dropping-particle":"","parse-names":false,"suffix":""},{"dropping-particle":"","family":"Cheng","given":"Allen","non-dropping-particle":"","parse-names":false,"suffix":""},{"dropping-particle":"","family":"Clarke","given":"Mike","non-dropping-particle":"","parse-names":false,"suffix":""},{"dropping-particle":"","family":"Dat","given":"Vu Quoc","non-dropping-particle":"","parse-names":false,"suffix":""},{"dropping-particle":"","family":"Jong","given":"Menno","non-dropping-particle":"de","parse-names":false,"suffix":""},{"dropping-particle":"","family":"Denholm","given":"Justin","non-dropping-particle":"","parse-names":false,"suffix":""},{"dropping-particle":"","family":"Derde","given":"Lennie","non-dropping-particle":"","parse-names":false,"suffix":""},{"dropping-particle":"","family":"Dunning","given":"Jake","non-dropping-particle":"","parse-names":false,"suffix":""},{"dropping-particle":"","family":"Feng","given":"Xiaobin","non-dropping-particle":"","parse-names":false,"suffix":""},{"dropping-particle":"","family":"Fletcher","given":"Tom","non-dropping-particle":"","parse-names":false,"suffix":""},{"dropping-particle":"","family":"Foster","given":"Nadine","non-dropping-particle":"","parse-names":false,"suffix":""},{"dropping-particle":"","family":"Fowler","given":"Rob","non-dropping-particle":"","parse-names":false,"suffix":""},{"dropping-particle":"","family":"Gobat","given":"Nina","non-dropping-particle":"","parse-names":false,"suffix":""},{"dropping-particle":"","family":"Gomersall","given":"Charles","non-dropping-particle":"","parse-names":false,"suffix":""},{"dropping-particle":"","family":"Gordon","given":"Anthony","non-dropping-particle":"","parse-names":false,"suffix":""},{"dropping-particle":"","family":"Glueck","given":"Thomas","non-dropping-particle":"","parse-names":false,"suffix":""},{"dropping-particle":"","family":"Harhay","given":"Michael","non-dropping-particle":"","parse-names":false,"suffix":""},{"dropping-particle":"","family":"Hodgson","given":"Carol","non-dropping-particle":"","parse-names":false,"suffix":""},{"dropping-particle":"","family":"Horby","given":"Peter","non-dropping-particle":"","parse-names":false,"suffix":""},{"dropping-particle":"","family":"Kim","given":"YaeJean","non-dropping-particle":"","parse-names":false,"suffix":""},{"dropping-particle":"","family":"Kojan","given":"Richard","non-dropping-particle":"","parse-names":false,"suffix":""},{"dropping-particle":"","family":"Kumar","given":"Bharath","non-dropping-particle":"","parse-names":false,"suffix":""},{"dropping-particle":"","family":"Laffey","given":"John","non-dropping-particle":"","parse-names":false,"suffix":""},{"dropping-particle":"","family":"Malvey","given":"Denis","non-dropping-particle":"","parse-names":false,"suffix":""},{"dropping-particle":"","family":"Martin-Loeches","given":"Ignacio","non-dropping-particle":"","parse-names":false,"suffix":""},{"dropping-particle":"","family":"McArthur","given":"Colin","non-dropping-particle":"","parse-names":false,"suffix":""},{"dropping-particle":"","family":"McAuley","given":"Danny","non-dropping-particle":"","parse-names":false,"suffix":""},{"dropping-particle":"","family":"McBride","given":"Stephen","non-dropping-particle":"","parse-names":false,"suffix":""},{"dropping-particle":"","family":"McGuinness","given":"Shay","non-dropping-particle":"","parse-names":false,"suffix":""},{"dropping-particle":"","family":"Merson","given":"Laura","non-dropping-particle":"","parse-names":false,"suffix":""},{"dropping-particle":"","family":"Morpeth","given":"Susan","non-dropping-particle":"","parse-names":false,"suffix":""},{"dropping-particle":"","family":"Needham","given":"Dale","non-dropping-particle":"","parse-names":false,"suffix":""},{"dropping-particle":"","family":"Netea","given":"Mihai","non-dropping-particle":"","parse-names":false,"suffix":""},{"dropping-particle":"","family":"Oh","given":"Myoung-Don","non-dropping-particle":"","parse-names":false,"suffix":""},{"dropping-particle":"","family":"Phyu","given":"Sabai","non-dropping-particle":"","parse-names":false,"suffix":""},{"dropping-particle":"","family":"Piva","given":"Simone","non-dropping-particle":"","parse-names":false,"suffix":""},{"dropping-particle":"","family":"Qiu","given":"Ruijin","non-dropping-particle":"","parse-names":false,"suffix":""},{"dropping-particle":"","family":"Salisu-Kabara","given":"Halima","non-dropping-particle":"","parse-names":false,"suffix":""},{"dropping-particle":"","family":"Shi","given":"Lei","non-dropping-particle":"","parse-names":false,"suffix":""},{"dropping-particle":"","family":"Shimizu","given":"Naoki","non-dropping-particle":"","parse-names":false,"suffix":""},{"dropping-particle":"","family":"Sinclair","given":"Jorge","non-dropping-particle":"","parse-names":false,"suffix":""},{"dropping-particle":"","family":"Tong","given":"Steven","non-dropping-particle":"","parse-names":false,"suffix":""},{"dropping-particle":"","family":"Turgeon","given":"Alexis","non-dropping-particle":"","parse-names":false,"suffix":""},{"dropping-particle":"","family":"Uyeki","given":"Tim","non-dropping-particle":"","parse-names":false,"suffix":""},{"dropping-particle":"","family":"Veerdonk","given":"Frank","non-dropping-particle":"van de","parse-names":false,"suffix":""},{"dropping-particle":"","family":"Webb","given":"Steve","non-dropping-particle":"","parse-names":false,"suffix":""},{"dropping-particle":"","family":"Williamson","given":"Paula","non-dropping-particle":"","parse-names":false,"suffix":""},{"dropping-particle":"","family":"Wolf","given":"Timo","non-dropping-particle":"","parse-names":false,"suffix":""},{"dropping-particle":"","family":"Zhang","given":"Junhua","non-dropping-particle":"","parse-names":false,"suffix":""}],"container-title":"The Lancet Infectious Diseases","id":"ITEM-1","issue":"8","issued":{"date-parts":[["2020"]]},"page":"e192-e197","title":"A minimal common outcome measure set for COVID-19 clinical research","type":"article-journal","volume":"20"},"uris":["http://www.mendeley.com/documents/?uuid=05b0d6a6-965b-4573-9aca-02fbe8b55bcc"]},{"id":"ITEM-2","itemData":{"DOI":"10.1016/S2213-2600(20)30559-2","ISSN":"2213-2600","author":[{"dropping-particle":"","family":"Gupta","given":"Rishi K","non-dropping-particle":"","parse-names":false,"suffix":""},{"dropping-particle":"","family":"Harrison","given":"Ewen M","non-dropping-particle":"","parse-names":false,"suffix":""},{"dropping-particle":"","family":"Ho","given":"Antonia","non-dropping-particle":"","parse-names":false,"suffix":""},{"dropping-particle":"","family":"Docherty","given":"Annemarie B","non-dropping-particle":"","parse-names":false,"suffix":""},{"dropping-particle":"","family":"Knight","given":"Stephen R","non-dropping-particle":"","parse-names":false,"suffix":""},{"dropping-particle":"","family":"Smeden","given":"Maarten","non-dropping-particle":"van","parse-names":false,"suffix":""},{"dropping-particle":"","family":"Abubakar","given":"Ibrahim","non-dropping-particle":"","parse-names":false,"suffix":""},{"dropping-particle":"","family":"Lipman","given":"Marc","non-dropping-particle":"","parse-names":false,"suffix":""},{"dropping-particle":"","family":"Quartagno","given":"Matteo","non-dropping-particle":"","parse-names":false,"suffix":""},{"dropping-particle":"","family":"Pius","given":"Riinu","non-dropping-particle":"","parse-names":false,"suffix":""},{"dropping-particle":"","family":"Buchan","given":"Iain","non-dropping-particle":"","parse-names":false,"suffix":""},{"dropping-particle":"","family":"Carson","given":"Gail","non-dropping-particle":"","parse-names":false,"suffix":""},{"dropping-particle":"","family":"Drake","given":"Thomas M","non-dropping-particle":"","parse-names":false,"suffix":""},{"dropping-particle":"","family":"Dunning","given":"Jake","non-dropping-particle":"","parse-names":false,"suffix":""},{"dropping-particle":"","family":"Fairfield","given":"Cameron J","non-dropping-particle":"","parse-names":false,"suffix":""},{"dropping-particle":"","family":"Gamble","given":"Carrol","non-dropping-particle":"","parse-names":false,"suffix":""},{"dropping-particle":"","family":"Green","given":"Christopher A","non-dropping-particle":"","parse-names":false,"suffix":""},{"dropping-particle":"","family":"Halpin","given":"Sophie","non-dropping-particle":"","parse-names":false,"suffix":""},{"dropping-particle":"","family":"Hardwick","given":"Hayley E","non-dropping-particle":"","parse-names":false,"suffix":""},{"dropping-particle":"","family":"Holden","given":"Karl A","non-dropping-particle":"","parse-names":false,"suffix":""},{"dropping-particle":"","family":"Horby","given":"Peter W","non-dropping-particle":"","parse-names":false,"suffix":""},{"dropping-particle":"","family":"Jackson","given":"Clare","non-dropping-particle":"","parse-names":false,"suffix":""},{"dropping-particle":"","family":"Mclean","given":"Kenneth A","non-dropping-particle":"","parse-names":false,"suffix":""},{"dropping-particle":"","family":"Merson","given":"Laura","non-dropping-particle":"","parse-names":false,"suffix":""},{"dropping-particle":"","family":"Nguyen-Van-Tam","given":"Jonathan S","non-dropping-particle":"","parse-names":false,"suffix":""},{"dropping-particle":"","family":"Norman","given":"Lisa","non-dropping-particle":"","parse-names":false,"suffix":""},{"dropping-particle":"","family":"Olliaro","given":"Piero L","non-dropping-particle":"","parse-names":false,"suffix":""},{"dropping-particle":"","family":"Pritchard","given":"Mark G","non-dropping-particle":"","parse-names":false,"suffix":""},{"dropping-particle":"","family":"Russell","given":"Clark D","non-dropping-particle":"","parse-names":false,"suffix":""},{"dropping-particle":"","family":"Scott-Brown","given":"James","non-dropping-particle":"","parse-names":false,"suffix":""},{"dropping-particle":"","family":"Shaw","given":"Catherine A","non-dropping-particle":"","parse-names":false,"suffix":""},{"dropping-particle":"","family":"Sheikh","given":"Aziz","non-dropping-particle":"","parse-names":false,"suffix":""},{"dropping-particle":"","family":"Solomon","given":"Tom","non-dropping-particle":"","parse-names":false,"suffix":""},{"dropping-particle":"","family":"Sudlow","given":"Cathie","non-dropping-particle":"","parse-names":false,"suffix":""},{"dropping-particle":"V","family":"Swann","given":"Olivia","non-dropping-particle":"","parse-names":false,"suffix":""},{"dropping-particle":"","family":"Turtle","given":"Lance","non-dropping-particle":"","parse-names":false,"suffix":""},{"dropping-particle":"","family":"Openshaw","given":"Peter J M","non-dropping-particle":"","parse-names":false,"suffix":""},{"dropping-particle":"","family":"Baillie","given":"J Kenneth","non-dropping-particle":"","parse-names":false,"suffix":""},{"dropping-particle":"","family":"Semple","given":"Malcolm G","non-dropping-particle":"","parse-names":false,"suffix":""},{"dropping-particle":"","family":"Noursadeghi","given":"Mahdad","non-dropping-particle":"","parse-names":false,"suffix":""},{"dropping-particle":"","family":"Baillie","given":"J Kenneth","non-dropping-particle":"","parse-names":false,"suffix":""},{"dropping-particle":"","family":"Semple","given":"Malcolm G","non-dropping-particle":"","parse-names":false,"suffix":""},{"dropping-particle":"","family":"Openshaw","given":"Peter J M","non-dropping-particle":"","parse-names":false,"suffix":""},{"dropping-particle":"","family":"Carson","given":"Gail","non-dropping-particle":"","parse-names":false,"suffix":""},{"dropping-particle":"","family":"Alex","given":"Beatrice","non-dropping-particle":"","parse-names":false,"suffix":""},{"dropping-particle":"","family":"Bach","given":"Benjamin","non-dropping-particle":"","parse-names":false,"suffix":""},{"dropping-particle":"","family":"Barclay","given":"Wendy S","non-dropping-particle":"","parse-names":false,"suffix":""},{"dropping-particle":"","family":"Bogaert","given":"Debby","non-dropping-particle":"","parse-names":false,"suffix":""},{"dropping-particle":"","family":"Chand","given":"Meera","non-dropping-particle":"","parse-names":false,"suffix":""},{"dropping-particle":"","family":"Cooke","given":"Graham S","non-dropping-particle":"","parse-names":false,"suffix":""},{"dropping-particle":"","family":"Docherty","given":"Annemarie B","non-dropping-particle":"","parse-names":false,"suffix":""},{"dropping-particle":"","family":"Dunning","given":"Jake","non-dropping-particle":"","parse-names":false,"suffix":""},{"dropping-particle":"","family":"Filipe","given":"Ana da Silva","non-dropping-particle":"","parse-names":false,"suffix":""},{"dropping-particle":"","family":"Fletcher","given":"Tom","non-dropping-particle":"","parse-names":false,"suffix":""},{"dropping-particle":"","family":"Green","given":"Christopher A","non-dropping-particle":"","parse-names":false,"suffix":""},{"dropping-particle":"","family":"Harrison","given":"Ewen M","non-dropping-particle":"","parse-names":false,"suffix":""},{"dropping-particle":"","family":"Hiscox","given":"Julian A","non-dropping-particle":"","parse-names":false,"suffix":""},{"dropping-particle":"","family":"Ho","given":"Antonia Ying Wai","non-dropping-particle":"","parse-names":false,"suffix":""},{"dropping-particle":"","family":"Horby","given":"Peter W","non-dropping-particle":"","parse-names":false,"suffix":""},{"dropping-particle":"","family":"Ijaz","given":"Samreen","non-dropping-particle":"","parse-names":false,"suffix":""},{"dropping-particle":"","family":"Khoo","given":"Saye","non-dropping-particle":"","parse-names":false,"suffix":""},{"dropping-particle":"","family":"Klenerman","given":"Paul","non-dropping-particle":"","parse-names":false,"suffix":""},{"dropping-particle":"","family":"Law","given":"Andrew","non-dropping-particle":"","parse-names":false,"suffix":""},{"dropping-particle":"","family":"Lim","given":"Wei Shen","non-dropping-particle":"","parse-names":false,"suffix":""},{"dropping-particle":"","family":"Mentzer","given":"Alexander J","non-dropping-particle":"","parse-names":false,"suffix":""},{"dropping-particle":"","family":"Merson","given":"Laura","non-dropping-particle":"","parse-names":false,"suffix":""},{"dropping-particle":"","family":"Meynert","given":"Alison M","non-dropping-particle":"","parse-names":false,"suffix":""},{"dropping-particle":"","family":"Noursadeghi","given":"Mahdad","non-dropping-particle":"","parse-names":false,"suffix":""},{"dropping-particle":"","family":"Moore","given":"Shona C","non-dropping-particle":"","parse-names":false,"suffix":""},{"dropping-particle":"","family":"Palmarini","given":"Massimo","non-dropping-particle":"","parse-names":false,"suffix":""},{"dropping-particle":"","family":"Paxton","given":"William A","non-dropping-particle":"","parse-names":false,"suffix":""},{"dropping-particle":"","family":"Pollakis","given":"Georgios","non-dropping-particle":"","parse-names":false,"suffix":""},{"dropping-particle":"","family":"Price","given":"Nicholas","non-dropping-particle":"","parse-names":false,"suffix":""},{"dropping-particle":"","family":"Rambaut","given":"Andrew","non-dropping-particle":"","parse-names":false,"suffix":""},{"dropping-particle":"","family":"Robertson","given":"David L","non-dropping-particle":"","parse-names":false,"suffix":""},{"dropping-particle":"","family":"Russell","given":"Clark D","non-dropping-particle":"","parse-names":false,"suffix":""},{"dropping-particle":"","family":"Sancho-Shimizu","given":"Vanessa","non-dropping-particle":"","parse-names":false,"suffix":""},{"dropping-particle":"","family":"Scott","given":"Janet T","non-dropping-particle":"","parse-names":false,"suffix":""},{"dropping-particle":"","family":"Silva","given":"Thushan","non-dropping-particle":"de","parse-names":false,"suffix":""},{"dropping-particle":"","family":"Sigfrid","given":"Louise","non-dropping-particle":"","parse-names":false,"suffix":""},{"dropping-particle":"","family":"Solomon","given":"Tom","non-dropping-particle":"","parse-names":false,"suffix":""},{"dropping-particle":"","family":"Sriskandan","given":"Shiranee","non-dropping-particle":"","parse-names":false,"suffix":""},{"dropping-particle":"","family":"Stuart","given":"David","non-dropping-particle":"","parse-names":false,"suffix":""},{"dropping-particle":"","family":"Summers","given":"Charlotte","non-dropping-particle":"","parse-names":false,"suffix":""},{"dropping-particle":"","family":"Tedder","given":"Richard S","non-dropping-particle":"","parse-names":false,"suffix":""},{"dropping-particle":"","family":"Thomson","given":"Emma C","non-dropping-particle":"","parse-names":false,"suffix":""},{"dropping-particle":"","family":"Thompson","given":"A A Roger","non-dropping-particle":"","parse-names":false,"suffix":""},{"dropping-particle":"","family":"Thwaites","given":"Ryan S","non-dropping-particle":"","parse-names":false,"suffix":""},{"dropping-particle":"","family":"Turtle","given":"Lance C W","non-dropping-particle":"","parse-names":false,"suffix":""},{"dropping-particle":"","family":"Zambon","given":"Maria","non-dropping-particle":"","parse-names":false,"suffix":""},{"dropping-particle":"","family":"Hardwick","given":"Hayley","non-dropping-particle":"","parse-names":false,"suffix":""},{"dropping-particle":"","family":"Donohue","given":"Chloe","non-dropping-particle":"","parse-names":false,"suffix":""},{"dropping-particle":"","family":"Lyons","given":"Ruth","non-dropping-particle":"","parse-names":false,"suffix":""},{"dropping-particle":"","family":"Griffiths","given":"Fiona","non-dropping-particle":"","parse-names":false,"suffix":""},{"dropping-particle":"","family":"Oosthuyzen","given":"Wilna","non-dropping-particle":"","parse-names":false,"suffix":""},{"dropping-particle":"","family":"Norman","given":"Lisa","non-dropping-particle":"","parse-names":false,"suffix":""},{"dropping-particle":"","family":"Pius","given":"Riinu","non-dropping-particle":"","parse-names":false,"suffix":""},{"dropping-particle":"","family":"Drake","given":"Tom M","non-dropping-particle":"","parse-names":false,"suffix":""},{"dropping-particle":"","family":"Fairfield","given":"Cameron J","non-dropping-particle":"","parse-names":false,"suffix":""},{"dropping-particle":"","family":"Knight","given":"Stephen","non-dropping-particle":"","parse-names":false,"suffix":""},{"dropping-particle":"","family":"Mclean","given":"Kenneth A","non-dropping-particle":"","parse-names":false,"suffix":""},{"dropping-particle":"","family":"Murphy","given":"Derek","non-dropping-particle":"","parse-names":false,"suffix":""},{"dropping-particle":"","family":"Shaw","given":"Catherine A","non-dropping-particle":"","parse-names":false,"suffix":""},{"dropping-particle":"","family":"Dalton","given":"Jo","non-dropping-particle":"","parse-names":false,"suffix":""},{"dropping-particle":"","family":"Lee","given":"James","non-dropping-particle":"","parse-names":false,"suffix":""},{"dropping-particle":"","family":"Plotkin","given":"Daniel","non-dropping-particle":"","parse-names":false,"suffix":""},{"dropping-particle":"","family":"Girvan","given":"Michelle","non-dropping-particle":"","parse-names":false,"suffix":""},{"dropping-particle":"","family":"Mullaney","given":"Scott","non-dropping-particle":"","parse-names":false,"suffix":""},{"dropping-particle":"","family":"Petersen","given":"Claire","non-dropping-particle":"","parse-names":false,"suffix":""},{"dropping-particle":"","family":"Saviciute","given":"Egle","non-dropping-particle":"","parse-names":false,"suffix":""},{"dropping-particle":"","family":"Roberts","given":"Stephanie","non-dropping-particle":"","parse-names":false,"suffix":""},{"dropping-particle":"","family":"Harrison","given":"Janet","non-dropping-particle":"","parse-names":false,"suffix":""},{"dropping-particle":"","family":"Marsh","given":"Laura","non-dropping-particle":"","parse-names":false,"suffix":""},{"dropping-particle":"","family":"Connor","given":"Marie","non-dropping-particle":"","parse-names":false,"suffix":""},{"dropping-particle":"","family":"Halpin","given":"Sophie","non-dropping-particle":"","parse-names":false,"suffix":""},{"dropping-particle":"","family":"Jackson","given":"Clare","non-dropping-particle":"","parse-names":false,"suffix":""},{"dropping-particle":"","family":"Gamble","given":"Carrol","non-dropping-particle":"","parse-names":false,"suffix":""},{"dropping-particle":"","family":"Leeming","given":"Gary","non-dropping-particle":"","parse-names":false,"suffix":""},{"dropping-particle":"","family":"Law","given":"Andrew","non-dropping-particle":"","parse-names":false,"suffix":""},{"dropping-particle":"","family":"Wham","given":"Murray","non-dropping-particle":"","parse-names":false,"suffix":""},{"dropping-particle":"","family":"Clohisey","given":"Sara","non-dropping-particle":"","parse-names":false,"suffix":""},{"dropping-particle":"","family":"Hendry","given":"Ross","non-dropping-particle":"","parse-names":false,"suffix":""},{"dropping-particle":"","family":"Scott-Brown","given":"James","non-dropping-particle":"","parse-names":false,"suffix":""},{"dropping-particle":"","family":"Greenhalf","given":"William","non-dropping-particle":"","parse-names":false,"suffix":""},{"dropping-particle":"","family":"Shaw","given":"Victoria","non-dropping-particle":"","parse-names":false,"suffix":""},{"dropping-particle":"","family":"McDonald","given":"Sarah","non-dropping-particle":"","parse-names":false,"suffix":""},{"dropping-particle":"","family":"Keating","given":"Seán","non-dropping-particle":"","parse-names":false,"suffix":""},{"dropping-particle":"","family":"Ahmed","given":"Katie A","non-dropping-particle":"","parse-names":false,"suffix":""},{"dropping-particle":"","family":"Armstrong","given":"Jane A","non-dropping-particle":"","parse-names":false,"suffix":""},{"dropping-particle":"","family":"Ashworth","given":"Milton","non-dropping-particle":"","parse-names":false,"suffix":""},{"dropping-particle":"","family":"Asiimwe","given":"Innocent G","non-dropping-particle":"","parse-names":false,"suffix":""},{"dropping-particle":"","family":"Bakshi","given":"Siddharth","non-dropping-particle":"","parse-names":false,"suffix":""},{"dropping-particle":"","family":"Barlow","given":"Samantha L","non-dropping-particle":"","parse-names":false,"suffix":""},{"dropping-particle":"","family":"Booth","given":"Laura","non-dropping-particle":"","parse-names":false,"suffix":""},{"dropping-particle":"","family":"Brennan","given":"Benjamin","non-dropping-particle":"","parse-names":false,"suffix":""},{"dropping-particle":"","family":"Bullock","given":"Katie","non-dropping-particle":"","parse-names":false,"suffix":""},{"dropping-particle":"","family":"Catterall","given":"Benjamin W A","non-dropping-particle":"","parse-names":false,"suffix":""},{"dropping-particle":"","family":"Clark","given":"Jordan J","non-dropping-particle":"","parse-names":false,"suffix":""},{"dropping-particle":"","family":"Clarke","given":"Emily A","non-dropping-particle":"","parse-names":false,"suffix":""},{"dropping-particle":"","family":"Cole","given":"Sarah","non-dropping-particle":"","parse-names":false,"suffix":""},{"dropping-particle":"","family":"Cooper","given":"Louise","non-dropping-particle":"","parse-names":false,"suffix":""},{"dropping-particle":"","family":"Cox","given":"Helen","non-dropping-particle":"","parse-names":false,"suffix":""},{"dropping-particle":"","family":"Davis","given":"Christopher","non-dropping-particle":"","parse-names":false,"suffix":""},{"dropping-particle":"","family":"Dincarslan","given":"Oslem","non-dropping-particle":"","parse-names":false,"suffix":""},{"dropping-particle":"","family":"Dunn","given":"Chris","non-dropping-particle":"","parse-names":false,"suffix":""},{"dropping-particle":"","family":"Dyer","given":"Philip","non-dropping-particle":"","parse-names":false,"suffix":""},{"dropping-particle":"","family":"Elliott","given":"Angela","non-dropping-particle":"","parse-names":false,"suffix":""},{"dropping-particle":"","family":"Evans","given":"Anthony","non-dropping-particle":"","parse-names":false,"suffix":""},{"dropping-particle":"","family":"Finch","given":"Lorna","non-dropping-particle":"","parse-names":false,"suffix":""},{"dropping-particle":"","family":"Fisher","given":"Lewis W S","non-dropping-particle":"","parse-names":false,"suffix":""},{"dropping-particle":"","family":"Foster","given":"Terry","non-dropping-particle":"","parse-names":false,"suffix":""},{"dropping-particle":"","family":"Garcia-Dorival","given":"Isabel","non-dropping-particle":"","parse-names":false,"suffix":""},{"dropping-particle":"","family":"Greenhalf","given":"Willliam","non-dropping-particle":"","parse-names":false,"suffix":""},{"dropping-particle":"","family":"Gunning","given":"Philip","non-dropping-particle":"","parse-names":false,"suffix":""},{"dropping-particle":"","family":"Hartley","given":"Catherine","non-dropping-particle":"","parse-names":false,"suffix":""},{"dropping-particle":"","family":"Ho","given":"Antonia","non-dropping-particle":"","parse-names":false,"suffix":""},{"dropping-particle":"","family":"Jensen","given":"Rebecca L","non-dropping-particle":"","parse-names":false,"suffix":""},{"dropping-particle":"","family":"Jones","given":"Christopher B","non-dropping-particle":"","parse-names":false,"suffix":""},{"dropping-particle":"","family":"Jones","given":"Trevor R","non-dropping-particle":"","parse-names":false,"suffix":""},{"dropping-particle":"","family":"Khandaker","given":"Shadia","non-dropping-particle":"","parse-names":false,"suffix":""},{"dropping-particle":"","family":"King","given":"Katharine","non-dropping-particle":"","parse-names":false,"suffix":""},{"dropping-particle":"","family":"Kiy","given":"Robyn T","non-dropping-particle":"","parse-names":false,"suffix":""},{"dropping-particle":"","family":"Koukorava","given":"Chrysa","non-dropping-particle":"","parse-names":false,"suffix":""},{"dropping-particle":"","family":"Lake","given":"Annette","non-dropping-particle":"","parse-names":false,"suffix":""},{"dropping-particle":"","family":"Lant","given":"Suzannah","non-dropping-particle":"","parse-names":false,"suffix":""},{"dropping-particle":"","family":"Latawiec","given":"Diane","non-dropping-particle":"","parse-names":false,"suffix":""},{"dropping-particle":"","family":"Lavelle-Langham","given":"L","non-dropping-particle":"","parse-names":false,"suffix":""},{"dropping-particle":"","family":"Lefteri","given":"Daniella","non-dropping-particle":"","parse-names":false,"suffix":""},{"dropping-particle":"","family":"Lett","given":"Lauren","non-dropping-particle":"","parse-names":false,"suffix":""},{"dropping-particle":"","family":"Livoti","given":"Lucia A","non-dropping-particle":"","parse-names":false,"suffix":""},{"dropping-particle":"","family":"Mancini","given":"Maria","non-dropping-particle":"","parse-names":false,"suffix":""},{"dropping-particle":"","family":"McDonald","given":"Sarah","non-dropping-particle":"","parse-names":false,"suffix":""},{"dropping-particle":"","family":"McEvoy","given":"Laurence","non-dropping-particle":"","parse-names":false,"suffix":""},{"dropping-particle":"","family":"McLauchlan","given":"John","non-dropping-particle":"","parse-names":false,"suffix":""},{"dropping-particle":"","family":"Metelmann","given":"Soeren","non-dropping-particle":"","parse-names":false,"suffix":""},{"dropping-particle":"","family":"Miah","given":"Nahida S","non-dropping-particle":"","parse-names":false,"suffix":""},{"dropping-particle":"","family":"Middleton","given":"Joanna","non-dropping-particle":"","parse-names":false,"suffix":""},{"dropping-particle":"","family":"Mitchell","given":"Joyce","non-dropping-particle":"","parse-names":false,"suffix":""},{"dropping-particle":"","family":"Moore","given":"Shona C","non-dropping-particle":"","parse-names":false,"suffix":""},{"dropping-particle":"","family":"Murphy","given":"Ellen G","non-dropping-particle":"","parse-names":false,"suffix":""},{"dropping-particle":"","family":"Penrice-Randal","given":"Rebekah","non-dropping-particle":"","parse-names":false,"suffix":""},{"dropping-particle":"","family":"Pilgrim","given":"Jack","non-dropping-particle":"","parse-names":false,"suffix":""},{"dropping-particle":"","family":"Prince","given":"Tessa","non-dropping-particle":"","parse-names":false,"suffix":""},{"dropping-particle":"","family":"Reynolds","given":"Will","non-dropping-particle":"","parse-names":false,"suffix":""},{"dropping-particle":"","family":"Ridley","given":"P Matthew","non-dropping-particle":"","parse-names":false,"suffix":""},{"dropping-particle":"","family":"Sales","given":"Debby","non-dropping-particle":"","parse-names":false,"suffix":""},{"dropping-particle":"","family":"Shaw","given":"Victoria E","non-dropping-particle":"","parse-names":false,"suffix":""},{"dropping-particle":"","family":"Shears","given":"Rebecca K","non-dropping-particle":"","parse-names":false,"suffix":""},{"dropping-particle":"","family":"Small","given":"Benjamin","non-dropping-particle":"","parse-names":false,"suffix":""},{"dropping-particle":"","family":"Subramaniam","given":"Krishanthi S","non-dropping-particle":"","parse-names":false,"suffix":""},{"dropping-particle":"","family":"Szemiel","given":"Agnieska","non-dropping-particle":"","parse-names":false,"suffix":""},{"dropping-particle":"","family":"Taggart","given":"Aislynn","non-dropping-particle":"","parse-names":false,"suffix":""},{"dropping-particle":"","family":"Tanianis-Hughes","given":"Jolanta","non-dropping-particle":"","parse-names":false,"suffix":""},{"dropping-particle":"","family":"Thomas","given":"Jordan","non-dropping-particle":"","parse-names":false,"suffix":""},{"dropping-particle":"","family":"Trochu","given":"Erwan","non-dropping-particle":"","parse-names":false,"suffix":""},{"dropping-particle":"","family":"Tonder","given":"Libby","non-dropping-particle":"van","parse-names":false,"suffix":""},{"dropping-particle":"","family":"Wilcock","given":"Eve","non-dropping-particle":"","parse-names":false,"suffix":""},{"dropping-particle":"","family":"Zhang","given":"J Eunice","non-dropping-particle":"","parse-names":false,"suffix":""},{"dropping-particle":"","family":"Adeniji","given":"Kayode","non-dropping-particle":"","parse-names":false,"suffix":""},{"dropping-particle":"","family":"Agranoff","given":"Daniel","non-dropping-particle":"","parse-names":false,"suffix":""},{"dropping-particle":"","family":"Agwuh","given":"Ken","non-dropping-particle":"","parse-names":false,"suffix":""},{"dropping-particle":"","family":"Ail","given":"Dhiraj","non-dropping-particle":"","parse-names":false,"suffix":""},{"dropping-particle":"","family":"Alegria","given":"Ana","non-dropping-particle":"","parse-names":false,"suffix":""},{"dropping-particle":"","family":"Angus","given":"Brian","non-dropping-particle":"","parse-names":false,"suffix":""},{"dropping-particle":"","family":"Ashish","given":"Abdul","non-dropping-particle":"","parse-names":false,"suffix":""},{"dropping-particle":"","family":"Atkinson","given":"Dougal","non-dropping-particle":"","parse-names":false,"suffix":""},{"dropping-particle":"","family":"Bari","given":"Shahedal","non-dropping-particle":"","parse-names":false,"suffix":""},{"dropping-particle":"","family":"Barlow","given":"Gavin","non-dropping-particle":"","parse-names":false,"suffix":""},{"dropping-particle":"","family":"Barnass","given":"Stella","non-dropping-particle":"","parse-names":false,"suffix":""},{"dropping-particle":"","family":"Barrett","given":"Nicholas","non-dropping-particle":"","parse-names":false,"suffix":""},{"dropping-particle":"","family":"Bassford","given":"Christopher","non-dropping-particle":"","parse-names":false,"suffix":""},{"dropping-particle":"","family":"Baxter","given":"David","non-dropping-particle":"","parse-names":false,"suffix":""},{"dropping-particle":"","family":"Beadsworth","given":"Michael","non-dropping-particle":"","parse-names":false,"suffix":""},{"dropping-particle":"","family":"Bernatoniene","given":"Jolanta","non-dropping-particle":"","parse-names":false,"suffix":""},{"dropping-particle":"","family":"Berridge","given":"John","non-dropping-particle":"","parse-names":false,"suffix":""},{"dropping-particle":"","family":"Best","given":"Nicola","non-dropping-particle":"","parse-names":false,"suffix":""},{"dropping-particle":"","family":"Bothma","given":"Pieter","non-dropping-particle":"","parse-names":false,"suffix":""},{"dropping-particle":"","family":"Brealey","given":"David","non-dropping-particle":"","parse-names":false,"suffix":""},{"dropping-particle":"","family":"Brittain-Long","given":"Robin","non-dropping-particle":"","parse-names":false,"suffix":""},{"dropping-particle":"","family":"Bulteel","given":"Naomi","non-dropping-particle":"","parse-names":false,"suffix":""},{"dropping-particle":"","family":"Burden","given":"Tom","non-dropping-particle":"","parse-names":false,"suffix":""},{"dropping-particle":"","family":"Burtenshaw","given":"Andrew","non-dropping-particle":"","parse-names":false,"suffix":""},{"dropping-particle":"","family":"Caruth","given":"Vikki","non-dropping-particle":"","parse-names":false,"suffix":""},{"dropping-particle":"","family":"Chadwick","given":"David","non-dropping-particle":"","parse-names":false,"suffix":""},{"dropping-particle":"","family":"Chambler","given":"Duncan","non-dropping-particle":"","parse-names":false,"suffix":""},{"dropping-particle":"","family":"Chee","given":"Nigel","non-dropping-particle":"","parse-names":false,"suffix":""},{"dropping-particle":"","family":"Child","given":"Jenny","non-dropping-particle":"","parse-names":false,"suffix":""},{"dropping-particle":"","family":"Chukkambotla","given":"Srikanth","non-dropping-particle":"","parse-names":false,"suffix":""},{"dropping-particle":"","family":"Clark","given":"Tom","non-dropping-particle":"","parse-names":false,"suffix":""},{"dropping-particle":"","family":"Collini","given":"Paul","non-dropping-particle":"","parse-names":false,"suffix":""},{"dropping-particle":"","family":"Cosgrove","given":"Catherine","non-dropping-particle":"","parse-names":false,"suffix":""},{"dropping-particle":"","family":"Cupitt","given":"Jason","non-dropping-particle":"","parse-names":false,"suffix":""},{"dropping-particle":"","family":"Cutino-Moguel","given":"Maria-Teresa","non-dropping-particle":"","parse-names":false,"suffix":""},{"dropping-particle":"","family":"Dark","given":"Paul","non-dropping-particle":"","parse-names":false,"suffix":""},{"dropping-particle":"","family":"Dawson","given":"Chris","non-dropping-particle":"","parse-names":false,"suffix":""},{"dropping-particle":"","family":"Dervisevic","given":"Samir","non-dropping-particle":"","parse-names":false,"suffix":""},{"dropping-particle":"","family":"Donnison","given":"Phil","non-dropping-particle":"","parse-names":false,"suffix":""},{"dropping-particle":"","family":"Douthwaite","given":"Sam","non-dropping-particle":"","parse-names":false,"suffix":""},{"dropping-particle":"","family":"DuRand","given":"Ingrid","non-dropping-particle":"","parse-names":false,"suffix":""},{"dropping-particle":"","family":"Dushianthan","given":"Ahilanadan","non-dropping-particle":"","parse-names":false,"suffix":""},{"dropping-particle":"","family":"Dyer","given":"Tristan","non-dropping-particle":"","parse-names":false,"suffix":""},{"dropping-particle":"","family":"Evans","given":"Cariad","non-dropping-particle":"","parse-names":false,"suffix":""},{"dropping-particle":"","family":"Eziefula","given":"Chi","non-dropping-particle":"","parse-names":false,"suffix":""},{"dropping-particle":"","family":"Fegan","given":"Chrisopher","non-dropping-particle":"","parse-names":false,"suffix":""},{"dropping-particle":"","family":"Finn","given":"Adam","non-dropping-particle":"","parse-names":false,"suffix":""},{"dropping-particle":"","family":"Fullerton","given":"Duncan","non-dropping-particle":"","parse-names":false,"suffix":""},{"dropping-particle":"","family":"Garg","given":"Sanjeev","non-dropping-particle":"","parse-names":false,"suffix":""},{"dropping-particle":"","family":"Garg","given":"Sanjeev","non-dropping-particle":"","parse-names":false,"suffix":""},{"dropping-particle":"","family":"Garg","given":"Atul","non-dropping-particle":"","parse-names":false,"suffix":""},{"dropping-particle":"","family":"Gkrania-Klotsas","given":"Effrossyni","non-dropping-particle":"","parse-names":false,"suffix":""},{"dropping-particle":"","family":"Godden","given":"Jo","non-dropping-particle":"","parse-names":false,"suffix":""},{"dropping-particle":"","family":"Goldsmith","given":"Arthur","non-dropping-particle":"","parse-names":false,"suffix":""},{"dropping-particle":"","family":"Graham","given":"Clive","non-dropping-particle":"","parse-names":false,"suffix":""},{"dropping-particle":"","family":"Hardy","given":"Elaine","non-dropping-particle":"","parse-names":false,"suffix":""},{"dropping-particle":"","family":"Hartshorn","given":"Stuart","non-dropping-particle":"","parse-names":false,"suffix":""},{"dropping-particle":"","family":"Harvey","given":"Daniel","non-dropping-particle":"","parse-names":false,"suffix":""},{"dropping-particle":"","family":"Havalda","given":"Peter","non-dropping-particle":"","parse-names":false,"suffix":""},{"dropping-particle":"","family":"Hawcutt","given":"Daniel B","non-dropping-particle":"","parse-names":false,"suffix":""},{"dropping-particle":"","family":"Hobrok","given":"Maria","non-dropping-particle":"","parse-names":false,"suffix":""},{"dropping-particle":"","family":"Hodgson","given":"Luke","non-dropping-particle":"","parse-names":false,"suffix":""},{"dropping-particle":"","family":"Hormis","given":"Anil","non-dropping-particle":"","parse-names":false,"suffix":""},{"dropping-particle":"","family":"Jacobs","given":"Michael","non-dropping-particle":"","parse-names":false,"suffix":""},{"dropping-particle":"","family":"Jain","given":"Susan","non-dropping-particle":"","parse-names":false,"suffix":""},{"dropping-particle":"","family":"Jennings","given":"Paul","non-dropping-particle":"","parse-names":false,"suffix":""},{"dropping-particle":"","family":"Kaliappan","given":"Agilan","non-dropping-particle":"","parse-names":false,"suffix":""},{"dropping-particle":"","family":"Kasipandian","given":"Vidya","non-dropping-particle":"","parse-names":false,"suffix":""},{"dropping-particle":"","family":"Kegg","given":"Stephen","non-dropping-particle":"","parse-names":false,"suffix":""},{"dropping-particle":"","family":"Kelsey","given":"Michael","non-dropping-particle":"","parse-names":false,"suffix":""},{"dropping-particle":"","family":"Kendall","given":"Jason","non-dropping-particle":"","parse-names":false,"suffix":""},{"dropping-particle":"","family":"Kerrison","given":"Caroline","non-dropping-particle":"","parse-names":false,"suffix":""},{"dropping-particle":"","family":"Kerslake","given":"Ian","non-dropping-particle":"","parse-names":false,"suffix":""},{"dropping-particle":"","family":"Koch","given":"Oliver","non-dropping-particle":"","parse-names":false,"suffix":""},{"dropping-particle":"","family":"Koduri","given":"Gouri","non-dropping-particle":"","parse-names":false,"suffix":""},{"dropping-particle":"","family":"Koshy","given":"George","non-dropping-particle":"","parse-names":false,"suffix":""},{"dropping-particle":"","family":"Laha","given":"Shondipon","non-dropping-particle":"","parse-names":false,"suffix":""},{"dropping-particle":"","family":"Laird","given":"Steven","non-dropping-particle":"","parse-names":false,"suffix":""},{"dropping-particle":"","family":"Larkin","given":"Susan","non-dropping-particle":"","parse-names":false,"suffix":""},{"dropping-particle":"","family":"Leiner","given":"Tamas","non-dropping-particle":"","parse-names":false,"suffix":""},{"dropping-particle":"","family":"Lillie","given":"Patrick","non-dropping-particle":"","parse-names":false,"suffix":""},{"dropping-particle":"","family":"Limb","given":"James","non-dropping-particle":"","parse-names":false,"suffix":""},{"dropping-particle":"","family":"Linnett","given":"Vanessa","non-dropping-particle":"","parse-names":false,"suffix":""},{"dropping-particle":"","family":"Little","given":"Jeff","non-dropping-particle":"","parse-names":false,"suffix":""},{"dropping-particle":"","family":"MacMahon","given":"Michael","non-dropping-particle":"","parse-names":false,"suffix":""},{"dropping-particle":"","family":"MacNaughton","given":"Emily","non-dropping-particle":"","parse-names":false,"suffix":""},{"dropping-particle":"","family":"Mankregod","given":"Ravish","non-dropping-particle":"","parse-names":false,"suffix":""},{"dropping-particle":"","family":"Masson","given":"Huw","non-dropping-particle":"","parse-names":false,"suffix":""},{"dropping-particle":"","family":"Matovu","given":"Elijah","non-dropping-particle":"","parse-names":false,"suffix":""},{"dropping-particle":"","family":"McCullough","given":"Katherine","non-dropping-particle":"","parse-names":false,"suffix":""},{"dropping-particle":"","family":"McEwen","given":"Ruth","non-dropping-particle":"","parse-names":false,"suffix":""},{"dropping-particle":"","family":"Meda","given":"Manjula","non-dropping-particle":"","parse-names":false,"suffix":""},{"dropping-particle":"","family":"Mills","given":"Gary","non-dropping-particle":"","parse-names":false,"suffix":""},{"dropping-particle":"","family":"Minton","given":"Jane","non-dropping-particle":"","parse-names":false,"suffix":""},{"dropping-particle":"","family":"Mirfenderesky","given":"Mariyam","non-dropping-particle":"","parse-names":false,"suffix":""},{"dropping-particle":"","family":"Mohandas","given":"Kavya","non-dropping-particle":"","parse-names":false,"suffix":""},{"dropping-particle":"","family":"Mok","given":"Quen","non-dropping-particle":"","parse-names":false,"suffix":""},{"dropping-particle":"","family":"Moon","given":"James","non-dropping-particle":"","parse-names":false,"suffix":""},{"dropping-particle":"","family":"Moore","given":"Elinoor","non-dropping-particle":"","parse-names":false,"suffix":""},{"dropping-particle":"","family":"Morgan","given":"Patrick","non-dropping-particle":"","parse-names":false,"suffix":""},{"dropping-particle":"","family":"Morris","given":"Craig","non-dropping-particle":"","parse-names":false,"suffix":""},{"dropping-particle":"","family":"Mortimore","given":"Katherine","non-dropping-particle":"","parse-names":false,"suffix":""},{"dropping-particle":"","family":"Moses","given":"Samuel","non-dropping-particle":"","parse-names":false,"suffix":""},{"dropping-particle":"","family":"Mpenge","given":"Mbiye","non-dropping-particle":"","parse-names":false,"suffix":""},{"dropping-particle":"","family":"Mulla","given":"Rohinton","non-dropping-particle":"","parse-names":false,"suffix":""},{"dropping-particle":"","family":"Murphy","given":"Michael","non-dropping-particle":"","parse-names":false,"suffix":""},{"dropping-particle":"","family":"Nagel","given":"Megan","non-dropping-particle":"","parse-names":false,"suffix":""},{"dropping-particle":"","family":"Nagarajan","given":"Thapas","non-dropping-particle":"","parse-names":false,"suffix":""},{"dropping-particle":"","family":"Nelson","given":"Mark","non-dropping-particle":"","parse-names":false,"suffix":""},{"dropping-particle":"","family":"Otahal","given":"Igor","non-dropping-particle":"","parse-names":false,"suffix":""},{"dropping-particle":"","family":"Pais","given":"Mark","non-dropping-particle":"","parse-names":false,"suffix":""},{"dropping-particle":"","family":"Panchatsharam","given":"Selva","non-dropping-particle":"","parse-names":false,"suffix":""},{"dropping-particle":"","family":"Paraiso","given":"Hassan","non-dropping-particle":"","parse-names":false,"suffix":""},{"dropping-particle":"","family":"Patel","given":"Brij","non-dropping-particle":"","parse-names":false,"suffix":""},{"dropping-particle":"","family":"Pattison","given":"Natalie","non-dropping-particle":"","parse-names":false,"suffix":""},{"dropping-particle":"","family":"Pepperell","given":"Justin","non-dropping-particle":"","parse-names":false,"suffix":""},{"dropping-particle":"","family":"Peters","given":"Mark","non-dropping-particle":"","parse-names":false,"suffix":""},{"dropping-particle":"","family":"Phull","given":"Mandeep","non-dropping-particle":"","parse-names":false,"suffix":""},{"dropping-particle":"","family":"Pintus","given":"Stefania","non-dropping-particle":"","parse-names":false,"suffix":""},{"dropping-particle":"","family":"Pooni","given":"Jagtur Singh","non-dropping-particle":"","parse-names":false,"suffix":""},{"dropping-particle":"","family":"Post","given":"Frank","non-dropping-particle":"","parse-names":false,"suffix":""},{"dropping-particle":"","family":"Price","given":"David","non-dropping-particle":"","parse-names":false,"suffix":""},{"dropping-particle":"","family":"Prout","given":"Rachel","non-dropping-particle":"","parse-names":false,"suffix":""},{"dropping-particle":"","family":"Rae","given":"Nikolas","non-dropping-particle":"","parse-names":false,"suffix":""},{"dropping-particle":"","family":"Reschreiter","given":"Henrik","non-dropping-particle":"","parse-names":false,"suffix":""},{"dropping-particle":"","family":"Reynolds","given":"Tim","non-dropping-particle":"","parse-names":false,"suffix":""},{"dropping-particle":"","family":"Richardson","given":"Neil","non-dropping-particle":"","parse-names":false,"suffix":""},{"dropping-particle":"","family":"Roberts","given":"Mark","non-dropping-particle":"","parse-names":false,"suffix":""},{"dropping-particle":"","family":"Roberts","given":"Devender","non-dropping-particle":"","parse-names":false,"suffix":""},{"dropping-particle":"","family":"Rose","given":"Alistair","non-dropping-particle":"","parse-names":false,"suffix":""},{"dropping-particle":"","family":"Rousseau","given":"Guy","non-dropping-particle":"","parse-names":false,"suffix":""},{"dropping-particle":"","family":"Ryan","given":"Brendan","non-dropping-particle":"","parse-names":false,"suffix":""},{"dropping-particle":"","family":"Saluja","given":"Taranprit","non-dropping-particle":"","parse-names":false,"suffix":""},{"dropping-particle":"","family":"Shah","given":"Aarti","non-dropping-particle":"","parse-names":false,"suffix":""},{"dropping-particle":"","family":"Shanmuga","given":"Prad","non-dropping-particle":"","parse-names":false,"suffix":""},{"dropping-particle":"","family":"Sharma","given":"Anil","non-dropping-particle":"","parse-names":false,"suffix":""},{"dropping-particle":"","family":"Shawcross","given":"Anna","non-dropping-particle":"","parse-names":false,"suffix":""},{"dropping-particle":"","family":"Sizer","given":"Jeremy","non-dropping-particle":"","parse-names":false,"suffix":""},{"dropping-particle":"","family":"Shankar-Hari","given":"Manu","non-dropping-particle":"","parse-names":false,"suffix":""},{"dropping-particle":"","family":"Smith","given":"Richard","non-dropping-particle":"","parse-names":false,"suffix":""},{"dropping-particle":"","family":"Snelson","given":"Catherine","non-dropping-particle":"","parse-names":false,"suffix":""},{"dropping-particle":"","family":"Spittle","given":"Nick","non-dropping-particle":"","parse-names":false,"suffix":""},{"dropping-particle":"","family":"Staines","given":"Nikki","non-dropping-particle":"","parse-names":false,"suffix":""},{"dropping-particle":"","family":"Stambach","given":"Tom","non-dropping-particle":"","parse-names":false,"suffix":""},{"dropping-particle":"","family":"Stewart","given":"Richard","non-dropping-particle":"","parse-names":false,"suffix":""},{"dropping-particle":"","family":"Subudhi","given":"Pradeep","non-dropping-particle":"","parse-names":false,"suffix":""},{"dropping-particle":"","family":"Szakmany","given":"Tamas","non-dropping-particle":"","parse-names":false,"suffix":""},{"dropping-particle":"","family":"Tatham","given":"Kate","non-dropping-particle":"","parse-names":false,"suffix":""},{"dropping-particle":"","family":"Thomas","given":"Jo","non-dropping-particle":"","parse-names":false,"suffix":""},{"dropping-particle":"","family":"Thompson","given":"Chris","non-dropping-particle":"","parse-names":false,"suffix":""},{"dropping-particle":"","family":"Thompson","given":"Robert","non-dropping-particle":"","parse-names":false,"suffix":""},{"dropping-particle":"","family":"Tridente","given":"Ascanio","non-dropping-particle":"","parse-names":false,"suffix":""},{"dropping-particle":"","family":"Tupper-Carey","given":"Darell","non-dropping-particle":"","parse-names":false,"suffix":""},{"dropping-particle":"","family":"Twagira","given":"Mary","non-dropping-particle":"","parse-names":false,"suffix":""},{"dropping-particle":"","family":"Ustianowski","given":"Andrew","non-dropping-particle":"","parse-names":false,"suffix":""},{"dropping-particle":"","family":"Vallotton","given":"Nick","non-dropping-particle":"","parse-names":false,"suffix":""},{"dropping-particle":"","family":"Vincent-Smith","given":"Lisa","non-dropping-particle":"","parse-names":false,"suffix":""},{"dropping-particle":"","family":"Visuvanathan","given":"Shico","non-dropping-particle":"","parse-names":false,"suffix":""},{"dropping-particle":"","family":"Vuylsteke","given":"Alan","non-dropping-particle":"","parse-names":false,"suffix":""},{"dropping-particle":"","family":"Waddy","given":"Sam","non-dropping-particle":"","parse-names":false,"suffix":""},{"dropping-particle":"","family":"Wake","given":"Rachel","non-dropping-particle":"","parse-names":false,"suffix":""},{"dropping-particle":"","family":"Walden","given":"Andrew","non-dropping-particle":"","parse-names":false,"suffix":""},{"dropping-particle":"","family":"Welters","given":"Ingeborg","non-dropping-particle":"","parse-names":false,"suffix":""},{"dropping-particle":"","family":"Whitehouse","given":"Tony","non-dropping-particle":"","parse-names":false,"suffix":""},{"dropping-particle":"","family":"Whittaker","given":"Paul","non-dropping-particle":"","parse-names":false,"suffix":""},{"dropping-particle":"","family":"Whittington","given":"Ashley","non-dropping-particle":"","parse-names":false,"suffix":""},{"dropping-particle":"","family":"Wijesinghe","given":"Meme","non-dropping-particle":"","parse-names":false,"suffix":""},{"dropping-particle":"","family":"Williams","given":"Martin","non-dropping-particle":"","parse-names":false,"suffix":""},{"dropping-particle":"","family":"Wilson","given":"Lawrence","non-dropping-particle":"","parse-names":false,"suffix":""},{"dropping-particle":"","family":"Wilson","given":"Sarah","non-dropping-particle":"","parse-names":false,"suffix":""},{"dropping-particle":"","family":"Winchester","given":"Stephen","non-dropping-particle":"","parse-names":false,"suffix":""},{"dropping-particle":"","family":"Wiselka","given":"Martin","non-dropping-particle":"","parse-names":false,"suffix":""},{"dropping-particle":"","family":"Wolverson","given":"Adam","non-dropping-particle":"","parse-names":false,"suffix":""},{"dropping-particle":"","family":"Wooton","given":"Daniel G","non-dropping-particle":"","parse-names":false,"suffix":""},{"dropping-particle":"","family":"Workman","given":"Andrew","non-dropping-particle":"","parse-names":false,"suffix":""},{"dropping-particle":"","family":"Yates","given":"Bryan","non-dropping-particle":"","parse-names":false,"suffix":""},{"dropping-particle":"","family":"Young","given":"Peter","non-dropping-particle":"","parse-names":false,"suffix":""}],"container-title":"The Lancet Respiratory Medicine","id":"ITEM-2","issue":"0","issued":{"date-parts":[["2021","3","5"]]},"note":"doi: 10.1016/S2213-2600(20)30559-2","publisher":"Elsevier","title":"Development and validation of the ISARIC 4C Deterioration model for adults hospitalised with COVID-19: a prospective cohort study","type":"article-journal","volume":"0"},"uris":["http://www.mendeley.com/documents/?uuid=fd74dcda-7cc6-43b3-8b04-1af5bd50816c"]}],"mendeley":{"formattedCitation":"&lt;sup&gt;25,26&lt;/sup&gt;","plainTextFormattedCitation":"25,26","previouslyFormattedCitation":"&lt;sup&gt;25,26&lt;/sup&gt;"},"properties":{"noteIndex":0},"schema":"https://github.com/citation-style-language/schema/raw/master/csl-citation.json"}</w:instrText>
      </w:r>
      <w:r w:rsidRPr="5FE4A518">
        <w:rPr>
          <w:rFonts w:asciiTheme="majorHAnsi" w:hAnsiTheme="majorHAnsi" w:cstheme="majorBidi"/>
        </w:rPr>
        <w:fldChar w:fldCharType="separate"/>
      </w:r>
      <w:r w:rsidR="00215AAA" w:rsidRPr="00215AAA">
        <w:rPr>
          <w:rFonts w:asciiTheme="majorHAnsi" w:hAnsiTheme="majorHAnsi" w:cstheme="majorBidi"/>
          <w:noProof/>
          <w:vertAlign w:val="superscript"/>
        </w:rPr>
        <w:t>25,26</w:t>
      </w:r>
      <w:r w:rsidRPr="5FE4A518">
        <w:rPr>
          <w:rFonts w:asciiTheme="majorHAnsi" w:hAnsiTheme="majorHAnsi" w:cstheme="majorBidi"/>
        </w:rPr>
        <w:fldChar w:fldCharType="end"/>
      </w:r>
      <w:r w:rsidRPr="5FE4A518">
        <w:rPr>
          <w:rFonts w:asciiTheme="majorHAnsi" w:hAnsiTheme="majorHAnsi" w:cstheme="majorBidi"/>
        </w:rPr>
        <w:t>;</w:t>
      </w:r>
      <w:r w:rsidR="00D22EEE" w:rsidRPr="5FE4A518">
        <w:rPr>
          <w:rFonts w:asciiTheme="majorHAnsi" w:hAnsiTheme="majorHAnsi" w:cstheme="majorBidi"/>
        </w:rPr>
        <w:t xml:space="preserve"> </w:t>
      </w:r>
      <w:r w:rsidRPr="5FE4A518">
        <w:rPr>
          <w:rFonts w:asciiTheme="majorHAnsi" w:hAnsiTheme="majorHAnsi" w:cstheme="majorBidi"/>
        </w:rPr>
        <w:t>RECOVER included the Acute Physiology and Chronic Health Evaluation</w:t>
      </w:r>
      <w:r w:rsidR="00885263" w:rsidRPr="5FE4A518">
        <w:rPr>
          <w:rFonts w:asciiTheme="majorHAnsi" w:hAnsiTheme="majorHAnsi" w:cstheme="majorBidi"/>
        </w:rPr>
        <w:t>-</w:t>
      </w:r>
      <w:r w:rsidRPr="5FE4A518">
        <w:rPr>
          <w:rFonts w:asciiTheme="majorHAnsi" w:hAnsiTheme="majorHAnsi" w:cstheme="majorBidi"/>
        </w:rPr>
        <w:t>II (APACHE-II) score</w:t>
      </w:r>
      <w:r w:rsidRPr="5FE4A518">
        <w:rPr>
          <w:rFonts w:asciiTheme="majorHAnsi" w:hAnsiTheme="majorHAnsi" w:cstheme="majorBidi"/>
        </w:rPr>
        <w:fldChar w:fldCharType="begin" w:fldLock="1"/>
      </w:r>
      <w:r w:rsidR="00CD1BCF">
        <w:rPr>
          <w:rFonts w:asciiTheme="majorHAnsi" w:hAnsiTheme="majorHAnsi" w:cstheme="majorBidi"/>
        </w:rPr>
        <w:instrText>ADDIN CSL_CITATION {"citationItems":[{"id":"ITEM-1","itemData":{"DOI":"10.3346/jkms.2009.24.3.420","ISSN":"1598-6357 (Electronic)","PMID":"19543503","abstract":"We study the predictive power of Acute Physiology and Chronic Health Evaluation II  (APACHE II) and Simplified Acute Physiology Score II (SAPS II) in neurosurgical intensive care unit (ICU) patients. Retrospective investigation was conducted on 672 consecutive ICU patients during the last 2 yr. Data were collected during the first 24 hours of admission and analyzed to calculate predicted mortality. Mortality predicted by two systems was compared and, multivariate analyses were then performed for subarachnoid hemorrhage (SAH) and traumatic brain injury (TBI) patients. Observed mortality was 24.8% whereas predicted mortalities were 37.7% and 38.4%, according to APACHE II and SAPS II. Calibration curve was close to the line of perfect prediction. SAPS II was not statistically significant according to a Lemeshow-Hosmer test, but slightly favored by area under the curve (AUC). In SAH patients, SAPS II was an independent predictor for mortality. In TBI patients, both systems had independent prognostic implications. Scoring systems are useful in predicting mortality and measuring performance in neurosurgical ICU setting. TBI patients are more affected by systemic insults than SAH patients, and this discrepancy of predicting mortality in each neurosurgical disease prompts us to develop a more specific scoring system targeted to cerebral dysfunction.","author":[{"dropping-particle":"","family":"Park","given":"Sang-Kyu","non-dropping-particle":"","parse-names":false,"suffix":""},{"dropping-particle":"","family":"Chun","given":"Hyoung-Joon","non-dropping-particle":"","parse-names":false,"suffix":""},{"dropping-particle":"","family":"Kim","given":"Dong-Won","non-dropping-particle":"","parse-names":false,"suffix":""},{"dropping-particle":"","family":"Im","given":"Tai-Ho","non-dropping-particle":"","parse-names":false,"suffix":""},{"dropping-particle":"","family":"Hong","given":"Hyun-Jong","non-dropping-particle":"","parse-names":false,"suffix":""},{"dropping-particle":"","family":"Yi","given":"Hyeong-Joong","non-dropping-particle":"","parse-names":false,"suffix":""}],"container-title":"Journal of Korean medical science","id":"ITEM-1","issue":"3","issued":{"date-parts":[["2009","6"]]},"language":"eng","page":"420-426","title":"Acute Physiology and Chronic Health Evaluation II and Simplified Acute Physiology  Score II in predicting hospital mortality of neurosurgical intensive care unit patients.","type":"article-journal","volume":"24"},"uris":["http://www.mendeley.com/documents/?uuid=c549e772-ca13-4cfa-b8a6-de79f98caf4c"]}],"mendeley":{"formattedCitation":"&lt;sup&gt;27&lt;/sup&gt;","plainTextFormattedCitation":"27","previouslyFormattedCitation":"&lt;sup&gt;27&lt;/sup&gt;"},"properties":{"noteIndex":0},"schema":"https://github.com/citation-style-language/schema/raw/master/csl-citation.json"}</w:instrText>
      </w:r>
      <w:r w:rsidRPr="5FE4A518">
        <w:rPr>
          <w:rFonts w:asciiTheme="majorHAnsi" w:hAnsiTheme="majorHAnsi" w:cstheme="majorBidi"/>
        </w:rPr>
        <w:fldChar w:fldCharType="separate"/>
      </w:r>
      <w:r w:rsidR="00215AAA" w:rsidRPr="00215AAA">
        <w:rPr>
          <w:rFonts w:asciiTheme="majorHAnsi" w:hAnsiTheme="majorHAnsi" w:cstheme="majorBidi"/>
          <w:noProof/>
          <w:vertAlign w:val="superscript"/>
        </w:rPr>
        <w:t>27</w:t>
      </w:r>
      <w:r w:rsidRPr="5FE4A518">
        <w:rPr>
          <w:rFonts w:asciiTheme="majorHAnsi" w:hAnsiTheme="majorHAnsi" w:cstheme="majorBidi"/>
        </w:rPr>
        <w:fldChar w:fldCharType="end"/>
      </w:r>
      <w:r w:rsidRPr="5FE4A518">
        <w:rPr>
          <w:rFonts w:asciiTheme="majorHAnsi" w:hAnsiTheme="majorHAnsi" w:cstheme="majorBidi"/>
        </w:rPr>
        <w:t>, duration of IMV, duration of ICU-admission, total and Respiratory Sequential Organ Failure Assessment (SOFA) scores</w:t>
      </w:r>
      <w:r w:rsidRPr="5FE4A518">
        <w:rPr>
          <w:rFonts w:asciiTheme="majorHAnsi" w:hAnsiTheme="majorHAnsi" w:cstheme="majorBidi"/>
        </w:rPr>
        <w:fldChar w:fldCharType="begin" w:fldLock="1"/>
      </w:r>
      <w:r w:rsidR="00CD1BCF">
        <w:rPr>
          <w:rFonts w:asciiTheme="majorHAnsi" w:hAnsiTheme="majorHAnsi" w:cstheme="majorBidi"/>
        </w:rPr>
        <w:instrText>ADDIN CSL_CITATION {"citationItems":[{"id":"ITEM-1","itemData":{"DOI":"10.1007/BF01709751","ISSN":"0342-4642 (Print)","PMID":"8844239","author":[{"dropping-particle":"","family":"Vincent","given":"J L","non-dropping-particle":"","parse-names":false,"suffix":""},{"dropping-particle":"","family":"Moreno","given":"R","non-dropping-particle":"","parse-names":false,"suffix":""},{"dropping-particle":"","family":"Takala","given":"J","non-dropping-particle":"","parse-names":false,"suffix":""},{"dropping-particle":"","family":"Willatts","given":"S","non-dropping-particle":"","parse-names":false,"suffix":""},{"dropping-particle":"","family":"Mendonça","given":"A","non-dropping-particle":"De","parse-names":false,"suffix":""},{"dropping-particle":"","family":"Bruining","given":"H","non-dropping-particle":"","parse-names":false,"suffix":""},{"dropping-particle":"","family":"Reinhart","given":"C K","non-dropping-particle":"","parse-names":false,"suffix":""},{"dropping-particle":"","family":"Suter","given":"P M","non-dropping-particle":"","parse-names":false,"suffix":""},{"dropping-particle":"","family":"Thijs","given":"L G","non-dropping-particle":"","parse-names":false,"suffix":""}],"container-title":"Intensive care medicine","id":"ITEM-1","issue":"7","issued":{"date-parts":[["1996","7"]]},"language":"eng","page":"707-710","publisher-place":"United States","title":"The SOFA (Sepsis-related Organ Failure Assessment) score to describe organ  dysfunction/failure. On behalf of the Working Group on Sepsis-Related Problems of the European Society of Intensive Care Medicine.","type":"article","volume":"22"},"uris":["http://www.mendeley.com/documents/?uuid=3cd3fd54-ae0a-49d2-bedc-f0a2801c67b9"]}],"mendeley":{"formattedCitation":"&lt;sup&gt;28&lt;/sup&gt;","plainTextFormattedCitation":"28","previouslyFormattedCitation":"&lt;sup&gt;28&lt;/sup&gt;"},"properties":{"noteIndex":0},"schema":"https://github.com/citation-style-language/schema/raw/master/csl-citation.json"}</w:instrText>
      </w:r>
      <w:r w:rsidRPr="5FE4A518">
        <w:rPr>
          <w:rFonts w:asciiTheme="majorHAnsi" w:hAnsiTheme="majorHAnsi" w:cstheme="majorBidi"/>
        </w:rPr>
        <w:fldChar w:fldCharType="separate"/>
      </w:r>
      <w:r w:rsidR="00215AAA" w:rsidRPr="00215AAA">
        <w:rPr>
          <w:rFonts w:asciiTheme="majorHAnsi" w:hAnsiTheme="majorHAnsi" w:cstheme="majorBidi"/>
          <w:noProof/>
          <w:vertAlign w:val="superscript"/>
        </w:rPr>
        <w:t>28</w:t>
      </w:r>
      <w:r w:rsidRPr="5FE4A518">
        <w:rPr>
          <w:rFonts w:asciiTheme="majorHAnsi" w:hAnsiTheme="majorHAnsi" w:cstheme="majorBidi"/>
        </w:rPr>
        <w:fldChar w:fldCharType="end"/>
      </w:r>
      <w:r w:rsidRPr="5FE4A518">
        <w:rPr>
          <w:rFonts w:asciiTheme="majorHAnsi" w:hAnsiTheme="majorHAnsi" w:cstheme="majorBidi"/>
        </w:rPr>
        <w:t>. Thus, and given the different underlying disease processes, acute illness severity</w:t>
      </w:r>
      <w:r w:rsidR="00CD292C" w:rsidRPr="5FE4A518">
        <w:rPr>
          <w:rFonts w:asciiTheme="majorHAnsi" w:hAnsiTheme="majorHAnsi" w:cstheme="majorBidi"/>
        </w:rPr>
        <w:t xml:space="preserve">, including duration of IMV </w:t>
      </w:r>
      <w:r w:rsidR="00904CD3">
        <w:rPr>
          <w:rFonts w:asciiTheme="majorHAnsi" w:hAnsiTheme="majorHAnsi" w:cstheme="majorBidi"/>
        </w:rPr>
        <w:t>an</w:t>
      </w:r>
      <w:r w:rsidR="00CD292C" w:rsidRPr="5FE4A518">
        <w:rPr>
          <w:rFonts w:asciiTheme="majorHAnsi" w:hAnsiTheme="majorHAnsi" w:cstheme="majorBidi"/>
        </w:rPr>
        <w:t>d ICU admission,</w:t>
      </w:r>
      <w:r w:rsidRPr="5FE4A518">
        <w:rPr>
          <w:rFonts w:asciiTheme="majorHAnsi" w:hAnsiTheme="majorHAnsi" w:cstheme="majorBidi"/>
        </w:rPr>
        <w:t xml:space="preserve"> was not directly compared. RECOVER captured survival at 3, 6, and 12-months post-hospital discharge: patients alive at each timepoint were contacted for follow-up. </w:t>
      </w:r>
    </w:p>
    <w:p w14:paraId="02987166" w14:textId="77777777" w:rsidR="00B77386" w:rsidRPr="00D7026D" w:rsidRDefault="00B77386" w:rsidP="00B77386">
      <w:pPr>
        <w:spacing w:line="480" w:lineRule="auto"/>
        <w:rPr>
          <w:rFonts w:asciiTheme="majorHAnsi" w:hAnsiTheme="majorHAnsi" w:cstheme="majorHAnsi"/>
        </w:rPr>
      </w:pPr>
      <w:r w:rsidRPr="00D7026D">
        <w:rPr>
          <w:rFonts w:asciiTheme="majorHAnsi" w:hAnsiTheme="majorHAnsi" w:cstheme="majorHAnsi"/>
        </w:rPr>
        <w:t xml:space="preserve"> </w:t>
      </w:r>
    </w:p>
    <w:p w14:paraId="2D42F96C" w14:textId="77777777" w:rsidR="00B77386" w:rsidRPr="00D7026D" w:rsidRDefault="00B77386" w:rsidP="00B77386">
      <w:pPr>
        <w:spacing w:line="480" w:lineRule="auto"/>
        <w:rPr>
          <w:rFonts w:asciiTheme="majorHAnsi" w:hAnsiTheme="majorHAnsi" w:cstheme="majorHAnsi"/>
          <w:i/>
          <w:iCs/>
          <w:color w:val="4F81BD" w:themeColor="accent1"/>
        </w:rPr>
      </w:pPr>
      <w:r w:rsidRPr="00D7026D">
        <w:rPr>
          <w:rFonts w:asciiTheme="majorHAnsi" w:hAnsiTheme="majorHAnsi" w:cstheme="majorHAnsi"/>
          <w:i/>
          <w:iCs/>
          <w:color w:val="4F81BD" w:themeColor="accent1"/>
        </w:rPr>
        <w:t xml:space="preserve">Outcomes </w:t>
      </w:r>
    </w:p>
    <w:p w14:paraId="7D6773E2" w14:textId="1194BE5E" w:rsidR="00B77386" w:rsidRPr="00D7026D" w:rsidRDefault="00B77386" w:rsidP="00B77386">
      <w:pPr>
        <w:spacing w:line="480" w:lineRule="auto"/>
        <w:rPr>
          <w:rFonts w:asciiTheme="majorHAnsi" w:hAnsiTheme="majorHAnsi" w:cstheme="majorHAnsi"/>
        </w:rPr>
      </w:pPr>
      <w:r w:rsidRPr="00D7026D">
        <w:rPr>
          <w:rFonts w:asciiTheme="majorHAnsi" w:hAnsiTheme="majorHAnsi" w:cstheme="majorHAnsi"/>
        </w:rPr>
        <w:lastRenderedPageBreak/>
        <w:t>Both studies used patient-completed questionnaires to collect outcome data</w:t>
      </w:r>
      <w:r>
        <w:rPr>
          <w:rFonts w:asciiTheme="majorHAnsi" w:hAnsiTheme="majorHAnsi" w:cstheme="majorHAnsi"/>
        </w:rPr>
        <w:fldChar w:fldCharType="begin" w:fldLock="1"/>
      </w:r>
      <w:r w:rsidR="00EF2329">
        <w:rPr>
          <w:rFonts w:asciiTheme="majorHAnsi" w:hAnsiTheme="majorHAnsi" w:cstheme="majorHAnsi"/>
        </w:rPr>
        <w:instrText>ADDIN CSL_CITATION {"citationItems":[{"id":"ITEM-1","itemData":{"DOI":"10.1001/jamainternmed.2015.0822","ISSN":"2168-6106","abstract":"Critical illness results in disability and reduced health-related quality of life (HRQOL), but the optimum timing and components of rehabilitation are uncertain.To evaluate the effect of increasing physical and nutritional rehabilitation plus information delivered during the post–intensive care unit (ICU) acute hospital stay by dedicated rehabilitation assistants on subsequent mobility, HRQOL, and prevalent disabilities.A parallel group, randomized clinical trial with blinded outcome assessment at 2 hospitals in Edinburgh, Scotland, of 240 patients discharged from the ICU between December 1, 2010, and January 31, 2013, who required at least 48 hours of mechanical ventilation. Analysis for the primary outcome and other 3-month outcomes was performed between June and August 2013; for the 6- and 12-month outcomes and the health economic evaluation, between March and April 2014.During the post-ICU hospital stay, both groups received physiotherapy and dietetic, occupational, and speech/language therapy, but patients in the intervention group received rehabilitation that typically increased the frequency of mobility and exercise therapies 2- to 3-fold, increased dietetic assessment and treatment, used individualized goal setting, and provided greater illness-specific information. Intervention group therapy was coordinated and delivered by a dedicated rehabilitation practitioner.The Rivermead Mobility Index (RMI) (range 0-15) at 3 months; higher scores indicate greater mobility. Secondary outcomes included HRQOL, psychological outcomes, self-reported symptoms, patient experience, and cost-effectiveness during a 12-month follow-up (completed in February 2014).Median RMI at randomization was 3 (interquartile range [IQR], 1-6) and at 3 months was 13 (IQR, 10-14) for the intervention and usual care groups (mean difference, −0.2 [95% CI, −1.3 to 0.9; P = .71]). The HRQOL scores were unchanged by the intervention (mean difference in the Physical Component Summary score, −0.1 [95% CI, −3.3 to 3.1; P = .96]; and in the Mental Component Summary score, 0.2 [95% CI, −3.4 to 3.8; P = .91]). No differences were found for self-reported symptoms of fatigue, pain, appetite, joint stiffness, or breathlessness. Levels of anxiety, depression, and posttraumatic stress were similar, as were hand grip strength and the timed Up &amp;amp; Go test. No differences were found at the 6- or 12-month follow-up for any outcome measures. However, patients in the intervention group reported great…","author":[{"dropping-particle":"","family":"Walsh","given":"Timothy S","non-dropping-particle":"","parse-names":false,"suffix":""},{"dropping-particle":"","family":"Salisbury","given":"Lisa G","non-dropping-particle":"","parse-names":false,"suffix":""},{"dropping-particle":"","family":"Merriweather","given":"Judith L","non-dropping-particle":"","parse-names":false,"suffix":""},{"dropping-particle":"","family":"Boyd","given":"Julia A","non-dropping-particle":"","parse-names":false,"suffix":""},{"dropping-particle":"","family":"Griffith","given":"David M","non-dropping-particle":"","parse-names":false,"suffix":""},{"dropping-particle":"","family":"Huby","given":"Guro","non-dropping-particle":"","parse-names":false,"suffix":""},{"dropping-particle":"","family":"Kean","given":"Susanne","non-dropping-particle":"","parse-names":false,"suffix":""},{"dropping-particle":"","family":"Mackenzie","given":"Simon J","non-dropping-particle":"","parse-names":false,"suffix":""},{"dropping-particle":"","family":"Krishan","given":"Ashma","non-dropping-particle":"","parse-names":false,"suffix":""},{"dropping-particle":"","family":"Lewis","given":"Stephanie C","non-dropping-particle":"","parse-names":false,"suffix":""},{"dropping-particle":"","family":"Murray","given":"Gordon D","non-dropping-particle":"","parse-names":false,"suffix":""},{"dropping-particle":"","family":"Forbes","given":"John F","non-dropping-particle":"","parse-names":false,"suffix":""},{"dropping-particle":"","family":"Smith","given":"Joel","non-dropping-particle":"","parse-names":false,"suffix":""},{"dropping-particle":"","family":"Rattray","given":"Janice E","non-dropping-particle":"","parse-names":false,"suffix":""},{"dropping-particle":"","family":"Hull","given":"Alastair M","non-dropping-particle":"","parse-names":false,"suffix":""},{"dropping-particle":"","family":"Ramsay","given":"Pamela","non-dropping-particle":"","parse-names":false,"suffix":""},{"dropping-particle":"","family":"Investigators","given":"for the RECOVER","non-dropping-particle":"","parse-names":false,"suffix":""}],"container-title":"JAMA Internal Medicine","id":"ITEM-1","issue":"6","issued":{"date-parts":[["2015","6","1"]]},"page":"901-910","title":"Increased Hospital-Based Physical Rehabilitation and Information Provision After Intensive Care Unit Discharge: The RECOVER Randomized Clinical Trial","type":"article-journal","volume":"175"},"uris":["http://www.mendeley.com/documents/?uuid=a6cfb2dc-3dfc-4b75-b308-effba4b3b8dc"]},{"id":"ITEM-2","itemData":{"DOI":"10.1101/2021.03.18.21253888","author":[{"dropping-particle":"","family":"Sigfrid","given":"Louise","non-dropping-particle":"","parse-names":false,"suffix":""},{"dropping-particle":"","family":"Drake","given":"Tom M","non-dropping-particle":"","parse-names":false,"suffix":""},{"dropping-particle":"","family":"Pauley","given":"Ellen","non-dropping-particle":"","parse-names":false,"suffix":""},{"dropping-particle":"","family":"Jesudason","given":"Edwin C","non-dropping-particle":"","parse-names":false,"suffix":""},{"dropping-particle":"","family":"Olliaro","given":"Piero","non-dropping-particle":"","parse-names":false,"suffix":""},{"dropping-particle":"","family":"Lim","given":"Wei Shen","non-dropping-particle":"","parse-names":false,"suffix":""},{"dropping-particle":"","family":"Gillesen","given":"Annelise","non-dropping-particle":"","parse-names":false,"suffix":""},{"dropping-particle":"","family":"Berry","given":"Colin","non-dropping-particle":"","parse-names":false,"suffix":""},{"dropping-particle":"","family":"Lowe","given":"David","non-dropping-particle":"","parse-names":false,"suffix":""}],"editor":[{"dropping-particle":"","family":"ISARIC","given":"","non-dropping-particle":"","parse-names":false,"suffix":""}],"id":"ITEM-2","issued":{"date-parts":[["2021"]]},"title":"Long Covid in adults discharged from UK hospitals after Covid-19: A prospective, multicentre cohort study using the ISARIC WHO Clinical Characterisation Protocol.","type":"article-journal"},"uris":["http://www.mendeley.com/documents/?uuid=02b8a7f5-8ba8-4593-a137-49769450bfbd"]}],"mendeley":{"formattedCitation":"&lt;sup&gt;13,23&lt;/sup&gt;","plainTextFormattedCitation":"13,23","previouslyFormattedCitation":"&lt;sup&gt;13,23&lt;/sup&gt;"},"properties":{"noteIndex":0},"schema":"https://github.com/citation-style-language/schema/raw/master/csl-citation.json"}</w:instrText>
      </w:r>
      <w:r>
        <w:rPr>
          <w:rFonts w:asciiTheme="majorHAnsi" w:hAnsiTheme="majorHAnsi" w:cstheme="majorHAnsi"/>
        </w:rPr>
        <w:fldChar w:fldCharType="separate"/>
      </w:r>
      <w:r w:rsidR="00E41C7A" w:rsidRPr="00E41C7A">
        <w:rPr>
          <w:rFonts w:asciiTheme="majorHAnsi" w:hAnsiTheme="majorHAnsi" w:cstheme="majorHAnsi"/>
          <w:noProof/>
          <w:vertAlign w:val="superscript"/>
        </w:rPr>
        <w:t>13,23</w:t>
      </w:r>
      <w:r>
        <w:rPr>
          <w:rFonts w:asciiTheme="majorHAnsi" w:hAnsiTheme="majorHAnsi" w:cstheme="majorHAnsi"/>
        </w:rPr>
        <w:fldChar w:fldCharType="end"/>
      </w:r>
      <w:r>
        <w:rPr>
          <w:rFonts w:asciiTheme="majorHAnsi" w:hAnsiTheme="majorHAnsi" w:cstheme="majorHAnsi"/>
        </w:rPr>
        <w:t xml:space="preserve">. </w:t>
      </w:r>
      <w:r w:rsidRPr="00D7026D">
        <w:rPr>
          <w:rFonts w:asciiTheme="majorHAnsi" w:hAnsiTheme="majorHAnsi" w:cstheme="majorHAnsi"/>
        </w:rPr>
        <w:t>CCP-UK completed follow-up assessment via postal questionnaires (or telephone where this was not possible), which patients completed once and returned</w:t>
      </w:r>
      <w:r>
        <w:rPr>
          <w:rFonts w:asciiTheme="majorHAnsi" w:hAnsiTheme="majorHAnsi" w:cstheme="majorHAnsi"/>
        </w:rPr>
        <w:fldChar w:fldCharType="begin" w:fldLock="1"/>
      </w:r>
      <w:r w:rsidR="00EF2329">
        <w:rPr>
          <w:rFonts w:asciiTheme="majorHAnsi" w:hAnsiTheme="majorHAnsi" w:cstheme="majorHAnsi"/>
        </w:rPr>
        <w:instrText>ADDIN CSL_CITATION {"citationItems":[{"id":"ITEM-1","itemData":{"DOI":"10.1101/2021.03.18.21253888","author":[{"dropping-particle":"","family":"Sigfrid","given":"Louise","non-dropping-particle":"","parse-names":false,"suffix":""},{"dropping-particle":"","family":"Drake","given":"Tom M","non-dropping-particle":"","parse-names":false,"suffix":""},{"dropping-particle":"","family":"Pauley","given":"Ellen","non-dropping-particle":"","parse-names":false,"suffix":""},{"dropping-particle":"","family":"Jesudason","given":"Edwin C","non-dropping-particle":"","parse-names":false,"suffix":""},{"dropping-particle":"","family":"Olliaro","given":"Piero","non-dropping-particle":"","parse-names":false,"suffix":""},{"dropping-particle":"","family":"Lim","given":"Wei Shen","non-dropping-particle":"","parse-names":false,"suffix":""},{"dropping-particle":"","family":"Gillesen","given":"Annelise","non-dropping-particle":"","parse-names":false,"suffix":""},{"dropping-particle":"","family":"Berry","given":"Colin","non-dropping-particle":"","parse-names":false,"suffix":""},{"dropping-particle":"","family":"Lowe","given":"David","non-dropping-particle":"","parse-names":false,"suffix":""}],"editor":[{"dropping-particle":"","family":"ISARIC","given":"","non-dropping-particle":"","parse-names":false,"suffix":""}],"id":"ITEM-1","issued":{"date-parts":[["2021"]]},"title":"Long Covid in adults discharged from UK hospitals after Covid-19: A prospective, multicentre cohort study using the ISARIC WHO Clinical Characterisation Protocol.","type":"article-journal"},"uris":["http://www.mendeley.com/documents/?uuid=02b8a7f5-8ba8-4593-a137-49769450bfbd"]}],"mendeley":{"formattedCitation":"&lt;sup&gt;13&lt;/sup&gt;","plainTextFormattedCitation":"13","previouslyFormattedCitation":"&lt;sup&gt;13&lt;/sup&gt;"},"properties":{"noteIndex":0},"schema":"https://github.com/citation-style-language/schema/raw/master/csl-citation.json"}</w:instrText>
      </w:r>
      <w:r>
        <w:rPr>
          <w:rFonts w:asciiTheme="majorHAnsi" w:hAnsiTheme="majorHAnsi" w:cstheme="majorHAnsi"/>
        </w:rPr>
        <w:fldChar w:fldCharType="separate"/>
      </w:r>
      <w:r w:rsidR="00E41C7A" w:rsidRPr="00E41C7A">
        <w:rPr>
          <w:rFonts w:asciiTheme="majorHAnsi" w:hAnsiTheme="majorHAnsi" w:cstheme="majorHAnsi"/>
          <w:noProof/>
          <w:vertAlign w:val="superscript"/>
        </w:rPr>
        <w:t>13</w:t>
      </w:r>
      <w:r>
        <w:rPr>
          <w:rFonts w:asciiTheme="majorHAnsi" w:hAnsiTheme="majorHAnsi" w:cstheme="majorHAnsi"/>
        </w:rPr>
        <w:fldChar w:fldCharType="end"/>
      </w:r>
      <w:r w:rsidRPr="00D7026D">
        <w:rPr>
          <w:rFonts w:asciiTheme="majorHAnsi" w:hAnsiTheme="majorHAnsi" w:cstheme="majorHAnsi"/>
        </w:rPr>
        <w:t>.  RECOVER completed follow-up assessment face-to-face or by telephone at 3-months, and by post at 6 and 12-months post-hospital discharge</w:t>
      </w:r>
      <w:r>
        <w:rPr>
          <w:rFonts w:asciiTheme="majorHAnsi" w:hAnsiTheme="majorHAnsi" w:cstheme="majorHAnsi"/>
        </w:rPr>
        <w:fldChar w:fldCharType="begin" w:fldLock="1"/>
      </w:r>
      <w:r w:rsidR="00EF2329">
        <w:rPr>
          <w:rFonts w:asciiTheme="majorHAnsi" w:hAnsiTheme="majorHAnsi" w:cstheme="majorHAnsi"/>
        </w:rPr>
        <w:instrText>ADDIN CSL_CITATION {"citationItems":[{"id":"ITEM-1","itemData":{"DOI":"10.1001/jamainternmed.2015.0822","ISSN":"2168-6106","abstract":"Critical illness results in disability and reduced health-related quality of life (HRQOL), but the optimum timing and components of rehabilitation are uncertain.To evaluate the effect of increasing physical and nutritional rehabilitation plus information delivered during the post–intensive care unit (ICU) acute hospital stay by dedicated rehabilitation assistants on subsequent mobility, HRQOL, and prevalent disabilities.A parallel group, randomized clinical trial with blinded outcome assessment at 2 hospitals in Edinburgh, Scotland, of 240 patients discharged from the ICU between December 1, 2010, and January 31, 2013, who required at least 48 hours of mechanical ventilation. Analysis for the primary outcome and other 3-month outcomes was performed between June and August 2013; for the 6- and 12-month outcomes and the health economic evaluation, between March and April 2014.During the post-ICU hospital stay, both groups received physiotherapy and dietetic, occupational, and speech/language therapy, but patients in the intervention group received rehabilitation that typically increased the frequency of mobility and exercise therapies 2- to 3-fold, increased dietetic assessment and treatment, used individualized goal setting, and provided greater illness-specific information. Intervention group therapy was coordinated and delivered by a dedicated rehabilitation practitioner.The Rivermead Mobility Index (RMI) (range 0-15) at 3 months; higher scores indicate greater mobility. Secondary outcomes included HRQOL, psychological outcomes, self-reported symptoms, patient experience, and cost-effectiveness during a 12-month follow-up (completed in February 2014).Median RMI at randomization was 3 (interquartile range [IQR], 1-6) and at 3 months was 13 (IQR, 10-14) for the intervention and usual care groups (mean difference, −0.2 [95% CI, −1.3 to 0.9; P = .71]). The HRQOL scores were unchanged by the intervention (mean difference in the Physical Component Summary score, −0.1 [95% CI, −3.3 to 3.1; P = .96]; and in the Mental Component Summary score, 0.2 [95% CI, −3.4 to 3.8; P = .91]). No differences were found for self-reported symptoms of fatigue, pain, appetite, joint stiffness, or breathlessness. Levels of anxiety, depression, and posttraumatic stress were similar, as were hand grip strength and the timed Up &amp;amp; Go test. No differences were found at the 6- or 12-month follow-up for any outcome measures. However, patients in the intervention group reported great…","author":[{"dropping-particle":"","family":"Walsh","given":"Timothy S","non-dropping-particle":"","parse-names":false,"suffix":""},{"dropping-particle":"","family":"Salisbury","given":"Lisa G","non-dropping-particle":"","parse-names":false,"suffix":""},{"dropping-particle":"","family":"Merriweather","given":"Judith L","non-dropping-particle":"","parse-names":false,"suffix":""},{"dropping-particle":"","family":"Boyd","given":"Julia A","non-dropping-particle":"","parse-names":false,"suffix":""},{"dropping-particle":"","family":"Griffith","given":"David M","non-dropping-particle":"","parse-names":false,"suffix":""},{"dropping-particle":"","family":"Huby","given":"Guro","non-dropping-particle":"","parse-names":false,"suffix":""},{"dropping-particle":"","family":"Kean","given":"Susanne","non-dropping-particle":"","parse-names":false,"suffix":""},{"dropping-particle":"","family":"Mackenzie","given":"Simon J","non-dropping-particle":"","parse-names":false,"suffix":""},{"dropping-particle":"","family":"Krishan","given":"Ashma","non-dropping-particle":"","parse-names":false,"suffix":""},{"dropping-particle":"","family":"Lewis","given":"Stephanie C","non-dropping-particle":"","parse-names":false,"suffix":""},{"dropping-particle":"","family":"Murray","given":"Gordon D","non-dropping-particle":"","parse-names":false,"suffix":""},{"dropping-particle":"","family":"Forbes","given":"John F","non-dropping-particle":"","parse-names":false,"suffix":""},{"dropping-particle":"","family":"Smith","given":"Joel","non-dropping-particle":"","parse-names":false,"suffix":""},{"dropping-particle":"","family":"Rattray","given":"Janice E","non-dropping-particle":"","parse-names":false,"suffix":""},{"dropping-particle":"","family":"Hull","given":"Alastair M","non-dropping-particle":"","parse-names":false,"suffix":""},{"dropping-particle":"","family":"Ramsay","given":"Pamela","non-dropping-particle":"","parse-names":false,"suffix":""},{"dropping-particle":"","family":"Investigators","given":"for the RECOVER","non-dropping-particle":"","parse-names":false,"suffix":""}],"container-title":"JAMA Internal Medicine","id":"ITEM-1","issue":"6","issued":{"date-parts":[["2015","6","1"]]},"page":"901-910","title":"Increased Hospital-Based Physical Rehabilitation and Information Provision After Intensive Care Unit Discharge: The RECOVER Randomized Clinical Trial","type":"article-journal","volume":"175"},"uris":["http://www.mendeley.com/documents/?uuid=a6cfb2dc-3dfc-4b75-b308-effba4b3b8dc"]}],"mendeley":{"formattedCitation":"&lt;sup&gt;23&lt;/sup&gt;","plainTextFormattedCitation":"23","previouslyFormattedCitation":"&lt;sup&gt;23&lt;/sup&gt;"},"properties":{"noteIndex":0},"schema":"https://github.com/citation-style-language/schema/raw/master/csl-citation.json"}</w:instrText>
      </w:r>
      <w:r>
        <w:rPr>
          <w:rFonts w:asciiTheme="majorHAnsi" w:hAnsiTheme="majorHAnsi" w:cstheme="majorHAnsi"/>
        </w:rPr>
        <w:fldChar w:fldCharType="separate"/>
      </w:r>
      <w:r w:rsidR="00E41C7A" w:rsidRPr="00E41C7A">
        <w:rPr>
          <w:rFonts w:asciiTheme="majorHAnsi" w:hAnsiTheme="majorHAnsi" w:cstheme="majorHAnsi"/>
          <w:noProof/>
          <w:vertAlign w:val="superscript"/>
        </w:rPr>
        <w:t>23</w:t>
      </w:r>
      <w:r>
        <w:rPr>
          <w:rFonts w:asciiTheme="majorHAnsi" w:hAnsiTheme="majorHAnsi" w:cstheme="majorHAnsi"/>
        </w:rPr>
        <w:fldChar w:fldCharType="end"/>
      </w:r>
      <w:r w:rsidRPr="00D7026D">
        <w:rPr>
          <w:rFonts w:asciiTheme="majorHAnsi" w:hAnsiTheme="majorHAnsi" w:cstheme="majorHAnsi"/>
        </w:rPr>
        <w:t xml:space="preserve">. </w:t>
      </w:r>
    </w:p>
    <w:p w14:paraId="04D5992B" w14:textId="77777777" w:rsidR="00B77386" w:rsidRPr="00D7026D" w:rsidRDefault="00B77386" w:rsidP="00B77386">
      <w:pPr>
        <w:spacing w:line="480" w:lineRule="auto"/>
        <w:rPr>
          <w:rFonts w:asciiTheme="majorHAnsi" w:hAnsiTheme="majorHAnsi" w:cstheme="majorHAnsi"/>
        </w:rPr>
      </w:pPr>
    </w:p>
    <w:p w14:paraId="1161C809" w14:textId="4E659641" w:rsidR="00B77386" w:rsidRPr="00D7026D" w:rsidRDefault="00B77386" w:rsidP="00B77386">
      <w:pPr>
        <w:spacing w:line="480" w:lineRule="auto"/>
        <w:rPr>
          <w:rFonts w:asciiTheme="majorHAnsi" w:hAnsiTheme="majorHAnsi" w:cstheme="majorHAnsi"/>
        </w:rPr>
      </w:pPr>
      <w:r w:rsidRPr="00D7026D">
        <w:rPr>
          <w:rFonts w:asciiTheme="majorHAnsi" w:hAnsiTheme="majorHAnsi" w:cstheme="majorHAnsi"/>
        </w:rPr>
        <w:t>In this secondary analysis, the primary outcome was patient-reported fatigue severity. Secondary outcomes were: ‘s</w:t>
      </w:r>
      <w:r w:rsidR="008B68DC">
        <w:rPr>
          <w:rFonts w:asciiTheme="majorHAnsi" w:hAnsiTheme="majorHAnsi" w:cstheme="majorHAnsi"/>
        </w:rPr>
        <w:t>evere</w:t>
      </w:r>
      <w:r w:rsidRPr="00D7026D">
        <w:rPr>
          <w:rFonts w:asciiTheme="majorHAnsi" w:hAnsiTheme="majorHAnsi" w:cstheme="majorHAnsi"/>
        </w:rPr>
        <w:t xml:space="preserve"> fatigue’, breathlessness, and measures of </w:t>
      </w:r>
      <w:proofErr w:type="gramStart"/>
      <w:r w:rsidRPr="00D7026D">
        <w:rPr>
          <w:rFonts w:asciiTheme="majorHAnsi" w:hAnsiTheme="majorHAnsi" w:cstheme="majorHAnsi"/>
        </w:rPr>
        <w:t>health-related</w:t>
      </w:r>
      <w:proofErr w:type="gramEnd"/>
      <w:r w:rsidRPr="00D7026D">
        <w:rPr>
          <w:rFonts w:asciiTheme="majorHAnsi" w:hAnsiTheme="majorHAnsi" w:cstheme="majorHAnsi"/>
        </w:rPr>
        <w:t xml:space="preserve"> </w:t>
      </w:r>
      <w:r w:rsidR="009130D0">
        <w:rPr>
          <w:rFonts w:asciiTheme="majorHAnsi" w:hAnsiTheme="majorHAnsi" w:cstheme="majorHAnsi"/>
        </w:rPr>
        <w:t>QOL</w:t>
      </w:r>
      <w:r w:rsidRPr="00D7026D">
        <w:rPr>
          <w:rFonts w:asciiTheme="majorHAnsi" w:hAnsiTheme="majorHAnsi" w:cstheme="majorHAnsi"/>
        </w:rPr>
        <w:t>.</w:t>
      </w:r>
    </w:p>
    <w:p w14:paraId="6F43CAB2" w14:textId="77777777" w:rsidR="00B77386" w:rsidRPr="00D7026D" w:rsidRDefault="00B77386" w:rsidP="00B77386">
      <w:pPr>
        <w:spacing w:line="480" w:lineRule="auto"/>
        <w:rPr>
          <w:rFonts w:asciiTheme="majorHAnsi" w:hAnsiTheme="majorHAnsi" w:cstheme="majorHAnsi"/>
        </w:rPr>
      </w:pPr>
    </w:p>
    <w:p w14:paraId="16C40F2B" w14:textId="398756D9" w:rsidR="00B77386" w:rsidRPr="00D7026D" w:rsidRDefault="00B77386" w:rsidP="00B77386">
      <w:pPr>
        <w:spacing w:line="480" w:lineRule="auto"/>
        <w:rPr>
          <w:rFonts w:asciiTheme="majorHAnsi" w:hAnsiTheme="majorHAnsi" w:cstheme="majorBidi"/>
        </w:rPr>
      </w:pPr>
      <w:r w:rsidRPr="5FE4A518">
        <w:rPr>
          <w:rFonts w:asciiTheme="majorHAnsi" w:hAnsiTheme="majorHAnsi" w:cstheme="majorBidi"/>
        </w:rPr>
        <w:t>In both studies, fatigue severity was measured using a 10-point Visual Analogue Scale (VAS), where zero is no fatigue and ten is worst possible fatigue. ‘S</w:t>
      </w:r>
      <w:r w:rsidR="008B68DC" w:rsidRPr="5FE4A518">
        <w:rPr>
          <w:rFonts w:asciiTheme="majorHAnsi" w:hAnsiTheme="majorHAnsi" w:cstheme="majorBidi"/>
        </w:rPr>
        <w:t>evere</w:t>
      </w:r>
      <w:r w:rsidRPr="5FE4A518">
        <w:rPr>
          <w:rFonts w:asciiTheme="majorHAnsi" w:hAnsiTheme="majorHAnsi" w:cstheme="majorBidi"/>
        </w:rPr>
        <w:t xml:space="preserve"> fatigue’ was defined as fatigue of at least </w:t>
      </w:r>
      <w:r w:rsidR="008B68DC" w:rsidRPr="5FE4A518">
        <w:rPr>
          <w:rFonts w:asciiTheme="majorHAnsi" w:hAnsiTheme="majorHAnsi" w:cstheme="majorBidi"/>
        </w:rPr>
        <w:t>7</w:t>
      </w:r>
      <w:r w:rsidRPr="5FE4A518">
        <w:rPr>
          <w:rFonts w:asciiTheme="majorHAnsi" w:hAnsiTheme="majorHAnsi" w:cstheme="majorBidi"/>
        </w:rPr>
        <w:t>/10 on the VAS</w:t>
      </w:r>
      <w:r w:rsidR="008B68DC" w:rsidRPr="5FE4A518">
        <w:rPr>
          <w:rFonts w:asciiTheme="majorHAnsi" w:hAnsiTheme="majorHAnsi" w:cstheme="majorBidi"/>
        </w:rPr>
        <w:t xml:space="preserve">. </w:t>
      </w:r>
    </w:p>
    <w:p w14:paraId="7A86ABE0" w14:textId="77777777" w:rsidR="00B77386" w:rsidRPr="00D7026D" w:rsidRDefault="00B77386" w:rsidP="00B77386">
      <w:pPr>
        <w:spacing w:line="480" w:lineRule="auto"/>
        <w:rPr>
          <w:rFonts w:asciiTheme="majorHAnsi" w:hAnsiTheme="majorHAnsi" w:cstheme="majorHAnsi"/>
          <w:iCs/>
        </w:rPr>
      </w:pPr>
    </w:p>
    <w:p w14:paraId="1B7CA69D" w14:textId="77777777" w:rsidR="00B77386" w:rsidRPr="00D7026D" w:rsidRDefault="00B77386" w:rsidP="00B77386">
      <w:pPr>
        <w:spacing w:line="480" w:lineRule="auto"/>
        <w:rPr>
          <w:rFonts w:asciiTheme="majorHAnsi" w:hAnsiTheme="majorHAnsi" w:cstheme="majorHAnsi"/>
          <w:i/>
          <w:color w:val="4F81BD" w:themeColor="accent1"/>
        </w:rPr>
      </w:pPr>
      <w:r w:rsidRPr="00D7026D">
        <w:rPr>
          <w:rFonts w:asciiTheme="majorHAnsi" w:hAnsiTheme="majorHAnsi" w:cstheme="majorHAnsi"/>
          <w:i/>
          <w:color w:val="4F81BD" w:themeColor="accent1"/>
        </w:rPr>
        <w:t xml:space="preserve">Statistical methods </w:t>
      </w:r>
    </w:p>
    <w:p w14:paraId="1810A0CA" w14:textId="77777777" w:rsidR="00B77386" w:rsidRPr="00D7026D" w:rsidRDefault="00B77386" w:rsidP="00B77386">
      <w:pPr>
        <w:spacing w:line="480" w:lineRule="auto"/>
        <w:rPr>
          <w:rFonts w:asciiTheme="majorHAnsi" w:hAnsiTheme="majorHAnsi" w:cstheme="majorHAnsi"/>
        </w:rPr>
      </w:pPr>
    </w:p>
    <w:p w14:paraId="50F5315C" w14:textId="0467FC7D" w:rsidR="00B77386" w:rsidRPr="00D7026D" w:rsidRDefault="00B77386" w:rsidP="00B77386">
      <w:pPr>
        <w:spacing w:line="480" w:lineRule="auto"/>
        <w:rPr>
          <w:rFonts w:asciiTheme="majorHAnsi" w:hAnsiTheme="majorHAnsi" w:cstheme="majorHAnsi"/>
        </w:rPr>
      </w:pPr>
      <w:r w:rsidRPr="00D7026D">
        <w:rPr>
          <w:rFonts w:asciiTheme="majorHAnsi" w:hAnsiTheme="majorHAnsi" w:cstheme="majorHAnsi"/>
        </w:rPr>
        <w:t>Covid-19 IMV-patients were compared to the pre-pandemic IMV-patients</w:t>
      </w:r>
      <w:r w:rsidR="00CF2D45">
        <w:rPr>
          <w:rFonts w:asciiTheme="majorHAnsi" w:hAnsiTheme="majorHAnsi" w:cstheme="majorHAnsi"/>
        </w:rPr>
        <w:t xml:space="preserve"> </w:t>
      </w:r>
      <w:r w:rsidRPr="00D7026D">
        <w:rPr>
          <w:rFonts w:asciiTheme="majorHAnsi" w:hAnsiTheme="majorHAnsi" w:cstheme="majorHAnsi"/>
        </w:rPr>
        <w:t xml:space="preserve">at baseline, follow-up, and potential associations with outcomes within each group were compared. </w:t>
      </w:r>
    </w:p>
    <w:p w14:paraId="6973774D" w14:textId="77777777" w:rsidR="00B77386" w:rsidRPr="00D7026D" w:rsidRDefault="00B77386" w:rsidP="00B77386">
      <w:pPr>
        <w:spacing w:line="480" w:lineRule="auto"/>
        <w:rPr>
          <w:rFonts w:asciiTheme="majorHAnsi" w:hAnsiTheme="majorHAnsi" w:cstheme="majorHAnsi"/>
        </w:rPr>
      </w:pPr>
    </w:p>
    <w:p w14:paraId="0DB4BFDC" w14:textId="557F0176" w:rsidR="00B77386" w:rsidRPr="00D7026D" w:rsidRDefault="00B77386" w:rsidP="00B77386">
      <w:pPr>
        <w:spacing w:line="480" w:lineRule="auto"/>
        <w:rPr>
          <w:rFonts w:asciiTheme="majorHAnsi" w:hAnsiTheme="majorHAnsi" w:cstheme="majorHAnsi"/>
        </w:rPr>
      </w:pPr>
      <w:r w:rsidRPr="00D7026D">
        <w:rPr>
          <w:rFonts w:asciiTheme="majorHAnsi" w:hAnsiTheme="majorHAnsi" w:cstheme="majorHAnsi"/>
        </w:rPr>
        <w:t>Covid-19 and pre-pandemic IMV-patient</w:t>
      </w:r>
      <w:r w:rsidR="00CF2D45">
        <w:rPr>
          <w:rFonts w:asciiTheme="majorHAnsi" w:hAnsiTheme="majorHAnsi" w:cstheme="majorHAnsi"/>
        </w:rPr>
        <w:t>s, and the pre-pandemic subset with Respiratory diagnosis category,</w:t>
      </w:r>
      <w:r w:rsidRPr="00D7026D">
        <w:rPr>
          <w:rFonts w:asciiTheme="majorHAnsi" w:hAnsiTheme="majorHAnsi" w:cstheme="majorHAnsi"/>
        </w:rPr>
        <w:t xml:space="preserve"> were compared at baseline in terms of age, sex, prior comorbidity, deprivation. Fatigue severity and the prevalence of s</w:t>
      </w:r>
      <w:r w:rsidR="008B68DC">
        <w:rPr>
          <w:rFonts w:asciiTheme="majorHAnsi" w:hAnsiTheme="majorHAnsi" w:cstheme="majorHAnsi"/>
        </w:rPr>
        <w:t>evere</w:t>
      </w:r>
      <w:r w:rsidRPr="00D7026D">
        <w:rPr>
          <w:rFonts w:asciiTheme="majorHAnsi" w:hAnsiTheme="majorHAnsi" w:cstheme="majorHAnsi"/>
        </w:rPr>
        <w:t xml:space="preserve"> fatigue was compared. Fatigue in Covid-19 IMV-patients was stratified by time since hospital discharge </w:t>
      </w:r>
      <w:proofErr w:type="gramStart"/>
      <w:r w:rsidRPr="00D7026D">
        <w:rPr>
          <w:rFonts w:asciiTheme="majorHAnsi" w:hAnsiTheme="majorHAnsi" w:cstheme="majorHAnsi"/>
        </w:rPr>
        <w:t>that patients</w:t>
      </w:r>
      <w:proofErr w:type="gramEnd"/>
      <w:r w:rsidRPr="00D7026D">
        <w:rPr>
          <w:rFonts w:asciiTheme="majorHAnsi" w:hAnsiTheme="majorHAnsi" w:cstheme="majorHAnsi"/>
        </w:rPr>
        <w:t xml:space="preserve"> responded to the CCP-UK questionnaire: approximately 3 (90-120 days) and 6</w:t>
      </w:r>
      <w:r w:rsidR="00C77EAE">
        <w:rPr>
          <w:rFonts w:asciiTheme="majorHAnsi" w:hAnsiTheme="majorHAnsi" w:cstheme="majorHAnsi"/>
        </w:rPr>
        <w:t xml:space="preserve">-months </w:t>
      </w:r>
      <w:r w:rsidRPr="00D7026D">
        <w:rPr>
          <w:rFonts w:asciiTheme="majorHAnsi" w:hAnsiTheme="majorHAnsi" w:cstheme="majorHAnsi"/>
        </w:rPr>
        <w:t>(150-</w:t>
      </w:r>
      <w:r w:rsidRPr="00D7026D">
        <w:rPr>
          <w:rFonts w:asciiTheme="majorHAnsi" w:hAnsiTheme="majorHAnsi" w:cstheme="majorHAnsi"/>
        </w:rPr>
        <w:lastRenderedPageBreak/>
        <w:t>210 days), in order to compare fatigue at equivalent timepoints</w:t>
      </w:r>
      <w:r w:rsidR="009625D0">
        <w:rPr>
          <w:rFonts w:asciiTheme="majorHAnsi" w:hAnsiTheme="majorHAnsi" w:cstheme="majorHAnsi"/>
        </w:rPr>
        <w:t xml:space="preserve"> to that measured in the RECOVER study</w:t>
      </w:r>
      <w:r w:rsidRPr="00D7026D">
        <w:rPr>
          <w:rFonts w:asciiTheme="majorHAnsi" w:hAnsiTheme="majorHAnsi" w:cstheme="majorHAnsi"/>
        </w:rPr>
        <w:t xml:space="preserve">. </w:t>
      </w:r>
      <w:proofErr w:type="gramStart"/>
      <w:r w:rsidR="009625D0">
        <w:rPr>
          <w:rFonts w:asciiTheme="majorHAnsi" w:hAnsiTheme="majorHAnsi" w:cstheme="majorHAnsi"/>
        </w:rPr>
        <w:t>Thus</w:t>
      </w:r>
      <w:proofErr w:type="gramEnd"/>
      <w:r w:rsidR="009625D0">
        <w:rPr>
          <w:rFonts w:asciiTheme="majorHAnsi" w:hAnsiTheme="majorHAnsi" w:cstheme="majorHAnsi"/>
        </w:rPr>
        <w:t xml:space="preserve"> a smaller subset of the Covid-19 sample was compared to the pre-pandemic group for fatigue at each timepoint. </w:t>
      </w:r>
      <w:r w:rsidRPr="00D7026D">
        <w:rPr>
          <w:rFonts w:asciiTheme="majorHAnsi" w:hAnsiTheme="majorHAnsi" w:cstheme="majorHAnsi"/>
        </w:rPr>
        <w:t xml:space="preserve">Fatigue severity (VAS scores) </w:t>
      </w:r>
      <w:r w:rsidR="006C00B4">
        <w:rPr>
          <w:rFonts w:asciiTheme="majorHAnsi" w:hAnsiTheme="majorHAnsi" w:cstheme="majorHAnsi"/>
        </w:rPr>
        <w:t>and</w:t>
      </w:r>
      <w:r w:rsidRPr="00D7026D">
        <w:rPr>
          <w:rFonts w:asciiTheme="majorHAnsi" w:hAnsiTheme="majorHAnsi" w:cstheme="majorHAnsi"/>
        </w:rPr>
        <w:t xml:space="preserve"> </w:t>
      </w:r>
      <w:r w:rsidR="006C00B4">
        <w:rPr>
          <w:rFonts w:asciiTheme="majorHAnsi" w:hAnsiTheme="majorHAnsi" w:cstheme="majorHAnsi"/>
        </w:rPr>
        <w:t>‘s</w:t>
      </w:r>
      <w:r w:rsidR="008B68DC">
        <w:rPr>
          <w:rFonts w:asciiTheme="majorHAnsi" w:hAnsiTheme="majorHAnsi" w:cstheme="majorHAnsi"/>
        </w:rPr>
        <w:t xml:space="preserve">evere </w:t>
      </w:r>
      <w:r w:rsidRPr="00D7026D">
        <w:rPr>
          <w:rFonts w:asciiTheme="majorHAnsi" w:hAnsiTheme="majorHAnsi" w:cstheme="majorHAnsi"/>
        </w:rPr>
        <w:t>fatigue’ w</w:t>
      </w:r>
      <w:r w:rsidR="006C00B4">
        <w:rPr>
          <w:rFonts w:asciiTheme="majorHAnsi" w:hAnsiTheme="majorHAnsi" w:cstheme="majorHAnsi"/>
        </w:rPr>
        <w:t>ere</w:t>
      </w:r>
      <w:r w:rsidRPr="00D7026D">
        <w:rPr>
          <w:rFonts w:asciiTheme="majorHAnsi" w:hAnsiTheme="majorHAnsi" w:cstheme="majorHAnsi"/>
        </w:rPr>
        <w:t xml:space="preserve"> compared as </w:t>
      </w:r>
      <w:r w:rsidR="006C00B4">
        <w:rPr>
          <w:rFonts w:asciiTheme="majorHAnsi" w:hAnsiTheme="majorHAnsi" w:cstheme="majorHAnsi"/>
        </w:rPr>
        <w:t>continuous and</w:t>
      </w:r>
      <w:r w:rsidRPr="00D7026D">
        <w:rPr>
          <w:rFonts w:asciiTheme="majorHAnsi" w:hAnsiTheme="majorHAnsi" w:cstheme="majorHAnsi"/>
        </w:rPr>
        <w:t xml:space="preserve"> binary outcome</w:t>
      </w:r>
      <w:r w:rsidR="006C00B4">
        <w:rPr>
          <w:rFonts w:asciiTheme="majorHAnsi" w:hAnsiTheme="majorHAnsi" w:cstheme="majorHAnsi"/>
        </w:rPr>
        <w:t>s respectively</w:t>
      </w:r>
      <w:r w:rsidRPr="00D7026D">
        <w:rPr>
          <w:rFonts w:asciiTheme="majorHAnsi" w:hAnsiTheme="majorHAnsi" w:cstheme="majorHAnsi"/>
        </w:rPr>
        <w:t xml:space="preserve">. </w:t>
      </w:r>
    </w:p>
    <w:p w14:paraId="6A310A33" w14:textId="77777777" w:rsidR="00B77386" w:rsidRPr="00D7026D" w:rsidRDefault="00B77386" w:rsidP="00B77386">
      <w:pPr>
        <w:spacing w:line="480" w:lineRule="auto"/>
        <w:rPr>
          <w:rFonts w:asciiTheme="majorHAnsi" w:hAnsiTheme="majorHAnsi" w:cstheme="majorHAnsi"/>
        </w:rPr>
      </w:pPr>
    </w:p>
    <w:p w14:paraId="766137F7" w14:textId="77777777" w:rsidR="00B77386" w:rsidRPr="00D7026D" w:rsidRDefault="00B77386" w:rsidP="00B77386">
      <w:pPr>
        <w:spacing w:line="480" w:lineRule="auto"/>
        <w:rPr>
          <w:rFonts w:asciiTheme="majorHAnsi" w:hAnsiTheme="majorHAnsi" w:cstheme="majorHAnsi"/>
        </w:rPr>
      </w:pPr>
      <w:r w:rsidRPr="00D7026D">
        <w:rPr>
          <w:rFonts w:asciiTheme="majorHAnsi" w:hAnsiTheme="majorHAnsi" w:cstheme="majorHAnsi"/>
        </w:rPr>
        <w:t xml:space="preserve">Where direct comparison was not possible, </w:t>
      </w:r>
      <w:proofErr w:type="gramStart"/>
      <w:r w:rsidRPr="00D7026D">
        <w:rPr>
          <w:rFonts w:asciiTheme="majorHAnsi" w:hAnsiTheme="majorHAnsi" w:cstheme="majorHAnsi"/>
        </w:rPr>
        <w:t>i.e.</w:t>
      </w:r>
      <w:proofErr w:type="gramEnd"/>
      <w:r w:rsidRPr="00D7026D">
        <w:rPr>
          <w:rFonts w:asciiTheme="majorHAnsi" w:hAnsiTheme="majorHAnsi" w:cstheme="majorHAnsi"/>
        </w:rPr>
        <w:t xml:space="preserve"> where the same variables measured with the same tools were not available in the two datasets, outcome variables from both datasets were presented separately.</w:t>
      </w:r>
    </w:p>
    <w:p w14:paraId="0AACFF16" w14:textId="77777777" w:rsidR="00B77386" w:rsidRPr="00D7026D" w:rsidRDefault="00B77386" w:rsidP="00B77386">
      <w:pPr>
        <w:spacing w:line="480" w:lineRule="auto"/>
        <w:rPr>
          <w:rFonts w:asciiTheme="majorHAnsi" w:hAnsiTheme="majorHAnsi" w:cstheme="majorHAnsi"/>
        </w:rPr>
      </w:pPr>
    </w:p>
    <w:p w14:paraId="29C2A850" w14:textId="77777777" w:rsidR="00B77386" w:rsidRPr="00D7026D" w:rsidRDefault="00B77386" w:rsidP="00B77386">
      <w:pPr>
        <w:spacing w:line="480" w:lineRule="auto"/>
        <w:rPr>
          <w:rFonts w:asciiTheme="majorHAnsi" w:hAnsiTheme="majorHAnsi" w:cstheme="majorHAnsi"/>
        </w:rPr>
      </w:pPr>
      <w:r w:rsidRPr="00D7026D">
        <w:rPr>
          <w:rFonts w:asciiTheme="majorHAnsi" w:hAnsiTheme="majorHAnsi" w:cstheme="majorHAnsi"/>
        </w:rPr>
        <w:t xml:space="preserve">Categorical data were summarised as frequencies and percentages, continuous data as median and interquartile range (IQR). To test for differences across comparison groups in categorical data, we used Fisher’s exact test and for continuous data, using the Wilcoxon rank-sum test for two-sample testing and </w:t>
      </w:r>
      <w:proofErr w:type="spellStart"/>
      <w:r w:rsidRPr="00D7026D">
        <w:rPr>
          <w:rFonts w:asciiTheme="majorHAnsi" w:hAnsiTheme="majorHAnsi" w:cstheme="majorHAnsi"/>
        </w:rPr>
        <w:t>Kruskall</w:t>
      </w:r>
      <w:proofErr w:type="spellEnd"/>
      <w:r w:rsidRPr="00D7026D">
        <w:rPr>
          <w:rFonts w:asciiTheme="majorHAnsi" w:hAnsiTheme="majorHAnsi" w:cstheme="majorHAnsi"/>
        </w:rPr>
        <w:t>-Wallis where there were more than 2 groups.</w:t>
      </w:r>
    </w:p>
    <w:p w14:paraId="401097C3" w14:textId="77777777" w:rsidR="00B77386" w:rsidRDefault="00B77386" w:rsidP="00B77386">
      <w:pPr>
        <w:spacing w:line="480" w:lineRule="auto"/>
        <w:rPr>
          <w:rFonts w:asciiTheme="majorHAnsi" w:hAnsiTheme="majorHAnsi" w:cstheme="majorHAnsi"/>
        </w:rPr>
      </w:pPr>
    </w:p>
    <w:p w14:paraId="579AD999" w14:textId="2C109838" w:rsidR="00B77386" w:rsidRPr="00D7026D" w:rsidRDefault="00C025D5" w:rsidP="00B77386">
      <w:pPr>
        <w:spacing w:line="480" w:lineRule="auto"/>
        <w:rPr>
          <w:rFonts w:asciiTheme="majorHAnsi" w:hAnsiTheme="majorHAnsi" w:cstheme="majorHAnsi"/>
        </w:rPr>
      </w:pPr>
      <w:r>
        <w:rPr>
          <w:rFonts w:asciiTheme="majorHAnsi" w:hAnsiTheme="majorHAnsi" w:cstheme="majorHAnsi"/>
        </w:rPr>
        <w:t>Using</w:t>
      </w:r>
      <w:r w:rsidR="00B77386">
        <w:rPr>
          <w:rFonts w:asciiTheme="majorHAnsi" w:hAnsiTheme="majorHAnsi" w:cstheme="majorHAnsi"/>
        </w:rPr>
        <w:t xml:space="preserve"> ordinal logistic regression and logistic regression</w:t>
      </w:r>
      <w:r>
        <w:rPr>
          <w:rFonts w:asciiTheme="majorHAnsi" w:hAnsiTheme="majorHAnsi" w:cstheme="majorHAnsi"/>
        </w:rPr>
        <w:t>, we explored</w:t>
      </w:r>
      <w:r w:rsidR="00721B43">
        <w:rPr>
          <w:rFonts w:asciiTheme="majorHAnsi" w:hAnsiTheme="majorHAnsi" w:cstheme="majorHAnsi"/>
        </w:rPr>
        <w:t xml:space="preserve"> if significant association existed between Covid-19 and severe fatigue</w:t>
      </w:r>
      <w:r w:rsidR="00C87ED4">
        <w:rPr>
          <w:rFonts w:asciiTheme="majorHAnsi" w:hAnsiTheme="majorHAnsi" w:cstheme="majorHAnsi"/>
        </w:rPr>
        <w:t xml:space="preserve"> in all patients included (Covid-19 and pre-pandemic group)</w:t>
      </w:r>
      <w:r w:rsidR="00721B43">
        <w:rPr>
          <w:rFonts w:asciiTheme="majorHAnsi" w:hAnsiTheme="majorHAnsi" w:cstheme="majorHAnsi"/>
        </w:rPr>
        <w:t xml:space="preserve">, after adjustment for patient demographics (age, sex, presence of comorbidity). </w:t>
      </w:r>
      <w:r w:rsidR="00C87ED4">
        <w:rPr>
          <w:rFonts w:asciiTheme="majorHAnsi" w:hAnsiTheme="majorHAnsi" w:cstheme="majorHAnsi"/>
        </w:rPr>
        <w:t>W</w:t>
      </w:r>
      <w:r w:rsidR="00B77386">
        <w:rPr>
          <w:rFonts w:asciiTheme="majorHAnsi" w:hAnsiTheme="majorHAnsi" w:cstheme="majorHAnsi"/>
        </w:rPr>
        <w:t xml:space="preserve">ith ordinal regression we explored fatigue in categories: 0-2/10, 2-4/10, 4-6/10, 6-8/10, 8-10/10, and with logistic regression we explored more severe reported fatigue, taking scores less than 7/10 or not as a binary outcome. Pre-pandemic outcomes at 6 months were included. </w:t>
      </w:r>
      <w:r w:rsidR="005A0600">
        <w:rPr>
          <w:rFonts w:asciiTheme="majorHAnsi" w:hAnsiTheme="majorHAnsi" w:cstheme="majorHAnsi"/>
        </w:rPr>
        <w:t xml:space="preserve">We repeated these </w:t>
      </w:r>
      <w:r w:rsidR="00BB61B8">
        <w:rPr>
          <w:rFonts w:asciiTheme="majorHAnsi" w:hAnsiTheme="majorHAnsi" w:cstheme="majorHAnsi"/>
        </w:rPr>
        <w:t xml:space="preserve">regression </w:t>
      </w:r>
      <w:r w:rsidR="005A0600">
        <w:rPr>
          <w:rFonts w:asciiTheme="majorHAnsi" w:hAnsiTheme="majorHAnsi" w:cstheme="majorHAnsi"/>
        </w:rPr>
        <w:t xml:space="preserve">analyses including the Covid-19 group and the pre-pandemic subset with Respiratory diagnosis category. </w:t>
      </w:r>
      <w:r w:rsidR="00BC1FF2" w:rsidRPr="1BF6A63B">
        <w:rPr>
          <w:rFonts w:asciiTheme="majorHAnsi" w:eastAsia="Arial Unicode MS" w:hAnsiTheme="majorHAnsi" w:cstheme="majorBidi"/>
        </w:rPr>
        <w:t xml:space="preserve">Effect estimates are presented as mean differences alongside 95% confidence intervals (95%-CI). Statistical </w:t>
      </w:r>
      <w:r w:rsidR="00BC1FF2" w:rsidRPr="1BF6A63B">
        <w:rPr>
          <w:rFonts w:asciiTheme="majorHAnsi" w:eastAsia="Arial Unicode MS" w:hAnsiTheme="majorHAnsi" w:cstheme="majorBidi"/>
        </w:rPr>
        <w:lastRenderedPageBreak/>
        <w:t xml:space="preserve">analyses were performed using R version 3.6.3 </w:t>
      </w:r>
      <w:r w:rsidR="00BC1FF2" w:rsidRPr="1BF6A63B">
        <w:rPr>
          <w:rFonts w:asciiTheme="majorHAnsi" w:eastAsia="Arial" w:hAnsiTheme="majorHAnsi" w:cstheme="majorBidi"/>
        </w:rPr>
        <w:t xml:space="preserve">(R Foundation for Statistical Computing, Vienna, AUT) </w:t>
      </w:r>
      <w:r w:rsidR="00BC1FF2" w:rsidRPr="1BF6A63B">
        <w:rPr>
          <w:rFonts w:asciiTheme="majorHAnsi" w:eastAsia="Arial Unicode MS" w:hAnsiTheme="majorHAnsi" w:cstheme="majorBidi"/>
        </w:rPr>
        <w:t xml:space="preserve">with the </w:t>
      </w:r>
      <w:proofErr w:type="spellStart"/>
      <w:r w:rsidR="00BC1FF2" w:rsidRPr="1BF6A63B">
        <w:rPr>
          <w:rFonts w:asciiTheme="majorHAnsi" w:eastAsia="Arial Unicode MS" w:hAnsiTheme="majorHAnsi" w:cstheme="majorBidi"/>
        </w:rPr>
        <w:t>tidyverse</w:t>
      </w:r>
      <w:proofErr w:type="spellEnd"/>
      <w:r w:rsidR="00BC1FF2" w:rsidRPr="1BF6A63B">
        <w:rPr>
          <w:rFonts w:asciiTheme="majorHAnsi" w:eastAsia="Arial Unicode MS" w:hAnsiTheme="majorHAnsi" w:cstheme="majorBidi"/>
        </w:rPr>
        <w:t xml:space="preserve">, </w:t>
      </w:r>
      <w:proofErr w:type="spellStart"/>
      <w:r w:rsidR="00BC1FF2" w:rsidRPr="1BF6A63B">
        <w:rPr>
          <w:rFonts w:asciiTheme="majorHAnsi" w:eastAsia="Arial Unicode MS" w:hAnsiTheme="majorHAnsi" w:cstheme="majorBidi"/>
        </w:rPr>
        <w:t>finalfit</w:t>
      </w:r>
      <w:proofErr w:type="spellEnd"/>
      <w:r w:rsidR="00BC1FF2" w:rsidRPr="1BF6A63B">
        <w:rPr>
          <w:rFonts w:asciiTheme="majorHAnsi" w:eastAsia="Arial Unicode MS" w:hAnsiTheme="majorHAnsi" w:cstheme="majorBidi"/>
        </w:rPr>
        <w:t xml:space="preserve">, eq5d and </w:t>
      </w:r>
      <w:proofErr w:type="spellStart"/>
      <w:r w:rsidR="00BC1FF2" w:rsidRPr="1BF6A63B">
        <w:rPr>
          <w:rFonts w:asciiTheme="majorHAnsi" w:eastAsia="Arial Unicode MS" w:hAnsiTheme="majorHAnsi" w:cstheme="majorBidi"/>
        </w:rPr>
        <w:t>Hmisc</w:t>
      </w:r>
      <w:proofErr w:type="spellEnd"/>
      <w:r w:rsidR="00BC1FF2" w:rsidRPr="1BF6A63B">
        <w:rPr>
          <w:rFonts w:asciiTheme="majorHAnsi" w:eastAsia="Arial Unicode MS" w:hAnsiTheme="majorHAnsi" w:cstheme="majorBidi"/>
        </w:rPr>
        <w:t xml:space="preserve"> packages. Statistical significance was taken at the level P≤0.05.</w:t>
      </w:r>
    </w:p>
    <w:p w14:paraId="10E2FAF8" w14:textId="77777777" w:rsidR="009F2E78" w:rsidRPr="00D7026D" w:rsidRDefault="009F2E78" w:rsidP="00B77386">
      <w:pPr>
        <w:spacing w:line="480" w:lineRule="auto"/>
        <w:jc w:val="both"/>
        <w:rPr>
          <w:rFonts w:asciiTheme="majorHAnsi" w:hAnsiTheme="majorHAnsi" w:cstheme="majorHAnsi"/>
          <w:b/>
        </w:rPr>
      </w:pPr>
    </w:p>
    <w:p w14:paraId="46F9603C" w14:textId="77777777" w:rsidR="00B77386" w:rsidRPr="00D7026D" w:rsidRDefault="00B77386" w:rsidP="00B77386">
      <w:pPr>
        <w:spacing w:line="480" w:lineRule="auto"/>
        <w:jc w:val="both"/>
        <w:rPr>
          <w:rFonts w:asciiTheme="majorHAnsi" w:hAnsiTheme="majorHAnsi" w:cstheme="majorHAnsi"/>
          <w:b/>
        </w:rPr>
      </w:pPr>
      <w:r w:rsidRPr="00D7026D">
        <w:rPr>
          <w:rFonts w:asciiTheme="majorHAnsi" w:hAnsiTheme="majorHAnsi" w:cstheme="majorHAnsi"/>
          <w:b/>
        </w:rPr>
        <w:t xml:space="preserve">Results </w:t>
      </w:r>
    </w:p>
    <w:p w14:paraId="67EDA580" w14:textId="77777777" w:rsidR="00B77386" w:rsidRPr="00D7026D" w:rsidRDefault="00B77386" w:rsidP="00B77386">
      <w:pPr>
        <w:spacing w:line="480" w:lineRule="auto"/>
        <w:jc w:val="both"/>
        <w:rPr>
          <w:rFonts w:asciiTheme="majorHAnsi" w:hAnsiTheme="majorHAnsi" w:cstheme="majorHAnsi"/>
        </w:rPr>
      </w:pPr>
    </w:p>
    <w:p w14:paraId="22F31930" w14:textId="77777777" w:rsidR="00B77386" w:rsidRPr="00D7026D" w:rsidRDefault="00B77386" w:rsidP="00B77386">
      <w:pPr>
        <w:spacing w:line="480" w:lineRule="auto"/>
        <w:jc w:val="both"/>
        <w:rPr>
          <w:rFonts w:asciiTheme="majorHAnsi" w:hAnsiTheme="majorHAnsi" w:cstheme="majorHAnsi"/>
          <w:i/>
          <w:color w:val="4F81BD" w:themeColor="accent1"/>
        </w:rPr>
      </w:pPr>
      <w:r w:rsidRPr="00D7026D">
        <w:rPr>
          <w:rFonts w:asciiTheme="majorHAnsi" w:hAnsiTheme="majorHAnsi" w:cstheme="majorHAnsi"/>
          <w:i/>
          <w:color w:val="4F81BD" w:themeColor="accent1"/>
        </w:rPr>
        <w:t>Patients included</w:t>
      </w:r>
    </w:p>
    <w:p w14:paraId="767E58B6" w14:textId="311D35AF" w:rsidR="00B77386" w:rsidRPr="00A622EF" w:rsidRDefault="00B77386" w:rsidP="00A622EF">
      <w:pPr>
        <w:spacing w:line="480" w:lineRule="auto"/>
        <w:jc w:val="both"/>
        <w:rPr>
          <w:rFonts w:asciiTheme="majorHAnsi" w:hAnsiTheme="majorHAnsi" w:cstheme="majorBidi"/>
          <w:color w:val="000000" w:themeColor="text1"/>
        </w:rPr>
      </w:pPr>
      <w:r w:rsidRPr="00D70EE6">
        <w:rPr>
          <w:rFonts w:asciiTheme="majorHAnsi" w:hAnsiTheme="majorHAnsi" w:cstheme="majorBidi"/>
          <w:color w:val="000000" w:themeColor="text1"/>
        </w:rPr>
        <w:t>3</w:t>
      </w:r>
      <w:r w:rsidR="00D70EE6" w:rsidRPr="00D70EE6">
        <w:rPr>
          <w:rFonts w:asciiTheme="majorHAnsi" w:hAnsiTheme="majorHAnsi" w:cstheme="majorBidi"/>
          <w:color w:val="000000" w:themeColor="text1"/>
        </w:rPr>
        <w:t>35</w:t>
      </w:r>
      <w:r w:rsidRPr="00D70EE6">
        <w:rPr>
          <w:rFonts w:asciiTheme="majorHAnsi" w:hAnsiTheme="majorHAnsi" w:cstheme="majorBidi"/>
          <w:color w:val="000000" w:themeColor="text1"/>
        </w:rPr>
        <w:t xml:space="preserve"> Covid-19 patients were included in the CCP-UK study:  </w:t>
      </w:r>
      <w:r w:rsidRPr="00D70EE6">
        <w:rPr>
          <w:rFonts w:asciiTheme="majorHAnsi" w:hAnsiTheme="majorHAnsi" w:cstheme="majorBidi"/>
        </w:rPr>
        <w:t>2</w:t>
      </w:r>
      <w:r w:rsidR="00D70EE6" w:rsidRPr="00D70EE6">
        <w:rPr>
          <w:rFonts w:asciiTheme="majorHAnsi" w:hAnsiTheme="majorHAnsi" w:cstheme="majorBidi"/>
        </w:rPr>
        <w:t>7.5</w:t>
      </w:r>
      <w:r w:rsidRPr="00D70EE6">
        <w:rPr>
          <w:rFonts w:asciiTheme="majorHAnsi" w:hAnsiTheme="majorHAnsi" w:cstheme="majorBidi"/>
        </w:rPr>
        <w:t>% (92/3</w:t>
      </w:r>
      <w:r w:rsidR="00D70EE6" w:rsidRPr="00D70EE6">
        <w:rPr>
          <w:rFonts w:asciiTheme="majorHAnsi" w:hAnsiTheme="majorHAnsi" w:cstheme="majorBidi"/>
        </w:rPr>
        <w:t>35</w:t>
      </w:r>
      <w:r w:rsidRPr="00D70EE6">
        <w:rPr>
          <w:rFonts w:asciiTheme="majorHAnsi" w:hAnsiTheme="majorHAnsi" w:cstheme="majorBidi"/>
        </w:rPr>
        <w:t>) received IMV (</w:t>
      </w:r>
      <w:r w:rsidR="007E4A5F" w:rsidRPr="00D70EE6">
        <w:rPr>
          <w:rFonts w:asciiTheme="majorHAnsi" w:hAnsiTheme="majorHAnsi" w:cstheme="majorBidi"/>
        </w:rPr>
        <w:t>Figure</w:t>
      </w:r>
      <w:r w:rsidR="00586052" w:rsidRPr="00D70EE6">
        <w:rPr>
          <w:rFonts w:asciiTheme="majorHAnsi" w:hAnsiTheme="majorHAnsi" w:cstheme="majorBidi"/>
        </w:rPr>
        <w:t>-</w:t>
      </w:r>
      <w:r w:rsidRPr="00D70EE6">
        <w:rPr>
          <w:rFonts w:asciiTheme="majorHAnsi" w:hAnsiTheme="majorHAnsi" w:cstheme="majorBidi"/>
        </w:rPr>
        <w:t>1).</w:t>
      </w:r>
      <w:r w:rsidRPr="094F43DF">
        <w:rPr>
          <w:rFonts w:asciiTheme="majorHAnsi" w:hAnsiTheme="majorHAnsi" w:cstheme="majorBidi"/>
        </w:rPr>
        <w:t xml:space="preserve"> </w:t>
      </w:r>
      <w:r w:rsidRPr="094F43DF">
        <w:rPr>
          <w:rFonts w:asciiTheme="majorHAnsi" w:hAnsiTheme="majorHAnsi" w:cstheme="majorBidi"/>
          <w:color w:val="000000" w:themeColor="text1"/>
        </w:rPr>
        <w:t xml:space="preserve">240 patients were included in RECOVER (pre-pandemic patients). A total of </w:t>
      </w:r>
      <w:r w:rsidRPr="094F43DF">
        <w:rPr>
          <w:rFonts w:asciiTheme="majorHAnsi" w:hAnsiTheme="majorHAnsi" w:cstheme="majorBidi"/>
        </w:rPr>
        <w:t>332 patients (92 Covid-19, 240 pre-pandemic patients) who received IMV were included in this secondary analysis (</w:t>
      </w:r>
      <w:r w:rsidRPr="094F43DF">
        <w:rPr>
          <w:rFonts w:asciiTheme="majorHAnsi" w:hAnsiTheme="majorHAnsi" w:cstheme="majorBidi"/>
          <w:color w:val="000000" w:themeColor="text1"/>
        </w:rPr>
        <w:t>Figure</w:t>
      </w:r>
      <w:r w:rsidR="00586052">
        <w:rPr>
          <w:rFonts w:asciiTheme="majorHAnsi" w:hAnsiTheme="majorHAnsi" w:cstheme="majorBidi"/>
          <w:color w:val="000000" w:themeColor="text1"/>
        </w:rPr>
        <w:t>-</w:t>
      </w:r>
      <w:r w:rsidRPr="094F43DF">
        <w:rPr>
          <w:rFonts w:asciiTheme="majorHAnsi" w:hAnsiTheme="majorHAnsi" w:cstheme="majorBidi"/>
          <w:color w:val="000000" w:themeColor="text1"/>
        </w:rPr>
        <w:t xml:space="preserve">1). </w:t>
      </w:r>
      <w:r w:rsidRPr="00A622EF">
        <w:rPr>
          <w:rFonts w:asciiTheme="majorHAnsi" w:hAnsiTheme="majorHAnsi" w:cstheme="majorBidi"/>
          <w:color w:val="000000" w:themeColor="text1"/>
        </w:rPr>
        <w:t>29.2%</w:t>
      </w:r>
      <w:r w:rsidR="00A622EF" w:rsidRPr="00A622EF">
        <w:rPr>
          <w:rFonts w:asciiTheme="majorHAnsi" w:hAnsiTheme="majorHAnsi" w:cstheme="majorBidi"/>
          <w:color w:val="000000" w:themeColor="text1"/>
        </w:rPr>
        <w:t xml:space="preserve"> [70/240]</w:t>
      </w:r>
      <w:r w:rsidRPr="00A622EF">
        <w:rPr>
          <w:rFonts w:asciiTheme="majorHAnsi" w:hAnsiTheme="majorHAnsi" w:cstheme="majorBidi"/>
          <w:color w:val="000000" w:themeColor="text1"/>
        </w:rPr>
        <w:t xml:space="preserve"> and 35.0%</w:t>
      </w:r>
      <w:r w:rsidR="00A622EF">
        <w:rPr>
          <w:rFonts w:asciiTheme="majorHAnsi" w:hAnsiTheme="majorHAnsi" w:cstheme="majorBidi"/>
          <w:color w:val="000000" w:themeColor="text1"/>
        </w:rPr>
        <w:t xml:space="preserve"> [84/240]</w:t>
      </w:r>
      <w:r w:rsidRPr="094F43DF">
        <w:rPr>
          <w:rFonts w:asciiTheme="majorHAnsi" w:hAnsiTheme="majorHAnsi" w:cstheme="majorBidi"/>
          <w:color w:val="000000" w:themeColor="text1"/>
        </w:rPr>
        <w:t xml:space="preserve"> of the pre-pandemic cohort were admitted with Cardiovascular and Respiratory diagnosis categories respectively (Table</w:t>
      </w:r>
      <w:r w:rsidR="00586052">
        <w:rPr>
          <w:rFonts w:asciiTheme="majorHAnsi" w:hAnsiTheme="majorHAnsi" w:cstheme="majorBidi"/>
          <w:color w:val="000000" w:themeColor="text1"/>
        </w:rPr>
        <w:t>-</w:t>
      </w:r>
      <w:r w:rsidRPr="094F43DF">
        <w:rPr>
          <w:rFonts w:asciiTheme="majorHAnsi" w:hAnsiTheme="majorHAnsi" w:cstheme="majorBidi"/>
          <w:color w:val="000000" w:themeColor="text1"/>
        </w:rPr>
        <w:t xml:space="preserve">1). </w:t>
      </w:r>
    </w:p>
    <w:p w14:paraId="681E3879" w14:textId="5AC2F4CC" w:rsidR="00B77386" w:rsidRPr="00D7026D" w:rsidRDefault="00B77386" w:rsidP="00B77386">
      <w:pPr>
        <w:spacing w:line="480" w:lineRule="auto"/>
        <w:rPr>
          <w:rFonts w:asciiTheme="majorHAnsi" w:hAnsiTheme="majorHAnsi" w:cstheme="majorBidi"/>
        </w:rPr>
      </w:pPr>
      <w:r w:rsidRPr="20AC5B7D">
        <w:rPr>
          <w:rFonts w:asciiTheme="majorHAnsi" w:hAnsiTheme="majorHAnsi" w:cstheme="majorBidi"/>
        </w:rPr>
        <w:t>Covid-19 IMV-patients were significantly younger (median 59.7 years, IQR:51.1 to 64.5</w:t>
      </w:r>
      <w:r w:rsidR="007C1096">
        <w:rPr>
          <w:rFonts w:asciiTheme="majorHAnsi" w:hAnsiTheme="majorHAnsi" w:cstheme="majorBidi"/>
        </w:rPr>
        <w:t>, p=0.017</w:t>
      </w:r>
      <w:r w:rsidRPr="20AC5B7D">
        <w:rPr>
          <w:rFonts w:asciiTheme="majorHAnsi" w:hAnsiTheme="majorHAnsi" w:cstheme="majorBidi"/>
        </w:rPr>
        <w:t>) than pre-pandemic IMV-patients (median 62.0 years, IQR:52.0 to 70.0, Table</w:t>
      </w:r>
      <w:r w:rsidR="00586052" w:rsidRPr="20AC5B7D">
        <w:rPr>
          <w:rFonts w:asciiTheme="majorHAnsi" w:hAnsiTheme="majorHAnsi" w:cstheme="majorBidi"/>
        </w:rPr>
        <w:t>-</w:t>
      </w:r>
      <w:r w:rsidRPr="20AC5B7D">
        <w:rPr>
          <w:rFonts w:asciiTheme="majorHAnsi" w:hAnsiTheme="majorHAnsi" w:cstheme="majorBidi"/>
        </w:rPr>
        <w:t xml:space="preserve">1). A higher proportion of Covid-19 IMV-patients were males (70.7% [65/92]) than pre-pandemic (57.1% [137/240]). Significantly </w:t>
      </w:r>
      <w:r w:rsidR="20AC5B7D" w:rsidRPr="20AC5B7D">
        <w:rPr>
          <w:rFonts w:asciiTheme="majorHAnsi" w:hAnsiTheme="majorHAnsi" w:cstheme="majorBidi"/>
        </w:rPr>
        <w:t>fewer</w:t>
      </w:r>
      <w:r w:rsidRPr="20AC5B7D">
        <w:rPr>
          <w:rFonts w:asciiTheme="majorHAnsi" w:hAnsiTheme="majorHAnsi" w:cstheme="majorBidi"/>
        </w:rPr>
        <w:t xml:space="preserve"> Covid-19 IMV-patients had prior comorbidity (62.0% [57/92] vs 87.9% [211/240]</w:t>
      </w:r>
      <w:r w:rsidR="003A0C89">
        <w:rPr>
          <w:rFonts w:asciiTheme="majorHAnsi" w:hAnsiTheme="majorHAnsi" w:cstheme="majorBidi"/>
        </w:rPr>
        <w:t>, p&lt;0.001</w:t>
      </w:r>
      <w:r w:rsidRPr="20AC5B7D">
        <w:rPr>
          <w:rFonts w:asciiTheme="majorHAnsi" w:hAnsiTheme="majorHAnsi" w:cstheme="majorBidi"/>
        </w:rPr>
        <w:t xml:space="preserve">), and the median number of comorbidities was </w:t>
      </w:r>
      <w:r w:rsidR="7B27D54E" w:rsidRPr="7B27D54E">
        <w:rPr>
          <w:rFonts w:asciiTheme="majorHAnsi" w:hAnsiTheme="majorHAnsi" w:cstheme="majorBidi"/>
        </w:rPr>
        <w:t>significantly</w:t>
      </w:r>
      <w:r w:rsidRPr="20AC5B7D">
        <w:rPr>
          <w:rFonts w:asciiTheme="majorHAnsi" w:hAnsiTheme="majorHAnsi" w:cstheme="majorBidi"/>
        </w:rPr>
        <w:t xml:space="preserve"> lower (1, IQR:0 to 2 vs 2, IQR:1 to 4</w:t>
      </w:r>
      <w:r w:rsidR="003A0C89">
        <w:rPr>
          <w:rFonts w:asciiTheme="majorHAnsi" w:hAnsiTheme="majorHAnsi" w:cstheme="majorBidi"/>
        </w:rPr>
        <w:t>, p&lt;0.001</w:t>
      </w:r>
      <w:r w:rsidRPr="20AC5B7D">
        <w:rPr>
          <w:rFonts w:asciiTheme="majorHAnsi" w:hAnsiTheme="majorHAnsi" w:cstheme="majorBidi"/>
        </w:rPr>
        <w:t>)</w:t>
      </w:r>
      <w:r w:rsidR="00512B85">
        <w:rPr>
          <w:rFonts w:asciiTheme="majorHAnsi" w:hAnsiTheme="majorHAnsi" w:cstheme="majorBidi"/>
        </w:rPr>
        <w:t xml:space="preserve"> </w:t>
      </w:r>
      <w:r w:rsidR="00EB2F19">
        <w:rPr>
          <w:rFonts w:asciiTheme="majorHAnsi" w:hAnsiTheme="majorHAnsi" w:cstheme="majorBidi"/>
        </w:rPr>
        <w:t>Significantly fewer Covid-19 IMV-patients had chronic pulmonary disease</w:t>
      </w:r>
      <w:r w:rsidR="00FA55F3">
        <w:rPr>
          <w:rFonts w:asciiTheme="majorHAnsi" w:hAnsiTheme="majorHAnsi" w:cstheme="majorBidi"/>
        </w:rPr>
        <w:t xml:space="preserve"> (5.8% </w:t>
      </w:r>
      <w:r w:rsidR="00FC197C">
        <w:rPr>
          <w:rFonts w:asciiTheme="majorHAnsi" w:hAnsiTheme="majorHAnsi" w:cstheme="majorBidi"/>
        </w:rPr>
        <w:t>[5/86] vs 15.4% [37/240], p=0.036).</w:t>
      </w:r>
      <w:r w:rsidR="00EB2F19">
        <w:rPr>
          <w:rFonts w:asciiTheme="majorHAnsi" w:hAnsiTheme="majorHAnsi" w:cstheme="majorBidi"/>
        </w:rPr>
        <w:t xml:space="preserve"> </w:t>
      </w:r>
      <w:r w:rsidRPr="20AC5B7D">
        <w:rPr>
          <w:rFonts w:asciiTheme="majorHAnsi" w:hAnsiTheme="majorHAnsi" w:cstheme="majorBidi"/>
        </w:rPr>
        <w:t xml:space="preserve">Both groups were similar in terms of socioeconomic status, and the prevalence of obesity, diabetes, </w:t>
      </w:r>
      <w:r w:rsidR="00EB2F19">
        <w:rPr>
          <w:rFonts w:asciiTheme="majorHAnsi" w:hAnsiTheme="majorHAnsi" w:cstheme="majorBidi"/>
        </w:rPr>
        <w:t xml:space="preserve">chronic cardiac disease, and </w:t>
      </w:r>
      <w:r w:rsidRPr="20AC5B7D">
        <w:rPr>
          <w:rFonts w:asciiTheme="majorHAnsi" w:hAnsiTheme="majorHAnsi" w:cstheme="majorBidi"/>
        </w:rPr>
        <w:t xml:space="preserve">asthma. </w:t>
      </w:r>
      <w:r w:rsidR="00512B85">
        <w:rPr>
          <w:rFonts w:asciiTheme="majorHAnsi" w:hAnsiTheme="majorHAnsi" w:cstheme="majorBidi"/>
        </w:rPr>
        <w:t>These associations were consistent when only Respiratory category pre-pandemic patients were included (Supplementary Table-1).</w:t>
      </w:r>
      <w:r w:rsidR="00512B85" w:rsidRPr="20AC5B7D">
        <w:rPr>
          <w:rFonts w:asciiTheme="majorHAnsi" w:hAnsiTheme="majorHAnsi" w:cstheme="majorBidi"/>
        </w:rPr>
        <w:t xml:space="preserve"> </w:t>
      </w:r>
      <w:r w:rsidRPr="20AC5B7D">
        <w:rPr>
          <w:rFonts w:asciiTheme="majorHAnsi" w:hAnsiTheme="majorHAnsi" w:cstheme="majorBidi"/>
        </w:rPr>
        <w:lastRenderedPageBreak/>
        <w:t>Covid-19 IMV-patients responded a median 185 days, IQR:137 to 241, after hospital discharge (Table</w:t>
      </w:r>
      <w:r w:rsidR="00586052" w:rsidRPr="20AC5B7D">
        <w:rPr>
          <w:rFonts w:asciiTheme="majorHAnsi" w:hAnsiTheme="majorHAnsi" w:cstheme="majorBidi"/>
        </w:rPr>
        <w:t>-</w:t>
      </w:r>
      <w:r w:rsidRPr="20AC5B7D">
        <w:rPr>
          <w:rFonts w:asciiTheme="majorHAnsi" w:hAnsiTheme="majorHAnsi" w:cstheme="majorBidi"/>
        </w:rPr>
        <w:t xml:space="preserve">1). </w:t>
      </w:r>
    </w:p>
    <w:p w14:paraId="6A696B9F" w14:textId="77777777" w:rsidR="00B77386" w:rsidRPr="00D7026D" w:rsidRDefault="00B77386" w:rsidP="00B77386">
      <w:pPr>
        <w:spacing w:line="480" w:lineRule="auto"/>
        <w:jc w:val="both"/>
        <w:rPr>
          <w:rFonts w:asciiTheme="majorHAnsi" w:hAnsiTheme="majorHAnsi" w:cstheme="majorHAnsi"/>
        </w:rPr>
      </w:pPr>
    </w:p>
    <w:p w14:paraId="6952A1A7" w14:textId="15AA348B" w:rsidR="00B77386" w:rsidRPr="00D7026D" w:rsidRDefault="00B77386" w:rsidP="00B77386">
      <w:pPr>
        <w:spacing w:line="480" w:lineRule="auto"/>
        <w:jc w:val="both"/>
        <w:rPr>
          <w:rFonts w:asciiTheme="majorHAnsi" w:hAnsiTheme="majorHAnsi" w:cstheme="majorBidi"/>
        </w:rPr>
      </w:pPr>
      <w:r w:rsidRPr="094F43DF">
        <w:rPr>
          <w:rFonts w:asciiTheme="majorHAnsi" w:hAnsiTheme="majorHAnsi" w:cstheme="majorBidi"/>
        </w:rPr>
        <w:t>Pre-pandemic IMV-patients received a median 8 days</w:t>
      </w:r>
      <w:r w:rsidR="7B27D54E" w:rsidRPr="7B27D54E">
        <w:rPr>
          <w:rFonts w:asciiTheme="majorHAnsi" w:hAnsiTheme="majorHAnsi" w:cstheme="majorBidi"/>
        </w:rPr>
        <w:t xml:space="preserve"> of IMV</w:t>
      </w:r>
      <w:r w:rsidRPr="094F43DF">
        <w:rPr>
          <w:rFonts w:asciiTheme="majorHAnsi" w:hAnsiTheme="majorHAnsi" w:cstheme="majorBidi"/>
        </w:rPr>
        <w:t>, IQR:5 to 15; the median APACHE-II score was 20, IQR:16 to 25 (Table</w:t>
      </w:r>
      <w:r w:rsidR="00586052">
        <w:rPr>
          <w:rFonts w:asciiTheme="majorHAnsi" w:hAnsiTheme="majorHAnsi" w:cstheme="majorBidi"/>
        </w:rPr>
        <w:t>-</w:t>
      </w:r>
      <w:r w:rsidRPr="094F43DF">
        <w:rPr>
          <w:rFonts w:asciiTheme="majorHAnsi" w:hAnsiTheme="majorHAnsi" w:cstheme="majorBidi"/>
        </w:rPr>
        <w:t xml:space="preserve">1). </w:t>
      </w:r>
    </w:p>
    <w:p w14:paraId="22107D47" w14:textId="77777777" w:rsidR="00B77386" w:rsidRPr="00D7026D" w:rsidRDefault="00B77386" w:rsidP="00B77386">
      <w:pPr>
        <w:spacing w:line="480" w:lineRule="auto"/>
        <w:jc w:val="both"/>
        <w:rPr>
          <w:rFonts w:asciiTheme="majorHAnsi" w:hAnsiTheme="majorHAnsi" w:cstheme="majorHAnsi"/>
          <w:i/>
          <w:color w:val="4F81BD" w:themeColor="accent1"/>
        </w:rPr>
      </w:pPr>
    </w:p>
    <w:p w14:paraId="6DA2DF10" w14:textId="77777777" w:rsidR="00B77386" w:rsidRPr="00D7026D" w:rsidRDefault="00B77386" w:rsidP="00B77386">
      <w:pPr>
        <w:spacing w:line="480" w:lineRule="auto"/>
        <w:jc w:val="both"/>
        <w:rPr>
          <w:rFonts w:asciiTheme="majorHAnsi" w:hAnsiTheme="majorHAnsi" w:cstheme="majorHAnsi"/>
          <w:i/>
          <w:color w:val="4F81BD" w:themeColor="accent1"/>
        </w:rPr>
      </w:pPr>
      <w:r w:rsidRPr="00D7026D">
        <w:rPr>
          <w:rFonts w:asciiTheme="majorHAnsi" w:hAnsiTheme="majorHAnsi" w:cstheme="majorHAnsi"/>
          <w:i/>
          <w:color w:val="4F81BD" w:themeColor="accent1"/>
        </w:rPr>
        <w:t>Primary outcome</w:t>
      </w:r>
    </w:p>
    <w:p w14:paraId="1C545396" w14:textId="6AB029D8" w:rsidR="00B77386" w:rsidRPr="00D7026D" w:rsidRDefault="00B77386" w:rsidP="00B77386">
      <w:pPr>
        <w:spacing w:line="480" w:lineRule="auto"/>
        <w:jc w:val="both"/>
        <w:rPr>
          <w:rFonts w:asciiTheme="majorHAnsi" w:hAnsiTheme="majorHAnsi" w:cstheme="majorBidi"/>
        </w:rPr>
      </w:pPr>
      <w:r w:rsidRPr="2C971BEE">
        <w:rPr>
          <w:rFonts w:asciiTheme="majorHAnsi" w:hAnsiTheme="majorHAnsi" w:cstheme="majorBidi"/>
        </w:rPr>
        <w:t xml:space="preserve">The median fatigue severity reported by Covid-19 IMV-patients at the timepoint they responded was 5.0, </w:t>
      </w:r>
      <w:r w:rsidR="2C971BEE" w:rsidRPr="2C971BEE">
        <w:rPr>
          <w:rFonts w:asciiTheme="majorHAnsi" w:hAnsiTheme="majorHAnsi" w:cstheme="majorBidi"/>
        </w:rPr>
        <w:t xml:space="preserve">(n= </w:t>
      </w:r>
      <w:r w:rsidR="000F4544">
        <w:rPr>
          <w:rFonts w:asciiTheme="majorHAnsi" w:hAnsiTheme="majorHAnsi" w:cstheme="majorBidi"/>
        </w:rPr>
        <w:t>85)</w:t>
      </w:r>
      <w:r w:rsidR="2C971BEE" w:rsidRPr="2C971BEE">
        <w:rPr>
          <w:rFonts w:asciiTheme="majorHAnsi" w:hAnsiTheme="majorHAnsi" w:cstheme="majorBidi"/>
        </w:rPr>
        <w:t xml:space="preserve">, </w:t>
      </w:r>
      <w:r w:rsidRPr="2C971BEE">
        <w:rPr>
          <w:rFonts w:asciiTheme="majorHAnsi" w:hAnsiTheme="majorHAnsi" w:cstheme="majorBidi"/>
        </w:rPr>
        <w:t>IQR:2.0 to 7.0</w:t>
      </w:r>
      <w:r w:rsidR="2C971BEE" w:rsidRPr="2C971BEE">
        <w:rPr>
          <w:rFonts w:asciiTheme="majorHAnsi" w:hAnsiTheme="majorHAnsi" w:cstheme="majorBidi"/>
        </w:rPr>
        <w:t>,</w:t>
      </w:r>
      <w:r w:rsidRPr="2C971BEE">
        <w:rPr>
          <w:rFonts w:asciiTheme="majorHAnsi" w:hAnsiTheme="majorHAnsi" w:cstheme="majorBidi"/>
        </w:rPr>
        <w:t xml:space="preserve"> Table</w:t>
      </w:r>
      <w:r w:rsidR="00586052" w:rsidRPr="2C971BEE">
        <w:rPr>
          <w:rFonts w:asciiTheme="majorHAnsi" w:hAnsiTheme="majorHAnsi" w:cstheme="majorBidi"/>
        </w:rPr>
        <w:t>-</w:t>
      </w:r>
      <w:r w:rsidRPr="2C971BEE">
        <w:rPr>
          <w:rFonts w:asciiTheme="majorHAnsi" w:hAnsiTheme="majorHAnsi" w:cstheme="majorBidi"/>
        </w:rPr>
        <w:t xml:space="preserve">2). At 3-months, fatigue severity was similar between Covid-19 </w:t>
      </w:r>
      <w:r w:rsidR="005D3E70">
        <w:rPr>
          <w:rFonts w:asciiTheme="majorHAnsi" w:hAnsiTheme="majorHAnsi" w:cstheme="majorBidi"/>
        </w:rPr>
        <w:t xml:space="preserve">(n=18) </w:t>
      </w:r>
      <w:r w:rsidRPr="2C971BEE">
        <w:rPr>
          <w:rFonts w:asciiTheme="majorHAnsi" w:hAnsiTheme="majorHAnsi" w:cstheme="majorBidi"/>
        </w:rPr>
        <w:t>and pre-pandemic IMV-patients</w:t>
      </w:r>
      <w:r w:rsidR="005D3E70">
        <w:rPr>
          <w:rFonts w:asciiTheme="majorHAnsi" w:hAnsiTheme="majorHAnsi" w:cstheme="majorBidi"/>
        </w:rPr>
        <w:t xml:space="preserve"> (n=188)</w:t>
      </w:r>
      <w:r w:rsidRPr="2C971BEE">
        <w:rPr>
          <w:rFonts w:asciiTheme="majorHAnsi" w:hAnsiTheme="majorHAnsi" w:cstheme="majorBidi"/>
        </w:rPr>
        <w:t>. At 6-months, pre-pandemic IMV-patients</w:t>
      </w:r>
      <w:r w:rsidR="005D3E70">
        <w:rPr>
          <w:rFonts w:asciiTheme="majorHAnsi" w:hAnsiTheme="majorHAnsi" w:cstheme="majorBidi"/>
        </w:rPr>
        <w:t xml:space="preserve"> (n=166)</w:t>
      </w:r>
      <w:r w:rsidRPr="2C971BEE">
        <w:rPr>
          <w:rFonts w:asciiTheme="majorHAnsi" w:hAnsiTheme="majorHAnsi" w:cstheme="majorBidi"/>
        </w:rPr>
        <w:t xml:space="preserve"> reported significantly greater fatigue than Covid-19 IMV-patients (</w:t>
      </w:r>
      <w:r w:rsidR="2C971BEE" w:rsidRPr="2C971BEE">
        <w:rPr>
          <w:rFonts w:asciiTheme="majorHAnsi" w:hAnsiTheme="majorHAnsi" w:cstheme="majorBidi"/>
        </w:rPr>
        <w:t>n=</w:t>
      </w:r>
      <w:r w:rsidR="005D3E70">
        <w:rPr>
          <w:rFonts w:asciiTheme="majorHAnsi" w:hAnsiTheme="majorHAnsi" w:cstheme="majorBidi"/>
        </w:rPr>
        <w:t>29</w:t>
      </w:r>
      <w:r w:rsidR="000F4544">
        <w:rPr>
          <w:rFonts w:asciiTheme="majorHAnsi" w:hAnsiTheme="majorHAnsi" w:cstheme="majorBidi"/>
        </w:rPr>
        <w:t>)</w:t>
      </w:r>
      <w:r w:rsidR="2C971BEE" w:rsidRPr="2C971BEE">
        <w:rPr>
          <w:rFonts w:asciiTheme="majorHAnsi" w:hAnsiTheme="majorHAnsi" w:cstheme="majorBidi"/>
        </w:rPr>
        <w:t xml:space="preserve">, </w:t>
      </w:r>
      <w:r w:rsidRPr="2C971BEE">
        <w:rPr>
          <w:rFonts w:asciiTheme="majorHAnsi" w:hAnsiTheme="majorHAnsi" w:cstheme="majorBidi"/>
        </w:rPr>
        <w:t xml:space="preserve">median 5.7/10, IQR:3.5 to 7.3/10 vs median 2/10, IQR:1.0 to 5.0/10, p&lt;0.001). </w:t>
      </w:r>
      <w:r w:rsidR="00212FB3">
        <w:rPr>
          <w:rFonts w:asciiTheme="majorHAnsi" w:hAnsiTheme="majorHAnsi" w:cstheme="majorBidi"/>
        </w:rPr>
        <w:t>These associations were again consistent when only Respiratory category pre-pandemic patients were included (Supplementary Table-2)</w:t>
      </w:r>
      <w:r w:rsidR="00C278ED">
        <w:rPr>
          <w:rFonts w:asciiTheme="majorHAnsi" w:hAnsiTheme="majorHAnsi" w:cstheme="majorBidi"/>
        </w:rPr>
        <w:t>: at 3-months, fatigue severity was similar between Covid-19 (n=18) and Respiratory pre-pandemic IMV-patients (n=62); at 6-months,</w:t>
      </w:r>
      <w:r w:rsidR="007E5503">
        <w:rPr>
          <w:rFonts w:asciiTheme="majorHAnsi" w:hAnsiTheme="majorHAnsi" w:cstheme="majorBidi"/>
        </w:rPr>
        <w:t xml:space="preserve"> Respiratory pre-pandemic IMV-patients (n=54) reported significantly greater fatigue than Covid-19 IMV-patients (n=32), median 6.6/10, IQR:4.6 </w:t>
      </w:r>
      <w:r w:rsidR="00362D16">
        <w:rPr>
          <w:rFonts w:asciiTheme="majorHAnsi" w:hAnsiTheme="majorHAnsi" w:cstheme="majorBidi"/>
        </w:rPr>
        <w:t>to 7.8/10, p&lt;0.001</w:t>
      </w:r>
      <w:r w:rsidR="00615CEC">
        <w:rPr>
          <w:rFonts w:asciiTheme="majorHAnsi" w:hAnsiTheme="majorHAnsi" w:cstheme="majorBidi"/>
        </w:rPr>
        <w:t xml:space="preserve">. </w:t>
      </w:r>
      <w:r w:rsidR="007E5503">
        <w:rPr>
          <w:rFonts w:asciiTheme="majorHAnsi" w:hAnsiTheme="majorHAnsi" w:cstheme="majorBidi"/>
        </w:rPr>
        <w:t xml:space="preserve"> </w:t>
      </w:r>
      <w:r w:rsidRPr="2C971BEE">
        <w:rPr>
          <w:rFonts w:asciiTheme="majorHAnsi" w:hAnsiTheme="majorHAnsi" w:cstheme="majorBidi"/>
        </w:rPr>
        <w:t>Fatigue at 12-months was not compared because Covid-19 IMV-patients had not accrued follow-up to this time point.</w:t>
      </w:r>
      <w:r w:rsidR="00DE5B21">
        <w:rPr>
          <w:rFonts w:asciiTheme="majorHAnsi" w:hAnsiTheme="majorHAnsi" w:cstheme="majorBidi"/>
        </w:rPr>
        <w:t xml:space="preserve"> </w:t>
      </w:r>
    </w:p>
    <w:p w14:paraId="6A17752F" w14:textId="77777777" w:rsidR="00B77386" w:rsidRPr="00D7026D" w:rsidRDefault="00B77386" w:rsidP="00B77386">
      <w:pPr>
        <w:spacing w:line="480" w:lineRule="auto"/>
        <w:jc w:val="both"/>
        <w:rPr>
          <w:rFonts w:asciiTheme="majorHAnsi" w:hAnsiTheme="majorHAnsi" w:cstheme="majorHAnsi"/>
        </w:rPr>
      </w:pPr>
    </w:p>
    <w:p w14:paraId="20F78828" w14:textId="043611C0" w:rsidR="00B77386" w:rsidRPr="00D7026D" w:rsidRDefault="00B77386" w:rsidP="00B77386">
      <w:pPr>
        <w:spacing w:line="480" w:lineRule="auto"/>
        <w:jc w:val="both"/>
        <w:rPr>
          <w:rFonts w:asciiTheme="majorHAnsi" w:hAnsiTheme="majorHAnsi" w:cstheme="majorBidi"/>
        </w:rPr>
      </w:pPr>
      <w:r w:rsidRPr="536E4E48">
        <w:rPr>
          <w:rFonts w:asciiTheme="majorHAnsi" w:hAnsiTheme="majorHAnsi" w:cstheme="majorBidi"/>
        </w:rPr>
        <w:t xml:space="preserve">Severe fatigue at the timepoint they responded was reported in 28.2% </w:t>
      </w:r>
      <w:r w:rsidR="00F74381">
        <w:rPr>
          <w:rFonts w:asciiTheme="majorHAnsi" w:hAnsiTheme="majorHAnsi" w:cstheme="majorBidi"/>
        </w:rPr>
        <w:t>[</w:t>
      </w:r>
      <w:r w:rsidRPr="536E4E48">
        <w:rPr>
          <w:rFonts w:asciiTheme="majorHAnsi" w:hAnsiTheme="majorHAnsi" w:cstheme="majorBidi"/>
        </w:rPr>
        <w:t>24/85</w:t>
      </w:r>
      <w:r w:rsidR="00F74381">
        <w:rPr>
          <w:rFonts w:asciiTheme="majorHAnsi" w:hAnsiTheme="majorHAnsi" w:cstheme="majorBidi"/>
        </w:rPr>
        <w:t>]</w:t>
      </w:r>
      <w:r w:rsidRPr="536E4E48">
        <w:rPr>
          <w:rFonts w:asciiTheme="majorHAnsi" w:hAnsiTheme="majorHAnsi" w:cstheme="majorBidi"/>
        </w:rPr>
        <w:t xml:space="preserve"> of Covid-19 IMV-patients who responded (Supplementary Table</w:t>
      </w:r>
      <w:r w:rsidR="00586052" w:rsidRPr="536E4E48">
        <w:rPr>
          <w:rFonts w:asciiTheme="majorHAnsi" w:hAnsiTheme="majorHAnsi" w:cstheme="majorBidi"/>
        </w:rPr>
        <w:t>-</w:t>
      </w:r>
      <w:r w:rsidR="00A20057">
        <w:rPr>
          <w:rFonts w:asciiTheme="majorHAnsi" w:hAnsiTheme="majorHAnsi" w:cstheme="majorBidi"/>
        </w:rPr>
        <w:t>3</w:t>
      </w:r>
      <w:r w:rsidRPr="536E4E48">
        <w:rPr>
          <w:rFonts w:asciiTheme="majorHAnsi" w:hAnsiTheme="majorHAnsi" w:cstheme="majorBidi"/>
        </w:rPr>
        <w:t xml:space="preserve">). At 3-months post-hospital discharge, the prevalence of severe fatigue was similar in Covid-19 (38.9%, [7/18]) and pre-pandemic IMV-patients (27.1%, [51/188]), and at 6-months significantly less Covid-19 IMV-patients </w:t>
      </w:r>
      <w:r w:rsidRPr="536E4E48">
        <w:rPr>
          <w:rFonts w:asciiTheme="majorHAnsi" w:hAnsiTheme="majorHAnsi" w:cstheme="majorBidi"/>
        </w:rPr>
        <w:lastRenderedPageBreak/>
        <w:t>experienced s</w:t>
      </w:r>
      <w:r w:rsidR="008B68DC" w:rsidRPr="536E4E48">
        <w:rPr>
          <w:rFonts w:asciiTheme="majorHAnsi" w:hAnsiTheme="majorHAnsi" w:cstheme="majorBidi"/>
        </w:rPr>
        <w:t xml:space="preserve">evere </w:t>
      </w:r>
      <w:r w:rsidRPr="536E4E48">
        <w:rPr>
          <w:rFonts w:asciiTheme="majorHAnsi" w:hAnsiTheme="majorHAnsi" w:cstheme="majorBidi"/>
        </w:rPr>
        <w:t>fatigue (10.3% [3/29] vs 32.5% [54/166]</w:t>
      </w:r>
      <w:r w:rsidR="002A7ED2">
        <w:rPr>
          <w:rFonts w:asciiTheme="majorHAnsi" w:hAnsiTheme="majorHAnsi" w:cstheme="majorBidi"/>
        </w:rPr>
        <w:t>, p</w:t>
      </w:r>
      <w:r w:rsidR="000F1394">
        <w:rPr>
          <w:rFonts w:asciiTheme="majorHAnsi" w:hAnsiTheme="majorHAnsi" w:cstheme="majorBidi"/>
        </w:rPr>
        <w:t>=0.015</w:t>
      </w:r>
      <w:r w:rsidR="00087D81">
        <w:rPr>
          <w:rFonts w:asciiTheme="majorHAnsi" w:hAnsiTheme="majorHAnsi" w:cstheme="majorBidi"/>
        </w:rPr>
        <w:t xml:space="preserve">). </w:t>
      </w:r>
      <w:r w:rsidR="006F3B5E">
        <w:rPr>
          <w:rFonts w:asciiTheme="majorHAnsi" w:hAnsiTheme="majorHAnsi" w:cstheme="majorBidi"/>
        </w:rPr>
        <w:t>This pattern was again consistent when only Respiratory category pre-pandemic patients were included (Supplementary Table-4)</w:t>
      </w:r>
      <w:r w:rsidR="00515FEB">
        <w:rPr>
          <w:rFonts w:asciiTheme="majorHAnsi" w:hAnsiTheme="majorHAnsi" w:cstheme="majorBidi"/>
        </w:rPr>
        <w:t xml:space="preserve">: </w:t>
      </w:r>
      <w:r w:rsidR="00A21837">
        <w:rPr>
          <w:rFonts w:asciiTheme="majorHAnsi" w:hAnsiTheme="majorHAnsi" w:cstheme="majorBidi"/>
        </w:rPr>
        <w:t>at 3</w:t>
      </w:r>
      <w:r w:rsidR="00107775">
        <w:rPr>
          <w:rFonts w:asciiTheme="majorHAnsi" w:hAnsiTheme="majorHAnsi" w:cstheme="majorBidi"/>
        </w:rPr>
        <w:t>-months</w:t>
      </w:r>
      <w:r w:rsidR="00BA1ED0">
        <w:rPr>
          <w:rFonts w:asciiTheme="majorHAnsi" w:hAnsiTheme="majorHAnsi" w:cstheme="majorBidi"/>
        </w:rPr>
        <w:t xml:space="preserve"> and 6-months respectively</w:t>
      </w:r>
      <w:r w:rsidR="00A21837">
        <w:rPr>
          <w:rFonts w:asciiTheme="majorHAnsi" w:hAnsiTheme="majorHAnsi" w:cstheme="majorBidi"/>
        </w:rPr>
        <w:t>, 35.5% [22/62</w:t>
      </w:r>
      <w:r w:rsidR="00107775">
        <w:rPr>
          <w:rFonts w:asciiTheme="majorHAnsi" w:hAnsiTheme="majorHAnsi" w:cstheme="majorBidi"/>
        </w:rPr>
        <w:t>]</w:t>
      </w:r>
      <w:r w:rsidR="00BA1ED0">
        <w:rPr>
          <w:rFonts w:asciiTheme="majorHAnsi" w:hAnsiTheme="majorHAnsi" w:cstheme="majorBidi"/>
        </w:rPr>
        <w:t xml:space="preserve"> (p=0.789)</w:t>
      </w:r>
      <w:r w:rsidR="00107775">
        <w:rPr>
          <w:rFonts w:asciiTheme="majorHAnsi" w:hAnsiTheme="majorHAnsi" w:cstheme="majorBidi"/>
        </w:rPr>
        <w:t xml:space="preserve"> </w:t>
      </w:r>
      <w:r w:rsidR="00BA1ED0">
        <w:rPr>
          <w:rFonts w:asciiTheme="majorHAnsi" w:hAnsiTheme="majorHAnsi" w:cstheme="majorBidi"/>
        </w:rPr>
        <w:t xml:space="preserve">and 44.4% [24/54] (p=0.0014) </w:t>
      </w:r>
      <w:r w:rsidR="00107775">
        <w:rPr>
          <w:rFonts w:asciiTheme="majorHAnsi" w:hAnsiTheme="majorHAnsi" w:cstheme="majorBidi"/>
        </w:rPr>
        <w:t>of Respiratory category pre-pandemic IMV-patients reported severe fatigue</w:t>
      </w:r>
      <w:r w:rsidR="00BA1ED0">
        <w:rPr>
          <w:rFonts w:asciiTheme="majorHAnsi" w:hAnsiTheme="majorHAnsi" w:cstheme="majorBidi"/>
        </w:rPr>
        <w:t xml:space="preserve">. </w:t>
      </w:r>
    </w:p>
    <w:p w14:paraId="0BB0205F" w14:textId="77777777" w:rsidR="00B77386" w:rsidRPr="00D7026D" w:rsidRDefault="00B77386" w:rsidP="00B77386">
      <w:pPr>
        <w:spacing w:line="480" w:lineRule="auto"/>
        <w:rPr>
          <w:rFonts w:asciiTheme="majorHAnsi" w:hAnsiTheme="majorHAnsi" w:cstheme="majorHAnsi"/>
          <w:i/>
          <w:iCs/>
          <w:color w:val="4F81BD" w:themeColor="accent1"/>
        </w:rPr>
      </w:pPr>
    </w:p>
    <w:p w14:paraId="7ED696E1" w14:textId="77777777" w:rsidR="00B77386" w:rsidRPr="00D7026D" w:rsidRDefault="00B77386" w:rsidP="00B77386">
      <w:pPr>
        <w:spacing w:line="480" w:lineRule="auto"/>
        <w:jc w:val="both"/>
        <w:rPr>
          <w:rFonts w:asciiTheme="majorHAnsi" w:hAnsiTheme="majorHAnsi" w:cstheme="majorBidi"/>
          <w:i/>
          <w:color w:val="4F81BD" w:themeColor="accent1"/>
        </w:rPr>
      </w:pPr>
      <w:r w:rsidRPr="18082269">
        <w:rPr>
          <w:rFonts w:asciiTheme="majorHAnsi" w:hAnsiTheme="majorHAnsi" w:cstheme="majorBidi"/>
          <w:i/>
          <w:color w:val="4F81BD" w:themeColor="accent1"/>
        </w:rPr>
        <w:t xml:space="preserve">Predictors of </w:t>
      </w:r>
      <w:r>
        <w:rPr>
          <w:rFonts w:asciiTheme="majorHAnsi" w:hAnsiTheme="majorHAnsi" w:cstheme="majorBidi"/>
          <w:i/>
          <w:color w:val="4F81BD" w:themeColor="accent1"/>
        </w:rPr>
        <w:t>fatigue</w:t>
      </w:r>
    </w:p>
    <w:p w14:paraId="717A836B" w14:textId="364F1B56" w:rsidR="00F90C56" w:rsidRPr="00D7026D" w:rsidRDefault="00B77386" w:rsidP="00B77386">
      <w:pPr>
        <w:spacing w:line="480" w:lineRule="auto"/>
        <w:jc w:val="both"/>
        <w:rPr>
          <w:rFonts w:asciiTheme="majorHAnsi" w:hAnsiTheme="majorHAnsi" w:cstheme="majorHAnsi"/>
        </w:rPr>
      </w:pPr>
      <w:r w:rsidRPr="094F43DF">
        <w:rPr>
          <w:rFonts w:asciiTheme="majorHAnsi" w:hAnsiTheme="majorHAnsi" w:cstheme="majorBidi"/>
        </w:rPr>
        <w:t xml:space="preserve">At a univariable level, in the Covid-19 group, females under 50 </w:t>
      </w:r>
      <w:r w:rsidR="0009597D">
        <w:rPr>
          <w:rFonts w:asciiTheme="majorHAnsi" w:hAnsiTheme="majorHAnsi" w:cstheme="majorBidi"/>
        </w:rPr>
        <w:t>report</w:t>
      </w:r>
      <w:r w:rsidR="005B5A59">
        <w:rPr>
          <w:rFonts w:asciiTheme="majorHAnsi" w:hAnsiTheme="majorHAnsi" w:cstheme="majorBidi"/>
        </w:rPr>
        <w:t>ed</w:t>
      </w:r>
      <w:r w:rsidR="0009597D">
        <w:rPr>
          <w:rFonts w:asciiTheme="majorHAnsi" w:hAnsiTheme="majorHAnsi" w:cstheme="majorBidi"/>
        </w:rPr>
        <w:t xml:space="preserve"> </w:t>
      </w:r>
      <w:r w:rsidRPr="094F43DF">
        <w:rPr>
          <w:rFonts w:asciiTheme="majorHAnsi" w:hAnsiTheme="majorHAnsi" w:cstheme="majorBidi"/>
        </w:rPr>
        <w:t>mo</w:t>
      </w:r>
      <w:r w:rsidR="0009597D">
        <w:rPr>
          <w:rFonts w:asciiTheme="majorHAnsi" w:hAnsiTheme="majorHAnsi" w:cstheme="majorBidi"/>
        </w:rPr>
        <w:t xml:space="preserve">re </w:t>
      </w:r>
      <w:r w:rsidRPr="094F43DF">
        <w:rPr>
          <w:rFonts w:asciiTheme="majorHAnsi" w:hAnsiTheme="majorHAnsi" w:cstheme="majorBidi"/>
        </w:rPr>
        <w:t>severe fatigue</w:t>
      </w:r>
      <w:r w:rsidR="005B5A59">
        <w:rPr>
          <w:rFonts w:asciiTheme="majorHAnsi" w:hAnsiTheme="majorHAnsi" w:cstheme="majorBidi"/>
        </w:rPr>
        <w:t xml:space="preserve"> (</w:t>
      </w:r>
      <w:r w:rsidR="006A5485">
        <w:rPr>
          <w:rFonts w:asciiTheme="majorHAnsi" w:hAnsiTheme="majorHAnsi" w:cstheme="majorBidi"/>
        </w:rPr>
        <w:t>mean 5.20, 95%CI: 2.93 to 7.47)</w:t>
      </w:r>
      <w:r>
        <w:rPr>
          <w:rFonts w:asciiTheme="majorHAnsi" w:hAnsiTheme="majorHAnsi" w:cstheme="majorBidi"/>
        </w:rPr>
        <w:t xml:space="preserve">; </w:t>
      </w:r>
      <w:r w:rsidRPr="094F43DF">
        <w:rPr>
          <w:rFonts w:asciiTheme="majorHAnsi" w:hAnsiTheme="majorHAnsi" w:cstheme="majorBidi"/>
        </w:rPr>
        <w:t xml:space="preserve">In pre-pandemic IMV-patients, sex did </w:t>
      </w:r>
      <w:r w:rsidR="00D9479E">
        <w:rPr>
          <w:rFonts w:asciiTheme="majorHAnsi" w:hAnsiTheme="majorHAnsi" w:cstheme="majorBidi"/>
        </w:rPr>
        <w:t xml:space="preserve">not </w:t>
      </w:r>
      <w:r w:rsidRPr="094F43DF">
        <w:rPr>
          <w:rFonts w:asciiTheme="majorHAnsi" w:hAnsiTheme="majorHAnsi" w:cstheme="majorBidi"/>
        </w:rPr>
        <w:t>affect outcomes (</w:t>
      </w:r>
      <w:r>
        <w:rPr>
          <w:rFonts w:asciiTheme="majorHAnsi" w:hAnsiTheme="majorHAnsi" w:cstheme="majorBidi"/>
        </w:rPr>
        <w:t xml:space="preserve">Supplementary </w:t>
      </w:r>
      <w:r w:rsidRPr="094F43DF">
        <w:rPr>
          <w:rFonts w:asciiTheme="majorHAnsi" w:hAnsiTheme="majorHAnsi" w:cstheme="majorBidi"/>
        </w:rPr>
        <w:t>Figure</w:t>
      </w:r>
      <w:r w:rsidR="00586052">
        <w:rPr>
          <w:rFonts w:asciiTheme="majorHAnsi" w:hAnsiTheme="majorHAnsi" w:cstheme="majorBidi"/>
        </w:rPr>
        <w:t>-</w:t>
      </w:r>
      <w:r>
        <w:rPr>
          <w:rFonts w:asciiTheme="majorHAnsi" w:hAnsiTheme="majorHAnsi" w:cstheme="majorBidi"/>
        </w:rPr>
        <w:t>1</w:t>
      </w:r>
      <w:r w:rsidR="003C29A2">
        <w:rPr>
          <w:rFonts w:asciiTheme="majorHAnsi" w:hAnsiTheme="majorHAnsi" w:cstheme="majorBidi"/>
        </w:rPr>
        <w:t>, Supplementary Table-</w:t>
      </w:r>
      <w:r w:rsidR="00E7067B">
        <w:rPr>
          <w:rFonts w:asciiTheme="majorHAnsi" w:hAnsiTheme="majorHAnsi" w:cstheme="majorBidi"/>
        </w:rPr>
        <w:t>5</w:t>
      </w:r>
      <w:r w:rsidRPr="094F43DF">
        <w:rPr>
          <w:rFonts w:asciiTheme="majorHAnsi" w:hAnsiTheme="majorHAnsi" w:cstheme="majorBidi"/>
        </w:rPr>
        <w:t xml:space="preserve">).  </w:t>
      </w:r>
    </w:p>
    <w:p w14:paraId="16EC64E7" w14:textId="77777777" w:rsidR="00B77386" w:rsidRDefault="00B77386" w:rsidP="00B77386">
      <w:pPr>
        <w:spacing w:line="480" w:lineRule="auto"/>
        <w:jc w:val="both"/>
        <w:rPr>
          <w:rFonts w:asciiTheme="majorHAnsi" w:hAnsiTheme="majorHAnsi" w:cstheme="majorHAnsi"/>
        </w:rPr>
      </w:pPr>
    </w:p>
    <w:p w14:paraId="734F0A35" w14:textId="766E88B1" w:rsidR="003A3900" w:rsidRDefault="00B77386" w:rsidP="00B77386">
      <w:pPr>
        <w:spacing w:line="480" w:lineRule="auto"/>
        <w:jc w:val="both"/>
        <w:rPr>
          <w:rFonts w:asciiTheme="majorHAnsi" w:hAnsiTheme="majorHAnsi" w:cstheme="majorBidi"/>
        </w:rPr>
      </w:pPr>
      <w:r w:rsidRPr="33445B43">
        <w:rPr>
          <w:rFonts w:asciiTheme="majorHAnsi" w:hAnsiTheme="majorHAnsi" w:cstheme="majorBidi"/>
        </w:rPr>
        <w:t xml:space="preserve">In the total sample included (Covid-19 and pre-pandemic patients), having Covid-19 </w:t>
      </w:r>
      <w:r>
        <w:rPr>
          <w:rFonts w:asciiTheme="majorHAnsi" w:hAnsiTheme="majorHAnsi" w:cstheme="majorBidi"/>
        </w:rPr>
        <w:t>was</w:t>
      </w:r>
      <w:r w:rsidRPr="33445B43">
        <w:rPr>
          <w:rFonts w:asciiTheme="majorHAnsi" w:hAnsiTheme="majorHAnsi" w:cstheme="majorBidi"/>
        </w:rPr>
        <w:t xml:space="preserve"> significantly associated with </w:t>
      </w:r>
      <w:r w:rsidRPr="18082269">
        <w:rPr>
          <w:rFonts w:asciiTheme="majorHAnsi" w:hAnsiTheme="majorHAnsi" w:cstheme="majorBidi"/>
        </w:rPr>
        <w:t>less severe fatigue (cut-off</w:t>
      </w:r>
      <w:r w:rsidRPr="33445B43">
        <w:rPr>
          <w:rFonts w:asciiTheme="majorHAnsi" w:hAnsiTheme="majorHAnsi" w:cstheme="majorBidi"/>
        </w:rPr>
        <w:t xml:space="preserve"> </w:t>
      </w:r>
      <w:r>
        <w:rPr>
          <w:rFonts w:asciiTheme="majorHAnsi" w:hAnsiTheme="majorHAnsi" w:cstheme="majorBidi"/>
        </w:rPr>
        <w:t>7</w:t>
      </w:r>
      <w:r w:rsidRPr="33445B43">
        <w:rPr>
          <w:rFonts w:asciiTheme="majorHAnsi" w:hAnsiTheme="majorHAnsi" w:cstheme="majorBidi"/>
        </w:rPr>
        <w:t>/10</w:t>
      </w:r>
      <w:r w:rsidRPr="18082269">
        <w:rPr>
          <w:rFonts w:asciiTheme="majorHAnsi" w:hAnsiTheme="majorHAnsi" w:cstheme="majorBidi"/>
        </w:rPr>
        <w:t>,</w:t>
      </w:r>
      <w:r w:rsidRPr="33445B43">
        <w:rPr>
          <w:rFonts w:asciiTheme="majorHAnsi" w:hAnsiTheme="majorHAnsi" w:cstheme="majorBidi"/>
        </w:rPr>
        <w:t xml:space="preserve"> adjusted OR 0.</w:t>
      </w:r>
      <w:r>
        <w:rPr>
          <w:rFonts w:asciiTheme="majorHAnsi" w:hAnsiTheme="majorHAnsi" w:cstheme="majorBidi"/>
        </w:rPr>
        <w:t>35</w:t>
      </w:r>
      <w:r w:rsidRPr="33445B43">
        <w:rPr>
          <w:rFonts w:asciiTheme="majorHAnsi" w:hAnsiTheme="majorHAnsi" w:cstheme="majorBidi"/>
        </w:rPr>
        <w:t xml:space="preserve"> (95%CI</w:t>
      </w:r>
      <w:r w:rsidR="005C1DC2">
        <w:rPr>
          <w:rFonts w:asciiTheme="majorHAnsi" w:hAnsiTheme="majorHAnsi" w:cstheme="majorBidi"/>
        </w:rPr>
        <w:t>:</w:t>
      </w:r>
      <w:r w:rsidRPr="33445B43">
        <w:rPr>
          <w:rFonts w:asciiTheme="majorHAnsi" w:hAnsiTheme="majorHAnsi" w:cstheme="majorBidi"/>
        </w:rPr>
        <w:t>0.</w:t>
      </w:r>
      <w:r>
        <w:rPr>
          <w:rFonts w:asciiTheme="majorHAnsi" w:hAnsiTheme="majorHAnsi" w:cstheme="majorBidi"/>
        </w:rPr>
        <w:t>15</w:t>
      </w:r>
      <w:r w:rsidR="001F29CE">
        <w:rPr>
          <w:rFonts w:asciiTheme="majorHAnsi" w:hAnsiTheme="majorHAnsi" w:cstheme="majorBidi"/>
        </w:rPr>
        <w:t xml:space="preserve"> to </w:t>
      </w:r>
      <w:r>
        <w:rPr>
          <w:rFonts w:asciiTheme="majorHAnsi" w:hAnsiTheme="majorHAnsi" w:cstheme="majorBidi"/>
        </w:rPr>
        <w:t>0.76</w:t>
      </w:r>
      <w:r w:rsidR="00CC4A41">
        <w:rPr>
          <w:rFonts w:asciiTheme="majorHAnsi" w:hAnsiTheme="majorHAnsi" w:cstheme="majorBidi"/>
        </w:rPr>
        <w:t>,</w:t>
      </w:r>
      <w:r w:rsidR="000D7D04">
        <w:rPr>
          <w:rFonts w:asciiTheme="majorHAnsi" w:hAnsiTheme="majorHAnsi" w:cstheme="majorBidi"/>
        </w:rPr>
        <w:t xml:space="preserve"> p=0.01</w:t>
      </w:r>
      <w:r w:rsidRPr="33445B43">
        <w:rPr>
          <w:rFonts w:asciiTheme="majorHAnsi" w:hAnsiTheme="majorHAnsi" w:cstheme="majorBidi"/>
        </w:rPr>
        <w:t>) (</w:t>
      </w:r>
      <w:r w:rsidR="00F96DE8">
        <w:rPr>
          <w:rFonts w:asciiTheme="majorHAnsi" w:hAnsiTheme="majorHAnsi" w:cstheme="majorBidi"/>
        </w:rPr>
        <w:t>Figure</w:t>
      </w:r>
      <w:r w:rsidR="00586052">
        <w:rPr>
          <w:rFonts w:asciiTheme="majorHAnsi" w:hAnsiTheme="majorHAnsi" w:cstheme="majorBidi"/>
        </w:rPr>
        <w:t>-</w:t>
      </w:r>
      <w:r w:rsidR="00F96DE8">
        <w:rPr>
          <w:rFonts w:asciiTheme="majorHAnsi" w:hAnsiTheme="majorHAnsi" w:cstheme="majorBidi"/>
        </w:rPr>
        <w:t xml:space="preserve">2, Supplementary </w:t>
      </w:r>
      <w:r w:rsidRPr="33445B43">
        <w:rPr>
          <w:rFonts w:asciiTheme="majorHAnsi" w:hAnsiTheme="majorHAnsi" w:cstheme="majorBidi"/>
        </w:rPr>
        <w:t>Table</w:t>
      </w:r>
      <w:r w:rsidR="00586052">
        <w:rPr>
          <w:rFonts w:asciiTheme="majorHAnsi" w:hAnsiTheme="majorHAnsi" w:cstheme="majorBidi"/>
        </w:rPr>
        <w:t>-</w:t>
      </w:r>
      <w:r w:rsidR="000D3951">
        <w:rPr>
          <w:rFonts w:asciiTheme="majorHAnsi" w:hAnsiTheme="majorHAnsi" w:cstheme="majorBidi"/>
        </w:rPr>
        <w:t>5</w:t>
      </w:r>
      <w:r w:rsidRPr="33445B43">
        <w:rPr>
          <w:rFonts w:asciiTheme="majorHAnsi" w:hAnsiTheme="majorHAnsi" w:cstheme="majorBidi"/>
        </w:rPr>
        <w:t xml:space="preserve">). </w:t>
      </w:r>
      <w:r w:rsidR="00F659FC">
        <w:rPr>
          <w:rFonts w:asciiTheme="majorHAnsi" w:hAnsiTheme="majorHAnsi" w:cstheme="majorBidi"/>
        </w:rPr>
        <w:t>When the Covid-19 IMV-patients and the Respiratory category pre-pandemic IMV-patients were included, having Covid-19 (</w:t>
      </w:r>
      <w:r w:rsidR="00F659FC" w:rsidRPr="33445B43">
        <w:rPr>
          <w:rFonts w:asciiTheme="majorHAnsi" w:hAnsiTheme="majorHAnsi" w:cstheme="majorBidi"/>
        </w:rPr>
        <w:t>adjusted OR 0.</w:t>
      </w:r>
      <w:r w:rsidR="00F659FC">
        <w:rPr>
          <w:rFonts w:asciiTheme="majorHAnsi" w:hAnsiTheme="majorHAnsi" w:cstheme="majorBidi"/>
        </w:rPr>
        <w:t xml:space="preserve">15, </w:t>
      </w:r>
      <w:r w:rsidR="00F659FC" w:rsidRPr="33445B43">
        <w:rPr>
          <w:rFonts w:asciiTheme="majorHAnsi" w:hAnsiTheme="majorHAnsi" w:cstheme="majorBidi"/>
        </w:rPr>
        <w:t>95%CI</w:t>
      </w:r>
      <w:r w:rsidR="00F659FC">
        <w:rPr>
          <w:rFonts w:asciiTheme="majorHAnsi" w:hAnsiTheme="majorHAnsi" w:cstheme="majorBidi"/>
        </w:rPr>
        <w:t>:</w:t>
      </w:r>
      <w:r w:rsidR="00F659FC" w:rsidRPr="33445B43">
        <w:rPr>
          <w:rFonts w:asciiTheme="majorHAnsi" w:hAnsiTheme="majorHAnsi" w:cstheme="majorBidi"/>
        </w:rPr>
        <w:t>0.</w:t>
      </w:r>
      <w:r w:rsidR="00F659FC">
        <w:rPr>
          <w:rFonts w:asciiTheme="majorHAnsi" w:hAnsiTheme="majorHAnsi" w:cstheme="majorBidi"/>
        </w:rPr>
        <w:t>05 to 0.41</w:t>
      </w:r>
      <w:r w:rsidR="00F659FC" w:rsidRPr="33445B43">
        <w:rPr>
          <w:rFonts w:asciiTheme="majorHAnsi" w:hAnsiTheme="majorHAnsi" w:cstheme="majorBidi"/>
        </w:rPr>
        <w:t>)</w:t>
      </w:r>
      <w:r w:rsidR="00F659FC">
        <w:rPr>
          <w:rFonts w:asciiTheme="majorHAnsi" w:hAnsiTheme="majorHAnsi" w:cstheme="majorBidi"/>
        </w:rPr>
        <w:t xml:space="preserve"> and </w:t>
      </w:r>
      <w:r w:rsidR="00F659FC" w:rsidRPr="00F85FC4">
        <w:rPr>
          <w:rFonts w:asciiTheme="majorHAnsi" w:hAnsiTheme="majorHAnsi" w:cstheme="majorBidi"/>
        </w:rPr>
        <w:t>female sex</w:t>
      </w:r>
      <w:r w:rsidR="00F659FC">
        <w:rPr>
          <w:rFonts w:asciiTheme="majorHAnsi" w:hAnsiTheme="majorHAnsi" w:cstheme="majorBidi"/>
        </w:rPr>
        <w:t xml:space="preserve"> (</w:t>
      </w:r>
      <w:r w:rsidR="00F659FC" w:rsidRPr="33445B43">
        <w:rPr>
          <w:rFonts w:asciiTheme="majorHAnsi" w:hAnsiTheme="majorHAnsi" w:cstheme="majorBidi"/>
        </w:rPr>
        <w:t>adjusted OR 0.</w:t>
      </w:r>
      <w:r w:rsidR="00F659FC">
        <w:rPr>
          <w:rFonts w:asciiTheme="majorHAnsi" w:hAnsiTheme="majorHAnsi" w:cstheme="majorBidi"/>
        </w:rPr>
        <w:t xml:space="preserve">34, </w:t>
      </w:r>
      <w:r w:rsidR="00F659FC" w:rsidRPr="33445B43">
        <w:rPr>
          <w:rFonts w:asciiTheme="majorHAnsi" w:hAnsiTheme="majorHAnsi" w:cstheme="majorBidi"/>
        </w:rPr>
        <w:t>95%CI</w:t>
      </w:r>
      <w:r w:rsidR="00F659FC">
        <w:rPr>
          <w:rFonts w:asciiTheme="majorHAnsi" w:hAnsiTheme="majorHAnsi" w:cstheme="majorBidi"/>
        </w:rPr>
        <w:t>:</w:t>
      </w:r>
      <w:r w:rsidR="00F659FC" w:rsidRPr="33445B43">
        <w:rPr>
          <w:rFonts w:asciiTheme="majorHAnsi" w:hAnsiTheme="majorHAnsi" w:cstheme="majorBidi"/>
        </w:rPr>
        <w:t>0.</w:t>
      </w:r>
      <w:r w:rsidR="00F659FC">
        <w:rPr>
          <w:rFonts w:asciiTheme="majorHAnsi" w:hAnsiTheme="majorHAnsi" w:cstheme="majorBidi"/>
        </w:rPr>
        <w:t>12 to 0.88</w:t>
      </w:r>
      <w:r w:rsidR="00F659FC" w:rsidRPr="33445B43">
        <w:rPr>
          <w:rFonts w:asciiTheme="majorHAnsi" w:hAnsiTheme="majorHAnsi" w:cstheme="majorBidi"/>
        </w:rPr>
        <w:t>)</w:t>
      </w:r>
      <w:r w:rsidR="00F659FC">
        <w:rPr>
          <w:rFonts w:asciiTheme="majorHAnsi" w:hAnsiTheme="majorHAnsi" w:cstheme="majorBidi"/>
        </w:rPr>
        <w:t xml:space="preserve"> were significantly associated with less severe fatigue (Supplementary Figure-2</w:t>
      </w:r>
      <w:r w:rsidR="008733AC">
        <w:rPr>
          <w:rFonts w:asciiTheme="majorHAnsi" w:hAnsiTheme="majorHAnsi" w:cstheme="majorBidi"/>
        </w:rPr>
        <w:t>, Supplementary Table-6</w:t>
      </w:r>
      <w:r w:rsidR="00F659FC">
        <w:rPr>
          <w:rFonts w:asciiTheme="majorHAnsi" w:hAnsiTheme="majorHAnsi" w:cstheme="majorBidi"/>
        </w:rPr>
        <w:t xml:space="preserve">). </w:t>
      </w:r>
      <w:r>
        <w:rPr>
          <w:rFonts w:asciiTheme="majorHAnsi" w:hAnsiTheme="majorHAnsi" w:cstheme="majorBidi"/>
        </w:rPr>
        <w:t xml:space="preserve">Ordinal logistic regression analysis showed that </w:t>
      </w:r>
      <w:r w:rsidR="53AD50EA" w:rsidRPr="53AD50EA">
        <w:rPr>
          <w:rFonts w:asciiTheme="majorHAnsi" w:hAnsiTheme="majorHAnsi" w:cstheme="majorBidi"/>
        </w:rPr>
        <w:t>ventilated patients with</w:t>
      </w:r>
      <w:r>
        <w:rPr>
          <w:rFonts w:asciiTheme="majorHAnsi" w:hAnsiTheme="majorHAnsi" w:cstheme="majorBidi"/>
        </w:rPr>
        <w:t xml:space="preserve"> Covid-19</w:t>
      </w:r>
      <w:r w:rsidR="00463D61">
        <w:rPr>
          <w:rFonts w:asciiTheme="majorHAnsi" w:hAnsiTheme="majorHAnsi" w:cstheme="majorBidi"/>
        </w:rPr>
        <w:t xml:space="preserve"> (</w:t>
      </w:r>
      <w:r w:rsidR="00463D61" w:rsidRPr="33445B43">
        <w:rPr>
          <w:rFonts w:asciiTheme="majorHAnsi" w:hAnsiTheme="majorHAnsi" w:cstheme="majorBidi"/>
        </w:rPr>
        <w:t>adjusted OR 0.</w:t>
      </w:r>
      <w:r w:rsidR="00F516AD">
        <w:rPr>
          <w:rFonts w:asciiTheme="majorHAnsi" w:hAnsiTheme="majorHAnsi" w:cstheme="majorBidi"/>
        </w:rPr>
        <w:t>50</w:t>
      </w:r>
      <w:r w:rsidR="00463D61">
        <w:rPr>
          <w:rFonts w:asciiTheme="majorHAnsi" w:hAnsiTheme="majorHAnsi" w:cstheme="majorBidi"/>
        </w:rPr>
        <w:t xml:space="preserve">, </w:t>
      </w:r>
      <w:r w:rsidR="00463D61" w:rsidRPr="33445B43">
        <w:rPr>
          <w:rFonts w:asciiTheme="majorHAnsi" w:hAnsiTheme="majorHAnsi" w:cstheme="majorBidi"/>
        </w:rPr>
        <w:t>95%CI</w:t>
      </w:r>
      <w:r w:rsidR="005C1DC2">
        <w:rPr>
          <w:rFonts w:asciiTheme="majorHAnsi" w:hAnsiTheme="majorHAnsi" w:cstheme="majorBidi"/>
        </w:rPr>
        <w:t>:</w:t>
      </w:r>
      <w:r w:rsidR="00463D61" w:rsidRPr="33445B43">
        <w:rPr>
          <w:rFonts w:asciiTheme="majorHAnsi" w:hAnsiTheme="majorHAnsi" w:cstheme="majorBidi"/>
        </w:rPr>
        <w:t>0.</w:t>
      </w:r>
      <w:r w:rsidR="00F516AD">
        <w:rPr>
          <w:rFonts w:asciiTheme="majorHAnsi" w:hAnsiTheme="majorHAnsi" w:cstheme="majorBidi"/>
        </w:rPr>
        <w:t>29</w:t>
      </w:r>
      <w:r w:rsidR="001F29CE">
        <w:rPr>
          <w:rFonts w:asciiTheme="majorHAnsi" w:hAnsiTheme="majorHAnsi" w:cstheme="majorBidi"/>
        </w:rPr>
        <w:t xml:space="preserve">to </w:t>
      </w:r>
      <w:r w:rsidR="00463D61">
        <w:rPr>
          <w:rFonts w:asciiTheme="majorHAnsi" w:hAnsiTheme="majorHAnsi" w:cstheme="majorBidi"/>
        </w:rPr>
        <w:t>0.</w:t>
      </w:r>
      <w:r w:rsidR="00F516AD">
        <w:rPr>
          <w:rFonts w:asciiTheme="majorHAnsi" w:hAnsiTheme="majorHAnsi" w:cstheme="majorBidi"/>
        </w:rPr>
        <w:t>84</w:t>
      </w:r>
      <w:r w:rsidR="1C467E15" w:rsidRPr="1C467E15">
        <w:rPr>
          <w:rFonts w:asciiTheme="majorHAnsi" w:hAnsiTheme="majorHAnsi" w:cstheme="majorBidi"/>
        </w:rPr>
        <w:t xml:space="preserve">) had less </w:t>
      </w:r>
      <w:r w:rsidR="4E4A2F72" w:rsidRPr="4E4A2F72">
        <w:rPr>
          <w:rFonts w:asciiTheme="majorHAnsi" w:hAnsiTheme="majorHAnsi" w:cstheme="majorBidi"/>
        </w:rPr>
        <w:t>severe fatigue than patients ventilated due to other aetiologies</w:t>
      </w:r>
      <w:r w:rsidR="00F659FC">
        <w:rPr>
          <w:rFonts w:asciiTheme="majorHAnsi" w:hAnsiTheme="majorHAnsi" w:cstheme="majorBidi"/>
        </w:rPr>
        <w:t xml:space="preserve"> (total pre-pandemic cohort)</w:t>
      </w:r>
      <w:r w:rsidR="4E4A2F72" w:rsidRPr="4E4A2F72">
        <w:rPr>
          <w:rFonts w:asciiTheme="majorHAnsi" w:hAnsiTheme="majorHAnsi" w:cstheme="majorBidi"/>
        </w:rPr>
        <w:t>. One</w:t>
      </w:r>
      <w:r>
        <w:rPr>
          <w:rFonts w:asciiTheme="majorHAnsi" w:hAnsiTheme="majorHAnsi" w:cstheme="majorBidi"/>
        </w:rPr>
        <w:t xml:space="preserve"> or more comorbidities</w:t>
      </w:r>
      <w:r w:rsidR="00586052">
        <w:rPr>
          <w:rFonts w:asciiTheme="majorHAnsi" w:hAnsiTheme="majorHAnsi" w:cstheme="majorBidi"/>
        </w:rPr>
        <w:t xml:space="preserve"> </w:t>
      </w:r>
      <w:r w:rsidR="00F516AD">
        <w:rPr>
          <w:rFonts w:asciiTheme="majorHAnsi" w:hAnsiTheme="majorHAnsi" w:cstheme="majorBidi"/>
        </w:rPr>
        <w:t>(</w:t>
      </w:r>
      <w:r w:rsidR="00F516AD" w:rsidRPr="33445B43">
        <w:rPr>
          <w:rFonts w:asciiTheme="majorHAnsi" w:hAnsiTheme="majorHAnsi" w:cstheme="majorBidi"/>
        </w:rPr>
        <w:t xml:space="preserve">adjusted OR </w:t>
      </w:r>
      <w:r w:rsidR="00F516AD">
        <w:rPr>
          <w:rFonts w:asciiTheme="majorHAnsi" w:hAnsiTheme="majorHAnsi" w:cstheme="majorBidi"/>
        </w:rPr>
        <w:t xml:space="preserve">3.17, </w:t>
      </w:r>
      <w:r w:rsidR="00F516AD" w:rsidRPr="33445B43">
        <w:rPr>
          <w:rFonts w:asciiTheme="majorHAnsi" w:hAnsiTheme="majorHAnsi" w:cstheme="majorBidi"/>
        </w:rPr>
        <w:t>95%CI</w:t>
      </w:r>
      <w:r w:rsidR="005C1DC2">
        <w:rPr>
          <w:rFonts w:asciiTheme="majorHAnsi" w:hAnsiTheme="majorHAnsi" w:cstheme="majorBidi"/>
        </w:rPr>
        <w:t>:</w:t>
      </w:r>
      <w:r w:rsidR="00F516AD">
        <w:rPr>
          <w:rFonts w:asciiTheme="majorHAnsi" w:hAnsiTheme="majorHAnsi" w:cstheme="majorBidi"/>
        </w:rPr>
        <w:t>1.75</w:t>
      </w:r>
      <w:r w:rsidR="001F29CE">
        <w:rPr>
          <w:rFonts w:asciiTheme="majorHAnsi" w:hAnsiTheme="majorHAnsi" w:cstheme="majorBidi"/>
        </w:rPr>
        <w:t xml:space="preserve"> to </w:t>
      </w:r>
      <w:r w:rsidR="00F516AD">
        <w:rPr>
          <w:rFonts w:asciiTheme="majorHAnsi" w:hAnsiTheme="majorHAnsi" w:cstheme="majorBidi"/>
        </w:rPr>
        <w:t>5.81</w:t>
      </w:r>
      <w:r w:rsidR="00F516AD" w:rsidRPr="33445B43">
        <w:rPr>
          <w:rFonts w:asciiTheme="majorHAnsi" w:hAnsiTheme="majorHAnsi" w:cstheme="majorBidi"/>
        </w:rPr>
        <w:t>)</w:t>
      </w:r>
      <w:r w:rsidR="00B81A0F">
        <w:rPr>
          <w:rFonts w:asciiTheme="majorHAnsi" w:hAnsiTheme="majorHAnsi" w:cstheme="majorBidi"/>
        </w:rPr>
        <w:t xml:space="preserve"> was associated with greater fatigue</w:t>
      </w:r>
      <w:r w:rsidR="00F516AD">
        <w:rPr>
          <w:rFonts w:asciiTheme="majorHAnsi" w:hAnsiTheme="majorHAnsi" w:cstheme="majorBidi"/>
        </w:rPr>
        <w:t>,</w:t>
      </w:r>
      <w:r w:rsidR="00B81A0F">
        <w:rPr>
          <w:rFonts w:asciiTheme="majorHAnsi" w:hAnsiTheme="majorHAnsi" w:cstheme="majorBidi"/>
        </w:rPr>
        <w:t xml:space="preserve"> and</w:t>
      </w:r>
      <w:r>
        <w:rPr>
          <w:rFonts w:asciiTheme="majorHAnsi" w:hAnsiTheme="majorHAnsi" w:cstheme="majorBidi"/>
        </w:rPr>
        <w:t xml:space="preserve"> </w:t>
      </w:r>
      <w:r w:rsidR="00107F61">
        <w:rPr>
          <w:rFonts w:asciiTheme="majorHAnsi" w:hAnsiTheme="majorHAnsi" w:cstheme="majorBidi"/>
        </w:rPr>
        <w:t>age 50-69 (</w:t>
      </w:r>
      <w:r w:rsidR="00107F61" w:rsidRPr="33445B43">
        <w:rPr>
          <w:rFonts w:asciiTheme="majorHAnsi" w:hAnsiTheme="majorHAnsi" w:cstheme="majorBidi"/>
        </w:rPr>
        <w:t>adjusted OR 0.</w:t>
      </w:r>
      <w:r w:rsidR="00107F61">
        <w:rPr>
          <w:rFonts w:asciiTheme="majorHAnsi" w:hAnsiTheme="majorHAnsi" w:cstheme="majorBidi"/>
        </w:rPr>
        <w:t xml:space="preserve">56, </w:t>
      </w:r>
      <w:r w:rsidR="00107F61" w:rsidRPr="33445B43">
        <w:rPr>
          <w:rFonts w:asciiTheme="majorHAnsi" w:hAnsiTheme="majorHAnsi" w:cstheme="majorBidi"/>
        </w:rPr>
        <w:t>95%CI</w:t>
      </w:r>
      <w:r w:rsidR="00107F61">
        <w:rPr>
          <w:rFonts w:asciiTheme="majorHAnsi" w:hAnsiTheme="majorHAnsi" w:cstheme="majorBidi"/>
        </w:rPr>
        <w:t>:</w:t>
      </w:r>
      <w:r w:rsidR="00107F61" w:rsidRPr="33445B43">
        <w:rPr>
          <w:rFonts w:asciiTheme="majorHAnsi" w:hAnsiTheme="majorHAnsi" w:cstheme="majorBidi"/>
        </w:rPr>
        <w:t>0.</w:t>
      </w:r>
      <w:r w:rsidR="00107F61">
        <w:rPr>
          <w:rFonts w:asciiTheme="majorHAnsi" w:hAnsiTheme="majorHAnsi" w:cstheme="majorBidi"/>
        </w:rPr>
        <w:t>29 to 1.05</w:t>
      </w:r>
      <w:r w:rsidR="00107F61" w:rsidRPr="33445B43">
        <w:rPr>
          <w:rFonts w:asciiTheme="majorHAnsi" w:hAnsiTheme="majorHAnsi" w:cstheme="majorBidi"/>
        </w:rPr>
        <w:t>)</w:t>
      </w:r>
      <w:r w:rsidR="00107F61">
        <w:rPr>
          <w:rFonts w:asciiTheme="majorHAnsi" w:hAnsiTheme="majorHAnsi" w:cstheme="majorBidi"/>
        </w:rPr>
        <w:t xml:space="preserve">, </w:t>
      </w:r>
      <w:r>
        <w:rPr>
          <w:rFonts w:asciiTheme="majorHAnsi" w:hAnsiTheme="majorHAnsi" w:cstheme="majorBidi"/>
        </w:rPr>
        <w:t xml:space="preserve">and age </w:t>
      </w:r>
      <w:r w:rsidR="00B0447B">
        <w:rPr>
          <w:rFonts w:asciiTheme="majorHAnsi" w:hAnsiTheme="majorHAnsi" w:cstheme="majorBidi"/>
        </w:rPr>
        <w:t>o</w:t>
      </w:r>
      <w:r>
        <w:rPr>
          <w:rFonts w:asciiTheme="majorHAnsi" w:hAnsiTheme="majorHAnsi" w:cstheme="majorBidi"/>
        </w:rPr>
        <w:t>ver 70</w:t>
      </w:r>
      <w:r w:rsidR="00F516AD">
        <w:rPr>
          <w:rFonts w:asciiTheme="majorHAnsi" w:hAnsiTheme="majorHAnsi" w:cstheme="majorBidi"/>
        </w:rPr>
        <w:t xml:space="preserve"> (</w:t>
      </w:r>
      <w:r w:rsidR="00F516AD" w:rsidRPr="33445B43">
        <w:rPr>
          <w:rFonts w:asciiTheme="majorHAnsi" w:hAnsiTheme="majorHAnsi" w:cstheme="majorBidi"/>
        </w:rPr>
        <w:t>adjusted OR 0.</w:t>
      </w:r>
      <w:r w:rsidR="00F516AD">
        <w:rPr>
          <w:rFonts w:asciiTheme="majorHAnsi" w:hAnsiTheme="majorHAnsi" w:cstheme="majorBidi"/>
        </w:rPr>
        <w:t>3</w:t>
      </w:r>
      <w:r w:rsidR="00AF5614">
        <w:rPr>
          <w:rFonts w:asciiTheme="majorHAnsi" w:hAnsiTheme="majorHAnsi" w:cstheme="majorBidi"/>
        </w:rPr>
        <w:t>9</w:t>
      </w:r>
      <w:r w:rsidR="00F516AD">
        <w:rPr>
          <w:rFonts w:asciiTheme="majorHAnsi" w:hAnsiTheme="majorHAnsi" w:cstheme="majorBidi"/>
        </w:rPr>
        <w:t xml:space="preserve">, </w:t>
      </w:r>
      <w:r w:rsidR="00F516AD" w:rsidRPr="33445B43">
        <w:rPr>
          <w:rFonts w:asciiTheme="majorHAnsi" w:hAnsiTheme="majorHAnsi" w:cstheme="majorBidi"/>
        </w:rPr>
        <w:t>95%CI</w:t>
      </w:r>
      <w:r w:rsidR="005C1DC2">
        <w:rPr>
          <w:rFonts w:asciiTheme="majorHAnsi" w:hAnsiTheme="majorHAnsi" w:cstheme="majorBidi"/>
        </w:rPr>
        <w:t>:</w:t>
      </w:r>
      <w:r w:rsidR="00F516AD" w:rsidRPr="33445B43">
        <w:rPr>
          <w:rFonts w:asciiTheme="majorHAnsi" w:hAnsiTheme="majorHAnsi" w:cstheme="majorBidi"/>
        </w:rPr>
        <w:t>0.</w:t>
      </w:r>
      <w:r w:rsidR="00F516AD">
        <w:rPr>
          <w:rFonts w:asciiTheme="majorHAnsi" w:hAnsiTheme="majorHAnsi" w:cstheme="majorBidi"/>
        </w:rPr>
        <w:t>1</w:t>
      </w:r>
      <w:r w:rsidR="00AF5614">
        <w:rPr>
          <w:rFonts w:asciiTheme="majorHAnsi" w:hAnsiTheme="majorHAnsi" w:cstheme="majorBidi"/>
        </w:rPr>
        <w:t>8</w:t>
      </w:r>
      <w:r w:rsidR="001F29CE">
        <w:rPr>
          <w:rFonts w:asciiTheme="majorHAnsi" w:hAnsiTheme="majorHAnsi" w:cstheme="majorBidi"/>
        </w:rPr>
        <w:t xml:space="preserve"> to </w:t>
      </w:r>
      <w:r w:rsidR="00F516AD">
        <w:rPr>
          <w:rFonts w:asciiTheme="majorHAnsi" w:hAnsiTheme="majorHAnsi" w:cstheme="majorBidi"/>
        </w:rPr>
        <w:t>0.</w:t>
      </w:r>
      <w:r w:rsidR="00AF5614">
        <w:rPr>
          <w:rFonts w:asciiTheme="majorHAnsi" w:hAnsiTheme="majorHAnsi" w:cstheme="majorBidi"/>
        </w:rPr>
        <w:t>84</w:t>
      </w:r>
      <w:r w:rsidR="00F516AD" w:rsidRPr="33445B43">
        <w:rPr>
          <w:rFonts w:asciiTheme="majorHAnsi" w:hAnsiTheme="majorHAnsi" w:cstheme="majorBidi"/>
        </w:rPr>
        <w:t>)</w:t>
      </w:r>
      <w:r>
        <w:rPr>
          <w:rFonts w:asciiTheme="majorHAnsi" w:hAnsiTheme="majorHAnsi" w:cstheme="majorBidi"/>
        </w:rPr>
        <w:t xml:space="preserve"> </w:t>
      </w:r>
      <w:r w:rsidR="4E4A2F72" w:rsidRPr="4E4A2F72">
        <w:rPr>
          <w:rFonts w:asciiTheme="majorHAnsi" w:hAnsiTheme="majorHAnsi" w:cstheme="majorBidi"/>
        </w:rPr>
        <w:t>were</w:t>
      </w:r>
      <w:r w:rsidR="00AF5614">
        <w:rPr>
          <w:rFonts w:asciiTheme="majorHAnsi" w:hAnsiTheme="majorHAnsi" w:cstheme="majorBidi"/>
        </w:rPr>
        <w:t xml:space="preserve"> associated with</w:t>
      </w:r>
      <w:r>
        <w:rPr>
          <w:rFonts w:asciiTheme="majorHAnsi" w:hAnsiTheme="majorHAnsi" w:cstheme="majorBidi"/>
        </w:rPr>
        <w:t xml:space="preserve"> </w:t>
      </w:r>
      <w:r w:rsidR="00E47C08" w:rsidRPr="00A725FB">
        <w:rPr>
          <w:rFonts w:asciiTheme="majorHAnsi" w:hAnsiTheme="majorHAnsi" w:cstheme="majorBidi"/>
        </w:rPr>
        <w:t xml:space="preserve">less </w:t>
      </w:r>
      <w:r w:rsidRPr="00A725FB">
        <w:rPr>
          <w:rFonts w:asciiTheme="majorHAnsi" w:hAnsiTheme="majorHAnsi" w:cstheme="majorBidi"/>
        </w:rPr>
        <w:t>fatigue (</w:t>
      </w:r>
      <w:r w:rsidR="000D72DE">
        <w:rPr>
          <w:rFonts w:asciiTheme="majorHAnsi" w:hAnsiTheme="majorHAnsi" w:cstheme="majorBidi"/>
        </w:rPr>
        <w:t>S</w:t>
      </w:r>
      <w:r>
        <w:rPr>
          <w:rFonts w:asciiTheme="majorHAnsi" w:hAnsiTheme="majorHAnsi" w:cstheme="majorBidi"/>
        </w:rPr>
        <w:t xml:space="preserve">upplementary </w:t>
      </w:r>
      <w:r w:rsidR="00F96DE8">
        <w:rPr>
          <w:rFonts w:asciiTheme="majorHAnsi" w:hAnsiTheme="majorHAnsi" w:cstheme="majorBidi"/>
        </w:rPr>
        <w:t>Table</w:t>
      </w:r>
      <w:r w:rsidR="00586052">
        <w:rPr>
          <w:rFonts w:asciiTheme="majorHAnsi" w:hAnsiTheme="majorHAnsi" w:cstheme="majorBidi"/>
        </w:rPr>
        <w:t>-</w:t>
      </w:r>
      <w:r w:rsidR="00EE61D5">
        <w:rPr>
          <w:rFonts w:asciiTheme="majorHAnsi" w:hAnsiTheme="majorHAnsi" w:cstheme="majorBidi"/>
        </w:rPr>
        <w:t>7</w:t>
      </w:r>
      <w:r>
        <w:rPr>
          <w:rFonts w:asciiTheme="majorHAnsi" w:hAnsiTheme="majorHAnsi" w:cstheme="majorBidi"/>
        </w:rPr>
        <w:t xml:space="preserve">). </w:t>
      </w:r>
      <w:r w:rsidR="006224B5">
        <w:rPr>
          <w:rFonts w:asciiTheme="majorHAnsi" w:hAnsiTheme="majorHAnsi" w:cstheme="majorBidi"/>
        </w:rPr>
        <w:t xml:space="preserve"> When the Covid-19 IMV-patients and the Respiratory category pre-pandemic IMV-patients were included, ordinal logistic regression</w:t>
      </w:r>
      <w:r w:rsidR="006601F5">
        <w:rPr>
          <w:rFonts w:asciiTheme="majorHAnsi" w:hAnsiTheme="majorHAnsi" w:cstheme="majorBidi"/>
        </w:rPr>
        <w:t xml:space="preserve"> </w:t>
      </w:r>
      <w:r w:rsidR="00B81A0F">
        <w:rPr>
          <w:rFonts w:asciiTheme="majorHAnsi" w:hAnsiTheme="majorHAnsi" w:cstheme="majorBidi"/>
        </w:rPr>
        <w:lastRenderedPageBreak/>
        <w:t xml:space="preserve">also </w:t>
      </w:r>
      <w:r w:rsidR="006601F5">
        <w:rPr>
          <w:rFonts w:asciiTheme="majorHAnsi" w:hAnsiTheme="majorHAnsi" w:cstheme="majorBidi"/>
        </w:rPr>
        <w:t>showed that</w:t>
      </w:r>
      <w:r w:rsidR="006224B5">
        <w:rPr>
          <w:rFonts w:asciiTheme="majorHAnsi" w:hAnsiTheme="majorHAnsi" w:cstheme="majorBidi"/>
        </w:rPr>
        <w:t xml:space="preserve"> having Covid-19 (</w:t>
      </w:r>
      <w:r w:rsidR="006224B5" w:rsidRPr="33445B43">
        <w:rPr>
          <w:rFonts w:asciiTheme="majorHAnsi" w:hAnsiTheme="majorHAnsi" w:cstheme="majorBidi"/>
        </w:rPr>
        <w:t>adjusted OR 0.</w:t>
      </w:r>
      <w:r w:rsidR="006601F5">
        <w:rPr>
          <w:rFonts w:asciiTheme="majorHAnsi" w:hAnsiTheme="majorHAnsi" w:cstheme="majorBidi"/>
        </w:rPr>
        <w:t>29</w:t>
      </w:r>
      <w:r w:rsidR="006224B5">
        <w:rPr>
          <w:rFonts w:asciiTheme="majorHAnsi" w:hAnsiTheme="majorHAnsi" w:cstheme="majorBidi"/>
        </w:rPr>
        <w:t xml:space="preserve">, </w:t>
      </w:r>
      <w:r w:rsidR="006224B5" w:rsidRPr="33445B43">
        <w:rPr>
          <w:rFonts w:asciiTheme="majorHAnsi" w:hAnsiTheme="majorHAnsi" w:cstheme="majorBidi"/>
        </w:rPr>
        <w:t>95%CI</w:t>
      </w:r>
      <w:r w:rsidR="006224B5">
        <w:rPr>
          <w:rFonts w:asciiTheme="majorHAnsi" w:hAnsiTheme="majorHAnsi" w:cstheme="majorBidi"/>
        </w:rPr>
        <w:t>:</w:t>
      </w:r>
      <w:r w:rsidR="006224B5" w:rsidRPr="33445B43">
        <w:rPr>
          <w:rFonts w:asciiTheme="majorHAnsi" w:hAnsiTheme="majorHAnsi" w:cstheme="majorBidi"/>
        </w:rPr>
        <w:t>0.</w:t>
      </w:r>
      <w:r w:rsidR="006601F5">
        <w:rPr>
          <w:rFonts w:asciiTheme="majorHAnsi" w:hAnsiTheme="majorHAnsi" w:cstheme="majorBidi"/>
        </w:rPr>
        <w:t>13</w:t>
      </w:r>
      <w:r w:rsidR="006224B5">
        <w:rPr>
          <w:rFonts w:asciiTheme="majorHAnsi" w:hAnsiTheme="majorHAnsi" w:cstheme="majorBidi"/>
        </w:rPr>
        <w:t xml:space="preserve"> to 0.</w:t>
      </w:r>
      <w:r w:rsidR="006601F5">
        <w:rPr>
          <w:rFonts w:asciiTheme="majorHAnsi" w:hAnsiTheme="majorHAnsi" w:cstheme="majorBidi"/>
        </w:rPr>
        <w:t>58</w:t>
      </w:r>
      <w:r w:rsidR="006224B5" w:rsidRPr="33445B43">
        <w:rPr>
          <w:rFonts w:asciiTheme="majorHAnsi" w:hAnsiTheme="majorHAnsi" w:cstheme="majorBidi"/>
        </w:rPr>
        <w:t>)</w:t>
      </w:r>
      <w:r w:rsidR="006224B5">
        <w:rPr>
          <w:rFonts w:asciiTheme="majorHAnsi" w:hAnsiTheme="majorHAnsi" w:cstheme="majorBidi"/>
        </w:rPr>
        <w:t xml:space="preserve"> w</w:t>
      </w:r>
      <w:r w:rsidR="00B81A0F">
        <w:rPr>
          <w:rFonts w:asciiTheme="majorHAnsi" w:hAnsiTheme="majorHAnsi" w:cstheme="majorBidi"/>
        </w:rPr>
        <w:t>as</w:t>
      </w:r>
      <w:r w:rsidR="006224B5">
        <w:rPr>
          <w:rFonts w:asciiTheme="majorHAnsi" w:hAnsiTheme="majorHAnsi" w:cstheme="majorBidi"/>
        </w:rPr>
        <w:t xml:space="preserve"> significantly associated with less severe fatigue (Supplementary </w:t>
      </w:r>
      <w:r w:rsidR="003148A1">
        <w:rPr>
          <w:rFonts w:asciiTheme="majorHAnsi" w:hAnsiTheme="majorHAnsi" w:cstheme="majorBidi"/>
        </w:rPr>
        <w:t>Table-8</w:t>
      </w:r>
      <w:r w:rsidR="006224B5">
        <w:rPr>
          <w:rFonts w:asciiTheme="majorHAnsi" w:hAnsiTheme="majorHAnsi" w:cstheme="majorBidi"/>
        </w:rPr>
        <w:t>)</w:t>
      </w:r>
      <w:r w:rsidR="00991B2E">
        <w:rPr>
          <w:rFonts w:asciiTheme="majorHAnsi" w:hAnsiTheme="majorHAnsi" w:cstheme="majorBidi"/>
        </w:rPr>
        <w:t>; having prior comorbidity was associated with greater fatigue (</w:t>
      </w:r>
      <w:r w:rsidR="00991B2E" w:rsidRPr="33445B43">
        <w:rPr>
          <w:rFonts w:asciiTheme="majorHAnsi" w:hAnsiTheme="majorHAnsi" w:cstheme="majorBidi"/>
        </w:rPr>
        <w:t xml:space="preserve">adjusted OR </w:t>
      </w:r>
      <w:r w:rsidR="00991B2E">
        <w:rPr>
          <w:rFonts w:asciiTheme="majorHAnsi" w:hAnsiTheme="majorHAnsi" w:cstheme="majorBidi"/>
        </w:rPr>
        <w:t xml:space="preserve">2.18, </w:t>
      </w:r>
      <w:r w:rsidR="00991B2E" w:rsidRPr="33445B43">
        <w:rPr>
          <w:rFonts w:asciiTheme="majorHAnsi" w:hAnsiTheme="majorHAnsi" w:cstheme="majorBidi"/>
        </w:rPr>
        <w:t>95%CI</w:t>
      </w:r>
      <w:r w:rsidR="00991B2E">
        <w:rPr>
          <w:rFonts w:asciiTheme="majorHAnsi" w:hAnsiTheme="majorHAnsi" w:cstheme="majorBidi"/>
        </w:rPr>
        <w:t>:1.06 to 4.54</w:t>
      </w:r>
      <w:r w:rsidR="00991B2E" w:rsidRPr="33445B43">
        <w:rPr>
          <w:rFonts w:asciiTheme="majorHAnsi" w:hAnsiTheme="majorHAnsi" w:cstheme="majorBidi"/>
        </w:rPr>
        <w:t>)</w:t>
      </w:r>
      <w:r w:rsidR="00EF6A59">
        <w:rPr>
          <w:rFonts w:asciiTheme="majorHAnsi" w:hAnsiTheme="majorHAnsi" w:cstheme="majorBidi"/>
        </w:rPr>
        <w:t xml:space="preserve">. </w:t>
      </w:r>
    </w:p>
    <w:p w14:paraId="4D2CC962" w14:textId="77777777" w:rsidR="00E47C08" w:rsidRDefault="00E47C08" w:rsidP="00B77386">
      <w:pPr>
        <w:spacing w:line="480" w:lineRule="auto"/>
        <w:jc w:val="both"/>
        <w:rPr>
          <w:rFonts w:asciiTheme="majorHAnsi" w:hAnsiTheme="majorHAnsi" w:cstheme="majorBidi"/>
          <w:b/>
        </w:rPr>
      </w:pPr>
    </w:p>
    <w:p w14:paraId="591EB59D" w14:textId="77777777" w:rsidR="005D126B" w:rsidRPr="004947D9" w:rsidRDefault="005D126B" w:rsidP="00B77386">
      <w:pPr>
        <w:spacing w:line="480" w:lineRule="auto"/>
        <w:jc w:val="both"/>
        <w:rPr>
          <w:rFonts w:asciiTheme="majorHAnsi" w:hAnsiTheme="majorHAnsi" w:cstheme="majorBidi"/>
          <w:b/>
        </w:rPr>
      </w:pPr>
    </w:p>
    <w:p w14:paraId="018F2919" w14:textId="77777777" w:rsidR="00B77386" w:rsidRPr="00D7026D" w:rsidRDefault="00B77386" w:rsidP="00B77386">
      <w:pPr>
        <w:spacing w:line="480" w:lineRule="auto"/>
        <w:jc w:val="both"/>
        <w:rPr>
          <w:rFonts w:asciiTheme="majorHAnsi" w:hAnsiTheme="majorHAnsi" w:cstheme="majorHAnsi"/>
          <w:b/>
        </w:rPr>
      </w:pPr>
      <w:r w:rsidRPr="00D7026D">
        <w:rPr>
          <w:rFonts w:asciiTheme="majorHAnsi" w:hAnsiTheme="majorHAnsi" w:cstheme="majorHAnsi"/>
          <w:b/>
        </w:rPr>
        <w:t xml:space="preserve">Discussion </w:t>
      </w:r>
    </w:p>
    <w:p w14:paraId="4215B63D" w14:textId="6E02E8AA" w:rsidR="009625D0" w:rsidRDefault="00BA6454" w:rsidP="2C971BEE">
      <w:pPr>
        <w:spacing w:line="480" w:lineRule="auto"/>
        <w:ind w:firstLine="720"/>
        <w:jc w:val="both"/>
        <w:rPr>
          <w:rFonts w:asciiTheme="majorHAnsi" w:hAnsiTheme="majorHAnsi" w:cstheme="majorBidi"/>
        </w:rPr>
      </w:pPr>
      <w:r w:rsidRPr="4E4A2F72">
        <w:rPr>
          <w:rFonts w:asciiTheme="majorHAnsi" w:hAnsiTheme="majorHAnsi" w:cstheme="majorBidi"/>
        </w:rPr>
        <w:t>We found</w:t>
      </w:r>
      <w:r w:rsidR="00B77386" w:rsidRPr="4E4A2F72">
        <w:rPr>
          <w:rFonts w:asciiTheme="majorHAnsi" w:hAnsiTheme="majorHAnsi" w:cstheme="majorBidi"/>
        </w:rPr>
        <w:t xml:space="preserve"> a high prevalence and severity of patient-reported persistent fatigue following hospital discharge in ventilated patients with both Covid-19 and non-Covid-19 critical illness. At 3-months post-hospital discharge, the prevalence and severity of fatigue reported was similar following Covid-19 and non-Covid-19 critical illness, however by 6-months, </w:t>
      </w:r>
      <w:r w:rsidR="3844DD32" w:rsidRPr="3844DD32">
        <w:rPr>
          <w:rFonts w:asciiTheme="majorHAnsi" w:hAnsiTheme="majorHAnsi" w:cstheme="majorBidi"/>
        </w:rPr>
        <w:t xml:space="preserve">patients ventilated for Covid-19 had significantly less severe fatigue than patients ventilated for other critical illness. </w:t>
      </w:r>
      <w:r w:rsidR="00B77386" w:rsidRPr="4E4A2F72">
        <w:rPr>
          <w:rFonts w:asciiTheme="majorHAnsi" w:hAnsiTheme="majorHAnsi" w:cstheme="majorBidi"/>
        </w:rPr>
        <w:t xml:space="preserve"> </w:t>
      </w:r>
    </w:p>
    <w:p w14:paraId="67004203" w14:textId="77777777" w:rsidR="009625D0" w:rsidRDefault="009625D0" w:rsidP="2C971BEE">
      <w:pPr>
        <w:spacing w:line="480" w:lineRule="auto"/>
        <w:ind w:firstLine="720"/>
        <w:jc w:val="both"/>
        <w:rPr>
          <w:rFonts w:asciiTheme="majorHAnsi" w:hAnsiTheme="majorHAnsi" w:cstheme="majorBidi"/>
        </w:rPr>
      </w:pPr>
    </w:p>
    <w:p w14:paraId="36925318" w14:textId="47146131" w:rsidR="00B77386" w:rsidRDefault="2C971BEE" w:rsidP="2C971BEE">
      <w:pPr>
        <w:spacing w:line="480" w:lineRule="auto"/>
        <w:ind w:firstLine="720"/>
        <w:jc w:val="both"/>
        <w:rPr>
          <w:rFonts w:asciiTheme="majorHAnsi" w:hAnsiTheme="majorHAnsi" w:cstheme="majorBidi"/>
        </w:rPr>
      </w:pPr>
      <w:r w:rsidRPr="2C971BEE">
        <w:rPr>
          <w:rFonts w:asciiTheme="majorHAnsi" w:hAnsiTheme="majorHAnsi" w:cstheme="majorBidi"/>
        </w:rPr>
        <w:t>Both Covid-19 and non-Covid-19 critical illness survivors experienced high levels of fatigue, adding to existing evidence that finding the best rehabilitation services to support ICU-survivors is a research priority</w:t>
      </w:r>
      <w:r w:rsidR="00B77386" w:rsidRPr="2C971BEE">
        <w:rPr>
          <w:rFonts w:asciiTheme="majorHAnsi" w:hAnsiTheme="majorHAnsi" w:cstheme="majorBidi"/>
        </w:rPr>
        <w:fldChar w:fldCharType="begin" w:fldLock="1"/>
      </w:r>
      <w:r w:rsidR="00B77386" w:rsidRPr="2C971BEE">
        <w:rPr>
          <w:rFonts w:asciiTheme="majorHAnsi" w:hAnsiTheme="majorHAnsi" w:cstheme="majorBidi"/>
        </w:rPr>
        <w:instrText>ADDIN CSL_CITATION {"citationItems":[{"id":"ITEM-1","itemData":{"author":[{"dropping-particle":"","family":"James Lind Alliance.","given":"","non-dropping-particle":"","parse-names":false,"suffix":""}],"container-title":"Intensive Care Top 10","id":"ITEM-1","issued":{"date-parts":[["2014"]]},"title":"The Priority Setting Partnerships (Online).","type":"webpage"},"uris":["http://www.mendeley.com/documents/?uuid=b44308c4-04bc-4ed6-99b4-fe8bfa20924c"]},{"id":"ITEM-2","itemData":{"URL":"https://www.nice.org.uk/guidance/qs158/resources/rehabilitation-after-critical-illness-in-adults-pdf-75545546693317","accessed":{"date-parts":[["2019","4","15"]]},"author":[{"dropping-particle":"","family":"Excellence","given":"National Institute for health and Care","non-dropping-particle":"","parse-names":false,"suffix":""}],"container-title":"NICE guidance","id":"ITEM-2","issued":{"date-parts":[["2017"]]},"title":"Rehabilitation after critical illness in adults","type":"webpage"},"uris":["http://www.mendeley.com/documents/?uuid=8d7f137b-267b-4d29-be67-bf23ab8dd435"]}],"mendeley":{"formattedCitation":"&lt;sup&gt;4,5&lt;/sup&gt;","plainTextFormattedCitation":"4,5","previouslyFormattedCitation":"&lt;sup&gt;4,5&lt;/sup&gt;"},"properties":{"noteIndex":0},"schema":"https://github.com/citation-style-language/schema/raw/master/csl-citation.json"}</w:instrText>
      </w:r>
      <w:r w:rsidR="00B77386" w:rsidRPr="2C971BEE">
        <w:rPr>
          <w:rFonts w:asciiTheme="majorHAnsi" w:hAnsiTheme="majorHAnsi" w:cstheme="majorBidi"/>
        </w:rPr>
        <w:fldChar w:fldCharType="separate"/>
      </w:r>
      <w:r w:rsidRPr="2C971BEE">
        <w:rPr>
          <w:rFonts w:asciiTheme="majorHAnsi" w:hAnsiTheme="majorHAnsi" w:cstheme="majorBidi"/>
          <w:noProof/>
          <w:vertAlign w:val="superscript"/>
        </w:rPr>
        <w:t>4,5</w:t>
      </w:r>
      <w:r w:rsidR="00B77386" w:rsidRPr="2C971BEE">
        <w:rPr>
          <w:rFonts w:asciiTheme="majorHAnsi" w:hAnsiTheme="majorHAnsi" w:cstheme="majorBidi"/>
        </w:rPr>
        <w:fldChar w:fldCharType="end"/>
      </w:r>
      <w:r w:rsidRPr="2C971BEE">
        <w:rPr>
          <w:rFonts w:asciiTheme="majorHAnsi" w:hAnsiTheme="majorHAnsi" w:cstheme="majorBidi"/>
        </w:rPr>
        <w:t xml:space="preserve">. </w:t>
      </w:r>
      <w:r w:rsidR="00B77386" w:rsidRPr="4E4A2F72">
        <w:rPr>
          <w:rFonts w:asciiTheme="majorHAnsi" w:hAnsiTheme="majorHAnsi" w:cstheme="majorBidi"/>
        </w:rPr>
        <w:t>In our study, the difference in fatigue prevalence and severity at 6-months</w:t>
      </w:r>
      <w:r w:rsidR="00F739F7">
        <w:rPr>
          <w:rFonts w:asciiTheme="majorHAnsi" w:hAnsiTheme="majorHAnsi" w:cstheme="majorBidi"/>
        </w:rPr>
        <w:t xml:space="preserve"> </w:t>
      </w:r>
      <w:r w:rsidR="00B77386" w:rsidRPr="4E4A2F72">
        <w:rPr>
          <w:rFonts w:asciiTheme="majorHAnsi" w:hAnsiTheme="majorHAnsi" w:cstheme="majorBidi"/>
        </w:rPr>
        <w:t>suggest</w:t>
      </w:r>
      <w:r w:rsidR="00F739F7">
        <w:rPr>
          <w:rFonts w:asciiTheme="majorHAnsi" w:hAnsiTheme="majorHAnsi" w:cstheme="majorBidi"/>
        </w:rPr>
        <w:t>s</w:t>
      </w:r>
      <w:r w:rsidR="00B77386" w:rsidRPr="4E4A2F72">
        <w:rPr>
          <w:rFonts w:asciiTheme="majorHAnsi" w:hAnsiTheme="majorHAnsi" w:cstheme="majorBidi"/>
        </w:rPr>
        <w:t xml:space="preserve"> that </w:t>
      </w:r>
      <w:r w:rsidR="22F26F4F" w:rsidRPr="22F26F4F">
        <w:rPr>
          <w:rFonts w:asciiTheme="majorHAnsi" w:hAnsiTheme="majorHAnsi" w:cstheme="majorBidi"/>
        </w:rPr>
        <w:t>the recovery trajectory</w:t>
      </w:r>
      <w:r w:rsidR="00B77386" w:rsidRPr="4E4A2F72">
        <w:rPr>
          <w:rFonts w:asciiTheme="majorHAnsi" w:hAnsiTheme="majorHAnsi" w:cstheme="majorBidi"/>
        </w:rPr>
        <w:t xml:space="preserve"> from Covid-19 critical illness </w:t>
      </w:r>
      <w:r w:rsidR="22F26F4F" w:rsidRPr="22F26F4F">
        <w:rPr>
          <w:rFonts w:asciiTheme="majorHAnsi" w:hAnsiTheme="majorHAnsi" w:cstheme="majorBidi"/>
        </w:rPr>
        <w:t xml:space="preserve">may be </w:t>
      </w:r>
      <w:r w:rsidR="00B77386" w:rsidRPr="4E4A2F72">
        <w:rPr>
          <w:rFonts w:asciiTheme="majorHAnsi" w:hAnsiTheme="majorHAnsi" w:cstheme="majorBidi"/>
        </w:rPr>
        <w:t xml:space="preserve">different to </w:t>
      </w:r>
      <w:r w:rsidR="22F26F4F" w:rsidRPr="22F26F4F">
        <w:rPr>
          <w:rFonts w:asciiTheme="majorHAnsi" w:hAnsiTheme="majorHAnsi" w:cstheme="majorBidi"/>
        </w:rPr>
        <w:t>general</w:t>
      </w:r>
      <w:r w:rsidR="00B77386" w:rsidRPr="4E4A2F72">
        <w:rPr>
          <w:rFonts w:asciiTheme="majorHAnsi" w:hAnsiTheme="majorHAnsi" w:cstheme="majorBidi"/>
        </w:rPr>
        <w:t xml:space="preserve"> PICS. Covid-19 critical illness survivors </w:t>
      </w:r>
      <w:r w:rsidR="00816491">
        <w:rPr>
          <w:rFonts w:asciiTheme="majorHAnsi" w:hAnsiTheme="majorHAnsi" w:cstheme="majorBidi"/>
        </w:rPr>
        <w:t>are</w:t>
      </w:r>
      <w:r w:rsidR="00B77386" w:rsidRPr="4E4A2F72">
        <w:rPr>
          <w:rFonts w:asciiTheme="majorHAnsi" w:hAnsiTheme="majorHAnsi" w:cstheme="majorBidi"/>
        </w:rPr>
        <w:t xml:space="preserve"> also </w:t>
      </w:r>
      <w:r w:rsidR="00816491">
        <w:rPr>
          <w:rFonts w:asciiTheme="majorHAnsi" w:hAnsiTheme="majorHAnsi" w:cstheme="majorBidi"/>
        </w:rPr>
        <w:t xml:space="preserve">more likely to suffer </w:t>
      </w:r>
      <w:r w:rsidR="00B77386" w:rsidRPr="4E4A2F72">
        <w:rPr>
          <w:rFonts w:asciiTheme="majorHAnsi" w:hAnsiTheme="majorHAnsi" w:cstheme="majorBidi"/>
        </w:rPr>
        <w:t xml:space="preserve">additional </w:t>
      </w:r>
      <w:r w:rsidR="00816491" w:rsidRPr="4E4A2F72">
        <w:rPr>
          <w:rFonts w:asciiTheme="majorHAnsi" w:hAnsiTheme="majorHAnsi" w:cstheme="majorBidi"/>
        </w:rPr>
        <w:t>respiratory sequelae</w:t>
      </w:r>
      <w:r w:rsidR="00816491" w:rsidRPr="4E4A2F72">
        <w:rPr>
          <w:rFonts w:asciiTheme="majorHAnsi" w:hAnsiTheme="majorHAnsi" w:cstheme="majorBidi"/>
        </w:rPr>
        <w:fldChar w:fldCharType="begin" w:fldLock="1"/>
      </w:r>
      <w:r w:rsidR="00CD1BCF">
        <w:rPr>
          <w:rFonts w:asciiTheme="majorHAnsi" w:hAnsiTheme="majorHAnsi" w:cstheme="majorBidi"/>
        </w:rPr>
        <w:instrText>ADDIN CSL_CITATION {"citationItems":[{"id":"ITEM-1","itemData":{"DOI":"10.1513/AnnalsATS.202005-560OC","ISSN":"2329-6933","abstract":"Rationale: Patients with severe coronavirus disease (COVID-19) have complex organ support needs that necessitate prolonged stays in the intensive care unit (ICU), likely to result in a high incidence of neuromuscular weakness and loss of well-being. Early and structured rehabilitation has been associated with improved outcomes for patients requiring prolonged periods of mechanical ventilation, but at present no data are available to describe similar interventions or outcomes in COVID-19 populations.Objectives: To describe the demographics, clinical status, level of rehabilitation, and mobility status at ICU discharge of patients with COVID-19.Methods: Adults admitted to the ICU with a confirmed diagnosis of COVID-19 and mechanically ventilated for &gt;24 hours were included. Rehabilitation status was measured daily using the Manchester Mobility Score to identify the time taken to first mobilize (defined as sitting on the edge of the bed or higher) and highest level of mobility achieved at ICU discharge.Results: A total of n?=?177 patients were identified, of whom n?=?110 survived to ICU discharge and were included in the subsequent analysis. While on ICU, patients required prolonged periods of mechanical ventilation (mean 19?±?10 d), most received neuromuscular blockade (90%) and 67% were placed in the prone position on at least one occasion. The mean?±?standard deviation time to first mobilize was 14?±?7 days, with a median Manchester Mobility Score at ICU discharge of 5 (interquartile range: 4?6), which represents participants able to stand and step around to a chair with or without assistance. Time to mobilize was significantly longer in those with higher body mass index (P?&lt;?0.001), and older patients (P?=?0.012) and those with more comorbidities (P?=?0.017) were more likely to require further rehabilitation after discharge.Conclusions: The early experience of the COVID-19 pandemic in the United Kingdom resembles the experience in other countries, with high acuity of illness and prolonged period of mechanical ventilation required for those patients admitted to the ICU. Although the time to commence rehabilitation was delayed owing to this severity of illness, rehabilitation was possible within the ICU and led to increased levels of mobility from waking before ICU discharge.Clinical trial registered with ClinicalTrials.gov (NCT04396197).","author":[{"dropping-particle":"","family":"McWilliams","given":"David","non-dropping-particle":"","parse-names":false,"suffix":""},{"dropping-particle":"","family":"Weblin","given":"Jonathan","non-dropping-particle":"","parse-names":false,"suffix":""},{"dropping-particle":"","family":"Hodson","given":"James","non-dropping-particle":"","parse-names":false,"suffix":""},{"dropping-particle":"","family":"Veenith","given":"Tonny","non-dropping-particle":"","parse-names":false,"suffix":""},{"dropping-particle":"","family":"Whitehouse","given":"Tony","non-dropping-particle":"","parse-names":false,"suffix":""},{"dropping-particle":"","family":"Snelson","given":"Catherine","non-dropping-particle":"","parse-names":false,"suffix":""}],"container-title":"Annals of the American Thoracic Society","id":"ITEM-1","issue":"1","issued":{"date-parts":[["2020","9","11"]]},"note":"doi: 10.1513/AnnalsATS.202005-560OC","page":"122-129","publisher":"American Thoracic Society - AJRCCM","title":"Rehabilitation Levels in Patients with COVID-19 Admitted to Intensive Care Requiring Invasive Ventilation. An Observational Study","type":"article-journal","volume":"18"},"uris":["http://www.mendeley.com/documents/?uuid=7e842b39-68c8-4f4c-9230-99eb34f89e23"]}],"mendeley":{"formattedCitation":"&lt;sup&gt;29&lt;/sup&gt;","plainTextFormattedCitation":"29","previouslyFormattedCitation":"&lt;sup&gt;29&lt;/sup&gt;"},"properties":{"noteIndex":0},"schema":"https://github.com/citation-style-language/schema/raw/master/csl-citation.json"}</w:instrText>
      </w:r>
      <w:r w:rsidR="00816491" w:rsidRPr="4E4A2F72">
        <w:rPr>
          <w:rFonts w:asciiTheme="majorHAnsi" w:hAnsiTheme="majorHAnsi" w:cstheme="majorBidi"/>
        </w:rPr>
        <w:fldChar w:fldCharType="separate"/>
      </w:r>
      <w:r w:rsidR="00215AAA" w:rsidRPr="00215AAA">
        <w:rPr>
          <w:rFonts w:asciiTheme="majorHAnsi" w:hAnsiTheme="majorHAnsi" w:cstheme="majorBidi"/>
          <w:noProof/>
          <w:vertAlign w:val="superscript"/>
        </w:rPr>
        <w:t>29</w:t>
      </w:r>
      <w:r w:rsidR="00816491" w:rsidRPr="4E4A2F72">
        <w:rPr>
          <w:rFonts w:asciiTheme="majorHAnsi" w:hAnsiTheme="majorHAnsi" w:cstheme="majorBidi"/>
        </w:rPr>
        <w:fldChar w:fldCharType="end"/>
      </w:r>
      <w:r w:rsidR="00B77386" w:rsidRPr="4E4A2F72">
        <w:rPr>
          <w:rFonts w:asciiTheme="majorHAnsi" w:hAnsiTheme="majorHAnsi" w:cstheme="majorBidi"/>
        </w:rPr>
        <w:t>. In our analysis patients who survived Covid-19 were younger with less prior comorbidity than those surviving other critical illness</w:t>
      </w:r>
      <w:r w:rsidR="74ABEBDB" w:rsidRPr="74ABEBDB">
        <w:rPr>
          <w:rFonts w:asciiTheme="majorHAnsi" w:hAnsiTheme="majorHAnsi" w:cstheme="majorBidi"/>
        </w:rPr>
        <w:t xml:space="preserve"> -</w:t>
      </w:r>
      <w:r w:rsidR="00B77386" w:rsidRPr="4E4A2F72">
        <w:rPr>
          <w:rFonts w:asciiTheme="majorHAnsi" w:hAnsiTheme="majorHAnsi" w:cstheme="majorBidi"/>
        </w:rPr>
        <w:t xml:space="preserve"> this may explain why less fatigue at 6-months was reported after Covid-19 critical illness, as coping with the challenges of comorbidity has been identified as a barrier to ICU-recovery</w:t>
      </w:r>
      <w:r w:rsidR="00B77386" w:rsidRPr="4E4A2F72">
        <w:rPr>
          <w:rFonts w:asciiTheme="majorHAnsi" w:hAnsiTheme="majorHAnsi" w:cstheme="majorBidi"/>
        </w:rPr>
        <w:fldChar w:fldCharType="begin" w:fldLock="1"/>
      </w:r>
      <w:r w:rsidR="00CD1BCF">
        <w:rPr>
          <w:rFonts w:asciiTheme="majorHAnsi" w:hAnsiTheme="majorHAnsi" w:cstheme="majorBidi"/>
        </w:rPr>
        <w:instrText>ADDIN CSL_CITATION {"citationItems":[{"id":"ITEM-1","itemData":{"author":[{"dropping-particle":"","family":"Donaghy Em Salisbury L, Lone N, Lee R, Ramsey P","given":"Rattray J","non-dropping-particle":"","parse-names":false,"suffix":""}],"container-title":"BMJ Quality &amp; Safety","id":"ITEM-1","issue":"11","issued":{"date-parts":[["2018"]]},"page":"915-927","title":"Unplanned early hospital readmission among critical care survivors: a mixed methods study of patients and carers","type":"article-journal","volume":"27"},"uris":["http://www.mendeley.com/documents/?uuid=52aa39a8-4719-4ee3-85ec-361570f872a4"]},{"id":"ITEM-2","itemData":{"DOI":"10.1136/thoraxjnl-2017-210822","abstract":"Background Intensive care unit (ICU) survivors experience high levels of morbidity after hospital discharge and are at high risk of unplanned hospital readmission. Identifying those at highest risk before hospital discharge may allow targeting of novel risk reduction strategies. We aimed to identify risk factors for unplanned 90-day readmission, develop a risk prediction model and assess its performance to screen for ICU survivors at highest readmission risk.Methods Population cohort study linking registry data for patients discharged from general ICUs in Scotland (2005–2013). Independent risk factors for 90-day readmission and discriminant ability (c-index) of groups of variables were identified using multivariable logistic regression. Derivation and validation risk prediction models were constructed using a time-based split.Results Of 55 975 ICU survivors, 24.1% (95%CI 23.7% to 24.4%) had unplanned 90-day readmission. Pre-existing health factors were fair discriminators of readmission (c-index 0.63, 95% CI 0.63 to 0.64) but better than acute illness factors (0.60) or demographics (0.54). In a subgroup of those with no comorbidity, acute illness factors (0.62) were better discriminators than pre-existing health factors (0.56). Overall model performance and calibration in the validation cohort was fair (0.65, 95% CI 0.64 to 0.66) but did not perform sufficiently well as a screening tool, demonstrating high false-positive/false-negative rates at clinically relevant thresholds.Conclusions Unplanned 90-day hospital readmission is common. Pre-existing illness indices are better predictors of readmission than acute illness factors. Identifying additional patient-centred drivers of readmission may improve risk prediction models. Improved understanding of risk factors that are amenable to intervention could improve the clinical and cost-effectiveness of post-ICU care and rehabilitation.","author":[{"dropping-particle":"","family":"Lone","given":"Nazir I","non-dropping-particle":"","parse-names":false,"suffix":""},{"dropping-particle":"","family":"Lee","given":"Robert","non-dropping-particle":"","parse-names":false,"suffix":""},{"dropping-particle":"","family":"Salisbury","given":"Lisa","non-dropping-particle":"","parse-names":false,"suffix":""},{"dropping-particle":"","family":"Donaghy","given":"Eddie","non-dropping-particle":"","parse-names":false,"suffix":""},{"dropping-particle":"","family":"Ramsay","given":"Pamela","non-dropping-particle":"","parse-names":false,"suffix":""},{"dropping-particle":"","family":"Rattray","given":"Janice","non-dropping-particle":"","parse-names":false,"suffix":""},{"dropping-particle":"","family":"Walsh","given":"Timothy S","non-dropping-particle":"","parse-names":false,"suffix":""}],"container-title":"Thorax","id":"ITEM-2","issued":{"date-parts":[["2018","4","5"]]},"page":"thoraxjnl-2017-210822","title":"Predicting risk of unplanned hospital readmission in survivors of critical illness: a population-level cohort study","type":"article-journal"},"uris":["http://www.mendeley.com/documents/?uuid=431ee5f9-7a8d-45bb-97be-d422f305d0f2"]}],"mendeley":{"formattedCitation":"&lt;sup&gt;30,31&lt;/sup&gt;","plainTextFormattedCitation":"30,31","previouslyFormattedCitation":"&lt;sup&gt;30,31&lt;/sup&gt;"},"properties":{"noteIndex":0},"schema":"https://github.com/citation-style-language/schema/raw/master/csl-citation.json"}</w:instrText>
      </w:r>
      <w:r w:rsidR="00B77386" w:rsidRPr="4E4A2F72">
        <w:rPr>
          <w:rFonts w:asciiTheme="majorHAnsi" w:hAnsiTheme="majorHAnsi" w:cstheme="majorBidi"/>
        </w:rPr>
        <w:fldChar w:fldCharType="separate"/>
      </w:r>
      <w:r w:rsidR="00215AAA" w:rsidRPr="00215AAA">
        <w:rPr>
          <w:rFonts w:asciiTheme="majorHAnsi" w:hAnsiTheme="majorHAnsi" w:cstheme="majorBidi"/>
          <w:noProof/>
          <w:vertAlign w:val="superscript"/>
        </w:rPr>
        <w:t>30,31</w:t>
      </w:r>
      <w:r w:rsidR="00B77386" w:rsidRPr="4E4A2F72">
        <w:rPr>
          <w:rFonts w:asciiTheme="majorHAnsi" w:hAnsiTheme="majorHAnsi" w:cstheme="majorBidi"/>
        </w:rPr>
        <w:fldChar w:fldCharType="end"/>
      </w:r>
      <w:r w:rsidR="00B77386" w:rsidRPr="4E4A2F72">
        <w:rPr>
          <w:rFonts w:asciiTheme="majorHAnsi" w:hAnsiTheme="majorHAnsi" w:cstheme="majorBidi"/>
        </w:rPr>
        <w:t xml:space="preserve">.  </w:t>
      </w:r>
      <w:r w:rsidR="7BA4E86C" w:rsidRPr="7BA4E86C">
        <w:rPr>
          <w:rFonts w:asciiTheme="majorHAnsi" w:hAnsiTheme="majorHAnsi" w:cstheme="majorBidi"/>
        </w:rPr>
        <w:t>The lower fatigue</w:t>
      </w:r>
      <w:r w:rsidR="00B77386" w:rsidRPr="4E4A2F72">
        <w:rPr>
          <w:rFonts w:asciiTheme="majorHAnsi" w:hAnsiTheme="majorHAnsi" w:cstheme="majorBidi"/>
        </w:rPr>
        <w:t xml:space="preserve"> in Covid-19 patients at 6-months is surprising as Covid-19 patients may have been expected to suffer worse fatigue than pre-pandemic patients if they were more likely to be </w:t>
      </w:r>
      <w:r w:rsidR="00B77386" w:rsidRPr="4E4A2F72">
        <w:rPr>
          <w:rFonts w:asciiTheme="majorHAnsi" w:hAnsiTheme="majorHAnsi" w:cstheme="majorBidi"/>
        </w:rPr>
        <w:lastRenderedPageBreak/>
        <w:t>discharged at a lower functional level due to greater high-demand for ICU beds throughout the pandemic and a focus on survival as opposed to rehabilitation</w:t>
      </w:r>
      <w:r w:rsidR="00816491">
        <w:rPr>
          <w:rFonts w:asciiTheme="majorHAnsi" w:hAnsiTheme="majorHAnsi" w:cstheme="majorBidi"/>
        </w:rPr>
        <w:t>.</w:t>
      </w:r>
      <w:r w:rsidR="00B77386" w:rsidRPr="4E4A2F72">
        <w:rPr>
          <w:rFonts w:asciiTheme="majorHAnsi" w:hAnsiTheme="majorHAnsi" w:cstheme="majorBidi"/>
        </w:rPr>
        <w:t xml:space="preserve"> A multitude of different factors interact to drive fatigue in critical illness survivors, including deconditioning secondary to extended immobilisation, anaemia, poor sleep, depression, post-traumatic stress, respiratory illness (which may be due to prolonged ventilation), chronic disease, </w:t>
      </w:r>
      <w:r w:rsidR="00C333A2">
        <w:rPr>
          <w:rFonts w:asciiTheme="majorHAnsi" w:hAnsiTheme="majorHAnsi" w:cstheme="majorBidi"/>
        </w:rPr>
        <w:t xml:space="preserve">and </w:t>
      </w:r>
      <w:r w:rsidR="00B77386" w:rsidRPr="4E4A2F72">
        <w:rPr>
          <w:rFonts w:asciiTheme="majorHAnsi" w:hAnsiTheme="majorHAnsi" w:cstheme="majorBidi"/>
        </w:rPr>
        <w:t>drug</w:t>
      </w:r>
      <w:r w:rsidR="00C333A2">
        <w:rPr>
          <w:rFonts w:asciiTheme="majorHAnsi" w:hAnsiTheme="majorHAnsi" w:cstheme="majorBidi"/>
        </w:rPr>
        <w:t>s</w:t>
      </w:r>
      <w:r w:rsidR="00B77386" w:rsidRPr="4E4A2F72">
        <w:rPr>
          <w:rFonts w:asciiTheme="majorHAnsi" w:hAnsiTheme="majorHAnsi" w:cstheme="majorBidi"/>
        </w:rPr>
        <w:fldChar w:fldCharType="begin" w:fldLock="1"/>
      </w:r>
      <w:r w:rsidR="00CD1BCF">
        <w:rPr>
          <w:rFonts w:asciiTheme="majorHAnsi" w:hAnsiTheme="majorHAnsi" w:cstheme="majorBidi"/>
        </w:rPr>
        <w:instrText>ADDIN CSL_CITATION {"citationItems":[{"id":"ITEM-1","itemData":{"DOI":"https://doi.org/10.1111/tme.12505","ISSN":"0958-7578","abstract":"SUMMARY Anaemia is common in critical illness, and standard treatment is red blood cell (RBC) transfusion, typically using a restrictive transfusion threshold of 70?g L?1. However, there are subgroups of patients in whom it is biologically plausible that a higher transfusion threshold may be beneficial, namely, acute sepsis, traumatic brain injury and coexisting cardiovascular disease. In this review article, we will discuss the pathophysiology of anaemia, as well as its prevalence and time course. We will explore the limitations of using haemoglobin concentration as a surrogate for oxygen delivery and the concept of the critical haemoglobin concentration. We will then discuss transfusion thresholds for the general intensive care unit (ICU) population and specific subgroups.","author":[{"dropping-particle":"","family":"Docherty","given":"A B","non-dropping-particle":"","parse-names":false,"suffix":""},{"dropping-particle":"","family":"Turgeon","given":"A F","non-dropping-particle":"","parse-names":false,"suffix":""},{"dropping-particle":"","family":"Walsh","given":"T S","non-dropping-particle":"","parse-names":false,"suffix":""}],"container-title":"Transfusion Medicine","id":"ITEM-1","issue":"2","issued":{"date-parts":[["2018","4","1"]]},"note":"https://doi.org/10.1111/tme.12505","page":"181-189","publisher":"John Wiley &amp; Sons, Ltd","title":"Best practice in critical care: anaemia in acute and critical illness","type":"article-journal","volume":"28"},"uris":["http://www.mendeley.com/documents/?uuid=db2adba5-703c-4949-a0ab-94aa8a11e6dc"]},{"id":"ITEM-2","itemData":{"DOI":"https://doi.org/10.1111/anae.15441","ISSN":"0003-2409","abstract":"Summary We conducted a mixed methods systematic review to investigate the prevalence, experience and management of fatigue in survivors of critical illness. We identified 76 studies investigating fatigue or vitality in adults discharged from an intensive care unit and split the extracted data into three datasets: vitality scores from the Short Form Health Survey-36 (n = 54); other quantitative data (n = 19); and qualitative data (n = 9). We assessed methodological quality using critical appraisal skills programme tools. We adopted a segregated approach to mixed-methods synthesis. In a final step, we attributed combined results to one of four qualitative themes: prevalence and severity; contributing factors; impacts on quality of life; and assessment and management. Prevalence of fatigue ranged from 13.8 to 80.9%. Short Form Health Survey-36 vitality scores were commonly used as a marker of fatigue. Vitality scores reached a nadir approximately one month following ICU discharge (mean (SD) 56.44 (32.30); 95%CI 52.92?59.97). They improved over time but seldom reached reference population scores. Associated biological, disease-related and psychological factors included age, poor pre-morbid status, sleep and psychological disturbance. Qualitative data highlight the profound negative impact of fatigue on survivors? quality of life. Survivors seldom had any information provided on the potential impact of fatigue. No fatigue assessment tools specific to critical illness or evidence-based interventions were reported. Fatigue is highly prevalent in survivors of critical illness, and negatively impacts recovery. Further research on developing fatigue assessment tools specifically for critically ill patients and evaluating the impact of pharmacological and non-pharmacology interventions is needed.","author":[{"dropping-particle":"","family":"Bench","given":"S","non-dropping-particle":"","parse-names":false,"suffix":""},{"dropping-particle":"","family":"Stayt","given":"L","non-dropping-particle":"","parse-names":false,"suffix":""},{"dropping-particle":"","family":"Shah","given":"A","non-dropping-particle":"","parse-names":false,"suffix":""},{"dropping-particle":"","family":"Dhiman","given":"P","non-dropping-particle":"","parse-names":false,"suffix":""},{"dropping-particle":"","family":"Czuber-Dochan","given":"W","non-dropping-particle":"","parse-names":false,"suffix":""}],"container-title":"Anaesthesia","id":"ITEM-2","issue":"n/a","issued":{"date-parts":[["2021","3","11"]]},"note":"https://doi.org/10.1111/anae.15441","publisher":"John Wiley &amp; Sons, Ltd","title":"Prevalence and experience of fatigue in survivors of critical illness: a mixed-methods systematic review","type":"article-journal","volume":"n/a"},"uris":["http://www.mendeley.com/documents/?uuid=c1dfdbc3-f8a4-4f1d-82de-2405983630c0"]},{"id":"ITEM-3","itemData":{"DOI":"10.1186/s13054-018-2223-6","ISSN":"1364-8535","abstract":"Survivors of intensive care are known to be at increased risk of developing longer-term psychopathology issues. We present a large UK multicentre study assessing the anxiety, depression and post-traumatic stress disorder (PTSD) caseness in the first year following discharge from an intensive care unit (ICU).","author":[{"dropping-particle":"","family":"Hatch","given":"Robert","non-dropping-particle":"","parse-names":false,"suffix":""},{"dropping-particle":"","family":"Young","given":"Duncan","non-dropping-particle":"","parse-names":false,"suffix":""},{"dropping-particle":"","family":"Barber","given":"Vicki","non-dropping-particle":"","parse-names":false,"suffix":""},{"dropping-particle":"","family":"Griffiths","given":"John","non-dropping-particle":"","parse-names":false,"suffix":""},{"dropping-particle":"","family":"Harrison","given":"David A","non-dropping-particle":"","parse-names":false,"suffix":""},{"dropping-particle":"","family":"Watkinson","given":"Peter","non-dropping-particle":"","parse-names":false,"suffix":""}],"container-title":"Critical Care","id":"ITEM-3","issue":"1","issued":{"date-parts":[["2018"]]},"page":"310","title":"Anxiety, Depression and Post Traumatic Stress Disorder after critical illness: a UK-wide prospective cohort study","type":"article-journal","volume":"22"},"uris":["http://www.mendeley.com/documents/?uuid=b0993f83-af7f-49d2-8cd5-41aa55035cae"]},{"id":"ITEM-4","itemData":{"author":[{"dropping-particle":"","family":"Donaghy Em Salisbury L, Lone N, Lee R, Ramsey P","given":"Rattray J","non-dropping-particle":"","parse-names":false,"suffix":""}],"container-title":"BMJ Quality &amp; Safety","id":"ITEM-4","issue":"11","issued":{"date-parts":[["2018"]]},"page":"915-927","title":"Unplanned early hospital readmission among critical care survivors: a mixed methods study of patients and carers","type":"article-journal","volume":"27"},"uris":["http://www.mendeley.com/documents/?uuid=52aa39a8-4719-4ee3-85ec-361570f872a4"]},{"id":"ITEM-5","itemData":{"DOI":"10.1097/CCM.0b013e3181b6ef67","ISSN":"1530-0293 (Electronic)","PMID":"20046114","abstract":"Neuromuscular dysfunction is prevalent in critically ill patients, is associated  with worse short-term outcomes, and is a determinant of long-term disability in intensive care unit survivors. Diagnosis is made with the help of clinical, electrophysiological, and morphological observations; however, the lack of a consistent nomenclature remains a barrier to research. We propose a simple framework for diagnosing and classifying neuromuscular disorders acquired in critical illness.","author":[{"dropping-particle":"","family":"Stevens","given":"Robert D","non-dropping-particle":"","parse-names":false,"suffix":""},{"dropping-particle":"","family":"Marshall","given":"Scott A","non-dropping-particle":"","parse-names":false,"suffix":""},{"dropping-particle":"","family":"Cornblath","given":"David R","non-dropping-particle":"","parse-names":false,"suffix":""},{"dropping-particle":"","family":"Hoke","given":"Ahmet","non-dropping-particle":"","parse-names":false,"suffix":""},{"dropping-particle":"","family":"Needham","given":"Dale M","non-dropping-particle":"","parse-names":false,"suffix":""},{"dropping-particle":"","family":"Jonghe","given":"Bernard","non-dropping-particle":"de","parse-names":false,"suffix":""},{"dropping-particle":"","family":"Ali","given":"Naeem A","non-dropping-particle":"","parse-names":false,"suffix":""},{"dropping-particle":"","family":"Sharshar","given":"Tarek","non-dropping-particle":"","parse-names":false,"suffix":""}],"container-title":"Critical care medicine","id":"ITEM-5","issue":"10 Suppl","issued":{"date-parts":[["2009","10"]]},"language":"eng","page":"S299-308","publisher-place":"United States","title":"A framework for diagnosing and classifying intensive care unit-acquired weakness.","type":"article-journal","volume":"37"},"uris":["http://www.mendeley.com/documents/?uuid=a4f785f1-aa57-4108-9867-9f14e4d33177"]},{"id":"ITEM-6","itemData":{"DOI":"10.1515/med-2018-0057","ISSN":"2391-5463","abstract":"BACKGROUND: Sleep disturbances in intensive care unit (ICU) patients have been studied worldwide for over 30 years. Factors contributing to sleep disturbances are still being identified, and therapeutic procedures aimed at the mitigation of such ailments are consequently being developed. OBJECTIVES: The aim of this study was to review the literature on sleep disturbances in intensive care unit patients. MATERIAL AND METHODS: MEDLINE PubMed, OVID, Web of Science, and EBSCO databases have been searched using adequate keywords. RESULTS: Sleep disorders in ICUs were common among all of the analysed articles. Noise plays a significant role in sleep interruption (11.5 - 17% of awakenings). It was noted that the introduction of \"white noise\" into the ICU environment proved unsuccessful in reducing the magnitude of changing noise levels. Nursing care activities significantly disturb nocturnal rest, and 42.7 such procedures per every 12-hour night shift were registered. Aggregating nursing care interventions was suggested in order to reduce the number of stimuli experienced by the patient. CONCLUSION: Changes in sleep structure developing during an ICU stay may significantly contribute to sleep disorders once the hospitalisation is over.","author":[{"dropping-particle":"","family":"Medrzycka-Dabrowska","given":"Wioletta","non-dropping-particle":"","parse-names":false,"suffix":""},{"dropping-particle":"","family":"Lewandowska","given":"Katarzyna","non-dropping-particle":"","parse-names":false,"suffix":""},{"dropping-particle":"","family":"Kwiecień-Jaguś","given":"Katarzyna","non-dropping-particle":"","parse-names":false,"suffix":""},{"dropping-particle":"","family":"Czyż-Szypenbajl","given":"Katarzyna","non-dropping-particle":"","parse-names":false,"suffix":""}],"container-title":"Open medicine (Warsaw, Poland)","id":"ITEM-6","issued":{"date-parts":[["2018","9","8"]]},"language":"eng","page":"384-393","publisher":"De Gruyter","title":"Sleep Deprivation in Intensive Care Unit - Systematic Review","type":"article-journal","volume":"13"},"uris":["http://www.mendeley.com/documents/?uuid=e3729458-6caa-45dc-b53b-359273ae354c"]},{"id":"ITEM-7","itemData":{"DOI":"10.1515/jtim-2016-0016","author":[{"dropping-particle":"","family":"Rawal","given":"G","non-dropping-particle":"","parse-names":false,"suffix":""},{"dropping-particle":"","family":"Yadav","given":"S","non-dropping-particle":"","parse-names":false,"suffix":""},{"dropping-particle":"","family":"Kumar","given":"R","non-dropping-particle":"","parse-names":false,"suffix":""}],"container-title":"Journal of translational internal medicine","id":"ITEM-7","issue":"2","issued":{"date-parts":[["2017"]]},"page":"90-92","title":"Post-intensive care syndrome: An overview","type":"article-journal","volume":"5"},"uris":["http://www.mendeley.com/documents/?uuid=748478a5-c9ff-4a4c-b2ec-77f6333ae1ae"]}],"mendeley":{"formattedCitation":"&lt;sup&gt;1,20,30,32–35&lt;/sup&gt;","plainTextFormattedCitation":"1,20,30,32–35","previouslyFormattedCitation":"&lt;sup&gt;1,20,30,32–35&lt;/sup&gt;"},"properties":{"noteIndex":0},"schema":"https://github.com/citation-style-language/schema/raw/master/csl-citation.json"}</w:instrText>
      </w:r>
      <w:r w:rsidR="00B77386" w:rsidRPr="4E4A2F72">
        <w:rPr>
          <w:rFonts w:asciiTheme="majorHAnsi" w:hAnsiTheme="majorHAnsi" w:cstheme="majorBidi"/>
        </w:rPr>
        <w:fldChar w:fldCharType="separate"/>
      </w:r>
      <w:r w:rsidR="00215AAA" w:rsidRPr="00215AAA">
        <w:rPr>
          <w:rFonts w:asciiTheme="majorHAnsi" w:hAnsiTheme="majorHAnsi" w:cstheme="majorBidi"/>
          <w:noProof/>
          <w:vertAlign w:val="superscript"/>
        </w:rPr>
        <w:t>1,20,30,32–35</w:t>
      </w:r>
      <w:r w:rsidR="00B77386" w:rsidRPr="4E4A2F72">
        <w:rPr>
          <w:rFonts w:asciiTheme="majorHAnsi" w:hAnsiTheme="majorHAnsi" w:cstheme="majorBidi"/>
        </w:rPr>
        <w:fldChar w:fldCharType="end"/>
      </w:r>
      <w:r w:rsidR="00B77386" w:rsidRPr="4E4A2F72">
        <w:rPr>
          <w:rFonts w:asciiTheme="majorHAnsi" w:hAnsiTheme="majorHAnsi" w:cstheme="majorBidi"/>
        </w:rPr>
        <w:t>. It is possible that once acute illness severity exceeds the threshold for requiring IMV and ICU-admission, further illness severity and underlying disease have little impact on persistent fatigue. This is consistent with recent research which found that post-ICU rehabilitation requirements were unaffected by Covid-19 infection status</w:t>
      </w:r>
      <w:r w:rsidR="00B77386" w:rsidRPr="4E4A2F72">
        <w:rPr>
          <w:rFonts w:asciiTheme="majorHAnsi" w:hAnsiTheme="majorHAnsi" w:cstheme="majorBidi"/>
        </w:rPr>
        <w:fldChar w:fldCharType="begin" w:fldLock="1"/>
      </w:r>
      <w:r w:rsidR="00CD1BCF">
        <w:rPr>
          <w:rFonts w:asciiTheme="majorHAnsi" w:hAnsiTheme="majorHAnsi" w:cstheme="majorBidi"/>
        </w:rPr>
        <w:instrText>ADDIN CSL_CITATION {"citationItems":[{"id":"ITEM-1","itemData":{"DOI":"10.1177/1751143720988708","ISSN":"1751-1437","abstract":"BackgroundMany Intensive Care Unit (ICU) survivors suffer from a multi- system disability, termed the post-intensive care syndrome. There is no current national coordination of either rehabilitation pathways or related data collection for them. In the last year, the need for tools to systematically identify the multidisciplinary rehabilitation needs of severely affected COVID-19 survivors has become clear. Such tools offer the opportunity to improve rehabilitation for all critical illness survivors through provision of a personalised Rehabilitation Prescription (RP). The initial development and secondary refinement of such an assessment and data tools is described in the linked paper. We report here the clinical and workforce data that was generated as a result.MethodsProspective service evaluation of 26 acute hospitals in England using the Post-ICU Presentation Screen (PICUPS) tool and the RP. The PICUPS tool comprised items in domains of a) Medical and essential care, b) Breathing and nutrition; c) Physical movement and d) Communication, cognition and behaviour.ResultsNo difference was seen in total PICUPS scores between patients with or without COVID-19 (77 (IQR 60-92) vs. 84 (IQR 68-97); Mann-Whitney z?=??1.46, p?=?0.144. A network analysis demonstrated that requirements for physiotherapy, occupational therapy, speech and language therapy, dietetics and clinical psychology were closely related and unaffected by COVID-19 infection status. A greater proportion of COVID-19 patients were referred for inpatient rehabilitation (13% vs. 7%) and community-based rehabilitation (36% vs.15%). The RP informed by the PICUPS tool generally specified a greater need for multi-professional input when compared to rehabilitation plans instituted.ConclusionsThe PICUPS tool is feasible to implement as a screening mechanism for post-intensive care syndrome. No differences are seen in the rehabilitation needs of patients with and without COVID-19 infection. The RP could be the vehicle that drives the professional interventions across the transitions from acute to community care. No single discipline dominates the rehabilitation requirements of these patients, reinforcing the need for a personalised RP for critical illness survivors.","author":[{"dropping-particle":"","family":"Puthucheary","given":"Zudin","non-dropping-particle":"","parse-names":false,"suffix":""},{"dropping-particle":"","family":"Brown","given":"Craig","non-dropping-particle":"","parse-names":false,"suffix":""},{"dropping-particle":"","family":"Corner","given":"Evelyn","non-dropping-particle":"","parse-names":false,"suffix":""},{"dropping-particle":"","family":"Wallace","given":"Sarah","non-dropping-particle":"","parse-names":false,"suffix":""},{"dropping-particle":"","family":"Highfield","given":"Julie","non-dropping-particle":"","parse-names":false,"suffix":""},{"dropping-particle":"","family":"Bear","given":"Danielle","non-dropping-particle":"","parse-names":false,"suffix":""},{"dropping-particle":"","family":"Rehill","given":"Nirandeep","non-dropping-particle":"","parse-names":false,"suffix":""},{"dropping-particle":"","family":"Montgomery","given":"Hugh","non-dropping-particle":"","parse-names":false,"suffix":""},{"dropping-particle":"","family":"Aitken","given":"Leanne","non-dropping-particle":"","parse-names":false,"suffix":""},{"dropping-particle":"","family":"Turner-Stokes","given":"Lynne","non-dropping-particle":"","parse-names":false,"suffix":""}],"container-title":"Journal of the Intensive Care Society","id":"ITEM-1","issued":{"date-parts":[["2021","2","1"]]},"note":"doi: 10.1177/1751143720988708","page":"1751143720988708","publisher":"SAGE Publications","title":"The Post-ICU presentation screen (PICUPS) and rehabilitation prescription (RP) for intensive care survivors part II: Clinical engagement and future directions for the national Post-Intensive care Rehabilitation Collaborative","type":"article-journal"},"uris":["http://www.mendeley.com/documents/?uuid=e907434f-a509-4b6b-b199-518a28c7fcf3"]}],"mendeley":{"formattedCitation":"&lt;sup&gt;36&lt;/sup&gt;","plainTextFormattedCitation":"36","previouslyFormattedCitation":"&lt;sup&gt;36&lt;/sup&gt;"},"properties":{"noteIndex":0},"schema":"https://github.com/citation-style-language/schema/raw/master/csl-citation.json"}</w:instrText>
      </w:r>
      <w:r w:rsidR="00B77386" w:rsidRPr="4E4A2F72">
        <w:rPr>
          <w:rFonts w:asciiTheme="majorHAnsi" w:hAnsiTheme="majorHAnsi" w:cstheme="majorBidi"/>
        </w:rPr>
        <w:fldChar w:fldCharType="separate"/>
      </w:r>
      <w:r w:rsidR="00215AAA" w:rsidRPr="00215AAA">
        <w:rPr>
          <w:rFonts w:asciiTheme="majorHAnsi" w:hAnsiTheme="majorHAnsi" w:cstheme="majorBidi"/>
          <w:noProof/>
          <w:vertAlign w:val="superscript"/>
        </w:rPr>
        <w:t>36</w:t>
      </w:r>
      <w:r w:rsidR="00B77386" w:rsidRPr="4E4A2F72">
        <w:rPr>
          <w:rFonts w:asciiTheme="majorHAnsi" w:hAnsiTheme="majorHAnsi" w:cstheme="majorBidi"/>
        </w:rPr>
        <w:fldChar w:fldCharType="end"/>
      </w:r>
      <w:r w:rsidR="00B77386" w:rsidRPr="4E4A2F72">
        <w:rPr>
          <w:rFonts w:asciiTheme="majorHAnsi" w:hAnsiTheme="majorHAnsi" w:cstheme="majorBidi"/>
        </w:rPr>
        <w:t xml:space="preserve">. </w:t>
      </w:r>
    </w:p>
    <w:p w14:paraId="20CA6CB8" w14:textId="77777777" w:rsidR="00BA6454" w:rsidRDefault="00BA6454" w:rsidP="00B77386">
      <w:pPr>
        <w:spacing w:line="480" w:lineRule="auto"/>
        <w:ind w:firstLine="720"/>
        <w:rPr>
          <w:rFonts w:asciiTheme="majorHAnsi" w:hAnsiTheme="majorHAnsi" w:cstheme="majorBidi"/>
        </w:rPr>
      </w:pPr>
    </w:p>
    <w:p w14:paraId="2CB94590" w14:textId="7A15A0B3" w:rsidR="00B77386" w:rsidRPr="00D7026D" w:rsidRDefault="00EF2329" w:rsidP="00766872">
      <w:pPr>
        <w:spacing w:line="480" w:lineRule="auto"/>
        <w:ind w:firstLine="720"/>
        <w:rPr>
          <w:rFonts w:asciiTheme="majorHAnsi" w:hAnsiTheme="majorHAnsi" w:cstheme="majorBidi"/>
        </w:rPr>
      </w:pPr>
      <w:r>
        <w:rPr>
          <w:rFonts w:asciiTheme="majorHAnsi" w:hAnsiTheme="majorHAnsi" w:cstheme="majorBidi"/>
        </w:rPr>
        <w:t xml:space="preserve"> </w:t>
      </w:r>
    </w:p>
    <w:p w14:paraId="5AAE8179" w14:textId="77777777" w:rsidR="00B77386" w:rsidRPr="00D7026D" w:rsidRDefault="00B77386" w:rsidP="00B77386">
      <w:pPr>
        <w:spacing w:line="480" w:lineRule="auto"/>
        <w:rPr>
          <w:rFonts w:asciiTheme="majorHAnsi" w:hAnsiTheme="majorHAnsi" w:cstheme="majorHAnsi"/>
        </w:rPr>
      </w:pPr>
    </w:p>
    <w:p w14:paraId="5856001B" w14:textId="65495216" w:rsidR="00B77386" w:rsidRDefault="00B77386" w:rsidP="009625D0">
      <w:pPr>
        <w:spacing w:line="480" w:lineRule="auto"/>
        <w:ind w:firstLine="720"/>
        <w:rPr>
          <w:rFonts w:asciiTheme="majorHAnsi" w:hAnsiTheme="majorHAnsi" w:cstheme="majorBidi"/>
        </w:rPr>
      </w:pPr>
      <w:r w:rsidRPr="094F43DF">
        <w:rPr>
          <w:rFonts w:asciiTheme="majorHAnsi" w:hAnsiTheme="majorHAnsi" w:cstheme="majorBidi"/>
        </w:rPr>
        <w:t xml:space="preserve">Our data provides important insights into these complex syndromes, which need far greater research to assess the true impact they have on patients. To our knowledge, no previous study has included an appropriate control group with similar illness severity to a Covid-19 cohort. There are several important limitations to our study that must be considered. Firstly, our findings may be subject to responder and survivor bias. The sample sizes included by both CCP-UK and RECOVER were relatively small, </w:t>
      </w:r>
      <w:r w:rsidR="009625D0">
        <w:rPr>
          <w:rFonts w:asciiTheme="majorHAnsi" w:hAnsiTheme="majorHAnsi" w:cstheme="majorBidi"/>
        </w:rPr>
        <w:t xml:space="preserve">with the RECOVER sample being substantially larger, </w:t>
      </w:r>
      <w:r w:rsidRPr="094F43DF">
        <w:rPr>
          <w:rFonts w:asciiTheme="majorHAnsi" w:hAnsiTheme="majorHAnsi" w:cstheme="majorBidi"/>
        </w:rPr>
        <w:t>and individuals with milder symptoms may have felt less compelled to respond, and those with the most severe symptoms or who died would have been unable to respond.</w:t>
      </w:r>
      <w:r w:rsidR="00D22FD5">
        <w:rPr>
          <w:rFonts w:asciiTheme="majorHAnsi" w:hAnsiTheme="majorHAnsi" w:cstheme="majorBidi"/>
        </w:rPr>
        <w:t xml:space="preserve"> Self-reported fatigue may </w:t>
      </w:r>
      <w:r w:rsidR="007D0841">
        <w:rPr>
          <w:rFonts w:asciiTheme="majorHAnsi" w:hAnsiTheme="majorHAnsi" w:cstheme="majorBidi"/>
        </w:rPr>
        <w:t>have been</w:t>
      </w:r>
      <w:r w:rsidR="00D22FD5">
        <w:rPr>
          <w:rFonts w:asciiTheme="majorHAnsi" w:hAnsiTheme="majorHAnsi" w:cstheme="majorBidi"/>
        </w:rPr>
        <w:t xml:space="preserve"> affected </w:t>
      </w:r>
      <w:r w:rsidR="00CF331C">
        <w:rPr>
          <w:rFonts w:asciiTheme="majorHAnsi" w:hAnsiTheme="majorHAnsi" w:cstheme="majorBidi"/>
        </w:rPr>
        <w:t>by</w:t>
      </w:r>
      <w:r w:rsidR="00D22FD5">
        <w:rPr>
          <w:rFonts w:asciiTheme="majorHAnsi" w:hAnsiTheme="majorHAnsi" w:cstheme="majorBidi"/>
        </w:rPr>
        <w:t xml:space="preserve"> patients’ perceptions of their function or fatigue level prior to ICU admission</w:t>
      </w:r>
      <w:r w:rsidR="0089394E">
        <w:rPr>
          <w:rFonts w:asciiTheme="majorHAnsi" w:hAnsiTheme="majorHAnsi" w:cstheme="majorBidi"/>
        </w:rPr>
        <w:t xml:space="preserve">, </w:t>
      </w:r>
      <w:r w:rsidR="007D0841">
        <w:rPr>
          <w:rFonts w:asciiTheme="majorHAnsi" w:hAnsiTheme="majorHAnsi" w:cstheme="majorBidi"/>
        </w:rPr>
        <w:t>which</w:t>
      </w:r>
      <w:r w:rsidR="00EE0DE8">
        <w:rPr>
          <w:rFonts w:asciiTheme="majorHAnsi" w:hAnsiTheme="majorHAnsi" w:cstheme="majorBidi"/>
        </w:rPr>
        <w:t xml:space="preserve"> </w:t>
      </w:r>
      <w:r w:rsidR="0014430B">
        <w:rPr>
          <w:rFonts w:asciiTheme="majorHAnsi" w:hAnsiTheme="majorHAnsi" w:cstheme="majorBidi"/>
        </w:rPr>
        <w:t xml:space="preserve">may be affected by their age or previous comorbidities. As the Covid-19 group was significantly younger with less comorbidity, </w:t>
      </w:r>
      <w:r w:rsidR="00D94A67">
        <w:rPr>
          <w:rFonts w:asciiTheme="majorHAnsi" w:hAnsiTheme="majorHAnsi" w:cstheme="majorBidi"/>
        </w:rPr>
        <w:t xml:space="preserve">and therefore may have had a self-perceived lower baseline fatigue, </w:t>
      </w:r>
      <w:r w:rsidR="00BD5205">
        <w:rPr>
          <w:rFonts w:asciiTheme="majorHAnsi" w:hAnsiTheme="majorHAnsi" w:cstheme="majorBidi"/>
        </w:rPr>
        <w:t xml:space="preserve">an </w:t>
      </w:r>
      <w:r w:rsidR="00BD5205">
        <w:rPr>
          <w:rFonts w:asciiTheme="majorHAnsi" w:hAnsiTheme="majorHAnsi" w:cstheme="majorBidi"/>
        </w:rPr>
        <w:lastRenderedPageBreak/>
        <w:t xml:space="preserve">ideal study would have compared more objective measurements of fatigue level. </w:t>
      </w:r>
      <w:r w:rsidR="008B7155">
        <w:rPr>
          <w:rFonts w:asciiTheme="majorHAnsi" w:hAnsiTheme="majorHAnsi" w:cstheme="majorBidi"/>
        </w:rPr>
        <w:t>Secondly, t</w:t>
      </w:r>
      <w:r w:rsidR="0053747F">
        <w:rPr>
          <w:rFonts w:asciiTheme="majorHAnsi" w:hAnsiTheme="majorHAnsi" w:cstheme="majorBidi"/>
        </w:rPr>
        <w:t xml:space="preserve">he overall Covid-19 cohort was included in our logistic regression models, which may have introduced bias from differing </w:t>
      </w:r>
      <w:r w:rsidR="006E392C">
        <w:rPr>
          <w:rFonts w:asciiTheme="majorHAnsi" w:hAnsiTheme="majorHAnsi" w:cstheme="majorBidi"/>
        </w:rPr>
        <w:t xml:space="preserve">questionnaire </w:t>
      </w:r>
      <w:r w:rsidR="0053747F">
        <w:rPr>
          <w:rFonts w:asciiTheme="majorHAnsi" w:hAnsiTheme="majorHAnsi" w:cstheme="majorBidi"/>
        </w:rPr>
        <w:t xml:space="preserve">response times </w:t>
      </w:r>
      <w:r w:rsidR="006E392C">
        <w:rPr>
          <w:rFonts w:asciiTheme="majorHAnsi" w:hAnsiTheme="majorHAnsi" w:cstheme="majorBidi"/>
        </w:rPr>
        <w:t>post-hospital discharge. However, w</w:t>
      </w:r>
      <w:r w:rsidRPr="094F43DF">
        <w:rPr>
          <w:rFonts w:asciiTheme="majorHAnsi" w:hAnsiTheme="majorHAnsi" w:cstheme="majorBidi"/>
        </w:rPr>
        <w:t>e controlled for CCP-UK and RECOVER measuring outcomes at different timepoints by stratifying fatigue by time since hospital discharge</w:t>
      </w:r>
      <w:r w:rsidR="009D2FE6">
        <w:rPr>
          <w:rFonts w:asciiTheme="majorHAnsi" w:hAnsiTheme="majorHAnsi" w:cstheme="majorBidi"/>
        </w:rPr>
        <w:t xml:space="preserve"> when comparing fatigue prevalence and severity</w:t>
      </w:r>
      <w:r w:rsidRPr="094F43DF">
        <w:rPr>
          <w:rFonts w:asciiTheme="majorHAnsi" w:hAnsiTheme="majorHAnsi" w:cstheme="majorBidi"/>
        </w:rPr>
        <w:t>, which allowed equivalent timepoints to be compared but further restricted</w:t>
      </w:r>
      <w:r w:rsidR="009625D0">
        <w:rPr>
          <w:rFonts w:asciiTheme="majorHAnsi" w:hAnsiTheme="majorHAnsi" w:cstheme="majorBidi"/>
        </w:rPr>
        <w:t xml:space="preserve"> Covid-19</w:t>
      </w:r>
      <w:r w:rsidRPr="094F43DF">
        <w:rPr>
          <w:rFonts w:asciiTheme="majorHAnsi" w:hAnsiTheme="majorHAnsi" w:cstheme="majorBidi"/>
        </w:rPr>
        <w:t xml:space="preserve"> sample sizes</w:t>
      </w:r>
      <w:r w:rsidR="009625D0">
        <w:rPr>
          <w:rFonts w:asciiTheme="majorHAnsi" w:hAnsiTheme="majorHAnsi" w:cstheme="majorBidi"/>
        </w:rPr>
        <w:t>, therefore limiting the external validity of our findings to the general ICU population</w:t>
      </w:r>
      <w:r w:rsidRPr="094F43DF">
        <w:rPr>
          <w:rFonts w:asciiTheme="majorHAnsi" w:hAnsiTheme="majorHAnsi" w:cstheme="majorBidi"/>
        </w:rPr>
        <w:t xml:space="preserve">. </w:t>
      </w:r>
      <w:r w:rsidR="008B7155">
        <w:rPr>
          <w:rFonts w:asciiTheme="majorHAnsi" w:hAnsiTheme="majorHAnsi" w:cstheme="majorBidi"/>
        </w:rPr>
        <w:t>Thirdly</w:t>
      </w:r>
      <w:r w:rsidRPr="094F43DF">
        <w:rPr>
          <w:rFonts w:asciiTheme="majorHAnsi" w:hAnsiTheme="majorHAnsi" w:cstheme="majorBidi"/>
        </w:rPr>
        <w:t xml:space="preserve">, our results may not be fully representative of all survivors of Covid-19 or non-Covid critical illness, as only patients admitted to a few UK hospitals were included (31 hospitals </w:t>
      </w:r>
      <w:r w:rsidR="009625D0">
        <w:rPr>
          <w:rFonts w:asciiTheme="majorHAnsi" w:hAnsiTheme="majorHAnsi" w:cstheme="majorBidi"/>
        </w:rPr>
        <w:t xml:space="preserve">were included in </w:t>
      </w:r>
      <w:r w:rsidRPr="094F43DF">
        <w:rPr>
          <w:rFonts w:asciiTheme="majorHAnsi" w:hAnsiTheme="majorHAnsi" w:cstheme="majorBidi"/>
        </w:rPr>
        <w:t>CCP-UK</w:t>
      </w:r>
      <w:r w:rsidR="009625D0">
        <w:rPr>
          <w:rFonts w:asciiTheme="majorHAnsi" w:hAnsiTheme="majorHAnsi" w:cstheme="majorBidi"/>
        </w:rPr>
        <w:t xml:space="preserve"> and only 2 </w:t>
      </w:r>
      <w:r w:rsidRPr="094F43DF">
        <w:rPr>
          <w:rFonts w:asciiTheme="majorHAnsi" w:hAnsiTheme="majorHAnsi" w:cstheme="majorBidi"/>
        </w:rPr>
        <w:t>in RECOVER</w:t>
      </w:r>
      <w:r w:rsidR="009625D0">
        <w:rPr>
          <w:rFonts w:asciiTheme="majorHAnsi" w:hAnsiTheme="majorHAnsi" w:cstheme="majorBidi"/>
        </w:rPr>
        <w:t>, therefore CCP-UK is likely to have captured a much wider variation in population and recovery services available to the patients included</w:t>
      </w:r>
      <w:r w:rsidRPr="094F43DF">
        <w:rPr>
          <w:rFonts w:asciiTheme="majorHAnsi" w:hAnsiTheme="majorHAnsi" w:cstheme="majorBidi"/>
        </w:rPr>
        <w:t xml:space="preserve">). </w:t>
      </w:r>
      <w:proofErr w:type="spellStart"/>
      <w:r w:rsidR="008B7155">
        <w:rPr>
          <w:rFonts w:asciiTheme="majorHAnsi" w:hAnsiTheme="majorHAnsi" w:cstheme="majorBidi"/>
        </w:rPr>
        <w:t>Forthly</w:t>
      </w:r>
      <w:proofErr w:type="spellEnd"/>
      <w:r w:rsidR="008B7155">
        <w:rPr>
          <w:rFonts w:asciiTheme="majorHAnsi" w:hAnsiTheme="majorHAnsi" w:cstheme="majorBidi"/>
        </w:rPr>
        <w:t>,</w:t>
      </w:r>
      <w:r w:rsidRPr="094F43DF">
        <w:rPr>
          <w:rFonts w:asciiTheme="majorHAnsi" w:hAnsiTheme="majorHAnsi" w:cstheme="majorBidi"/>
        </w:rPr>
        <w:t xml:space="preserve"> as CCP-UK and RECOVER did not use the same outcome measures, we were unable to explore differences in</w:t>
      </w:r>
      <w:r w:rsidR="00D22EEE">
        <w:rPr>
          <w:rFonts w:asciiTheme="majorHAnsi" w:hAnsiTheme="majorHAnsi" w:cstheme="majorBidi"/>
        </w:rPr>
        <w:t xml:space="preserve"> indicators of</w:t>
      </w:r>
      <w:r w:rsidRPr="094F43DF">
        <w:rPr>
          <w:rFonts w:asciiTheme="majorHAnsi" w:hAnsiTheme="majorHAnsi" w:cstheme="majorBidi"/>
        </w:rPr>
        <w:t xml:space="preserve"> acute illness severity</w:t>
      </w:r>
      <w:r w:rsidR="002E0434">
        <w:rPr>
          <w:rFonts w:asciiTheme="majorHAnsi" w:hAnsiTheme="majorHAnsi" w:cstheme="majorBidi"/>
        </w:rPr>
        <w:t xml:space="preserve">, </w:t>
      </w:r>
      <w:r w:rsidRPr="094F43DF">
        <w:rPr>
          <w:rFonts w:asciiTheme="majorHAnsi" w:hAnsiTheme="majorHAnsi" w:cstheme="majorBidi"/>
        </w:rPr>
        <w:t>including duration of IMV</w:t>
      </w:r>
      <w:r w:rsidR="00D22EEE">
        <w:rPr>
          <w:rFonts w:asciiTheme="majorHAnsi" w:hAnsiTheme="majorHAnsi" w:cstheme="majorBidi"/>
        </w:rPr>
        <w:t xml:space="preserve"> and length of ICU stay</w:t>
      </w:r>
      <w:r w:rsidR="002E0434">
        <w:rPr>
          <w:rFonts w:asciiTheme="majorHAnsi" w:hAnsiTheme="majorHAnsi" w:cstheme="majorBidi"/>
        </w:rPr>
        <w:t>,</w:t>
      </w:r>
      <w:r w:rsidR="009625D0">
        <w:rPr>
          <w:rFonts w:asciiTheme="majorHAnsi" w:hAnsiTheme="majorHAnsi" w:cstheme="majorBidi"/>
        </w:rPr>
        <w:t xml:space="preserve"> </w:t>
      </w:r>
      <w:r w:rsidR="009625D0" w:rsidRPr="094F43DF" w:rsidDel="009625D0">
        <w:rPr>
          <w:rFonts w:asciiTheme="majorHAnsi" w:hAnsiTheme="majorHAnsi" w:cstheme="majorBidi"/>
        </w:rPr>
        <w:t xml:space="preserve"> </w:t>
      </w:r>
      <w:r w:rsidR="009625D0">
        <w:rPr>
          <w:rFonts w:asciiTheme="majorHAnsi" w:hAnsiTheme="majorHAnsi" w:cstheme="majorBidi"/>
        </w:rPr>
        <w:t>b</w:t>
      </w:r>
      <w:r w:rsidRPr="094F43DF">
        <w:rPr>
          <w:rFonts w:asciiTheme="majorHAnsi" w:hAnsiTheme="majorHAnsi" w:cstheme="majorBidi"/>
        </w:rPr>
        <w:t>etween Covid-19 and pre-pandemic patients</w:t>
      </w:r>
      <w:r w:rsidR="009625D0">
        <w:rPr>
          <w:rFonts w:asciiTheme="majorHAnsi" w:hAnsiTheme="majorHAnsi" w:cstheme="majorBidi"/>
        </w:rPr>
        <w:t>, which may have been an important risk factor for fatigue and therefore confounded our results, however a recent systematic review found no significant difference in mortality, length of hospital stay, or IMV-free days between Covid-19 and the general Acute Respiratory Distress Syndrome population</w:t>
      </w:r>
      <w:r w:rsidR="009625D0">
        <w:rPr>
          <w:rFonts w:asciiTheme="majorHAnsi" w:hAnsiTheme="majorHAnsi" w:cstheme="majorBidi"/>
        </w:rPr>
        <w:fldChar w:fldCharType="begin" w:fldLock="1"/>
      </w:r>
      <w:r w:rsidR="00CD1BCF">
        <w:rPr>
          <w:rFonts w:asciiTheme="majorHAnsi" w:hAnsiTheme="majorHAnsi" w:cstheme="majorBidi"/>
        </w:rPr>
        <w:instrText>ADDIN CSL_CITATION {"citationItems":[{"id":"ITEM-1","itemData":{"DOI":"10.1080/17476348.2021.1920927","ISSN":"1747-6356 (Electronic)","PMID":"33882768","abstract":"INTRODUCTION: Acute respiratory distress syndrome (ARDS) due to coronavirus disease  2019 (COVID-19) often leads to mortality. Outcomes of patients with COVID-19-related ARDS compared to ARDS unrelated to COVID-19 is not well characterized. AREAS COVERED: We performed a systematic review of PubMed, Scopus, and MedRxiv 11/1/2019 to 3/1/2021, including studies comparing outcomes in COVID-19-related ARDS (COVID-19 group) and ARDS unrelated to COVID-19 (ARDS group). Outcomes investigated were duration of mechanical ventilation-free days, intensive care unit (ICU) length-of-stay (LOS), hospital LOS, and mortality. Random effects models were fit for each outcome measure. Effect sizes were reported as pooled median differences of medians (MDMs), mean differences (MDs), or odds ratios (ORs). EXPERT OPINION: Ten studies with 2,281 patients met inclusion criteria (COVID-19: 861 [37.7%], ARDS: 1420 [62.3%]). There were no significant differences between the COVID-19 and ARDS groups for median number of mechanical ventilator-free days (MDM: -7.0 [95% CI: -14.8; 0.7], p = 0.075), ICU LOS (MD: 3.1 [95% CI: -5.9; 12.1], p = 0.501), hospital LOS (MD: 2.5 [95% CI: -5.6; 10.7], p = 0.542), or all-cause mortality (OR: 1.25 [95% CI: 0.78; 1.99], p = 0.361). Compared to the general ARDS population, results did not suggest worse outcomes in COVID-19-related ARDS.","author":[{"dropping-particle":"","family":"Dmytriw","given":"Adam A","non-dropping-particle":"","parse-names":false,"suffix":""},{"dropping-particle":"","family":"Chibbar","given":"Richa","non-dropping-particle":"","parse-names":false,"suffix":""},{"dropping-particle":"","family":"Chen","given":"Petty Pin Yu","non-dropping-particle":"","parse-names":false,"suffix":""},{"dropping-particle":"","family":"Traynor","given":"Michael D","non-dropping-particle":"","parse-names":false,"suffix":""},{"dropping-particle":"","family":"Kim","given":"Dong Wook","non-dropping-particle":"","parse-names":false,"suffix":""},{"dropping-particle":"","family":"Bruno","given":"Fernando P","non-dropping-particle":"","parse-names":false,"suffix":""},{"dropping-particle":"","family":"Cheung","given":"Christopher C","non-dropping-particle":"","parse-names":false,"suffix":""},{"dropping-particle":"","family":"Pareek","given":"Anuj","non-dropping-particle":"","parse-names":false,"suffix":""},{"dropping-particle":"","family":"Chou","given":"Andrew Chia Chen","non-dropping-particle":"","parse-names":false,"suffix":""},{"dropping-particle":"","family":"Graham","given":"Jeffrey","non-dropping-particle":"","parse-names":false,"suffix":""},{"dropping-particle":"","family":"Dibas","given":"Mahmoud","non-dropping-particle":"","parse-names":false,"suffix":""},{"dropping-particle":"","family":"Paranjape","given":"Geeta","non-dropping-particle":"","parse-names":false,"suffix":""},{"dropping-particle":"","family":"Reierson","given":"Natalie L","non-dropping-particle":"","parse-names":false,"suffix":""},{"dropping-particle":"","family":"Kamrowski","given":"Shelby","non-dropping-particle":"","parse-names":false,"suffix":""},{"dropping-particle":"","family":"Rozowsky","given":"Jacob","non-dropping-particle":"","parse-names":false,"suffix":""},{"dropping-particle":"","family":"Barrett","given":"Averi","non-dropping-particle":"","parse-names":false,"suffix":""},{"dropping-particle":"","family":"Schmidt","given":"Megan","non-dropping-particle":"","parse-names":false,"suffix":""},{"dropping-particle":"","family":"Shahani","given":"Disha","non-dropping-particle":"","parse-names":false,"suffix":""},{"dropping-particle":"","family":"Cowie","given":"Kathryn","non-dropping-particle":"","parse-names":false,"suffix":""},{"dropping-particle":"","family":"Davis","given":"Amber R","non-dropping-particle":"","parse-names":false,"suffix":""},{"dropping-particle":"","family":"Abdelmegeed","given":"Mohamed","non-dropping-particle":"","parse-names":false,"suffix":""},{"dropping-particle":"","family":"Touchette","given":"Jillienne C","non-dropping-particle":"","parse-names":false,"suffix":""},{"dropping-particle":"","family":"Kallmes","given":"Kevin M","non-dropping-particle":"","parse-names":false,"suffix":""},{"dropping-particle":"","family":"Pederson","given":"John M","non-dropping-particle":"","parse-names":false,"suffix":""},{"dropping-particle":"","family":"Keesari","given":"Praneeth Reddy","non-dropping-particle":"","parse-names":false,"suffix":""}],"container-title":"Expert review of respiratory medicine","id":"ITEM-1","issued":{"date-parts":[["2021","5"]]},"language":"eng","page":"1-8","title":"Outcomes of acute respiratory distress syndrome in COVID-19 patients compared to the  general population: a systematic review and meta-analysis.","type":"article-journal"},"uris":["http://www.mendeley.com/documents/?uuid=8d22829b-0b22-4058-abe8-4c934929742f"]}],"mendeley":{"formattedCitation":"&lt;sup&gt;37&lt;/sup&gt;","plainTextFormattedCitation":"37","previouslyFormattedCitation":"&lt;sup&gt;37&lt;/sup&gt;"},"properties":{"noteIndex":0},"schema":"https://github.com/citation-style-language/schema/raw/master/csl-citation.json"}</w:instrText>
      </w:r>
      <w:r w:rsidR="009625D0">
        <w:rPr>
          <w:rFonts w:asciiTheme="majorHAnsi" w:hAnsiTheme="majorHAnsi" w:cstheme="majorBidi"/>
        </w:rPr>
        <w:fldChar w:fldCharType="separate"/>
      </w:r>
      <w:r w:rsidR="00215AAA" w:rsidRPr="00215AAA">
        <w:rPr>
          <w:rFonts w:asciiTheme="majorHAnsi" w:hAnsiTheme="majorHAnsi" w:cstheme="majorBidi"/>
          <w:noProof/>
          <w:vertAlign w:val="superscript"/>
        </w:rPr>
        <w:t>37</w:t>
      </w:r>
      <w:r w:rsidR="009625D0">
        <w:rPr>
          <w:rFonts w:asciiTheme="majorHAnsi" w:hAnsiTheme="majorHAnsi" w:cstheme="majorBidi"/>
        </w:rPr>
        <w:fldChar w:fldCharType="end"/>
      </w:r>
      <w:r w:rsidR="009625D0">
        <w:rPr>
          <w:rFonts w:asciiTheme="majorHAnsi" w:hAnsiTheme="majorHAnsi" w:cstheme="majorBidi"/>
        </w:rPr>
        <w:t>. Also, pre-critical illness factors, such as prior comorbidity, may be stronger predictors of hospital readmission and resource use than acute illness factors in ICU survivor patients</w:t>
      </w:r>
      <w:r w:rsidR="009625D0">
        <w:rPr>
          <w:rFonts w:asciiTheme="majorHAnsi" w:hAnsiTheme="majorHAnsi" w:cstheme="majorBidi"/>
        </w:rPr>
        <w:fldChar w:fldCharType="begin" w:fldLock="1"/>
      </w:r>
      <w:r w:rsidR="00CD1BCF">
        <w:rPr>
          <w:rFonts w:asciiTheme="majorHAnsi" w:hAnsiTheme="majorHAnsi" w:cstheme="majorBidi"/>
        </w:rPr>
        <w:instrText>ADDIN CSL_CITATION {"citationItems":[{"id":"ITEM-1","itemData":{"DOI":"10.1136/thoraxjnl-2017-210822","abstract":"Background Intensive care unit (ICU) survivors experience high levels of morbidity after hospital discharge and are at high risk of unplanned hospital readmission. Identifying those at highest risk before hospital discharge may allow targeting of novel risk reduction strategies. We aimed to identify risk factors for unplanned 90-day readmission, develop a risk prediction model and assess its performance to screen for ICU survivors at highest readmission risk.Methods Population cohort study linking registry data for patients discharged from general ICUs in Scotland (2005–2013). Independent risk factors for 90-day readmission and discriminant ability (c-index) of groups of variables were identified using multivariable logistic regression. Derivation and validation risk prediction models were constructed using a time-based split.Results Of 55 975 ICU survivors, 24.1% (95%CI 23.7% to 24.4%) had unplanned 90-day readmission. Pre-existing health factors were fair discriminators of readmission (c-index 0.63, 95% CI 0.63 to 0.64) but better than acute illness factors (0.60) or demographics (0.54). In a subgroup of those with no comorbidity, acute illness factors (0.62) were better discriminators than pre-existing health factors (0.56). Overall model performance and calibration in the validation cohort was fair (0.65, 95% CI 0.64 to 0.66) but did not perform sufficiently well as a screening tool, demonstrating high false-positive/false-negative rates at clinically relevant thresholds.Conclusions Unplanned 90-day hospital readmission is common. Pre-existing illness indices are better predictors of readmission than acute illness factors. Identifying additional patient-centred drivers of readmission may improve risk prediction models. Improved understanding of risk factors that are amenable to intervention could improve the clinical and cost-effectiveness of post-ICU care and rehabilitation.","author":[{"dropping-particle":"","family":"Lone","given":"Nazir I","non-dropping-particle":"","parse-names":false,"suffix":""},{"dropping-particle":"","family":"Lee","given":"Robert","non-dropping-particle":"","parse-names":false,"suffix":""},{"dropping-particle":"","family":"Salisbury","given":"Lisa","non-dropping-particle":"","parse-names":false,"suffix":""},{"dropping-particle":"","family":"Donaghy","given":"Eddie","non-dropping-particle":"","parse-names":false,"suffix":""},{"dropping-particle":"","family":"Ramsay","given":"Pamela","non-dropping-particle":"","parse-names":false,"suffix":""},{"dropping-particle":"","family":"Rattray","given":"Janice","non-dropping-particle":"","parse-names":false,"suffix":""},{"dropping-particle":"","family":"Walsh","given":"Timothy S","non-dropping-particle":"","parse-names":false,"suffix":""}],"container-title":"Thorax","id":"ITEM-1","issued":{"date-parts":[["2018","4","5"]]},"page":"thoraxjnl-2017-210822","title":"Predicting risk of unplanned hospital readmission in survivors of critical illness: a population-level cohort study","type":"article-journal"},"uris":["http://www.mendeley.com/documents/?uuid=431ee5f9-7a8d-45bb-97be-d422f305d0f2"]}],"mendeley":{"formattedCitation":"&lt;sup&gt;31&lt;/sup&gt;","plainTextFormattedCitation":"31","previouslyFormattedCitation":"&lt;sup&gt;31&lt;/sup&gt;"},"properties":{"noteIndex":0},"schema":"https://github.com/citation-style-language/schema/raw/master/csl-citation.json"}</w:instrText>
      </w:r>
      <w:r w:rsidR="009625D0">
        <w:rPr>
          <w:rFonts w:asciiTheme="majorHAnsi" w:hAnsiTheme="majorHAnsi" w:cstheme="majorBidi"/>
        </w:rPr>
        <w:fldChar w:fldCharType="separate"/>
      </w:r>
      <w:r w:rsidR="00215AAA" w:rsidRPr="00215AAA">
        <w:rPr>
          <w:rFonts w:asciiTheme="majorHAnsi" w:hAnsiTheme="majorHAnsi" w:cstheme="majorBidi"/>
          <w:noProof/>
          <w:vertAlign w:val="superscript"/>
        </w:rPr>
        <w:t>31</w:t>
      </w:r>
      <w:r w:rsidR="009625D0">
        <w:rPr>
          <w:rFonts w:asciiTheme="majorHAnsi" w:hAnsiTheme="majorHAnsi" w:cstheme="majorBidi"/>
        </w:rPr>
        <w:fldChar w:fldCharType="end"/>
      </w:r>
      <w:r w:rsidR="009625D0">
        <w:rPr>
          <w:rFonts w:asciiTheme="majorHAnsi" w:hAnsiTheme="majorHAnsi" w:cstheme="majorBidi"/>
        </w:rPr>
        <w:t xml:space="preserve">. </w:t>
      </w:r>
      <w:r w:rsidRPr="094F43DF">
        <w:rPr>
          <w:rFonts w:asciiTheme="majorHAnsi" w:hAnsiTheme="majorHAnsi" w:cstheme="majorBidi"/>
        </w:rPr>
        <w:t xml:space="preserve">An ideal study design would have used retrospective measurements of pre-critical illness functional levels, utilised repeated measures (much like the RECOVER study) of those with Covid-19 ,and would also feature a non-Covid-19 contemporaneous control group, to control for other factors which may impact post-ICU recovery, such as the ‘lockdown’ restrictions in place during CCP-UK’s study </w:t>
      </w:r>
      <w:r w:rsidRPr="094F43DF">
        <w:rPr>
          <w:rFonts w:asciiTheme="majorHAnsi" w:hAnsiTheme="majorHAnsi" w:cstheme="majorBidi"/>
        </w:rPr>
        <w:lastRenderedPageBreak/>
        <w:t>period</w:t>
      </w:r>
      <w:r w:rsidR="009625D0">
        <w:rPr>
          <w:rFonts w:asciiTheme="majorHAnsi" w:hAnsiTheme="majorHAnsi" w:cstheme="majorBidi"/>
        </w:rPr>
        <w:t xml:space="preserve">; </w:t>
      </w:r>
      <w:r w:rsidRPr="094F43DF">
        <w:rPr>
          <w:rFonts w:asciiTheme="majorHAnsi" w:hAnsiTheme="majorHAnsi" w:cstheme="majorBidi"/>
        </w:rPr>
        <w:t xml:space="preserve"> </w:t>
      </w:r>
      <w:r w:rsidR="009625D0">
        <w:rPr>
          <w:rFonts w:asciiTheme="majorHAnsi" w:hAnsiTheme="majorHAnsi" w:cstheme="majorBidi"/>
        </w:rPr>
        <w:t>r</w:t>
      </w:r>
      <w:r w:rsidR="009625D0" w:rsidRPr="094F43DF">
        <w:rPr>
          <w:rFonts w:asciiTheme="majorHAnsi" w:hAnsiTheme="majorHAnsi" w:cstheme="majorBidi"/>
        </w:rPr>
        <w:t>estrictions such as office closures may have meant survivors’ lives were less physically demanding, allowing for greater rest, and the pandemic has heralded the formalisation of ICU-recovery clinics in some areas</w:t>
      </w:r>
      <w:r w:rsidR="009625D0" w:rsidRPr="094F43DF">
        <w:rPr>
          <w:rFonts w:asciiTheme="majorHAnsi" w:hAnsiTheme="majorHAnsi" w:cstheme="majorBidi"/>
        </w:rPr>
        <w:fldChar w:fldCharType="begin" w:fldLock="1"/>
      </w:r>
      <w:r w:rsidR="00CD1BCF">
        <w:rPr>
          <w:rFonts w:asciiTheme="majorHAnsi" w:hAnsiTheme="majorHAnsi" w:cstheme="majorBidi"/>
        </w:rPr>
        <w:instrText>ADDIN CSL_CITATION {"citationItems":[{"id":"ITEM-1","itemData":{"URL":"https://www.england.nhs.uk/2020/11/nhs-launches-40-long-covid-clinics-to-tackle-persistent-symptoms/%0A","author":[{"dropping-particle":"","family":"NHS England","given":"","non-dropping-particle":"","parse-names":false,"suffix":""}],"id":"ITEM-1","issued":{"date-parts":[["2020"]]},"title":"NHS launches 40 ‘long COVID’ clinics to tackle persistent symptoms.","type":"webpage"},"uris":["http://www.mendeley.com/documents/?uuid=ad7b91f2-2022-4475-b97e-1ffde4af744e"]}],"mendeley":{"formattedCitation":"&lt;sup&gt;38&lt;/sup&gt;","plainTextFormattedCitation":"38","previouslyFormattedCitation":"&lt;sup&gt;38&lt;/sup&gt;"},"properties":{"noteIndex":0},"schema":"https://github.com/citation-style-language/schema/raw/master/csl-citation.json"}</w:instrText>
      </w:r>
      <w:r w:rsidR="009625D0" w:rsidRPr="094F43DF">
        <w:rPr>
          <w:rFonts w:asciiTheme="majorHAnsi" w:hAnsiTheme="majorHAnsi" w:cstheme="majorBidi"/>
        </w:rPr>
        <w:fldChar w:fldCharType="separate"/>
      </w:r>
      <w:r w:rsidR="00215AAA" w:rsidRPr="00215AAA">
        <w:rPr>
          <w:rFonts w:asciiTheme="majorHAnsi" w:hAnsiTheme="majorHAnsi" w:cstheme="majorBidi"/>
          <w:noProof/>
          <w:vertAlign w:val="superscript"/>
        </w:rPr>
        <w:t>38</w:t>
      </w:r>
      <w:r w:rsidR="009625D0" w:rsidRPr="094F43DF">
        <w:rPr>
          <w:rFonts w:asciiTheme="majorHAnsi" w:hAnsiTheme="majorHAnsi" w:cstheme="majorBidi"/>
        </w:rPr>
        <w:fldChar w:fldCharType="end"/>
      </w:r>
      <w:r w:rsidR="009625D0" w:rsidRPr="094F43DF">
        <w:rPr>
          <w:rFonts w:asciiTheme="majorHAnsi" w:hAnsiTheme="majorHAnsi" w:cstheme="majorBidi"/>
        </w:rPr>
        <w:t>.</w:t>
      </w:r>
      <w:r w:rsidR="009625D0">
        <w:rPr>
          <w:rFonts w:asciiTheme="majorHAnsi" w:hAnsiTheme="majorHAnsi" w:cstheme="majorBidi"/>
        </w:rPr>
        <w:t xml:space="preserve"> As the RECOVER study was completed 8 years prior to CCP-UK, the level of follow-up care available is likely to have changed over this time prior to the Covid-19 pandemic</w:t>
      </w:r>
      <w:r w:rsidR="00CD1BCF">
        <w:rPr>
          <w:rFonts w:asciiTheme="majorHAnsi" w:hAnsiTheme="majorHAnsi" w:cstheme="majorBidi"/>
        </w:rPr>
        <w:t>, particularly as rehabilitation after critical illness was made a NICE quality standard in 2017</w:t>
      </w:r>
      <w:r w:rsidR="00E25473">
        <w:rPr>
          <w:rFonts w:asciiTheme="majorHAnsi" w:hAnsiTheme="majorHAnsi" w:cstheme="majorBidi"/>
        </w:rPr>
        <w:t>, recommending a review at 2-3 months post</w:t>
      </w:r>
      <w:r w:rsidR="00EA2353">
        <w:rPr>
          <w:rFonts w:asciiTheme="majorHAnsi" w:hAnsiTheme="majorHAnsi" w:cstheme="majorBidi"/>
        </w:rPr>
        <w:t xml:space="preserve"> ICU-discharge</w:t>
      </w:r>
      <w:r w:rsidR="00CD1BCF">
        <w:rPr>
          <w:rFonts w:asciiTheme="majorHAnsi" w:hAnsiTheme="majorHAnsi" w:cstheme="majorBidi"/>
        </w:rPr>
        <w:fldChar w:fldCharType="begin" w:fldLock="1"/>
      </w:r>
      <w:r w:rsidR="00CD1BCF">
        <w:rPr>
          <w:rFonts w:asciiTheme="majorHAnsi" w:hAnsiTheme="majorHAnsi" w:cstheme="majorBidi"/>
        </w:rPr>
        <w:instrText>ADDIN CSL_CITATION {"citationItems":[{"id":"ITEM-1","itemData":{"URL":"https://www.nice.org.uk/guidance/qs158/resources/rehabilitation-after-critical-illness-in-adults-pdf-75545546693317","accessed":{"date-parts":[["2019","4","15"]]},"author":[{"dropping-particle":"","family":"Excellence","given":"National Institute for health and Care","non-dropping-particle":"","parse-names":false,"suffix":""}],"container-title":"NICE guidance","id":"ITEM-1","issued":{"date-parts":[["2017"]]},"title":"Rehabilitation after critical illness in adults","type":"webpage"},"uris":["http://www.mendeley.com/documents/?uuid=8d7f137b-267b-4d29-be67-bf23ab8dd435"]}],"mendeley":{"formattedCitation":"&lt;sup&gt;4&lt;/sup&gt;","plainTextFormattedCitation":"4"},"properties":{"noteIndex":0},"schema":"https://github.com/citation-style-language/schema/raw/master/csl-citation.json"}</w:instrText>
      </w:r>
      <w:r w:rsidR="00CD1BCF">
        <w:rPr>
          <w:rFonts w:asciiTheme="majorHAnsi" w:hAnsiTheme="majorHAnsi" w:cstheme="majorBidi"/>
        </w:rPr>
        <w:fldChar w:fldCharType="separate"/>
      </w:r>
      <w:r w:rsidR="00CD1BCF" w:rsidRPr="00CD1BCF">
        <w:rPr>
          <w:rFonts w:asciiTheme="majorHAnsi" w:hAnsiTheme="majorHAnsi" w:cstheme="majorBidi"/>
          <w:noProof/>
          <w:vertAlign w:val="superscript"/>
        </w:rPr>
        <w:t>4</w:t>
      </w:r>
      <w:r w:rsidR="00CD1BCF">
        <w:rPr>
          <w:rFonts w:asciiTheme="majorHAnsi" w:hAnsiTheme="majorHAnsi" w:cstheme="majorBidi"/>
        </w:rPr>
        <w:fldChar w:fldCharType="end"/>
      </w:r>
      <w:r w:rsidR="00CD1BCF">
        <w:rPr>
          <w:rFonts w:asciiTheme="majorHAnsi" w:hAnsiTheme="majorHAnsi" w:cstheme="majorBidi"/>
        </w:rPr>
        <w:t>.</w:t>
      </w:r>
    </w:p>
    <w:p w14:paraId="712C35B5" w14:textId="77777777" w:rsidR="00943D41" w:rsidRPr="00D7026D" w:rsidRDefault="00943D41" w:rsidP="009625D0">
      <w:pPr>
        <w:spacing w:line="480" w:lineRule="auto"/>
        <w:ind w:firstLine="720"/>
        <w:rPr>
          <w:rFonts w:asciiTheme="majorHAnsi" w:hAnsiTheme="majorHAnsi" w:cstheme="majorBidi"/>
        </w:rPr>
      </w:pPr>
    </w:p>
    <w:p w14:paraId="764EE5A5" w14:textId="247914F6" w:rsidR="00B77386" w:rsidRPr="00D7026D" w:rsidRDefault="2C971BEE" w:rsidP="2C971BEE">
      <w:pPr>
        <w:spacing w:line="480" w:lineRule="auto"/>
        <w:ind w:firstLine="720"/>
        <w:jc w:val="both"/>
        <w:rPr>
          <w:rFonts w:asciiTheme="majorHAnsi" w:hAnsiTheme="majorHAnsi" w:cstheme="majorBidi"/>
        </w:rPr>
      </w:pPr>
      <w:r w:rsidRPr="2C971BEE">
        <w:rPr>
          <w:rFonts w:asciiTheme="majorHAnsi" w:hAnsiTheme="majorHAnsi" w:cstheme="majorBidi"/>
        </w:rPr>
        <w:t>We found high levels of fatigue following both Covid-19 and non-Covid-19 critical illness. Survivors</w:t>
      </w:r>
      <w:r w:rsidR="00B77386" w:rsidRPr="18082269">
        <w:rPr>
          <w:rFonts w:asciiTheme="majorHAnsi" w:hAnsiTheme="majorHAnsi" w:cstheme="majorBidi"/>
        </w:rPr>
        <w:t xml:space="preserve"> of Covid-19 critical illness experienced </w:t>
      </w:r>
      <w:r w:rsidRPr="2C971BEE">
        <w:rPr>
          <w:rFonts w:asciiTheme="majorHAnsi" w:hAnsiTheme="majorHAnsi" w:cstheme="majorBidi"/>
        </w:rPr>
        <w:t>less severe</w:t>
      </w:r>
      <w:r w:rsidR="00B77386" w:rsidRPr="18082269">
        <w:rPr>
          <w:rFonts w:asciiTheme="majorHAnsi" w:hAnsiTheme="majorHAnsi" w:cstheme="majorBidi"/>
        </w:rPr>
        <w:t xml:space="preserve"> fatigue at 6-months post</w:t>
      </w:r>
      <w:r w:rsidR="00E76FB9">
        <w:rPr>
          <w:rFonts w:asciiTheme="majorHAnsi" w:hAnsiTheme="majorHAnsi" w:cstheme="majorBidi"/>
        </w:rPr>
        <w:t>-</w:t>
      </w:r>
      <w:r w:rsidR="00B77386" w:rsidRPr="18082269">
        <w:rPr>
          <w:rFonts w:asciiTheme="majorHAnsi" w:hAnsiTheme="majorHAnsi" w:cstheme="majorBidi"/>
        </w:rPr>
        <w:t xml:space="preserve">hospital discharge than survivors of </w:t>
      </w:r>
      <w:r w:rsidRPr="2C971BEE">
        <w:rPr>
          <w:rFonts w:asciiTheme="majorHAnsi" w:hAnsiTheme="majorHAnsi" w:cstheme="majorBidi"/>
        </w:rPr>
        <w:t>non-Covid-19 critical illness, potentially due in part to the</w:t>
      </w:r>
      <w:r w:rsidR="00FF36A4">
        <w:rPr>
          <w:rFonts w:asciiTheme="majorHAnsi" w:hAnsiTheme="majorHAnsi" w:cstheme="majorBidi"/>
        </w:rPr>
        <w:t xml:space="preserve"> </w:t>
      </w:r>
      <w:r w:rsidR="00E76FB9">
        <w:rPr>
          <w:rFonts w:asciiTheme="majorHAnsi" w:hAnsiTheme="majorHAnsi" w:cstheme="majorBidi"/>
        </w:rPr>
        <w:t xml:space="preserve">comparatively </w:t>
      </w:r>
      <w:r w:rsidR="00D578EF">
        <w:rPr>
          <w:rFonts w:asciiTheme="majorHAnsi" w:hAnsiTheme="majorHAnsi" w:cstheme="majorBidi"/>
        </w:rPr>
        <w:t xml:space="preserve">younger and less comorbid </w:t>
      </w:r>
      <w:r w:rsidR="00FF36A4">
        <w:rPr>
          <w:rFonts w:asciiTheme="majorHAnsi" w:hAnsiTheme="majorHAnsi" w:cstheme="majorBidi"/>
        </w:rPr>
        <w:t>Covid-19 ICU cohort</w:t>
      </w:r>
      <w:r w:rsidR="00E76FB9">
        <w:rPr>
          <w:rFonts w:asciiTheme="majorHAnsi" w:hAnsiTheme="majorHAnsi" w:cstheme="majorBidi"/>
        </w:rPr>
        <w:t xml:space="preserve"> versus the non-Covid-19 cohort</w:t>
      </w:r>
      <w:r w:rsidRPr="2C971BEE">
        <w:rPr>
          <w:rFonts w:asciiTheme="majorHAnsi" w:hAnsiTheme="majorHAnsi" w:cstheme="majorBidi"/>
        </w:rPr>
        <w:t xml:space="preserve">. </w:t>
      </w:r>
      <w:r w:rsidR="00B77386" w:rsidRPr="002A7863">
        <w:rPr>
          <w:rFonts w:asciiTheme="majorHAnsi" w:hAnsiTheme="majorHAnsi" w:cstheme="majorBidi"/>
        </w:rPr>
        <w:t xml:space="preserve">Research targeting interventions to best support critical illness survivors is required </w:t>
      </w:r>
      <w:proofErr w:type="gramStart"/>
      <w:r w:rsidR="00B77386" w:rsidRPr="002A7863">
        <w:rPr>
          <w:rFonts w:asciiTheme="majorHAnsi" w:hAnsiTheme="majorHAnsi" w:cstheme="majorBidi"/>
        </w:rPr>
        <w:t>in order to</w:t>
      </w:r>
      <w:proofErr w:type="gramEnd"/>
      <w:r w:rsidR="00B77386" w:rsidRPr="002A7863">
        <w:rPr>
          <w:rFonts w:asciiTheme="majorHAnsi" w:hAnsiTheme="majorHAnsi" w:cstheme="majorBidi"/>
        </w:rPr>
        <w:t xml:space="preserve"> </w:t>
      </w:r>
      <w:r w:rsidRPr="2C971BEE">
        <w:rPr>
          <w:rFonts w:asciiTheme="majorHAnsi" w:hAnsiTheme="majorHAnsi" w:cstheme="majorBidi"/>
        </w:rPr>
        <w:t>optimise recovery</w:t>
      </w:r>
      <w:r w:rsidR="00B77386" w:rsidRPr="002A7863">
        <w:rPr>
          <w:rFonts w:asciiTheme="majorHAnsi" w:hAnsiTheme="majorHAnsi" w:cstheme="majorBidi"/>
        </w:rPr>
        <w:t>.</w:t>
      </w:r>
    </w:p>
    <w:p w14:paraId="4BCCE2FA" w14:textId="77777777" w:rsidR="00B77386" w:rsidRPr="00D7026D" w:rsidRDefault="00B77386" w:rsidP="00B77386">
      <w:pPr>
        <w:spacing w:line="480" w:lineRule="auto"/>
        <w:ind w:firstLine="720"/>
        <w:rPr>
          <w:rFonts w:asciiTheme="majorHAnsi" w:hAnsiTheme="majorHAnsi" w:cstheme="majorHAnsi"/>
        </w:rPr>
      </w:pPr>
    </w:p>
    <w:p w14:paraId="0E2C6A5D" w14:textId="77777777" w:rsidR="00B77386" w:rsidRDefault="00B77386" w:rsidP="00B77386">
      <w:pPr>
        <w:spacing w:line="480" w:lineRule="auto"/>
        <w:jc w:val="both"/>
        <w:rPr>
          <w:rFonts w:asciiTheme="majorHAnsi" w:hAnsiTheme="majorHAnsi" w:cstheme="majorHAnsi"/>
        </w:rPr>
      </w:pPr>
    </w:p>
    <w:p w14:paraId="58F92795" w14:textId="77777777" w:rsidR="00B77386" w:rsidRDefault="00B77386" w:rsidP="00B77386">
      <w:pPr>
        <w:spacing w:line="480" w:lineRule="auto"/>
        <w:jc w:val="both"/>
        <w:rPr>
          <w:rFonts w:asciiTheme="majorHAnsi" w:hAnsiTheme="majorHAnsi" w:cstheme="majorHAnsi"/>
        </w:rPr>
      </w:pPr>
    </w:p>
    <w:p w14:paraId="6E3F4D4F" w14:textId="30CC4448" w:rsidR="00E16654" w:rsidRPr="00D7026D" w:rsidRDefault="00E16654" w:rsidP="00B77386">
      <w:pPr>
        <w:spacing w:line="480" w:lineRule="auto"/>
        <w:jc w:val="both"/>
        <w:rPr>
          <w:rFonts w:asciiTheme="majorHAnsi" w:hAnsiTheme="majorHAnsi" w:cstheme="majorBidi"/>
        </w:rPr>
      </w:pPr>
    </w:p>
    <w:p w14:paraId="59EE41A9" w14:textId="30CC4448" w:rsidR="00736EF8" w:rsidRDefault="00736EF8" w:rsidP="00B77386">
      <w:pPr>
        <w:spacing w:line="480" w:lineRule="auto"/>
        <w:jc w:val="both"/>
        <w:rPr>
          <w:rFonts w:asciiTheme="majorHAnsi" w:hAnsiTheme="majorHAnsi" w:cstheme="majorBidi"/>
        </w:rPr>
      </w:pPr>
    </w:p>
    <w:p w14:paraId="2595FB9D" w14:textId="30CC4448" w:rsidR="00736EF8" w:rsidRDefault="00736EF8" w:rsidP="00B77386">
      <w:pPr>
        <w:spacing w:line="480" w:lineRule="auto"/>
        <w:jc w:val="both"/>
        <w:rPr>
          <w:rFonts w:asciiTheme="majorHAnsi" w:hAnsiTheme="majorHAnsi" w:cstheme="majorBidi"/>
        </w:rPr>
      </w:pPr>
    </w:p>
    <w:p w14:paraId="5EC2010A" w14:textId="30CC4448" w:rsidR="00736EF8" w:rsidRDefault="00736EF8" w:rsidP="00B77386">
      <w:pPr>
        <w:spacing w:line="480" w:lineRule="auto"/>
        <w:jc w:val="both"/>
        <w:rPr>
          <w:rFonts w:asciiTheme="majorHAnsi" w:hAnsiTheme="majorHAnsi" w:cstheme="majorBidi"/>
        </w:rPr>
      </w:pPr>
    </w:p>
    <w:p w14:paraId="0922A86E" w14:textId="6A830A78" w:rsidR="00AD36B5" w:rsidRDefault="00AD36B5" w:rsidP="00B77386">
      <w:pPr>
        <w:spacing w:line="480" w:lineRule="auto"/>
        <w:jc w:val="both"/>
        <w:rPr>
          <w:rFonts w:asciiTheme="majorHAnsi" w:hAnsiTheme="majorHAnsi" w:cstheme="majorBidi"/>
        </w:rPr>
      </w:pPr>
    </w:p>
    <w:p w14:paraId="40359DF2" w14:textId="63F92C85" w:rsidR="004947D9" w:rsidRDefault="004947D9" w:rsidP="00B77386">
      <w:pPr>
        <w:spacing w:line="480" w:lineRule="auto"/>
        <w:jc w:val="both"/>
        <w:rPr>
          <w:rFonts w:asciiTheme="majorHAnsi" w:hAnsiTheme="majorHAnsi" w:cstheme="majorBidi"/>
        </w:rPr>
      </w:pPr>
    </w:p>
    <w:p w14:paraId="51E10081" w14:textId="77777777" w:rsidR="00421F8B" w:rsidRDefault="00421F8B" w:rsidP="00B77386">
      <w:pPr>
        <w:spacing w:line="480" w:lineRule="auto"/>
        <w:jc w:val="both"/>
        <w:rPr>
          <w:rFonts w:asciiTheme="majorHAnsi" w:hAnsiTheme="majorHAnsi" w:cstheme="majorBidi"/>
        </w:rPr>
      </w:pPr>
    </w:p>
    <w:p w14:paraId="789E0431" w14:textId="77777777" w:rsidR="00B77386" w:rsidRPr="00E16654" w:rsidRDefault="00B77386" w:rsidP="00B77386">
      <w:pPr>
        <w:spacing w:line="480" w:lineRule="auto"/>
        <w:rPr>
          <w:rFonts w:asciiTheme="majorHAnsi" w:hAnsiTheme="majorHAnsi"/>
          <w:b/>
          <w:bCs/>
        </w:rPr>
      </w:pPr>
      <w:r w:rsidRPr="00E16654">
        <w:rPr>
          <w:rFonts w:asciiTheme="majorHAnsi" w:eastAsia="Calibri" w:hAnsiTheme="majorHAnsi" w:cs="Calibri"/>
          <w:b/>
          <w:bCs/>
        </w:rPr>
        <w:lastRenderedPageBreak/>
        <w:t>Funding Statement</w:t>
      </w:r>
    </w:p>
    <w:p w14:paraId="6113C3D6" w14:textId="77777777" w:rsidR="00B77386" w:rsidRPr="00E16654" w:rsidRDefault="00B77386" w:rsidP="00B77386">
      <w:pPr>
        <w:pStyle w:val="Heading1"/>
        <w:rPr>
          <w:rFonts w:asciiTheme="majorHAnsi" w:hAnsiTheme="majorHAnsi"/>
          <w:sz w:val="24"/>
          <w:szCs w:val="24"/>
        </w:rPr>
      </w:pPr>
      <w:r w:rsidRPr="00E16654">
        <w:rPr>
          <w:rFonts w:asciiTheme="majorHAnsi" w:eastAsia="Calibri Light" w:hAnsiTheme="majorHAnsi" w:cs="Calibri Light"/>
          <w:color w:val="000000" w:themeColor="text1"/>
          <w:sz w:val="24"/>
          <w:szCs w:val="24"/>
        </w:rPr>
        <w:t>This work is supported by grants from: the National Institute for Health Research (NIHR) [award CO-CIN-01], the Medical Research Council [grant MC_PC_19059] and by the NIHR Health Protection Research Unit (HPRU) in Emerging and Zoonotic Infections at University of Liverpool in partnership with Public Health England (PHE), in collaboration with Liverpool School of Tropical Medicine and the University of Oxford [award 200907], NIHR HPRU in Respiratory Infections at Imperial College London with PHE [award 200927],  NIHR Biomedical Research Centre at Imperial College London [IS-BRC-1215-20013], and NIHR Clinical Research Network for providing infrastructure support for this research. The views expressed are those of the authors and not necessarily those of the NIHR, MRC or PHE.</w:t>
      </w:r>
    </w:p>
    <w:p w14:paraId="4E4CC248" w14:textId="77777777" w:rsidR="00B77386" w:rsidRPr="00E16654" w:rsidRDefault="00B77386" w:rsidP="00B77386">
      <w:pPr>
        <w:spacing w:line="480" w:lineRule="auto"/>
        <w:jc w:val="both"/>
        <w:rPr>
          <w:rFonts w:asciiTheme="majorHAnsi" w:hAnsiTheme="majorHAnsi"/>
        </w:rPr>
      </w:pPr>
    </w:p>
    <w:p w14:paraId="71C62051" w14:textId="77777777" w:rsidR="00B77386" w:rsidRPr="00E16654" w:rsidDel="00605906" w:rsidRDefault="00B77386" w:rsidP="00B77386">
      <w:pPr>
        <w:spacing w:line="480" w:lineRule="auto"/>
        <w:jc w:val="both"/>
        <w:rPr>
          <w:rFonts w:asciiTheme="majorHAnsi" w:hAnsiTheme="majorHAnsi"/>
        </w:rPr>
      </w:pPr>
      <w:r w:rsidRPr="00E16654">
        <w:rPr>
          <w:rFonts w:asciiTheme="majorHAnsi" w:eastAsia="Calibri" w:hAnsiTheme="majorHAnsi" w:cs="Calibri"/>
        </w:rPr>
        <w:t>Study registration ISRCTN66726260.</w:t>
      </w:r>
    </w:p>
    <w:p w14:paraId="58D2AD4C" w14:textId="77777777" w:rsidR="00B77386" w:rsidRPr="00E16654" w:rsidDel="00605906" w:rsidRDefault="00B77386" w:rsidP="00B77386">
      <w:pPr>
        <w:spacing w:line="480" w:lineRule="auto"/>
        <w:jc w:val="both"/>
        <w:rPr>
          <w:rFonts w:asciiTheme="majorHAnsi" w:hAnsiTheme="majorHAnsi"/>
        </w:rPr>
      </w:pPr>
      <w:r w:rsidRPr="00E16654">
        <w:rPr>
          <w:rFonts w:asciiTheme="majorHAnsi" w:eastAsia="Calibri" w:hAnsiTheme="majorHAnsi" w:cs="Calibri"/>
          <w:color w:val="333333"/>
        </w:rPr>
        <w:t xml:space="preserve">The ISARIC WHO CCP-UK study was registered at </w:t>
      </w:r>
      <w:hyperlink r:id="rId19">
        <w:r w:rsidRPr="00E16654">
          <w:rPr>
            <w:rStyle w:val="Hyperlink"/>
            <w:rFonts w:asciiTheme="majorHAnsi" w:eastAsia="Calibri" w:hAnsiTheme="majorHAnsi" w:cs="Calibri"/>
          </w:rPr>
          <w:t>https://www.isrctn.com/ISRCTN66726260</w:t>
        </w:r>
      </w:hyperlink>
      <w:r w:rsidRPr="00E16654">
        <w:rPr>
          <w:rFonts w:asciiTheme="majorHAnsi" w:eastAsia="Calibri" w:hAnsiTheme="majorHAnsi" w:cs="Calibri"/>
          <w:color w:val="333333"/>
        </w:rPr>
        <w:t xml:space="preserve"> and designated an Urgent Public Health Research Study by NIHR.</w:t>
      </w:r>
    </w:p>
    <w:p w14:paraId="254F2FC7" w14:textId="77777777" w:rsidR="00B77386" w:rsidRPr="00E16654" w:rsidDel="00605906" w:rsidRDefault="00B77386" w:rsidP="00B77386">
      <w:pPr>
        <w:pStyle w:val="Heading1"/>
        <w:rPr>
          <w:rFonts w:asciiTheme="majorHAnsi" w:hAnsiTheme="majorHAnsi"/>
          <w:sz w:val="24"/>
          <w:szCs w:val="24"/>
        </w:rPr>
      </w:pPr>
      <w:r w:rsidRPr="00E16654">
        <w:rPr>
          <w:rFonts w:asciiTheme="majorHAnsi" w:eastAsia="Calibri" w:hAnsiTheme="majorHAnsi" w:cs="Calibri"/>
          <w:color w:val="4F81BD" w:themeColor="accent1"/>
          <w:sz w:val="24"/>
          <w:szCs w:val="24"/>
        </w:rPr>
        <w:t>Ethical considerations</w:t>
      </w:r>
    </w:p>
    <w:p w14:paraId="69E89FBC" w14:textId="77777777" w:rsidR="00B77386" w:rsidRPr="00E16654" w:rsidDel="00605906" w:rsidRDefault="00B77386" w:rsidP="00B77386">
      <w:pPr>
        <w:spacing w:line="480" w:lineRule="auto"/>
        <w:jc w:val="both"/>
        <w:rPr>
          <w:rFonts w:asciiTheme="majorHAnsi" w:hAnsiTheme="majorHAnsi"/>
        </w:rPr>
      </w:pPr>
      <w:r w:rsidRPr="00E16654">
        <w:rPr>
          <w:rFonts w:asciiTheme="majorHAnsi" w:eastAsia="Cambria" w:hAnsiTheme="majorHAnsi" w:cs="Cambria"/>
        </w:rPr>
        <w:t>Ethical approval was given by the South Central - Oxford C Research Ethics Committee in England (Ref 13/SC/0149), the Scotland A Research Ethics Committee (Ref 20/SS/0028), and the WHO Ethics Review Committee (RPC571 and RPC572, 25 April 2013.</w:t>
      </w:r>
    </w:p>
    <w:p w14:paraId="1C44E337" w14:textId="77777777" w:rsidR="00B77386" w:rsidRPr="00E16654" w:rsidDel="00605906" w:rsidRDefault="00B77386" w:rsidP="00B77386">
      <w:pPr>
        <w:pStyle w:val="Heading1"/>
        <w:rPr>
          <w:rFonts w:asciiTheme="majorHAnsi" w:hAnsiTheme="majorHAnsi"/>
          <w:sz w:val="24"/>
          <w:szCs w:val="24"/>
        </w:rPr>
      </w:pPr>
      <w:r w:rsidRPr="00E16654">
        <w:rPr>
          <w:rFonts w:asciiTheme="majorHAnsi" w:eastAsia="Calibri" w:hAnsiTheme="majorHAnsi" w:cs="Calibri"/>
          <w:color w:val="4F81BD" w:themeColor="accent1"/>
          <w:sz w:val="24"/>
          <w:szCs w:val="24"/>
        </w:rPr>
        <w:t>Data availability</w:t>
      </w:r>
    </w:p>
    <w:p w14:paraId="19CD6862" w14:textId="77777777" w:rsidR="00B77386" w:rsidDel="00605906" w:rsidRDefault="00B77386" w:rsidP="00B77386">
      <w:pPr>
        <w:spacing w:line="480" w:lineRule="auto"/>
        <w:jc w:val="both"/>
      </w:pPr>
      <w:r w:rsidRPr="00E16654">
        <w:rPr>
          <w:rFonts w:asciiTheme="majorHAnsi" w:eastAsia="Cambria" w:hAnsiTheme="majorHAnsi" w:cs="Cambria"/>
        </w:rPr>
        <w:t>This work uses data provided by patients and collected by the NHS as part of their care and support #DataSavesLives. The CO-CIN data was collated by ISARIC4C Investigators. ISARIC4C welcomes applications for data and material access through our Independent Data and Material Access Committee (</w:t>
      </w:r>
      <w:hyperlink r:id="rId20">
        <w:r w:rsidRPr="00E16654">
          <w:rPr>
            <w:rStyle w:val="Hyperlink"/>
            <w:rFonts w:asciiTheme="majorHAnsi" w:eastAsia="Cambria" w:hAnsiTheme="majorHAnsi" w:cs="Cambria"/>
          </w:rPr>
          <w:t>https://isaric4c.net</w:t>
        </w:r>
      </w:hyperlink>
      <w:r w:rsidRPr="00E16654">
        <w:rPr>
          <w:rFonts w:asciiTheme="majorHAnsi" w:eastAsia="Cambria" w:hAnsiTheme="majorHAnsi" w:cs="Cambria"/>
        </w:rPr>
        <w:t>).</w:t>
      </w:r>
    </w:p>
    <w:p w14:paraId="782A424D" w14:textId="0D85CD35" w:rsidR="00B77386" w:rsidRDefault="00B77386" w:rsidP="00B77386">
      <w:pPr>
        <w:spacing w:line="480" w:lineRule="auto"/>
        <w:jc w:val="both"/>
        <w:rPr>
          <w:rFonts w:asciiTheme="majorHAnsi" w:hAnsiTheme="majorHAnsi" w:cstheme="majorHAnsi"/>
        </w:rPr>
      </w:pPr>
    </w:p>
    <w:p w14:paraId="611E2752" w14:textId="5CD7500D" w:rsidR="00E16654" w:rsidRDefault="00E16654" w:rsidP="00B77386">
      <w:pPr>
        <w:spacing w:line="480" w:lineRule="auto"/>
        <w:jc w:val="both"/>
        <w:rPr>
          <w:rFonts w:asciiTheme="majorHAnsi" w:hAnsiTheme="majorHAnsi" w:cstheme="majorHAnsi"/>
        </w:rPr>
      </w:pPr>
    </w:p>
    <w:p w14:paraId="6E62D1D1" w14:textId="77777777" w:rsidR="004947D9" w:rsidRDefault="004947D9" w:rsidP="00B77386">
      <w:pPr>
        <w:spacing w:line="480" w:lineRule="auto"/>
        <w:jc w:val="both"/>
        <w:rPr>
          <w:rFonts w:asciiTheme="majorHAnsi" w:hAnsiTheme="majorHAnsi" w:cstheme="majorHAnsi"/>
        </w:rPr>
      </w:pPr>
    </w:p>
    <w:p w14:paraId="083E87DA" w14:textId="3279313D" w:rsidR="00B77386" w:rsidRPr="00D7026D" w:rsidRDefault="00B77386" w:rsidP="00B77386">
      <w:pPr>
        <w:spacing w:line="480" w:lineRule="auto"/>
        <w:jc w:val="both"/>
        <w:rPr>
          <w:rFonts w:asciiTheme="majorHAnsi" w:hAnsiTheme="majorHAnsi" w:cstheme="majorHAnsi"/>
          <w:b/>
        </w:rPr>
      </w:pPr>
      <w:r w:rsidRPr="00D7026D">
        <w:rPr>
          <w:rFonts w:asciiTheme="majorHAnsi" w:hAnsiTheme="majorHAnsi" w:cstheme="majorHAnsi"/>
          <w:b/>
        </w:rPr>
        <w:lastRenderedPageBreak/>
        <w:t xml:space="preserve">References </w:t>
      </w:r>
    </w:p>
    <w:p w14:paraId="52A974F5" w14:textId="1E40FCD2" w:rsidR="00CD1BCF" w:rsidRPr="00CD1BCF" w:rsidRDefault="00B77386" w:rsidP="00CD1BCF">
      <w:pPr>
        <w:widowControl w:val="0"/>
        <w:autoSpaceDE w:val="0"/>
        <w:autoSpaceDN w:val="0"/>
        <w:adjustRightInd w:val="0"/>
        <w:spacing w:line="480" w:lineRule="auto"/>
        <w:ind w:left="640" w:hanging="640"/>
        <w:rPr>
          <w:rFonts w:ascii="Calibri" w:hAnsi="Calibri" w:cs="Calibri"/>
          <w:noProof/>
        </w:rPr>
      </w:pPr>
      <w:r w:rsidRPr="00D7026D">
        <w:rPr>
          <w:rFonts w:asciiTheme="majorHAnsi" w:hAnsiTheme="majorHAnsi" w:cstheme="majorHAnsi"/>
          <w:highlight w:val="white"/>
        </w:rPr>
        <w:fldChar w:fldCharType="begin" w:fldLock="1"/>
      </w:r>
      <w:r w:rsidRPr="00D7026D">
        <w:rPr>
          <w:rFonts w:asciiTheme="majorHAnsi" w:hAnsiTheme="majorHAnsi" w:cstheme="majorHAnsi"/>
          <w:highlight w:val="white"/>
        </w:rPr>
        <w:instrText xml:space="preserve">ADDIN Mendeley Bibliography CSL_BIBLIOGRAPHY </w:instrText>
      </w:r>
      <w:r w:rsidRPr="00D7026D">
        <w:rPr>
          <w:rFonts w:asciiTheme="majorHAnsi" w:hAnsiTheme="majorHAnsi" w:cstheme="majorHAnsi"/>
          <w:highlight w:val="white"/>
        </w:rPr>
        <w:fldChar w:fldCharType="separate"/>
      </w:r>
      <w:r w:rsidR="00CD1BCF" w:rsidRPr="00CD1BCF">
        <w:rPr>
          <w:rFonts w:ascii="Calibri" w:hAnsi="Calibri" w:cs="Calibri"/>
          <w:noProof/>
        </w:rPr>
        <w:t xml:space="preserve">1. </w:t>
      </w:r>
      <w:r w:rsidR="00CD1BCF" w:rsidRPr="00CD1BCF">
        <w:rPr>
          <w:rFonts w:ascii="Calibri" w:hAnsi="Calibri" w:cs="Calibri"/>
          <w:noProof/>
        </w:rPr>
        <w:tab/>
        <w:t xml:space="preserve">Rawal G, Yadav S, Kumar R. Post-intensive care syndrome: An overview. </w:t>
      </w:r>
      <w:r w:rsidR="00CD1BCF" w:rsidRPr="00CD1BCF">
        <w:rPr>
          <w:rFonts w:ascii="Calibri" w:hAnsi="Calibri" w:cs="Calibri"/>
          <w:i/>
          <w:iCs/>
          <w:noProof/>
        </w:rPr>
        <w:t>J Transl Intern Med</w:t>
      </w:r>
      <w:r w:rsidR="00CD1BCF" w:rsidRPr="00CD1BCF">
        <w:rPr>
          <w:rFonts w:ascii="Calibri" w:hAnsi="Calibri" w:cs="Calibri"/>
          <w:noProof/>
        </w:rPr>
        <w:t xml:space="preserve"> 2017; 5: 90–92.</w:t>
      </w:r>
    </w:p>
    <w:p w14:paraId="49F8C5B4" w14:textId="77777777" w:rsidR="00CD1BCF" w:rsidRPr="00CD1BCF" w:rsidRDefault="00CD1BCF" w:rsidP="00CD1BCF">
      <w:pPr>
        <w:widowControl w:val="0"/>
        <w:autoSpaceDE w:val="0"/>
        <w:autoSpaceDN w:val="0"/>
        <w:adjustRightInd w:val="0"/>
        <w:spacing w:line="480" w:lineRule="auto"/>
        <w:ind w:left="640" w:hanging="640"/>
        <w:rPr>
          <w:rFonts w:ascii="Calibri" w:hAnsi="Calibri" w:cs="Calibri"/>
          <w:noProof/>
        </w:rPr>
      </w:pPr>
      <w:r w:rsidRPr="00CD1BCF">
        <w:rPr>
          <w:rFonts w:ascii="Calibri" w:hAnsi="Calibri" w:cs="Calibri"/>
          <w:noProof/>
        </w:rPr>
        <w:t xml:space="preserve">2. </w:t>
      </w:r>
      <w:r w:rsidRPr="00CD1BCF">
        <w:rPr>
          <w:rFonts w:ascii="Calibri" w:hAnsi="Calibri" w:cs="Calibri"/>
          <w:noProof/>
        </w:rPr>
        <w:tab/>
        <w:t xml:space="preserve">Lone NI, Gillies MA, Haddow C, et al. Five-Year Mortality and Hospital Costs Associated with Surviving Intensive Care. </w:t>
      </w:r>
      <w:r w:rsidRPr="00CD1BCF">
        <w:rPr>
          <w:rFonts w:ascii="Calibri" w:hAnsi="Calibri" w:cs="Calibri"/>
          <w:i/>
          <w:iCs/>
          <w:noProof/>
        </w:rPr>
        <w:t>Am J Respir Crit Care Med</w:t>
      </w:r>
      <w:r w:rsidRPr="00CD1BCF">
        <w:rPr>
          <w:rFonts w:ascii="Calibri" w:hAnsi="Calibri" w:cs="Calibri"/>
          <w:noProof/>
        </w:rPr>
        <w:t xml:space="preserve"> 2016; 194: 198–208.</w:t>
      </w:r>
    </w:p>
    <w:p w14:paraId="67C5570A" w14:textId="77777777" w:rsidR="00CD1BCF" w:rsidRPr="00CD1BCF" w:rsidRDefault="00CD1BCF" w:rsidP="00CD1BCF">
      <w:pPr>
        <w:widowControl w:val="0"/>
        <w:autoSpaceDE w:val="0"/>
        <w:autoSpaceDN w:val="0"/>
        <w:adjustRightInd w:val="0"/>
        <w:spacing w:line="480" w:lineRule="auto"/>
        <w:ind w:left="640" w:hanging="640"/>
        <w:rPr>
          <w:rFonts w:ascii="Calibri" w:hAnsi="Calibri" w:cs="Calibri"/>
          <w:noProof/>
        </w:rPr>
      </w:pPr>
      <w:r w:rsidRPr="00CD1BCF">
        <w:rPr>
          <w:rFonts w:ascii="Calibri" w:hAnsi="Calibri" w:cs="Calibri"/>
          <w:noProof/>
        </w:rPr>
        <w:t xml:space="preserve">3. </w:t>
      </w:r>
      <w:r w:rsidRPr="00CD1BCF">
        <w:rPr>
          <w:rFonts w:ascii="Calibri" w:hAnsi="Calibri" w:cs="Calibri"/>
          <w:noProof/>
        </w:rPr>
        <w:tab/>
        <w:t xml:space="preserve">Connolly B, Douiri A, Steier J, et al. A UK survey of rehabilitation following critical illness: implementation of NICE Clinical Guidance 83 (CG83) following hospital discharge. </w:t>
      </w:r>
      <w:r w:rsidRPr="00CD1BCF">
        <w:rPr>
          <w:rFonts w:ascii="Calibri" w:hAnsi="Calibri" w:cs="Calibri"/>
          <w:i/>
          <w:iCs/>
          <w:noProof/>
        </w:rPr>
        <w:t>BMJ Open</w:t>
      </w:r>
      <w:r w:rsidRPr="00CD1BCF">
        <w:rPr>
          <w:rFonts w:ascii="Calibri" w:hAnsi="Calibri" w:cs="Calibri"/>
          <w:noProof/>
        </w:rPr>
        <w:t xml:space="preserve"> 2014; 4: e004963.</w:t>
      </w:r>
    </w:p>
    <w:p w14:paraId="18A913DF" w14:textId="77777777" w:rsidR="00CD1BCF" w:rsidRPr="00CD1BCF" w:rsidRDefault="00CD1BCF" w:rsidP="00CD1BCF">
      <w:pPr>
        <w:widowControl w:val="0"/>
        <w:autoSpaceDE w:val="0"/>
        <w:autoSpaceDN w:val="0"/>
        <w:adjustRightInd w:val="0"/>
        <w:spacing w:line="480" w:lineRule="auto"/>
        <w:ind w:left="640" w:hanging="640"/>
        <w:rPr>
          <w:rFonts w:ascii="Calibri" w:hAnsi="Calibri" w:cs="Calibri"/>
          <w:noProof/>
        </w:rPr>
      </w:pPr>
      <w:r w:rsidRPr="00CD1BCF">
        <w:rPr>
          <w:rFonts w:ascii="Calibri" w:hAnsi="Calibri" w:cs="Calibri"/>
          <w:noProof/>
        </w:rPr>
        <w:t xml:space="preserve">4. </w:t>
      </w:r>
      <w:r w:rsidRPr="00CD1BCF">
        <w:rPr>
          <w:rFonts w:ascii="Calibri" w:hAnsi="Calibri" w:cs="Calibri"/>
          <w:noProof/>
        </w:rPr>
        <w:tab/>
        <w:t xml:space="preserve">Excellence NI for health and C. Rehabilitation after critical illness in adults. </w:t>
      </w:r>
      <w:r w:rsidRPr="00CD1BCF">
        <w:rPr>
          <w:rFonts w:ascii="Calibri" w:hAnsi="Calibri" w:cs="Calibri"/>
          <w:i/>
          <w:iCs/>
          <w:noProof/>
        </w:rPr>
        <w:t>NICE guidance</w:t>
      </w:r>
      <w:r w:rsidRPr="00CD1BCF">
        <w:rPr>
          <w:rFonts w:ascii="Calibri" w:hAnsi="Calibri" w:cs="Calibri"/>
          <w:noProof/>
        </w:rPr>
        <w:t>, https://www.nice.org.uk/guidance/qs158/resources/rehabilitation-after-critical-illness-in-adults-pdf-75545546693317 (2017, accessed 15 April 2019).</w:t>
      </w:r>
    </w:p>
    <w:p w14:paraId="296C0171" w14:textId="77777777" w:rsidR="00CD1BCF" w:rsidRPr="00CD1BCF" w:rsidRDefault="00CD1BCF" w:rsidP="00CD1BCF">
      <w:pPr>
        <w:widowControl w:val="0"/>
        <w:autoSpaceDE w:val="0"/>
        <w:autoSpaceDN w:val="0"/>
        <w:adjustRightInd w:val="0"/>
        <w:spacing w:line="480" w:lineRule="auto"/>
        <w:ind w:left="640" w:hanging="640"/>
        <w:rPr>
          <w:rFonts w:ascii="Calibri" w:hAnsi="Calibri" w:cs="Calibri"/>
          <w:noProof/>
        </w:rPr>
      </w:pPr>
      <w:r w:rsidRPr="00CD1BCF">
        <w:rPr>
          <w:rFonts w:ascii="Calibri" w:hAnsi="Calibri" w:cs="Calibri"/>
          <w:noProof/>
        </w:rPr>
        <w:t xml:space="preserve">5. </w:t>
      </w:r>
      <w:r w:rsidRPr="00CD1BCF">
        <w:rPr>
          <w:rFonts w:ascii="Calibri" w:hAnsi="Calibri" w:cs="Calibri"/>
          <w:noProof/>
        </w:rPr>
        <w:tab/>
        <w:t xml:space="preserve">James Lind Alliance. The Priority Setting Partnerships (Online). </w:t>
      </w:r>
      <w:r w:rsidRPr="00CD1BCF">
        <w:rPr>
          <w:rFonts w:ascii="Calibri" w:hAnsi="Calibri" w:cs="Calibri"/>
          <w:i/>
          <w:iCs/>
          <w:noProof/>
        </w:rPr>
        <w:t>Intensive Care Top 10</w:t>
      </w:r>
      <w:r w:rsidRPr="00CD1BCF">
        <w:rPr>
          <w:rFonts w:ascii="Calibri" w:hAnsi="Calibri" w:cs="Calibri"/>
          <w:noProof/>
        </w:rPr>
        <w:t>.</w:t>
      </w:r>
    </w:p>
    <w:p w14:paraId="2F802511" w14:textId="77777777" w:rsidR="00CD1BCF" w:rsidRPr="00CD1BCF" w:rsidRDefault="00CD1BCF" w:rsidP="00CD1BCF">
      <w:pPr>
        <w:widowControl w:val="0"/>
        <w:autoSpaceDE w:val="0"/>
        <w:autoSpaceDN w:val="0"/>
        <w:adjustRightInd w:val="0"/>
        <w:spacing w:line="480" w:lineRule="auto"/>
        <w:ind w:left="640" w:hanging="640"/>
        <w:rPr>
          <w:rFonts w:ascii="Calibri" w:hAnsi="Calibri" w:cs="Calibri"/>
          <w:noProof/>
        </w:rPr>
      </w:pPr>
      <w:r w:rsidRPr="00CD1BCF">
        <w:rPr>
          <w:rFonts w:ascii="Calibri" w:hAnsi="Calibri" w:cs="Calibri"/>
          <w:noProof/>
        </w:rPr>
        <w:t xml:space="preserve">6. </w:t>
      </w:r>
      <w:r w:rsidRPr="00CD1BCF">
        <w:rPr>
          <w:rFonts w:ascii="Calibri" w:hAnsi="Calibri" w:cs="Calibri"/>
          <w:noProof/>
        </w:rPr>
        <w:tab/>
        <w:t xml:space="preserve">Docherty AB, Harrison EM, Green CA, et al. Features of 20 133 UK patients in hospital with covid-19 using the ISARIC WHO Clinical Characterisation Protocol: prospective observational cohort study. </w:t>
      </w:r>
      <w:r w:rsidRPr="00CD1BCF">
        <w:rPr>
          <w:rFonts w:ascii="Calibri" w:hAnsi="Calibri" w:cs="Calibri"/>
          <w:i/>
          <w:iCs/>
          <w:noProof/>
        </w:rPr>
        <w:t>BMJ</w:t>
      </w:r>
      <w:r w:rsidRPr="00CD1BCF">
        <w:rPr>
          <w:rFonts w:ascii="Calibri" w:hAnsi="Calibri" w:cs="Calibri"/>
          <w:noProof/>
        </w:rPr>
        <w:t xml:space="preserve"> 2020; 369: m1985.</w:t>
      </w:r>
    </w:p>
    <w:p w14:paraId="621ACEEC" w14:textId="77777777" w:rsidR="00CD1BCF" w:rsidRPr="00CD1BCF" w:rsidRDefault="00CD1BCF" w:rsidP="00CD1BCF">
      <w:pPr>
        <w:widowControl w:val="0"/>
        <w:autoSpaceDE w:val="0"/>
        <w:autoSpaceDN w:val="0"/>
        <w:adjustRightInd w:val="0"/>
        <w:spacing w:line="480" w:lineRule="auto"/>
        <w:ind w:left="640" w:hanging="640"/>
        <w:rPr>
          <w:rFonts w:ascii="Calibri" w:hAnsi="Calibri" w:cs="Calibri"/>
          <w:noProof/>
        </w:rPr>
      </w:pPr>
      <w:r w:rsidRPr="00CD1BCF">
        <w:rPr>
          <w:rFonts w:ascii="Calibri" w:hAnsi="Calibri" w:cs="Calibri"/>
          <w:noProof/>
        </w:rPr>
        <w:t xml:space="preserve">7. </w:t>
      </w:r>
      <w:r w:rsidRPr="00CD1BCF">
        <w:rPr>
          <w:rFonts w:ascii="Calibri" w:hAnsi="Calibri" w:cs="Calibri"/>
          <w:noProof/>
        </w:rPr>
        <w:tab/>
        <w:t xml:space="preserve">Armstrong RA, Kane AD, Cook TM. Outcomes from intensive care in patients with COVID-19: a systematic review and meta-analysis of observational studies. </w:t>
      </w:r>
      <w:r w:rsidRPr="00CD1BCF">
        <w:rPr>
          <w:rFonts w:ascii="Calibri" w:hAnsi="Calibri" w:cs="Calibri"/>
          <w:i/>
          <w:iCs/>
          <w:noProof/>
        </w:rPr>
        <w:t>Anaesthesia</w:t>
      </w:r>
      <w:r w:rsidRPr="00CD1BCF">
        <w:rPr>
          <w:rFonts w:ascii="Calibri" w:hAnsi="Calibri" w:cs="Calibri"/>
          <w:noProof/>
        </w:rPr>
        <w:t xml:space="preserve"> 2020; 75: 1340–1349.</w:t>
      </w:r>
    </w:p>
    <w:p w14:paraId="39811418" w14:textId="77777777" w:rsidR="00CD1BCF" w:rsidRPr="00CD1BCF" w:rsidRDefault="00CD1BCF" w:rsidP="00CD1BCF">
      <w:pPr>
        <w:widowControl w:val="0"/>
        <w:autoSpaceDE w:val="0"/>
        <w:autoSpaceDN w:val="0"/>
        <w:adjustRightInd w:val="0"/>
        <w:spacing w:line="480" w:lineRule="auto"/>
        <w:ind w:left="640" w:hanging="640"/>
        <w:rPr>
          <w:rFonts w:ascii="Calibri" w:hAnsi="Calibri" w:cs="Calibri"/>
          <w:noProof/>
        </w:rPr>
      </w:pPr>
      <w:r w:rsidRPr="00CD1BCF">
        <w:rPr>
          <w:rFonts w:ascii="Calibri" w:hAnsi="Calibri" w:cs="Calibri"/>
          <w:noProof/>
        </w:rPr>
        <w:t xml:space="preserve">8. </w:t>
      </w:r>
      <w:r w:rsidRPr="00CD1BCF">
        <w:rPr>
          <w:rFonts w:ascii="Calibri" w:hAnsi="Calibri" w:cs="Calibri"/>
          <w:noProof/>
        </w:rPr>
        <w:tab/>
        <w:t xml:space="preserve">ICNARC: Intensive Care National Audit &amp; Research Centre. </w:t>
      </w:r>
      <w:r w:rsidRPr="00CD1BCF">
        <w:rPr>
          <w:rFonts w:ascii="Calibri" w:hAnsi="Calibri" w:cs="Calibri"/>
          <w:i/>
          <w:iCs/>
          <w:noProof/>
        </w:rPr>
        <w:t>ICNARC report on COVID-19 in cri?cal care: England, Wales and Northern Ireland</w:t>
      </w:r>
      <w:r w:rsidRPr="00CD1BCF">
        <w:rPr>
          <w:rFonts w:ascii="Calibri" w:hAnsi="Calibri" w:cs="Calibri"/>
          <w:noProof/>
        </w:rPr>
        <w:t>. 2021.</w:t>
      </w:r>
    </w:p>
    <w:p w14:paraId="27ECA6D3" w14:textId="77777777" w:rsidR="00CD1BCF" w:rsidRPr="00CD1BCF" w:rsidRDefault="00CD1BCF" w:rsidP="00CD1BCF">
      <w:pPr>
        <w:widowControl w:val="0"/>
        <w:autoSpaceDE w:val="0"/>
        <w:autoSpaceDN w:val="0"/>
        <w:adjustRightInd w:val="0"/>
        <w:spacing w:line="480" w:lineRule="auto"/>
        <w:ind w:left="640" w:hanging="640"/>
        <w:rPr>
          <w:rFonts w:ascii="Calibri" w:hAnsi="Calibri" w:cs="Calibri"/>
          <w:noProof/>
        </w:rPr>
      </w:pPr>
      <w:r w:rsidRPr="00CD1BCF">
        <w:rPr>
          <w:rFonts w:ascii="Calibri" w:hAnsi="Calibri" w:cs="Calibri"/>
          <w:noProof/>
        </w:rPr>
        <w:t xml:space="preserve">9. </w:t>
      </w:r>
      <w:r w:rsidRPr="00CD1BCF">
        <w:rPr>
          <w:rFonts w:ascii="Calibri" w:hAnsi="Calibri" w:cs="Calibri"/>
          <w:noProof/>
        </w:rPr>
        <w:tab/>
        <w:t xml:space="preserve">SICSAG: Scottish Intensive Care Society Audit Group. </w:t>
      </w:r>
      <w:r w:rsidRPr="00CD1BCF">
        <w:rPr>
          <w:rFonts w:ascii="Calibri" w:hAnsi="Calibri" w:cs="Calibri"/>
          <w:i/>
          <w:iCs/>
          <w:noProof/>
        </w:rPr>
        <w:t>Scottish Intensive Care Society Audit Group report on COVID-19</w:t>
      </w:r>
      <w:r w:rsidRPr="00CD1BCF">
        <w:rPr>
          <w:rFonts w:ascii="Calibri" w:hAnsi="Calibri" w:cs="Calibri"/>
          <w:noProof/>
        </w:rPr>
        <w:t>. 2021.</w:t>
      </w:r>
    </w:p>
    <w:p w14:paraId="3CC8B8C8" w14:textId="77777777" w:rsidR="00CD1BCF" w:rsidRPr="00CD1BCF" w:rsidRDefault="00CD1BCF" w:rsidP="00CD1BCF">
      <w:pPr>
        <w:widowControl w:val="0"/>
        <w:autoSpaceDE w:val="0"/>
        <w:autoSpaceDN w:val="0"/>
        <w:adjustRightInd w:val="0"/>
        <w:spacing w:line="480" w:lineRule="auto"/>
        <w:ind w:left="640" w:hanging="640"/>
        <w:rPr>
          <w:rFonts w:ascii="Calibri" w:hAnsi="Calibri" w:cs="Calibri"/>
          <w:noProof/>
        </w:rPr>
      </w:pPr>
      <w:r w:rsidRPr="00CD1BCF">
        <w:rPr>
          <w:rFonts w:ascii="Calibri" w:hAnsi="Calibri" w:cs="Calibri"/>
          <w:noProof/>
        </w:rPr>
        <w:t xml:space="preserve">10. </w:t>
      </w:r>
      <w:r w:rsidRPr="00CD1BCF">
        <w:rPr>
          <w:rFonts w:ascii="Calibri" w:hAnsi="Calibri" w:cs="Calibri"/>
          <w:noProof/>
        </w:rPr>
        <w:tab/>
        <w:t xml:space="preserve">NICE. COVID-19 rapid guideline: managing the long-term effects of COVID-19. </w:t>
      </w:r>
      <w:r w:rsidRPr="00CD1BCF">
        <w:rPr>
          <w:rFonts w:ascii="Calibri" w:hAnsi="Calibri" w:cs="Calibri"/>
          <w:i/>
          <w:iCs/>
          <w:noProof/>
        </w:rPr>
        <w:t xml:space="preserve">NICE </w:t>
      </w:r>
      <w:r w:rsidRPr="00CD1BCF">
        <w:rPr>
          <w:rFonts w:ascii="Calibri" w:hAnsi="Calibri" w:cs="Calibri"/>
          <w:i/>
          <w:iCs/>
          <w:noProof/>
        </w:rPr>
        <w:lastRenderedPageBreak/>
        <w:t>guideline [NG188]</w:t>
      </w:r>
      <w:r w:rsidRPr="00CD1BCF">
        <w:rPr>
          <w:rFonts w:ascii="Calibri" w:hAnsi="Calibri" w:cs="Calibri"/>
          <w:noProof/>
        </w:rPr>
        <w:t>, https://www.nice.org.uk/guidance/ng188 (2020, accessed 10 March 2020).</w:t>
      </w:r>
    </w:p>
    <w:p w14:paraId="7B65991C" w14:textId="77777777" w:rsidR="00CD1BCF" w:rsidRPr="00CD1BCF" w:rsidRDefault="00CD1BCF" w:rsidP="00CD1BCF">
      <w:pPr>
        <w:widowControl w:val="0"/>
        <w:autoSpaceDE w:val="0"/>
        <w:autoSpaceDN w:val="0"/>
        <w:adjustRightInd w:val="0"/>
        <w:spacing w:line="480" w:lineRule="auto"/>
        <w:ind w:left="640" w:hanging="640"/>
        <w:rPr>
          <w:rFonts w:ascii="Calibri" w:hAnsi="Calibri" w:cs="Calibri"/>
          <w:noProof/>
        </w:rPr>
      </w:pPr>
      <w:r w:rsidRPr="00CD1BCF">
        <w:rPr>
          <w:rFonts w:ascii="Calibri" w:hAnsi="Calibri" w:cs="Calibri"/>
          <w:noProof/>
        </w:rPr>
        <w:t xml:space="preserve">11. </w:t>
      </w:r>
      <w:r w:rsidRPr="00CD1BCF">
        <w:rPr>
          <w:rFonts w:ascii="Calibri" w:hAnsi="Calibri" w:cs="Calibri"/>
          <w:noProof/>
        </w:rPr>
        <w:tab/>
        <w:t xml:space="preserve">Evans RA, McAuley H, Harrison EM, et al. Physical, cognitive and mental health impacts of COVID-19 following hospitalisation – a multi-centre prospective cohort study. </w:t>
      </w:r>
      <w:r w:rsidRPr="00CD1BCF">
        <w:rPr>
          <w:rFonts w:ascii="Calibri" w:hAnsi="Calibri" w:cs="Calibri"/>
          <w:i/>
          <w:iCs/>
          <w:noProof/>
        </w:rPr>
        <w:t>medRxiv</w:t>
      </w:r>
      <w:r w:rsidRPr="00CD1BCF">
        <w:rPr>
          <w:rFonts w:ascii="Calibri" w:hAnsi="Calibri" w:cs="Calibri"/>
          <w:noProof/>
        </w:rPr>
        <w:t xml:space="preserve"> 2021; 2021.03.22.21254057.</w:t>
      </w:r>
    </w:p>
    <w:p w14:paraId="03AFB9D1" w14:textId="77777777" w:rsidR="00CD1BCF" w:rsidRPr="00CD1BCF" w:rsidRDefault="00CD1BCF" w:rsidP="00CD1BCF">
      <w:pPr>
        <w:widowControl w:val="0"/>
        <w:autoSpaceDE w:val="0"/>
        <w:autoSpaceDN w:val="0"/>
        <w:adjustRightInd w:val="0"/>
        <w:spacing w:line="480" w:lineRule="auto"/>
        <w:ind w:left="640" w:hanging="640"/>
        <w:rPr>
          <w:rFonts w:ascii="Calibri" w:hAnsi="Calibri" w:cs="Calibri"/>
          <w:noProof/>
        </w:rPr>
      </w:pPr>
      <w:r w:rsidRPr="00CD1BCF">
        <w:rPr>
          <w:rFonts w:ascii="Calibri" w:hAnsi="Calibri" w:cs="Calibri"/>
          <w:noProof/>
        </w:rPr>
        <w:t xml:space="preserve">12. </w:t>
      </w:r>
      <w:r w:rsidRPr="00CD1BCF">
        <w:rPr>
          <w:rFonts w:ascii="Calibri" w:hAnsi="Calibri" w:cs="Calibri"/>
          <w:noProof/>
        </w:rPr>
        <w:tab/>
        <w:t xml:space="preserve">Latronico N, Peli E, Rodella F, et al. Three-Month Outcome in Survivors of COVID-19 Associated Acute Respiratory Distress Syndrome. </w:t>
      </w:r>
      <w:r w:rsidRPr="00CD1BCF">
        <w:rPr>
          <w:rFonts w:ascii="Calibri" w:hAnsi="Calibri" w:cs="Calibri"/>
          <w:i/>
          <w:iCs/>
          <w:noProof/>
        </w:rPr>
        <w:t>Prepr with Lancet</w:t>
      </w:r>
      <w:r w:rsidRPr="00CD1BCF">
        <w:rPr>
          <w:rFonts w:ascii="Calibri" w:hAnsi="Calibri" w:cs="Calibri"/>
          <w:noProof/>
        </w:rPr>
        <w:t>. Epub ahead of print 2021. DOI: 10.2139/ssrn.3749226.</w:t>
      </w:r>
    </w:p>
    <w:p w14:paraId="0778371C" w14:textId="77777777" w:rsidR="00CD1BCF" w:rsidRPr="00CD1BCF" w:rsidRDefault="00CD1BCF" w:rsidP="00CD1BCF">
      <w:pPr>
        <w:widowControl w:val="0"/>
        <w:autoSpaceDE w:val="0"/>
        <w:autoSpaceDN w:val="0"/>
        <w:adjustRightInd w:val="0"/>
        <w:spacing w:line="480" w:lineRule="auto"/>
        <w:ind w:left="640" w:hanging="640"/>
        <w:rPr>
          <w:rFonts w:ascii="Calibri" w:hAnsi="Calibri" w:cs="Calibri"/>
          <w:noProof/>
        </w:rPr>
      </w:pPr>
      <w:r w:rsidRPr="00CD1BCF">
        <w:rPr>
          <w:rFonts w:ascii="Calibri" w:hAnsi="Calibri" w:cs="Calibri"/>
          <w:noProof/>
        </w:rPr>
        <w:t xml:space="preserve">13. </w:t>
      </w:r>
      <w:r w:rsidRPr="00CD1BCF">
        <w:rPr>
          <w:rFonts w:ascii="Calibri" w:hAnsi="Calibri" w:cs="Calibri"/>
          <w:noProof/>
        </w:rPr>
        <w:tab/>
        <w:t>Sigfrid L, Drake TM, Pauley E, et al. Long Covid in adults discharged from UK hospitals after Covid-19: A prospective, multicentre cohort study using the ISARIC WHO Clinical Characterisation Protocol. Epub ahead of print 2021. DOI: 10.1101/2021.03.18.21253888.</w:t>
      </w:r>
    </w:p>
    <w:p w14:paraId="29E6D8C8" w14:textId="77777777" w:rsidR="00CD1BCF" w:rsidRPr="00CD1BCF" w:rsidRDefault="00CD1BCF" w:rsidP="00CD1BCF">
      <w:pPr>
        <w:widowControl w:val="0"/>
        <w:autoSpaceDE w:val="0"/>
        <w:autoSpaceDN w:val="0"/>
        <w:adjustRightInd w:val="0"/>
        <w:spacing w:line="480" w:lineRule="auto"/>
        <w:ind w:left="640" w:hanging="640"/>
        <w:rPr>
          <w:rFonts w:ascii="Calibri" w:hAnsi="Calibri" w:cs="Calibri"/>
          <w:noProof/>
        </w:rPr>
      </w:pPr>
      <w:r w:rsidRPr="00CD1BCF">
        <w:rPr>
          <w:rFonts w:ascii="Calibri" w:hAnsi="Calibri" w:cs="Calibri"/>
          <w:noProof/>
        </w:rPr>
        <w:t xml:space="preserve">14. </w:t>
      </w:r>
      <w:r w:rsidRPr="00CD1BCF">
        <w:rPr>
          <w:rFonts w:ascii="Calibri" w:hAnsi="Calibri" w:cs="Calibri"/>
          <w:noProof/>
        </w:rPr>
        <w:tab/>
        <w:t xml:space="preserve">Munblit D, Bobkova P, Spiridonova E, et al. Risk factors for long-term consequences of COVID-19 in hospitalised adults in Moscow using the ISARIC Global follow-up protocol: StopCOVID cohort study. </w:t>
      </w:r>
      <w:r w:rsidRPr="00CD1BCF">
        <w:rPr>
          <w:rFonts w:ascii="Calibri" w:hAnsi="Calibri" w:cs="Calibri"/>
          <w:i/>
          <w:iCs/>
          <w:noProof/>
        </w:rPr>
        <w:t>medRxiv</w:t>
      </w:r>
      <w:r w:rsidRPr="00CD1BCF">
        <w:rPr>
          <w:rFonts w:ascii="Calibri" w:hAnsi="Calibri" w:cs="Calibri"/>
          <w:noProof/>
        </w:rPr>
        <w:t xml:space="preserve"> 2021; 2021.02.17.21251895.</w:t>
      </w:r>
    </w:p>
    <w:p w14:paraId="18173F8F" w14:textId="77777777" w:rsidR="00CD1BCF" w:rsidRPr="00CD1BCF" w:rsidRDefault="00CD1BCF" w:rsidP="00CD1BCF">
      <w:pPr>
        <w:widowControl w:val="0"/>
        <w:autoSpaceDE w:val="0"/>
        <w:autoSpaceDN w:val="0"/>
        <w:adjustRightInd w:val="0"/>
        <w:spacing w:line="480" w:lineRule="auto"/>
        <w:ind w:left="640" w:hanging="640"/>
        <w:rPr>
          <w:rFonts w:ascii="Calibri" w:hAnsi="Calibri" w:cs="Calibri"/>
          <w:noProof/>
        </w:rPr>
      </w:pPr>
      <w:r w:rsidRPr="00CD1BCF">
        <w:rPr>
          <w:rFonts w:ascii="Calibri" w:hAnsi="Calibri" w:cs="Calibri"/>
          <w:noProof/>
        </w:rPr>
        <w:t xml:space="preserve">15. </w:t>
      </w:r>
      <w:r w:rsidRPr="00CD1BCF">
        <w:rPr>
          <w:rFonts w:ascii="Calibri" w:hAnsi="Calibri" w:cs="Calibri"/>
          <w:noProof/>
        </w:rPr>
        <w:tab/>
        <w:t xml:space="preserve">Carfì A, Bernabei R, Landi F, et al. Persistent Symptoms in Patients After Acute COVID-19. </w:t>
      </w:r>
      <w:r w:rsidRPr="00CD1BCF">
        <w:rPr>
          <w:rFonts w:ascii="Calibri" w:hAnsi="Calibri" w:cs="Calibri"/>
          <w:i/>
          <w:iCs/>
          <w:noProof/>
        </w:rPr>
        <w:t>JAMA</w:t>
      </w:r>
      <w:r w:rsidRPr="00CD1BCF">
        <w:rPr>
          <w:rFonts w:ascii="Calibri" w:hAnsi="Calibri" w:cs="Calibri"/>
          <w:noProof/>
        </w:rPr>
        <w:t xml:space="preserve"> 2020; 324: 603–605.</w:t>
      </w:r>
    </w:p>
    <w:p w14:paraId="4EEE0EB1" w14:textId="77777777" w:rsidR="00CD1BCF" w:rsidRPr="00CD1BCF" w:rsidRDefault="00CD1BCF" w:rsidP="00CD1BCF">
      <w:pPr>
        <w:widowControl w:val="0"/>
        <w:autoSpaceDE w:val="0"/>
        <w:autoSpaceDN w:val="0"/>
        <w:adjustRightInd w:val="0"/>
        <w:spacing w:line="480" w:lineRule="auto"/>
        <w:ind w:left="640" w:hanging="640"/>
        <w:rPr>
          <w:rFonts w:ascii="Calibri" w:hAnsi="Calibri" w:cs="Calibri"/>
          <w:noProof/>
        </w:rPr>
      </w:pPr>
      <w:r w:rsidRPr="00CD1BCF">
        <w:rPr>
          <w:rFonts w:ascii="Calibri" w:hAnsi="Calibri" w:cs="Calibri"/>
          <w:noProof/>
        </w:rPr>
        <w:t xml:space="preserve">16. </w:t>
      </w:r>
      <w:r w:rsidRPr="00CD1BCF">
        <w:rPr>
          <w:rFonts w:ascii="Calibri" w:hAnsi="Calibri" w:cs="Calibri"/>
          <w:noProof/>
        </w:rPr>
        <w:tab/>
        <w:t xml:space="preserve">Scott JT, Sesay FR, Massaquoi TA, et al. Post-Ebola Syndrome, Sierra Leone. </w:t>
      </w:r>
      <w:r w:rsidRPr="00CD1BCF">
        <w:rPr>
          <w:rFonts w:ascii="Calibri" w:hAnsi="Calibri" w:cs="Calibri"/>
          <w:i/>
          <w:iCs/>
          <w:noProof/>
        </w:rPr>
        <w:t>Emerg Infect Dis</w:t>
      </w:r>
      <w:r w:rsidRPr="00CD1BCF">
        <w:rPr>
          <w:rFonts w:ascii="Calibri" w:hAnsi="Calibri" w:cs="Calibri"/>
          <w:noProof/>
        </w:rPr>
        <w:t xml:space="preserve"> 2016; 22: 641–646.</w:t>
      </w:r>
    </w:p>
    <w:p w14:paraId="1DB6698E" w14:textId="77777777" w:rsidR="00CD1BCF" w:rsidRPr="00CD1BCF" w:rsidRDefault="00CD1BCF" w:rsidP="00CD1BCF">
      <w:pPr>
        <w:widowControl w:val="0"/>
        <w:autoSpaceDE w:val="0"/>
        <w:autoSpaceDN w:val="0"/>
        <w:adjustRightInd w:val="0"/>
        <w:spacing w:line="480" w:lineRule="auto"/>
        <w:ind w:left="640" w:hanging="640"/>
        <w:rPr>
          <w:rFonts w:ascii="Calibri" w:hAnsi="Calibri" w:cs="Calibri"/>
          <w:noProof/>
        </w:rPr>
      </w:pPr>
      <w:r w:rsidRPr="00CD1BCF">
        <w:rPr>
          <w:rFonts w:ascii="Calibri" w:hAnsi="Calibri" w:cs="Calibri"/>
          <w:noProof/>
        </w:rPr>
        <w:t xml:space="preserve">17. </w:t>
      </w:r>
      <w:r w:rsidRPr="00CD1BCF">
        <w:rPr>
          <w:rFonts w:ascii="Calibri" w:hAnsi="Calibri" w:cs="Calibri"/>
          <w:noProof/>
        </w:rPr>
        <w:tab/>
        <w:t xml:space="preserve">Hung TM, Wills B, Clapham HE, et al. The Uncertainty Surrounding the Burden of Post-acute Consequences of Dengue Infection. </w:t>
      </w:r>
      <w:r w:rsidRPr="00CD1BCF">
        <w:rPr>
          <w:rFonts w:ascii="Calibri" w:hAnsi="Calibri" w:cs="Calibri"/>
          <w:i/>
          <w:iCs/>
          <w:noProof/>
        </w:rPr>
        <w:t>Trends Parasitol</w:t>
      </w:r>
      <w:r w:rsidRPr="00CD1BCF">
        <w:rPr>
          <w:rFonts w:ascii="Calibri" w:hAnsi="Calibri" w:cs="Calibri"/>
          <w:noProof/>
        </w:rPr>
        <w:t xml:space="preserve"> 2019; 35: 673–676.</w:t>
      </w:r>
    </w:p>
    <w:p w14:paraId="79FC2A79" w14:textId="77777777" w:rsidR="00CD1BCF" w:rsidRPr="00CD1BCF" w:rsidRDefault="00CD1BCF" w:rsidP="00CD1BCF">
      <w:pPr>
        <w:widowControl w:val="0"/>
        <w:autoSpaceDE w:val="0"/>
        <w:autoSpaceDN w:val="0"/>
        <w:adjustRightInd w:val="0"/>
        <w:spacing w:line="480" w:lineRule="auto"/>
        <w:ind w:left="640" w:hanging="640"/>
        <w:rPr>
          <w:rFonts w:ascii="Calibri" w:hAnsi="Calibri" w:cs="Calibri"/>
          <w:noProof/>
        </w:rPr>
      </w:pPr>
      <w:r w:rsidRPr="00CD1BCF">
        <w:rPr>
          <w:rFonts w:ascii="Calibri" w:hAnsi="Calibri" w:cs="Calibri"/>
          <w:noProof/>
        </w:rPr>
        <w:t xml:space="preserve">18. </w:t>
      </w:r>
      <w:r w:rsidRPr="00CD1BCF">
        <w:rPr>
          <w:rFonts w:ascii="Calibri" w:hAnsi="Calibri" w:cs="Calibri"/>
          <w:noProof/>
        </w:rPr>
        <w:tab/>
        <w:t xml:space="preserve">Huang C, Huang L, Wang Y, et al. 6-month consequences of COVID-19 in patients discharged from hospital: a cohort study. </w:t>
      </w:r>
      <w:r w:rsidRPr="00CD1BCF">
        <w:rPr>
          <w:rFonts w:ascii="Calibri" w:hAnsi="Calibri" w:cs="Calibri"/>
          <w:i/>
          <w:iCs/>
          <w:noProof/>
        </w:rPr>
        <w:t>Lancet</w:t>
      </w:r>
      <w:r w:rsidRPr="00CD1BCF">
        <w:rPr>
          <w:rFonts w:ascii="Calibri" w:hAnsi="Calibri" w:cs="Calibri"/>
          <w:noProof/>
        </w:rPr>
        <w:t xml:space="preserve"> 2021; 397: 220–232.</w:t>
      </w:r>
    </w:p>
    <w:p w14:paraId="59F66582" w14:textId="77777777" w:rsidR="00CD1BCF" w:rsidRPr="00CD1BCF" w:rsidRDefault="00CD1BCF" w:rsidP="00CD1BCF">
      <w:pPr>
        <w:widowControl w:val="0"/>
        <w:autoSpaceDE w:val="0"/>
        <w:autoSpaceDN w:val="0"/>
        <w:adjustRightInd w:val="0"/>
        <w:spacing w:line="480" w:lineRule="auto"/>
        <w:ind w:left="640" w:hanging="640"/>
        <w:rPr>
          <w:rFonts w:ascii="Calibri" w:hAnsi="Calibri" w:cs="Calibri"/>
          <w:noProof/>
        </w:rPr>
      </w:pPr>
      <w:r w:rsidRPr="00CD1BCF">
        <w:rPr>
          <w:rFonts w:ascii="Calibri" w:hAnsi="Calibri" w:cs="Calibri"/>
          <w:noProof/>
        </w:rPr>
        <w:t xml:space="preserve">19. </w:t>
      </w:r>
      <w:r w:rsidRPr="00CD1BCF">
        <w:rPr>
          <w:rFonts w:ascii="Calibri" w:hAnsi="Calibri" w:cs="Calibri"/>
          <w:noProof/>
        </w:rPr>
        <w:tab/>
        <w:t xml:space="preserve">Sudre CH, Murray B, Varsavsky T, et al. Attributes and predictors of long COVID. </w:t>
      </w:r>
      <w:r w:rsidRPr="00CD1BCF">
        <w:rPr>
          <w:rFonts w:ascii="Calibri" w:hAnsi="Calibri" w:cs="Calibri"/>
          <w:i/>
          <w:iCs/>
          <w:noProof/>
        </w:rPr>
        <w:t xml:space="preserve">Nat </w:t>
      </w:r>
      <w:r w:rsidRPr="00CD1BCF">
        <w:rPr>
          <w:rFonts w:ascii="Calibri" w:hAnsi="Calibri" w:cs="Calibri"/>
          <w:i/>
          <w:iCs/>
          <w:noProof/>
        </w:rPr>
        <w:lastRenderedPageBreak/>
        <w:t>Med</w:t>
      </w:r>
      <w:r w:rsidRPr="00CD1BCF">
        <w:rPr>
          <w:rFonts w:ascii="Calibri" w:hAnsi="Calibri" w:cs="Calibri"/>
          <w:noProof/>
        </w:rPr>
        <w:t>. Epub ahead of print 2021. DOI: 10.1038/s41591-021-01292-y.</w:t>
      </w:r>
    </w:p>
    <w:p w14:paraId="5CA10850" w14:textId="77777777" w:rsidR="00CD1BCF" w:rsidRPr="00CD1BCF" w:rsidRDefault="00CD1BCF" w:rsidP="00CD1BCF">
      <w:pPr>
        <w:widowControl w:val="0"/>
        <w:autoSpaceDE w:val="0"/>
        <w:autoSpaceDN w:val="0"/>
        <w:adjustRightInd w:val="0"/>
        <w:spacing w:line="480" w:lineRule="auto"/>
        <w:ind w:left="640" w:hanging="640"/>
        <w:rPr>
          <w:rFonts w:ascii="Calibri" w:hAnsi="Calibri" w:cs="Calibri"/>
          <w:noProof/>
        </w:rPr>
      </w:pPr>
      <w:r w:rsidRPr="00CD1BCF">
        <w:rPr>
          <w:rFonts w:ascii="Calibri" w:hAnsi="Calibri" w:cs="Calibri"/>
          <w:noProof/>
        </w:rPr>
        <w:t xml:space="preserve">20. </w:t>
      </w:r>
      <w:r w:rsidRPr="00CD1BCF">
        <w:rPr>
          <w:rFonts w:ascii="Calibri" w:hAnsi="Calibri" w:cs="Calibri"/>
          <w:noProof/>
        </w:rPr>
        <w:tab/>
        <w:t xml:space="preserve">Bench S, Stayt L, Shah A, et al. Prevalence and experience of fatigue in survivors of critical illness: a mixed-methods systematic review. </w:t>
      </w:r>
      <w:r w:rsidRPr="00CD1BCF">
        <w:rPr>
          <w:rFonts w:ascii="Calibri" w:hAnsi="Calibri" w:cs="Calibri"/>
          <w:i/>
          <w:iCs/>
          <w:noProof/>
        </w:rPr>
        <w:t>Anaesthesia</w:t>
      </w:r>
      <w:r w:rsidRPr="00CD1BCF">
        <w:rPr>
          <w:rFonts w:ascii="Calibri" w:hAnsi="Calibri" w:cs="Calibri"/>
          <w:noProof/>
        </w:rPr>
        <w:t>; n/a. Epub ahead of print 11 March 2021. DOI: https://doi.org/10.1111/anae.15441.</w:t>
      </w:r>
    </w:p>
    <w:p w14:paraId="28C8C7F8" w14:textId="77777777" w:rsidR="00CD1BCF" w:rsidRPr="00CD1BCF" w:rsidRDefault="00CD1BCF" w:rsidP="00CD1BCF">
      <w:pPr>
        <w:widowControl w:val="0"/>
        <w:autoSpaceDE w:val="0"/>
        <w:autoSpaceDN w:val="0"/>
        <w:adjustRightInd w:val="0"/>
        <w:spacing w:line="480" w:lineRule="auto"/>
        <w:ind w:left="640" w:hanging="640"/>
        <w:rPr>
          <w:rFonts w:ascii="Calibri" w:hAnsi="Calibri" w:cs="Calibri"/>
          <w:noProof/>
        </w:rPr>
      </w:pPr>
      <w:r w:rsidRPr="00CD1BCF">
        <w:rPr>
          <w:rFonts w:ascii="Calibri" w:hAnsi="Calibri" w:cs="Calibri"/>
          <w:noProof/>
        </w:rPr>
        <w:t xml:space="preserve">21. </w:t>
      </w:r>
      <w:r w:rsidRPr="00CD1BCF">
        <w:rPr>
          <w:rFonts w:ascii="Calibri" w:hAnsi="Calibri" w:cs="Calibri"/>
          <w:noProof/>
        </w:rPr>
        <w:tab/>
        <w:t xml:space="preserve">Kean S, Salisbury LG, Rattray J, et al. ‘Intensive care unit survivorship’ – a constructivist grounded theory of surviving critical illness. </w:t>
      </w:r>
      <w:r w:rsidRPr="00CD1BCF">
        <w:rPr>
          <w:rFonts w:ascii="Calibri" w:hAnsi="Calibri" w:cs="Calibri"/>
          <w:i/>
          <w:iCs/>
          <w:noProof/>
        </w:rPr>
        <w:t>J Clin Nurs</w:t>
      </w:r>
      <w:r w:rsidRPr="00CD1BCF">
        <w:rPr>
          <w:rFonts w:ascii="Calibri" w:hAnsi="Calibri" w:cs="Calibri"/>
          <w:noProof/>
        </w:rPr>
        <w:t xml:space="preserve"> 2017; 26: 3111–3124.</w:t>
      </w:r>
    </w:p>
    <w:p w14:paraId="39AC45F1" w14:textId="77777777" w:rsidR="00CD1BCF" w:rsidRPr="00CD1BCF" w:rsidRDefault="00CD1BCF" w:rsidP="00CD1BCF">
      <w:pPr>
        <w:widowControl w:val="0"/>
        <w:autoSpaceDE w:val="0"/>
        <w:autoSpaceDN w:val="0"/>
        <w:adjustRightInd w:val="0"/>
        <w:spacing w:line="480" w:lineRule="auto"/>
        <w:ind w:left="640" w:hanging="640"/>
        <w:rPr>
          <w:rFonts w:ascii="Calibri" w:hAnsi="Calibri" w:cs="Calibri"/>
          <w:noProof/>
        </w:rPr>
      </w:pPr>
      <w:r w:rsidRPr="00CD1BCF">
        <w:rPr>
          <w:rFonts w:ascii="Calibri" w:hAnsi="Calibri" w:cs="Calibri"/>
          <w:noProof/>
        </w:rPr>
        <w:t xml:space="preserve">22. </w:t>
      </w:r>
      <w:r w:rsidRPr="00CD1BCF">
        <w:rPr>
          <w:rFonts w:ascii="Calibri" w:hAnsi="Calibri" w:cs="Calibri"/>
          <w:noProof/>
        </w:rPr>
        <w:tab/>
        <w:t xml:space="preserve">Sidiras G, Patsaki I, Karatzanos E, et al. Long term follow-up of quality of life and functional ability in patients with ICU acquired Weakness - A post hoc analysis. </w:t>
      </w:r>
      <w:r w:rsidRPr="00CD1BCF">
        <w:rPr>
          <w:rFonts w:ascii="Calibri" w:hAnsi="Calibri" w:cs="Calibri"/>
          <w:i/>
          <w:iCs/>
          <w:noProof/>
        </w:rPr>
        <w:t>J Crit Care</w:t>
      </w:r>
      <w:r w:rsidRPr="00CD1BCF">
        <w:rPr>
          <w:rFonts w:ascii="Calibri" w:hAnsi="Calibri" w:cs="Calibri"/>
          <w:noProof/>
        </w:rPr>
        <w:t xml:space="preserve"> 2019; 53: 223–230.</w:t>
      </w:r>
    </w:p>
    <w:p w14:paraId="21040804" w14:textId="77777777" w:rsidR="00CD1BCF" w:rsidRPr="00CD1BCF" w:rsidRDefault="00CD1BCF" w:rsidP="00CD1BCF">
      <w:pPr>
        <w:widowControl w:val="0"/>
        <w:autoSpaceDE w:val="0"/>
        <w:autoSpaceDN w:val="0"/>
        <w:adjustRightInd w:val="0"/>
        <w:spacing w:line="480" w:lineRule="auto"/>
        <w:ind w:left="640" w:hanging="640"/>
        <w:rPr>
          <w:rFonts w:ascii="Calibri" w:hAnsi="Calibri" w:cs="Calibri"/>
          <w:noProof/>
        </w:rPr>
      </w:pPr>
      <w:r w:rsidRPr="00CD1BCF">
        <w:rPr>
          <w:rFonts w:ascii="Calibri" w:hAnsi="Calibri" w:cs="Calibri"/>
          <w:noProof/>
        </w:rPr>
        <w:t xml:space="preserve">23. </w:t>
      </w:r>
      <w:r w:rsidRPr="00CD1BCF">
        <w:rPr>
          <w:rFonts w:ascii="Calibri" w:hAnsi="Calibri" w:cs="Calibri"/>
          <w:noProof/>
        </w:rPr>
        <w:tab/>
        <w:t xml:space="preserve">Walsh TS, Salisbury LG, Merriweather JL, et al. Increased Hospital-Based Physical Rehabilitation and Information Provision After Intensive Care Unit Discharge: The RECOVER Randomized Clinical Trial. </w:t>
      </w:r>
      <w:r w:rsidRPr="00CD1BCF">
        <w:rPr>
          <w:rFonts w:ascii="Calibri" w:hAnsi="Calibri" w:cs="Calibri"/>
          <w:i/>
          <w:iCs/>
          <w:noProof/>
        </w:rPr>
        <w:t>JAMA Intern Med</w:t>
      </w:r>
      <w:r w:rsidRPr="00CD1BCF">
        <w:rPr>
          <w:rFonts w:ascii="Calibri" w:hAnsi="Calibri" w:cs="Calibri"/>
          <w:noProof/>
        </w:rPr>
        <w:t xml:space="preserve"> 2015; 175: 901–910.</w:t>
      </w:r>
    </w:p>
    <w:p w14:paraId="32B456A6" w14:textId="77777777" w:rsidR="00CD1BCF" w:rsidRPr="00CD1BCF" w:rsidRDefault="00CD1BCF" w:rsidP="00CD1BCF">
      <w:pPr>
        <w:widowControl w:val="0"/>
        <w:autoSpaceDE w:val="0"/>
        <w:autoSpaceDN w:val="0"/>
        <w:adjustRightInd w:val="0"/>
        <w:spacing w:line="480" w:lineRule="auto"/>
        <w:ind w:left="640" w:hanging="640"/>
        <w:rPr>
          <w:rFonts w:ascii="Calibri" w:hAnsi="Calibri" w:cs="Calibri"/>
          <w:noProof/>
        </w:rPr>
      </w:pPr>
      <w:r w:rsidRPr="00CD1BCF">
        <w:rPr>
          <w:rFonts w:ascii="Calibri" w:hAnsi="Calibri" w:cs="Calibri"/>
          <w:noProof/>
        </w:rPr>
        <w:t xml:space="preserve">24. </w:t>
      </w:r>
      <w:r w:rsidRPr="00CD1BCF">
        <w:rPr>
          <w:rFonts w:ascii="Calibri" w:hAnsi="Calibri" w:cs="Calibri"/>
          <w:noProof/>
        </w:rPr>
        <w:tab/>
        <w:t>ISARIC. ISARIC Clinical Characterisation Protocol (CCP): UK version, https://isaric4c.net/protocols/ (2020, accessed 1 February 2020).</w:t>
      </w:r>
    </w:p>
    <w:p w14:paraId="4B6CE5F0" w14:textId="77777777" w:rsidR="00CD1BCF" w:rsidRPr="00CD1BCF" w:rsidRDefault="00CD1BCF" w:rsidP="00CD1BCF">
      <w:pPr>
        <w:widowControl w:val="0"/>
        <w:autoSpaceDE w:val="0"/>
        <w:autoSpaceDN w:val="0"/>
        <w:adjustRightInd w:val="0"/>
        <w:spacing w:line="480" w:lineRule="auto"/>
        <w:ind w:left="640" w:hanging="640"/>
        <w:rPr>
          <w:rFonts w:ascii="Calibri" w:hAnsi="Calibri" w:cs="Calibri"/>
          <w:noProof/>
        </w:rPr>
      </w:pPr>
      <w:r w:rsidRPr="00CD1BCF">
        <w:rPr>
          <w:rFonts w:ascii="Calibri" w:hAnsi="Calibri" w:cs="Calibri"/>
          <w:noProof/>
        </w:rPr>
        <w:t xml:space="preserve">25. </w:t>
      </w:r>
      <w:r w:rsidRPr="00CD1BCF">
        <w:rPr>
          <w:rFonts w:ascii="Calibri" w:hAnsi="Calibri" w:cs="Calibri"/>
          <w:noProof/>
        </w:rPr>
        <w:tab/>
        <w:t xml:space="preserve">Marshall JC, Murthy S, Diaz J, et al. A minimal common outcome measure set for COVID-19 clinical research. </w:t>
      </w:r>
      <w:r w:rsidRPr="00CD1BCF">
        <w:rPr>
          <w:rFonts w:ascii="Calibri" w:hAnsi="Calibri" w:cs="Calibri"/>
          <w:i/>
          <w:iCs/>
          <w:noProof/>
        </w:rPr>
        <w:t>Lancet Infect Dis</w:t>
      </w:r>
      <w:r w:rsidRPr="00CD1BCF">
        <w:rPr>
          <w:rFonts w:ascii="Calibri" w:hAnsi="Calibri" w:cs="Calibri"/>
          <w:noProof/>
        </w:rPr>
        <w:t xml:space="preserve"> 2020; 20: e192–e197.</w:t>
      </w:r>
    </w:p>
    <w:p w14:paraId="2BBDF48A" w14:textId="77777777" w:rsidR="00CD1BCF" w:rsidRPr="00CD1BCF" w:rsidRDefault="00CD1BCF" w:rsidP="00CD1BCF">
      <w:pPr>
        <w:widowControl w:val="0"/>
        <w:autoSpaceDE w:val="0"/>
        <w:autoSpaceDN w:val="0"/>
        <w:adjustRightInd w:val="0"/>
        <w:spacing w:line="480" w:lineRule="auto"/>
        <w:ind w:left="640" w:hanging="640"/>
        <w:rPr>
          <w:rFonts w:ascii="Calibri" w:hAnsi="Calibri" w:cs="Calibri"/>
          <w:noProof/>
        </w:rPr>
      </w:pPr>
      <w:r w:rsidRPr="00CD1BCF">
        <w:rPr>
          <w:rFonts w:ascii="Calibri" w:hAnsi="Calibri" w:cs="Calibri"/>
          <w:noProof/>
        </w:rPr>
        <w:t xml:space="preserve">26. </w:t>
      </w:r>
      <w:r w:rsidRPr="00CD1BCF">
        <w:rPr>
          <w:rFonts w:ascii="Calibri" w:hAnsi="Calibri" w:cs="Calibri"/>
          <w:noProof/>
        </w:rPr>
        <w:tab/>
        <w:t xml:space="preserve">Gupta RK, Harrison EM, Ho A, et al. Development and validation of the ISARIC 4C Deterioration model for adults hospitalised with COVID-19: a prospective cohort study. </w:t>
      </w:r>
      <w:r w:rsidRPr="00CD1BCF">
        <w:rPr>
          <w:rFonts w:ascii="Calibri" w:hAnsi="Calibri" w:cs="Calibri"/>
          <w:i/>
          <w:iCs/>
          <w:noProof/>
        </w:rPr>
        <w:t>Lancet Respir Med</w:t>
      </w:r>
      <w:r w:rsidRPr="00CD1BCF">
        <w:rPr>
          <w:rFonts w:ascii="Calibri" w:hAnsi="Calibri" w:cs="Calibri"/>
          <w:noProof/>
        </w:rPr>
        <w:t>; 0. Epub ahead of print 5 March 2021. DOI: 10.1016/S2213-2600(20)30559-2.</w:t>
      </w:r>
    </w:p>
    <w:p w14:paraId="315B2F7F" w14:textId="77777777" w:rsidR="00CD1BCF" w:rsidRPr="00CD1BCF" w:rsidRDefault="00CD1BCF" w:rsidP="00CD1BCF">
      <w:pPr>
        <w:widowControl w:val="0"/>
        <w:autoSpaceDE w:val="0"/>
        <w:autoSpaceDN w:val="0"/>
        <w:adjustRightInd w:val="0"/>
        <w:spacing w:line="480" w:lineRule="auto"/>
        <w:ind w:left="640" w:hanging="640"/>
        <w:rPr>
          <w:rFonts w:ascii="Calibri" w:hAnsi="Calibri" w:cs="Calibri"/>
          <w:noProof/>
        </w:rPr>
      </w:pPr>
      <w:r w:rsidRPr="00CD1BCF">
        <w:rPr>
          <w:rFonts w:ascii="Calibri" w:hAnsi="Calibri" w:cs="Calibri"/>
          <w:noProof/>
        </w:rPr>
        <w:t xml:space="preserve">27. </w:t>
      </w:r>
      <w:r w:rsidRPr="00CD1BCF">
        <w:rPr>
          <w:rFonts w:ascii="Calibri" w:hAnsi="Calibri" w:cs="Calibri"/>
          <w:noProof/>
        </w:rPr>
        <w:tab/>
        <w:t xml:space="preserve">Park S-K, Chun H-J, Kim D-W, et al. Acute Physiology and Chronic Health Evaluation II and Simplified Acute Physiology  Score II in predicting hospital mortality of neurosurgical intensive care unit patients. </w:t>
      </w:r>
      <w:r w:rsidRPr="00CD1BCF">
        <w:rPr>
          <w:rFonts w:ascii="Calibri" w:hAnsi="Calibri" w:cs="Calibri"/>
          <w:i/>
          <w:iCs/>
          <w:noProof/>
        </w:rPr>
        <w:t>J Korean Med Sci</w:t>
      </w:r>
      <w:r w:rsidRPr="00CD1BCF">
        <w:rPr>
          <w:rFonts w:ascii="Calibri" w:hAnsi="Calibri" w:cs="Calibri"/>
          <w:noProof/>
        </w:rPr>
        <w:t xml:space="preserve"> 2009; 24: 420–426.</w:t>
      </w:r>
    </w:p>
    <w:p w14:paraId="1239DB0E" w14:textId="77777777" w:rsidR="00CD1BCF" w:rsidRPr="00CD1BCF" w:rsidRDefault="00CD1BCF" w:rsidP="00CD1BCF">
      <w:pPr>
        <w:widowControl w:val="0"/>
        <w:autoSpaceDE w:val="0"/>
        <w:autoSpaceDN w:val="0"/>
        <w:adjustRightInd w:val="0"/>
        <w:spacing w:line="480" w:lineRule="auto"/>
        <w:ind w:left="640" w:hanging="640"/>
        <w:rPr>
          <w:rFonts w:ascii="Calibri" w:hAnsi="Calibri" w:cs="Calibri"/>
          <w:noProof/>
        </w:rPr>
      </w:pPr>
      <w:r w:rsidRPr="00CD1BCF">
        <w:rPr>
          <w:rFonts w:ascii="Calibri" w:hAnsi="Calibri" w:cs="Calibri"/>
          <w:noProof/>
        </w:rPr>
        <w:lastRenderedPageBreak/>
        <w:t xml:space="preserve">28. </w:t>
      </w:r>
      <w:r w:rsidRPr="00CD1BCF">
        <w:rPr>
          <w:rFonts w:ascii="Calibri" w:hAnsi="Calibri" w:cs="Calibri"/>
          <w:noProof/>
        </w:rPr>
        <w:tab/>
        <w:t xml:space="preserve">Vincent JL, Moreno R, Takala J, et al. The SOFA (Sepsis-related Organ Failure Assessment) score to describe organ  dysfunction/failure. On behalf of the Working Group on Sepsis-Related Problems of the European Society of Intensive Care Medicine. </w:t>
      </w:r>
      <w:r w:rsidRPr="00CD1BCF">
        <w:rPr>
          <w:rFonts w:ascii="Calibri" w:hAnsi="Calibri" w:cs="Calibri"/>
          <w:i/>
          <w:iCs/>
          <w:noProof/>
        </w:rPr>
        <w:t>Intensive care medicine</w:t>
      </w:r>
      <w:r w:rsidRPr="00CD1BCF">
        <w:rPr>
          <w:rFonts w:ascii="Calibri" w:hAnsi="Calibri" w:cs="Calibri"/>
          <w:noProof/>
        </w:rPr>
        <w:t xml:space="preserve"> 1996; 22: 707–710.</w:t>
      </w:r>
    </w:p>
    <w:p w14:paraId="5095593D" w14:textId="77777777" w:rsidR="00CD1BCF" w:rsidRPr="00CD1BCF" w:rsidRDefault="00CD1BCF" w:rsidP="00CD1BCF">
      <w:pPr>
        <w:widowControl w:val="0"/>
        <w:autoSpaceDE w:val="0"/>
        <w:autoSpaceDN w:val="0"/>
        <w:adjustRightInd w:val="0"/>
        <w:spacing w:line="480" w:lineRule="auto"/>
        <w:ind w:left="640" w:hanging="640"/>
        <w:rPr>
          <w:rFonts w:ascii="Calibri" w:hAnsi="Calibri" w:cs="Calibri"/>
          <w:noProof/>
        </w:rPr>
      </w:pPr>
      <w:r w:rsidRPr="00CD1BCF">
        <w:rPr>
          <w:rFonts w:ascii="Calibri" w:hAnsi="Calibri" w:cs="Calibri"/>
          <w:noProof/>
        </w:rPr>
        <w:t xml:space="preserve">29. </w:t>
      </w:r>
      <w:r w:rsidRPr="00CD1BCF">
        <w:rPr>
          <w:rFonts w:ascii="Calibri" w:hAnsi="Calibri" w:cs="Calibri"/>
          <w:noProof/>
        </w:rPr>
        <w:tab/>
        <w:t xml:space="preserve">McWilliams D, Weblin J, Hodson J, et al. Rehabilitation Levels in Patients with COVID-19 Admitted to Intensive Care Requiring Invasive Ventilation. An Observational Study. </w:t>
      </w:r>
      <w:r w:rsidRPr="00CD1BCF">
        <w:rPr>
          <w:rFonts w:ascii="Calibri" w:hAnsi="Calibri" w:cs="Calibri"/>
          <w:i/>
          <w:iCs/>
          <w:noProof/>
        </w:rPr>
        <w:t>Ann Am Thorac Soc</w:t>
      </w:r>
      <w:r w:rsidRPr="00CD1BCF">
        <w:rPr>
          <w:rFonts w:ascii="Calibri" w:hAnsi="Calibri" w:cs="Calibri"/>
          <w:noProof/>
        </w:rPr>
        <w:t xml:space="preserve"> 2020; 18: 122–129.</w:t>
      </w:r>
    </w:p>
    <w:p w14:paraId="0C8D58FF" w14:textId="77777777" w:rsidR="00CD1BCF" w:rsidRPr="00CD1BCF" w:rsidRDefault="00CD1BCF" w:rsidP="00CD1BCF">
      <w:pPr>
        <w:widowControl w:val="0"/>
        <w:autoSpaceDE w:val="0"/>
        <w:autoSpaceDN w:val="0"/>
        <w:adjustRightInd w:val="0"/>
        <w:spacing w:line="480" w:lineRule="auto"/>
        <w:ind w:left="640" w:hanging="640"/>
        <w:rPr>
          <w:rFonts w:ascii="Calibri" w:hAnsi="Calibri" w:cs="Calibri"/>
          <w:noProof/>
        </w:rPr>
      </w:pPr>
      <w:r w:rsidRPr="00CD1BCF">
        <w:rPr>
          <w:rFonts w:ascii="Calibri" w:hAnsi="Calibri" w:cs="Calibri"/>
          <w:noProof/>
        </w:rPr>
        <w:t xml:space="preserve">30. </w:t>
      </w:r>
      <w:r w:rsidRPr="00CD1BCF">
        <w:rPr>
          <w:rFonts w:ascii="Calibri" w:hAnsi="Calibri" w:cs="Calibri"/>
          <w:noProof/>
        </w:rPr>
        <w:tab/>
        <w:t xml:space="preserve">Donaghy Em Salisbury L, Lone N, Lee R, Ramsey P RJ. Unplanned early hospital readmission among critical care survivors: a mixed methods study of patients and carers. </w:t>
      </w:r>
      <w:r w:rsidRPr="00CD1BCF">
        <w:rPr>
          <w:rFonts w:ascii="Calibri" w:hAnsi="Calibri" w:cs="Calibri"/>
          <w:i/>
          <w:iCs/>
          <w:noProof/>
        </w:rPr>
        <w:t>BMJ Qual Saf</w:t>
      </w:r>
      <w:r w:rsidRPr="00CD1BCF">
        <w:rPr>
          <w:rFonts w:ascii="Calibri" w:hAnsi="Calibri" w:cs="Calibri"/>
          <w:noProof/>
        </w:rPr>
        <w:t xml:space="preserve"> 2018; 27: 915–927.</w:t>
      </w:r>
    </w:p>
    <w:p w14:paraId="259BEE54" w14:textId="77777777" w:rsidR="00CD1BCF" w:rsidRPr="00CD1BCF" w:rsidRDefault="00CD1BCF" w:rsidP="00CD1BCF">
      <w:pPr>
        <w:widowControl w:val="0"/>
        <w:autoSpaceDE w:val="0"/>
        <w:autoSpaceDN w:val="0"/>
        <w:adjustRightInd w:val="0"/>
        <w:spacing w:line="480" w:lineRule="auto"/>
        <w:ind w:left="640" w:hanging="640"/>
        <w:rPr>
          <w:rFonts w:ascii="Calibri" w:hAnsi="Calibri" w:cs="Calibri"/>
          <w:noProof/>
        </w:rPr>
      </w:pPr>
      <w:r w:rsidRPr="00CD1BCF">
        <w:rPr>
          <w:rFonts w:ascii="Calibri" w:hAnsi="Calibri" w:cs="Calibri"/>
          <w:noProof/>
        </w:rPr>
        <w:t xml:space="preserve">31. </w:t>
      </w:r>
      <w:r w:rsidRPr="00CD1BCF">
        <w:rPr>
          <w:rFonts w:ascii="Calibri" w:hAnsi="Calibri" w:cs="Calibri"/>
          <w:noProof/>
        </w:rPr>
        <w:tab/>
        <w:t xml:space="preserve">Lone NI, Lee R, Salisbury L, et al. Predicting risk of unplanned hospital readmission in survivors of critical illness: a population-level cohort study. </w:t>
      </w:r>
      <w:r w:rsidRPr="00CD1BCF">
        <w:rPr>
          <w:rFonts w:ascii="Calibri" w:hAnsi="Calibri" w:cs="Calibri"/>
          <w:i/>
          <w:iCs/>
          <w:noProof/>
        </w:rPr>
        <w:t>Thorax</w:t>
      </w:r>
      <w:r w:rsidRPr="00CD1BCF">
        <w:rPr>
          <w:rFonts w:ascii="Calibri" w:hAnsi="Calibri" w:cs="Calibri"/>
          <w:noProof/>
        </w:rPr>
        <w:t xml:space="preserve"> 2018; thoraxjnl-2017-210822.</w:t>
      </w:r>
    </w:p>
    <w:p w14:paraId="6A12CF20" w14:textId="77777777" w:rsidR="00CD1BCF" w:rsidRPr="00CD1BCF" w:rsidRDefault="00CD1BCF" w:rsidP="00CD1BCF">
      <w:pPr>
        <w:widowControl w:val="0"/>
        <w:autoSpaceDE w:val="0"/>
        <w:autoSpaceDN w:val="0"/>
        <w:adjustRightInd w:val="0"/>
        <w:spacing w:line="480" w:lineRule="auto"/>
        <w:ind w:left="640" w:hanging="640"/>
        <w:rPr>
          <w:rFonts w:ascii="Calibri" w:hAnsi="Calibri" w:cs="Calibri"/>
          <w:noProof/>
        </w:rPr>
      </w:pPr>
      <w:r w:rsidRPr="00CD1BCF">
        <w:rPr>
          <w:rFonts w:ascii="Calibri" w:hAnsi="Calibri" w:cs="Calibri"/>
          <w:noProof/>
        </w:rPr>
        <w:t xml:space="preserve">32. </w:t>
      </w:r>
      <w:r w:rsidRPr="00CD1BCF">
        <w:rPr>
          <w:rFonts w:ascii="Calibri" w:hAnsi="Calibri" w:cs="Calibri"/>
          <w:noProof/>
        </w:rPr>
        <w:tab/>
        <w:t xml:space="preserve">Docherty AB, Turgeon AF, Walsh TS. Best practice in critical care: anaemia in acute and critical illness. </w:t>
      </w:r>
      <w:r w:rsidRPr="00CD1BCF">
        <w:rPr>
          <w:rFonts w:ascii="Calibri" w:hAnsi="Calibri" w:cs="Calibri"/>
          <w:i/>
          <w:iCs/>
          <w:noProof/>
        </w:rPr>
        <w:t>Transfus Med</w:t>
      </w:r>
      <w:r w:rsidRPr="00CD1BCF">
        <w:rPr>
          <w:rFonts w:ascii="Calibri" w:hAnsi="Calibri" w:cs="Calibri"/>
          <w:noProof/>
        </w:rPr>
        <w:t xml:space="preserve"> 2018; 28: 181–189.</w:t>
      </w:r>
    </w:p>
    <w:p w14:paraId="6EA0EAD2" w14:textId="77777777" w:rsidR="00CD1BCF" w:rsidRPr="00CD1BCF" w:rsidRDefault="00CD1BCF" w:rsidP="00CD1BCF">
      <w:pPr>
        <w:widowControl w:val="0"/>
        <w:autoSpaceDE w:val="0"/>
        <w:autoSpaceDN w:val="0"/>
        <w:adjustRightInd w:val="0"/>
        <w:spacing w:line="480" w:lineRule="auto"/>
        <w:ind w:left="640" w:hanging="640"/>
        <w:rPr>
          <w:rFonts w:ascii="Calibri" w:hAnsi="Calibri" w:cs="Calibri"/>
          <w:noProof/>
        </w:rPr>
      </w:pPr>
      <w:r w:rsidRPr="00CD1BCF">
        <w:rPr>
          <w:rFonts w:ascii="Calibri" w:hAnsi="Calibri" w:cs="Calibri"/>
          <w:noProof/>
        </w:rPr>
        <w:t xml:space="preserve">33. </w:t>
      </w:r>
      <w:r w:rsidRPr="00CD1BCF">
        <w:rPr>
          <w:rFonts w:ascii="Calibri" w:hAnsi="Calibri" w:cs="Calibri"/>
          <w:noProof/>
        </w:rPr>
        <w:tab/>
        <w:t xml:space="preserve">Hatch R, Young D, Barber V, et al. Anxiety, Depression and Post Traumatic Stress Disorder after critical illness: a UK-wide prospective cohort study. </w:t>
      </w:r>
      <w:r w:rsidRPr="00CD1BCF">
        <w:rPr>
          <w:rFonts w:ascii="Calibri" w:hAnsi="Calibri" w:cs="Calibri"/>
          <w:i/>
          <w:iCs/>
          <w:noProof/>
        </w:rPr>
        <w:t>Crit Care</w:t>
      </w:r>
      <w:r w:rsidRPr="00CD1BCF">
        <w:rPr>
          <w:rFonts w:ascii="Calibri" w:hAnsi="Calibri" w:cs="Calibri"/>
          <w:noProof/>
        </w:rPr>
        <w:t xml:space="preserve"> 2018; 22: 310.</w:t>
      </w:r>
    </w:p>
    <w:p w14:paraId="2E5D5F38" w14:textId="77777777" w:rsidR="00CD1BCF" w:rsidRPr="00CD1BCF" w:rsidRDefault="00CD1BCF" w:rsidP="00CD1BCF">
      <w:pPr>
        <w:widowControl w:val="0"/>
        <w:autoSpaceDE w:val="0"/>
        <w:autoSpaceDN w:val="0"/>
        <w:adjustRightInd w:val="0"/>
        <w:spacing w:line="480" w:lineRule="auto"/>
        <w:ind w:left="640" w:hanging="640"/>
        <w:rPr>
          <w:rFonts w:ascii="Calibri" w:hAnsi="Calibri" w:cs="Calibri"/>
          <w:noProof/>
        </w:rPr>
      </w:pPr>
      <w:r w:rsidRPr="00CD1BCF">
        <w:rPr>
          <w:rFonts w:ascii="Calibri" w:hAnsi="Calibri" w:cs="Calibri"/>
          <w:noProof/>
        </w:rPr>
        <w:t xml:space="preserve">34. </w:t>
      </w:r>
      <w:r w:rsidRPr="00CD1BCF">
        <w:rPr>
          <w:rFonts w:ascii="Calibri" w:hAnsi="Calibri" w:cs="Calibri"/>
          <w:noProof/>
        </w:rPr>
        <w:tab/>
        <w:t xml:space="preserve">Stevens RD, Marshall SA, Cornblath DR, et al. A framework for diagnosing and classifying intensive care unit-acquired weakness. </w:t>
      </w:r>
      <w:r w:rsidRPr="00CD1BCF">
        <w:rPr>
          <w:rFonts w:ascii="Calibri" w:hAnsi="Calibri" w:cs="Calibri"/>
          <w:i/>
          <w:iCs/>
          <w:noProof/>
        </w:rPr>
        <w:t>Crit Care Med</w:t>
      </w:r>
      <w:r w:rsidRPr="00CD1BCF">
        <w:rPr>
          <w:rFonts w:ascii="Calibri" w:hAnsi="Calibri" w:cs="Calibri"/>
          <w:noProof/>
        </w:rPr>
        <w:t xml:space="preserve"> 2009; 37: S299-308.</w:t>
      </w:r>
    </w:p>
    <w:p w14:paraId="4F1AB498" w14:textId="77777777" w:rsidR="00CD1BCF" w:rsidRPr="00CD1BCF" w:rsidRDefault="00CD1BCF" w:rsidP="00CD1BCF">
      <w:pPr>
        <w:widowControl w:val="0"/>
        <w:autoSpaceDE w:val="0"/>
        <w:autoSpaceDN w:val="0"/>
        <w:adjustRightInd w:val="0"/>
        <w:spacing w:line="480" w:lineRule="auto"/>
        <w:ind w:left="640" w:hanging="640"/>
        <w:rPr>
          <w:rFonts w:ascii="Calibri" w:hAnsi="Calibri" w:cs="Calibri"/>
          <w:noProof/>
        </w:rPr>
      </w:pPr>
      <w:r w:rsidRPr="00CD1BCF">
        <w:rPr>
          <w:rFonts w:ascii="Calibri" w:hAnsi="Calibri" w:cs="Calibri"/>
          <w:noProof/>
        </w:rPr>
        <w:t xml:space="preserve">35. </w:t>
      </w:r>
      <w:r w:rsidRPr="00CD1BCF">
        <w:rPr>
          <w:rFonts w:ascii="Calibri" w:hAnsi="Calibri" w:cs="Calibri"/>
          <w:noProof/>
        </w:rPr>
        <w:tab/>
        <w:t xml:space="preserve">Medrzycka-Dabrowska W, Lewandowska K, Kwiecień-Jaguś K, et al. Sleep Deprivation in Intensive Care Unit - Systematic Review. </w:t>
      </w:r>
      <w:r w:rsidRPr="00CD1BCF">
        <w:rPr>
          <w:rFonts w:ascii="Calibri" w:hAnsi="Calibri" w:cs="Calibri"/>
          <w:i/>
          <w:iCs/>
          <w:noProof/>
        </w:rPr>
        <w:t>Open Med (Warsaw, Poland)</w:t>
      </w:r>
      <w:r w:rsidRPr="00CD1BCF">
        <w:rPr>
          <w:rFonts w:ascii="Calibri" w:hAnsi="Calibri" w:cs="Calibri"/>
          <w:noProof/>
        </w:rPr>
        <w:t xml:space="preserve"> 2018; 13: 384–393.</w:t>
      </w:r>
    </w:p>
    <w:p w14:paraId="4E8F0F79" w14:textId="77777777" w:rsidR="00CD1BCF" w:rsidRPr="00CD1BCF" w:rsidRDefault="00CD1BCF" w:rsidP="00CD1BCF">
      <w:pPr>
        <w:widowControl w:val="0"/>
        <w:autoSpaceDE w:val="0"/>
        <w:autoSpaceDN w:val="0"/>
        <w:adjustRightInd w:val="0"/>
        <w:spacing w:line="480" w:lineRule="auto"/>
        <w:ind w:left="640" w:hanging="640"/>
        <w:rPr>
          <w:rFonts w:ascii="Calibri" w:hAnsi="Calibri" w:cs="Calibri"/>
          <w:noProof/>
        </w:rPr>
      </w:pPr>
      <w:r w:rsidRPr="00CD1BCF">
        <w:rPr>
          <w:rFonts w:ascii="Calibri" w:hAnsi="Calibri" w:cs="Calibri"/>
          <w:noProof/>
        </w:rPr>
        <w:t xml:space="preserve">36. </w:t>
      </w:r>
      <w:r w:rsidRPr="00CD1BCF">
        <w:rPr>
          <w:rFonts w:ascii="Calibri" w:hAnsi="Calibri" w:cs="Calibri"/>
          <w:noProof/>
        </w:rPr>
        <w:tab/>
        <w:t xml:space="preserve">Puthucheary Z, Brown C, Corner E, et al. The Post-ICU presentation screen (PICUPS) </w:t>
      </w:r>
      <w:r w:rsidRPr="00CD1BCF">
        <w:rPr>
          <w:rFonts w:ascii="Calibri" w:hAnsi="Calibri" w:cs="Calibri"/>
          <w:noProof/>
        </w:rPr>
        <w:lastRenderedPageBreak/>
        <w:t xml:space="preserve">and rehabilitation prescription (RP) for intensive care survivors part II: Clinical engagement and future directions for the national Post-Intensive care Rehabilitation Collaborative. </w:t>
      </w:r>
      <w:r w:rsidRPr="00CD1BCF">
        <w:rPr>
          <w:rFonts w:ascii="Calibri" w:hAnsi="Calibri" w:cs="Calibri"/>
          <w:i/>
          <w:iCs/>
          <w:noProof/>
        </w:rPr>
        <w:t>J Intensive Care Soc</w:t>
      </w:r>
      <w:r w:rsidRPr="00CD1BCF">
        <w:rPr>
          <w:rFonts w:ascii="Calibri" w:hAnsi="Calibri" w:cs="Calibri"/>
          <w:noProof/>
        </w:rPr>
        <w:t xml:space="preserve"> 2021; 1751143720988708.</w:t>
      </w:r>
    </w:p>
    <w:p w14:paraId="61517025" w14:textId="77777777" w:rsidR="00CD1BCF" w:rsidRPr="00CD1BCF" w:rsidRDefault="00CD1BCF" w:rsidP="00CD1BCF">
      <w:pPr>
        <w:widowControl w:val="0"/>
        <w:autoSpaceDE w:val="0"/>
        <w:autoSpaceDN w:val="0"/>
        <w:adjustRightInd w:val="0"/>
        <w:spacing w:line="480" w:lineRule="auto"/>
        <w:ind w:left="640" w:hanging="640"/>
        <w:rPr>
          <w:rFonts w:ascii="Calibri" w:hAnsi="Calibri" w:cs="Calibri"/>
          <w:noProof/>
        </w:rPr>
      </w:pPr>
      <w:r w:rsidRPr="00CD1BCF">
        <w:rPr>
          <w:rFonts w:ascii="Calibri" w:hAnsi="Calibri" w:cs="Calibri"/>
          <w:noProof/>
        </w:rPr>
        <w:t xml:space="preserve">37. </w:t>
      </w:r>
      <w:r w:rsidRPr="00CD1BCF">
        <w:rPr>
          <w:rFonts w:ascii="Calibri" w:hAnsi="Calibri" w:cs="Calibri"/>
          <w:noProof/>
        </w:rPr>
        <w:tab/>
        <w:t xml:space="preserve">Dmytriw AA, Chibbar R, Chen PPY, et al. Outcomes of acute respiratory distress syndrome in COVID-19 patients compared to the  general population: a systematic review and meta-analysis. </w:t>
      </w:r>
      <w:r w:rsidRPr="00CD1BCF">
        <w:rPr>
          <w:rFonts w:ascii="Calibri" w:hAnsi="Calibri" w:cs="Calibri"/>
          <w:i/>
          <w:iCs/>
          <w:noProof/>
        </w:rPr>
        <w:t>Expert Rev Respir Med</w:t>
      </w:r>
      <w:r w:rsidRPr="00CD1BCF">
        <w:rPr>
          <w:rFonts w:ascii="Calibri" w:hAnsi="Calibri" w:cs="Calibri"/>
          <w:noProof/>
        </w:rPr>
        <w:t xml:space="preserve"> 2021; 1–8.</w:t>
      </w:r>
    </w:p>
    <w:p w14:paraId="0C481775" w14:textId="77777777" w:rsidR="00CD1BCF" w:rsidRPr="00CD1BCF" w:rsidRDefault="00CD1BCF" w:rsidP="00CD1BCF">
      <w:pPr>
        <w:widowControl w:val="0"/>
        <w:autoSpaceDE w:val="0"/>
        <w:autoSpaceDN w:val="0"/>
        <w:adjustRightInd w:val="0"/>
        <w:spacing w:line="480" w:lineRule="auto"/>
        <w:ind w:left="640" w:hanging="640"/>
        <w:rPr>
          <w:rFonts w:ascii="Calibri" w:hAnsi="Calibri" w:cs="Calibri"/>
          <w:noProof/>
        </w:rPr>
      </w:pPr>
      <w:r w:rsidRPr="00CD1BCF">
        <w:rPr>
          <w:rFonts w:ascii="Calibri" w:hAnsi="Calibri" w:cs="Calibri"/>
          <w:noProof/>
        </w:rPr>
        <w:t xml:space="preserve">38. </w:t>
      </w:r>
      <w:r w:rsidRPr="00CD1BCF">
        <w:rPr>
          <w:rFonts w:ascii="Calibri" w:hAnsi="Calibri" w:cs="Calibri"/>
          <w:noProof/>
        </w:rPr>
        <w:tab/>
        <w:t>NHS England. NHS launches 40 ‘long COVID’ clinics to tackle persistent symptoms., https://www.england.nhs.uk/2020/11/nhs-launches-40-long-covid-clinics-to-tackle-persistent-symptoms/%0A (2020).</w:t>
      </w:r>
    </w:p>
    <w:p w14:paraId="1BFBD755" w14:textId="44B89914" w:rsidR="00B77386" w:rsidRDefault="00B77386" w:rsidP="00CD1BCF">
      <w:pPr>
        <w:widowControl w:val="0"/>
        <w:autoSpaceDE w:val="0"/>
        <w:autoSpaceDN w:val="0"/>
        <w:adjustRightInd w:val="0"/>
        <w:spacing w:line="480" w:lineRule="auto"/>
        <w:ind w:left="640" w:hanging="640"/>
        <w:rPr>
          <w:rFonts w:asciiTheme="majorHAnsi" w:hAnsiTheme="majorHAnsi" w:cstheme="majorHAnsi"/>
          <w:highlight w:val="white"/>
        </w:rPr>
      </w:pPr>
      <w:r w:rsidRPr="00D7026D">
        <w:rPr>
          <w:rFonts w:asciiTheme="majorHAnsi" w:hAnsiTheme="majorHAnsi" w:cstheme="majorHAnsi"/>
          <w:highlight w:val="white"/>
        </w:rPr>
        <w:fldChar w:fldCharType="end"/>
      </w:r>
    </w:p>
    <w:p w14:paraId="2780A0C9" w14:textId="77777777" w:rsidR="00B77386" w:rsidRDefault="00B77386" w:rsidP="00B77386">
      <w:pPr>
        <w:widowControl w:val="0"/>
        <w:autoSpaceDE w:val="0"/>
        <w:autoSpaceDN w:val="0"/>
        <w:adjustRightInd w:val="0"/>
        <w:spacing w:line="480" w:lineRule="auto"/>
        <w:ind w:left="640" w:hanging="640"/>
        <w:rPr>
          <w:rFonts w:asciiTheme="majorHAnsi" w:hAnsiTheme="majorHAnsi" w:cstheme="majorHAnsi"/>
          <w:highlight w:val="white"/>
        </w:rPr>
      </w:pPr>
    </w:p>
    <w:p w14:paraId="0CA50EBF" w14:textId="77777777" w:rsidR="00B77386" w:rsidRDefault="00B77386" w:rsidP="00B77386">
      <w:pPr>
        <w:widowControl w:val="0"/>
        <w:autoSpaceDE w:val="0"/>
        <w:autoSpaceDN w:val="0"/>
        <w:adjustRightInd w:val="0"/>
        <w:spacing w:line="480" w:lineRule="auto"/>
        <w:ind w:left="640" w:hanging="640"/>
        <w:rPr>
          <w:rFonts w:asciiTheme="majorHAnsi" w:hAnsiTheme="majorHAnsi" w:cstheme="majorHAnsi"/>
          <w:highlight w:val="white"/>
        </w:rPr>
      </w:pPr>
    </w:p>
    <w:p w14:paraId="432F0D01" w14:textId="77777777" w:rsidR="00E16654" w:rsidRDefault="00E16654" w:rsidP="00B77386">
      <w:pPr>
        <w:widowControl w:val="0"/>
        <w:autoSpaceDE w:val="0"/>
        <w:autoSpaceDN w:val="0"/>
        <w:adjustRightInd w:val="0"/>
        <w:spacing w:line="480" w:lineRule="auto"/>
        <w:rPr>
          <w:rFonts w:asciiTheme="majorHAnsi" w:hAnsiTheme="majorHAnsi" w:cstheme="majorHAnsi"/>
          <w:highlight w:val="white"/>
        </w:rPr>
      </w:pPr>
    </w:p>
    <w:p w14:paraId="4CB229EF" w14:textId="77777777" w:rsidR="002D16DE" w:rsidRDefault="002D16DE" w:rsidP="00B77386">
      <w:pPr>
        <w:widowControl w:val="0"/>
        <w:autoSpaceDE w:val="0"/>
        <w:autoSpaceDN w:val="0"/>
        <w:adjustRightInd w:val="0"/>
        <w:spacing w:line="480" w:lineRule="auto"/>
        <w:rPr>
          <w:rFonts w:asciiTheme="majorHAnsi" w:hAnsiTheme="majorHAnsi" w:cstheme="majorHAnsi"/>
          <w:highlight w:val="white"/>
        </w:rPr>
      </w:pPr>
    </w:p>
    <w:p w14:paraId="118AB3BD" w14:textId="77777777" w:rsidR="002D16DE" w:rsidRDefault="002D16DE" w:rsidP="00B77386">
      <w:pPr>
        <w:widowControl w:val="0"/>
        <w:autoSpaceDE w:val="0"/>
        <w:autoSpaceDN w:val="0"/>
        <w:adjustRightInd w:val="0"/>
        <w:spacing w:line="480" w:lineRule="auto"/>
        <w:rPr>
          <w:rFonts w:asciiTheme="majorHAnsi" w:hAnsiTheme="majorHAnsi" w:cstheme="majorHAnsi"/>
          <w:highlight w:val="white"/>
        </w:rPr>
      </w:pPr>
    </w:p>
    <w:p w14:paraId="5D75A96A" w14:textId="77777777" w:rsidR="00AD36B5" w:rsidRDefault="00AD36B5" w:rsidP="00B77386">
      <w:pPr>
        <w:widowControl w:val="0"/>
        <w:autoSpaceDE w:val="0"/>
        <w:autoSpaceDN w:val="0"/>
        <w:adjustRightInd w:val="0"/>
        <w:spacing w:line="480" w:lineRule="auto"/>
        <w:rPr>
          <w:rFonts w:asciiTheme="majorHAnsi" w:hAnsiTheme="majorHAnsi" w:cstheme="majorHAnsi"/>
          <w:highlight w:val="white"/>
        </w:rPr>
      </w:pPr>
    </w:p>
    <w:p w14:paraId="7B73855C" w14:textId="77777777" w:rsidR="005D126B" w:rsidRDefault="005D126B" w:rsidP="00B77386">
      <w:pPr>
        <w:widowControl w:val="0"/>
        <w:autoSpaceDE w:val="0"/>
        <w:autoSpaceDN w:val="0"/>
        <w:adjustRightInd w:val="0"/>
        <w:spacing w:line="480" w:lineRule="auto"/>
        <w:rPr>
          <w:rFonts w:asciiTheme="majorHAnsi" w:hAnsiTheme="majorHAnsi" w:cstheme="majorHAnsi"/>
          <w:highlight w:val="white"/>
        </w:rPr>
      </w:pPr>
    </w:p>
    <w:p w14:paraId="5DF6A7AE" w14:textId="77777777" w:rsidR="005D126B" w:rsidRDefault="005D126B" w:rsidP="00B77386">
      <w:pPr>
        <w:widowControl w:val="0"/>
        <w:autoSpaceDE w:val="0"/>
        <w:autoSpaceDN w:val="0"/>
        <w:adjustRightInd w:val="0"/>
        <w:spacing w:line="480" w:lineRule="auto"/>
        <w:rPr>
          <w:rFonts w:asciiTheme="majorHAnsi" w:hAnsiTheme="majorHAnsi" w:cstheme="majorHAnsi"/>
          <w:highlight w:val="white"/>
        </w:rPr>
      </w:pPr>
    </w:p>
    <w:p w14:paraId="3AD5FF8E" w14:textId="77777777" w:rsidR="005D126B" w:rsidRDefault="005D126B" w:rsidP="00B77386">
      <w:pPr>
        <w:widowControl w:val="0"/>
        <w:autoSpaceDE w:val="0"/>
        <w:autoSpaceDN w:val="0"/>
        <w:adjustRightInd w:val="0"/>
        <w:spacing w:line="480" w:lineRule="auto"/>
        <w:rPr>
          <w:rFonts w:asciiTheme="majorHAnsi" w:hAnsiTheme="majorHAnsi" w:cstheme="majorHAnsi"/>
          <w:highlight w:val="white"/>
        </w:rPr>
      </w:pPr>
    </w:p>
    <w:p w14:paraId="77E23911" w14:textId="77777777" w:rsidR="005D126B" w:rsidRDefault="005D126B" w:rsidP="00B77386">
      <w:pPr>
        <w:widowControl w:val="0"/>
        <w:autoSpaceDE w:val="0"/>
        <w:autoSpaceDN w:val="0"/>
        <w:adjustRightInd w:val="0"/>
        <w:spacing w:line="480" w:lineRule="auto"/>
        <w:rPr>
          <w:rFonts w:asciiTheme="majorHAnsi" w:hAnsiTheme="majorHAnsi" w:cstheme="majorHAnsi"/>
          <w:highlight w:val="white"/>
        </w:rPr>
      </w:pPr>
    </w:p>
    <w:p w14:paraId="6B2B8D53" w14:textId="77777777" w:rsidR="005D126B" w:rsidRDefault="005D126B" w:rsidP="00B77386">
      <w:pPr>
        <w:widowControl w:val="0"/>
        <w:autoSpaceDE w:val="0"/>
        <w:autoSpaceDN w:val="0"/>
        <w:adjustRightInd w:val="0"/>
        <w:spacing w:line="480" w:lineRule="auto"/>
        <w:rPr>
          <w:rFonts w:asciiTheme="majorHAnsi" w:hAnsiTheme="majorHAnsi" w:cstheme="majorHAnsi"/>
          <w:highlight w:val="white"/>
        </w:rPr>
      </w:pPr>
    </w:p>
    <w:p w14:paraId="36041F42" w14:textId="77777777" w:rsidR="005D126B" w:rsidRDefault="005D126B" w:rsidP="00B77386">
      <w:pPr>
        <w:widowControl w:val="0"/>
        <w:autoSpaceDE w:val="0"/>
        <w:autoSpaceDN w:val="0"/>
        <w:adjustRightInd w:val="0"/>
        <w:spacing w:line="480" w:lineRule="auto"/>
        <w:rPr>
          <w:rFonts w:asciiTheme="majorHAnsi" w:hAnsiTheme="majorHAnsi" w:cstheme="majorHAnsi"/>
          <w:highlight w:val="white"/>
        </w:rPr>
      </w:pPr>
    </w:p>
    <w:p w14:paraId="6423F705" w14:textId="77777777" w:rsidR="005D126B" w:rsidRDefault="005D126B" w:rsidP="00B77386">
      <w:pPr>
        <w:widowControl w:val="0"/>
        <w:autoSpaceDE w:val="0"/>
        <w:autoSpaceDN w:val="0"/>
        <w:adjustRightInd w:val="0"/>
        <w:spacing w:line="480" w:lineRule="auto"/>
        <w:rPr>
          <w:rFonts w:asciiTheme="majorHAnsi" w:hAnsiTheme="majorHAnsi" w:cstheme="majorHAnsi"/>
          <w:highlight w:val="white"/>
        </w:rPr>
      </w:pPr>
    </w:p>
    <w:p w14:paraId="6FFC024C" w14:textId="77777777" w:rsidR="005D126B" w:rsidRPr="00D7026D" w:rsidRDefault="005D126B" w:rsidP="00B77386">
      <w:pPr>
        <w:widowControl w:val="0"/>
        <w:autoSpaceDE w:val="0"/>
        <w:autoSpaceDN w:val="0"/>
        <w:adjustRightInd w:val="0"/>
        <w:spacing w:line="480" w:lineRule="auto"/>
        <w:rPr>
          <w:rFonts w:asciiTheme="majorHAnsi" w:hAnsiTheme="majorHAnsi" w:cstheme="majorHAnsi"/>
          <w:highlight w:val="white"/>
        </w:rPr>
      </w:pPr>
    </w:p>
    <w:p w14:paraId="4D82C571" w14:textId="77777777" w:rsidR="00B77386" w:rsidRDefault="00B77386" w:rsidP="00B77386">
      <w:pPr>
        <w:spacing w:line="480" w:lineRule="auto"/>
        <w:jc w:val="both"/>
        <w:rPr>
          <w:rFonts w:asciiTheme="majorHAnsi" w:hAnsiTheme="majorHAnsi" w:cstheme="majorBidi"/>
          <w:b/>
          <w:highlight w:val="white"/>
        </w:rPr>
      </w:pPr>
      <w:r w:rsidRPr="18082269">
        <w:rPr>
          <w:rFonts w:asciiTheme="majorHAnsi" w:hAnsiTheme="majorHAnsi" w:cstheme="majorBidi"/>
          <w:b/>
          <w:highlight w:val="white"/>
        </w:rPr>
        <w:lastRenderedPageBreak/>
        <w:t xml:space="preserve">Tables and Figures </w:t>
      </w:r>
    </w:p>
    <w:p w14:paraId="58CA1DBA" w14:textId="77777777" w:rsidR="00B77386" w:rsidRDefault="00B77386" w:rsidP="00B77386">
      <w:pPr>
        <w:widowControl w:val="0"/>
        <w:autoSpaceDE w:val="0"/>
        <w:autoSpaceDN w:val="0"/>
        <w:adjustRightInd w:val="0"/>
        <w:spacing w:line="480" w:lineRule="auto"/>
        <w:rPr>
          <w:rFonts w:asciiTheme="majorHAnsi" w:hAnsiTheme="majorHAnsi" w:cstheme="majorHAnsi"/>
          <w:highlight w:val="white"/>
        </w:rPr>
      </w:pPr>
    </w:p>
    <w:p w14:paraId="5CE33E10" w14:textId="77777777" w:rsidR="00B77386" w:rsidRDefault="00B77386" w:rsidP="00B77386">
      <w:pPr>
        <w:rPr>
          <w:rFonts w:asciiTheme="majorHAnsi" w:hAnsiTheme="majorHAnsi" w:cstheme="majorHAnsi"/>
          <w:highlight w:val="white"/>
        </w:rPr>
      </w:pPr>
    </w:p>
    <w:p w14:paraId="14D0CF52" w14:textId="77777777" w:rsidR="00B77386" w:rsidRPr="00D7026D" w:rsidRDefault="00B77386" w:rsidP="00B77386">
      <w:pPr>
        <w:rPr>
          <w:rFonts w:asciiTheme="majorHAnsi" w:hAnsiTheme="majorHAnsi" w:cstheme="majorHAnsi"/>
          <w:highlight w:val="white"/>
        </w:rPr>
      </w:pPr>
    </w:p>
    <w:p w14:paraId="29AE38A9" w14:textId="77777777" w:rsidR="00B77386" w:rsidRPr="00D7026D" w:rsidRDefault="00B77386" w:rsidP="00B77386">
      <w:pPr>
        <w:rPr>
          <w:rFonts w:asciiTheme="majorHAnsi" w:hAnsiTheme="majorHAnsi" w:cstheme="majorHAnsi"/>
          <w:highlight w:val="white"/>
        </w:rPr>
      </w:pPr>
    </w:p>
    <w:p w14:paraId="1BC063E5" w14:textId="77777777" w:rsidR="00B77386" w:rsidRPr="00D7026D" w:rsidRDefault="00B77386" w:rsidP="00B77386">
      <w:pPr>
        <w:rPr>
          <w:rFonts w:asciiTheme="majorHAnsi" w:hAnsiTheme="majorHAnsi" w:cstheme="majorHAnsi"/>
          <w:highlight w:val="white"/>
        </w:rPr>
      </w:pPr>
    </w:p>
    <w:p w14:paraId="3EC4FA05" w14:textId="77777777" w:rsidR="00B77386" w:rsidRPr="006F0D12" w:rsidRDefault="00B77386" w:rsidP="00B77386">
      <w:pPr>
        <w:rPr>
          <w:rFonts w:asciiTheme="majorHAnsi" w:hAnsiTheme="majorHAnsi" w:cstheme="majorHAnsi"/>
          <w:highlight w:val="white"/>
        </w:rPr>
      </w:pPr>
      <w:r w:rsidRPr="00D7026D">
        <w:rPr>
          <w:rFonts w:asciiTheme="majorHAnsi" w:hAnsiTheme="majorHAnsi" w:cstheme="majorHAnsi"/>
          <w:highlight w:val="white"/>
        </w:rPr>
        <w:br w:type="page"/>
      </w:r>
    </w:p>
    <w:p w14:paraId="25B863A4" w14:textId="773890F2" w:rsidR="00B77386" w:rsidRDefault="00B77386" w:rsidP="00B77386">
      <w:pPr>
        <w:spacing w:line="480" w:lineRule="auto"/>
        <w:jc w:val="both"/>
        <w:rPr>
          <w:rFonts w:asciiTheme="majorHAnsi" w:hAnsiTheme="majorHAnsi" w:cstheme="majorBidi"/>
          <w:b/>
          <w:highlight w:val="white"/>
        </w:rPr>
      </w:pPr>
      <w:r w:rsidRPr="4E4A2F72">
        <w:rPr>
          <w:rFonts w:asciiTheme="majorHAnsi" w:hAnsiTheme="majorHAnsi" w:cstheme="majorBidi"/>
          <w:b/>
          <w:highlight w:val="white"/>
        </w:rPr>
        <w:lastRenderedPageBreak/>
        <w:t xml:space="preserve">Table 1: Patient characteristics of Covid-19 </w:t>
      </w:r>
      <w:r w:rsidR="4E4A2F72" w:rsidRPr="4E4A2F72">
        <w:rPr>
          <w:rFonts w:asciiTheme="majorHAnsi" w:hAnsiTheme="majorHAnsi" w:cstheme="majorBidi"/>
          <w:b/>
          <w:bCs/>
          <w:highlight w:val="white"/>
        </w:rPr>
        <w:t>(n=</w:t>
      </w:r>
      <w:r w:rsidR="00EE083D">
        <w:rPr>
          <w:rFonts w:asciiTheme="majorHAnsi" w:hAnsiTheme="majorHAnsi" w:cstheme="majorBidi"/>
          <w:b/>
          <w:bCs/>
          <w:highlight w:val="white"/>
        </w:rPr>
        <w:t>92</w:t>
      </w:r>
      <w:r w:rsidR="4E4A2F72" w:rsidRPr="4E4A2F72">
        <w:rPr>
          <w:rFonts w:asciiTheme="majorHAnsi" w:hAnsiTheme="majorHAnsi" w:cstheme="majorBidi"/>
          <w:b/>
          <w:bCs/>
          <w:highlight w:val="white"/>
        </w:rPr>
        <w:t xml:space="preserve">) </w:t>
      </w:r>
      <w:r w:rsidRPr="4E4A2F72">
        <w:rPr>
          <w:rFonts w:asciiTheme="majorHAnsi" w:hAnsiTheme="majorHAnsi" w:cstheme="majorBidi"/>
          <w:b/>
          <w:highlight w:val="white"/>
        </w:rPr>
        <w:t>and pre-pandemic IMV-patients</w:t>
      </w:r>
      <w:r w:rsidR="4E4A2F72" w:rsidRPr="4E4A2F72">
        <w:rPr>
          <w:rFonts w:asciiTheme="majorHAnsi" w:hAnsiTheme="majorHAnsi" w:cstheme="majorBidi"/>
          <w:b/>
          <w:bCs/>
          <w:highlight w:val="white"/>
        </w:rPr>
        <w:t xml:space="preserve"> (n=</w:t>
      </w:r>
      <w:r w:rsidR="00EE083D">
        <w:rPr>
          <w:rFonts w:asciiTheme="majorHAnsi" w:hAnsiTheme="majorHAnsi" w:cstheme="majorBidi"/>
          <w:b/>
          <w:bCs/>
          <w:highlight w:val="white"/>
        </w:rPr>
        <w:t>240</w:t>
      </w:r>
      <w:r w:rsidR="4E4A2F72" w:rsidRPr="4E4A2F72">
        <w:rPr>
          <w:rFonts w:asciiTheme="majorHAnsi" w:hAnsiTheme="majorHAnsi" w:cstheme="majorBidi"/>
          <w:b/>
          <w:bCs/>
          <w:highlight w:val="white"/>
        </w:rPr>
        <w:t>).</w:t>
      </w:r>
      <w:r w:rsidRPr="4E4A2F72">
        <w:rPr>
          <w:rFonts w:asciiTheme="majorHAnsi" w:hAnsiTheme="majorHAnsi" w:cstheme="majorBidi"/>
          <w:b/>
          <w:highlight w:val="white"/>
        </w:rPr>
        <w:t xml:space="preserve"> </w:t>
      </w:r>
    </w:p>
    <w:p w14:paraId="4B8A6A5A" w14:textId="7CE53D61" w:rsidR="002D16DE" w:rsidRPr="002D16DE" w:rsidRDefault="002D16DE" w:rsidP="002D16DE">
      <w:pPr>
        <w:jc w:val="both"/>
        <w:rPr>
          <w:rFonts w:asciiTheme="majorHAnsi" w:hAnsiTheme="majorHAnsi" w:cstheme="majorBidi"/>
          <w:b/>
          <w:sz w:val="18"/>
          <w:szCs w:val="18"/>
          <w:highlight w:val="white"/>
        </w:rPr>
      </w:pPr>
      <w:r w:rsidRPr="002A01A5">
        <w:rPr>
          <w:rFonts w:asciiTheme="majorHAnsi" w:eastAsia="Arial" w:hAnsiTheme="majorHAnsi"/>
          <w:sz w:val="18"/>
          <w:szCs w:val="18"/>
        </w:rPr>
        <w:t xml:space="preserve">IQR – Interquartile </w:t>
      </w:r>
      <w:r w:rsidRPr="4E4A2F72">
        <w:rPr>
          <w:rFonts w:asciiTheme="majorHAnsi" w:eastAsia="Arial" w:hAnsiTheme="majorHAnsi"/>
          <w:sz w:val="18"/>
          <w:szCs w:val="18"/>
        </w:rPr>
        <w:t>range</w:t>
      </w:r>
      <w:r w:rsidRPr="002A01A5">
        <w:rPr>
          <w:rFonts w:asciiTheme="majorHAnsi" w:eastAsia="Arial" w:hAnsiTheme="majorHAnsi"/>
          <w:sz w:val="18"/>
          <w:szCs w:val="18"/>
        </w:rPr>
        <w:t>, presented as 25</w:t>
      </w:r>
      <w:r w:rsidRPr="002A01A5">
        <w:rPr>
          <w:rFonts w:asciiTheme="majorHAnsi" w:eastAsia="Arial" w:hAnsiTheme="majorHAnsi"/>
          <w:sz w:val="18"/>
          <w:szCs w:val="18"/>
          <w:vertAlign w:val="superscript"/>
        </w:rPr>
        <w:t>th</w:t>
      </w:r>
      <w:r w:rsidRPr="002A01A5">
        <w:rPr>
          <w:rFonts w:asciiTheme="majorHAnsi" w:eastAsia="Arial" w:hAnsiTheme="majorHAnsi"/>
          <w:sz w:val="18"/>
          <w:szCs w:val="18"/>
        </w:rPr>
        <w:t xml:space="preserve"> to 75</w:t>
      </w:r>
      <w:r w:rsidRPr="002A01A5">
        <w:rPr>
          <w:rFonts w:asciiTheme="majorHAnsi" w:eastAsia="Arial" w:hAnsiTheme="majorHAnsi"/>
          <w:sz w:val="18"/>
          <w:szCs w:val="18"/>
          <w:vertAlign w:val="superscript"/>
        </w:rPr>
        <w:t>th</w:t>
      </w:r>
      <w:r w:rsidRPr="002A01A5">
        <w:rPr>
          <w:rFonts w:asciiTheme="majorHAnsi" w:eastAsia="Arial" w:hAnsiTheme="majorHAnsi"/>
          <w:sz w:val="18"/>
          <w:szCs w:val="18"/>
        </w:rPr>
        <w:t xml:space="preserve"> centiles. Numbers are presented as N (%), unless otherwise denoted as a continuous variable. ICU – Intensive Care Unit. IMV – Invasive Mechanical Ventilation. SOFA – Sequential Organ Failure Assessment. APACHE-II – Acute Physiology and Chronic Health-II. </w:t>
      </w:r>
    </w:p>
    <w:tbl>
      <w:tblPr>
        <w:tblStyle w:val="Table"/>
        <w:tblW w:w="10257" w:type="dxa"/>
        <w:jc w:val="center"/>
        <w:tblLayout w:type="fixed"/>
        <w:tblLook w:val="0420" w:firstRow="1" w:lastRow="0" w:firstColumn="0" w:lastColumn="0" w:noHBand="0" w:noVBand="1"/>
      </w:tblPr>
      <w:tblGrid>
        <w:gridCol w:w="2077"/>
        <w:gridCol w:w="2886"/>
        <w:gridCol w:w="2123"/>
        <w:gridCol w:w="2123"/>
        <w:gridCol w:w="1048"/>
      </w:tblGrid>
      <w:tr w:rsidR="00B77386" w:rsidRPr="00D7026D" w14:paraId="0EE9BB21" w14:textId="77777777" w:rsidTr="4E4A2F72">
        <w:trPr>
          <w:cantSplit/>
          <w:trHeight w:val="507"/>
          <w:tblHeader/>
          <w:jc w:val="center"/>
        </w:trPr>
        <w:tc>
          <w:tcPr>
            <w:tcW w:w="2077" w:type="dxa"/>
            <w:tcBorders>
              <w:top w:val="single" w:sz="16" w:space="0" w:color="000000" w:themeColor="text1"/>
              <w:bottom w:val="single" w:sz="16" w:space="0" w:color="000000" w:themeColor="text1"/>
            </w:tcBorders>
            <w:shd w:val="clear" w:color="auto" w:fill="FFFFFF" w:themeFill="background1"/>
            <w:tcMar>
              <w:top w:w="0" w:type="dxa"/>
              <w:left w:w="0" w:type="dxa"/>
              <w:bottom w:w="0" w:type="dxa"/>
              <w:right w:w="0" w:type="dxa"/>
            </w:tcMar>
            <w:vAlign w:val="center"/>
          </w:tcPr>
          <w:p w14:paraId="2DD34B8B" w14:textId="77777777" w:rsidR="00B77386" w:rsidRPr="00D7026D" w:rsidRDefault="00B77386" w:rsidP="00817CE0">
            <w:pPr>
              <w:spacing w:before="40" w:after="40"/>
              <w:ind w:left="100" w:right="100"/>
              <w:jc w:val="right"/>
              <w:rPr>
                <w:rFonts w:asciiTheme="majorHAnsi" w:hAnsiTheme="majorHAnsi" w:cstheme="majorHAnsi"/>
                <w:sz w:val="16"/>
                <w:szCs w:val="16"/>
              </w:rPr>
            </w:pPr>
          </w:p>
        </w:tc>
        <w:tc>
          <w:tcPr>
            <w:tcW w:w="2886" w:type="dxa"/>
            <w:tcBorders>
              <w:top w:val="single" w:sz="16" w:space="0" w:color="000000" w:themeColor="text1"/>
              <w:bottom w:val="single" w:sz="16" w:space="0" w:color="000000" w:themeColor="text1"/>
            </w:tcBorders>
            <w:shd w:val="clear" w:color="auto" w:fill="FFFFFF" w:themeFill="background1"/>
            <w:tcMar>
              <w:top w:w="0" w:type="dxa"/>
              <w:left w:w="0" w:type="dxa"/>
              <w:bottom w:w="0" w:type="dxa"/>
              <w:right w:w="0" w:type="dxa"/>
            </w:tcMar>
            <w:vAlign w:val="center"/>
          </w:tcPr>
          <w:p w14:paraId="1E05D97B" w14:textId="77777777" w:rsidR="00B77386" w:rsidRPr="00D7026D" w:rsidRDefault="00B77386" w:rsidP="00817CE0">
            <w:pPr>
              <w:spacing w:before="40" w:after="40"/>
              <w:ind w:left="100" w:right="100"/>
              <w:jc w:val="right"/>
              <w:rPr>
                <w:rFonts w:asciiTheme="majorHAnsi" w:hAnsiTheme="majorHAnsi" w:cstheme="majorHAnsi"/>
                <w:sz w:val="16"/>
                <w:szCs w:val="16"/>
              </w:rPr>
            </w:pPr>
          </w:p>
        </w:tc>
        <w:tc>
          <w:tcPr>
            <w:tcW w:w="2123" w:type="dxa"/>
            <w:tcBorders>
              <w:top w:val="single" w:sz="16" w:space="0" w:color="000000" w:themeColor="text1"/>
              <w:bottom w:val="single" w:sz="16" w:space="0" w:color="000000" w:themeColor="text1"/>
            </w:tcBorders>
            <w:shd w:val="clear" w:color="auto" w:fill="FFFFFF" w:themeFill="background1"/>
            <w:tcMar>
              <w:top w:w="0" w:type="dxa"/>
              <w:left w:w="0" w:type="dxa"/>
              <w:bottom w:w="0" w:type="dxa"/>
              <w:right w:w="0" w:type="dxa"/>
            </w:tcMar>
            <w:vAlign w:val="center"/>
          </w:tcPr>
          <w:p w14:paraId="6175102F"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Covid-19 cohort</w:t>
            </w:r>
          </w:p>
        </w:tc>
        <w:tc>
          <w:tcPr>
            <w:tcW w:w="2123" w:type="dxa"/>
            <w:tcBorders>
              <w:top w:val="single" w:sz="16" w:space="0" w:color="000000" w:themeColor="text1"/>
              <w:bottom w:val="single" w:sz="16" w:space="0" w:color="000000" w:themeColor="text1"/>
            </w:tcBorders>
            <w:shd w:val="clear" w:color="auto" w:fill="FFFFFF" w:themeFill="background1"/>
            <w:tcMar>
              <w:top w:w="0" w:type="dxa"/>
              <w:left w:w="0" w:type="dxa"/>
              <w:bottom w:w="0" w:type="dxa"/>
              <w:right w:w="0" w:type="dxa"/>
            </w:tcMar>
            <w:vAlign w:val="center"/>
          </w:tcPr>
          <w:p w14:paraId="62FAC65F"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Pre-pandemic cohort</w:t>
            </w:r>
          </w:p>
        </w:tc>
        <w:tc>
          <w:tcPr>
            <w:tcW w:w="1048" w:type="dxa"/>
            <w:tcBorders>
              <w:top w:val="single" w:sz="16" w:space="0" w:color="000000" w:themeColor="text1"/>
              <w:bottom w:val="single" w:sz="16" w:space="0" w:color="000000" w:themeColor="text1"/>
            </w:tcBorders>
            <w:shd w:val="clear" w:color="auto" w:fill="FFFFFF" w:themeFill="background1"/>
            <w:tcMar>
              <w:top w:w="0" w:type="dxa"/>
              <w:left w:w="0" w:type="dxa"/>
              <w:bottom w:w="0" w:type="dxa"/>
              <w:right w:w="0" w:type="dxa"/>
            </w:tcMar>
            <w:vAlign w:val="center"/>
          </w:tcPr>
          <w:p w14:paraId="4999088C"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p-value</w:t>
            </w:r>
          </w:p>
        </w:tc>
      </w:tr>
      <w:tr w:rsidR="00B77386" w:rsidRPr="00D7026D" w14:paraId="1E43227C" w14:textId="77777777" w:rsidTr="4E4A2F72">
        <w:trPr>
          <w:cantSplit/>
          <w:trHeight w:val="507"/>
          <w:jc w:val="center"/>
        </w:trPr>
        <w:tc>
          <w:tcPr>
            <w:tcW w:w="2077" w:type="dxa"/>
            <w:shd w:val="clear" w:color="auto" w:fill="FFFFFF" w:themeFill="background1"/>
            <w:tcMar>
              <w:top w:w="0" w:type="dxa"/>
              <w:left w:w="0" w:type="dxa"/>
              <w:bottom w:w="0" w:type="dxa"/>
              <w:right w:w="0" w:type="dxa"/>
            </w:tcMar>
            <w:vAlign w:val="center"/>
          </w:tcPr>
          <w:p w14:paraId="37BC936A"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Total N (%)</w:t>
            </w:r>
          </w:p>
        </w:tc>
        <w:tc>
          <w:tcPr>
            <w:tcW w:w="2886" w:type="dxa"/>
            <w:shd w:val="clear" w:color="auto" w:fill="FFFFFF" w:themeFill="background1"/>
            <w:tcMar>
              <w:top w:w="0" w:type="dxa"/>
              <w:left w:w="0" w:type="dxa"/>
              <w:bottom w:w="0" w:type="dxa"/>
              <w:right w:w="0" w:type="dxa"/>
            </w:tcMar>
            <w:vAlign w:val="center"/>
          </w:tcPr>
          <w:p w14:paraId="58702CB6" w14:textId="77777777" w:rsidR="00B77386" w:rsidRPr="00D7026D" w:rsidRDefault="00B77386" w:rsidP="00817CE0">
            <w:pPr>
              <w:spacing w:before="40" w:after="40"/>
              <w:ind w:left="100" w:right="100"/>
              <w:jc w:val="right"/>
              <w:rPr>
                <w:rFonts w:asciiTheme="majorHAnsi" w:hAnsiTheme="majorHAnsi" w:cstheme="majorHAnsi"/>
                <w:sz w:val="16"/>
                <w:szCs w:val="16"/>
              </w:rPr>
            </w:pPr>
          </w:p>
        </w:tc>
        <w:tc>
          <w:tcPr>
            <w:tcW w:w="2123" w:type="dxa"/>
            <w:shd w:val="clear" w:color="auto" w:fill="FFFFFF" w:themeFill="background1"/>
            <w:tcMar>
              <w:top w:w="0" w:type="dxa"/>
              <w:left w:w="0" w:type="dxa"/>
              <w:bottom w:w="0" w:type="dxa"/>
              <w:right w:w="0" w:type="dxa"/>
            </w:tcMar>
            <w:vAlign w:val="center"/>
          </w:tcPr>
          <w:p w14:paraId="62702ED6"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92 (27.7)</w:t>
            </w:r>
          </w:p>
        </w:tc>
        <w:tc>
          <w:tcPr>
            <w:tcW w:w="2123" w:type="dxa"/>
            <w:shd w:val="clear" w:color="auto" w:fill="FFFFFF" w:themeFill="background1"/>
            <w:tcMar>
              <w:top w:w="0" w:type="dxa"/>
              <w:left w:w="0" w:type="dxa"/>
              <w:bottom w:w="0" w:type="dxa"/>
              <w:right w:w="0" w:type="dxa"/>
            </w:tcMar>
            <w:vAlign w:val="center"/>
          </w:tcPr>
          <w:p w14:paraId="04C1B717"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240 (72.3)</w:t>
            </w:r>
          </w:p>
        </w:tc>
        <w:tc>
          <w:tcPr>
            <w:tcW w:w="1048" w:type="dxa"/>
            <w:shd w:val="clear" w:color="auto" w:fill="FFFFFF" w:themeFill="background1"/>
            <w:tcMar>
              <w:top w:w="0" w:type="dxa"/>
              <w:left w:w="0" w:type="dxa"/>
              <w:bottom w:w="0" w:type="dxa"/>
              <w:right w:w="0" w:type="dxa"/>
            </w:tcMar>
            <w:vAlign w:val="center"/>
          </w:tcPr>
          <w:p w14:paraId="16999DB0" w14:textId="77777777" w:rsidR="00B77386" w:rsidRPr="00D7026D" w:rsidRDefault="00B77386" w:rsidP="00817CE0">
            <w:pPr>
              <w:spacing w:before="40" w:after="40"/>
              <w:ind w:left="100" w:right="100"/>
              <w:jc w:val="right"/>
              <w:rPr>
                <w:rFonts w:asciiTheme="majorHAnsi" w:hAnsiTheme="majorHAnsi" w:cstheme="majorHAnsi"/>
                <w:sz w:val="16"/>
                <w:szCs w:val="16"/>
              </w:rPr>
            </w:pPr>
          </w:p>
        </w:tc>
      </w:tr>
      <w:tr w:rsidR="00B77386" w:rsidRPr="00D7026D" w14:paraId="5419BB1B" w14:textId="77777777" w:rsidTr="4E4A2F72">
        <w:trPr>
          <w:cantSplit/>
          <w:trHeight w:val="478"/>
          <w:jc w:val="center"/>
        </w:trPr>
        <w:tc>
          <w:tcPr>
            <w:tcW w:w="2077" w:type="dxa"/>
            <w:shd w:val="clear" w:color="auto" w:fill="FFFFFF" w:themeFill="background1"/>
            <w:tcMar>
              <w:top w:w="0" w:type="dxa"/>
              <w:left w:w="0" w:type="dxa"/>
              <w:bottom w:w="0" w:type="dxa"/>
              <w:right w:w="0" w:type="dxa"/>
            </w:tcMar>
            <w:vAlign w:val="center"/>
          </w:tcPr>
          <w:p w14:paraId="108EB5B5"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Age</w:t>
            </w:r>
          </w:p>
        </w:tc>
        <w:tc>
          <w:tcPr>
            <w:tcW w:w="2886" w:type="dxa"/>
            <w:shd w:val="clear" w:color="auto" w:fill="FFFFFF" w:themeFill="background1"/>
            <w:tcMar>
              <w:top w:w="0" w:type="dxa"/>
              <w:left w:w="0" w:type="dxa"/>
              <w:bottom w:w="0" w:type="dxa"/>
              <w:right w:w="0" w:type="dxa"/>
            </w:tcMar>
            <w:vAlign w:val="center"/>
          </w:tcPr>
          <w:p w14:paraId="4DDD9F3E"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Median (IQR)</w:t>
            </w:r>
          </w:p>
        </w:tc>
        <w:tc>
          <w:tcPr>
            <w:tcW w:w="2123" w:type="dxa"/>
            <w:shd w:val="clear" w:color="auto" w:fill="FFFFFF" w:themeFill="background1"/>
            <w:tcMar>
              <w:top w:w="0" w:type="dxa"/>
              <w:left w:w="0" w:type="dxa"/>
              <w:bottom w:w="0" w:type="dxa"/>
              <w:right w:w="0" w:type="dxa"/>
            </w:tcMar>
            <w:vAlign w:val="center"/>
          </w:tcPr>
          <w:p w14:paraId="4A32FA18"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59.7 (51.1 to 64.5)</w:t>
            </w:r>
          </w:p>
        </w:tc>
        <w:tc>
          <w:tcPr>
            <w:tcW w:w="2123" w:type="dxa"/>
            <w:shd w:val="clear" w:color="auto" w:fill="FFFFFF" w:themeFill="background1"/>
            <w:tcMar>
              <w:top w:w="0" w:type="dxa"/>
              <w:left w:w="0" w:type="dxa"/>
              <w:bottom w:w="0" w:type="dxa"/>
              <w:right w:w="0" w:type="dxa"/>
            </w:tcMar>
            <w:vAlign w:val="center"/>
          </w:tcPr>
          <w:p w14:paraId="20B14C21"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62.0 (52.0 to 70.0)</w:t>
            </w:r>
          </w:p>
        </w:tc>
        <w:tc>
          <w:tcPr>
            <w:tcW w:w="1048" w:type="dxa"/>
            <w:shd w:val="clear" w:color="auto" w:fill="FFFFFF" w:themeFill="background1"/>
            <w:tcMar>
              <w:top w:w="0" w:type="dxa"/>
              <w:left w:w="0" w:type="dxa"/>
              <w:bottom w:w="0" w:type="dxa"/>
              <w:right w:w="0" w:type="dxa"/>
            </w:tcMar>
            <w:vAlign w:val="center"/>
          </w:tcPr>
          <w:p w14:paraId="4CC2468F"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0.017</w:t>
            </w:r>
          </w:p>
        </w:tc>
      </w:tr>
      <w:tr w:rsidR="00B77386" w:rsidRPr="00D7026D" w14:paraId="562FAC3C" w14:textId="77777777" w:rsidTr="4E4A2F72">
        <w:trPr>
          <w:cantSplit/>
          <w:trHeight w:val="478"/>
          <w:jc w:val="center"/>
        </w:trPr>
        <w:tc>
          <w:tcPr>
            <w:tcW w:w="2077" w:type="dxa"/>
            <w:shd w:val="clear" w:color="auto" w:fill="FFFFFF" w:themeFill="background1"/>
            <w:tcMar>
              <w:top w:w="0" w:type="dxa"/>
              <w:left w:w="0" w:type="dxa"/>
              <w:bottom w:w="0" w:type="dxa"/>
              <w:right w:w="0" w:type="dxa"/>
            </w:tcMar>
            <w:vAlign w:val="center"/>
          </w:tcPr>
          <w:p w14:paraId="7A2BEEDF"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Sex</w:t>
            </w:r>
          </w:p>
        </w:tc>
        <w:tc>
          <w:tcPr>
            <w:tcW w:w="2886" w:type="dxa"/>
            <w:shd w:val="clear" w:color="auto" w:fill="FFFFFF" w:themeFill="background1"/>
            <w:tcMar>
              <w:top w:w="0" w:type="dxa"/>
              <w:left w:w="0" w:type="dxa"/>
              <w:bottom w:w="0" w:type="dxa"/>
              <w:right w:w="0" w:type="dxa"/>
            </w:tcMar>
            <w:vAlign w:val="center"/>
          </w:tcPr>
          <w:p w14:paraId="0277C8B7"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Male</w:t>
            </w:r>
          </w:p>
        </w:tc>
        <w:tc>
          <w:tcPr>
            <w:tcW w:w="2123" w:type="dxa"/>
            <w:shd w:val="clear" w:color="auto" w:fill="FFFFFF" w:themeFill="background1"/>
            <w:tcMar>
              <w:top w:w="0" w:type="dxa"/>
              <w:left w:w="0" w:type="dxa"/>
              <w:bottom w:w="0" w:type="dxa"/>
              <w:right w:w="0" w:type="dxa"/>
            </w:tcMar>
            <w:vAlign w:val="center"/>
          </w:tcPr>
          <w:p w14:paraId="485BD6F1"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65 (70.7)</w:t>
            </w:r>
          </w:p>
        </w:tc>
        <w:tc>
          <w:tcPr>
            <w:tcW w:w="2123" w:type="dxa"/>
            <w:shd w:val="clear" w:color="auto" w:fill="FFFFFF" w:themeFill="background1"/>
            <w:tcMar>
              <w:top w:w="0" w:type="dxa"/>
              <w:left w:w="0" w:type="dxa"/>
              <w:bottom w:w="0" w:type="dxa"/>
              <w:right w:w="0" w:type="dxa"/>
            </w:tcMar>
            <w:vAlign w:val="center"/>
          </w:tcPr>
          <w:p w14:paraId="0651B9D1"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137 (57.1)</w:t>
            </w:r>
          </w:p>
        </w:tc>
        <w:tc>
          <w:tcPr>
            <w:tcW w:w="1048" w:type="dxa"/>
            <w:shd w:val="clear" w:color="auto" w:fill="FFFFFF" w:themeFill="background1"/>
            <w:tcMar>
              <w:top w:w="0" w:type="dxa"/>
              <w:left w:w="0" w:type="dxa"/>
              <w:bottom w:w="0" w:type="dxa"/>
              <w:right w:w="0" w:type="dxa"/>
            </w:tcMar>
            <w:vAlign w:val="center"/>
          </w:tcPr>
          <w:p w14:paraId="08523E60"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0.032</w:t>
            </w:r>
          </w:p>
        </w:tc>
      </w:tr>
      <w:tr w:rsidR="00B77386" w:rsidRPr="00D7026D" w14:paraId="28BFDDFC" w14:textId="77777777" w:rsidTr="4E4A2F72">
        <w:trPr>
          <w:cantSplit/>
          <w:trHeight w:val="478"/>
          <w:jc w:val="center"/>
        </w:trPr>
        <w:tc>
          <w:tcPr>
            <w:tcW w:w="2077" w:type="dxa"/>
            <w:shd w:val="clear" w:color="auto" w:fill="FFFFFF" w:themeFill="background1"/>
            <w:tcMar>
              <w:top w:w="0" w:type="dxa"/>
              <w:left w:w="0" w:type="dxa"/>
              <w:bottom w:w="0" w:type="dxa"/>
              <w:right w:w="0" w:type="dxa"/>
            </w:tcMar>
            <w:vAlign w:val="center"/>
          </w:tcPr>
          <w:p w14:paraId="7DEF5EF2" w14:textId="77777777" w:rsidR="00B77386" w:rsidRPr="00D7026D" w:rsidRDefault="00B77386" w:rsidP="00817CE0">
            <w:pPr>
              <w:spacing w:before="40" w:after="40"/>
              <w:ind w:left="100" w:right="100"/>
              <w:jc w:val="right"/>
              <w:rPr>
                <w:rFonts w:asciiTheme="majorHAnsi" w:hAnsiTheme="majorHAnsi" w:cstheme="majorHAnsi"/>
                <w:sz w:val="16"/>
                <w:szCs w:val="16"/>
              </w:rPr>
            </w:pPr>
          </w:p>
        </w:tc>
        <w:tc>
          <w:tcPr>
            <w:tcW w:w="2886" w:type="dxa"/>
            <w:shd w:val="clear" w:color="auto" w:fill="FFFFFF" w:themeFill="background1"/>
            <w:tcMar>
              <w:top w:w="0" w:type="dxa"/>
              <w:left w:w="0" w:type="dxa"/>
              <w:bottom w:w="0" w:type="dxa"/>
              <w:right w:w="0" w:type="dxa"/>
            </w:tcMar>
            <w:vAlign w:val="center"/>
          </w:tcPr>
          <w:p w14:paraId="631A725B"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Female</w:t>
            </w:r>
          </w:p>
        </w:tc>
        <w:tc>
          <w:tcPr>
            <w:tcW w:w="2123" w:type="dxa"/>
            <w:shd w:val="clear" w:color="auto" w:fill="FFFFFF" w:themeFill="background1"/>
            <w:tcMar>
              <w:top w:w="0" w:type="dxa"/>
              <w:left w:w="0" w:type="dxa"/>
              <w:bottom w:w="0" w:type="dxa"/>
              <w:right w:w="0" w:type="dxa"/>
            </w:tcMar>
            <w:vAlign w:val="center"/>
          </w:tcPr>
          <w:p w14:paraId="08A2046C"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27 (29.3)</w:t>
            </w:r>
          </w:p>
        </w:tc>
        <w:tc>
          <w:tcPr>
            <w:tcW w:w="2123" w:type="dxa"/>
            <w:shd w:val="clear" w:color="auto" w:fill="FFFFFF" w:themeFill="background1"/>
            <w:tcMar>
              <w:top w:w="0" w:type="dxa"/>
              <w:left w:w="0" w:type="dxa"/>
              <w:bottom w:w="0" w:type="dxa"/>
              <w:right w:w="0" w:type="dxa"/>
            </w:tcMar>
            <w:vAlign w:val="center"/>
          </w:tcPr>
          <w:p w14:paraId="4A906446"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103 (42.9)</w:t>
            </w:r>
          </w:p>
        </w:tc>
        <w:tc>
          <w:tcPr>
            <w:tcW w:w="1048" w:type="dxa"/>
            <w:shd w:val="clear" w:color="auto" w:fill="FFFFFF" w:themeFill="background1"/>
            <w:tcMar>
              <w:top w:w="0" w:type="dxa"/>
              <w:left w:w="0" w:type="dxa"/>
              <w:bottom w:w="0" w:type="dxa"/>
              <w:right w:w="0" w:type="dxa"/>
            </w:tcMar>
            <w:vAlign w:val="center"/>
          </w:tcPr>
          <w:p w14:paraId="20639E62" w14:textId="77777777" w:rsidR="00B77386" w:rsidRPr="00D7026D" w:rsidRDefault="00B77386" w:rsidP="00817CE0">
            <w:pPr>
              <w:spacing w:before="40" w:after="40"/>
              <w:ind w:left="100" w:right="100"/>
              <w:jc w:val="right"/>
              <w:rPr>
                <w:rFonts w:asciiTheme="majorHAnsi" w:hAnsiTheme="majorHAnsi" w:cstheme="majorHAnsi"/>
                <w:sz w:val="16"/>
                <w:szCs w:val="16"/>
              </w:rPr>
            </w:pPr>
          </w:p>
        </w:tc>
      </w:tr>
      <w:tr w:rsidR="00B77386" w:rsidRPr="00D7026D" w14:paraId="04EF564C" w14:textId="77777777" w:rsidTr="4E4A2F72">
        <w:trPr>
          <w:cantSplit/>
          <w:trHeight w:val="478"/>
          <w:jc w:val="center"/>
        </w:trPr>
        <w:tc>
          <w:tcPr>
            <w:tcW w:w="2077" w:type="dxa"/>
            <w:shd w:val="clear" w:color="auto" w:fill="FFFFFF" w:themeFill="background1"/>
            <w:tcMar>
              <w:top w:w="0" w:type="dxa"/>
              <w:left w:w="0" w:type="dxa"/>
              <w:bottom w:w="0" w:type="dxa"/>
              <w:right w:w="0" w:type="dxa"/>
            </w:tcMar>
            <w:vAlign w:val="center"/>
          </w:tcPr>
          <w:p w14:paraId="63B3D1DB"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Number of comorbidities</w:t>
            </w:r>
          </w:p>
        </w:tc>
        <w:tc>
          <w:tcPr>
            <w:tcW w:w="2886" w:type="dxa"/>
            <w:shd w:val="clear" w:color="auto" w:fill="FFFFFF" w:themeFill="background1"/>
            <w:tcMar>
              <w:top w:w="0" w:type="dxa"/>
              <w:left w:w="0" w:type="dxa"/>
              <w:bottom w:w="0" w:type="dxa"/>
              <w:right w:w="0" w:type="dxa"/>
            </w:tcMar>
            <w:vAlign w:val="center"/>
          </w:tcPr>
          <w:p w14:paraId="04869913"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Median (IQR)</w:t>
            </w:r>
          </w:p>
        </w:tc>
        <w:tc>
          <w:tcPr>
            <w:tcW w:w="2123" w:type="dxa"/>
            <w:shd w:val="clear" w:color="auto" w:fill="FFFFFF" w:themeFill="background1"/>
            <w:tcMar>
              <w:top w:w="0" w:type="dxa"/>
              <w:left w:w="0" w:type="dxa"/>
              <w:bottom w:w="0" w:type="dxa"/>
              <w:right w:w="0" w:type="dxa"/>
            </w:tcMar>
            <w:vAlign w:val="center"/>
          </w:tcPr>
          <w:p w14:paraId="3AAB3190"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1.0 (0.0 to 2.0)</w:t>
            </w:r>
          </w:p>
        </w:tc>
        <w:tc>
          <w:tcPr>
            <w:tcW w:w="2123" w:type="dxa"/>
            <w:shd w:val="clear" w:color="auto" w:fill="FFFFFF" w:themeFill="background1"/>
            <w:tcMar>
              <w:top w:w="0" w:type="dxa"/>
              <w:left w:w="0" w:type="dxa"/>
              <w:bottom w:w="0" w:type="dxa"/>
              <w:right w:w="0" w:type="dxa"/>
            </w:tcMar>
            <w:vAlign w:val="center"/>
          </w:tcPr>
          <w:p w14:paraId="54993BFA"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2.0 (1.0 to 4.0)</w:t>
            </w:r>
          </w:p>
        </w:tc>
        <w:tc>
          <w:tcPr>
            <w:tcW w:w="1048" w:type="dxa"/>
            <w:shd w:val="clear" w:color="auto" w:fill="FFFFFF" w:themeFill="background1"/>
            <w:tcMar>
              <w:top w:w="0" w:type="dxa"/>
              <w:left w:w="0" w:type="dxa"/>
              <w:bottom w:w="0" w:type="dxa"/>
              <w:right w:w="0" w:type="dxa"/>
            </w:tcMar>
            <w:vAlign w:val="center"/>
          </w:tcPr>
          <w:p w14:paraId="159EB76C"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&lt;0.001</w:t>
            </w:r>
          </w:p>
        </w:tc>
      </w:tr>
      <w:tr w:rsidR="00B77386" w:rsidRPr="00D7026D" w14:paraId="487D1FE0" w14:textId="77777777" w:rsidTr="4E4A2F72">
        <w:trPr>
          <w:cantSplit/>
          <w:trHeight w:val="478"/>
          <w:jc w:val="center"/>
        </w:trPr>
        <w:tc>
          <w:tcPr>
            <w:tcW w:w="2077" w:type="dxa"/>
            <w:shd w:val="clear" w:color="auto" w:fill="FFFFFF" w:themeFill="background1"/>
            <w:tcMar>
              <w:top w:w="0" w:type="dxa"/>
              <w:left w:w="0" w:type="dxa"/>
              <w:bottom w:w="0" w:type="dxa"/>
              <w:right w:w="0" w:type="dxa"/>
            </w:tcMar>
            <w:vAlign w:val="center"/>
          </w:tcPr>
          <w:p w14:paraId="6CCE4D97"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Comorbidities or not</w:t>
            </w:r>
          </w:p>
        </w:tc>
        <w:tc>
          <w:tcPr>
            <w:tcW w:w="2886" w:type="dxa"/>
            <w:shd w:val="clear" w:color="auto" w:fill="FFFFFF" w:themeFill="background1"/>
            <w:tcMar>
              <w:top w:w="0" w:type="dxa"/>
              <w:left w:w="0" w:type="dxa"/>
              <w:bottom w:w="0" w:type="dxa"/>
              <w:right w:w="0" w:type="dxa"/>
            </w:tcMar>
            <w:vAlign w:val="center"/>
          </w:tcPr>
          <w:p w14:paraId="41838B99"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No comorbidities</w:t>
            </w:r>
          </w:p>
        </w:tc>
        <w:tc>
          <w:tcPr>
            <w:tcW w:w="2123" w:type="dxa"/>
            <w:shd w:val="clear" w:color="auto" w:fill="FFFFFF" w:themeFill="background1"/>
            <w:tcMar>
              <w:top w:w="0" w:type="dxa"/>
              <w:left w:w="0" w:type="dxa"/>
              <w:bottom w:w="0" w:type="dxa"/>
              <w:right w:w="0" w:type="dxa"/>
            </w:tcMar>
            <w:vAlign w:val="center"/>
          </w:tcPr>
          <w:p w14:paraId="6E8F3C3A"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35 (38.0)</w:t>
            </w:r>
          </w:p>
        </w:tc>
        <w:tc>
          <w:tcPr>
            <w:tcW w:w="2123" w:type="dxa"/>
            <w:shd w:val="clear" w:color="auto" w:fill="FFFFFF" w:themeFill="background1"/>
            <w:tcMar>
              <w:top w:w="0" w:type="dxa"/>
              <w:left w:w="0" w:type="dxa"/>
              <w:bottom w:w="0" w:type="dxa"/>
              <w:right w:w="0" w:type="dxa"/>
            </w:tcMar>
            <w:vAlign w:val="center"/>
          </w:tcPr>
          <w:p w14:paraId="08068080"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29 (12.1)</w:t>
            </w:r>
          </w:p>
        </w:tc>
        <w:tc>
          <w:tcPr>
            <w:tcW w:w="1048" w:type="dxa"/>
            <w:shd w:val="clear" w:color="auto" w:fill="FFFFFF" w:themeFill="background1"/>
            <w:tcMar>
              <w:top w:w="0" w:type="dxa"/>
              <w:left w:w="0" w:type="dxa"/>
              <w:bottom w:w="0" w:type="dxa"/>
              <w:right w:w="0" w:type="dxa"/>
            </w:tcMar>
            <w:vAlign w:val="center"/>
          </w:tcPr>
          <w:p w14:paraId="7C7C52B0"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&lt;0.001</w:t>
            </w:r>
          </w:p>
        </w:tc>
      </w:tr>
      <w:tr w:rsidR="00B77386" w:rsidRPr="00D7026D" w14:paraId="782012D8" w14:textId="77777777" w:rsidTr="4E4A2F72">
        <w:trPr>
          <w:cantSplit/>
          <w:trHeight w:val="507"/>
          <w:jc w:val="center"/>
        </w:trPr>
        <w:tc>
          <w:tcPr>
            <w:tcW w:w="2077" w:type="dxa"/>
            <w:shd w:val="clear" w:color="auto" w:fill="FFFFFF" w:themeFill="background1"/>
            <w:tcMar>
              <w:top w:w="0" w:type="dxa"/>
              <w:left w:w="0" w:type="dxa"/>
              <w:bottom w:w="0" w:type="dxa"/>
              <w:right w:w="0" w:type="dxa"/>
            </w:tcMar>
            <w:vAlign w:val="center"/>
          </w:tcPr>
          <w:p w14:paraId="033CAA9F" w14:textId="77777777" w:rsidR="00B77386" w:rsidRPr="00D7026D" w:rsidRDefault="00B77386" w:rsidP="00817CE0">
            <w:pPr>
              <w:spacing w:before="40" w:after="40"/>
              <w:ind w:left="100" w:right="100"/>
              <w:jc w:val="right"/>
              <w:rPr>
                <w:rFonts w:asciiTheme="majorHAnsi" w:hAnsiTheme="majorHAnsi" w:cstheme="majorHAnsi"/>
                <w:sz w:val="16"/>
                <w:szCs w:val="16"/>
              </w:rPr>
            </w:pPr>
          </w:p>
        </w:tc>
        <w:tc>
          <w:tcPr>
            <w:tcW w:w="2886" w:type="dxa"/>
            <w:shd w:val="clear" w:color="auto" w:fill="FFFFFF" w:themeFill="background1"/>
            <w:tcMar>
              <w:top w:w="0" w:type="dxa"/>
              <w:left w:w="0" w:type="dxa"/>
              <w:bottom w:w="0" w:type="dxa"/>
              <w:right w:w="0" w:type="dxa"/>
            </w:tcMar>
            <w:vAlign w:val="center"/>
          </w:tcPr>
          <w:p w14:paraId="496A4BDC"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One or more comorbidities</w:t>
            </w:r>
          </w:p>
        </w:tc>
        <w:tc>
          <w:tcPr>
            <w:tcW w:w="2123" w:type="dxa"/>
            <w:shd w:val="clear" w:color="auto" w:fill="FFFFFF" w:themeFill="background1"/>
            <w:tcMar>
              <w:top w:w="0" w:type="dxa"/>
              <w:left w:w="0" w:type="dxa"/>
              <w:bottom w:w="0" w:type="dxa"/>
              <w:right w:w="0" w:type="dxa"/>
            </w:tcMar>
            <w:vAlign w:val="center"/>
          </w:tcPr>
          <w:p w14:paraId="0DED1650"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57 (62.0)</w:t>
            </w:r>
          </w:p>
        </w:tc>
        <w:tc>
          <w:tcPr>
            <w:tcW w:w="2123" w:type="dxa"/>
            <w:shd w:val="clear" w:color="auto" w:fill="FFFFFF" w:themeFill="background1"/>
            <w:tcMar>
              <w:top w:w="0" w:type="dxa"/>
              <w:left w:w="0" w:type="dxa"/>
              <w:bottom w:w="0" w:type="dxa"/>
              <w:right w:w="0" w:type="dxa"/>
            </w:tcMar>
            <w:vAlign w:val="center"/>
          </w:tcPr>
          <w:p w14:paraId="5B7DA7F1"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211 (87.9)</w:t>
            </w:r>
          </w:p>
        </w:tc>
        <w:tc>
          <w:tcPr>
            <w:tcW w:w="1048" w:type="dxa"/>
            <w:shd w:val="clear" w:color="auto" w:fill="FFFFFF" w:themeFill="background1"/>
            <w:tcMar>
              <w:top w:w="0" w:type="dxa"/>
              <w:left w:w="0" w:type="dxa"/>
              <w:bottom w:w="0" w:type="dxa"/>
              <w:right w:w="0" w:type="dxa"/>
            </w:tcMar>
            <w:vAlign w:val="center"/>
          </w:tcPr>
          <w:p w14:paraId="7EA0C12F" w14:textId="77777777" w:rsidR="00B77386" w:rsidRPr="00D7026D" w:rsidRDefault="00B77386" w:rsidP="00817CE0">
            <w:pPr>
              <w:spacing w:before="40" w:after="40"/>
              <w:ind w:left="100" w:right="100"/>
              <w:jc w:val="right"/>
              <w:rPr>
                <w:rFonts w:asciiTheme="majorHAnsi" w:hAnsiTheme="majorHAnsi" w:cstheme="majorHAnsi"/>
                <w:sz w:val="16"/>
                <w:szCs w:val="16"/>
              </w:rPr>
            </w:pPr>
          </w:p>
        </w:tc>
      </w:tr>
      <w:tr w:rsidR="00B77386" w:rsidRPr="00D7026D" w14:paraId="75A4937F" w14:textId="77777777" w:rsidTr="4E4A2F72">
        <w:trPr>
          <w:cantSplit/>
          <w:trHeight w:val="478"/>
          <w:jc w:val="center"/>
        </w:trPr>
        <w:tc>
          <w:tcPr>
            <w:tcW w:w="2077" w:type="dxa"/>
            <w:shd w:val="clear" w:color="auto" w:fill="FFFFFF" w:themeFill="background1"/>
            <w:tcMar>
              <w:top w:w="0" w:type="dxa"/>
              <w:left w:w="0" w:type="dxa"/>
              <w:bottom w:w="0" w:type="dxa"/>
              <w:right w:w="0" w:type="dxa"/>
            </w:tcMar>
            <w:vAlign w:val="center"/>
          </w:tcPr>
          <w:p w14:paraId="017FE288"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Deprivation</w:t>
            </w:r>
          </w:p>
        </w:tc>
        <w:tc>
          <w:tcPr>
            <w:tcW w:w="2886" w:type="dxa"/>
            <w:shd w:val="clear" w:color="auto" w:fill="FFFFFF" w:themeFill="background1"/>
            <w:tcMar>
              <w:top w:w="0" w:type="dxa"/>
              <w:left w:w="0" w:type="dxa"/>
              <w:bottom w:w="0" w:type="dxa"/>
              <w:right w:w="0" w:type="dxa"/>
            </w:tcMar>
            <w:vAlign w:val="center"/>
          </w:tcPr>
          <w:p w14:paraId="22222AD7"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Most deprived 1</w:t>
            </w:r>
          </w:p>
        </w:tc>
        <w:tc>
          <w:tcPr>
            <w:tcW w:w="2123" w:type="dxa"/>
            <w:shd w:val="clear" w:color="auto" w:fill="FFFFFF" w:themeFill="background1"/>
            <w:tcMar>
              <w:top w:w="0" w:type="dxa"/>
              <w:left w:w="0" w:type="dxa"/>
              <w:bottom w:w="0" w:type="dxa"/>
              <w:right w:w="0" w:type="dxa"/>
            </w:tcMar>
            <w:vAlign w:val="center"/>
          </w:tcPr>
          <w:p w14:paraId="13D22CC3"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10 (10.9)</w:t>
            </w:r>
          </w:p>
        </w:tc>
        <w:tc>
          <w:tcPr>
            <w:tcW w:w="2123" w:type="dxa"/>
            <w:shd w:val="clear" w:color="auto" w:fill="FFFFFF" w:themeFill="background1"/>
            <w:tcMar>
              <w:top w:w="0" w:type="dxa"/>
              <w:left w:w="0" w:type="dxa"/>
              <w:bottom w:w="0" w:type="dxa"/>
              <w:right w:w="0" w:type="dxa"/>
            </w:tcMar>
            <w:vAlign w:val="center"/>
          </w:tcPr>
          <w:p w14:paraId="010BEBBB"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33 (13.8)</w:t>
            </w:r>
          </w:p>
        </w:tc>
        <w:tc>
          <w:tcPr>
            <w:tcW w:w="1048" w:type="dxa"/>
            <w:shd w:val="clear" w:color="auto" w:fill="FFFFFF" w:themeFill="background1"/>
            <w:tcMar>
              <w:top w:w="0" w:type="dxa"/>
              <w:left w:w="0" w:type="dxa"/>
              <w:bottom w:w="0" w:type="dxa"/>
              <w:right w:w="0" w:type="dxa"/>
            </w:tcMar>
            <w:vAlign w:val="center"/>
          </w:tcPr>
          <w:p w14:paraId="415F0737"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0.277</w:t>
            </w:r>
          </w:p>
        </w:tc>
      </w:tr>
      <w:tr w:rsidR="00B77386" w:rsidRPr="00D7026D" w14:paraId="7A2A04AC" w14:textId="77777777" w:rsidTr="4E4A2F72">
        <w:trPr>
          <w:cantSplit/>
          <w:trHeight w:val="478"/>
          <w:jc w:val="center"/>
        </w:trPr>
        <w:tc>
          <w:tcPr>
            <w:tcW w:w="2077" w:type="dxa"/>
            <w:shd w:val="clear" w:color="auto" w:fill="FFFFFF" w:themeFill="background1"/>
            <w:tcMar>
              <w:top w:w="0" w:type="dxa"/>
              <w:left w:w="0" w:type="dxa"/>
              <w:bottom w:w="0" w:type="dxa"/>
              <w:right w:w="0" w:type="dxa"/>
            </w:tcMar>
            <w:vAlign w:val="center"/>
          </w:tcPr>
          <w:p w14:paraId="45BB59E9" w14:textId="77777777" w:rsidR="00B77386" w:rsidRPr="00D7026D" w:rsidRDefault="00B77386" w:rsidP="00817CE0">
            <w:pPr>
              <w:spacing w:before="40" w:after="40"/>
              <w:ind w:left="100" w:right="100"/>
              <w:jc w:val="right"/>
              <w:rPr>
                <w:rFonts w:asciiTheme="majorHAnsi" w:hAnsiTheme="majorHAnsi" w:cstheme="majorHAnsi"/>
                <w:sz w:val="16"/>
                <w:szCs w:val="16"/>
              </w:rPr>
            </w:pPr>
          </w:p>
        </w:tc>
        <w:tc>
          <w:tcPr>
            <w:tcW w:w="2886" w:type="dxa"/>
            <w:shd w:val="clear" w:color="auto" w:fill="FFFFFF" w:themeFill="background1"/>
            <w:tcMar>
              <w:top w:w="0" w:type="dxa"/>
              <w:left w:w="0" w:type="dxa"/>
              <w:bottom w:w="0" w:type="dxa"/>
              <w:right w:w="0" w:type="dxa"/>
            </w:tcMar>
            <w:vAlign w:val="center"/>
          </w:tcPr>
          <w:p w14:paraId="3F751357"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2</w:t>
            </w:r>
          </w:p>
        </w:tc>
        <w:tc>
          <w:tcPr>
            <w:tcW w:w="2123" w:type="dxa"/>
            <w:shd w:val="clear" w:color="auto" w:fill="FFFFFF" w:themeFill="background1"/>
            <w:tcMar>
              <w:top w:w="0" w:type="dxa"/>
              <w:left w:w="0" w:type="dxa"/>
              <w:bottom w:w="0" w:type="dxa"/>
              <w:right w:w="0" w:type="dxa"/>
            </w:tcMar>
            <w:vAlign w:val="center"/>
          </w:tcPr>
          <w:p w14:paraId="0973C654"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19 (20.7)</w:t>
            </w:r>
          </w:p>
        </w:tc>
        <w:tc>
          <w:tcPr>
            <w:tcW w:w="2123" w:type="dxa"/>
            <w:shd w:val="clear" w:color="auto" w:fill="FFFFFF" w:themeFill="background1"/>
            <w:tcMar>
              <w:top w:w="0" w:type="dxa"/>
              <w:left w:w="0" w:type="dxa"/>
              <w:bottom w:w="0" w:type="dxa"/>
              <w:right w:w="0" w:type="dxa"/>
            </w:tcMar>
            <w:vAlign w:val="center"/>
          </w:tcPr>
          <w:p w14:paraId="398C3033"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60 (25.0)</w:t>
            </w:r>
          </w:p>
        </w:tc>
        <w:tc>
          <w:tcPr>
            <w:tcW w:w="1048" w:type="dxa"/>
            <w:shd w:val="clear" w:color="auto" w:fill="FFFFFF" w:themeFill="background1"/>
            <w:tcMar>
              <w:top w:w="0" w:type="dxa"/>
              <w:left w:w="0" w:type="dxa"/>
              <w:bottom w:w="0" w:type="dxa"/>
              <w:right w:w="0" w:type="dxa"/>
            </w:tcMar>
            <w:vAlign w:val="center"/>
          </w:tcPr>
          <w:p w14:paraId="5221EA65" w14:textId="77777777" w:rsidR="00B77386" w:rsidRPr="00D7026D" w:rsidRDefault="00B77386" w:rsidP="00817CE0">
            <w:pPr>
              <w:spacing w:before="40" w:after="40"/>
              <w:ind w:left="100" w:right="100"/>
              <w:jc w:val="right"/>
              <w:rPr>
                <w:rFonts w:asciiTheme="majorHAnsi" w:hAnsiTheme="majorHAnsi" w:cstheme="majorHAnsi"/>
                <w:sz w:val="16"/>
                <w:szCs w:val="16"/>
              </w:rPr>
            </w:pPr>
          </w:p>
        </w:tc>
      </w:tr>
      <w:tr w:rsidR="00B77386" w:rsidRPr="00D7026D" w14:paraId="4208F031" w14:textId="77777777" w:rsidTr="4E4A2F72">
        <w:trPr>
          <w:cantSplit/>
          <w:trHeight w:val="507"/>
          <w:jc w:val="center"/>
        </w:trPr>
        <w:tc>
          <w:tcPr>
            <w:tcW w:w="2077" w:type="dxa"/>
            <w:shd w:val="clear" w:color="auto" w:fill="FFFFFF" w:themeFill="background1"/>
            <w:tcMar>
              <w:top w:w="0" w:type="dxa"/>
              <w:left w:w="0" w:type="dxa"/>
              <w:bottom w:w="0" w:type="dxa"/>
              <w:right w:w="0" w:type="dxa"/>
            </w:tcMar>
            <w:vAlign w:val="center"/>
          </w:tcPr>
          <w:p w14:paraId="39022E79" w14:textId="77777777" w:rsidR="00B77386" w:rsidRPr="00D7026D" w:rsidRDefault="00B77386" w:rsidP="00817CE0">
            <w:pPr>
              <w:spacing w:before="40" w:after="40"/>
              <w:ind w:left="100" w:right="100"/>
              <w:jc w:val="right"/>
              <w:rPr>
                <w:rFonts w:asciiTheme="majorHAnsi" w:hAnsiTheme="majorHAnsi" w:cstheme="majorHAnsi"/>
                <w:sz w:val="16"/>
                <w:szCs w:val="16"/>
              </w:rPr>
            </w:pPr>
          </w:p>
        </w:tc>
        <w:tc>
          <w:tcPr>
            <w:tcW w:w="2886" w:type="dxa"/>
            <w:shd w:val="clear" w:color="auto" w:fill="FFFFFF" w:themeFill="background1"/>
            <w:tcMar>
              <w:top w:w="0" w:type="dxa"/>
              <w:left w:w="0" w:type="dxa"/>
              <w:bottom w:w="0" w:type="dxa"/>
              <w:right w:w="0" w:type="dxa"/>
            </w:tcMar>
            <w:vAlign w:val="center"/>
          </w:tcPr>
          <w:p w14:paraId="23BDB8B1"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3</w:t>
            </w:r>
          </w:p>
        </w:tc>
        <w:tc>
          <w:tcPr>
            <w:tcW w:w="2123" w:type="dxa"/>
            <w:shd w:val="clear" w:color="auto" w:fill="FFFFFF" w:themeFill="background1"/>
            <w:tcMar>
              <w:top w:w="0" w:type="dxa"/>
              <w:left w:w="0" w:type="dxa"/>
              <w:bottom w:w="0" w:type="dxa"/>
              <w:right w:w="0" w:type="dxa"/>
            </w:tcMar>
            <w:vAlign w:val="center"/>
          </w:tcPr>
          <w:p w14:paraId="406324E2"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26 (28.3)</w:t>
            </w:r>
          </w:p>
        </w:tc>
        <w:tc>
          <w:tcPr>
            <w:tcW w:w="2123" w:type="dxa"/>
            <w:shd w:val="clear" w:color="auto" w:fill="FFFFFF" w:themeFill="background1"/>
            <w:tcMar>
              <w:top w:w="0" w:type="dxa"/>
              <w:left w:w="0" w:type="dxa"/>
              <w:bottom w:w="0" w:type="dxa"/>
              <w:right w:w="0" w:type="dxa"/>
            </w:tcMar>
            <w:vAlign w:val="center"/>
          </w:tcPr>
          <w:p w14:paraId="368ACFFD"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48 (20.0)</w:t>
            </w:r>
          </w:p>
        </w:tc>
        <w:tc>
          <w:tcPr>
            <w:tcW w:w="1048" w:type="dxa"/>
            <w:shd w:val="clear" w:color="auto" w:fill="FFFFFF" w:themeFill="background1"/>
            <w:tcMar>
              <w:top w:w="0" w:type="dxa"/>
              <w:left w:w="0" w:type="dxa"/>
              <w:bottom w:w="0" w:type="dxa"/>
              <w:right w:w="0" w:type="dxa"/>
            </w:tcMar>
            <w:vAlign w:val="center"/>
          </w:tcPr>
          <w:p w14:paraId="0659E73E" w14:textId="77777777" w:rsidR="00B77386" w:rsidRPr="00D7026D" w:rsidRDefault="00B77386" w:rsidP="00817CE0">
            <w:pPr>
              <w:spacing w:before="40" w:after="40"/>
              <w:ind w:left="100" w:right="100"/>
              <w:jc w:val="right"/>
              <w:rPr>
                <w:rFonts w:asciiTheme="majorHAnsi" w:hAnsiTheme="majorHAnsi" w:cstheme="majorHAnsi"/>
                <w:sz w:val="16"/>
                <w:szCs w:val="16"/>
              </w:rPr>
            </w:pPr>
          </w:p>
        </w:tc>
      </w:tr>
      <w:tr w:rsidR="00B77386" w:rsidRPr="00D7026D" w14:paraId="025C922C" w14:textId="77777777" w:rsidTr="4E4A2F72">
        <w:trPr>
          <w:cantSplit/>
          <w:trHeight w:val="478"/>
          <w:jc w:val="center"/>
        </w:trPr>
        <w:tc>
          <w:tcPr>
            <w:tcW w:w="2077" w:type="dxa"/>
            <w:shd w:val="clear" w:color="auto" w:fill="FFFFFF" w:themeFill="background1"/>
            <w:tcMar>
              <w:top w:w="0" w:type="dxa"/>
              <w:left w:w="0" w:type="dxa"/>
              <w:bottom w:w="0" w:type="dxa"/>
              <w:right w:w="0" w:type="dxa"/>
            </w:tcMar>
            <w:vAlign w:val="center"/>
          </w:tcPr>
          <w:p w14:paraId="6BF36A41" w14:textId="77777777" w:rsidR="00B77386" w:rsidRPr="00D7026D" w:rsidRDefault="00B77386" w:rsidP="00817CE0">
            <w:pPr>
              <w:spacing w:before="40" w:after="40"/>
              <w:ind w:left="100" w:right="100"/>
              <w:jc w:val="right"/>
              <w:rPr>
                <w:rFonts w:asciiTheme="majorHAnsi" w:hAnsiTheme="majorHAnsi" w:cstheme="majorHAnsi"/>
                <w:sz w:val="16"/>
                <w:szCs w:val="16"/>
              </w:rPr>
            </w:pPr>
          </w:p>
        </w:tc>
        <w:tc>
          <w:tcPr>
            <w:tcW w:w="2886" w:type="dxa"/>
            <w:shd w:val="clear" w:color="auto" w:fill="FFFFFF" w:themeFill="background1"/>
            <w:tcMar>
              <w:top w:w="0" w:type="dxa"/>
              <w:left w:w="0" w:type="dxa"/>
              <w:bottom w:w="0" w:type="dxa"/>
              <w:right w:w="0" w:type="dxa"/>
            </w:tcMar>
            <w:vAlign w:val="center"/>
          </w:tcPr>
          <w:p w14:paraId="74403360"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4</w:t>
            </w:r>
          </w:p>
        </w:tc>
        <w:tc>
          <w:tcPr>
            <w:tcW w:w="2123" w:type="dxa"/>
            <w:shd w:val="clear" w:color="auto" w:fill="FFFFFF" w:themeFill="background1"/>
            <w:tcMar>
              <w:top w:w="0" w:type="dxa"/>
              <w:left w:w="0" w:type="dxa"/>
              <w:bottom w:w="0" w:type="dxa"/>
              <w:right w:w="0" w:type="dxa"/>
            </w:tcMar>
            <w:vAlign w:val="center"/>
          </w:tcPr>
          <w:p w14:paraId="5DFFDC24"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22 (23.9)</w:t>
            </w:r>
          </w:p>
        </w:tc>
        <w:tc>
          <w:tcPr>
            <w:tcW w:w="2123" w:type="dxa"/>
            <w:shd w:val="clear" w:color="auto" w:fill="FFFFFF" w:themeFill="background1"/>
            <w:tcMar>
              <w:top w:w="0" w:type="dxa"/>
              <w:left w:w="0" w:type="dxa"/>
              <w:bottom w:w="0" w:type="dxa"/>
              <w:right w:w="0" w:type="dxa"/>
            </w:tcMar>
            <w:vAlign w:val="center"/>
          </w:tcPr>
          <w:p w14:paraId="3BAD2B11"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45 (18.8)</w:t>
            </w:r>
          </w:p>
        </w:tc>
        <w:tc>
          <w:tcPr>
            <w:tcW w:w="1048" w:type="dxa"/>
            <w:shd w:val="clear" w:color="auto" w:fill="FFFFFF" w:themeFill="background1"/>
            <w:tcMar>
              <w:top w:w="0" w:type="dxa"/>
              <w:left w:w="0" w:type="dxa"/>
              <w:bottom w:w="0" w:type="dxa"/>
              <w:right w:w="0" w:type="dxa"/>
            </w:tcMar>
            <w:vAlign w:val="center"/>
          </w:tcPr>
          <w:p w14:paraId="7D5A0AC8" w14:textId="77777777" w:rsidR="00B77386" w:rsidRPr="00D7026D" w:rsidRDefault="00B77386" w:rsidP="00817CE0">
            <w:pPr>
              <w:spacing w:before="40" w:after="40"/>
              <w:ind w:left="100" w:right="100"/>
              <w:jc w:val="right"/>
              <w:rPr>
                <w:rFonts w:asciiTheme="majorHAnsi" w:hAnsiTheme="majorHAnsi" w:cstheme="majorHAnsi"/>
                <w:sz w:val="16"/>
                <w:szCs w:val="16"/>
              </w:rPr>
            </w:pPr>
          </w:p>
        </w:tc>
      </w:tr>
      <w:tr w:rsidR="00B77386" w:rsidRPr="00D7026D" w14:paraId="608046F8" w14:textId="77777777" w:rsidTr="4E4A2F72">
        <w:trPr>
          <w:cantSplit/>
          <w:trHeight w:val="478"/>
          <w:jc w:val="center"/>
        </w:trPr>
        <w:tc>
          <w:tcPr>
            <w:tcW w:w="2077" w:type="dxa"/>
            <w:shd w:val="clear" w:color="auto" w:fill="FFFFFF" w:themeFill="background1"/>
            <w:tcMar>
              <w:top w:w="0" w:type="dxa"/>
              <w:left w:w="0" w:type="dxa"/>
              <w:bottom w:w="0" w:type="dxa"/>
              <w:right w:w="0" w:type="dxa"/>
            </w:tcMar>
            <w:vAlign w:val="center"/>
          </w:tcPr>
          <w:p w14:paraId="34604AAC" w14:textId="77777777" w:rsidR="00B77386" w:rsidRPr="00D7026D" w:rsidRDefault="00B77386" w:rsidP="00817CE0">
            <w:pPr>
              <w:spacing w:before="40" w:after="40"/>
              <w:ind w:left="100" w:right="100"/>
              <w:jc w:val="right"/>
              <w:rPr>
                <w:rFonts w:asciiTheme="majorHAnsi" w:hAnsiTheme="majorHAnsi" w:cstheme="majorHAnsi"/>
                <w:sz w:val="16"/>
                <w:szCs w:val="16"/>
              </w:rPr>
            </w:pPr>
          </w:p>
        </w:tc>
        <w:tc>
          <w:tcPr>
            <w:tcW w:w="2886" w:type="dxa"/>
            <w:shd w:val="clear" w:color="auto" w:fill="FFFFFF" w:themeFill="background1"/>
            <w:tcMar>
              <w:top w:w="0" w:type="dxa"/>
              <w:left w:w="0" w:type="dxa"/>
              <w:bottom w:w="0" w:type="dxa"/>
              <w:right w:w="0" w:type="dxa"/>
            </w:tcMar>
            <w:vAlign w:val="center"/>
          </w:tcPr>
          <w:p w14:paraId="6D1D7429"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Least deprived 5</w:t>
            </w:r>
          </w:p>
        </w:tc>
        <w:tc>
          <w:tcPr>
            <w:tcW w:w="2123" w:type="dxa"/>
            <w:shd w:val="clear" w:color="auto" w:fill="FFFFFF" w:themeFill="background1"/>
            <w:tcMar>
              <w:top w:w="0" w:type="dxa"/>
              <w:left w:w="0" w:type="dxa"/>
              <w:bottom w:w="0" w:type="dxa"/>
              <w:right w:w="0" w:type="dxa"/>
            </w:tcMar>
            <w:vAlign w:val="center"/>
          </w:tcPr>
          <w:p w14:paraId="1DFE4B46"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15 (16.3)</w:t>
            </w:r>
          </w:p>
        </w:tc>
        <w:tc>
          <w:tcPr>
            <w:tcW w:w="2123" w:type="dxa"/>
            <w:shd w:val="clear" w:color="auto" w:fill="FFFFFF" w:themeFill="background1"/>
            <w:tcMar>
              <w:top w:w="0" w:type="dxa"/>
              <w:left w:w="0" w:type="dxa"/>
              <w:bottom w:w="0" w:type="dxa"/>
              <w:right w:w="0" w:type="dxa"/>
            </w:tcMar>
            <w:vAlign w:val="center"/>
          </w:tcPr>
          <w:p w14:paraId="3F9A7201"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54 (22.5)</w:t>
            </w:r>
          </w:p>
        </w:tc>
        <w:tc>
          <w:tcPr>
            <w:tcW w:w="1048" w:type="dxa"/>
            <w:shd w:val="clear" w:color="auto" w:fill="FFFFFF" w:themeFill="background1"/>
            <w:tcMar>
              <w:top w:w="0" w:type="dxa"/>
              <w:left w:w="0" w:type="dxa"/>
              <w:bottom w:w="0" w:type="dxa"/>
              <w:right w:w="0" w:type="dxa"/>
            </w:tcMar>
            <w:vAlign w:val="center"/>
          </w:tcPr>
          <w:p w14:paraId="23146556" w14:textId="77777777" w:rsidR="00B77386" w:rsidRPr="00D7026D" w:rsidRDefault="00B77386" w:rsidP="00817CE0">
            <w:pPr>
              <w:spacing w:before="40" w:after="40"/>
              <w:ind w:left="100" w:right="100"/>
              <w:jc w:val="right"/>
              <w:rPr>
                <w:rFonts w:asciiTheme="majorHAnsi" w:hAnsiTheme="majorHAnsi" w:cstheme="majorHAnsi"/>
                <w:sz w:val="16"/>
                <w:szCs w:val="16"/>
              </w:rPr>
            </w:pPr>
          </w:p>
        </w:tc>
      </w:tr>
      <w:tr w:rsidR="00B77386" w:rsidRPr="00D7026D" w14:paraId="666807AB" w14:textId="77777777" w:rsidTr="4E4A2F72">
        <w:trPr>
          <w:cantSplit/>
          <w:trHeight w:val="478"/>
          <w:jc w:val="center"/>
        </w:trPr>
        <w:tc>
          <w:tcPr>
            <w:tcW w:w="2077" w:type="dxa"/>
            <w:shd w:val="clear" w:color="auto" w:fill="FFFFFF" w:themeFill="background1"/>
            <w:tcMar>
              <w:top w:w="0" w:type="dxa"/>
              <w:left w:w="0" w:type="dxa"/>
              <w:bottom w:w="0" w:type="dxa"/>
              <w:right w:w="0" w:type="dxa"/>
            </w:tcMar>
            <w:vAlign w:val="center"/>
          </w:tcPr>
          <w:p w14:paraId="342F70CF"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Obesity</w:t>
            </w:r>
          </w:p>
        </w:tc>
        <w:tc>
          <w:tcPr>
            <w:tcW w:w="2886" w:type="dxa"/>
            <w:shd w:val="clear" w:color="auto" w:fill="FFFFFF" w:themeFill="background1"/>
            <w:tcMar>
              <w:top w:w="0" w:type="dxa"/>
              <w:left w:w="0" w:type="dxa"/>
              <w:bottom w:w="0" w:type="dxa"/>
              <w:right w:w="0" w:type="dxa"/>
            </w:tcMar>
            <w:vAlign w:val="center"/>
          </w:tcPr>
          <w:p w14:paraId="1B079170"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No</w:t>
            </w:r>
          </w:p>
        </w:tc>
        <w:tc>
          <w:tcPr>
            <w:tcW w:w="2123" w:type="dxa"/>
            <w:shd w:val="clear" w:color="auto" w:fill="FFFFFF" w:themeFill="background1"/>
            <w:tcMar>
              <w:top w:w="0" w:type="dxa"/>
              <w:left w:w="0" w:type="dxa"/>
              <w:bottom w:w="0" w:type="dxa"/>
              <w:right w:w="0" w:type="dxa"/>
            </w:tcMar>
            <w:vAlign w:val="center"/>
          </w:tcPr>
          <w:p w14:paraId="0C63402B"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62 (72.9)</w:t>
            </w:r>
          </w:p>
        </w:tc>
        <w:tc>
          <w:tcPr>
            <w:tcW w:w="2123" w:type="dxa"/>
            <w:shd w:val="clear" w:color="auto" w:fill="FFFFFF" w:themeFill="background1"/>
            <w:tcMar>
              <w:top w:w="0" w:type="dxa"/>
              <w:left w:w="0" w:type="dxa"/>
              <w:bottom w:w="0" w:type="dxa"/>
              <w:right w:w="0" w:type="dxa"/>
            </w:tcMar>
            <w:vAlign w:val="center"/>
          </w:tcPr>
          <w:p w14:paraId="56A17A3A"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187 (77.9)</w:t>
            </w:r>
          </w:p>
        </w:tc>
        <w:tc>
          <w:tcPr>
            <w:tcW w:w="1048" w:type="dxa"/>
            <w:shd w:val="clear" w:color="auto" w:fill="FFFFFF" w:themeFill="background1"/>
            <w:tcMar>
              <w:top w:w="0" w:type="dxa"/>
              <w:left w:w="0" w:type="dxa"/>
              <w:bottom w:w="0" w:type="dxa"/>
              <w:right w:w="0" w:type="dxa"/>
            </w:tcMar>
            <w:vAlign w:val="center"/>
          </w:tcPr>
          <w:p w14:paraId="0BDADD4A"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0.434</w:t>
            </w:r>
          </w:p>
        </w:tc>
      </w:tr>
      <w:tr w:rsidR="00B77386" w:rsidRPr="00D7026D" w14:paraId="19DE9423" w14:textId="77777777" w:rsidTr="4E4A2F72">
        <w:trPr>
          <w:cantSplit/>
          <w:trHeight w:val="507"/>
          <w:jc w:val="center"/>
        </w:trPr>
        <w:tc>
          <w:tcPr>
            <w:tcW w:w="2077" w:type="dxa"/>
            <w:shd w:val="clear" w:color="auto" w:fill="FFFFFF" w:themeFill="background1"/>
            <w:tcMar>
              <w:top w:w="0" w:type="dxa"/>
              <w:left w:w="0" w:type="dxa"/>
              <w:bottom w:w="0" w:type="dxa"/>
              <w:right w:w="0" w:type="dxa"/>
            </w:tcMar>
            <w:vAlign w:val="center"/>
          </w:tcPr>
          <w:p w14:paraId="3FFB1645" w14:textId="77777777" w:rsidR="00B77386" w:rsidRPr="00D7026D" w:rsidRDefault="00B77386" w:rsidP="00817CE0">
            <w:pPr>
              <w:spacing w:before="40" w:after="40"/>
              <w:ind w:left="100" w:right="100"/>
              <w:jc w:val="right"/>
              <w:rPr>
                <w:rFonts w:asciiTheme="majorHAnsi" w:hAnsiTheme="majorHAnsi" w:cstheme="majorHAnsi"/>
                <w:sz w:val="16"/>
                <w:szCs w:val="16"/>
              </w:rPr>
            </w:pPr>
          </w:p>
        </w:tc>
        <w:tc>
          <w:tcPr>
            <w:tcW w:w="2886" w:type="dxa"/>
            <w:shd w:val="clear" w:color="auto" w:fill="FFFFFF" w:themeFill="background1"/>
            <w:tcMar>
              <w:top w:w="0" w:type="dxa"/>
              <w:left w:w="0" w:type="dxa"/>
              <w:bottom w:w="0" w:type="dxa"/>
              <w:right w:w="0" w:type="dxa"/>
            </w:tcMar>
            <w:vAlign w:val="center"/>
          </w:tcPr>
          <w:p w14:paraId="1E92252B"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Yes</w:t>
            </w:r>
          </w:p>
        </w:tc>
        <w:tc>
          <w:tcPr>
            <w:tcW w:w="2123" w:type="dxa"/>
            <w:shd w:val="clear" w:color="auto" w:fill="FFFFFF" w:themeFill="background1"/>
            <w:tcMar>
              <w:top w:w="0" w:type="dxa"/>
              <w:left w:w="0" w:type="dxa"/>
              <w:bottom w:w="0" w:type="dxa"/>
              <w:right w:w="0" w:type="dxa"/>
            </w:tcMar>
            <w:vAlign w:val="center"/>
          </w:tcPr>
          <w:p w14:paraId="67A89CC3"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23 (27.1)</w:t>
            </w:r>
          </w:p>
        </w:tc>
        <w:tc>
          <w:tcPr>
            <w:tcW w:w="2123" w:type="dxa"/>
            <w:shd w:val="clear" w:color="auto" w:fill="FFFFFF" w:themeFill="background1"/>
            <w:tcMar>
              <w:top w:w="0" w:type="dxa"/>
              <w:left w:w="0" w:type="dxa"/>
              <w:bottom w:w="0" w:type="dxa"/>
              <w:right w:w="0" w:type="dxa"/>
            </w:tcMar>
            <w:vAlign w:val="center"/>
          </w:tcPr>
          <w:p w14:paraId="4A92E33E"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53 (22.1)</w:t>
            </w:r>
          </w:p>
        </w:tc>
        <w:tc>
          <w:tcPr>
            <w:tcW w:w="1048" w:type="dxa"/>
            <w:shd w:val="clear" w:color="auto" w:fill="FFFFFF" w:themeFill="background1"/>
            <w:tcMar>
              <w:top w:w="0" w:type="dxa"/>
              <w:left w:w="0" w:type="dxa"/>
              <w:bottom w:w="0" w:type="dxa"/>
              <w:right w:w="0" w:type="dxa"/>
            </w:tcMar>
            <w:vAlign w:val="center"/>
          </w:tcPr>
          <w:p w14:paraId="0024ABC7" w14:textId="77777777" w:rsidR="00B77386" w:rsidRPr="00D7026D" w:rsidRDefault="00B77386" w:rsidP="00817CE0">
            <w:pPr>
              <w:spacing w:before="40" w:after="40"/>
              <w:ind w:left="100" w:right="100"/>
              <w:jc w:val="right"/>
              <w:rPr>
                <w:rFonts w:asciiTheme="majorHAnsi" w:hAnsiTheme="majorHAnsi" w:cstheme="majorHAnsi"/>
                <w:sz w:val="16"/>
                <w:szCs w:val="16"/>
              </w:rPr>
            </w:pPr>
          </w:p>
        </w:tc>
      </w:tr>
      <w:tr w:rsidR="00B77386" w:rsidRPr="00D7026D" w14:paraId="4559588B" w14:textId="77777777" w:rsidTr="4E4A2F72">
        <w:trPr>
          <w:cantSplit/>
          <w:trHeight w:val="478"/>
          <w:jc w:val="center"/>
        </w:trPr>
        <w:tc>
          <w:tcPr>
            <w:tcW w:w="2077" w:type="dxa"/>
            <w:shd w:val="clear" w:color="auto" w:fill="FFFFFF" w:themeFill="background1"/>
            <w:tcMar>
              <w:top w:w="0" w:type="dxa"/>
              <w:left w:w="0" w:type="dxa"/>
              <w:bottom w:w="0" w:type="dxa"/>
              <w:right w:w="0" w:type="dxa"/>
            </w:tcMar>
            <w:vAlign w:val="center"/>
          </w:tcPr>
          <w:p w14:paraId="0AE5C7F4"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Diabetes</w:t>
            </w:r>
          </w:p>
        </w:tc>
        <w:tc>
          <w:tcPr>
            <w:tcW w:w="2886" w:type="dxa"/>
            <w:shd w:val="clear" w:color="auto" w:fill="FFFFFF" w:themeFill="background1"/>
            <w:tcMar>
              <w:top w:w="0" w:type="dxa"/>
              <w:left w:w="0" w:type="dxa"/>
              <w:bottom w:w="0" w:type="dxa"/>
              <w:right w:w="0" w:type="dxa"/>
            </w:tcMar>
            <w:vAlign w:val="center"/>
          </w:tcPr>
          <w:p w14:paraId="2C349731"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No</w:t>
            </w:r>
          </w:p>
        </w:tc>
        <w:tc>
          <w:tcPr>
            <w:tcW w:w="2123" w:type="dxa"/>
            <w:shd w:val="clear" w:color="auto" w:fill="FFFFFF" w:themeFill="background1"/>
            <w:tcMar>
              <w:top w:w="0" w:type="dxa"/>
              <w:left w:w="0" w:type="dxa"/>
              <w:bottom w:w="0" w:type="dxa"/>
              <w:right w:w="0" w:type="dxa"/>
            </w:tcMar>
            <w:vAlign w:val="center"/>
          </w:tcPr>
          <w:p w14:paraId="7898FDA2"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66 (75.9)</w:t>
            </w:r>
          </w:p>
        </w:tc>
        <w:tc>
          <w:tcPr>
            <w:tcW w:w="2123" w:type="dxa"/>
            <w:shd w:val="clear" w:color="auto" w:fill="FFFFFF" w:themeFill="background1"/>
            <w:tcMar>
              <w:top w:w="0" w:type="dxa"/>
              <w:left w:w="0" w:type="dxa"/>
              <w:bottom w:w="0" w:type="dxa"/>
              <w:right w:w="0" w:type="dxa"/>
            </w:tcMar>
            <w:vAlign w:val="center"/>
          </w:tcPr>
          <w:p w14:paraId="2047232B"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203 (84.6)</w:t>
            </w:r>
          </w:p>
        </w:tc>
        <w:tc>
          <w:tcPr>
            <w:tcW w:w="1048" w:type="dxa"/>
            <w:shd w:val="clear" w:color="auto" w:fill="FFFFFF" w:themeFill="background1"/>
            <w:tcMar>
              <w:top w:w="0" w:type="dxa"/>
              <w:left w:w="0" w:type="dxa"/>
              <w:bottom w:w="0" w:type="dxa"/>
              <w:right w:w="0" w:type="dxa"/>
            </w:tcMar>
            <w:vAlign w:val="center"/>
          </w:tcPr>
          <w:p w14:paraId="641CF113"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0.097</w:t>
            </w:r>
          </w:p>
        </w:tc>
      </w:tr>
      <w:tr w:rsidR="00B77386" w:rsidRPr="00D7026D" w14:paraId="1EDF14EE" w14:textId="77777777" w:rsidTr="4E4A2F72">
        <w:trPr>
          <w:cantSplit/>
          <w:trHeight w:val="478"/>
          <w:jc w:val="center"/>
        </w:trPr>
        <w:tc>
          <w:tcPr>
            <w:tcW w:w="2077" w:type="dxa"/>
            <w:shd w:val="clear" w:color="auto" w:fill="FFFFFF" w:themeFill="background1"/>
            <w:tcMar>
              <w:top w:w="0" w:type="dxa"/>
              <w:left w:w="0" w:type="dxa"/>
              <w:bottom w:w="0" w:type="dxa"/>
              <w:right w:w="0" w:type="dxa"/>
            </w:tcMar>
            <w:vAlign w:val="center"/>
          </w:tcPr>
          <w:p w14:paraId="0FA6A2E4" w14:textId="77777777" w:rsidR="00B77386" w:rsidRPr="00D7026D" w:rsidRDefault="00B77386" w:rsidP="00817CE0">
            <w:pPr>
              <w:spacing w:before="40" w:after="40"/>
              <w:ind w:left="100" w:right="100"/>
              <w:jc w:val="right"/>
              <w:rPr>
                <w:rFonts w:asciiTheme="majorHAnsi" w:hAnsiTheme="majorHAnsi" w:cstheme="majorHAnsi"/>
                <w:sz w:val="16"/>
                <w:szCs w:val="16"/>
              </w:rPr>
            </w:pPr>
          </w:p>
        </w:tc>
        <w:tc>
          <w:tcPr>
            <w:tcW w:w="2886" w:type="dxa"/>
            <w:shd w:val="clear" w:color="auto" w:fill="FFFFFF" w:themeFill="background1"/>
            <w:tcMar>
              <w:top w:w="0" w:type="dxa"/>
              <w:left w:w="0" w:type="dxa"/>
              <w:bottom w:w="0" w:type="dxa"/>
              <w:right w:w="0" w:type="dxa"/>
            </w:tcMar>
            <w:vAlign w:val="center"/>
          </w:tcPr>
          <w:p w14:paraId="06C3C8DE"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Yes</w:t>
            </w:r>
          </w:p>
        </w:tc>
        <w:tc>
          <w:tcPr>
            <w:tcW w:w="2123" w:type="dxa"/>
            <w:shd w:val="clear" w:color="auto" w:fill="FFFFFF" w:themeFill="background1"/>
            <w:tcMar>
              <w:top w:w="0" w:type="dxa"/>
              <w:left w:w="0" w:type="dxa"/>
              <w:bottom w:w="0" w:type="dxa"/>
              <w:right w:w="0" w:type="dxa"/>
            </w:tcMar>
            <w:vAlign w:val="center"/>
          </w:tcPr>
          <w:p w14:paraId="1FFD9D6E"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21 (24.1)</w:t>
            </w:r>
          </w:p>
        </w:tc>
        <w:tc>
          <w:tcPr>
            <w:tcW w:w="2123" w:type="dxa"/>
            <w:shd w:val="clear" w:color="auto" w:fill="FFFFFF" w:themeFill="background1"/>
            <w:tcMar>
              <w:top w:w="0" w:type="dxa"/>
              <w:left w:w="0" w:type="dxa"/>
              <w:bottom w:w="0" w:type="dxa"/>
              <w:right w:w="0" w:type="dxa"/>
            </w:tcMar>
            <w:vAlign w:val="center"/>
          </w:tcPr>
          <w:p w14:paraId="5F8D41F3"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37 (15.4)</w:t>
            </w:r>
          </w:p>
        </w:tc>
        <w:tc>
          <w:tcPr>
            <w:tcW w:w="1048" w:type="dxa"/>
            <w:shd w:val="clear" w:color="auto" w:fill="FFFFFF" w:themeFill="background1"/>
            <w:tcMar>
              <w:top w:w="0" w:type="dxa"/>
              <w:left w:w="0" w:type="dxa"/>
              <w:bottom w:w="0" w:type="dxa"/>
              <w:right w:w="0" w:type="dxa"/>
            </w:tcMar>
            <w:vAlign w:val="center"/>
          </w:tcPr>
          <w:p w14:paraId="492801EF" w14:textId="77777777" w:rsidR="00B77386" w:rsidRPr="00D7026D" w:rsidRDefault="00B77386" w:rsidP="00817CE0">
            <w:pPr>
              <w:spacing w:before="40" w:after="40"/>
              <w:ind w:left="100" w:right="100"/>
              <w:jc w:val="right"/>
              <w:rPr>
                <w:rFonts w:asciiTheme="majorHAnsi" w:hAnsiTheme="majorHAnsi" w:cstheme="majorHAnsi"/>
                <w:sz w:val="16"/>
                <w:szCs w:val="16"/>
              </w:rPr>
            </w:pPr>
          </w:p>
        </w:tc>
      </w:tr>
      <w:tr w:rsidR="00B77386" w:rsidRPr="00D7026D" w14:paraId="79186397" w14:textId="77777777" w:rsidTr="00EC3665">
        <w:trPr>
          <w:cantSplit/>
          <w:trHeight w:val="335"/>
          <w:jc w:val="center"/>
        </w:trPr>
        <w:tc>
          <w:tcPr>
            <w:tcW w:w="2077" w:type="dxa"/>
            <w:shd w:val="clear" w:color="auto" w:fill="FFFFFF" w:themeFill="background1"/>
            <w:tcMar>
              <w:top w:w="0" w:type="dxa"/>
              <w:left w:w="0" w:type="dxa"/>
              <w:bottom w:w="0" w:type="dxa"/>
              <w:right w:w="0" w:type="dxa"/>
            </w:tcMar>
            <w:vAlign w:val="center"/>
          </w:tcPr>
          <w:p w14:paraId="6F329F89"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Asthma</w:t>
            </w:r>
          </w:p>
        </w:tc>
        <w:tc>
          <w:tcPr>
            <w:tcW w:w="2886" w:type="dxa"/>
            <w:shd w:val="clear" w:color="auto" w:fill="FFFFFF" w:themeFill="background1"/>
            <w:tcMar>
              <w:top w:w="0" w:type="dxa"/>
              <w:left w:w="0" w:type="dxa"/>
              <w:bottom w:w="0" w:type="dxa"/>
              <w:right w:w="0" w:type="dxa"/>
            </w:tcMar>
            <w:vAlign w:val="center"/>
          </w:tcPr>
          <w:p w14:paraId="041F4A00"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No</w:t>
            </w:r>
          </w:p>
        </w:tc>
        <w:tc>
          <w:tcPr>
            <w:tcW w:w="2123" w:type="dxa"/>
            <w:shd w:val="clear" w:color="auto" w:fill="FFFFFF" w:themeFill="background1"/>
            <w:tcMar>
              <w:top w:w="0" w:type="dxa"/>
              <w:left w:w="0" w:type="dxa"/>
              <w:bottom w:w="0" w:type="dxa"/>
              <w:right w:w="0" w:type="dxa"/>
            </w:tcMar>
            <w:vAlign w:val="center"/>
          </w:tcPr>
          <w:p w14:paraId="3F66A5F6"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71 (82.6)</w:t>
            </w:r>
          </w:p>
        </w:tc>
        <w:tc>
          <w:tcPr>
            <w:tcW w:w="2123" w:type="dxa"/>
            <w:shd w:val="clear" w:color="auto" w:fill="FFFFFF" w:themeFill="background1"/>
            <w:tcMar>
              <w:top w:w="0" w:type="dxa"/>
              <w:left w:w="0" w:type="dxa"/>
              <w:bottom w:w="0" w:type="dxa"/>
              <w:right w:w="0" w:type="dxa"/>
            </w:tcMar>
            <w:vAlign w:val="center"/>
          </w:tcPr>
          <w:p w14:paraId="5FF99E8A"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197 (82.1)</w:t>
            </w:r>
          </w:p>
        </w:tc>
        <w:tc>
          <w:tcPr>
            <w:tcW w:w="1048" w:type="dxa"/>
            <w:shd w:val="clear" w:color="auto" w:fill="FFFFFF" w:themeFill="background1"/>
            <w:tcMar>
              <w:top w:w="0" w:type="dxa"/>
              <w:left w:w="0" w:type="dxa"/>
              <w:bottom w:w="0" w:type="dxa"/>
              <w:right w:w="0" w:type="dxa"/>
            </w:tcMar>
            <w:vAlign w:val="center"/>
          </w:tcPr>
          <w:p w14:paraId="0643FB9D"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1.000</w:t>
            </w:r>
          </w:p>
        </w:tc>
      </w:tr>
      <w:tr w:rsidR="00B77386" w:rsidRPr="00D7026D" w14:paraId="15385135" w14:textId="77777777" w:rsidTr="4E4A2F72">
        <w:trPr>
          <w:cantSplit/>
          <w:trHeight w:val="507"/>
          <w:jc w:val="center"/>
        </w:trPr>
        <w:tc>
          <w:tcPr>
            <w:tcW w:w="2077" w:type="dxa"/>
            <w:shd w:val="clear" w:color="auto" w:fill="FFFFFF" w:themeFill="background1"/>
            <w:tcMar>
              <w:top w:w="0" w:type="dxa"/>
              <w:left w:w="0" w:type="dxa"/>
              <w:bottom w:w="0" w:type="dxa"/>
              <w:right w:w="0" w:type="dxa"/>
            </w:tcMar>
            <w:vAlign w:val="center"/>
          </w:tcPr>
          <w:p w14:paraId="37B1827B" w14:textId="77777777" w:rsidR="00B77386" w:rsidRPr="00D7026D" w:rsidRDefault="00B77386" w:rsidP="00817CE0">
            <w:pPr>
              <w:spacing w:before="40" w:after="40"/>
              <w:ind w:left="100" w:right="100"/>
              <w:jc w:val="right"/>
              <w:rPr>
                <w:rFonts w:asciiTheme="majorHAnsi" w:hAnsiTheme="majorHAnsi" w:cstheme="majorHAnsi"/>
                <w:sz w:val="16"/>
                <w:szCs w:val="16"/>
              </w:rPr>
            </w:pPr>
          </w:p>
        </w:tc>
        <w:tc>
          <w:tcPr>
            <w:tcW w:w="2886" w:type="dxa"/>
            <w:shd w:val="clear" w:color="auto" w:fill="FFFFFF" w:themeFill="background1"/>
            <w:tcMar>
              <w:top w:w="0" w:type="dxa"/>
              <w:left w:w="0" w:type="dxa"/>
              <w:bottom w:w="0" w:type="dxa"/>
              <w:right w:w="0" w:type="dxa"/>
            </w:tcMar>
            <w:vAlign w:val="center"/>
          </w:tcPr>
          <w:p w14:paraId="2FE76E71"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Yes</w:t>
            </w:r>
          </w:p>
        </w:tc>
        <w:tc>
          <w:tcPr>
            <w:tcW w:w="2123" w:type="dxa"/>
            <w:shd w:val="clear" w:color="auto" w:fill="FFFFFF" w:themeFill="background1"/>
            <w:tcMar>
              <w:top w:w="0" w:type="dxa"/>
              <w:left w:w="0" w:type="dxa"/>
              <w:bottom w:w="0" w:type="dxa"/>
              <w:right w:w="0" w:type="dxa"/>
            </w:tcMar>
            <w:vAlign w:val="center"/>
          </w:tcPr>
          <w:p w14:paraId="5C84C302"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15 (17.4)</w:t>
            </w:r>
          </w:p>
        </w:tc>
        <w:tc>
          <w:tcPr>
            <w:tcW w:w="2123" w:type="dxa"/>
            <w:shd w:val="clear" w:color="auto" w:fill="FFFFFF" w:themeFill="background1"/>
            <w:tcMar>
              <w:top w:w="0" w:type="dxa"/>
              <w:left w:w="0" w:type="dxa"/>
              <w:bottom w:w="0" w:type="dxa"/>
              <w:right w:w="0" w:type="dxa"/>
            </w:tcMar>
            <w:vAlign w:val="center"/>
          </w:tcPr>
          <w:p w14:paraId="6C3A1B62"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43 (17.9)</w:t>
            </w:r>
          </w:p>
        </w:tc>
        <w:tc>
          <w:tcPr>
            <w:tcW w:w="1048" w:type="dxa"/>
            <w:shd w:val="clear" w:color="auto" w:fill="FFFFFF" w:themeFill="background1"/>
            <w:tcMar>
              <w:top w:w="0" w:type="dxa"/>
              <w:left w:w="0" w:type="dxa"/>
              <w:bottom w:w="0" w:type="dxa"/>
              <w:right w:w="0" w:type="dxa"/>
            </w:tcMar>
            <w:vAlign w:val="center"/>
          </w:tcPr>
          <w:p w14:paraId="0C3981E1" w14:textId="77777777" w:rsidR="00B77386" w:rsidRPr="00D7026D" w:rsidRDefault="00B77386" w:rsidP="00817CE0">
            <w:pPr>
              <w:spacing w:before="40" w:after="40"/>
              <w:ind w:left="100" w:right="100"/>
              <w:jc w:val="right"/>
              <w:rPr>
                <w:rFonts w:asciiTheme="majorHAnsi" w:hAnsiTheme="majorHAnsi" w:cstheme="majorHAnsi"/>
                <w:sz w:val="16"/>
                <w:szCs w:val="16"/>
              </w:rPr>
            </w:pPr>
          </w:p>
        </w:tc>
      </w:tr>
      <w:tr w:rsidR="00B047F7" w:rsidRPr="00D7026D" w14:paraId="1E68287D" w14:textId="77777777" w:rsidTr="00EC3665">
        <w:trPr>
          <w:cantSplit/>
          <w:trHeight w:val="1183"/>
          <w:jc w:val="center"/>
        </w:trPr>
        <w:tc>
          <w:tcPr>
            <w:tcW w:w="2077" w:type="dxa"/>
            <w:shd w:val="clear" w:color="auto" w:fill="FFFFFF" w:themeFill="background1"/>
            <w:tcMar>
              <w:top w:w="0" w:type="dxa"/>
              <w:left w:w="0" w:type="dxa"/>
              <w:bottom w:w="0" w:type="dxa"/>
              <w:right w:w="0" w:type="dxa"/>
            </w:tcMar>
            <w:vAlign w:val="center"/>
          </w:tcPr>
          <w:p w14:paraId="1CB0D17C" w14:textId="62B08551" w:rsidR="00B047F7" w:rsidRPr="00D7026D" w:rsidRDefault="00B047F7" w:rsidP="00817CE0">
            <w:pPr>
              <w:spacing w:before="40" w:after="40"/>
              <w:ind w:left="100" w:right="100"/>
              <w:jc w:val="right"/>
              <w:rPr>
                <w:rFonts w:asciiTheme="majorHAnsi" w:hAnsiTheme="majorHAnsi" w:cstheme="majorHAnsi"/>
                <w:sz w:val="16"/>
                <w:szCs w:val="16"/>
              </w:rPr>
            </w:pPr>
            <w:r>
              <w:rPr>
                <w:rFonts w:asciiTheme="majorHAnsi" w:hAnsiTheme="majorHAnsi" w:cstheme="majorHAnsi"/>
                <w:sz w:val="16"/>
                <w:szCs w:val="16"/>
              </w:rPr>
              <w:t>Chronic Pulmonary Disease (Not Asthma)</w:t>
            </w:r>
          </w:p>
        </w:tc>
        <w:tc>
          <w:tcPr>
            <w:tcW w:w="2886" w:type="dxa"/>
            <w:shd w:val="clear" w:color="auto" w:fill="FFFFFF" w:themeFill="background1"/>
            <w:tcMar>
              <w:top w:w="0" w:type="dxa"/>
              <w:left w:w="0" w:type="dxa"/>
              <w:bottom w:w="0" w:type="dxa"/>
              <w:right w:w="0" w:type="dxa"/>
            </w:tcMar>
            <w:vAlign w:val="center"/>
          </w:tcPr>
          <w:p w14:paraId="5CF1C5C1" w14:textId="77777777" w:rsidR="00B047F7" w:rsidRDefault="00B047F7" w:rsidP="00817CE0">
            <w:pPr>
              <w:spacing w:before="40" w:after="40"/>
              <w:ind w:left="100" w:right="100"/>
              <w:jc w:val="right"/>
              <w:rPr>
                <w:rFonts w:asciiTheme="majorHAnsi" w:hAnsiTheme="majorHAnsi" w:cstheme="majorHAnsi"/>
                <w:color w:val="111111"/>
                <w:sz w:val="16"/>
                <w:szCs w:val="16"/>
              </w:rPr>
            </w:pPr>
            <w:r>
              <w:rPr>
                <w:rFonts w:asciiTheme="majorHAnsi" w:hAnsiTheme="majorHAnsi" w:cstheme="majorHAnsi"/>
                <w:color w:val="111111"/>
                <w:sz w:val="16"/>
                <w:szCs w:val="16"/>
              </w:rPr>
              <w:t>No</w:t>
            </w:r>
          </w:p>
          <w:p w14:paraId="1FACE2A5" w14:textId="77777777" w:rsidR="00B047F7" w:rsidRDefault="00B047F7" w:rsidP="00817CE0">
            <w:pPr>
              <w:spacing w:before="40" w:after="40"/>
              <w:ind w:left="100" w:right="100"/>
              <w:jc w:val="right"/>
              <w:rPr>
                <w:rFonts w:asciiTheme="majorHAnsi" w:hAnsiTheme="majorHAnsi" w:cstheme="majorHAnsi"/>
                <w:color w:val="111111"/>
                <w:sz w:val="16"/>
                <w:szCs w:val="16"/>
              </w:rPr>
            </w:pPr>
          </w:p>
          <w:p w14:paraId="46613C7E" w14:textId="2E9E72E2" w:rsidR="00B047F7" w:rsidRPr="00D7026D" w:rsidRDefault="00B047F7" w:rsidP="00817CE0">
            <w:pPr>
              <w:spacing w:before="40" w:after="40"/>
              <w:ind w:left="100" w:right="100"/>
              <w:jc w:val="right"/>
              <w:rPr>
                <w:rFonts w:asciiTheme="majorHAnsi" w:hAnsiTheme="majorHAnsi" w:cstheme="majorHAnsi"/>
                <w:color w:val="111111"/>
                <w:sz w:val="16"/>
                <w:szCs w:val="16"/>
              </w:rPr>
            </w:pPr>
            <w:r>
              <w:rPr>
                <w:rFonts w:asciiTheme="majorHAnsi" w:hAnsiTheme="majorHAnsi" w:cstheme="majorHAnsi"/>
                <w:color w:val="111111"/>
                <w:sz w:val="16"/>
                <w:szCs w:val="16"/>
              </w:rPr>
              <w:t xml:space="preserve">Yes  </w:t>
            </w:r>
          </w:p>
        </w:tc>
        <w:tc>
          <w:tcPr>
            <w:tcW w:w="2123" w:type="dxa"/>
            <w:shd w:val="clear" w:color="auto" w:fill="FFFFFF" w:themeFill="background1"/>
            <w:tcMar>
              <w:top w:w="0" w:type="dxa"/>
              <w:left w:w="0" w:type="dxa"/>
              <w:bottom w:w="0" w:type="dxa"/>
              <w:right w:w="0" w:type="dxa"/>
            </w:tcMar>
            <w:vAlign w:val="center"/>
          </w:tcPr>
          <w:p w14:paraId="3F6B9E46" w14:textId="642F39E2" w:rsidR="00B047F7" w:rsidRDefault="0050689F" w:rsidP="00817CE0">
            <w:pPr>
              <w:spacing w:before="40" w:after="40"/>
              <w:ind w:left="100" w:right="100"/>
              <w:jc w:val="right"/>
              <w:rPr>
                <w:rFonts w:asciiTheme="majorHAnsi" w:hAnsiTheme="majorHAnsi" w:cstheme="majorHAnsi"/>
                <w:color w:val="111111"/>
                <w:sz w:val="16"/>
                <w:szCs w:val="16"/>
              </w:rPr>
            </w:pPr>
            <w:r>
              <w:rPr>
                <w:rFonts w:asciiTheme="majorHAnsi" w:hAnsiTheme="majorHAnsi" w:cstheme="majorHAnsi"/>
                <w:color w:val="111111"/>
                <w:sz w:val="16"/>
                <w:szCs w:val="16"/>
              </w:rPr>
              <w:t>81 (94.2)</w:t>
            </w:r>
          </w:p>
          <w:p w14:paraId="099B3D83" w14:textId="77777777" w:rsidR="00E40DCB" w:rsidRDefault="00E40DCB" w:rsidP="00817CE0">
            <w:pPr>
              <w:spacing w:before="40" w:after="40"/>
              <w:ind w:left="100" w:right="100"/>
              <w:jc w:val="right"/>
              <w:rPr>
                <w:rFonts w:asciiTheme="majorHAnsi" w:hAnsiTheme="majorHAnsi" w:cstheme="majorHAnsi"/>
                <w:color w:val="111111"/>
                <w:sz w:val="16"/>
                <w:szCs w:val="16"/>
              </w:rPr>
            </w:pPr>
          </w:p>
          <w:p w14:paraId="1B5A7B54" w14:textId="12DCD51B" w:rsidR="00E40DCB" w:rsidRPr="00D7026D" w:rsidRDefault="00B15096" w:rsidP="00817CE0">
            <w:pPr>
              <w:spacing w:before="40" w:after="40"/>
              <w:ind w:left="100" w:right="100"/>
              <w:jc w:val="right"/>
              <w:rPr>
                <w:rFonts w:asciiTheme="majorHAnsi" w:hAnsiTheme="majorHAnsi" w:cstheme="majorHAnsi"/>
                <w:color w:val="111111"/>
                <w:sz w:val="16"/>
                <w:szCs w:val="16"/>
              </w:rPr>
            </w:pPr>
            <w:r>
              <w:rPr>
                <w:rFonts w:asciiTheme="majorHAnsi" w:hAnsiTheme="majorHAnsi" w:cstheme="majorHAnsi"/>
                <w:color w:val="111111"/>
                <w:sz w:val="16"/>
                <w:szCs w:val="16"/>
              </w:rPr>
              <w:t>5 (5.8</w:t>
            </w:r>
            <w:r w:rsidR="00E40DCB">
              <w:rPr>
                <w:rFonts w:asciiTheme="majorHAnsi" w:hAnsiTheme="majorHAnsi" w:cstheme="majorHAnsi"/>
                <w:color w:val="111111"/>
                <w:sz w:val="16"/>
                <w:szCs w:val="16"/>
              </w:rPr>
              <w:t>)</w:t>
            </w:r>
          </w:p>
        </w:tc>
        <w:tc>
          <w:tcPr>
            <w:tcW w:w="2123" w:type="dxa"/>
            <w:shd w:val="clear" w:color="auto" w:fill="FFFFFF" w:themeFill="background1"/>
            <w:tcMar>
              <w:top w:w="0" w:type="dxa"/>
              <w:left w:w="0" w:type="dxa"/>
              <w:bottom w:w="0" w:type="dxa"/>
              <w:right w:w="0" w:type="dxa"/>
            </w:tcMar>
            <w:vAlign w:val="center"/>
          </w:tcPr>
          <w:p w14:paraId="3FD5C886" w14:textId="77777777" w:rsidR="00B047F7" w:rsidRDefault="00E40DCB" w:rsidP="00817CE0">
            <w:pPr>
              <w:spacing w:before="40" w:after="40"/>
              <w:ind w:left="100" w:right="100"/>
              <w:jc w:val="right"/>
              <w:rPr>
                <w:rFonts w:asciiTheme="majorHAnsi" w:hAnsiTheme="majorHAnsi" w:cstheme="majorHAnsi"/>
                <w:color w:val="111111"/>
                <w:sz w:val="16"/>
                <w:szCs w:val="16"/>
              </w:rPr>
            </w:pPr>
            <w:r>
              <w:rPr>
                <w:rFonts w:asciiTheme="majorHAnsi" w:hAnsiTheme="majorHAnsi" w:cstheme="majorHAnsi"/>
                <w:color w:val="111111"/>
                <w:sz w:val="16"/>
                <w:szCs w:val="16"/>
              </w:rPr>
              <w:t>203 (84.6)</w:t>
            </w:r>
          </w:p>
          <w:p w14:paraId="0575C7E3" w14:textId="77777777" w:rsidR="00E40DCB" w:rsidRDefault="00E40DCB" w:rsidP="00817CE0">
            <w:pPr>
              <w:spacing w:before="40" w:after="40"/>
              <w:ind w:left="100" w:right="100"/>
              <w:jc w:val="right"/>
              <w:rPr>
                <w:rFonts w:asciiTheme="majorHAnsi" w:hAnsiTheme="majorHAnsi" w:cstheme="majorHAnsi"/>
                <w:color w:val="111111"/>
                <w:sz w:val="16"/>
                <w:szCs w:val="16"/>
              </w:rPr>
            </w:pPr>
          </w:p>
          <w:p w14:paraId="7939F8EA" w14:textId="7083050D" w:rsidR="00E40DCB" w:rsidRPr="00D7026D" w:rsidRDefault="00092AE9" w:rsidP="00817CE0">
            <w:pPr>
              <w:spacing w:before="40" w:after="40"/>
              <w:ind w:left="100" w:right="100"/>
              <w:jc w:val="right"/>
              <w:rPr>
                <w:rFonts w:asciiTheme="majorHAnsi" w:hAnsiTheme="majorHAnsi" w:cstheme="majorHAnsi"/>
                <w:color w:val="111111"/>
                <w:sz w:val="16"/>
                <w:szCs w:val="16"/>
              </w:rPr>
            </w:pPr>
            <w:r>
              <w:rPr>
                <w:rFonts w:asciiTheme="majorHAnsi" w:hAnsiTheme="majorHAnsi" w:cstheme="majorHAnsi"/>
                <w:color w:val="111111"/>
                <w:sz w:val="16"/>
                <w:szCs w:val="16"/>
              </w:rPr>
              <w:t>37 (15.4)</w:t>
            </w:r>
          </w:p>
        </w:tc>
        <w:tc>
          <w:tcPr>
            <w:tcW w:w="1048" w:type="dxa"/>
            <w:shd w:val="clear" w:color="auto" w:fill="FFFFFF" w:themeFill="background1"/>
            <w:tcMar>
              <w:top w:w="0" w:type="dxa"/>
              <w:left w:w="0" w:type="dxa"/>
              <w:bottom w:w="0" w:type="dxa"/>
              <w:right w:w="0" w:type="dxa"/>
            </w:tcMar>
            <w:vAlign w:val="center"/>
          </w:tcPr>
          <w:p w14:paraId="400F1A13" w14:textId="731C4C29" w:rsidR="00B047F7" w:rsidRPr="00D7026D" w:rsidRDefault="00092AE9" w:rsidP="00817CE0">
            <w:pPr>
              <w:spacing w:before="40" w:after="40"/>
              <w:ind w:left="100" w:right="100"/>
              <w:jc w:val="right"/>
              <w:rPr>
                <w:rFonts w:asciiTheme="majorHAnsi" w:hAnsiTheme="majorHAnsi" w:cstheme="majorHAnsi"/>
                <w:sz w:val="16"/>
                <w:szCs w:val="16"/>
              </w:rPr>
            </w:pPr>
            <w:r>
              <w:rPr>
                <w:rFonts w:asciiTheme="majorHAnsi" w:hAnsiTheme="majorHAnsi" w:cstheme="majorHAnsi"/>
                <w:sz w:val="16"/>
                <w:szCs w:val="16"/>
              </w:rPr>
              <w:t>0.0</w:t>
            </w:r>
            <w:r w:rsidR="0050689F">
              <w:rPr>
                <w:rFonts w:asciiTheme="majorHAnsi" w:hAnsiTheme="majorHAnsi" w:cstheme="majorHAnsi"/>
                <w:sz w:val="16"/>
                <w:szCs w:val="16"/>
              </w:rPr>
              <w:t>36</w:t>
            </w:r>
          </w:p>
        </w:tc>
      </w:tr>
      <w:tr w:rsidR="00092AE9" w:rsidRPr="00D7026D" w14:paraId="37A198E2" w14:textId="77777777" w:rsidTr="4E4A2F72">
        <w:trPr>
          <w:cantSplit/>
          <w:trHeight w:val="507"/>
          <w:jc w:val="center"/>
        </w:trPr>
        <w:tc>
          <w:tcPr>
            <w:tcW w:w="2077" w:type="dxa"/>
            <w:shd w:val="clear" w:color="auto" w:fill="FFFFFF" w:themeFill="background1"/>
            <w:tcMar>
              <w:top w:w="0" w:type="dxa"/>
              <w:left w:w="0" w:type="dxa"/>
              <w:bottom w:w="0" w:type="dxa"/>
              <w:right w:w="0" w:type="dxa"/>
            </w:tcMar>
            <w:vAlign w:val="center"/>
          </w:tcPr>
          <w:p w14:paraId="21955C64" w14:textId="4EF4B51E" w:rsidR="00092AE9" w:rsidRDefault="00092AE9" w:rsidP="00817CE0">
            <w:pPr>
              <w:spacing w:before="40" w:after="40"/>
              <w:ind w:left="100" w:right="100"/>
              <w:jc w:val="right"/>
              <w:rPr>
                <w:rFonts w:asciiTheme="majorHAnsi" w:hAnsiTheme="majorHAnsi" w:cstheme="majorHAnsi"/>
                <w:sz w:val="16"/>
                <w:szCs w:val="16"/>
              </w:rPr>
            </w:pPr>
            <w:r>
              <w:rPr>
                <w:rFonts w:asciiTheme="majorHAnsi" w:hAnsiTheme="majorHAnsi" w:cstheme="majorHAnsi"/>
                <w:sz w:val="16"/>
                <w:szCs w:val="16"/>
              </w:rPr>
              <w:t>Chronic Cardiac Disease</w:t>
            </w:r>
          </w:p>
        </w:tc>
        <w:tc>
          <w:tcPr>
            <w:tcW w:w="2886" w:type="dxa"/>
            <w:shd w:val="clear" w:color="auto" w:fill="FFFFFF" w:themeFill="background1"/>
            <w:tcMar>
              <w:top w:w="0" w:type="dxa"/>
              <w:left w:w="0" w:type="dxa"/>
              <w:bottom w:w="0" w:type="dxa"/>
              <w:right w:w="0" w:type="dxa"/>
            </w:tcMar>
            <w:vAlign w:val="center"/>
          </w:tcPr>
          <w:p w14:paraId="5C428B26" w14:textId="77777777" w:rsidR="00092AE9" w:rsidRDefault="00092AE9" w:rsidP="00817CE0">
            <w:pPr>
              <w:spacing w:before="40" w:after="40"/>
              <w:ind w:left="100" w:right="100"/>
              <w:jc w:val="right"/>
              <w:rPr>
                <w:rFonts w:asciiTheme="majorHAnsi" w:hAnsiTheme="majorHAnsi" w:cstheme="majorHAnsi"/>
                <w:color w:val="111111"/>
                <w:sz w:val="16"/>
                <w:szCs w:val="16"/>
              </w:rPr>
            </w:pPr>
            <w:r>
              <w:rPr>
                <w:rFonts w:asciiTheme="majorHAnsi" w:hAnsiTheme="majorHAnsi" w:cstheme="majorHAnsi"/>
                <w:color w:val="111111"/>
                <w:sz w:val="16"/>
                <w:szCs w:val="16"/>
              </w:rPr>
              <w:t>No</w:t>
            </w:r>
          </w:p>
          <w:p w14:paraId="77792C93" w14:textId="77777777" w:rsidR="00092AE9" w:rsidRDefault="00092AE9" w:rsidP="00817CE0">
            <w:pPr>
              <w:spacing w:before="40" w:after="40"/>
              <w:ind w:left="100" w:right="100"/>
              <w:jc w:val="right"/>
              <w:rPr>
                <w:rFonts w:asciiTheme="majorHAnsi" w:hAnsiTheme="majorHAnsi" w:cstheme="majorHAnsi"/>
                <w:color w:val="111111"/>
                <w:sz w:val="16"/>
                <w:szCs w:val="16"/>
              </w:rPr>
            </w:pPr>
          </w:p>
          <w:p w14:paraId="7A063A12" w14:textId="430CD115" w:rsidR="00092AE9" w:rsidRDefault="00092AE9" w:rsidP="00817CE0">
            <w:pPr>
              <w:spacing w:before="40" w:after="40"/>
              <w:ind w:left="100" w:right="100"/>
              <w:jc w:val="right"/>
              <w:rPr>
                <w:rFonts w:asciiTheme="majorHAnsi" w:hAnsiTheme="majorHAnsi" w:cstheme="majorHAnsi"/>
                <w:color w:val="111111"/>
                <w:sz w:val="16"/>
                <w:szCs w:val="16"/>
              </w:rPr>
            </w:pPr>
            <w:r>
              <w:rPr>
                <w:rFonts w:asciiTheme="majorHAnsi" w:hAnsiTheme="majorHAnsi" w:cstheme="majorHAnsi"/>
                <w:color w:val="111111"/>
                <w:sz w:val="16"/>
                <w:szCs w:val="16"/>
              </w:rPr>
              <w:t>Yes</w:t>
            </w:r>
          </w:p>
        </w:tc>
        <w:tc>
          <w:tcPr>
            <w:tcW w:w="2123" w:type="dxa"/>
            <w:shd w:val="clear" w:color="auto" w:fill="FFFFFF" w:themeFill="background1"/>
            <w:tcMar>
              <w:top w:w="0" w:type="dxa"/>
              <w:left w:w="0" w:type="dxa"/>
              <w:bottom w:w="0" w:type="dxa"/>
              <w:right w:w="0" w:type="dxa"/>
            </w:tcMar>
            <w:vAlign w:val="center"/>
          </w:tcPr>
          <w:p w14:paraId="3B45808A" w14:textId="173E9402" w:rsidR="00092AE9" w:rsidRDefault="0050689F" w:rsidP="00817CE0">
            <w:pPr>
              <w:spacing w:before="40" w:after="40"/>
              <w:ind w:left="100" w:right="100"/>
              <w:jc w:val="right"/>
              <w:rPr>
                <w:rFonts w:asciiTheme="majorHAnsi" w:hAnsiTheme="majorHAnsi" w:cstheme="majorHAnsi"/>
                <w:color w:val="111111"/>
                <w:sz w:val="16"/>
                <w:szCs w:val="16"/>
              </w:rPr>
            </w:pPr>
            <w:r>
              <w:rPr>
                <w:rFonts w:asciiTheme="majorHAnsi" w:hAnsiTheme="majorHAnsi" w:cstheme="majorHAnsi"/>
                <w:color w:val="111111"/>
                <w:sz w:val="16"/>
                <w:szCs w:val="16"/>
              </w:rPr>
              <w:t>78</w:t>
            </w:r>
            <w:r w:rsidR="00092AE9">
              <w:rPr>
                <w:rFonts w:asciiTheme="majorHAnsi" w:hAnsiTheme="majorHAnsi" w:cstheme="majorHAnsi"/>
                <w:color w:val="111111"/>
                <w:sz w:val="16"/>
                <w:szCs w:val="16"/>
              </w:rPr>
              <w:t xml:space="preserve"> (</w:t>
            </w:r>
            <w:r>
              <w:rPr>
                <w:rFonts w:asciiTheme="majorHAnsi" w:hAnsiTheme="majorHAnsi" w:cstheme="majorHAnsi"/>
                <w:color w:val="111111"/>
                <w:sz w:val="16"/>
                <w:szCs w:val="16"/>
              </w:rPr>
              <w:t>90.7</w:t>
            </w:r>
            <w:r w:rsidR="00092AE9">
              <w:rPr>
                <w:rFonts w:asciiTheme="majorHAnsi" w:hAnsiTheme="majorHAnsi" w:cstheme="majorHAnsi"/>
                <w:color w:val="111111"/>
                <w:sz w:val="16"/>
                <w:szCs w:val="16"/>
              </w:rPr>
              <w:t>)</w:t>
            </w:r>
          </w:p>
          <w:p w14:paraId="45EF55FF" w14:textId="77777777" w:rsidR="00092AE9" w:rsidRDefault="00092AE9" w:rsidP="00817CE0">
            <w:pPr>
              <w:spacing w:before="40" w:after="40"/>
              <w:ind w:left="100" w:right="100"/>
              <w:jc w:val="right"/>
              <w:rPr>
                <w:rFonts w:asciiTheme="majorHAnsi" w:hAnsiTheme="majorHAnsi" w:cstheme="majorHAnsi"/>
                <w:color w:val="111111"/>
                <w:sz w:val="16"/>
                <w:szCs w:val="16"/>
              </w:rPr>
            </w:pPr>
          </w:p>
          <w:p w14:paraId="5BEECB42" w14:textId="01E30D79" w:rsidR="00092AE9" w:rsidRDefault="0050689F" w:rsidP="00817CE0">
            <w:pPr>
              <w:spacing w:before="40" w:after="40"/>
              <w:ind w:left="100" w:right="100"/>
              <w:jc w:val="right"/>
              <w:rPr>
                <w:rFonts w:asciiTheme="majorHAnsi" w:hAnsiTheme="majorHAnsi" w:cstheme="majorHAnsi"/>
                <w:color w:val="111111"/>
                <w:sz w:val="16"/>
                <w:szCs w:val="16"/>
              </w:rPr>
            </w:pPr>
            <w:r>
              <w:rPr>
                <w:rFonts w:asciiTheme="majorHAnsi" w:hAnsiTheme="majorHAnsi" w:cstheme="majorHAnsi"/>
                <w:color w:val="111111"/>
                <w:sz w:val="16"/>
                <w:szCs w:val="16"/>
              </w:rPr>
              <w:t>8 (9.3</w:t>
            </w:r>
            <w:r w:rsidR="00092AE9">
              <w:rPr>
                <w:rFonts w:asciiTheme="majorHAnsi" w:hAnsiTheme="majorHAnsi" w:cstheme="majorHAnsi"/>
                <w:color w:val="111111"/>
                <w:sz w:val="16"/>
                <w:szCs w:val="16"/>
              </w:rPr>
              <w:t>)</w:t>
            </w:r>
          </w:p>
        </w:tc>
        <w:tc>
          <w:tcPr>
            <w:tcW w:w="2123" w:type="dxa"/>
            <w:shd w:val="clear" w:color="auto" w:fill="FFFFFF" w:themeFill="background1"/>
            <w:tcMar>
              <w:top w:w="0" w:type="dxa"/>
              <w:left w:w="0" w:type="dxa"/>
              <w:bottom w:w="0" w:type="dxa"/>
              <w:right w:w="0" w:type="dxa"/>
            </w:tcMar>
            <w:vAlign w:val="center"/>
          </w:tcPr>
          <w:p w14:paraId="4D6BE99A" w14:textId="66BE2ACD" w:rsidR="00092AE9" w:rsidRDefault="0050689F" w:rsidP="00817CE0">
            <w:pPr>
              <w:spacing w:before="40" w:after="40"/>
              <w:ind w:left="100" w:right="100"/>
              <w:jc w:val="right"/>
              <w:rPr>
                <w:rFonts w:asciiTheme="majorHAnsi" w:hAnsiTheme="majorHAnsi" w:cstheme="majorHAnsi"/>
                <w:color w:val="111111"/>
                <w:sz w:val="16"/>
                <w:szCs w:val="16"/>
              </w:rPr>
            </w:pPr>
            <w:r>
              <w:rPr>
                <w:rFonts w:asciiTheme="majorHAnsi" w:hAnsiTheme="majorHAnsi" w:cstheme="majorHAnsi"/>
                <w:color w:val="111111"/>
                <w:sz w:val="16"/>
                <w:szCs w:val="16"/>
              </w:rPr>
              <w:t>194 (80.8</w:t>
            </w:r>
            <w:r w:rsidR="00092AE9">
              <w:rPr>
                <w:rFonts w:asciiTheme="majorHAnsi" w:hAnsiTheme="majorHAnsi" w:cstheme="majorHAnsi"/>
                <w:color w:val="111111"/>
                <w:sz w:val="16"/>
                <w:szCs w:val="16"/>
              </w:rPr>
              <w:t>)</w:t>
            </w:r>
          </w:p>
          <w:p w14:paraId="17532423" w14:textId="77777777" w:rsidR="00092AE9" w:rsidRDefault="00092AE9" w:rsidP="00817CE0">
            <w:pPr>
              <w:spacing w:before="40" w:after="40"/>
              <w:ind w:left="100" w:right="100"/>
              <w:jc w:val="right"/>
              <w:rPr>
                <w:rFonts w:asciiTheme="majorHAnsi" w:hAnsiTheme="majorHAnsi" w:cstheme="majorHAnsi"/>
                <w:color w:val="111111"/>
                <w:sz w:val="16"/>
                <w:szCs w:val="16"/>
              </w:rPr>
            </w:pPr>
          </w:p>
          <w:p w14:paraId="72F89397" w14:textId="42A72653" w:rsidR="00092AE9" w:rsidRDefault="0050689F" w:rsidP="00817CE0">
            <w:pPr>
              <w:spacing w:before="40" w:after="40"/>
              <w:ind w:left="100" w:right="100"/>
              <w:jc w:val="right"/>
              <w:rPr>
                <w:rFonts w:asciiTheme="majorHAnsi" w:hAnsiTheme="majorHAnsi" w:cstheme="majorHAnsi"/>
                <w:color w:val="111111"/>
                <w:sz w:val="16"/>
                <w:szCs w:val="16"/>
              </w:rPr>
            </w:pPr>
            <w:r>
              <w:rPr>
                <w:rFonts w:asciiTheme="majorHAnsi" w:hAnsiTheme="majorHAnsi" w:cstheme="majorHAnsi"/>
                <w:color w:val="111111"/>
                <w:sz w:val="16"/>
                <w:szCs w:val="16"/>
              </w:rPr>
              <w:t>46</w:t>
            </w:r>
            <w:r w:rsidR="00092AE9">
              <w:rPr>
                <w:rFonts w:asciiTheme="majorHAnsi" w:hAnsiTheme="majorHAnsi" w:cstheme="majorHAnsi"/>
                <w:color w:val="111111"/>
                <w:sz w:val="16"/>
                <w:szCs w:val="16"/>
              </w:rPr>
              <w:t xml:space="preserve"> (</w:t>
            </w:r>
            <w:r>
              <w:rPr>
                <w:rFonts w:asciiTheme="majorHAnsi" w:hAnsiTheme="majorHAnsi" w:cstheme="majorHAnsi"/>
                <w:color w:val="111111"/>
                <w:sz w:val="16"/>
                <w:szCs w:val="16"/>
              </w:rPr>
              <w:t>19.2</w:t>
            </w:r>
            <w:r w:rsidR="00092AE9">
              <w:rPr>
                <w:rFonts w:asciiTheme="majorHAnsi" w:hAnsiTheme="majorHAnsi" w:cstheme="majorHAnsi"/>
                <w:color w:val="111111"/>
                <w:sz w:val="16"/>
                <w:szCs w:val="16"/>
              </w:rPr>
              <w:t>)</w:t>
            </w:r>
          </w:p>
        </w:tc>
        <w:tc>
          <w:tcPr>
            <w:tcW w:w="1048" w:type="dxa"/>
            <w:shd w:val="clear" w:color="auto" w:fill="FFFFFF" w:themeFill="background1"/>
            <w:tcMar>
              <w:top w:w="0" w:type="dxa"/>
              <w:left w:w="0" w:type="dxa"/>
              <w:bottom w:w="0" w:type="dxa"/>
              <w:right w:w="0" w:type="dxa"/>
            </w:tcMar>
            <w:vAlign w:val="center"/>
          </w:tcPr>
          <w:p w14:paraId="45430848" w14:textId="5F6C5F08" w:rsidR="00092AE9" w:rsidRDefault="0050689F" w:rsidP="00817CE0">
            <w:pPr>
              <w:spacing w:before="40" w:after="40"/>
              <w:ind w:left="100" w:right="100"/>
              <w:jc w:val="right"/>
              <w:rPr>
                <w:rFonts w:asciiTheme="majorHAnsi" w:hAnsiTheme="majorHAnsi" w:cstheme="majorHAnsi"/>
                <w:sz w:val="16"/>
                <w:szCs w:val="16"/>
              </w:rPr>
            </w:pPr>
            <w:r>
              <w:rPr>
                <w:rFonts w:asciiTheme="majorHAnsi" w:hAnsiTheme="majorHAnsi" w:cstheme="majorHAnsi"/>
                <w:sz w:val="16"/>
                <w:szCs w:val="16"/>
              </w:rPr>
              <w:t>0.052</w:t>
            </w:r>
          </w:p>
        </w:tc>
      </w:tr>
      <w:tr w:rsidR="00B77386" w:rsidRPr="00D7026D" w14:paraId="034BD84E" w14:textId="77777777" w:rsidTr="4E4A2F72">
        <w:trPr>
          <w:cantSplit/>
          <w:trHeight w:val="507"/>
          <w:jc w:val="center"/>
        </w:trPr>
        <w:tc>
          <w:tcPr>
            <w:tcW w:w="2077" w:type="dxa"/>
            <w:shd w:val="clear" w:color="auto" w:fill="FFFFFF" w:themeFill="background1"/>
            <w:tcMar>
              <w:top w:w="0" w:type="dxa"/>
              <w:left w:w="0" w:type="dxa"/>
              <w:bottom w:w="0" w:type="dxa"/>
              <w:right w:w="0" w:type="dxa"/>
            </w:tcMar>
            <w:vAlign w:val="center"/>
          </w:tcPr>
          <w:p w14:paraId="2C902822" w14:textId="77777777" w:rsidR="00B77386" w:rsidRPr="00D7026D" w:rsidRDefault="00B77386" w:rsidP="00817CE0">
            <w:pPr>
              <w:spacing w:before="40" w:after="40"/>
              <w:ind w:left="100" w:right="100"/>
              <w:jc w:val="right"/>
              <w:rPr>
                <w:rFonts w:asciiTheme="majorHAnsi" w:hAnsiTheme="majorHAnsi" w:cstheme="majorHAnsi"/>
                <w:sz w:val="16"/>
                <w:szCs w:val="16"/>
              </w:rPr>
            </w:pPr>
            <w:r>
              <w:rPr>
                <w:rFonts w:asciiTheme="majorHAnsi" w:hAnsiTheme="majorHAnsi" w:cstheme="majorHAnsi"/>
                <w:sz w:val="16"/>
                <w:szCs w:val="16"/>
              </w:rPr>
              <w:t>ICU admission diagnosis category</w:t>
            </w:r>
          </w:p>
        </w:tc>
        <w:tc>
          <w:tcPr>
            <w:tcW w:w="2886" w:type="dxa"/>
            <w:shd w:val="clear" w:color="auto" w:fill="FFFFFF" w:themeFill="background1"/>
            <w:tcMar>
              <w:top w:w="0" w:type="dxa"/>
              <w:left w:w="0" w:type="dxa"/>
              <w:bottom w:w="0" w:type="dxa"/>
              <w:right w:w="0" w:type="dxa"/>
            </w:tcMar>
            <w:vAlign w:val="center"/>
          </w:tcPr>
          <w:p w14:paraId="31607DF0" w14:textId="77777777" w:rsidR="00B77386" w:rsidRPr="00D7026D" w:rsidRDefault="00B77386" w:rsidP="00817CE0">
            <w:pPr>
              <w:spacing w:before="40" w:after="40"/>
              <w:ind w:left="100" w:right="100"/>
              <w:jc w:val="right"/>
              <w:rPr>
                <w:rFonts w:asciiTheme="majorHAnsi" w:hAnsiTheme="majorHAnsi" w:cstheme="majorHAnsi"/>
                <w:color w:val="111111"/>
                <w:sz w:val="16"/>
                <w:szCs w:val="16"/>
              </w:rPr>
            </w:pPr>
            <w:r>
              <w:rPr>
                <w:rFonts w:asciiTheme="majorHAnsi" w:hAnsiTheme="majorHAnsi" w:cstheme="majorHAnsi"/>
                <w:color w:val="111111"/>
                <w:sz w:val="16"/>
                <w:szCs w:val="16"/>
              </w:rPr>
              <w:t>Cardiovascular</w:t>
            </w:r>
          </w:p>
        </w:tc>
        <w:tc>
          <w:tcPr>
            <w:tcW w:w="2123" w:type="dxa"/>
            <w:shd w:val="clear" w:color="auto" w:fill="FFFFFF" w:themeFill="background1"/>
            <w:tcMar>
              <w:top w:w="0" w:type="dxa"/>
              <w:left w:w="0" w:type="dxa"/>
              <w:bottom w:w="0" w:type="dxa"/>
              <w:right w:w="0" w:type="dxa"/>
            </w:tcMar>
            <w:vAlign w:val="center"/>
          </w:tcPr>
          <w:p w14:paraId="5DCC3501" w14:textId="77777777" w:rsidR="00B77386" w:rsidRPr="00D7026D" w:rsidRDefault="00B77386" w:rsidP="00817CE0">
            <w:pPr>
              <w:spacing w:before="40" w:after="40"/>
              <w:ind w:left="100" w:right="100"/>
              <w:jc w:val="right"/>
              <w:rPr>
                <w:rFonts w:asciiTheme="majorHAnsi" w:hAnsiTheme="majorHAnsi" w:cstheme="majorHAnsi"/>
                <w:color w:val="111111"/>
                <w:sz w:val="16"/>
                <w:szCs w:val="16"/>
              </w:rPr>
            </w:pPr>
            <w:r>
              <w:rPr>
                <w:rFonts w:asciiTheme="majorHAnsi" w:hAnsiTheme="majorHAnsi" w:cstheme="majorHAnsi"/>
                <w:color w:val="111111"/>
                <w:sz w:val="16"/>
                <w:szCs w:val="16"/>
              </w:rPr>
              <w:t>-</w:t>
            </w:r>
          </w:p>
        </w:tc>
        <w:tc>
          <w:tcPr>
            <w:tcW w:w="2123" w:type="dxa"/>
            <w:shd w:val="clear" w:color="auto" w:fill="FFFFFF" w:themeFill="background1"/>
            <w:tcMar>
              <w:top w:w="0" w:type="dxa"/>
              <w:left w:w="0" w:type="dxa"/>
              <w:bottom w:w="0" w:type="dxa"/>
              <w:right w:w="0" w:type="dxa"/>
            </w:tcMar>
            <w:vAlign w:val="center"/>
          </w:tcPr>
          <w:p w14:paraId="7E1A58E0" w14:textId="77777777" w:rsidR="00B77386" w:rsidRPr="00D7026D" w:rsidRDefault="00B77386" w:rsidP="00817CE0">
            <w:pPr>
              <w:spacing w:before="40" w:after="40"/>
              <w:ind w:left="100" w:right="100"/>
              <w:jc w:val="right"/>
              <w:rPr>
                <w:rFonts w:asciiTheme="majorHAnsi" w:hAnsiTheme="majorHAnsi" w:cstheme="majorHAnsi"/>
                <w:color w:val="111111"/>
                <w:sz w:val="16"/>
                <w:szCs w:val="16"/>
              </w:rPr>
            </w:pPr>
            <w:r>
              <w:rPr>
                <w:rFonts w:asciiTheme="majorHAnsi" w:hAnsiTheme="majorHAnsi" w:cstheme="majorHAnsi"/>
                <w:color w:val="111111"/>
                <w:sz w:val="16"/>
                <w:szCs w:val="16"/>
              </w:rPr>
              <w:t>70 (29.2)</w:t>
            </w:r>
          </w:p>
        </w:tc>
        <w:tc>
          <w:tcPr>
            <w:tcW w:w="1048" w:type="dxa"/>
            <w:shd w:val="clear" w:color="auto" w:fill="FFFFFF" w:themeFill="background1"/>
            <w:tcMar>
              <w:top w:w="0" w:type="dxa"/>
              <w:left w:w="0" w:type="dxa"/>
              <w:bottom w:w="0" w:type="dxa"/>
              <w:right w:w="0" w:type="dxa"/>
            </w:tcMar>
            <w:vAlign w:val="center"/>
          </w:tcPr>
          <w:p w14:paraId="53D090B2" w14:textId="77777777" w:rsidR="00B77386" w:rsidRPr="00D7026D" w:rsidRDefault="00B77386" w:rsidP="00817CE0">
            <w:pPr>
              <w:spacing w:before="40" w:after="40"/>
              <w:ind w:left="100" w:right="100"/>
              <w:jc w:val="right"/>
              <w:rPr>
                <w:rFonts w:asciiTheme="majorHAnsi" w:hAnsiTheme="majorHAnsi" w:cstheme="majorHAnsi"/>
                <w:sz w:val="16"/>
                <w:szCs w:val="16"/>
              </w:rPr>
            </w:pPr>
            <w:r>
              <w:rPr>
                <w:rFonts w:asciiTheme="majorHAnsi" w:hAnsiTheme="majorHAnsi" w:cstheme="majorHAnsi"/>
                <w:sz w:val="16"/>
                <w:szCs w:val="16"/>
              </w:rPr>
              <w:t>-</w:t>
            </w:r>
          </w:p>
        </w:tc>
      </w:tr>
      <w:tr w:rsidR="00B77386" w:rsidRPr="00D7026D" w14:paraId="57FEFCCC" w14:textId="77777777" w:rsidTr="4E4A2F72">
        <w:trPr>
          <w:cantSplit/>
          <w:trHeight w:val="507"/>
          <w:jc w:val="center"/>
        </w:trPr>
        <w:tc>
          <w:tcPr>
            <w:tcW w:w="2077" w:type="dxa"/>
            <w:shd w:val="clear" w:color="auto" w:fill="FFFFFF" w:themeFill="background1"/>
            <w:tcMar>
              <w:top w:w="0" w:type="dxa"/>
              <w:left w:w="0" w:type="dxa"/>
              <w:bottom w:w="0" w:type="dxa"/>
              <w:right w:w="0" w:type="dxa"/>
            </w:tcMar>
            <w:vAlign w:val="center"/>
          </w:tcPr>
          <w:p w14:paraId="0FB5E16F" w14:textId="77777777" w:rsidR="00B77386" w:rsidRDefault="00B77386" w:rsidP="00817CE0">
            <w:pPr>
              <w:spacing w:before="40" w:after="40"/>
              <w:ind w:left="100" w:right="100"/>
              <w:jc w:val="right"/>
              <w:rPr>
                <w:rFonts w:asciiTheme="majorHAnsi" w:hAnsiTheme="majorHAnsi" w:cstheme="majorHAnsi"/>
                <w:sz w:val="16"/>
                <w:szCs w:val="16"/>
              </w:rPr>
            </w:pPr>
          </w:p>
        </w:tc>
        <w:tc>
          <w:tcPr>
            <w:tcW w:w="2886" w:type="dxa"/>
            <w:shd w:val="clear" w:color="auto" w:fill="FFFFFF" w:themeFill="background1"/>
            <w:tcMar>
              <w:top w:w="0" w:type="dxa"/>
              <w:left w:w="0" w:type="dxa"/>
              <w:bottom w:w="0" w:type="dxa"/>
              <w:right w:w="0" w:type="dxa"/>
            </w:tcMar>
            <w:vAlign w:val="center"/>
          </w:tcPr>
          <w:p w14:paraId="4F962289" w14:textId="77777777" w:rsidR="00B77386" w:rsidRDefault="00B77386" w:rsidP="00817CE0">
            <w:pPr>
              <w:spacing w:before="40" w:after="40"/>
              <w:ind w:left="100" w:right="100"/>
              <w:jc w:val="right"/>
              <w:rPr>
                <w:rFonts w:asciiTheme="majorHAnsi" w:hAnsiTheme="majorHAnsi" w:cstheme="majorBidi"/>
                <w:color w:val="111111"/>
                <w:sz w:val="16"/>
                <w:szCs w:val="16"/>
              </w:rPr>
            </w:pPr>
            <w:r w:rsidRPr="4E4A2F72">
              <w:rPr>
                <w:rFonts w:asciiTheme="majorHAnsi" w:hAnsiTheme="majorHAnsi" w:cstheme="majorBidi"/>
                <w:color w:val="111111"/>
                <w:sz w:val="16"/>
                <w:szCs w:val="16"/>
              </w:rPr>
              <w:t>Respiratory</w:t>
            </w:r>
          </w:p>
        </w:tc>
        <w:tc>
          <w:tcPr>
            <w:tcW w:w="2123" w:type="dxa"/>
            <w:shd w:val="clear" w:color="auto" w:fill="FFFFFF" w:themeFill="background1"/>
            <w:tcMar>
              <w:top w:w="0" w:type="dxa"/>
              <w:left w:w="0" w:type="dxa"/>
              <w:bottom w:w="0" w:type="dxa"/>
              <w:right w:w="0" w:type="dxa"/>
            </w:tcMar>
            <w:vAlign w:val="center"/>
          </w:tcPr>
          <w:p w14:paraId="4DB7CFFD" w14:textId="0520948C" w:rsidR="00B77386" w:rsidRPr="00D7026D" w:rsidRDefault="00C77585" w:rsidP="00817CE0">
            <w:pPr>
              <w:spacing w:before="40" w:after="40"/>
              <w:ind w:left="100" w:right="100"/>
              <w:jc w:val="right"/>
              <w:rPr>
                <w:rFonts w:asciiTheme="majorHAnsi" w:hAnsiTheme="majorHAnsi" w:cstheme="majorBidi"/>
                <w:color w:val="111111"/>
                <w:sz w:val="16"/>
                <w:szCs w:val="16"/>
              </w:rPr>
            </w:pPr>
            <w:r>
              <w:rPr>
                <w:rFonts w:asciiTheme="majorHAnsi" w:hAnsiTheme="majorHAnsi" w:cstheme="majorBidi"/>
                <w:color w:val="111111"/>
                <w:sz w:val="16"/>
                <w:szCs w:val="16"/>
              </w:rPr>
              <w:t>92 (100.0)</w:t>
            </w:r>
          </w:p>
        </w:tc>
        <w:tc>
          <w:tcPr>
            <w:tcW w:w="2123" w:type="dxa"/>
            <w:shd w:val="clear" w:color="auto" w:fill="FFFFFF" w:themeFill="background1"/>
            <w:tcMar>
              <w:top w:w="0" w:type="dxa"/>
              <w:left w:w="0" w:type="dxa"/>
              <w:bottom w:w="0" w:type="dxa"/>
              <w:right w:w="0" w:type="dxa"/>
            </w:tcMar>
            <w:vAlign w:val="center"/>
          </w:tcPr>
          <w:p w14:paraId="1FB2FE2B" w14:textId="77777777" w:rsidR="00B77386" w:rsidRPr="00D7026D" w:rsidRDefault="00B77386" w:rsidP="00817CE0">
            <w:pPr>
              <w:spacing w:before="40" w:after="40"/>
              <w:ind w:left="100" w:right="100"/>
              <w:jc w:val="right"/>
              <w:rPr>
                <w:rFonts w:asciiTheme="majorHAnsi" w:hAnsiTheme="majorHAnsi" w:cstheme="majorHAnsi"/>
                <w:color w:val="111111"/>
                <w:sz w:val="16"/>
                <w:szCs w:val="16"/>
              </w:rPr>
            </w:pPr>
            <w:r>
              <w:rPr>
                <w:rFonts w:asciiTheme="majorHAnsi" w:hAnsiTheme="majorHAnsi" w:cstheme="majorHAnsi"/>
                <w:color w:val="111111"/>
                <w:sz w:val="16"/>
                <w:szCs w:val="16"/>
              </w:rPr>
              <w:t>84 (35.0)</w:t>
            </w:r>
          </w:p>
        </w:tc>
        <w:tc>
          <w:tcPr>
            <w:tcW w:w="1048" w:type="dxa"/>
            <w:shd w:val="clear" w:color="auto" w:fill="FFFFFF" w:themeFill="background1"/>
            <w:tcMar>
              <w:top w:w="0" w:type="dxa"/>
              <w:left w:w="0" w:type="dxa"/>
              <w:bottom w:w="0" w:type="dxa"/>
              <w:right w:w="0" w:type="dxa"/>
            </w:tcMar>
            <w:vAlign w:val="center"/>
          </w:tcPr>
          <w:p w14:paraId="30CD889F" w14:textId="77777777" w:rsidR="00B77386" w:rsidRPr="00D7026D" w:rsidRDefault="00B77386" w:rsidP="00817CE0">
            <w:pPr>
              <w:spacing w:before="40" w:after="40"/>
              <w:ind w:left="100" w:right="100"/>
              <w:jc w:val="right"/>
              <w:rPr>
                <w:rFonts w:asciiTheme="majorHAnsi" w:hAnsiTheme="majorHAnsi" w:cstheme="majorHAnsi"/>
                <w:sz w:val="16"/>
                <w:szCs w:val="16"/>
              </w:rPr>
            </w:pPr>
            <w:r>
              <w:rPr>
                <w:rFonts w:asciiTheme="majorHAnsi" w:hAnsiTheme="majorHAnsi" w:cstheme="majorHAnsi"/>
                <w:sz w:val="16"/>
                <w:szCs w:val="16"/>
              </w:rPr>
              <w:t>-</w:t>
            </w:r>
          </w:p>
        </w:tc>
      </w:tr>
      <w:tr w:rsidR="00B77386" w:rsidRPr="00D7026D" w14:paraId="590F71A3" w14:textId="77777777" w:rsidTr="4E4A2F72">
        <w:trPr>
          <w:cantSplit/>
          <w:trHeight w:val="507"/>
          <w:jc w:val="center"/>
        </w:trPr>
        <w:tc>
          <w:tcPr>
            <w:tcW w:w="2077" w:type="dxa"/>
            <w:shd w:val="clear" w:color="auto" w:fill="FFFFFF" w:themeFill="background1"/>
            <w:tcMar>
              <w:top w:w="0" w:type="dxa"/>
              <w:left w:w="0" w:type="dxa"/>
              <w:bottom w:w="0" w:type="dxa"/>
              <w:right w:w="0" w:type="dxa"/>
            </w:tcMar>
            <w:vAlign w:val="center"/>
          </w:tcPr>
          <w:p w14:paraId="6C35116C" w14:textId="77777777" w:rsidR="00B77386" w:rsidRDefault="00B77386" w:rsidP="00817CE0">
            <w:pPr>
              <w:spacing w:before="40" w:after="40"/>
              <w:ind w:left="100" w:right="100"/>
              <w:jc w:val="right"/>
              <w:rPr>
                <w:rFonts w:asciiTheme="majorHAnsi" w:hAnsiTheme="majorHAnsi" w:cstheme="majorHAnsi"/>
                <w:sz w:val="16"/>
                <w:szCs w:val="16"/>
              </w:rPr>
            </w:pPr>
          </w:p>
        </w:tc>
        <w:tc>
          <w:tcPr>
            <w:tcW w:w="2886" w:type="dxa"/>
            <w:shd w:val="clear" w:color="auto" w:fill="FFFFFF" w:themeFill="background1"/>
            <w:tcMar>
              <w:top w:w="0" w:type="dxa"/>
              <w:left w:w="0" w:type="dxa"/>
              <w:bottom w:w="0" w:type="dxa"/>
              <w:right w:w="0" w:type="dxa"/>
            </w:tcMar>
            <w:vAlign w:val="center"/>
          </w:tcPr>
          <w:p w14:paraId="4AEA4AFA" w14:textId="77777777" w:rsidR="00B77386" w:rsidRDefault="00B77386" w:rsidP="00817CE0">
            <w:pPr>
              <w:spacing w:before="40" w:after="40"/>
              <w:ind w:left="100" w:right="100"/>
              <w:jc w:val="right"/>
              <w:rPr>
                <w:rFonts w:asciiTheme="majorHAnsi" w:hAnsiTheme="majorHAnsi" w:cstheme="majorHAnsi"/>
                <w:color w:val="111111"/>
                <w:sz w:val="16"/>
                <w:szCs w:val="16"/>
              </w:rPr>
            </w:pPr>
            <w:r>
              <w:rPr>
                <w:rFonts w:asciiTheme="majorHAnsi" w:hAnsiTheme="majorHAnsi" w:cstheme="majorHAnsi"/>
                <w:color w:val="111111"/>
                <w:sz w:val="16"/>
                <w:szCs w:val="16"/>
              </w:rPr>
              <w:t>Gastrointestinal tract</w:t>
            </w:r>
          </w:p>
        </w:tc>
        <w:tc>
          <w:tcPr>
            <w:tcW w:w="2123" w:type="dxa"/>
            <w:shd w:val="clear" w:color="auto" w:fill="FFFFFF" w:themeFill="background1"/>
            <w:tcMar>
              <w:top w:w="0" w:type="dxa"/>
              <w:left w:w="0" w:type="dxa"/>
              <w:bottom w:w="0" w:type="dxa"/>
              <w:right w:w="0" w:type="dxa"/>
            </w:tcMar>
            <w:vAlign w:val="center"/>
          </w:tcPr>
          <w:p w14:paraId="194B44A5" w14:textId="77777777" w:rsidR="00B77386" w:rsidRPr="00D7026D" w:rsidRDefault="00B77386" w:rsidP="00817CE0">
            <w:pPr>
              <w:spacing w:before="40" w:after="40"/>
              <w:ind w:left="100" w:right="100"/>
              <w:jc w:val="right"/>
              <w:rPr>
                <w:rFonts w:asciiTheme="majorHAnsi" w:hAnsiTheme="majorHAnsi" w:cstheme="majorHAnsi"/>
                <w:color w:val="111111"/>
                <w:sz w:val="16"/>
                <w:szCs w:val="16"/>
              </w:rPr>
            </w:pPr>
            <w:r>
              <w:rPr>
                <w:rFonts w:asciiTheme="majorHAnsi" w:hAnsiTheme="majorHAnsi" w:cstheme="majorHAnsi"/>
                <w:color w:val="111111"/>
                <w:sz w:val="16"/>
                <w:szCs w:val="16"/>
              </w:rPr>
              <w:t>-</w:t>
            </w:r>
          </w:p>
        </w:tc>
        <w:tc>
          <w:tcPr>
            <w:tcW w:w="2123" w:type="dxa"/>
            <w:shd w:val="clear" w:color="auto" w:fill="FFFFFF" w:themeFill="background1"/>
            <w:tcMar>
              <w:top w:w="0" w:type="dxa"/>
              <w:left w:w="0" w:type="dxa"/>
              <w:bottom w:w="0" w:type="dxa"/>
              <w:right w:w="0" w:type="dxa"/>
            </w:tcMar>
            <w:vAlign w:val="center"/>
          </w:tcPr>
          <w:p w14:paraId="77953006" w14:textId="77777777" w:rsidR="00B77386" w:rsidRPr="00D7026D" w:rsidRDefault="00B77386" w:rsidP="00817CE0">
            <w:pPr>
              <w:spacing w:before="40" w:after="40"/>
              <w:ind w:left="100" w:right="100"/>
              <w:jc w:val="right"/>
              <w:rPr>
                <w:rFonts w:asciiTheme="majorHAnsi" w:hAnsiTheme="majorHAnsi" w:cstheme="majorHAnsi"/>
                <w:color w:val="111111"/>
                <w:sz w:val="16"/>
                <w:szCs w:val="16"/>
              </w:rPr>
            </w:pPr>
            <w:r>
              <w:rPr>
                <w:rFonts w:asciiTheme="majorHAnsi" w:hAnsiTheme="majorHAnsi" w:cstheme="majorHAnsi"/>
                <w:color w:val="111111"/>
                <w:sz w:val="16"/>
                <w:szCs w:val="16"/>
              </w:rPr>
              <w:t>59 (24.6)</w:t>
            </w:r>
          </w:p>
        </w:tc>
        <w:tc>
          <w:tcPr>
            <w:tcW w:w="1048" w:type="dxa"/>
            <w:shd w:val="clear" w:color="auto" w:fill="FFFFFF" w:themeFill="background1"/>
            <w:tcMar>
              <w:top w:w="0" w:type="dxa"/>
              <w:left w:w="0" w:type="dxa"/>
              <w:bottom w:w="0" w:type="dxa"/>
              <w:right w:w="0" w:type="dxa"/>
            </w:tcMar>
            <w:vAlign w:val="center"/>
          </w:tcPr>
          <w:p w14:paraId="31605E53" w14:textId="77777777" w:rsidR="00B77386" w:rsidRPr="00D7026D" w:rsidRDefault="00B77386" w:rsidP="00817CE0">
            <w:pPr>
              <w:spacing w:before="40" w:after="40"/>
              <w:ind w:left="100" w:right="100"/>
              <w:jc w:val="right"/>
              <w:rPr>
                <w:rFonts w:asciiTheme="majorHAnsi" w:hAnsiTheme="majorHAnsi" w:cstheme="majorHAnsi"/>
                <w:sz w:val="16"/>
                <w:szCs w:val="16"/>
              </w:rPr>
            </w:pPr>
            <w:r>
              <w:rPr>
                <w:rFonts w:asciiTheme="majorHAnsi" w:hAnsiTheme="majorHAnsi" w:cstheme="majorHAnsi"/>
                <w:sz w:val="16"/>
                <w:szCs w:val="16"/>
              </w:rPr>
              <w:t>-</w:t>
            </w:r>
          </w:p>
        </w:tc>
      </w:tr>
      <w:tr w:rsidR="00B77386" w:rsidRPr="00D7026D" w14:paraId="1411DB74" w14:textId="77777777" w:rsidTr="4E4A2F72">
        <w:trPr>
          <w:cantSplit/>
          <w:trHeight w:val="507"/>
          <w:jc w:val="center"/>
        </w:trPr>
        <w:tc>
          <w:tcPr>
            <w:tcW w:w="2077" w:type="dxa"/>
            <w:shd w:val="clear" w:color="auto" w:fill="FFFFFF" w:themeFill="background1"/>
            <w:tcMar>
              <w:top w:w="0" w:type="dxa"/>
              <w:left w:w="0" w:type="dxa"/>
              <w:bottom w:w="0" w:type="dxa"/>
              <w:right w:w="0" w:type="dxa"/>
            </w:tcMar>
            <w:vAlign w:val="center"/>
          </w:tcPr>
          <w:p w14:paraId="4087721A" w14:textId="77777777" w:rsidR="00B77386" w:rsidRDefault="00B77386" w:rsidP="00817CE0">
            <w:pPr>
              <w:spacing w:before="40" w:after="40"/>
              <w:ind w:left="100" w:right="100"/>
              <w:jc w:val="right"/>
              <w:rPr>
                <w:rFonts w:asciiTheme="majorHAnsi" w:hAnsiTheme="majorHAnsi" w:cstheme="majorHAnsi"/>
                <w:sz w:val="16"/>
                <w:szCs w:val="16"/>
              </w:rPr>
            </w:pPr>
          </w:p>
        </w:tc>
        <w:tc>
          <w:tcPr>
            <w:tcW w:w="2886" w:type="dxa"/>
            <w:shd w:val="clear" w:color="auto" w:fill="FFFFFF" w:themeFill="background1"/>
            <w:tcMar>
              <w:top w:w="0" w:type="dxa"/>
              <w:left w:w="0" w:type="dxa"/>
              <w:bottom w:w="0" w:type="dxa"/>
              <w:right w:w="0" w:type="dxa"/>
            </w:tcMar>
            <w:vAlign w:val="center"/>
          </w:tcPr>
          <w:p w14:paraId="27311AE6" w14:textId="77777777" w:rsidR="00B77386" w:rsidRDefault="00B77386" w:rsidP="00817CE0">
            <w:pPr>
              <w:spacing w:before="40" w:after="40"/>
              <w:ind w:left="100" w:right="100"/>
              <w:jc w:val="right"/>
              <w:rPr>
                <w:rFonts w:asciiTheme="majorHAnsi" w:hAnsiTheme="majorHAnsi" w:cstheme="majorHAnsi"/>
                <w:color w:val="111111"/>
                <w:sz w:val="16"/>
                <w:szCs w:val="16"/>
              </w:rPr>
            </w:pPr>
            <w:r>
              <w:rPr>
                <w:rFonts w:asciiTheme="majorHAnsi" w:hAnsiTheme="majorHAnsi" w:cstheme="majorHAnsi"/>
                <w:color w:val="111111"/>
                <w:sz w:val="16"/>
                <w:szCs w:val="16"/>
              </w:rPr>
              <w:t>Renal</w:t>
            </w:r>
          </w:p>
        </w:tc>
        <w:tc>
          <w:tcPr>
            <w:tcW w:w="2123" w:type="dxa"/>
            <w:shd w:val="clear" w:color="auto" w:fill="FFFFFF" w:themeFill="background1"/>
            <w:tcMar>
              <w:top w:w="0" w:type="dxa"/>
              <w:left w:w="0" w:type="dxa"/>
              <w:bottom w:w="0" w:type="dxa"/>
              <w:right w:w="0" w:type="dxa"/>
            </w:tcMar>
            <w:vAlign w:val="center"/>
          </w:tcPr>
          <w:p w14:paraId="21E1C006" w14:textId="77777777" w:rsidR="00B77386" w:rsidRPr="00D7026D" w:rsidRDefault="00B77386" w:rsidP="00817CE0">
            <w:pPr>
              <w:spacing w:before="40" w:after="40"/>
              <w:ind w:left="100" w:right="100"/>
              <w:jc w:val="right"/>
              <w:rPr>
                <w:rFonts w:asciiTheme="majorHAnsi" w:hAnsiTheme="majorHAnsi" w:cstheme="majorHAnsi"/>
                <w:color w:val="111111"/>
                <w:sz w:val="16"/>
                <w:szCs w:val="16"/>
              </w:rPr>
            </w:pPr>
            <w:r>
              <w:rPr>
                <w:rFonts w:asciiTheme="majorHAnsi" w:hAnsiTheme="majorHAnsi" w:cstheme="majorHAnsi"/>
                <w:color w:val="111111"/>
                <w:sz w:val="16"/>
                <w:szCs w:val="16"/>
              </w:rPr>
              <w:t>-</w:t>
            </w:r>
          </w:p>
        </w:tc>
        <w:tc>
          <w:tcPr>
            <w:tcW w:w="2123" w:type="dxa"/>
            <w:shd w:val="clear" w:color="auto" w:fill="FFFFFF" w:themeFill="background1"/>
            <w:tcMar>
              <w:top w:w="0" w:type="dxa"/>
              <w:left w:w="0" w:type="dxa"/>
              <w:bottom w:w="0" w:type="dxa"/>
              <w:right w:w="0" w:type="dxa"/>
            </w:tcMar>
            <w:vAlign w:val="center"/>
          </w:tcPr>
          <w:p w14:paraId="6C90712E" w14:textId="77777777" w:rsidR="00B77386" w:rsidRPr="00D7026D" w:rsidRDefault="00B77386" w:rsidP="00817CE0">
            <w:pPr>
              <w:spacing w:before="40" w:after="40"/>
              <w:ind w:left="100" w:right="100"/>
              <w:jc w:val="right"/>
              <w:rPr>
                <w:rFonts w:asciiTheme="majorHAnsi" w:hAnsiTheme="majorHAnsi" w:cstheme="majorHAnsi"/>
                <w:color w:val="111111"/>
                <w:sz w:val="16"/>
                <w:szCs w:val="16"/>
              </w:rPr>
            </w:pPr>
            <w:r>
              <w:rPr>
                <w:rFonts w:asciiTheme="majorHAnsi" w:hAnsiTheme="majorHAnsi" w:cstheme="majorHAnsi"/>
                <w:color w:val="111111"/>
                <w:sz w:val="16"/>
                <w:szCs w:val="16"/>
              </w:rPr>
              <w:t>3 (1.3)</w:t>
            </w:r>
          </w:p>
        </w:tc>
        <w:tc>
          <w:tcPr>
            <w:tcW w:w="1048" w:type="dxa"/>
            <w:shd w:val="clear" w:color="auto" w:fill="FFFFFF" w:themeFill="background1"/>
            <w:tcMar>
              <w:top w:w="0" w:type="dxa"/>
              <w:left w:w="0" w:type="dxa"/>
              <w:bottom w:w="0" w:type="dxa"/>
              <w:right w:w="0" w:type="dxa"/>
            </w:tcMar>
            <w:vAlign w:val="center"/>
          </w:tcPr>
          <w:p w14:paraId="7C52EB17" w14:textId="77777777" w:rsidR="00B77386" w:rsidRPr="00D7026D" w:rsidRDefault="00B77386" w:rsidP="00817CE0">
            <w:pPr>
              <w:spacing w:before="40" w:after="40"/>
              <w:ind w:left="100" w:right="100"/>
              <w:jc w:val="right"/>
              <w:rPr>
                <w:rFonts w:asciiTheme="majorHAnsi" w:hAnsiTheme="majorHAnsi" w:cstheme="majorHAnsi"/>
                <w:sz w:val="16"/>
                <w:szCs w:val="16"/>
              </w:rPr>
            </w:pPr>
            <w:r>
              <w:rPr>
                <w:rFonts w:asciiTheme="majorHAnsi" w:hAnsiTheme="majorHAnsi" w:cstheme="majorHAnsi"/>
                <w:sz w:val="16"/>
                <w:szCs w:val="16"/>
              </w:rPr>
              <w:t>-</w:t>
            </w:r>
          </w:p>
        </w:tc>
      </w:tr>
      <w:tr w:rsidR="00B77386" w:rsidRPr="00D7026D" w14:paraId="2E390695" w14:textId="77777777" w:rsidTr="4E4A2F72">
        <w:trPr>
          <w:cantSplit/>
          <w:trHeight w:val="507"/>
          <w:jc w:val="center"/>
        </w:trPr>
        <w:tc>
          <w:tcPr>
            <w:tcW w:w="2077" w:type="dxa"/>
            <w:shd w:val="clear" w:color="auto" w:fill="FFFFFF" w:themeFill="background1"/>
            <w:tcMar>
              <w:top w:w="0" w:type="dxa"/>
              <w:left w:w="0" w:type="dxa"/>
              <w:bottom w:w="0" w:type="dxa"/>
              <w:right w:w="0" w:type="dxa"/>
            </w:tcMar>
            <w:vAlign w:val="center"/>
          </w:tcPr>
          <w:p w14:paraId="0C1C9BA1" w14:textId="77777777" w:rsidR="00B77386" w:rsidRDefault="00B77386" w:rsidP="00817CE0">
            <w:pPr>
              <w:spacing w:before="40" w:after="40"/>
              <w:ind w:left="100" w:right="100"/>
              <w:jc w:val="right"/>
              <w:rPr>
                <w:rFonts w:asciiTheme="majorHAnsi" w:hAnsiTheme="majorHAnsi" w:cstheme="majorHAnsi"/>
                <w:sz w:val="16"/>
                <w:szCs w:val="16"/>
              </w:rPr>
            </w:pPr>
          </w:p>
        </w:tc>
        <w:tc>
          <w:tcPr>
            <w:tcW w:w="2886" w:type="dxa"/>
            <w:shd w:val="clear" w:color="auto" w:fill="FFFFFF" w:themeFill="background1"/>
            <w:tcMar>
              <w:top w:w="0" w:type="dxa"/>
              <w:left w:w="0" w:type="dxa"/>
              <w:bottom w:w="0" w:type="dxa"/>
              <w:right w:w="0" w:type="dxa"/>
            </w:tcMar>
            <w:vAlign w:val="center"/>
          </w:tcPr>
          <w:p w14:paraId="408B2297" w14:textId="77777777" w:rsidR="00B77386" w:rsidRDefault="00B77386" w:rsidP="00817CE0">
            <w:pPr>
              <w:spacing w:before="40" w:after="40"/>
              <w:ind w:left="100" w:right="100"/>
              <w:jc w:val="right"/>
              <w:rPr>
                <w:rFonts w:asciiTheme="majorHAnsi" w:hAnsiTheme="majorHAnsi" w:cstheme="majorHAnsi"/>
                <w:color w:val="111111"/>
                <w:sz w:val="16"/>
                <w:szCs w:val="16"/>
              </w:rPr>
            </w:pPr>
            <w:r>
              <w:rPr>
                <w:rFonts w:asciiTheme="majorHAnsi" w:hAnsiTheme="majorHAnsi" w:cstheme="majorHAnsi"/>
                <w:color w:val="111111"/>
                <w:sz w:val="16"/>
                <w:szCs w:val="16"/>
              </w:rPr>
              <w:t>Trauma</w:t>
            </w:r>
          </w:p>
        </w:tc>
        <w:tc>
          <w:tcPr>
            <w:tcW w:w="2123" w:type="dxa"/>
            <w:shd w:val="clear" w:color="auto" w:fill="FFFFFF" w:themeFill="background1"/>
            <w:tcMar>
              <w:top w:w="0" w:type="dxa"/>
              <w:left w:w="0" w:type="dxa"/>
              <w:bottom w:w="0" w:type="dxa"/>
              <w:right w:w="0" w:type="dxa"/>
            </w:tcMar>
            <w:vAlign w:val="center"/>
          </w:tcPr>
          <w:p w14:paraId="34BAD00D" w14:textId="77777777" w:rsidR="00B77386" w:rsidRPr="00D7026D" w:rsidRDefault="00B77386" w:rsidP="00817CE0">
            <w:pPr>
              <w:spacing w:before="40" w:after="40"/>
              <w:ind w:left="100" w:right="100"/>
              <w:jc w:val="right"/>
              <w:rPr>
                <w:rFonts w:asciiTheme="majorHAnsi" w:hAnsiTheme="majorHAnsi" w:cstheme="majorHAnsi"/>
                <w:color w:val="111111"/>
                <w:sz w:val="16"/>
                <w:szCs w:val="16"/>
              </w:rPr>
            </w:pPr>
            <w:r>
              <w:rPr>
                <w:rFonts w:asciiTheme="majorHAnsi" w:hAnsiTheme="majorHAnsi" w:cstheme="majorHAnsi"/>
                <w:color w:val="111111"/>
                <w:sz w:val="16"/>
                <w:szCs w:val="16"/>
              </w:rPr>
              <w:t>-</w:t>
            </w:r>
          </w:p>
        </w:tc>
        <w:tc>
          <w:tcPr>
            <w:tcW w:w="2123" w:type="dxa"/>
            <w:shd w:val="clear" w:color="auto" w:fill="FFFFFF" w:themeFill="background1"/>
            <w:tcMar>
              <w:top w:w="0" w:type="dxa"/>
              <w:left w:w="0" w:type="dxa"/>
              <w:bottom w:w="0" w:type="dxa"/>
              <w:right w:w="0" w:type="dxa"/>
            </w:tcMar>
            <w:vAlign w:val="center"/>
          </w:tcPr>
          <w:p w14:paraId="7DCC4A5A" w14:textId="77777777" w:rsidR="00B77386" w:rsidRPr="00D7026D" w:rsidRDefault="00B77386" w:rsidP="00817CE0">
            <w:pPr>
              <w:spacing w:before="40" w:after="40"/>
              <w:ind w:left="100" w:right="100"/>
              <w:jc w:val="right"/>
              <w:rPr>
                <w:rFonts w:asciiTheme="majorHAnsi" w:hAnsiTheme="majorHAnsi" w:cstheme="majorHAnsi"/>
                <w:color w:val="111111"/>
                <w:sz w:val="16"/>
                <w:szCs w:val="16"/>
              </w:rPr>
            </w:pPr>
            <w:r>
              <w:rPr>
                <w:rFonts w:asciiTheme="majorHAnsi" w:hAnsiTheme="majorHAnsi" w:cstheme="majorHAnsi"/>
                <w:color w:val="111111"/>
                <w:sz w:val="16"/>
                <w:szCs w:val="16"/>
              </w:rPr>
              <w:t>8 (3.3)</w:t>
            </w:r>
          </w:p>
        </w:tc>
        <w:tc>
          <w:tcPr>
            <w:tcW w:w="1048" w:type="dxa"/>
            <w:shd w:val="clear" w:color="auto" w:fill="FFFFFF" w:themeFill="background1"/>
            <w:tcMar>
              <w:top w:w="0" w:type="dxa"/>
              <w:left w:w="0" w:type="dxa"/>
              <w:bottom w:w="0" w:type="dxa"/>
              <w:right w:w="0" w:type="dxa"/>
            </w:tcMar>
            <w:vAlign w:val="center"/>
          </w:tcPr>
          <w:p w14:paraId="214D516A" w14:textId="77777777" w:rsidR="00B77386" w:rsidRPr="00D7026D" w:rsidRDefault="00B77386" w:rsidP="00817CE0">
            <w:pPr>
              <w:spacing w:before="40" w:after="40"/>
              <w:ind w:left="100" w:right="100"/>
              <w:jc w:val="right"/>
              <w:rPr>
                <w:rFonts w:asciiTheme="majorHAnsi" w:hAnsiTheme="majorHAnsi" w:cstheme="majorHAnsi"/>
                <w:sz w:val="16"/>
                <w:szCs w:val="16"/>
              </w:rPr>
            </w:pPr>
            <w:r>
              <w:rPr>
                <w:rFonts w:asciiTheme="majorHAnsi" w:hAnsiTheme="majorHAnsi" w:cstheme="majorHAnsi"/>
                <w:sz w:val="16"/>
                <w:szCs w:val="16"/>
              </w:rPr>
              <w:t>-</w:t>
            </w:r>
          </w:p>
        </w:tc>
      </w:tr>
      <w:tr w:rsidR="00B77386" w:rsidRPr="00D7026D" w14:paraId="72A11A44" w14:textId="77777777" w:rsidTr="4E4A2F72">
        <w:trPr>
          <w:cantSplit/>
          <w:trHeight w:val="507"/>
          <w:jc w:val="center"/>
        </w:trPr>
        <w:tc>
          <w:tcPr>
            <w:tcW w:w="2077" w:type="dxa"/>
            <w:shd w:val="clear" w:color="auto" w:fill="FFFFFF" w:themeFill="background1"/>
            <w:tcMar>
              <w:top w:w="0" w:type="dxa"/>
              <w:left w:w="0" w:type="dxa"/>
              <w:bottom w:w="0" w:type="dxa"/>
              <w:right w:w="0" w:type="dxa"/>
            </w:tcMar>
            <w:vAlign w:val="center"/>
          </w:tcPr>
          <w:p w14:paraId="5CBE4902" w14:textId="77777777" w:rsidR="00B77386" w:rsidRDefault="00B77386" w:rsidP="00817CE0">
            <w:pPr>
              <w:spacing w:before="40" w:after="40"/>
              <w:ind w:left="100" w:right="100"/>
              <w:jc w:val="right"/>
              <w:rPr>
                <w:rFonts w:asciiTheme="majorHAnsi" w:hAnsiTheme="majorHAnsi" w:cstheme="majorHAnsi"/>
                <w:sz w:val="16"/>
                <w:szCs w:val="16"/>
              </w:rPr>
            </w:pPr>
          </w:p>
        </w:tc>
        <w:tc>
          <w:tcPr>
            <w:tcW w:w="2886" w:type="dxa"/>
            <w:shd w:val="clear" w:color="auto" w:fill="FFFFFF" w:themeFill="background1"/>
            <w:tcMar>
              <w:top w:w="0" w:type="dxa"/>
              <w:left w:w="0" w:type="dxa"/>
              <w:bottom w:w="0" w:type="dxa"/>
              <w:right w:w="0" w:type="dxa"/>
            </w:tcMar>
            <w:vAlign w:val="center"/>
          </w:tcPr>
          <w:p w14:paraId="0B03CB7D" w14:textId="77777777" w:rsidR="00B77386" w:rsidRDefault="00B77386" w:rsidP="00817CE0">
            <w:pPr>
              <w:spacing w:before="40" w:after="40"/>
              <w:ind w:left="100" w:right="100"/>
              <w:jc w:val="right"/>
              <w:rPr>
                <w:rFonts w:asciiTheme="majorHAnsi" w:hAnsiTheme="majorHAnsi" w:cstheme="majorHAnsi"/>
                <w:color w:val="111111"/>
                <w:sz w:val="16"/>
                <w:szCs w:val="16"/>
              </w:rPr>
            </w:pPr>
            <w:r>
              <w:rPr>
                <w:rFonts w:asciiTheme="majorHAnsi" w:hAnsiTheme="majorHAnsi" w:cstheme="majorHAnsi"/>
                <w:color w:val="111111"/>
                <w:sz w:val="16"/>
                <w:szCs w:val="16"/>
              </w:rPr>
              <w:t>Neurologic</w:t>
            </w:r>
          </w:p>
        </w:tc>
        <w:tc>
          <w:tcPr>
            <w:tcW w:w="2123" w:type="dxa"/>
            <w:shd w:val="clear" w:color="auto" w:fill="FFFFFF" w:themeFill="background1"/>
            <w:tcMar>
              <w:top w:w="0" w:type="dxa"/>
              <w:left w:w="0" w:type="dxa"/>
              <w:bottom w:w="0" w:type="dxa"/>
              <w:right w:w="0" w:type="dxa"/>
            </w:tcMar>
            <w:vAlign w:val="center"/>
          </w:tcPr>
          <w:p w14:paraId="2BA23442" w14:textId="77777777" w:rsidR="00B77386" w:rsidRDefault="00B77386" w:rsidP="00817CE0">
            <w:pPr>
              <w:spacing w:before="40" w:after="40"/>
              <w:ind w:left="100" w:right="100"/>
              <w:jc w:val="right"/>
              <w:rPr>
                <w:rFonts w:asciiTheme="majorHAnsi" w:hAnsiTheme="majorHAnsi" w:cstheme="majorHAnsi"/>
                <w:color w:val="111111"/>
                <w:sz w:val="16"/>
                <w:szCs w:val="16"/>
              </w:rPr>
            </w:pPr>
          </w:p>
        </w:tc>
        <w:tc>
          <w:tcPr>
            <w:tcW w:w="2123" w:type="dxa"/>
            <w:shd w:val="clear" w:color="auto" w:fill="FFFFFF" w:themeFill="background1"/>
            <w:tcMar>
              <w:top w:w="0" w:type="dxa"/>
              <w:left w:w="0" w:type="dxa"/>
              <w:bottom w:w="0" w:type="dxa"/>
              <w:right w:w="0" w:type="dxa"/>
            </w:tcMar>
            <w:vAlign w:val="center"/>
          </w:tcPr>
          <w:p w14:paraId="08BB8426" w14:textId="77777777" w:rsidR="00B77386" w:rsidRPr="00D7026D" w:rsidRDefault="00B77386" w:rsidP="00817CE0">
            <w:pPr>
              <w:spacing w:before="40" w:after="40"/>
              <w:ind w:left="100" w:right="100"/>
              <w:jc w:val="right"/>
              <w:rPr>
                <w:rFonts w:asciiTheme="majorHAnsi" w:hAnsiTheme="majorHAnsi" w:cstheme="majorHAnsi"/>
                <w:color w:val="111111"/>
                <w:sz w:val="16"/>
                <w:szCs w:val="16"/>
              </w:rPr>
            </w:pPr>
            <w:r>
              <w:rPr>
                <w:rFonts w:asciiTheme="majorHAnsi" w:hAnsiTheme="majorHAnsi" w:cstheme="majorHAnsi"/>
                <w:color w:val="111111"/>
                <w:sz w:val="16"/>
                <w:szCs w:val="16"/>
              </w:rPr>
              <w:t>12 (5.0)</w:t>
            </w:r>
          </w:p>
        </w:tc>
        <w:tc>
          <w:tcPr>
            <w:tcW w:w="1048" w:type="dxa"/>
            <w:shd w:val="clear" w:color="auto" w:fill="FFFFFF" w:themeFill="background1"/>
            <w:tcMar>
              <w:top w:w="0" w:type="dxa"/>
              <w:left w:w="0" w:type="dxa"/>
              <w:bottom w:w="0" w:type="dxa"/>
              <w:right w:w="0" w:type="dxa"/>
            </w:tcMar>
            <w:vAlign w:val="center"/>
          </w:tcPr>
          <w:p w14:paraId="1CC953D0" w14:textId="77777777" w:rsidR="00B77386" w:rsidRDefault="00B77386" w:rsidP="00817CE0">
            <w:pPr>
              <w:spacing w:before="40" w:after="40"/>
              <w:ind w:left="100" w:right="100"/>
              <w:jc w:val="right"/>
              <w:rPr>
                <w:rFonts w:asciiTheme="majorHAnsi" w:hAnsiTheme="majorHAnsi" w:cstheme="majorHAnsi"/>
                <w:sz w:val="16"/>
                <w:szCs w:val="16"/>
              </w:rPr>
            </w:pPr>
          </w:p>
        </w:tc>
      </w:tr>
      <w:tr w:rsidR="00B77386" w:rsidRPr="00D7026D" w14:paraId="1D8968EE" w14:textId="77777777" w:rsidTr="4E4A2F72">
        <w:trPr>
          <w:cantSplit/>
          <w:trHeight w:val="507"/>
          <w:jc w:val="center"/>
        </w:trPr>
        <w:tc>
          <w:tcPr>
            <w:tcW w:w="2077" w:type="dxa"/>
            <w:shd w:val="clear" w:color="auto" w:fill="FFFFFF" w:themeFill="background1"/>
            <w:tcMar>
              <w:top w:w="0" w:type="dxa"/>
              <w:left w:w="0" w:type="dxa"/>
              <w:bottom w:w="0" w:type="dxa"/>
              <w:right w:w="0" w:type="dxa"/>
            </w:tcMar>
            <w:vAlign w:val="center"/>
          </w:tcPr>
          <w:p w14:paraId="29799C63" w14:textId="77777777" w:rsidR="00B77386" w:rsidRDefault="00B77386" w:rsidP="00817CE0">
            <w:pPr>
              <w:spacing w:before="40" w:after="40"/>
              <w:ind w:left="100" w:right="100"/>
              <w:jc w:val="right"/>
              <w:rPr>
                <w:rFonts w:asciiTheme="majorHAnsi" w:hAnsiTheme="majorHAnsi" w:cstheme="majorHAnsi"/>
                <w:sz w:val="16"/>
                <w:szCs w:val="16"/>
              </w:rPr>
            </w:pPr>
          </w:p>
        </w:tc>
        <w:tc>
          <w:tcPr>
            <w:tcW w:w="2886" w:type="dxa"/>
            <w:shd w:val="clear" w:color="auto" w:fill="FFFFFF" w:themeFill="background1"/>
            <w:tcMar>
              <w:top w:w="0" w:type="dxa"/>
              <w:left w:w="0" w:type="dxa"/>
              <w:bottom w:w="0" w:type="dxa"/>
              <w:right w:w="0" w:type="dxa"/>
            </w:tcMar>
            <w:vAlign w:val="center"/>
          </w:tcPr>
          <w:p w14:paraId="39715B35" w14:textId="77777777" w:rsidR="00B77386" w:rsidRDefault="00B77386" w:rsidP="00817CE0">
            <w:pPr>
              <w:spacing w:before="40" w:after="40"/>
              <w:ind w:left="100" w:right="100"/>
              <w:jc w:val="right"/>
              <w:rPr>
                <w:rFonts w:asciiTheme="majorHAnsi" w:hAnsiTheme="majorHAnsi" w:cstheme="majorHAnsi"/>
                <w:color w:val="111111"/>
                <w:sz w:val="16"/>
                <w:szCs w:val="16"/>
              </w:rPr>
            </w:pPr>
            <w:r>
              <w:rPr>
                <w:rFonts w:asciiTheme="majorHAnsi" w:hAnsiTheme="majorHAnsi" w:cstheme="majorHAnsi"/>
                <w:color w:val="111111"/>
                <w:sz w:val="16"/>
                <w:szCs w:val="16"/>
              </w:rPr>
              <w:t>Miscellaneous diagnoses</w:t>
            </w:r>
          </w:p>
        </w:tc>
        <w:tc>
          <w:tcPr>
            <w:tcW w:w="2123" w:type="dxa"/>
            <w:shd w:val="clear" w:color="auto" w:fill="FFFFFF" w:themeFill="background1"/>
            <w:tcMar>
              <w:top w:w="0" w:type="dxa"/>
              <w:left w:w="0" w:type="dxa"/>
              <w:bottom w:w="0" w:type="dxa"/>
              <w:right w:w="0" w:type="dxa"/>
            </w:tcMar>
            <w:vAlign w:val="center"/>
          </w:tcPr>
          <w:p w14:paraId="4CC4C08B" w14:textId="77777777" w:rsidR="00B77386" w:rsidRPr="00D7026D" w:rsidRDefault="00B77386" w:rsidP="00817CE0">
            <w:pPr>
              <w:spacing w:before="40" w:after="40"/>
              <w:ind w:left="100" w:right="100"/>
              <w:jc w:val="right"/>
              <w:rPr>
                <w:rFonts w:asciiTheme="majorHAnsi" w:hAnsiTheme="majorHAnsi" w:cstheme="majorHAnsi"/>
                <w:color w:val="111111"/>
                <w:sz w:val="16"/>
                <w:szCs w:val="16"/>
              </w:rPr>
            </w:pPr>
            <w:r>
              <w:rPr>
                <w:rFonts w:asciiTheme="majorHAnsi" w:hAnsiTheme="majorHAnsi" w:cstheme="majorHAnsi"/>
                <w:color w:val="111111"/>
                <w:sz w:val="16"/>
                <w:szCs w:val="16"/>
              </w:rPr>
              <w:t>-</w:t>
            </w:r>
          </w:p>
        </w:tc>
        <w:tc>
          <w:tcPr>
            <w:tcW w:w="2123" w:type="dxa"/>
            <w:shd w:val="clear" w:color="auto" w:fill="FFFFFF" w:themeFill="background1"/>
            <w:tcMar>
              <w:top w:w="0" w:type="dxa"/>
              <w:left w:w="0" w:type="dxa"/>
              <w:bottom w:w="0" w:type="dxa"/>
              <w:right w:w="0" w:type="dxa"/>
            </w:tcMar>
            <w:vAlign w:val="center"/>
          </w:tcPr>
          <w:p w14:paraId="331B687E" w14:textId="77777777" w:rsidR="00B77386" w:rsidRPr="00D7026D" w:rsidRDefault="00B77386" w:rsidP="00817CE0">
            <w:pPr>
              <w:spacing w:before="40" w:after="40"/>
              <w:ind w:left="100" w:right="100"/>
              <w:jc w:val="right"/>
              <w:rPr>
                <w:rFonts w:asciiTheme="majorHAnsi" w:hAnsiTheme="majorHAnsi" w:cstheme="majorHAnsi"/>
                <w:color w:val="111111"/>
                <w:sz w:val="16"/>
                <w:szCs w:val="16"/>
              </w:rPr>
            </w:pPr>
            <w:r>
              <w:rPr>
                <w:rFonts w:asciiTheme="majorHAnsi" w:hAnsiTheme="majorHAnsi" w:cstheme="majorHAnsi"/>
                <w:color w:val="111111"/>
                <w:sz w:val="16"/>
                <w:szCs w:val="16"/>
              </w:rPr>
              <w:t>4 (1.7)</w:t>
            </w:r>
          </w:p>
        </w:tc>
        <w:tc>
          <w:tcPr>
            <w:tcW w:w="1048" w:type="dxa"/>
            <w:shd w:val="clear" w:color="auto" w:fill="FFFFFF" w:themeFill="background1"/>
            <w:tcMar>
              <w:top w:w="0" w:type="dxa"/>
              <w:left w:w="0" w:type="dxa"/>
              <w:bottom w:w="0" w:type="dxa"/>
              <w:right w:w="0" w:type="dxa"/>
            </w:tcMar>
            <w:vAlign w:val="center"/>
          </w:tcPr>
          <w:p w14:paraId="3D847500" w14:textId="77777777" w:rsidR="00B77386" w:rsidRPr="00D7026D" w:rsidRDefault="00B77386" w:rsidP="00817CE0">
            <w:pPr>
              <w:spacing w:before="40" w:after="40"/>
              <w:ind w:left="100" w:right="100"/>
              <w:jc w:val="right"/>
              <w:rPr>
                <w:rFonts w:asciiTheme="majorHAnsi" w:hAnsiTheme="majorHAnsi" w:cstheme="majorHAnsi"/>
                <w:sz w:val="16"/>
                <w:szCs w:val="16"/>
              </w:rPr>
            </w:pPr>
            <w:r>
              <w:rPr>
                <w:rFonts w:asciiTheme="majorHAnsi" w:hAnsiTheme="majorHAnsi" w:cstheme="majorHAnsi"/>
                <w:sz w:val="16"/>
                <w:szCs w:val="16"/>
              </w:rPr>
              <w:t>-</w:t>
            </w:r>
          </w:p>
        </w:tc>
      </w:tr>
      <w:tr w:rsidR="00B77386" w:rsidRPr="00D7026D" w14:paraId="10FBB448" w14:textId="77777777" w:rsidTr="4E4A2F72">
        <w:trPr>
          <w:cantSplit/>
          <w:trHeight w:val="507"/>
          <w:jc w:val="center"/>
        </w:trPr>
        <w:tc>
          <w:tcPr>
            <w:tcW w:w="2077" w:type="dxa"/>
            <w:shd w:val="clear" w:color="auto" w:fill="FFFFFF" w:themeFill="background1"/>
            <w:tcMar>
              <w:top w:w="0" w:type="dxa"/>
              <w:left w:w="0" w:type="dxa"/>
              <w:bottom w:w="0" w:type="dxa"/>
              <w:right w:w="0" w:type="dxa"/>
            </w:tcMar>
            <w:vAlign w:val="center"/>
          </w:tcPr>
          <w:p w14:paraId="3B8B2377" w14:textId="77777777" w:rsidR="00B77386" w:rsidRDefault="00B77386" w:rsidP="00817CE0">
            <w:pPr>
              <w:spacing w:before="40" w:after="40"/>
              <w:ind w:left="100" w:right="100"/>
              <w:jc w:val="right"/>
              <w:rPr>
                <w:rFonts w:asciiTheme="majorHAnsi" w:hAnsiTheme="majorHAnsi" w:cstheme="majorHAnsi"/>
                <w:sz w:val="16"/>
                <w:szCs w:val="16"/>
              </w:rPr>
            </w:pPr>
            <w:r>
              <w:rPr>
                <w:rFonts w:asciiTheme="majorHAnsi" w:hAnsiTheme="majorHAnsi" w:cstheme="majorHAnsi"/>
                <w:sz w:val="16"/>
                <w:szCs w:val="16"/>
              </w:rPr>
              <w:t>ISARIC-4C Mortality Score</w:t>
            </w:r>
          </w:p>
        </w:tc>
        <w:tc>
          <w:tcPr>
            <w:tcW w:w="2886" w:type="dxa"/>
            <w:shd w:val="clear" w:color="auto" w:fill="FFFFFF" w:themeFill="background1"/>
            <w:tcMar>
              <w:top w:w="0" w:type="dxa"/>
              <w:left w:w="0" w:type="dxa"/>
              <w:bottom w:w="0" w:type="dxa"/>
              <w:right w:w="0" w:type="dxa"/>
            </w:tcMar>
            <w:vAlign w:val="center"/>
          </w:tcPr>
          <w:p w14:paraId="63DC5E20" w14:textId="77777777" w:rsidR="00B77386" w:rsidRDefault="00B77386" w:rsidP="00817CE0">
            <w:pPr>
              <w:spacing w:before="40" w:after="40"/>
              <w:ind w:left="100" w:right="100"/>
              <w:jc w:val="right"/>
              <w:rPr>
                <w:rFonts w:asciiTheme="majorHAnsi" w:hAnsiTheme="majorHAnsi" w:cstheme="majorHAnsi"/>
                <w:color w:val="111111"/>
                <w:sz w:val="16"/>
                <w:szCs w:val="16"/>
              </w:rPr>
            </w:pPr>
            <w:r w:rsidRPr="00D7026D">
              <w:rPr>
                <w:rFonts w:asciiTheme="majorHAnsi" w:hAnsiTheme="majorHAnsi" w:cstheme="majorHAnsi"/>
                <w:color w:val="111111"/>
                <w:sz w:val="16"/>
                <w:szCs w:val="16"/>
              </w:rPr>
              <w:t>Median (IQR)</w:t>
            </w:r>
          </w:p>
        </w:tc>
        <w:tc>
          <w:tcPr>
            <w:tcW w:w="2123" w:type="dxa"/>
            <w:shd w:val="clear" w:color="auto" w:fill="FFFFFF" w:themeFill="background1"/>
            <w:tcMar>
              <w:top w:w="0" w:type="dxa"/>
              <w:left w:w="0" w:type="dxa"/>
              <w:bottom w:w="0" w:type="dxa"/>
              <w:right w:w="0" w:type="dxa"/>
            </w:tcMar>
            <w:vAlign w:val="center"/>
          </w:tcPr>
          <w:p w14:paraId="1813DFEC" w14:textId="77777777" w:rsidR="00B77386" w:rsidRPr="00D7026D" w:rsidRDefault="00B77386" w:rsidP="00817CE0">
            <w:pPr>
              <w:spacing w:before="40" w:after="40"/>
              <w:ind w:left="100" w:right="100"/>
              <w:jc w:val="right"/>
              <w:rPr>
                <w:rFonts w:asciiTheme="majorHAnsi" w:hAnsiTheme="majorHAnsi" w:cstheme="majorHAnsi"/>
                <w:color w:val="111111"/>
                <w:sz w:val="16"/>
                <w:szCs w:val="16"/>
              </w:rPr>
            </w:pPr>
            <w:r w:rsidRPr="00D7026D">
              <w:rPr>
                <w:rFonts w:asciiTheme="majorHAnsi" w:eastAsia="Arial" w:hAnsiTheme="majorHAnsi" w:cstheme="majorHAnsi"/>
                <w:color w:val="111111"/>
                <w:sz w:val="16"/>
                <w:szCs w:val="16"/>
              </w:rPr>
              <w:t>8.0 (5.0 to 10.0)</w:t>
            </w:r>
          </w:p>
        </w:tc>
        <w:tc>
          <w:tcPr>
            <w:tcW w:w="2123" w:type="dxa"/>
            <w:shd w:val="clear" w:color="auto" w:fill="FFFFFF" w:themeFill="background1"/>
            <w:tcMar>
              <w:top w:w="0" w:type="dxa"/>
              <w:left w:w="0" w:type="dxa"/>
              <w:bottom w:w="0" w:type="dxa"/>
              <w:right w:w="0" w:type="dxa"/>
            </w:tcMar>
            <w:vAlign w:val="center"/>
          </w:tcPr>
          <w:p w14:paraId="4D822299" w14:textId="77777777" w:rsidR="00B77386" w:rsidRPr="00D7026D" w:rsidRDefault="00B77386" w:rsidP="00817CE0">
            <w:pPr>
              <w:spacing w:before="40" w:after="40"/>
              <w:ind w:left="100" w:right="100"/>
              <w:jc w:val="right"/>
              <w:rPr>
                <w:rFonts w:asciiTheme="majorHAnsi" w:hAnsiTheme="majorHAnsi" w:cstheme="majorHAnsi"/>
                <w:color w:val="111111"/>
                <w:sz w:val="16"/>
                <w:szCs w:val="16"/>
              </w:rPr>
            </w:pPr>
            <w:r>
              <w:rPr>
                <w:rFonts w:asciiTheme="majorHAnsi" w:hAnsiTheme="majorHAnsi" w:cstheme="majorHAnsi"/>
                <w:color w:val="111111"/>
                <w:sz w:val="16"/>
                <w:szCs w:val="16"/>
              </w:rPr>
              <w:t>-</w:t>
            </w:r>
          </w:p>
        </w:tc>
        <w:tc>
          <w:tcPr>
            <w:tcW w:w="1048" w:type="dxa"/>
            <w:shd w:val="clear" w:color="auto" w:fill="FFFFFF" w:themeFill="background1"/>
            <w:tcMar>
              <w:top w:w="0" w:type="dxa"/>
              <w:left w:w="0" w:type="dxa"/>
              <w:bottom w:w="0" w:type="dxa"/>
              <w:right w:w="0" w:type="dxa"/>
            </w:tcMar>
            <w:vAlign w:val="center"/>
          </w:tcPr>
          <w:p w14:paraId="14761476" w14:textId="77777777" w:rsidR="00B77386" w:rsidRPr="00D7026D" w:rsidRDefault="00B77386" w:rsidP="00817CE0">
            <w:pPr>
              <w:spacing w:before="40" w:after="40"/>
              <w:ind w:left="100" w:right="100"/>
              <w:jc w:val="right"/>
              <w:rPr>
                <w:rFonts w:asciiTheme="majorHAnsi" w:hAnsiTheme="majorHAnsi" w:cstheme="majorHAnsi"/>
                <w:sz w:val="16"/>
                <w:szCs w:val="16"/>
              </w:rPr>
            </w:pPr>
            <w:r>
              <w:rPr>
                <w:rFonts w:asciiTheme="majorHAnsi" w:hAnsiTheme="majorHAnsi" w:cstheme="majorHAnsi"/>
                <w:sz w:val="16"/>
                <w:szCs w:val="16"/>
              </w:rPr>
              <w:t>-</w:t>
            </w:r>
          </w:p>
        </w:tc>
      </w:tr>
      <w:tr w:rsidR="00B90DB8" w:rsidRPr="00D7026D" w14:paraId="7EBD87B0" w14:textId="77777777" w:rsidTr="4E4A2F72">
        <w:trPr>
          <w:cantSplit/>
          <w:trHeight w:val="507"/>
          <w:jc w:val="center"/>
        </w:trPr>
        <w:tc>
          <w:tcPr>
            <w:tcW w:w="2077" w:type="dxa"/>
            <w:shd w:val="clear" w:color="auto" w:fill="FFFFFF" w:themeFill="background1"/>
            <w:tcMar>
              <w:top w:w="0" w:type="dxa"/>
              <w:left w:w="0" w:type="dxa"/>
              <w:bottom w:w="0" w:type="dxa"/>
              <w:right w:w="0" w:type="dxa"/>
            </w:tcMar>
            <w:vAlign w:val="center"/>
          </w:tcPr>
          <w:p w14:paraId="68A88090" w14:textId="399B3E91" w:rsidR="00B90DB8" w:rsidRPr="00CF68FB" w:rsidRDefault="00B90DB8" w:rsidP="00817CE0">
            <w:pPr>
              <w:spacing w:before="40" w:after="40"/>
              <w:ind w:left="100" w:right="100"/>
              <w:jc w:val="right"/>
              <w:rPr>
                <w:rFonts w:asciiTheme="majorHAnsi" w:hAnsiTheme="majorHAnsi" w:cstheme="majorHAnsi"/>
                <w:sz w:val="16"/>
                <w:szCs w:val="16"/>
              </w:rPr>
            </w:pPr>
            <w:r w:rsidRPr="00CF68FB">
              <w:rPr>
                <w:rFonts w:asciiTheme="majorHAnsi" w:hAnsiTheme="majorHAnsi" w:cstheme="majorHAnsi"/>
                <w:sz w:val="16"/>
                <w:szCs w:val="16"/>
              </w:rPr>
              <w:t>Length of hospital stay</w:t>
            </w:r>
          </w:p>
        </w:tc>
        <w:tc>
          <w:tcPr>
            <w:tcW w:w="2886" w:type="dxa"/>
            <w:shd w:val="clear" w:color="auto" w:fill="FFFFFF" w:themeFill="background1"/>
            <w:tcMar>
              <w:top w:w="0" w:type="dxa"/>
              <w:left w:w="0" w:type="dxa"/>
              <w:bottom w:w="0" w:type="dxa"/>
              <w:right w:w="0" w:type="dxa"/>
            </w:tcMar>
            <w:vAlign w:val="center"/>
          </w:tcPr>
          <w:p w14:paraId="23591019" w14:textId="1349D4A1" w:rsidR="00B90DB8" w:rsidRPr="00CF68FB" w:rsidRDefault="00B90DB8" w:rsidP="00817CE0">
            <w:pPr>
              <w:spacing w:before="40" w:after="40"/>
              <w:ind w:left="100" w:right="100"/>
              <w:jc w:val="right"/>
              <w:rPr>
                <w:rFonts w:asciiTheme="majorHAnsi" w:hAnsiTheme="majorHAnsi" w:cstheme="majorHAnsi"/>
                <w:color w:val="111111"/>
                <w:sz w:val="16"/>
                <w:szCs w:val="16"/>
              </w:rPr>
            </w:pPr>
            <w:r w:rsidRPr="00CF68FB">
              <w:rPr>
                <w:rFonts w:asciiTheme="majorHAnsi" w:hAnsiTheme="majorHAnsi" w:cstheme="majorHAnsi"/>
                <w:color w:val="111111"/>
                <w:sz w:val="16"/>
                <w:szCs w:val="16"/>
              </w:rPr>
              <w:t>Median (IQR)</w:t>
            </w:r>
          </w:p>
        </w:tc>
        <w:tc>
          <w:tcPr>
            <w:tcW w:w="2123" w:type="dxa"/>
            <w:shd w:val="clear" w:color="auto" w:fill="FFFFFF" w:themeFill="background1"/>
            <w:tcMar>
              <w:top w:w="0" w:type="dxa"/>
              <w:left w:w="0" w:type="dxa"/>
              <w:bottom w:w="0" w:type="dxa"/>
              <w:right w:w="0" w:type="dxa"/>
            </w:tcMar>
            <w:vAlign w:val="center"/>
          </w:tcPr>
          <w:p w14:paraId="2ACB4542" w14:textId="316DB436" w:rsidR="00B90DB8" w:rsidRPr="00CF68FB" w:rsidRDefault="009728B0" w:rsidP="00CF68FB">
            <w:pPr>
              <w:jc w:val="right"/>
              <w:rPr>
                <w:rFonts w:asciiTheme="majorHAnsi" w:hAnsiTheme="majorHAnsi" w:cstheme="majorHAnsi"/>
                <w:sz w:val="16"/>
                <w:szCs w:val="16"/>
              </w:rPr>
            </w:pPr>
            <w:r w:rsidRPr="00CF68FB">
              <w:rPr>
                <w:rFonts w:asciiTheme="majorHAnsi" w:hAnsiTheme="majorHAnsi" w:cstheme="majorHAnsi"/>
                <w:color w:val="111111"/>
                <w:sz w:val="16"/>
                <w:szCs w:val="16"/>
                <w:shd w:val="clear" w:color="auto" w:fill="FFFFFF"/>
              </w:rPr>
              <w:t>26.0 (15.5 to 40.0)</w:t>
            </w:r>
          </w:p>
        </w:tc>
        <w:tc>
          <w:tcPr>
            <w:tcW w:w="2123" w:type="dxa"/>
            <w:shd w:val="clear" w:color="auto" w:fill="FFFFFF" w:themeFill="background1"/>
            <w:tcMar>
              <w:top w:w="0" w:type="dxa"/>
              <w:left w:w="0" w:type="dxa"/>
              <w:bottom w:w="0" w:type="dxa"/>
              <w:right w:w="0" w:type="dxa"/>
            </w:tcMar>
            <w:vAlign w:val="center"/>
          </w:tcPr>
          <w:p w14:paraId="532CB4F7" w14:textId="7BF56DBD" w:rsidR="00B90DB8" w:rsidRPr="00CF68FB" w:rsidRDefault="00BB37CF" w:rsidP="00CF68FB">
            <w:pPr>
              <w:jc w:val="right"/>
              <w:rPr>
                <w:rFonts w:asciiTheme="majorHAnsi" w:hAnsiTheme="majorHAnsi" w:cstheme="majorHAnsi"/>
                <w:sz w:val="16"/>
                <w:szCs w:val="16"/>
              </w:rPr>
            </w:pPr>
            <w:r w:rsidRPr="00CF68FB">
              <w:rPr>
                <w:rFonts w:asciiTheme="majorHAnsi" w:hAnsiTheme="majorHAnsi" w:cstheme="majorHAnsi"/>
                <w:color w:val="111111"/>
                <w:sz w:val="16"/>
                <w:szCs w:val="16"/>
                <w:shd w:val="clear" w:color="auto" w:fill="FFFFFF"/>
              </w:rPr>
              <w:t>32.0 (20.0 to 50.0)</w:t>
            </w:r>
          </w:p>
        </w:tc>
        <w:tc>
          <w:tcPr>
            <w:tcW w:w="1048" w:type="dxa"/>
            <w:shd w:val="clear" w:color="auto" w:fill="FFFFFF" w:themeFill="background1"/>
            <w:tcMar>
              <w:top w:w="0" w:type="dxa"/>
              <w:left w:w="0" w:type="dxa"/>
              <w:bottom w:w="0" w:type="dxa"/>
              <w:right w:w="0" w:type="dxa"/>
            </w:tcMar>
            <w:vAlign w:val="center"/>
          </w:tcPr>
          <w:p w14:paraId="75274636" w14:textId="7BF9A992" w:rsidR="00B90DB8" w:rsidRPr="00CF68FB" w:rsidRDefault="00BB37CF" w:rsidP="00817CE0">
            <w:pPr>
              <w:spacing w:before="40" w:after="40"/>
              <w:ind w:left="100" w:right="100"/>
              <w:jc w:val="right"/>
              <w:rPr>
                <w:rFonts w:asciiTheme="majorHAnsi" w:hAnsiTheme="majorHAnsi" w:cstheme="majorHAnsi"/>
                <w:sz w:val="16"/>
                <w:szCs w:val="16"/>
              </w:rPr>
            </w:pPr>
            <w:r w:rsidRPr="00CF68FB">
              <w:rPr>
                <w:rFonts w:asciiTheme="majorHAnsi" w:hAnsiTheme="majorHAnsi" w:cstheme="majorHAnsi"/>
                <w:sz w:val="16"/>
                <w:szCs w:val="16"/>
              </w:rPr>
              <w:t>0.02</w:t>
            </w:r>
          </w:p>
        </w:tc>
      </w:tr>
      <w:tr w:rsidR="00B77386" w:rsidRPr="00D7026D" w14:paraId="44596392" w14:textId="77777777" w:rsidTr="4E4A2F72">
        <w:trPr>
          <w:cantSplit/>
          <w:trHeight w:val="507"/>
          <w:jc w:val="center"/>
        </w:trPr>
        <w:tc>
          <w:tcPr>
            <w:tcW w:w="2077" w:type="dxa"/>
            <w:shd w:val="clear" w:color="auto" w:fill="FFFFFF" w:themeFill="background1"/>
            <w:tcMar>
              <w:top w:w="0" w:type="dxa"/>
              <w:left w:w="0" w:type="dxa"/>
              <w:bottom w:w="0" w:type="dxa"/>
              <w:right w:w="0" w:type="dxa"/>
            </w:tcMar>
            <w:vAlign w:val="center"/>
          </w:tcPr>
          <w:p w14:paraId="233FF797" w14:textId="77777777" w:rsidR="00B77386" w:rsidRPr="00CF68FB" w:rsidRDefault="00B77386" w:rsidP="00817CE0">
            <w:pPr>
              <w:spacing w:before="40" w:after="40"/>
              <w:ind w:left="100" w:right="100"/>
              <w:jc w:val="right"/>
              <w:rPr>
                <w:rFonts w:asciiTheme="majorHAnsi" w:hAnsiTheme="majorHAnsi" w:cstheme="majorHAnsi"/>
                <w:sz w:val="16"/>
                <w:szCs w:val="16"/>
              </w:rPr>
            </w:pPr>
            <w:r w:rsidRPr="00CF68FB">
              <w:rPr>
                <w:rFonts w:asciiTheme="majorHAnsi" w:hAnsiTheme="majorHAnsi" w:cstheme="majorHAnsi"/>
                <w:sz w:val="16"/>
                <w:szCs w:val="16"/>
              </w:rPr>
              <w:t>ICU length of stay</w:t>
            </w:r>
          </w:p>
        </w:tc>
        <w:tc>
          <w:tcPr>
            <w:tcW w:w="2886" w:type="dxa"/>
            <w:shd w:val="clear" w:color="auto" w:fill="FFFFFF" w:themeFill="background1"/>
            <w:tcMar>
              <w:top w:w="0" w:type="dxa"/>
              <w:left w:w="0" w:type="dxa"/>
              <w:bottom w:w="0" w:type="dxa"/>
              <w:right w:w="0" w:type="dxa"/>
            </w:tcMar>
            <w:vAlign w:val="center"/>
          </w:tcPr>
          <w:p w14:paraId="680A0FA1" w14:textId="77777777" w:rsidR="00B77386" w:rsidRPr="00CF68FB" w:rsidRDefault="00B77386" w:rsidP="00817CE0">
            <w:pPr>
              <w:spacing w:before="40" w:after="40"/>
              <w:ind w:left="100" w:right="100"/>
              <w:jc w:val="right"/>
              <w:rPr>
                <w:rFonts w:asciiTheme="majorHAnsi" w:hAnsiTheme="majorHAnsi" w:cstheme="majorHAnsi"/>
                <w:color w:val="111111"/>
                <w:sz w:val="16"/>
                <w:szCs w:val="16"/>
              </w:rPr>
            </w:pPr>
            <w:r w:rsidRPr="00CF68FB">
              <w:rPr>
                <w:rFonts w:asciiTheme="majorHAnsi" w:hAnsiTheme="majorHAnsi" w:cstheme="majorHAnsi"/>
                <w:color w:val="111111"/>
                <w:sz w:val="16"/>
                <w:szCs w:val="16"/>
              </w:rPr>
              <w:t>Median (IQR)</w:t>
            </w:r>
          </w:p>
        </w:tc>
        <w:tc>
          <w:tcPr>
            <w:tcW w:w="2123" w:type="dxa"/>
            <w:shd w:val="clear" w:color="auto" w:fill="FFFFFF" w:themeFill="background1"/>
            <w:tcMar>
              <w:top w:w="0" w:type="dxa"/>
              <w:left w:w="0" w:type="dxa"/>
              <w:bottom w:w="0" w:type="dxa"/>
              <w:right w:w="0" w:type="dxa"/>
            </w:tcMar>
            <w:vAlign w:val="center"/>
          </w:tcPr>
          <w:p w14:paraId="65068108" w14:textId="77777777" w:rsidR="00B77386" w:rsidRPr="00CF68FB" w:rsidRDefault="00B77386" w:rsidP="00817CE0">
            <w:pPr>
              <w:spacing w:before="40" w:after="40"/>
              <w:ind w:left="100" w:right="100"/>
              <w:jc w:val="right"/>
              <w:rPr>
                <w:rFonts w:asciiTheme="majorHAnsi" w:hAnsiTheme="majorHAnsi" w:cstheme="majorHAnsi"/>
                <w:color w:val="111111"/>
                <w:sz w:val="16"/>
                <w:szCs w:val="16"/>
              </w:rPr>
            </w:pPr>
            <w:r w:rsidRPr="00CF68FB">
              <w:rPr>
                <w:rFonts w:asciiTheme="majorHAnsi" w:hAnsiTheme="majorHAnsi" w:cstheme="majorHAnsi"/>
                <w:color w:val="111111"/>
                <w:sz w:val="16"/>
                <w:szCs w:val="16"/>
              </w:rPr>
              <w:t>-</w:t>
            </w:r>
          </w:p>
        </w:tc>
        <w:tc>
          <w:tcPr>
            <w:tcW w:w="2123" w:type="dxa"/>
            <w:shd w:val="clear" w:color="auto" w:fill="FFFFFF" w:themeFill="background1"/>
            <w:tcMar>
              <w:top w:w="0" w:type="dxa"/>
              <w:left w:w="0" w:type="dxa"/>
              <w:bottom w:w="0" w:type="dxa"/>
              <w:right w:w="0" w:type="dxa"/>
            </w:tcMar>
            <w:vAlign w:val="center"/>
          </w:tcPr>
          <w:p w14:paraId="4590FF2D" w14:textId="77777777" w:rsidR="00B77386" w:rsidRPr="00CF68FB" w:rsidRDefault="00B77386" w:rsidP="00817CE0">
            <w:pPr>
              <w:spacing w:before="40" w:after="40"/>
              <w:ind w:left="100" w:right="100"/>
              <w:jc w:val="right"/>
              <w:rPr>
                <w:rFonts w:asciiTheme="majorHAnsi" w:hAnsiTheme="majorHAnsi" w:cstheme="majorHAnsi"/>
                <w:color w:val="111111"/>
                <w:sz w:val="16"/>
                <w:szCs w:val="16"/>
              </w:rPr>
            </w:pPr>
            <w:r w:rsidRPr="00CF68FB">
              <w:rPr>
                <w:rFonts w:asciiTheme="majorHAnsi" w:hAnsiTheme="majorHAnsi" w:cstheme="majorHAnsi"/>
                <w:color w:val="111111"/>
                <w:sz w:val="16"/>
                <w:szCs w:val="16"/>
              </w:rPr>
              <w:t>11.0 (6.8 to 18.0)</w:t>
            </w:r>
          </w:p>
        </w:tc>
        <w:tc>
          <w:tcPr>
            <w:tcW w:w="1048" w:type="dxa"/>
            <w:shd w:val="clear" w:color="auto" w:fill="FFFFFF" w:themeFill="background1"/>
            <w:tcMar>
              <w:top w:w="0" w:type="dxa"/>
              <w:left w:w="0" w:type="dxa"/>
              <w:bottom w:w="0" w:type="dxa"/>
              <w:right w:w="0" w:type="dxa"/>
            </w:tcMar>
            <w:vAlign w:val="center"/>
          </w:tcPr>
          <w:p w14:paraId="669A3112" w14:textId="77777777" w:rsidR="00B77386" w:rsidRPr="00CF68FB" w:rsidRDefault="00B77386" w:rsidP="00817CE0">
            <w:pPr>
              <w:spacing w:before="40" w:after="40"/>
              <w:ind w:left="100" w:right="100"/>
              <w:jc w:val="right"/>
              <w:rPr>
                <w:rFonts w:asciiTheme="majorHAnsi" w:hAnsiTheme="majorHAnsi" w:cstheme="majorHAnsi"/>
                <w:sz w:val="16"/>
                <w:szCs w:val="16"/>
              </w:rPr>
            </w:pPr>
            <w:r w:rsidRPr="00CF68FB">
              <w:rPr>
                <w:rFonts w:asciiTheme="majorHAnsi" w:hAnsiTheme="majorHAnsi" w:cstheme="majorHAnsi"/>
                <w:sz w:val="16"/>
                <w:szCs w:val="16"/>
              </w:rPr>
              <w:t>-</w:t>
            </w:r>
          </w:p>
        </w:tc>
      </w:tr>
      <w:tr w:rsidR="00B77386" w:rsidRPr="00D7026D" w14:paraId="0F998799" w14:textId="77777777" w:rsidTr="4E4A2F72">
        <w:trPr>
          <w:cantSplit/>
          <w:trHeight w:val="507"/>
          <w:jc w:val="center"/>
        </w:trPr>
        <w:tc>
          <w:tcPr>
            <w:tcW w:w="2077" w:type="dxa"/>
            <w:shd w:val="clear" w:color="auto" w:fill="FFFFFF" w:themeFill="background1"/>
            <w:tcMar>
              <w:top w:w="0" w:type="dxa"/>
              <w:left w:w="0" w:type="dxa"/>
              <w:bottom w:w="0" w:type="dxa"/>
              <w:right w:w="0" w:type="dxa"/>
            </w:tcMar>
            <w:vAlign w:val="center"/>
          </w:tcPr>
          <w:p w14:paraId="344D9E53" w14:textId="77777777" w:rsidR="00B77386" w:rsidRDefault="00B77386" w:rsidP="00817CE0">
            <w:pPr>
              <w:spacing w:before="40" w:after="40"/>
              <w:ind w:left="100" w:right="100"/>
              <w:jc w:val="right"/>
              <w:rPr>
                <w:rFonts w:asciiTheme="majorHAnsi" w:hAnsiTheme="majorHAnsi" w:cstheme="majorHAnsi"/>
                <w:sz w:val="16"/>
                <w:szCs w:val="16"/>
              </w:rPr>
            </w:pPr>
            <w:r>
              <w:rPr>
                <w:rFonts w:asciiTheme="majorHAnsi" w:hAnsiTheme="majorHAnsi" w:cstheme="majorHAnsi"/>
                <w:sz w:val="16"/>
                <w:szCs w:val="16"/>
              </w:rPr>
              <w:t>Duration of IMV</w:t>
            </w:r>
          </w:p>
        </w:tc>
        <w:tc>
          <w:tcPr>
            <w:tcW w:w="2886" w:type="dxa"/>
            <w:shd w:val="clear" w:color="auto" w:fill="FFFFFF" w:themeFill="background1"/>
            <w:tcMar>
              <w:top w:w="0" w:type="dxa"/>
              <w:left w:w="0" w:type="dxa"/>
              <w:bottom w:w="0" w:type="dxa"/>
              <w:right w:w="0" w:type="dxa"/>
            </w:tcMar>
            <w:vAlign w:val="center"/>
          </w:tcPr>
          <w:p w14:paraId="20BF982B" w14:textId="77777777" w:rsidR="00B77386" w:rsidRDefault="00B77386" w:rsidP="00817CE0">
            <w:pPr>
              <w:spacing w:before="40" w:after="40"/>
              <w:ind w:left="100" w:right="100"/>
              <w:jc w:val="right"/>
              <w:rPr>
                <w:rFonts w:asciiTheme="majorHAnsi" w:hAnsiTheme="majorHAnsi" w:cstheme="majorHAnsi"/>
                <w:color w:val="111111"/>
                <w:sz w:val="16"/>
                <w:szCs w:val="16"/>
              </w:rPr>
            </w:pPr>
            <w:r w:rsidRPr="00D7026D">
              <w:rPr>
                <w:rFonts w:asciiTheme="majorHAnsi" w:hAnsiTheme="majorHAnsi" w:cstheme="majorHAnsi"/>
                <w:color w:val="111111"/>
                <w:sz w:val="16"/>
                <w:szCs w:val="16"/>
              </w:rPr>
              <w:t>Median (IQR)</w:t>
            </w:r>
          </w:p>
        </w:tc>
        <w:tc>
          <w:tcPr>
            <w:tcW w:w="2123" w:type="dxa"/>
            <w:shd w:val="clear" w:color="auto" w:fill="FFFFFF" w:themeFill="background1"/>
            <w:tcMar>
              <w:top w:w="0" w:type="dxa"/>
              <w:left w:w="0" w:type="dxa"/>
              <w:bottom w:w="0" w:type="dxa"/>
              <w:right w:w="0" w:type="dxa"/>
            </w:tcMar>
            <w:vAlign w:val="center"/>
          </w:tcPr>
          <w:p w14:paraId="713D5E11" w14:textId="77777777" w:rsidR="00B77386" w:rsidRPr="00D7026D" w:rsidRDefault="00B77386" w:rsidP="00817CE0">
            <w:pPr>
              <w:spacing w:before="40" w:after="40"/>
              <w:ind w:left="100" w:right="100"/>
              <w:jc w:val="right"/>
              <w:rPr>
                <w:rFonts w:asciiTheme="majorHAnsi" w:hAnsiTheme="majorHAnsi" w:cstheme="majorHAnsi"/>
                <w:color w:val="111111"/>
                <w:sz w:val="16"/>
                <w:szCs w:val="16"/>
              </w:rPr>
            </w:pPr>
            <w:r>
              <w:rPr>
                <w:rFonts w:asciiTheme="majorHAnsi" w:hAnsiTheme="majorHAnsi" w:cstheme="majorHAnsi"/>
                <w:color w:val="111111"/>
                <w:sz w:val="16"/>
                <w:szCs w:val="16"/>
              </w:rPr>
              <w:t>-</w:t>
            </w:r>
          </w:p>
        </w:tc>
        <w:tc>
          <w:tcPr>
            <w:tcW w:w="2123" w:type="dxa"/>
            <w:shd w:val="clear" w:color="auto" w:fill="FFFFFF" w:themeFill="background1"/>
            <w:tcMar>
              <w:top w:w="0" w:type="dxa"/>
              <w:left w:w="0" w:type="dxa"/>
              <w:bottom w:w="0" w:type="dxa"/>
              <w:right w:w="0" w:type="dxa"/>
            </w:tcMar>
            <w:vAlign w:val="center"/>
          </w:tcPr>
          <w:p w14:paraId="5A4EB812" w14:textId="77777777" w:rsidR="00B77386" w:rsidRPr="00D7026D" w:rsidRDefault="00B77386" w:rsidP="00817CE0">
            <w:pPr>
              <w:spacing w:before="40" w:after="40"/>
              <w:ind w:left="100" w:right="100"/>
              <w:jc w:val="right"/>
              <w:rPr>
                <w:rFonts w:asciiTheme="majorHAnsi" w:hAnsiTheme="majorHAnsi" w:cstheme="majorHAnsi"/>
                <w:color w:val="111111"/>
                <w:sz w:val="16"/>
                <w:szCs w:val="16"/>
              </w:rPr>
            </w:pPr>
            <w:r>
              <w:rPr>
                <w:rFonts w:asciiTheme="majorHAnsi" w:hAnsiTheme="majorHAnsi" w:cstheme="majorHAnsi"/>
                <w:color w:val="111111"/>
                <w:sz w:val="16"/>
                <w:szCs w:val="16"/>
              </w:rPr>
              <w:t>8.0 (5.0 to 15.0)</w:t>
            </w:r>
          </w:p>
        </w:tc>
        <w:tc>
          <w:tcPr>
            <w:tcW w:w="1048" w:type="dxa"/>
            <w:shd w:val="clear" w:color="auto" w:fill="FFFFFF" w:themeFill="background1"/>
            <w:tcMar>
              <w:top w:w="0" w:type="dxa"/>
              <w:left w:w="0" w:type="dxa"/>
              <w:bottom w:w="0" w:type="dxa"/>
              <w:right w:w="0" w:type="dxa"/>
            </w:tcMar>
            <w:vAlign w:val="center"/>
          </w:tcPr>
          <w:p w14:paraId="18F87B29" w14:textId="77777777" w:rsidR="00B77386" w:rsidRPr="00D7026D" w:rsidRDefault="00B77386" w:rsidP="00817CE0">
            <w:pPr>
              <w:spacing w:before="40" w:after="40"/>
              <w:ind w:left="100" w:right="100"/>
              <w:jc w:val="right"/>
              <w:rPr>
                <w:rFonts w:asciiTheme="majorHAnsi" w:hAnsiTheme="majorHAnsi" w:cstheme="majorHAnsi"/>
                <w:sz w:val="16"/>
                <w:szCs w:val="16"/>
              </w:rPr>
            </w:pPr>
            <w:r>
              <w:rPr>
                <w:rFonts w:asciiTheme="majorHAnsi" w:hAnsiTheme="majorHAnsi" w:cstheme="majorHAnsi"/>
                <w:sz w:val="16"/>
                <w:szCs w:val="16"/>
              </w:rPr>
              <w:t>-</w:t>
            </w:r>
          </w:p>
        </w:tc>
      </w:tr>
      <w:tr w:rsidR="00B77386" w:rsidRPr="00D7026D" w14:paraId="6967B0FC" w14:textId="77777777" w:rsidTr="4E4A2F72">
        <w:trPr>
          <w:cantSplit/>
          <w:trHeight w:val="507"/>
          <w:jc w:val="center"/>
        </w:trPr>
        <w:tc>
          <w:tcPr>
            <w:tcW w:w="2077" w:type="dxa"/>
            <w:shd w:val="clear" w:color="auto" w:fill="FFFFFF" w:themeFill="background1"/>
            <w:tcMar>
              <w:top w:w="0" w:type="dxa"/>
              <w:left w:w="0" w:type="dxa"/>
              <w:bottom w:w="0" w:type="dxa"/>
              <w:right w:w="0" w:type="dxa"/>
            </w:tcMar>
            <w:vAlign w:val="center"/>
          </w:tcPr>
          <w:p w14:paraId="0FF3B8CD" w14:textId="77777777" w:rsidR="00B77386" w:rsidRDefault="00B77386" w:rsidP="00817CE0">
            <w:pPr>
              <w:spacing w:before="40" w:after="40"/>
              <w:ind w:left="100" w:right="100"/>
              <w:jc w:val="right"/>
              <w:rPr>
                <w:rFonts w:asciiTheme="majorHAnsi" w:hAnsiTheme="majorHAnsi" w:cstheme="majorHAnsi"/>
                <w:sz w:val="16"/>
                <w:szCs w:val="16"/>
              </w:rPr>
            </w:pPr>
            <w:r>
              <w:rPr>
                <w:rFonts w:asciiTheme="majorHAnsi" w:hAnsiTheme="majorHAnsi" w:cstheme="majorHAnsi"/>
                <w:sz w:val="16"/>
                <w:szCs w:val="16"/>
              </w:rPr>
              <w:t>Total SOFA Score</w:t>
            </w:r>
          </w:p>
        </w:tc>
        <w:tc>
          <w:tcPr>
            <w:tcW w:w="2886" w:type="dxa"/>
            <w:shd w:val="clear" w:color="auto" w:fill="FFFFFF" w:themeFill="background1"/>
            <w:tcMar>
              <w:top w:w="0" w:type="dxa"/>
              <w:left w:w="0" w:type="dxa"/>
              <w:bottom w:w="0" w:type="dxa"/>
              <w:right w:w="0" w:type="dxa"/>
            </w:tcMar>
            <w:vAlign w:val="center"/>
          </w:tcPr>
          <w:p w14:paraId="14053723" w14:textId="77777777" w:rsidR="00B77386" w:rsidRDefault="00B77386" w:rsidP="00817CE0">
            <w:pPr>
              <w:spacing w:before="40" w:after="40"/>
              <w:ind w:left="100" w:right="100"/>
              <w:jc w:val="right"/>
              <w:rPr>
                <w:rFonts w:asciiTheme="majorHAnsi" w:hAnsiTheme="majorHAnsi" w:cstheme="majorHAnsi"/>
                <w:color w:val="111111"/>
                <w:sz w:val="16"/>
                <w:szCs w:val="16"/>
              </w:rPr>
            </w:pPr>
            <w:r w:rsidRPr="00D7026D">
              <w:rPr>
                <w:rFonts w:asciiTheme="majorHAnsi" w:hAnsiTheme="majorHAnsi" w:cstheme="majorHAnsi"/>
                <w:color w:val="111111"/>
                <w:sz w:val="16"/>
                <w:szCs w:val="16"/>
              </w:rPr>
              <w:t>Median (IQR)</w:t>
            </w:r>
          </w:p>
        </w:tc>
        <w:tc>
          <w:tcPr>
            <w:tcW w:w="2123" w:type="dxa"/>
            <w:shd w:val="clear" w:color="auto" w:fill="FFFFFF" w:themeFill="background1"/>
            <w:tcMar>
              <w:top w:w="0" w:type="dxa"/>
              <w:left w:w="0" w:type="dxa"/>
              <w:bottom w:w="0" w:type="dxa"/>
              <w:right w:w="0" w:type="dxa"/>
            </w:tcMar>
            <w:vAlign w:val="center"/>
          </w:tcPr>
          <w:p w14:paraId="27210911" w14:textId="77777777" w:rsidR="00B77386" w:rsidRPr="00D7026D" w:rsidRDefault="00B77386" w:rsidP="00817CE0">
            <w:pPr>
              <w:spacing w:before="40" w:after="40"/>
              <w:ind w:left="100" w:right="100"/>
              <w:jc w:val="right"/>
              <w:rPr>
                <w:rFonts w:asciiTheme="majorHAnsi" w:hAnsiTheme="majorHAnsi" w:cstheme="majorHAnsi"/>
                <w:color w:val="111111"/>
                <w:sz w:val="16"/>
                <w:szCs w:val="16"/>
              </w:rPr>
            </w:pPr>
            <w:r>
              <w:rPr>
                <w:rFonts w:asciiTheme="majorHAnsi" w:hAnsiTheme="majorHAnsi" w:cstheme="majorHAnsi"/>
                <w:color w:val="111111"/>
                <w:sz w:val="16"/>
                <w:szCs w:val="16"/>
              </w:rPr>
              <w:t>-</w:t>
            </w:r>
          </w:p>
        </w:tc>
        <w:tc>
          <w:tcPr>
            <w:tcW w:w="2123" w:type="dxa"/>
            <w:shd w:val="clear" w:color="auto" w:fill="FFFFFF" w:themeFill="background1"/>
            <w:tcMar>
              <w:top w:w="0" w:type="dxa"/>
              <w:left w:w="0" w:type="dxa"/>
              <w:bottom w:w="0" w:type="dxa"/>
              <w:right w:w="0" w:type="dxa"/>
            </w:tcMar>
            <w:vAlign w:val="center"/>
          </w:tcPr>
          <w:p w14:paraId="3965925D" w14:textId="77777777" w:rsidR="00B77386" w:rsidRPr="00D7026D" w:rsidRDefault="00B77386" w:rsidP="00817CE0">
            <w:pPr>
              <w:spacing w:before="40" w:after="40"/>
              <w:ind w:left="100" w:right="100"/>
              <w:jc w:val="right"/>
              <w:rPr>
                <w:rFonts w:asciiTheme="majorHAnsi" w:hAnsiTheme="majorHAnsi" w:cstheme="majorHAnsi"/>
                <w:color w:val="111111"/>
                <w:sz w:val="16"/>
                <w:szCs w:val="16"/>
              </w:rPr>
            </w:pPr>
            <w:r>
              <w:rPr>
                <w:rFonts w:asciiTheme="majorHAnsi" w:hAnsiTheme="majorHAnsi" w:cstheme="majorHAnsi"/>
                <w:color w:val="111111"/>
                <w:sz w:val="16"/>
                <w:szCs w:val="16"/>
              </w:rPr>
              <w:t>3.0 (2.0 to 4.0)</w:t>
            </w:r>
          </w:p>
        </w:tc>
        <w:tc>
          <w:tcPr>
            <w:tcW w:w="1048" w:type="dxa"/>
            <w:shd w:val="clear" w:color="auto" w:fill="FFFFFF" w:themeFill="background1"/>
            <w:tcMar>
              <w:top w:w="0" w:type="dxa"/>
              <w:left w:w="0" w:type="dxa"/>
              <w:bottom w:w="0" w:type="dxa"/>
              <w:right w:w="0" w:type="dxa"/>
            </w:tcMar>
            <w:vAlign w:val="center"/>
          </w:tcPr>
          <w:p w14:paraId="08ACD4AD" w14:textId="77777777" w:rsidR="00B77386" w:rsidRPr="00D7026D" w:rsidRDefault="00B77386" w:rsidP="00817CE0">
            <w:pPr>
              <w:spacing w:before="40" w:after="40"/>
              <w:ind w:left="100" w:right="100"/>
              <w:jc w:val="right"/>
              <w:rPr>
                <w:rFonts w:asciiTheme="majorHAnsi" w:hAnsiTheme="majorHAnsi" w:cstheme="majorHAnsi"/>
                <w:sz w:val="16"/>
                <w:szCs w:val="16"/>
              </w:rPr>
            </w:pPr>
            <w:r>
              <w:rPr>
                <w:rFonts w:asciiTheme="majorHAnsi" w:hAnsiTheme="majorHAnsi" w:cstheme="majorHAnsi"/>
                <w:sz w:val="16"/>
                <w:szCs w:val="16"/>
              </w:rPr>
              <w:t>-</w:t>
            </w:r>
          </w:p>
        </w:tc>
      </w:tr>
      <w:tr w:rsidR="00B77386" w:rsidRPr="00D7026D" w14:paraId="70475E74" w14:textId="77777777" w:rsidTr="4E4A2F72">
        <w:trPr>
          <w:cantSplit/>
          <w:trHeight w:val="507"/>
          <w:jc w:val="center"/>
        </w:trPr>
        <w:tc>
          <w:tcPr>
            <w:tcW w:w="2077" w:type="dxa"/>
            <w:shd w:val="clear" w:color="auto" w:fill="FFFFFF" w:themeFill="background1"/>
            <w:tcMar>
              <w:top w:w="0" w:type="dxa"/>
              <w:left w:w="0" w:type="dxa"/>
              <w:bottom w:w="0" w:type="dxa"/>
              <w:right w:w="0" w:type="dxa"/>
            </w:tcMar>
            <w:vAlign w:val="center"/>
          </w:tcPr>
          <w:p w14:paraId="49FD9FF8" w14:textId="77777777" w:rsidR="00B77386" w:rsidRDefault="00B77386" w:rsidP="00817CE0">
            <w:pPr>
              <w:spacing w:before="40" w:after="40"/>
              <w:ind w:left="100" w:right="100"/>
              <w:jc w:val="right"/>
              <w:rPr>
                <w:rFonts w:asciiTheme="majorHAnsi" w:hAnsiTheme="majorHAnsi" w:cstheme="majorHAnsi"/>
                <w:sz w:val="16"/>
                <w:szCs w:val="16"/>
              </w:rPr>
            </w:pPr>
            <w:r>
              <w:rPr>
                <w:rFonts w:asciiTheme="majorHAnsi" w:hAnsiTheme="majorHAnsi" w:cstheme="majorHAnsi"/>
                <w:sz w:val="16"/>
                <w:szCs w:val="16"/>
              </w:rPr>
              <w:t>Respiratory SOFA Score</w:t>
            </w:r>
          </w:p>
        </w:tc>
        <w:tc>
          <w:tcPr>
            <w:tcW w:w="2886" w:type="dxa"/>
            <w:shd w:val="clear" w:color="auto" w:fill="FFFFFF" w:themeFill="background1"/>
            <w:tcMar>
              <w:top w:w="0" w:type="dxa"/>
              <w:left w:w="0" w:type="dxa"/>
              <w:bottom w:w="0" w:type="dxa"/>
              <w:right w:w="0" w:type="dxa"/>
            </w:tcMar>
            <w:vAlign w:val="center"/>
          </w:tcPr>
          <w:p w14:paraId="21EEC091" w14:textId="77777777" w:rsidR="00B77386" w:rsidRDefault="00B77386" w:rsidP="00817CE0">
            <w:pPr>
              <w:spacing w:before="40" w:after="40"/>
              <w:ind w:left="100" w:right="100"/>
              <w:jc w:val="right"/>
              <w:rPr>
                <w:rFonts w:asciiTheme="majorHAnsi" w:hAnsiTheme="majorHAnsi" w:cstheme="majorHAnsi"/>
                <w:color w:val="111111"/>
                <w:sz w:val="16"/>
                <w:szCs w:val="16"/>
              </w:rPr>
            </w:pPr>
            <w:r>
              <w:rPr>
                <w:rFonts w:asciiTheme="majorHAnsi" w:hAnsiTheme="majorHAnsi" w:cstheme="majorHAnsi"/>
                <w:color w:val="111111"/>
                <w:sz w:val="16"/>
                <w:szCs w:val="16"/>
              </w:rPr>
              <w:t>0</w:t>
            </w:r>
          </w:p>
        </w:tc>
        <w:tc>
          <w:tcPr>
            <w:tcW w:w="2123" w:type="dxa"/>
            <w:shd w:val="clear" w:color="auto" w:fill="FFFFFF" w:themeFill="background1"/>
            <w:tcMar>
              <w:top w:w="0" w:type="dxa"/>
              <w:left w:w="0" w:type="dxa"/>
              <w:bottom w:w="0" w:type="dxa"/>
              <w:right w:w="0" w:type="dxa"/>
            </w:tcMar>
            <w:vAlign w:val="center"/>
          </w:tcPr>
          <w:p w14:paraId="5F5E3B7D" w14:textId="77777777" w:rsidR="00B77386" w:rsidRPr="00D7026D" w:rsidRDefault="00B77386" w:rsidP="00817CE0">
            <w:pPr>
              <w:spacing w:before="40" w:after="40"/>
              <w:ind w:left="100" w:right="100"/>
              <w:jc w:val="right"/>
              <w:rPr>
                <w:rFonts w:asciiTheme="majorHAnsi" w:hAnsiTheme="majorHAnsi" w:cstheme="majorHAnsi"/>
                <w:color w:val="111111"/>
                <w:sz w:val="16"/>
                <w:szCs w:val="16"/>
              </w:rPr>
            </w:pPr>
            <w:r>
              <w:rPr>
                <w:rFonts w:asciiTheme="majorHAnsi" w:hAnsiTheme="majorHAnsi" w:cstheme="majorHAnsi"/>
                <w:color w:val="111111"/>
                <w:sz w:val="16"/>
                <w:szCs w:val="16"/>
              </w:rPr>
              <w:t>-</w:t>
            </w:r>
          </w:p>
        </w:tc>
        <w:tc>
          <w:tcPr>
            <w:tcW w:w="2123" w:type="dxa"/>
            <w:shd w:val="clear" w:color="auto" w:fill="FFFFFF" w:themeFill="background1"/>
            <w:tcMar>
              <w:top w:w="0" w:type="dxa"/>
              <w:left w:w="0" w:type="dxa"/>
              <w:bottom w:w="0" w:type="dxa"/>
              <w:right w:w="0" w:type="dxa"/>
            </w:tcMar>
            <w:vAlign w:val="center"/>
          </w:tcPr>
          <w:p w14:paraId="3D1D08D2" w14:textId="77777777" w:rsidR="00B77386" w:rsidRPr="00D7026D" w:rsidRDefault="00B77386" w:rsidP="00817CE0">
            <w:pPr>
              <w:spacing w:before="40" w:after="40"/>
              <w:ind w:left="100" w:right="100"/>
              <w:jc w:val="right"/>
              <w:rPr>
                <w:rFonts w:asciiTheme="majorHAnsi" w:hAnsiTheme="majorHAnsi" w:cstheme="majorHAnsi"/>
                <w:color w:val="111111"/>
                <w:sz w:val="16"/>
                <w:szCs w:val="16"/>
              </w:rPr>
            </w:pPr>
            <w:r>
              <w:rPr>
                <w:rFonts w:asciiTheme="majorHAnsi" w:hAnsiTheme="majorHAnsi" w:cstheme="majorHAnsi"/>
                <w:color w:val="111111"/>
                <w:sz w:val="16"/>
                <w:szCs w:val="16"/>
              </w:rPr>
              <w:t>23 (9.6)</w:t>
            </w:r>
          </w:p>
        </w:tc>
        <w:tc>
          <w:tcPr>
            <w:tcW w:w="1048" w:type="dxa"/>
            <w:shd w:val="clear" w:color="auto" w:fill="FFFFFF" w:themeFill="background1"/>
            <w:tcMar>
              <w:top w:w="0" w:type="dxa"/>
              <w:left w:w="0" w:type="dxa"/>
              <w:bottom w:w="0" w:type="dxa"/>
              <w:right w:w="0" w:type="dxa"/>
            </w:tcMar>
            <w:vAlign w:val="center"/>
          </w:tcPr>
          <w:p w14:paraId="1DE83509" w14:textId="77777777" w:rsidR="00B77386" w:rsidRPr="00D7026D" w:rsidRDefault="00B77386" w:rsidP="00817CE0">
            <w:pPr>
              <w:spacing w:before="40" w:after="40"/>
              <w:ind w:left="100" w:right="100"/>
              <w:jc w:val="right"/>
              <w:rPr>
                <w:rFonts w:asciiTheme="majorHAnsi" w:hAnsiTheme="majorHAnsi" w:cstheme="majorHAnsi"/>
                <w:sz w:val="16"/>
                <w:szCs w:val="16"/>
              </w:rPr>
            </w:pPr>
            <w:r>
              <w:rPr>
                <w:rFonts w:asciiTheme="majorHAnsi" w:hAnsiTheme="majorHAnsi" w:cstheme="majorHAnsi"/>
                <w:sz w:val="16"/>
                <w:szCs w:val="16"/>
              </w:rPr>
              <w:t>-</w:t>
            </w:r>
          </w:p>
        </w:tc>
      </w:tr>
      <w:tr w:rsidR="00B77386" w:rsidRPr="00D7026D" w14:paraId="5976C3CE" w14:textId="77777777" w:rsidTr="4E4A2F72">
        <w:trPr>
          <w:cantSplit/>
          <w:trHeight w:val="507"/>
          <w:jc w:val="center"/>
        </w:trPr>
        <w:tc>
          <w:tcPr>
            <w:tcW w:w="2077" w:type="dxa"/>
            <w:shd w:val="clear" w:color="auto" w:fill="FFFFFF" w:themeFill="background1"/>
            <w:tcMar>
              <w:top w:w="0" w:type="dxa"/>
              <w:left w:w="0" w:type="dxa"/>
              <w:bottom w:w="0" w:type="dxa"/>
              <w:right w:w="0" w:type="dxa"/>
            </w:tcMar>
            <w:vAlign w:val="center"/>
          </w:tcPr>
          <w:p w14:paraId="7CFF6D37" w14:textId="77777777" w:rsidR="00B77386" w:rsidRDefault="00B77386" w:rsidP="00817CE0">
            <w:pPr>
              <w:spacing w:before="40" w:after="40"/>
              <w:ind w:left="100" w:right="100"/>
              <w:jc w:val="right"/>
              <w:rPr>
                <w:rFonts w:asciiTheme="majorHAnsi" w:hAnsiTheme="majorHAnsi" w:cstheme="majorHAnsi"/>
                <w:sz w:val="16"/>
                <w:szCs w:val="16"/>
              </w:rPr>
            </w:pPr>
          </w:p>
        </w:tc>
        <w:tc>
          <w:tcPr>
            <w:tcW w:w="2886" w:type="dxa"/>
            <w:shd w:val="clear" w:color="auto" w:fill="FFFFFF" w:themeFill="background1"/>
            <w:tcMar>
              <w:top w:w="0" w:type="dxa"/>
              <w:left w:w="0" w:type="dxa"/>
              <w:bottom w:w="0" w:type="dxa"/>
              <w:right w:w="0" w:type="dxa"/>
            </w:tcMar>
            <w:vAlign w:val="center"/>
          </w:tcPr>
          <w:p w14:paraId="6E0DD887" w14:textId="77777777" w:rsidR="00B77386" w:rsidRDefault="00B77386" w:rsidP="00817CE0">
            <w:pPr>
              <w:spacing w:before="40" w:after="40"/>
              <w:ind w:left="100" w:right="100"/>
              <w:jc w:val="right"/>
              <w:rPr>
                <w:rFonts w:asciiTheme="majorHAnsi" w:hAnsiTheme="majorHAnsi" w:cstheme="majorHAnsi"/>
                <w:color w:val="111111"/>
                <w:sz w:val="16"/>
                <w:szCs w:val="16"/>
              </w:rPr>
            </w:pPr>
            <w:r>
              <w:rPr>
                <w:rFonts w:asciiTheme="majorHAnsi" w:hAnsiTheme="majorHAnsi" w:cstheme="majorHAnsi"/>
                <w:color w:val="111111"/>
                <w:sz w:val="16"/>
                <w:szCs w:val="16"/>
              </w:rPr>
              <w:t>1</w:t>
            </w:r>
          </w:p>
        </w:tc>
        <w:tc>
          <w:tcPr>
            <w:tcW w:w="2123" w:type="dxa"/>
            <w:shd w:val="clear" w:color="auto" w:fill="FFFFFF" w:themeFill="background1"/>
            <w:tcMar>
              <w:top w:w="0" w:type="dxa"/>
              <w:left w:w="0" w:type="dxa"/>
              <w:bottom w:w="0" w:type="dxa"/>
              <w:right w:w="0" w:type="dxa"/>
            </w:tcMar>
            <w:vAlign w:val="center"/>
          </w:tcPr>
          <w:p w14:paraId="2438B57F" w14:textId="77777777" w:rsidR="00B77386" w:rsidRPr="00D7026D" w:rsidRDefault="00B77386" w:rsidP="00817CE0">
            <w:pPr>
              <w:spacing w:before="40" w:after="40"/>
              <w:ind w:left="100" w:right="100"/>
              <w:jc w:val="right"/>
              <w:rPr>
                <w:rFonts w:asciiTheme="majorHAnsi" w:hAnsiTheme="majorHAnsi" w:cstheme="majorHAnsi"/>
                <w:color w:val="111111"/>
                <w:sz w:val="16"/>
                <w:szCs w:val="16"/>
              </w:rPr>
            </w:pPr>
          </w:p>
        </w:tc>
        <w:tc>
          <w:tcPr>
            <w:tcW w:w="2123" w:type="dxa"/>
            <w:shd w:val="clear" w:color="auto" w:fill="FFFFFF" w:themeFill="background1"/>
            <w:tcMar>
              <w:top w:w="0" w:type="dxa"/>
              <w:left w:w="0" w:type="dxa"/>
              <w:bottom w:w="0" w:type="dxa"/>
              <w:right w:w="0" w:type="dxa"/>
            </w:tcMar>
            <w:vAlign w:val="center"/>
          </w:tcPr>
          <w:p w14:paraId="2E9785C1" w14:textId="77777777" w:rsidR="00B77386" w:rsidRPr="00D7026D" w:rsidRDefault="00B77386" w:rsidP="00817CE0">
            <w:pPr>
              <w:spacing w:before="40" w:after="40"/>
              <w:ind w:left="100" w:right="100"/>
              <w:jc w:val="right"/>
              <w:rPr>
                <w:rFonts w:asciiTheme="majorHAnsi" w:hAnsiTheme="majorHAnsi" w:cstheme="majorHAnsi"/>
                <w:color w:val="111111"/>
                <w:sz w:val="16"/>
                <w:szCs w:val="16"/>
              </w:rPr>
            </w:pPr>
            <w:r>
              <w:rPr>
                <w:rFonts w:asciiTheme="majorHAnsi" w:hAnsiTheme="majorHAnsi" w:cstheme="majorHAnsi"/>
                <w:color w:val="111111"/>
                <w:sz w:val="16"/>
                <w:szCs w:val="16"/>
              </w:rPr>
              <w:t>73 (30.4)</w:t>
            </w:r>
          </w:p>
        </w:tc>
        <w:tc>
          <w:tcPr>
            <w:tcW w:w="1048" w:type="dxa"/>
            <w:shd w:val="clear" w:color="auto" w:fill="FFFFFF" w:themeFill="background1"/>
            <w:tcMar>
              <w:top w:w="0" w:type="dxa"/>
              <w:left w:w="0" w:type="dxa"/>
              <w:bottom w:w="0" w:type="dxa"/>
              <w:right w:w="0" w:type="dxa"/>
            </w:tcMar>
            <w:vAlign w:val="center"/>
          </w:tcPr>
          <w:p w14:paraId="05F314EF" w14:textId="77777777" w:rsidR="00B77386" w:rsidRPr="00D7026D" w:rsidRDefault="00B77386" w:rsidP="00817CE0">
            <w:pPr>
              <w:spacing w:before="40" w:after="40"/>
              <w:ind w:left="100" w:right="100"/>
              <w:jc w:val="right"/>
              <w:rPr>
                <w:rFonts w:asciiTheme="majorHAnsi" w:hAnsiTheme="majorHAnsi" w:cstheme="majorHAnsi"/>
                <w:sz w:val="16"/>
                <w:szCs w:val="16"/>
              </w:rPr>
            </w:pPr>
          </w:p>
        </w:tc>
      </w:tr>
      <w:tr w:rsidR="00B77386" w:rsidRPr="00D7026D" w14:paraId="7E4F1E7F" w14:textId="77777777" w:rsidTr="4E4A2F72">
        <w:trPr>
          <w:cantSplit/>
          <w:trHeight w:val="507"/>
          <w:jc w:val="center"/>
        </w:trPr>
        <w:tc>
          <w:tcPr>
            <w:tcW w:w="2077" w:type="dxa"/>
            <w:shd w:val="clear" w:color="auto" w:fill="FFFFFF" w:themeFill="background1"/>
            <w:tcMar>
              <w:top w:w="0" w:type="dxa"/>
              <w:left w:w="0" w:type="dxa"/>
              <w:bottom w:w="0" w:type="dxa"/>
              <w:right w:w="0" w:type="dxa"/>
            </w:tcMar>
            <w:vAlign w:val="center"/>
          </w:tcPr>
          <w:p w14:paraId="3C428B68" w14:textId="77777777" w:rsidR="00B77386" w:rsidRDefault="00B77386" w:rsidP="00817CE0">
            <w:pPr>
              <w:spacing w:before="40" w:after="40"/>
              <w:ind w:left="100" w:right="100"/>
              <w:jc w:val="right"/>
              <w:rPr>
                <w:rFonts w:asciiTheme="majorHAnsi" w:hAnsiTheme="majorHAnsi" w:cstheme="majorHAnsi"/>
                <w:sz w:val="16"/>
                <w:szCs w:val="16"/>
              </w:rPr>
            </w:pPr>
          </w:p>
        </w:tc>
        <w:tc>
          <w:tcPr>
            <w:tcW w:w="2886" w:type="dxa"/>
            <w:shd w:val="clear" w:color="auto" w:fill="FFFFFF" w:themeFill="background1"/>
            <w:tcMar>
              <w:top w:w="0" w:type="dxa"/>
              <w:left w:w="0" w:type="dxa"/>
              <w:bottom w:w="0" w:type="dxa"/>
              <w:right w:w="0" w:type="dxa"/>
            </w:tcMar>
            <w:vAlign w:val="center"/>
          </w:tcPr>
          <w:p w14:paraId="5FEAD8E4" w14:textId="77777777" w:rsidR="00B77386" w:rsidRDefault="00B77386" w:rsidP="00817CE0">
            <w:pPr>
              <w:spacing w:before="40" w:after="40"/>
              <w:ind w:left="100" w:right="100"/>
              <w:jc w:val="right"/>
              <w:rPr>
                <w:rFonts w:asciiTheme="majorHAnsi" w:hAnsiTheme="majorHAnsi" w:cstheme="majorHAnsi"/>
                <w:color w:val="111111"/>
                <w:sz w:val="16"/>
                <w:szCs w:val="16"/>
              </w:rPr>
            </w:pPr>
            <w:r>
              <w:rPr>
                <w:rFonts w:asciiTheme="majorHAnsi" w:hAnsiTheme="majorHAnsi" w:cstheme="majorHAnsi"/>
                <w:color w:val="111111"/>
                <w:sz w:val="16"/>
                <w:szCs w:val="16"/>
              </w:rPr>
              <w:t>2</w:t>
            </w:r>
          </w:p>
        </w:tc>
        <w:tc>
          <w:tcPr>
            <w:tcW w:w="2123" w:type="dxa"/>
            <w:shd w:val="clear" w:color="auto" w:fill="FFFFFF" w:themeFill="background1"/>
            <w:tcMar>
              <w:top w:w="0" w:type="dxa"/>
              <w:left w:w="0" w:type="dxa"/>
              <w:bottom w:w="0" w:type="dxa"/>
              <w:right w:w="0" w:type="dxa"/>
            </w:tcMar>
            <w:vAlign w:val="center"/>
          </w:tcPr>
          <w:p w14:paraId="4F8F80F0" w14:textId="77777777" w:rsidR="00B77386" w:rsidRPr="00D7026D" w:rsidRDefault="00B77386" w:rsidP="00817CE0">
            <w:pPr>
              <w:spacing w:before="40" w:after="40"/>
              <w:ind w:left="100" w:right="100"/>
              <w:jc w:val="right"/>
              <w:rPr>
                <w:rFonts w:asciiTheme="majorHAnsi" w:hAnsiTheme="majorHAnsi" w:cstheme="majorHAnsi"/>
                <w:color w:val="111111"/>
                <w:sz w:val="16"/>
                <w:szCs w:val="16"/>
              </w:rPr>
            </w:pPr>
          </w:p>
        </w:tc>
        <w:tc>
          <w:tcPr>
            <w:tcW w:w="2123" w:type="dxa"/>
            <w:shd w:val="clear" w:color="auto" w:fill="FFFFFF" w:themeFill="background1"/>
            <w:tcMar>
              <w:top w:w="0" w:type="dxa"/>
              <w:left w:w="0" w:type="dxa"/>
              <w:bottom w:w="0" w:type="dxa"/>
              <w:right w:w="0" w:type="dxa"/>
            </w:tcMar>
            <w:vAlign w:val="center"/>
          </w:tcPr>
          <w:p w14:paraId="4F52566C" w14:textId="77777777" w:rsidR="00B77386" w:rsidRPr="00D7026D" w:rsidRDefault="00B77386" w:rsidP="00817CE0">
            <w:pPr>
              <w:spacing w:before="40" w:after="40"/>
              <w:ind w:left="100" w:right="100"/>
              <w:jc w:val="right"/>
              <w:rPr>
                <w:rFonts w:asciiTheme="majorHAnsi" w:hAnsiTheme="majorHAnsi" w:cstheme="majorHAnsi"/>
                <w:color w:val="111111"/>
                <w:sz w:val="16"/>
                <w:szCs w:val="16"/>
              </w:rPr>
            </w:pPr>
            <w:r>
              <w:rPr>
                <w:rFonts w:asciiTheme="majorHAnsi" w:hAnsiTheme="majorHAnsi" w:cstheme="majorHAnsi"/>
                <w:color w:val="111111"/>
                <w:sz w:val="16"/>
                <w:szCs w:val="16"/>
              </w:rPr>
              <w:t>144 (60.)</w:t>
            </w:r>
          </w:p>
        </w:tc>
        <w:tc>
          <w:tcPr>
            <w:tcW w:w="1048" w:type="dxa"/>
            <w:shd w:val="clear" w:color="auto" w:fill="FFFFFF" w:themeFill="background1"/>
            <w:tcMar>
              <w:top w:w="0" w:type="dxa"/>
              <w:left w:w="0" w:type="dxa"/>
              <w:bottom w:w="0" w:type="dxa"/>
              <w:right w:w="0" w:type="dxa"/>
            </w:tcMar>
            <w:vAlign w:val="center"/>
          </w:tcPr>
          <w:p w14:paraId="24CA41E8" w14:textId="77777777" w:rsidR="00B77386" w:rsidRPr="00D7026D" w:rsidRDefault="00B77386" w:rsidP="00817CE0">
            <w:pPr>
              <w:spacing w:before="40" w:after="40"/>
              <w:ind w:left="100" w:right="100"/>
              <w:jc w:val="right"/>
              <w:rPr>
                <w:rFonts w:asciiTheme="majorHAnsi" w:hAnsiTheme="majorHAnsi" w:cstheme="majorHAnsi"/>
                <w:sz w:val="16"/>
                <w:szCs w:val="16"/>
              </w:rPr>
            </w:pPr>
          </w:p>
        </w:tc>
      </w:tr>
      <w:tr w:rsidR="00B77386" w:rsidRPr="00D7026D" w14:paraId="23C02325" w14:textId="77777777" w:rsidTr="4E4A2F72">
        <w:trPr>
          <w:cantSplit/>
          <w:trHeight w:val="507"/>
          <w:jc w:val="center"/>
        </w:trPr>
        <w:tc>
          <w:tcPr>
            <w:tcW w:w="2077" w:type="dxa"/>
            <w:shd w:val="clear" w:color="auto" w:fill="FFFFFF" w:themeFill="background1"/>
            <w:tcMar>
              <w:top w:w="0" w:type="dxa"/>
              <w:left w:w="0" w:type="dxa"/>
              <w:bottom w:w="0" w:type="dxa"/>
              <w:right w:w="0" w:type="dxa"/>
            </w:tcMar>
            <w:vAlign w:val="center"/>
          </w:tcPr>
          <w:p w14:paraId="3C51D756" w14:textId="77777777" w:rsidR="00B77386" w:rsidRDefault="00B77386" w:rsidP="00817CE0">
            <w:pPr>
              <w:spacing w:before="40" w:after="40"/>
              <w:ind w:left="100" w:right="100"/>
              <w:jc w:val="right"/>
              <w:rPr>
                <w:rFonts w:asciiTheme="majorHAnsi" w:hAnsiTheme="majorHAnsi" w:cstheme="majorHAnsi"/>
                <w:sz w:val="16"/>
                <w:szCs w:val="16"/>
              </w:rPr>
            </w:pPr>
            <w:r>
              <w:rPr>
                <w:rFonts w:asciiTheme="majorHAnsi" w:hAnsiTheme="majorHAnsi" w:cstheme="majorHAnsi"/>
                <w:sz w:val="16"/>
                <w:szCs w:val="16"/>
              </w:rPr>
              <w:t>APACHE-II Score</w:t>
            </w:r>
          </w:p>
        </w:tc>
        <w:tc>
          <w:tcPr>
            <w:tcW w:w="2886" w:type="dxa"/>
            <w:shd w:val="clear" w:color="auto" w:fill="FFFFFF" w:themeFill="background1"/>
            <w:tcMar>
              <w:top w:w="0" w:type="dxa"/>
              <w:left w:w="0" w:type="dxa"/>
              <w:bottom w:w="0" w:type="dxa"/>
              <w:right w:w="0" w:type="dxa"/>
            </w:tcMar>
            <w:vAlign w:val="center"/>
          </w:tcPr>
          <w:p w14:paraId="2ABED8FB" w14:textId="77777777" w:rsidR="00B77386" w:rsidRDefault="00B77386" w:rsidP="00817CE0">
            <w:pPr>
              <w:spacing w:before="40" w:after="40"/>
              <w:ind w:left="100" w:right="100"/>
              <w:jc w:val="right"/>
              <w:rPr>
                <w:rFonts w:asciiTheme="majorHAnsi" w:hAnsiTheme="majorHAnsi" w:cstheme="majorHAnsi"/>
                <w:color w:val="111111"/>
                <w:sz w:val="16"/>
                <w:szCs w:val="16"/>
              </w:rPr>
            </w:pPr>
            <w:r w:rsidRPr="00D7026D">
              <w:rPr>
                <w:rFonts w:asciiTheme="majorHAnsi" w:hAnsiTheme="majorHAnsi" w:cstheme="majorHAnsi"/>
                <w:color w:val="111111"/>
                <w:sz w:val="16"/>
                <w:szCs w:val="16"/>
              </w:rPr>
              <w:t>Median (IQR)</w:t>
            </w:r>
          </w:p>
        </w:tc>
        <w:tc>
          <w:tcPr>
            <w:tcW w:w="2123" w:type="dxa"/>
            <w:shd w:val="clear" w:color="auto" w:fill="FFFFFF" w:themeFill="background1"/>
            <w:tcMar>
              <w:top w:w="0" w:type="dxa"/>
              <w:left w:w="0" w:type="dxa"/>
              <w:bottom w:w="0" w:type="dxa"/>
              <w:right w:w="0" w:type="dxa"/>
            </w:tcMar>
            <w:vAlign w:val="center"/>
          </w:tcPr>
          <w:p w14:paraId="7696EDBF" w14:textId="77777777" w:rsidR="00B77386" w:rsidRPr="00D7026D" w:rsidRDefault="00B77386" w:rsidP="00817CE0">
            <w:pPr>
              <w:spacing w:before="40" w:after="40"/>
              <w:ind w:left="100" w:right="100"/>
              <w:jc w:val="right"/>
              <w:rPr>
                <w:rFonts w:asciiTheme="majorHAnsi" w:hAnsiTheme="majorHAnsi" w:cstheme="majorHAnsi"/>
                <w:color w:val="111111"/>
                <w:sz w:val="16"/>
                <w:szCs w:val="16"/>
              </w:rPr>
            </w:pPr>
            <w:r>
              <w:rPr>
                <w:rFonts w:asciiTheme="majorHAnsi" w:hAnsiTheme="majorHAnsi" w:cstheme="majorHAnsi"/>
                <w:color w:val="111111"/>
                <w:sz w:val="16"/>
                <w:szCs w:val="16"/>
              </w:rPr>
              <w:t>-</w:t>
            </w:r>
          </w:p>
        </w:tc>
        <w:tc>
          <w:tcPr>
            <w:tcW w:w="2123" w:type="dxa"/>
            <w:shd w:val="clear" w:color="auto" w:fill="FFFFFF" w:themeFill="background1"/>
            <w:tcMar>
              <w:top w:w="0" w:type="dxa"/>
              <w:left w:w="0" w:type="dxa"/>
              <w:bottom w:w="0" w:type="dxa"/>
              <w:right w:w="0" w:type="dxa"/>
            </w:tcMar>
            <w:vAlign w:val="center"/>
          </w:tcPr>
          <w:p w14:paraId="172BAD0E" w14:textId="77777777" w:rsidR="00B77386" w:rsidRPr="00D7026D" w:rsidRDefault="00B77386" w:rsidP="00817CE0">
            <w:pPr>
              <w:spacing w:before="40" w:after="40"/>
              <w:ind w:left="100" w:right="100"/>
              <w:jc w:val="right"/>
              <w:rPr>
                <w:rFonts w:asciiTheme="majorHAnsi" w:hAnsiTheme="majorHAnsi" w:cstheme="majorHAnsi"/>
                <w:color w:val="111111"/>
                <w:sz w:val="16"/>
                <w:szCs w:val="16"/>
              </w:rPr>
            </w:pPr>
            <w:r>
              <w:rPr>
                <w:rFonts w:asciiTheme="majorHAnsi" w:hAnsiTheme="majorHAnsi" w:cstheme="majorHAnsi"/>
                <w:color w:val="111111"/>
                <w:sz w:val="16"/>
                <w:szCs w:val="16"/>
              </w:rPr>
              <w:t>20.0 (16.0 to 25.0)</w:t>
            </w:r>
          </w:p>
        </w:tc>
        <w:tc>
          <w:tcPr>
            <w:tcW w:w="1048" w:type="dxa"/>
            <w:shd w:val="clear" w:color="auto" w:fill="FFFFFF" w:themeFill="background1"/>
            <w:tcMar>
              <w:top w:w="0" w:type="dxa"/>
              <w:left w:w="0" w:type="dxa"/>
              <w:bottom w:w="0" w:type="dxa"/>
              <w:right w:w="0" w:type="dxa"/>
            </w:tcMar>
            <w:vAlign w:val="center"/>
          </w:tcPr>
          <w:p w14:paraId="019A9E86" w14:textId="77777777" w:rsidR="00B77386" w:rsidRPr="00D7026D" w:rsidRDefault="00B77386" w:rsidP="00817CE0">
            <w:pPr>
              <w:spacing w:before="40" w:after="40"/>
              <w:ind w:left="100" w:right="100"/>
              <w:jc w:val="right"/>
              <w:rPr>
                <w:rFonts w:asciiTheme="majorHAnsi" w:hAnsiTheme="majorHAnsi" w:cstheme="majorHAnsi"/>
                <w:sz w:val="16"/>
                <w:szCs w:val="16"/>
              </w:rPr>
            </w:pPr>
            <w:r>
              <w:rPr>
                <w:rFonts w:asciiTheme="majorHAnsi" w:hAnsiTheme="majorHAnsi" w:cstheme="majorHAnsi"/>
                <w:sz w:val="16"/>
                <w:szCs w:val="16"/>
              </w:rPr>
              <w:t>-</w:t>
            </w:r>
          </w:p>
        </w:tc>
      </w:tr>
      <w:tr w:rsidR="00B77386" w:rsidRPr="00D7026D" w14:paraId="7666D696" w14:textId="77777777" w:rsidTr="4E4A2F72">
        <w:trPr>
          <w:cantSplit/>
          <w:trHeight w:val="507"/>
          <w:jc w:val="center"/>
        </w:trPr>
        <w:tc>
          <w:tcPr>
            <w:tcW w:w="2077" w:type="dxa"/>
            <w:shd w:val="clear" w:color="auto" w:fill="FFFFFF" w:themeFill="background1"/>
            <w:tcMar>
              <w:top w:w="0" w:type="dxa"/>
              <w:left w:w="0" w:type="dxa"/>
              <w:bottom w:w="0" w:type="dxa"/>
              <w:right w:w="0" w:type="dxa"/>
            </w:tcMar>
            <w:vAlign w:val="center"/>
          </w:tcPr>
          <w:p w14:paraId="1D10F938" w14:textId="77777777" w:rsidR="00B77386" w:rsidRDefault="00B77386" w:rsidP="00817CE0">
            <w:pPr>
              <w:spacing w:before="40" w:after="40"/>
              <w:ind w:left="100" w:right="100"/>
              <w:jc w:val="right"/>
              <w:rPr>
                <w:rFonts w:asciiTheme="majorHAnsi" w:hAnsiTheme="majorHAnsi" w:cstheme="majorHAnsi"/>
                <w:sz w:val="16"/>
                <w:szCs w:val="16"/>
              </w:rPr>
            </w:pPr>
            <w:r>
              <w:rPr>
                <w:rFonts w:asciiTheme="majorHAnsi" w:hAnsiTheme="majorHAnsi" w:cstheme="majorHAnsi"/>
                <w:sz w:val="16"/>
                <w:szCs w:val="16"/>
              </w:rPr>
              <w:t>Time from discharge to completing CCP-UK questionnaire (days)</w:t>
            </w:r>
          </w:p>
        </w:tc>
        <w:tc>
          <w:tcPr>
            <w:tcW w:w="2886" w:type="dxa"/>
            <w:shd w:val="clear" w:color="auto" w:fill="FFFFFF" w:themeFill="background1"/>
            <w:tcMar>
              <w:top w:w="0" w:type="dxa"/>
              <w:left w:w="0" w:type="dxa"/>
              <w:bottom w:w="0" w:type="dxa"/>
              <w:right w:w="0" w:type="dxa"/>
            </w:tcMar>
            <w:vAlign w:val="center"/>
          </w:tcPr>
          <w:p w14:paraId="2F358FDB" w14:textId="77777777" w:rsidR="00B77386" w:rsidRPr="00D7026D" w:rsidRDefault="00B77386" w:rsidP="00817CE0">
            <w:pPr>
              <w:spacing w:before="40" w:after="40"/>
              <w:ind w:left="100" w:right="100"/>
              <w:jc w:val="right"/>
              <w:rPr>
                <w:rFonts w:asciiTheme="majorHAnsi" w:hAnsiTheme="majorHAnsi" w:cstheme="majorHAnsi"/>
                <w:color w:val="111111"/>
                <w:sz w:val="16"/>
                <w:szCs w:val="16"/>
              </w:rPr>
            </w:pPr>
            <w:r w:rsidRPr="00D7026D">
              <w:rPr>
                <w:rFonts w:asciiTheme="majorHAnsi" w:hAnsiTheme="majorHAnsi" w:cstheme="majorHAnsi"/>
                <w:color w:val="111111"/>
                <w:sz w:val="16"/>
                <w:szCs w:val="16"/>
              </w:rPr>
              <w:t>Median (IQR)</w:t>
            </w:r>
          </w:p>
        </w:tc>
        <w:tc>
          <w:tcPr>
            <w:tcW w:w="2123" w:type="dxa"/>
            <w:shd w:val="clear" w:color="auto" w:fill="FFFFFF" w:themeFill="background1"/>
            <w:tcMar>
              <w:top w:w="0" w:type="dxa"/>
              <w:left w:w="0" w:type="dxa"/>
              <w:bottom w:w="0" w:type="dxa"/>
              <w:right w:w="0" w:type="dxa"/>
            </w:tcMar>
            <w:vAlign w:val="center"/>
          </w:tcPr>
          <w:p w14:paraId="34DC90B9" w14:textId="77777777" w:rsidR="00B77386" w:rsidRPr="00D7026D" w:rsidRDefault="00B77386" w:rsidP="00817CE0">
            <w:pPr>
              <w:spacing w:before="40" w:after="40"/>
              <w:ind w:left="100" w:right="100"/>
              <w:jc w:val="right"/>
              <w:rPr>
                <w:rFonts w:asciiTheme="majorHAnsi" w:hAnsiTheme="majorHAnsi" w:cstheme="majorHAnsi"/>
                <w:color w:val="111111"/>
                <w:sz w:val="16"/>
                <w:szCs w:val="16"/>
              </w:rPr>
            </w:pPr>
            <w:r w:rsidRPr="00D7026D">
              <w:rPr>
                <w:rFonts w:asciiTheme="majorHAnsi" w:eastAsia="Arial" w:hAnsiTheme="majorHAnsi" w:cstheme="majorHAnsi"/>
                <w:color w:val="111111"/>
                <w:sz w:val="16"/>
                <w:szCs w:val="16"/>
              </w:rPr>
              <w:t>185.0 (136.8 to 241.2)</w:t>
            </w:r>
          </w:p>
        </w:tc>
        <w:tc>
          <w:tcPr>
            <w:tcW w:w="2123" w:type="dxa"/>
            <w:shd w:val="clear" w:color="auto" w:fill="FFFFFF" w:themeFill="background1"/>
            <w:tcMar>
              <w:top w:w="0" w:type="dxa"/>
              <w:left w:w="0" w:type="dxa"/>
              <w:bottom w:w="0" w:type="dxa"/>
              <w:right w:w="0" w:type="dxa"/>
            </w:tcMar>
            <w:vAlign w:val="center"/>
          </w:tcPr>
          <w:p w14:paraId="0CA8E855" w14:textId="77777777" w:rsidR="00B77386" w:rsidRPr="00D7026D" w:rsidRDefault="00B77386" w:rsidP="00817CE0">
            <w:pPr>
              <w:spacing w:before="40" w:after="40"/>
              <w:ind w:left="100" w:right="100"/>
              <w:jc w:val="right"/>
              <w:rPr>
                <w:rFonts w:asciiTheme="majorHAnsi" w:hAnsiTheme="majorHAnsi" w:cstheme="majorHAnsi"/>
                <w:color w:val="111111"/>
                <w:sz w:val="16"/>
                <w:szCs w:val="16"/>
              </w:rPr>
            </w:pPr>
            <w:r>
              <w:rPr>
                <w:rFonts w:asciiTheme="majorHAnsi" w:hAnsiTheme="majorHAnsi" w:cstheme="majorHAnsi"/>
                <w:color w:val="111111"/>
                <w:sz w:val="16"/>
                <w:szCs w:val="16"/>
              </w:rPr>
              <w:t>-</w:t>
            </w:r>
          </w:p>
        </w:tc>
        <w:tc>
          <w:tcPr>
            <w:tcW w:w="1048" w:type="dxa"/>
            <w:shd w:val="clear" w:color="auto" w:fill="FFFFFF" w:themeFill="background1"/>
            <w:tcMar>
              <w:top w:w="0" w:type="dxa"/>
              <w:left w:w="0" w:type="dxa"/>
              <w:bottom w:w="0" w:type="dxa"/>
              <w:right w:w="0" w:type="dxa"/>
            </w:tcMar>
            <w:vAlign w:val="center"/>
          </w:tcPr>
          <w:p w14:paraId="46E5BBEA" w14:textId="77777777" w:rsidR="00B77386" w:rsidRPr="00D7026D" w:rsidRDefault="00B77386" w:rsidP="00817CE0">
            <w:pPr>
              <w:spacing w:before="40" w:after="40"/>
              <w:ind w:left="100" w:right="100"/>
              <w:jc w:val="right"/>
              <w:rPr>
                <w:rFonts w:asciiTheme="majorHAnsi" w:hAnsiTheme="majorHAnsi" w:cstheme="majorHAnsi"/>
                <w:sz w:val="16"/>
                <w:szCs w:val="16"/>
              </w:rPr>
            </w:pPr>
            <w:r>
              <w:rPr>
                <w:rFonts w:asciiTheme="majorHAnsi" w:hAnsiTheme="majorHAnsi" w:cstheme="majorHAnsi"/>
                <w:sz w:val="16"/>
                <w:szCs w:val="16"/>
              </w:rPr>
              <w:t>-</w:t>
            </w:r>
          </w:p>
        </w:tc>
      </w:tr>
      <w:tr w:rsidR="00B77386" w:rsidRPr="00D7026D" w14:paraId="5861D644" w14:textId="77777777" w:rsidTr="4E4A2F72">
        <w:trPr>
          <w:cantSplit/>
          <w:trHeight w:val="507"/>
          <w:jc w:val="center"/>
        </w:trPr>
        <w:tc>
          <w:tcPr>
            <w:tcW w:w="2077" w:type="dxa"/>
            <w:shd w:val="clear" w:color="auto" w:fill="FFFFFF" w:themeFill="background1"/>
            <w:tcMar>
              <w:top w:w="0" w:type="dxa"/>
              <w:left w:w="0" w:type="dxa"/>
              <w:bottom w:w="0" w:type="dxa"/>
              <w:right w:w="0" w:type="dxa"/>
            </w:tcMar>
            <w:vAlign w:val="center"/>
          </w:tcPr>
          <w:p w14:paraId="62432117" w14:textId="77777777" w:rsidR="00B77386" w:rsidRDefault="00B77386" w:rsidP="00817CE0">
            <w:pPr>
              <w:spacing w:before="40" w:after="40"/>
              <w:ind w:left="100" w:right="100"/>
              <w:jc w:val="right"/>
              <w:rPr>
                <w:rFonts w:asciiTheme="majorHAnsi" w:hAnsiTheme="majorHAnsi" w:cstheme="majorHAnsi"/>
                <w:sz w:val="16"/>
                <w:szCs w:val="16"/>
              </w:rPr>
            </w:pPr>
            <w:r>
              <w:rPr>
                <w:rFonts w:asciiTheme="majorHAnsi" w:hAnsiTheme="majorHAnsi" w:cstheme="majorHAnsi"/>
                <w:sz w:val="16"/>
                <w:szCs w:val="16"/>
              </w:rPr>
              <w:t>3-month survival</w:t>
            </w:r>
          </w:p>
        </w:tc>
        <w:tc>
          <w:tcPr>
            <w:tcW w:w="2886" w:type="dxa"/>
            <w:shd w:val="clear" w:color="auto" w:fill="FFFFFF" w:themeFill="background1"/>
            <w:tcMar>
              <w:top w:w="0" w:type="dxa"/>
              <w:left w:w="0" w:type="dxa"/>
              <w:bottom w:w="0" w:type="dxa"/>
              <w:right w:w="0" w:type="dxa"/>
            </w:tcMar>
            <w:vAlign w:val="center"/>
          </w:tcPr>
          <w:p w14:paraId="44595F13" w14:textId="77777777" w:rsidR="00B77386" w:rsidRPr="00D7026D" w:rsidRDefault="00B77386" w:rsidP="00817CE0">
            <w:pPr>
              <w:spacing w:before="40" w:after="40"/>
              <w:ind w:left="100" w:right="100"/>
              <w:jc w:val="right"/>
              <w:rPr>
                <w:rFonts w:asciiTheme="majorHAnsi" w:hAnsiTheme="majorHAnsi" w:cstheme="majorHAnsi"/>
                <w:color w:val="111111"/>
                <w:sz w:val="16"/>
                <w:szCs w:val="16"/>
              </w:rPr>
            </w:pPr>
            <w:r>
              <w:rPr>
                <w:rFonts w:asciiTheme="majorHAnsi" w:hAnsiTheme="majorHAnsi" w:cstheme="majorHAnsi"/>
                <w:color w:val="111111"/>
                <w:sz w:val="16"/>
                <w:szCs w:val="16"/>
              </w:rPr>
              <w:t xml:space="preserve">Yes </w:t>
            </w:r>
          </w:p>
        </w:tc>
        <w:tc>
          <w:tcPr>
            <w:tcW w:w="2123" w:type="dxa"/>
            <w:shd w:val="clear" w:color="auto" w:fill="FFFFFF" w:themeFill="background1"/>
            <w:tcMar>
              <w:top w:w="0" w:type="dxa"/>
              <w:left w:w="0" w:type="dxa"/>
              <w:bottom w:w="0" w:type="dxa"/>
              <w:right w:w="0" w:type="dxa"/>
            </w:tcMar>
            <w:vAlign w:val="center"/>
          </w:tcPr>
          <w:p w14:paraId="33A12F13" w14:textId="77777777" w:rsidR="00B77386" w:rsidRPr="00D7026D" w:rsidRDefault="00B77386" w:rsidP="00817CE0">
            <w:pPr>
              <w:spacing w:before="40" w:after="40"/>
              <w:ind w:left="100" w:right="100"/>
              <w:jc w:val="right"/>
              <w:rPr>
                <w:rFonts w:asciiTheme="majorHAnsi" w:eastAsia="Arial" w:hAnsiTheme="majorHAnsi" w:cstheme="majorHAnsi"/>
                <w:color w:val="111111"/>
                <w:sz w:val="16"/>
                <w:szCs w:val="16"/>
              </w:rPr>
            </w:pPr>
            <w:r>
              <w:rPr>
                <w:rFonts w:asciiTheme="majorHAnsi" w:eastAsia="Arial" w:hAnsiTheme="majorHAnsi" w:cstheme="majorHAnsi"/>
                <w:color w:val="111111"/>
                <w:sz w:val="16"/>
                <w:szCs w:val="16"/>
              </w:rPr>
              <w:t>-</w:t>
            </w:r>
          </w:p>
        </w:tc>
        <w:tc>
          <w:tcPr>
            <w:tcW w:w="2123" w:type="dxa"/>
            <w:shd w:val="clear" w:color="auto" w:fill="FFFFFF" w:themeFill="background1"/>
            <w:tcMar>
              <w:top w:w="0" w:type="dxa"/>
              <w:left w:w="0" w:type="dxa"/>
              <w:bottom w:w="0" w:type="dxa"/>
              <w:right w:w="0" w:type="dxa"/>
            </w:tcMar>
            <w:vAlign w:val="center"/>
          </w:tcPr>
          <w:p w14:paraId="4997B734" w14:textId="77777777" w:rsidR="00B77386" w:rsidRDefault="00B77386" w:rsidP="00817CE0">
            <w:pPr>
              <w:spacing w:before="40" w:after="40"/>
              <w:ind w:left="100" w:right="100"/>
              <w:jc w:val="right"/>
              <w:rPr>
                <w:rFonts w:asciiTheme="majorHAnsi" w:hAnsiTheme="majorHAnsi" w:cstheme="majorHAnsi"/>
                <w:color w:val="111111"/>
                <w:sz w:val="16"/>
                <w:szCs w:val="16"/>
              </w:rPr>
            </w:pPr>
            <w:r>
              <w:rPr>
                <w:rFonts w:asciiTheme="majorHAnsi" w:hAnsiTheme="majorHAnsi" w:cstheme="majorHAnsi"/>
                <w:color w:val="111111"/>
                <w:sz w:val="16"/>
                <w:szCs w:val="16"/>
              </w:rPr>
              <w:t>216 (94.7)</w:t>
            </w:r>
          </w:p>
        </w:tc>
        <w:tc>
          <w:tcPr>
            <w:tcW w:w="1048" w:type="dxa"/>
            <w:shd w:val="clear" w:color="auto" w:fill="FFFFFF" w:themeFill="background1"/>
            <w:tcMar>
              <w:top w:w="0" w:type="dxa"/>
              <w:left w:w="0" w:type="dxa"/>
              <w:bottom w:w="0" w:type="dxa"/>
              <w:right w:w="0" w:type="dxa"/>
            </w:tcMar>
            <w:vAlign w:val="center"/>
          </w:tcPr>
          <w:p w14:paraId="5C5C34C8" w14:textId="77777777" w:rsidR="00B77386" w:rsidRDefault="00B77386" w:rsidP="00817CE0">
            <w:pPr>
              <w:spacing w:before="40" w:after="40"/>
              <w:ind w:left="100" w:right="100"/>
              <w:jc w:val="right"/>
              <w:rPr>
                <w:rFonts w:asciiTheme="majorHAnsi" w:hAnsiTheme="majorHAnsi" w:cstheme="majorHAnsi"/>
                <w:sz w:val="16"/>
                <w:szCs w:val="16"/>
              </w:rPr>
            </w:pPr>
            <w:r>
              <w:rPr>
                <w:rFonts w:asciiTheme="majorHAnsi" w:hAnsiTheme="majorHAnsi" w:cstheme="majorHAnsi"/>
                <w:sz w:val="16"/>
                <w:szCs w:val="16"/>
              </w:rPr>
              <w:t>-</w:t>
            </w:r>
          </w:p>
        </w:tc>
      </w:tr>
      <w:tr w:rsidR="00B77386" w:rsidRPr="00D7026D" w14:paraId="0FFE4C24" w14:textId="77777777" w:rsidTr="4E4A2F72">
        <w:trPr>
          <w:cantSplit/>
          <w:trHeight w:val="507"/>
          <w:jc w:val="center"/>
        </w:trPr>
        <w:tc>
          <w:tcPr>
            <w:tcW w:w="2077" w:type="dxa"/>
            <w:shd w:val="clear" w:color="auto" w:fill="FFFFFF" w:themeFill="background1"/>
            <w:tcMar>
              <w:top w:w="0" w:type="dxa"/>
              <w:left w:w="0" w:type="dxa"/>
              <w:bottom w:w="0" w:type="dxa"/>
              <w:right w:w="0" w:type="dxa"/>
            </w:tcMar>
            <w:vAlign w:val="center"/>
          </w:tcPr>
          <w:p w14:paraId="3C65C0FA" w14:textId="77777777" w:rsidR="00B77386" w:rsidRDefault="00B77386" w:rsidP="00817CE0">
            <w:pPr>
              <w:spacing w:before="40" w:after="40"/>
              <w:ind w:left="100" w:right="100"/>
              <w:jc w:val="right"/>
              <w:rPr>
                <w:rFonts w:asciiTheme="majorHAnsi" w:hAnsiTheme="majorHAnsi" w:cstheme="majorHAnsi"/>
                <w:sz w:val="16"/>
                <w:szCs w:val="16"/>
              </w:rPr>
            </w:pPr>
          </w:p>
        </w:tc>
        <w:tc>
          <w:tcPr>
            <w:tcW w:w="2886" w:type="dxa"/>
            <w:shd w:val="clear" w:color="auto" w:fill="FFFFFF" w:themeFill="background1"/>
            <w:tcMar>
              <w:top w:w="0" w:type="dxa"/>
              <w:left w:w="0" w:type="dxa"/>
              <w:bottom w:w="0" w:type="dxa"/>
              <w:right w:w="0" w:type="dxa"/>
            </w:tcMar>
            <w:vAlign w:val="center"/>
          </w:tcPr>
          <w:p w14:paraId="26A8FB3B" w14:textId="77777777" w:rsidR="00B77386" w:rsidRDefault="00B77386" w:rsidP="00817CE0">
            <w:pPr>
              <w:spacing w:before="40" w:after="40"/>
              <w:ind w:left="100" w:right="100"/>
              <w:jc w:val="right"/>
              <w:rPr>
                <w:rFonts w:asciiTheme="majorHAnsi" w:hAnsiTheme="majorHAnsi" w:cstheme="majorHAnsi"/>
                <w:color w:val="111111"/>
                <w:sz w:val="16"/>
                <w:szCs w:val="16"/>
              </w:rPr>
            </w:pPr>
            <w:r>
              <w:rPr>
                <w:rFonts w:asciiTheme="majorHAnsi" w:hAnsiTheme="majorHAnsi" w:cstheme="majorHAnsi"/>
                <w:color w:val="111111"/>
                <w:sz w:val="16"/>
                <w:szCs w:val="16"/>
              </w:rPr>
              <w:t>No</w:t>
            </w:r>
          </w:p>
        </w:tc>
        <w:tc>
          <w:tcPr>
            <w:tcW w:w="2123" w:type="dxa"/>
            <w:shd w:val="clear" w:color="auto" w:fill="FFFFFF" w:themeFill="background1"/>
            <w:tcMar>
              <w:top w:w="0" w:type="dxa"/>
              <w:left w:w="0" w:type="dxa"/>
              <w:bottom w:w="0" w:type="dxa"/>
              <w:right w:w="0" w:type="dxa"/>
            </w:tcMar>
            <w:vAlign w:val="center"/>
          </w:tcPr>
          <w:p w14:paraId="3BBADA0E" w14:textId="77777777" w:rsidR="00B77386" w:rsidRDefault="00B77386" w:rsidP="00817CE0">
            <w:pPr>
              <w:spacing w:before="40" w:after="40"/>
              <w:ind w:left="100" w:right="100"/>
              <w:jc w:val="right"/>
              <w:rPr>
                <w:rFonts w:asciiTheme="majorHAnsi" w:eastAsia="Arial" w:hAnsiTheme="majorHAnsi" w:cstheme="majorHAnsi"/>
                <w:color w:val="111111"/>
                <w:sz w:val="16"/>
                <w:szCs w:val="16"/>
              </w:rPr>
            </w:pPr>
          </w:p>
        </w:tc>
        <w:tc>
          <w:tcPr>
            <w:tcW w:w="2123" w:type="dxa"/>
            <w:shd w:val="clear" w:color="auto" w:fill="FFFFFF" w:themeFill="background1"/>
            <w:tcMar>
              <w:top w:w="0" w:type="dxa"/>
              <w:left w:w="0" w:type="dxa"/>
              <w:bottom w:w="0" w:type="dxa"/>
              <w:right w:w="0" w:type="dxa"/>
            </w:tcMar>
            <w:vAlign w:val="center"/>
          </w:tcPr>
          <w:p w14:paraId="0A4C19D7" w14:textId="77777777" w:rsidR="00B77386" w:rsidRDefault="00B77386" w:rsidP="00817CE0">
            <w:pPr>
              <w:spacing w:before="40" w:after="40"/>
              <w:ind w:left="100" w:right="100"/>
              <w:jc w:val="right"/>
              <w:rPr>
                <w:rFonts w:asciiTheme="majorHAnsi" w:hAnsiTheme="majorHAnsi" w:cstheme="majorHAnsi"/>
                <w:color w:val="111111"/>
                <w:sz w:val="16"/>
                <w:szCs w:val="16"/>
              </w:rPr>
            </w:pPr>
            <w:r>
              <w:rPr>
                <w:rFonts w:asciiTheme="majorHAnsi" w:hAnsiTheme="majorHAnsi" w:cstheme="majorHAnsi"/>
                <w:color w:val="111111"/>
                <w:sz w:val="16"/>
                <w:szCs w:val="16"/>
              </w:rPr>
              <w:t>12 (5.3)</w:t>
            </w:r>
          </w:p>
        </w:tc>
        <w:tc>
          <w:tcPr>
            <w:tcW w:w="1048" w:type="dxa"/>
            <w:shd w:val="clear" w:color="auto" w:fill="FFFFFF" w:themeFill="background1"/>
            <w:tcMar>
              <w:top w:w="0" w:type="dxa"/>
              <w:left w:w="0" w:type="dxa"/>
              <w:bottom w:w="0" w:type="dxa"/>
              <w:right w:w="0" w:type="dxa"/>
            </w:tcMar>
            <w:vAlign w:val="center"/>
          </w:tcPr>
          <w:p w14:paraId="2487FCE9" w14:textId="77777777" w:rsidR="00B77386" w:rsidRDefault="00B77386" w:rsidP="00817CE0">
            <w:pPr>
              <w:spacing w:before="40" w:after="40"/>
              <w:ind w:left="100" w:right="100"/>
              <w:jc w:val="right"/>
              <w:rPr>
                <w:rFonts w:asciiTheme="majorHAnsi" w:hAnsiTheme="majorHAnsi" w:cstheme="majorHAnsi"/>
                <w:sz w:val="16"/>
                <w:szCs w:val="16"/>
              </w:rPr>
            </w:pPr>
          </w:p>
        </w:tc>
      </w:tr>
      <w:tr w:rsidR="00B77386" w:rsidRPr="00D7026D" w14:paraId="1AC61B66" w14:textId="77777777" w:rsidTr="4E4A2F72">
        <w:trPr>
          <w:cantSplit/>
          <w:trHeight w:val="507"/>
          <w:jc w:val="center"/>
        </w:trPr>
        <w:tc>
          <w:tcPr>
            <w:tcW w:w="2077" w:type="dxa"/>
            <w:shd w:val="clear" w:color="auto" w:fill="FFFFFF" w:themeFill="background1"/>
            <w:tcMar>
              <w:top w:w="0" w:type="dxa"/>
              <w:left w:w="0" w:type="dxa"/>
              <w:bottom w:w="0" w:type="dxa"/>
              <w:right w:w="0" w:type="dxa"/>
            </w:tcMar>
            <w:vAlign w:val="center"/>
          </w:tcPr>
          <w:p w14:paraId="29BBBE39" w14:textId="77777777" w:rsidR="00B77386" w:rsidRDefault="00B77386" w:rsidP="00817CE0">
            <w:pPr>
              <w:spacing w:before="40" w:after="40"/>
              <w:ind w:left="100" w:right="100"/>
              <w:jc w:val="right"/>
              <w:rPr>
                <w:rFonts w:asciiTheme="majorHAnsi" w:hAnsiTheme="majorHAnsi" w:cstheme="majorHAnsi"/>
                <w:sz w:val="16"/>
                <w:szCs w:val="16"/>
              </w:rPr>
            </w:pPr>
            <w:r>
              <w:rPr>
                <w:rFonts w:asciiTheme="majorHAnsi" w:hAnsiTheme="majorHAnsi" w:cstheme="majorHAnsi"/>
                <w:sz w:val="16"/>
                <w:szCs w:val="16"/>
              </w:rPr>
              <w:t>6-month survival</w:t>
            </w:r>
          </w:p>
        </w:tc>
        <w:tc>
          <w:tcPr>
            <w:tcW w:w="2886" w:type="dxa"/>
            <w:shd w:val="clear" w:color="auto" w:fill="FFFFFF" w:themeFill="background1"/>
            <w:tcMar>
              <w:top w:w="0" w:type="dxa"/>
              <w:left w:w="0" w:type="dxa"/>
              <w:bottom w:w="0" w:type="dxa"/>
              <w:right w:w="0" w:type="dxa"/>
            </w:tcMar>
            <w:vAlign w:val="center"/>
          </w:tcPr>
          <w:p w14:paraId="227D4C94" w14:textId="77777777" w:rsidR="00B77386" w:rsidRPr="00D7026D" w:rsidRDefault="00B77386" w:rsidP="00817CE0">
            <w:pPr>
              <w:spacing w:before="40" w:after="40"/>
              <w:ind w:left="100" w:right="100"/>
              <w:jc w:val="right"/>
              <w:rPr>
                <w:rFonts w:asciiTheme="majorHAnsi" w:hAnsiTheme="majorHAnsi" w:cstheme="majorHAnsi"/>
                <w:color w:val="111111"/>
                <w:sz w:val="16"/>
                <w:szCs w:val="16"/>
              </w:rPr>
            </w:pPr>
            <w:r>
              <w:rPr>
                <w:rFonts w:asciiTheme="majorHAnsi" w:hAnsiTheme="majorHAnsi" w:cstheme="majorHAnsi"/>
                <w:color w:val="111111"/>
                <w:sz w:val="16"/>
                <w:szCs w:val="16"/>
              </w:rPr>
              <w:t xml:space="preserve">Yes </w:t>
            </w:r>
          </w:p>
        </w:tc>
        <w:tc>
          <w:tcPr>
            <w:tcW w:w="2123" w:type="dxa"/>
            <w:shd w:val="clear" w:color="auto" w:fill="FFFFFF" w:themeFill="background1"/>
            <w:tcMar>
              <w:top w:w="0" w:type="dxa"/>
              <w:left w:w="0" w:type="dxa"/>
              <w:bottom w:w="0" w:type="dxa"/>
              <w:right w:w="0" w:type="dxa"/>
            </w:tcMar>
            <w:vAlign w:val="center"/>
          </w:tcPr>
          <w:p w14:paraId="3BEF8243" w14:textId="77777777" w:rsidR="00B77386" w:rsidRPr="00D7026D" w:rsidRDefault="00B77386" w:rsidP="00817CE0">
            <w:pPr>
              <w:spacing w:before="40" w:after="40"/>
              <w:ind w:left="100" w:right="100"/>
              <w:jc w:val="right"/>
              <w:rPr>
                <w:rFonts w:asciiTheme="majorHAnsi" w:eastAsia="Arial" w:hAnsiTheme="majorHAnsi" w:cstheme="majorHAnsi"/>
                <w:color w:val="111111"/>
                <w:sz w:val="16"/>
                <w:szCs w:val="16"/>
              </w:rPr>
            </w:pPr>
            <w:r>
              <w:rPr>
                <w:rFonts w:asciiTheme="majorHAnsi" w:eastAsia="Arial" w:hAnsiTheme="majorHAnsi" w:cstheme="majorHAnsi"/>
                <w:color w:val="111111"/>
                <w:sz w:val="16"/>
                <w:szCs w:val="16"/>
              </w:rPr>
              <w:t>-</w:t>
            </w:r>
          </w:p>
        </w:tc>
        <w:tc>
          <w:tcPr>
            <w:tcW w:w="2123" w:type="dxa"/>
            <w:shd w:val="clear" w:color="auto" w:fill="FFFFFF" w:themeFill="background1"/>
            <w:tcMar>
              <w:top w:w="0" w:type="dxa"/>
              <w:left w:w="0" w:type="dxa"/>
              <w:bottom w:w="0" w:type="dxa"/>
              <w:right w:w="0" w:type="dxa"/>
            </w:tcMar>
            <w:vAlign w:val="center"/>
          </w:tcPr>
          <w:p w14:paraId="6E651C87" w14:textId="77777777" w:rsidR="00B77386" w:rsidRDefault="00B77386" w:rsidP="00817CE0">
            <w:pPr>
              <w:spacing w:before="40" w:after="40"/>
              <w:ind w:left="100" w:right="100"/>
              <w:jc w:val="right"/>
              <w:rPr>
                <w:rFonts w:asciiTheme="majorHAnsi" w:hAnsiTheme="majorHAnsi" w:cstheme="majorHAnsi"/>
                <w:color w:val="111111"/>
                <w:sz w:val="16"/>
                <w:szCs w:val="16"/>
              </w:rPr>
            </w:pPr>
            <w:r>
              <w:rPr>
                <w:rFonts w:asciiTheme="majorHAnsi" w:hAnsiTheme="majorHAnsi" w:cstheme="majorHAnsi"/>
                <w:color w:val="111111"/>
                <w:sz w:val="16"/>
                <w:szCs w:val="16"/>
              </w:rPr>
              <w:t>169 (89.4)</w:t>
            </w:r>
          </w:p>
        </w:tc>
        <w:tc>
          <w:tcPr>
            <w:tcW w:w="1048" w:type="dxa"/>
            <w:shd w:val="clear" w:color="auto" w:fill="FFFFFF" w:themeFill="background1"/>
            <w:tcMar>
              <w:top w:w="0" w:type="dxa"/>
              <w:left w:w="0" w:type="dxa"/>
              <w:bottom w:w="0" w:type="dxa"/>
              <w:right w:w="0" w:type="dxa"/>
            </w:tcMar>
            <w:vAlign w:val="center"/>
          </w:tcPr>
          <w:p w14:paraId="38045F3B" w14:textId="77777777" w:rsidR="00B77386" w:rsidRDefault="00B77386" w:rsidP="00817CE0">
            <w:pPr>
              <w:spacing w:before="40" w:after="40"/>
              <w:ind w:left="100" w:right="100"/>
              <w:jc w:val="right"/>
              <w:rPr>
                <w:rFonts w:asciiTheme="majorHAnsi" w:hAnsiTheme="majorHAnsi" w:cstheme="majorHAnsi"/>
                <w:sz w:val="16"/>
                <w:szCs w:val="16"/>
              </w:rPr>
            </w:pPr>
          </w:p>
        </w:tc>
      </w:tr>
      <w:tr w:rsidR="00B77386" w:rsidRPr="00D7026D" w14:paraId="251BCFCE" w14:textId="77777777" w:rsidTr="4E4A2F72">
        <w:trPr>
          <w:cantSplit/>
          <w:trHeight w:val="507"/>
          <w:jc w:val="center"/>
        </w:trPr>
        <w:tc>
          <w:tcPr>
            <w:tcW w:w="2077" w:type="dxa"/>
            <w:shd w:val="clear" w:color="auto" w:fill="FFFFFF" w:themeFill="background1"/>
            <w:tcMar>
              <w:top w:w="0" w:type="dxa"/>
              <w:left w:w="0" w:type="dxa"/>
              <w:bottom w:w="0" w:type="dxa"/>
              <w:right w:w="0" w:type="dxa"/>
            </w:tcMar>
            <w:vAlign w:val="center"/>
          </w:tcPr>
          <w:p w14:paraId="3D15DE0A" w14:textId="77777777" w:rsidR="00B77386" w:rsidRDefault="00B77386" w:rsidP="00817CE0">
            <w:pPr>
              <w:spacing w:before="40" w:after="40"/>
              <w:ind w:left="100" w:right="100"/>
              <w:jc w:val="right"/>
              <w:rPr>
                <w:rFonts w:asciiTheme="majorHAnsi" w:hAnsiTheme="majorHAnsi" w:cstheme="majorHAnsi"/>
                <w:sz w:val="16"/>
                <w:szCs w:val="16"/>
              </w:rPr>
            </w:pPr>
          </w:p>
        </w:tc>
        <w:tc>
          <w:tcPr>
            <w:tcW w:w="2886" w:type="dxa"/>
            <w:shd w:val="clear" w:color="auto" w:fill="FFFFFF" w:themeFill="background1"/>
            <w:tcMar>
              <w:top w:w="0" w:type="dxa"/>
              <w:left w:w="0" w:type="dxa"/>
              <w:bottom w:w="0" w:type="dxa"/>
              <w:right w:w="0" w:type="dxa"/>
            </w:tcMar>
            <w:vAlign w:val="center"/>
          </w:tcPr>
          <w:p w14:paraId="0AF3F223" w14:textId="77777777" w:rsidR="00B77386" w:rsidRDefault="00B77386" w:rsidP="00817CE0">
            <w:pPr>
              <w:spacing w:before="40" w:after="40"/>
              <w:ind w:left="100" w:right="100"/>
              <w:jc w:val="right"/>
              <w:rPr>
                <w:rFonts w:asciiTheme="majorHAnsi" w:hAnsiTheme="majorHAnsi" w:cstheme="majorHAnsi"/>
                <w:color w:val="111111"/>
                <w:sz w:val="16"/>
                <w:szCs w:val="16"/>
              </w:rPr>
            </w:pPr>
            <w:r>
              <w:rPr>
                <w:rFonts w:asciiTheme="majorHAnsi" w:hAnsiTheme="majorHAnsi" w:cstheme="majorHAnsi"/>
                <w:color w:val="111111"/>
                <w:sz w:val="16"/>
                <w:szCs w:val="16"/>
              </w:rPr>
              <w:t>No</w:t>
            </w:r>
          </w:p>
        </w:tc>
        <w:tc>
          <w:tcPr>
            <w:tcW w:w="2123" w:type="dxa"/>
            <w:shd w:val="clear" w:color="auto" w:fill="FFFFFF" w:themeFill="background1"/>
            <w:tcMar>
              <w:top w:w="0" w:type="dxa"/>
              <w:left w:w="0" w:type="dxa"/>
              <w:bottom w:w="0" w:type="dxa"/>
              <w:right w:w="0" w:type="dxa"/>
            </w:tcMar>
            <w:vAlign w:val="center"/>
          </w:tcPr>
          <w:p w14:paraId="4B9CEDA6" w14:textId="77777777" w:rsidR="00B77386" w:rsidRDefault="00B77386" w:rsidP="00817CE0">
            <w:pPr>
              <w:spacing w:before="40" w:after="40"/>
              <w:ind w:left="100" w:right="100"/>
              <w:jc w:val="right"/>
              <w:rPr>
                <w:rFonts w:asciiTheme="majorHAnsi" w:eastAsia="Arial" w:hAnsiTheme="majorHAnsi" w:cstheme="majorHAnsi"/>
                <w:color w:val="111111"/>
                <w:sz w:val="16"/>
                <w:szCs w:val="16"/>
              </w:rPr>
            </w:pPr>
          </w:p>
        </w:tc>
        <w:tc>
          <w:tcPr>
            <w:tcW w:w="2123" w:type="dxa"/>
            <w:shd w:val="clear" w:color="auto" w:fill="FFFFFF" w:themeFill="background1"/>
            <w:tcMar>
              <w:top w:w="0" w:type="dxa"/>
              <w:left w:w="0" w:type="dxa"/>
              <w:bottom w:w="0" w:type="dxa"/>
              <w:right w:w="0" w:type="dxa"/>
            </w:tcMar>
            <w:vAlign w:val="center"/>
          </w:tcPr>
          <w:p w14:paraId="5E55D757" w14:textId="77777777" w:rsidR="00B77386" w:rsidRDefault="00B77386" w:rsidP="00817CE0">
            <w:pPr>
              <w:spacing w:before="40" w:after="40"/>
              <w:ind w:left="100" w:right="100"/>
              <w:jc w:val="right"/>
              <w:rPr>
                <w:rFonts w:asciiTheme="majorHAnsi" w:hAnsiTheme="majorHAnsi" w:cstheme="majorHAnsi"/>
                <w:color w:val="111111"/>
                <w:sz w:val="16"/>
                <w:szCs w:val="16"/>
              </w:rPr>
            </w:pPr>
            <w:r>
              <w:rPr>
                <w:rFonts w:asciiTheme="majorHAnsi" w:hAnsiTheme="majorHAnsi" w:cstheme="majorHAnsi"/>
                <w:color w:val="111111"/>
                <w:sz w:val="16"/>
                <w:szCs w:val="16"/>
              </w:rPr>
              <w:t>20 (10.6)</w:t>
            </w:r>
          </w:p>
        </w:tc>
        <w:tc>
          <w:tcPr>
            <w:tcW w:w="1048" w:type="dxa"/>
            <w:shd w:val="clear" w:color="auto" w:fill="FFFFFF" w:themeFill="background1"/>
            <w:tcMar>
              <w:top w:w="0" w:type="dxa"/>
              <w:left w:w="0" w:type="dxa"/>
              <w:bottom w:w="0" w:type="dxa"/>
              <w:right w:w="0" w:type="dxa"/>
            </w:tcMar>
            <w:vAlign w:val="center"/>
          </w:tcPr>
          <w:p w14:paraId="1E32FCE0" w14:textId="77777777" w:rsidR="00B77386" w:rsidRDefault="00B77386" w:rsidP="00817CE0">
            <w:pPr>
              <w:spacing w:before="40" w:after="40"/>
              <w:ind w:left="100" w:right="100"/>
              <w:jc w:val="right"/>
              <w:rPr>
                <w:rFonts w:asciiTheme="majorHAnsi" w:hAnsiTheme="majorHAnsi" w:cstheme="majorHAnsi"/>
                <w:sz w:val="16"/>
                <w:szCs w:val="16"/>
              </w:rPr>
            </w:pPr>
          </w:p>
        </w:tc>
      </w:tr>
      <w:tr w:rsidR="00B77386" w:rsidRPr="00D7026D" w14:paraId="635DEB3E" w14:textId="77777777" w:rsidTr="4E4A2F72">
        <w:trPr>
          <w:cantSplit/>
          <w:trHeight w:val="507"/>
          <w:jc w:val="center"/>
        </w:trPr>
        <w:tc>
          <w:tcPr>
            <w:tcW w:w="2077" w:type="dxa"/>
            <w:shd w:val="clear" w:color="auto" w:fill="FFFFFF" w:themeFill="background1"/>
            <w:tcMar>
              <w:top w:w="0" w:type="dxa"/>
              <w:left w:w="0" w:type="dxa"/>
              <w:bottom w:w="0" w:type="dxa"/>
              <w:right w:w="0" w:type="dxa"/>
            </w:tcMar>
            <w:vAlign w:val="center"/>
          </w:tcPr>
          <w:p w14:paraId="36FFCEAE" w14:textId="77777777" w:rsidR="00B77386" w:rsidRDefault="00B77386" w:rsidP="00817CE0">
            <w:pPr>
              <w:spacing w:before="40" w:after="40"/>
              <w:ind w:left="100" w:right="100"/>
              <w:jc w:val="right"/>
              <w:rPr>
                <w:rFonts w:asciiTheme="majorHAnsi" w:hAnsiTheme="majorHAnsi" w:cstheme="majorHAnsi"/>
                <w:sz w:val="16"/>
                <w:szCs w:val="16"/>
              </w:rPr>
            </w:pPr>
            <w:r>
              <w:rPr>
                <w:rFonts w:asciiTheme="majorHAnsi" w:hAnsiTheme="majorHAnsi" w:cstheme="majorHAnsi"/>
                <w:sz w:val="16"/>
                <w:szCs w:val="16"/>
              </w:rPr>
              <w:t>12-month survival</w:t>
            </w:r>
          </w:p>
        </w:tc>
        <w:tc>
          <w:tcPr>
            <w:tcW w:w="2886" w:type="dxa"/>
            <w:shd w:val="clear" w:color="auto" w:fill="FFFFFF" w:themeFill="background1"/>
            <w:tcMar>
              <w:top w:w="0" w:type="dxa"/>
              <w:left w:w="0" w:type="dxa"/>
              <w:bottom w:w="0" w:type="dxa"/>
              <w:right w:w="0" w:type="dxa"/>
            </w:tcMar>
            <w:vAlign w:val="center"/>
          </w:tcPr>
          <w:p w14:paraId="0EA8AF92" w14:textId="77777777" w:rsidR="00B77386" w:rsidRPr="00D7026D" w:rsidRDefault="00B77386" w:rsidP="00817CE0">
            <w:pPr>
              <w:spacing w:before="40" w:after="40"/>
              <w:ind w:left="100" w:right="100"/>
              <w:jc w:val="right"/>
              <w:rPr>
                <w:rFonts w:asciiTheme="majorHAnsi" w:hAnsiTheme="majorHAnsi" w:cstheme="majorHAnsi"/>
                <w:color w:val="111111"/>
                <w:sz w:val="16"/>
                <w:szCs w:val="16"/>
              </w:rPr>
            </w:pPr>
            <w:r>
              <w:rPr>
                <w:rFonts w:asciiTheme="majorHAnsi" w:hAnsiTheme="majorHAnsi" w:cstheme="majorHAnsi"/>
                <w:color w:val="111111"/>
                <w:sz w:val="16"/>
                <w:szCs w:val="16"/>
              </w:rPr>
              <w:t>Yes</w:t>
            </w:r>
          </w:p>
        </w:tc>
        <w:tc>
          <w:tcPr>
            <w:tcW w:w="2123" w:type="dxa"/>
            <w:shd w:val="clear" w:color="auto" w:fill="FFFFFF" w:themeFill="background1"/>
            <w:tcMar>
              <w:top w:w="0" w:type="dxa"/>
              <w:left w:w="0" w:type="dxa"/>
              <w:bottom w:w="0" w:type="dxa"/>
              <w:right w:w="0" w:type="dxa"/>
            </w:tcMar>
            <w:vAlign w:val="center"/>
          </w:tcPr>
          <w:p w14:paraId="78643D04" w14:textId="77777777" w:rsidR="00B77386" w:rsidRPr="00D7026D" w:rsidRDefault="00B77386" w:rsidP="00817CE0">
            <w:pPr>
              <w:spacing w:before="40" w:after="40"/>
              <w:ind w:left="100" w:right="100"/>
              <w:jc w:val="right"/>
              <w:rPr>
                <w:rFonts w:asciiTheme="majorHAnsi" w:eastAsia="Arial" w:hAnsiTheme="majorHAnsi" w:cstheme="majorHAnsi"/>
                <w:color w:val="111111"/>
                <w:sz w:val="16"/>
                <w:szCs w:val="16"/>
              </w:rPr>
            </w:pPr>
            <w:r>
              <w:rPr>
                <w:rFonts w:asciiTheme="majorHAnsi" w:eastAsia="Arial" w:hAnsiTheme="majorHAnsi" w:cstheme="majorHAnsi"/>
                <w:color w:val="111111"/>
                <w:sz w:val="16"/>
                <w:szCs w:val="16"/>
              </w:rPr>
              <w:t>-</w:t>
            </w:r>
          </w:p>
        </w:tc>
        <w:tc>
          <w:tcPr>
            <w:tcW w:w="2123" w:type="dxa"/>
            <w:shd w:val="clear" w:color="auto" w:fill="FFFFFF" w:themeFill="background1"/>
            <w:tcMar>
              <w:top w:w="0" w:type="dxa"/>
              <w:left w:w="0" w:type="dxa"/>
              <w:bottom w:w="0" w:type="dxa"/>
              <w:right w:w="0" w:type="dxa"/>
            </w:tcMar>
            <w:vAlign w:val="center"/>
          </w:tcPr>
          <w:p w14:paraId="3885BF82" w14:textId="77777777" w:rsidR="00B77386" w:rsidRDefault="00B77386" w:rsidP="00817CE0">
            <w:pPr>
              <w:spacing w:before="40" w:after="40"/>
              <w:ind w:left="100" w:right="100"/>
              <w:jc w:val="right"/>
              <w:rPr>
                <w:rFonts w:asciiTheme="majorHAnsi" w:hAnsiTheme="majorHAnsi" w:cstheme="majorHAnsi"/>
                <w:color w:val="111111"/>
                <w:sz w:val="16"/>
                <w:szCs w:val="16"/>
              </w:rPr>
            </w:pPr>
            <w:r>
              <w:rPr>
                <w:rFonts w:asciiTheme="majorHAnsi" w:hAnsiTheme="majorHAnsi" w:cstheme="majorHAnsi"/>
                <w:color w:val="111111"/>
                <w:sz w:val="16"/>
                <w:szCs w:val="16"/>
              </w:rPr>
              <w:t>163 (88.1)</w:t>
            </w:r>
          </w:p>
        </w:tc>
        <w:tc>
          <w:tcPr>
            <w:tcW w:w="1048" w:type="dxa"/>
            <w:shd w:val="clear" w:color="auto" w:fill="FFFFFF" w:themeFill="background1"/>
            <w:tcMar>
              <w:top w:w="0" w:type="dxa"/>
              <w:left w:w="0" w:type="dxa"/>
              <w:bottom w:w="0" w:type="dxa"/>
              <w:right w:w="0" w:type="dxa"/>
            </w:tcMar>
            <w:vAlign w:val="center"/>
          </w:tcPr>
          <w:p w14:paraId="7E10BE35" w14:textId="77777777" w:rsidR="00B77386" w:rsidRDefault="00B77386" w:rsidP="00817CE0">
            <w:pPr>
              <w:spacing w:before="40" w:after="40"/>
              <w:ind w:left="100" w:right="100"/>
              <w:jc w:val="right"/>
              <w:rPr>
                <w:rFonts w:asciiTheme="majorHAnsi" w:hAnsiTheme="majorHAnsi" w:cstheme="majorHAnsi"/>
                <w:sz w:val="16"/>
                <w:szCs w:val="16"/>
              </w:rPr>
            </w:pPr>
          </w:p>
        </w:tc>
      </w:tr>
      <w:tr w:rsidR="00B77386" w:rsidRPr="00D7026D" w14:paraId="14E85363" w14:textId="77777777" w:rsidTr="4E4A2F72">
        <w:trPr>
          <w:cantSplit/>
          <w:trHeight w:val="507"/>
          <w:jc w:val="center"/>
        </w:trPr>
        <w:tc>
          <w:tcPr>
            <w:tcW w:w="2077" w:type="dxa"/>
            <w:tcBorders>
              <w:bottom w:val="single" w:sz="16" w:space="0" w:color="000000" w:themeColor="text1"/>
            </w:tcBorders>
            <w:shd w:val="clear" w:color="auto" w:fill="FFFFFF" w:themeFill="background1"/>
            <w:tcMar>
              <w:top w:w="0" w:type="dxa"/>
              <w:left w:w="0" w:type="dxa"/>
              <w:bottom w:w="0" w:type="dxa"/>
              <w:right w:w="0" w:type="dxa"/>
            </w:tcMar>
            <w:vAlign w:val="center"/>
          </w:tcPr>
          <w:p w14:paraId="25168A42" w14:textId="77777777" w:rsidR="00B77386" w:rsidRDefault="00B77386" w:rsidP="00817CE0">
            <w:pPr>
              <w:spacing w:before="40" w:after="40"/>
              <w:ind w:left="100" w:right="100"/>
              <w:jc w:val="right"/>
              <w:rPr>
                <w:rFonts w:asciiTheme="majorHAnsi" w:hAnsiTheme="majorHAnsi" w:cstheme="majorHAnsi"/>
                <w:sz w:val="16"/>
                <w:szCs w:val="16"/>
              </w:rPr>
            </w:pPr>
          </w:p>
        </w:tc>
        <w:tc>
          <w:tcPr>
            <w:tcW w:w="2886" w:type="dxa"/>
            <w:tcBorders>
              <w:bottom w:val="single" w:sz="16" w:space="0" w:color="000000" w:themeColor="text1"/>
            </w:tcBorders>
            <w:shd w:val="clear" w:color="auto" w:fill="FFFFFF" w:themeFill="background1"/>
            <w:tcMar>
              <w:top w:w="0" w:type="dxa"/>
              <w:left w:w="0" w:type="dxa"/>
              <w:bottom w:w="0" w:type="dxa"/>
              <w:right w:w="0" w:type="dxa"/>
            </w:tcMar>
            <w:vAlign w:val="center"/>
          </w:tcPr>
          <w:p w14:paraId="6CC2CC8E" w14:textId="77777777" w:rsidR="00B77386" w:rsidRDefault="00B77386" w:rsidP="00817CE0">
            <w:pPr>
              <w:spacing w:before="40" w:after="40"/>
              <w:ind w:left="100" w:right="100"/>
              <w:jc w:val="right"/>
              <w:rPr>
                <w:rFonts w:asciiTheme="majorHAnsi" w:hAnsiTheme="majorHAnsi" w:cstheme="majorHAnsi"/>
                <w:color w:val="111111"/>
                <w:sz w:val="16"/>
                <w:szCs w:val="16"/>
              </w:rPr>
            </w:pPr>
            <w:r>
              <w:rPr>
                <w:rFonts w:asciiTheme="majorHAnsi" w:hAnsiTheme="majorHAnsi" w:cstheme="majorHAnsi"/>
                <w:color w:val="111111"/>
                <w:sz w:val="16"/>
                <w:szCs w:val="16"/>
              </w:rPr>
              <w:t>No</w:t>
            </w:r>
          </w:p>
        </w:tc>
        <w:tc>
          <w:tcPr>
            <w:tcW w:w="2123" w:type="dxa"/>
            <w:tcBorders>
              <w:bottom w:val="single" w:sz="16" w:space="0" w:color="000000" w:themeColor="text1"/>
            </w:tcBorders>
            <w:shd w:val="clear" w:color="auto" w:fill="FFFFFF" w:themeFill="background1"/>
            <w:tcMar>
              <w:top w:w="0" w:type="dxa"/>
              <w:left w:w="0" w:type="dxa"/>
              <w:bottom w:w="0" w:type="dxa"/>
              <w:right w:w="0" w:type="dxa"/>
            </w:tcMar>
            <w:vAlign w:val="center"/>
          </w:tcPr>
          <w:p w14:paraId="082E67D7" w14:textId="77777777" w:rsidR="00B77386" w:rsidRDefault="00B77386" w:rsidP="00817CE0">
            <w:pPr>
              <w:spacing w:before="40" w:after="40"/>
              <w:ind w:left="100" w:right="100"/>
              <w:jc w:val="right"/>
              <w:rPr>
                <w:rFonts w:asciiTheme="majorHAnsi" w:eastAsia="Arial" w:hAnsiTheme="majorHAnsi" w:cstheme="majorHAnsi"/>
                <w:color w:val="111111"/>
                <w:sz w:val="16"/>
                <w:szCs w:val="16"/>
              </w:rPr>
            </w:pPr>
          </w:p>
        </w:tc>
        <w:tc>
          <w:tcPr>
            <w:tcW w:w="2123" w:type="dxa"/>
            <w:tcBorders>
              <w:bottom w:val="single" w:sz="16" w:space="0" w:color="000000" w:themeColor="text1"/>
            </w:tcBorders>
            <w:shd w:val="clear" w:color="auto" w:fill="FFFFFF" w:themeFill="background1"/>
            <w:tcMar>
              <w:top w:w="0" w:type="dxa"/>
              <w:left w:w="0" w:type="dxa"/>
              <w:bottom w:w="0" w:type="dxa"/>
              <w:right w:w="0" w:type="dxa"/>
            </w:tcMar>
            <w:vAlign w:val="center"/>
          </w:tcPr>
          <w:p w14:paraId="77524725" w14:textId="77777777" w:rsidR="00B77386" w:rsidRDefault="00B77386" w:rsidP="00817CE0">
            <w:pPr>
              <w:spacing w:before="40" w:after="40"/>
              <w:ind w:left="100" w:right="100"/>
              <w:jc w:val="right"/>
              <w:rPr>
                <w:rFonts w:asciiTheme="majorHAnsi" w:hAnsiTheme="majorHAnsi" w:cstheme="majorHAnsi"/>
                <w:color w:val="111111"/>
                <w:sz w:val="16"/>
                <w:szCs w:val="16"/>
              </w:rPr>
            </w:pPr>
            <w:r>
              <w:rPr>
                <w:rFonts w:asciiTheme="majorHAnsi" w:hAnsiTheme="majorHAnsi" w:cstheme="majorHAnsi"/>
                <w:color w:val="111111"/>
                <w:sz w:val="16"/>
                <w:szCs w:val="16"/>
              </w:rPr>
              <w:t>22 (11.9)</w:t>
            </w:r>
          </w:p>
        </w:tc>
        <w:tc>
          <w:tcPr>
            <w:tcW w:w="1048" w:type="dxa"/>
            <w:tcBorders>
              <w:bottom w:val="single" w:sz="16" w:space="0" w:color="000000" w:themeColor="text1"/>
            </w:tcBorders>
            <w:shd w:val="clear" w:color="auto" w:fill="FFFFFF" w:themeFill="background1"/>
            <w:tcMar>
              <w:top w:w="0" w:type="dxa"/>
              <w:left w:w="0" w:type="dxa"/>
              <w:bottom w:w="0" w:type="dxa"/>
              <w:right w:w="0" w:type="dxa"/>
            </w:tcMar>
            <w:vAlign w:val="center"/>
          </w:tcPr>
          <w:p w14:paraId="2A803E72" w14:textId="77777777" w:rsidR="00B77386" w:rsidRDefault="00B77386" w:rsidP="00817CE0">
            <w:pPr>
              <w:spacing w:before="40" w:after="40"/>
              <w:ind w:left="100" w:right="100"/>
              <w:jc w:val="right"/>
              <w:rPr>
                <w:rFonts w:asciiTheme="majorHAnsi" w:hAnsiTheme="majorHAnsi" w:cstheme="majorHAnsi"/>
                <w:sz w:val="16"/>
                <w:szCs w:val="16"/>
              </w:rPr>
            </w:pPr>
          </w:p>
        </w:tc>
      </w:tr>
    </w:tbl>
    <w:p w14:paraId="3827B238" w14:textId="77777777" w:rsidR="00B77386" w:rsidRPr="00D7026D" w:rsidRDefault="00B77386" w:rsidP="00B77386">
      <w:pPr>
        <w:spacing w:line="480" w:lineRule="auto"/>
        <w:jc w:val="both"/>
        <w:rPr>
          <w:rFonts w:asciiTheme="majorHAnsi" w:hAnsiTheme="majorHAnsi" w:cstheme="majorHAnsi"/>
          <w:b/>
          <w:bCs/>
          <w:highlight w:val="white"/>
        </w:rPr>
      </w:pPr>
    </w:p>
    <w:p w14:paraId="65ECECFA" w14:textId="77777777" w:rsidR="00B77386" w:rsidRPr="00D7026D" w:rsidRDefault="00B77386" w:rsidP="00B77386">
      <w:pPr>
        <w:spacing w:line="480" w:lineRule="auto"/>
        <w:jc w:val="both"/>
        <w:rPr>
          <w:rFonts w:asciiTheme="majorHAnsi" w:hAnsiTheme="majorHAnsi" w:cstheme="majorHAnsi"/>
          <w:b/>
          <w:bCs/>
          <w:highlight w:val="white"/>
        </w:rPr>
      </w:pPr>
    </w:p>
    <w:p w14:paraId="4D4C1C78" w14:textId="77777777" w:rsidR="00B77386" w:rsidRPr="00D7026D" w:rsidRDefault="00B77386" w:rsidP="00B77386">
      <w:pPr>
        <w:spacing w:line="480" w:lineRule="auto"/>
        <w:jc w:val="both"/>
        <w:rPr>
          <w:rFonts w:asciiTheme="majorHAnsi" w:hAnsiTheme="majorHAnsi" w:cstheme="majorHAnsi"/>
          <w:b/>
          <w:bCs/>
          <w:highlight w:val="white"/>
        </w:rPr>
      </w:pPr>
    </w:p>
    <w:p w14:paraId="7BED05C6" w14:textId="77777777" w:rsidR="00B77386" w:rsidRPr="00D7026D" w:rsidRDefault="00B77386" w:rsidP="00B77386">
      <w:pPr>
        <w:spacing w:line="480" w:lineRule="auto"/>
        <w:jc w:val="both"/>
        <w:rPr>
          <w:rFonts w:asciiTheme="majorHAnsi" w:hAnsiTheme="majorHAnsi" w:cstheme="majorHAnsi"/>
          <w:b/>
          <w:bCs/>
          <w:highlight w:val="white"/>
        </w:rPr>
      </w:pPr>
    </w:p>
    <w:p w14:paraId="7636EEB8" w14:textId="77777777" w:rsidR="00B77386" w:rsidRPr="00D7026D" w:rsidRDefault="00B77386" w:rsidP="00B77386">
      <w:pPr>
        <w:spacing w:line="480" w:lineRule="auto"/>
        <w:jc w:val="both"/>
        <w:rPr>
          <w:rFonts w:asciiTheme="majorHAnsi" w:hAnsiTheme="majorHAnsi" w:cstheme="majorHAnsi"/>
          <w:b/>
          <w:bCs/>
          <w:highlight w:val="white"/>
        </w:rPr>
      </w:pPr>
    </w:p>
    <w:p w14:paraId="3470F557" w14:textId="77777777" w:rsidR="00B77386" w:rsidRPr="00D7026D" w:rsidRDefault="00B77386" w:rsidP="00B77386">
      <w:pPr>
        <w:spacing w:line="480" w:lineRule="auto"/>
        <w:jc w:val="both"/>
        <w:rPr>
          <w:rFonts w:asciiTheme="majorHAnsi" w:hAnsiTheme="majorHAnsi" w:cstheme="majorHAnsi"/>
          <w:b/>
          <w:bCs/>
          <w:highlight w:val="white"/>
        </w:rPr>
      </w:pPr>
      <w:r w:rsidRPr="00D7026D">
        <w:rPr>
          <w:rFonts w:asciiTheme="majorHAnsi" w:hAnsiTheme="majorHAnsi" w:cstheme="majorHAnsi"/>
          <w:b/>
          <w:bCs/>
          <w:highlight w:val="white"/>
        </w:rPr>
        <w:lastRenderedPageBreak/>
        <w:t xml:space="preserve">Table </w:t>
      </w:r>
      <w:r>
        <w:rPr>
          <w:rFonts w:asciiTheme="majorHAnsi" w:hAnsiTheme="majorHAnsi" w:cstheme="majorHAnsi"/>
          <w:b/>
          <w:bCs/>
          <w:highlight w:val="white"/>
        </w:rPr>
        <w:t>2</w:t>
      </w:r>
      <w:r w:rsidRPr="00D7026D">
        <w:rPr>
          <w:rFonts w:asciiTheme="majorHAnsi" w:hAnsiTheme="majorHAnsi" w:cstheme="majorHAnsi"/>
          <w:b/>
          <w:bCs/>
          <w:highlight w:val="white"/>
        </w:rPr>
        <w:t>: Fatigue severity in Covid-19 and pre-pandemic IMV-patients.</w:t>
      </w:r>
    </w:p>
    <w:tbl>
      <w:tblPr>
        <w:tblStyle w:val="Table"/>
        <w:tblW w:w="7423" w:type="dxa"/>
        <w:jc w:val="center"/>
        <w:tblLayout w:type="fixed"/>
        <w:tblLook w:val="0420" w:firstRow="1" w:lastRow="0" w:firstColumn="0" w:lastColumn="0" w:noHBand="0" w:noVBand="1"/>
      </w:tblPr>
      <w:tblGrid>
        <w:gridCol w:w="1845"/>
        <w:gridCol w:w="1483"/>
        <w:gridCol w:w="1577"/>
        <w:gridCol w:w="1577"/>
        <w:gridCol w:w="828"/>
        <w:gridCol w:w="113"/>
      </w:tblGrid>
      <w:tr w:rsidR="00B77386" w:rsidRPr="00D7026D" w14:paraId="79B9E233" w14:textId="77777777" w:rsidTr="00817CE0">
        <w:trPr>
          <w:gridAfter w:val="1"/>
          <w:wAfter w:w="113" w:type="dxa"/>
          <w:cantSplit/>
          <w:trHeight w:val="663"/>
          <w:tblHeader/>
          <w:jc w:val="center"/>
        </w:trPr>
        <w:tc>
          <w:tcPr>
            <w:tcW w:w="1845"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6C80E50B" w14:textId="77777777" w:rsidR="00B77386" w:rsidRPr="00D7026D" w:rsidRDefault="00B77386" w:rsidP="00817CE0">
            <w:pPr>
              <w:spacing w:before="40" w:after="40"/>
              <w:ind w:left="100" w:right="100"/>
              <w:jc w:val="center"/>
              <w:rPr>
                <w:rFonts w:asciiTheme="majorHAnsi" w:hAnsiTheme="majorHAnsi" w:cstheme="majorHAnsi"/>
                <w:sz w:val="16"/>
                <w:szCs w:val="16"/>
              </w:rPr>
            </w:pPr>
          </w:p>
        </w:tc>
        <w:tc>
          <w:tcPr>
            <w:tcW w:w="1483"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27DFBA0E" w14:textId="77777777" w:rsidR="00B77386" w:rsidRPr="00D7026D" w:rsidRDefault="00B77386" w:rsidP="00817CE0">
            <w:pPr>
              <w:spacing w:before="40" w:after="40"/>
              <w:ind w:left="100" w:right="100"/>
              <w:jc w:val="center"/>
              <w:rPr>
                <w:rFonts w:asciiTheme="majorHAnsi" w:hAnsiTheme="majorHAnsi" w:cstheme="majorHAnsi"/>
                <w:sz w:val="16"/>
                <w:szCs w:val="16"/>
              </w:rPr>
            </w:pPr>
          </w:p>
        </w:tc>
        <w:tc>
          <w:tcPr>
            <w:tcW w:w="1577"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4CF163A8"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sz w:val="16"/>
                <w:szCs w:val="16"/>
              </w:rPr>
              <w:t>Covid-19 cohort</w:t>
            </w:r>
          </w:p>
        </w:tc>
        <w:tc>
          <w:tcPr>
            <w:tcW w:w="1577"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63890330"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sz w:val="16"/>
                <w:szCs w:val="16"/>
              </w:rPr>
              <w:t>Pre-pandemic cohort</w:t>
            </w:r>
          </w:p>
        </w:tc>
        <w:tc>
          <w:tcPr>
            <w:tcW w:w="828"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1A4C3C81"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p-value</w:t>
            </w:r>
          </w:p>
        </w:tc>
      </w:tr>
      <w:tr w:rsidR="00B77386" w:rsidRPr="00D7026D" w14:paraId="1AE4E2C8" w14:textId="77777777" w:rsidTr="00817CE0">
        <w:trPr>
          <w:gridAfter w:val="1"/>
          <w:wAfter w:w="113" w:type="dxa"/>
          <w:cantSplit/>
          <w:trHeight w:val="288"/>
          <w:jc w:val="center"/>
        </w:trPr>
        <w:tc>
          <w:tcPr>
            <w:tcW w:w="1845" w:type="dxa"/>
            <w:shd w:val="clear" w:color="auto" w:fill="FFFFFF"/>
            <w:tcMar>
              <w:top w:w="0" w:type="dxa"/>
              <w:left w:w="0" w:type="dxa"/>
              <w:bottom w:w="0" w:type="dxa"/>
              <w:right w:w="0" w:type="dxa"/>
            </w:tcMar>
            <w:vAlign w:val="center"/>
          </w:tcPr>
          <w:p w14:paraId="6B27A75A"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Total N</w:t>
            </w:r>
          </w:p>
        </w:tc>
        <w:tc>
          <w:tcPr>
            <w:tcW w:w="1483" w:type="dxa"/>
            <w:shd w:val="clear" w:color="auto" w:fill="FFFFFF"/>
            <w:tcMar>
              <w:top w:w="0" w:type="dxa"/>
              <w:left w:w="0" w:type="dxa"/>
              <w:bottom w:w="0" w:type="dxa"/>
              <w:right w:w="0" w:type="dxa"/>
            </w:tcMar>
            <w:vAlign w:val="center"/>
          </w:tcPr>
          <w:p w14:paraId="6B4C0607" w14:textId="77777777" w:rsidR="00B77386" w:rsidRPr="00D7026D" w:rsidRDefault="00B77386" w:rsidP="00817CE0">
            <w:pPr>
              <w:spacing w:before="40" w:after="40"/>
              <w:ind w:left="100" w:right="100"/>
              <w:jc w:val="right"/>
              <w:rPr>
                <w:rFonts w:asciiTheme="majorHAnsi" w:hAnsiTheme="majorHAnsi" w:cstheme="majorHAnsi"/>
                <w:sz w:val="16"/>
                <w:szCs w:val="16"/>
              </w:rPr>
            </w:pPr>
          </w:p>
        </w:tc>
        <w:tc>
          <w:tcPr>
            <w:tcW w:w="1577" w:type="dxa"/>
            <w:shd w:val="clear" w:color="auto" w:fill="FFFFFF"/>
            <w:tcMar>
              <w:top w:w="0" w:type="dxa"/>
              <w:left w:w="0" w:type="dxa"/>
              <w:bottom w:w="0" w:type="dxa"/>
              <w:right w:w="0" w:type="dxa"/>
            </w:tcMar>
            <w:vAlign w:val="center"/>
          </w:tcPr>
          <w:p w14:paraId="5E902EC1" w14:textId="34B720D2" w:rsidR="00B77386" w:rsidRPr="00D7026D" w:rsidRDefault="004325D7" w:rsidP="00817CE0">
            <w:pPr>
              <w:spacing w:before="40" w:after="40"/>
              <w:ind w:left="100" w:right="100"/>
              <w:jc w:val="right"/>
              <w:rPr>
                <w:rFonts w:asciiTheme="majorHAnsi" w:hAnsiTheme="majorHAnsi" w:cstheme="majorHAnsi"/>
                <w:sz w:val="16"/>
                <w:szCs w:val="16"/>
              </w:rPr>
            </w:pPr>
            <w:r>
              <w:rPr>
                <w:rFonts w:asciiTheme="majorHAnsi" w:hAnsiTheme="majorHAnsi" w:cstheme="majorHAnsi"/>
                <w:color w:val="111111"/>
                <w:sz w:val="16"/>
                <w:szCs w:val="16"/>
              </w:rPr>
              <w:t>1</w:t>
            </w:r>
            <w:r w:rsidR="00B77386" w:rsidRPr="00D7026D">
              <w:rPr>
                <w:rFonts w:asciiTheme="majorHAnsi" w:hAnsiTheme="majorHAnsi" w:cstheme="majorHAnsi"/>
                <w:color w:val="111111"/>
                <w:sz w:val="16"/>
                <w:szCs w:val="16"/>
              </w:rPr>
              <w:t xml:space="preserve">8 </w:t>
            </w:r>
          </w:p>
        </w:tc>
        <w:tc>
          <w:tcPr>
            <w:tcW w:w="1577" w:type="dxa"/>
            <w:shd w:val="clear" w:color="auto" w:fill="FFFFFF"/>
            <w:tcMar>
              <w:top w:w="0" w:type="dxa"/>
              <w:left w:w="0" w:type="dxa"/>
              <w:bottom w:w="0" w:type="dxa"/>
              <w:right w:w="0" w:type="dxa"/>
            </w:tcMar>
            <w:vAlign w:val="center"/>
          </w:tcPr>
          <w:p w14:paraId="5C5E97D3"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 xml:space="preserve">188 </w:t>
            </w:r>
          </w:p>
        </w:tc>
        <w:tc>
          <w:tcPr>
            <w:tcW w:w="828" w:type="dxa"/>
            <w:shd w:val="clear" w:color="auto" w:fill="FFFFFF"/>
            <w:tcMar>
              <w:top w:w="0" w:type="dxa"/>
              <w:left w:w="0" w:type="dxa"/>
              <w:bottom w:w="0" w:type="dxa"/>
              <w:right w:w="0" w:type="dxa"/>
            </w:tcMar>
            <w:vAlign w:val="center"/>
          </w:tcPr>
          <w:p w14:paraId="33F36134" w14:textId="77777777" w:rsidR="00B77386" w:rsidRPr="00D7026D" w:rsidRDefault="00B77386" w:rsidP="00817CE0">
            <w:pPr>
              <w:spacing w:before="40" w:after="40"/>
              <w:ind w:left="100" w:right="100"/>
              <w:jc w:val="right"/>
              <w:rPr>
                <w:rFonts w:asciiTheme="majorHAnsi" w:hAnsiTheme="majorHAnsi" w:cstheme="majorHAnsi"/>
                <w:sz w:val="16"/>
                <w:szCs w:val="16"/>
              </w:rPr>
            </w:pPr>
          </w:p>
        </w:tc>
      </w:tr>
      <w:tr w:rsidR="00B77386" w:rsidRPr="00D7026D" w14:paraId="48DE85AB" w14:textId="77777777" w:rsidTr="00817CE0">
        <w:trPr>
          <w:gridAfter w:val="1"/>
          <w:wAfter w:w="113" w:type="dxa"/>
          <w:cantSplit/>
          <w:trHeight w:val="475"/>
          <w:jc w:val="center"/>
        </w:trPr>
        <w:tc>
          <w:tcPr>
            <w:tcW w:w="1845" w:type="dxa"/>
            <w:shd w:val="clear" w:color="auto" w:fill="FFFFFF"/>
            <w:tcMar>
              <w:top w:w="0" w:type="dxa"/>
              <w:left w:w="0" w:type="dxa"/>
              <w:bottom w:w="0" w:type="dxa"/>
              <w:right w:w="0" w:type="dxa"/>
            </w:tcMar>
            <w:vAlign w:val="center"/>
          </w:tcPr>
          <w:p w14:paraId="59DCD2CB"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Fatigue severity at ~3 months</w:t>
            </w:r>
          </w:p>
        </w:tc>
        <w:tc>
          <w:tcPr>
            <w:tcW w:w="1483" w:type="dxa"/>
            <w:shd w:val="clear" w:color="auto" w:fill="FFFFFF"/>
            <w:tcMar>
              <w:top w:w="0" w:type="dxa"/>
              <w:left w:w="0" w:type="dxa"/>
              <w:bottom w:w="0" w:type="dxa"/>
              <w:right w:w="0" w:type="dxa"/>
            </w:tcMar>
            <w:vAlign w:val="center"/>
          </w:tcPr>
          <w:p w14:paraId="078FA22C"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Median (IQR)</w:t>
            </w:r>
          </w:p>
        </w:tc>
        <w:tc>
          <w:tcPr>
            <w:tcW w:w="1577" w:type="dxa"/>
            <w:shd w:val="clear" w:color="auto" w:fill="FFFFFF"/>
            <w:tcMar>
              <w:top w:w="0" w:type="dxa"/>
              <w:left w:w="0" w:type="dxa"/>
              <w:bottom w:w="0" w:type="dxa"/>
              <w:right w:w="0" w:type="dxa"/>
            </w:tcMar>
            <w:vAlign w:val="center"/>
          </w:tcPr>
          <w:p w14:paraId="2C4D1F18"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5.5 (2.0 to 6.2)</w:t>
            </w:r>
          </w:p>
        </w:tc>
        <w:tc>
          <w:tcPr>
            <w:tcW w:w="1577" w:type="dxa"/>
            <w:shd w:val="clear" w:color="auto" w:fill="FFFFFF"/>
            <w:tcMar>
              <w:top w:w="0" w:type="dxa"/>
              <w:left w:w="0" w:type="dxa"/>
              <w:bottom w:w="0" w:type="dxa"/>
              <w:right w:w="0" w:type="dxa"/>
            </w:tcMar>
            <w:vAlign w:val="center"/>
          </w:tcPr>
          <w:p w14:paraId="25AE9C89"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5.0 (2.8 to 7.0)</w:t>
            </w:r>
          </w:p>
        </w:tc>
        <w:tc>
          <w:tcPr>
            <w:tcW w:w="828" w:type="dxa"/>
            <w:shd w:val="clear" w:color="auto" w:fill="FFFFFF"/>
            <w:tcMar>
              <w:top w:w="0" w:type="dxa"/>
              <w:left w:w="0" w:type="dxa"/>
              <w:bottom w:w="0" w:type="dxa"/>
              <w:right w:w="0" w:type="dxa"/>
            </w:tcMar>
            <w:vAlign w:val="center"/>
          </w:tcPr>
          <w:p w14:paraId="36B7EBD1"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0.809</w:t>
            </w:r>
          </w:p>
        </w:tc>
      </w:tr>
      <w:tr w:rsidR="00B77386" w:rsidRPr="00D7026D" w14:paraId="309ECB09" w14:textId="77777777" w:rsidTr="00817CE0">
        <w:trPr>
          <w:cantSplit/>
          <w:trHeight w:val="288"/>
          <w:jc w:val="center"/>
        </w:trPr>
        <w:tc>
          <w:tcPr>
            <w:tcW w:w="1845" w:type="dxa"/>
            <w:tcBorders>
              <w:top w:val="single" w:sz="4" w:space="0" w:color="000000"/>
            </w:tcBorders>
            <w:shd w:val="clear" w:color="auto" w:fill="FFFFFF"/>
            <w:tcMar>
              <w:top w:w="0" w:type="dxa"/>
              <w:left w:w="0" w:type="dxa"/>
              <w:bottom w:w="0" w:type="dxa"/>
              <w:right w:w="0" w:type="dxa"/>
            </w:tcMar>
            <w:vAlign w:val="center"/>
          </w:tcPr>
          <w:p w14:paraId="1BBADBAC"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 xml:space="preserve">Total N </w:t>
            </w:r>
          </w:p>
        </w:tc>
        <w:tc>
          <w:tcPr>
            <w:tcW w:w="1483" w:type="dxa"/>
            <w:tcBorders>
              <w:top w:val="single" w:sz="4" w:space="0" w:color="000000"/>
            </w:tcBorders>
            <w:shd w:val="clear" w:color="auto" w:fill="FFFFFF"/>
            <w:tcMar>
              <w:top w:w="0" w:type="dxa"/>
              <w:left w:w="0" w:type="dxa"/>
              <w:bottom w:w="0" w:type="dxa"/>
              <w:right w:w="0" w:type="dxa"/>
            </w:tcMar>
            <w:vAlign w:val="center"/>
          </w:tcPr>
          <w:p w14:paraId="6A8A1432" w14:textId="77777777" w:rsidR="00B77386" w:rsidRPr="00D7026D" w:rsidRDefault="00B77386" w:rsidP="00817CE0">
            <w:pPr>
              <w:spacing w:before="40" w:after="40"/>
              <w:ind w:left="100" w:right="100"/>
              <w:jc w:val="right"/>
              <w:rPr>
                <w:rFonts w:asciiTheme="majorHAnsi" w:hAnsiTheme="majorHAnsi" w:cstheme="majorHAnsi"/>
                <w:sz w:val="16"/>
                <w:szCs w:val="16"/>
              </w:rPr>
            </w:pPr>
          </w:p>
        </w:tc>
        <w:tc>
          <w:tcPr>
            <w:tcW w:w="1577" w:type="dxa"/>
            <w:tcBorders>
              <w:top w:val="single" w:sz="4" w:space="0" w:color="000000"/>
            </w:tcBorders>
            <w:shd w:val="clear" w:color="auto" w:fill="FFFFFF"/>
            <w:tcMar>
              <w:top w:w="0" w:type="dxa"/>
              <w:left w:w="0" w:type="dxa"/>
              <w:bottom w:w="0" w:type="dxa"/>
              <w:right w:w="0" w:type="dxa"/>
            </w:tcMar>
            <w:vAlign w:val="center"/>
          </w:tcPr>
          <w:p w14:paraId="4E35C3A4"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 xml:space="preserve">32 </w:t>
            </w:r>
          </w:p>
        </w:tc>
        <w:tc>
          <w:tcPr>
            <w:tcW w:w="1577" w:type="dxa"/>
            <w:tcBorders>
              <w:top w:val="single" w:sz="4" w:space="0" w:color="000000"/>
            </w:tcBorders>
            <w:shd w:val="clear" w:color="auto" w:fill="FFFFFF"/>
            <w:tcMar>
              <w:top w:w="0" w:type="dxa"/>
              <w:left w:w="0" w:type="dxa"/>
              <w:bottom w:w="0" w:type="dxa"/>
              <w:right w:w="0" w:type="dxa"/>
            </w:tcMar>
            <w:vAlign w:val="center"/>
          </w:tcPr>
          <w:p w14:paraId="7F9F3F9E"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166</w:t>
            </w:r>
          </w:p>
        </w:tc>
        <w:tc>
          <w:tcPr>
            <w:tcW w:w="941" w:type="dxa"/>
            <w:gridSpan w:val="2"/>
            <w:tcBorders>
              <w:top w:val="single" w:sz="4" w:space="0" w:color="000000"/>
            </w:tcBorders>
            <w:shd w:val="clear" w:color="auto" w:fill="FFFFFF"/>
            <w:tcMar>
              <w:top w:w="0" w:type="dxa"/>
              <w:left w:w="0" w:type="dxa"/>
              <w:bottom w:w="0" w:type="dxa"/>
              <w:right w:w="0" w:type="dxa"/>
            </w:tcMar>
            <w:vAlign w:val="center"/>
          </w:tcPr>
          <w:p w14:paraId="1B5896D3" w14:textId="77777777" w:rsidR="00B77386" w:rsidRPr="00D7026D" w:rsidRDefault="00B77386" w:rsidP="00817CE0">
            <w:pPr>
              <w:spacing w:before="40" w:after="40"/>
              <w:ind w:left="100" w:right="100"/>
              <w:jc w:val="right"/>
              <w:rPr>
                <w:rFonts w:asciiTheme="majorHAnsi" w:hAnsiTheme="majorHAnsi" w:cstheme="majorHAnsi"/>
                <w:sz w:val="16"/>
                <w:szCs w:val="16"/>
              </w:rPr>
            </w:pPr>
          </w:p>
        </w:tc>
      </w:tr>
      <w:tr w:rsidR="00B77386" w:rsidRPr="00D7026D" w14:paraId="301220F7" w14:textId="77777777" w:rsidTr="00817CE0">
        <w:trPr>
          <w:cantSplit/>
          <w:trHeight w:val="462"/>
          <w:jc w:val="center"/>
        </w:trPr>
        <w:tc>
          <w:tcPr>
            <w:tcW w:w="1845" w:type="dxa"/>
            <w:tcBorders>
              <w:bottom w:val="single" w:sz="4" w:space="0" w:color="000000"/>
            </w:tcBorders>
            <w:shd w:val="clear" w:color="auto" w:fill="FFFFFF"/>
            <w:tcMar>
              <w:top w:w="0" w:type="dxa"/>
              <w:left w:w="0" w:type="dxa"/>
              <w:bottom w:w="0" w:type="dxa"/>
              <w:right w:w="0" w:type="dxa"/>
            </w:tcMar>
            <w:vAlign w:val="center"/>
          </w:tcPr>
          <w:p w14:paraId="56DFDC74"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Fatigue severity at ~6 months</w:t>
            </w:r>
          </w:p>
        </w:tc>
        <w:tc>
          <w:tcPr>
            <w:tcW w:w="1483" w:type="dxa"/>
            <w:tcBorders>
              <w:bottom w:val="single" w:sz="4" w:space="0" w:color="000000"/>
            </w:tcBorders>
            <w:shd w:val="clear" w:color="auto" w:fill="FFFFFF"/>
            <w:tcMar>
              <w:top w:w="0" w:type="dxa"/>
              <w:left w:w="0" w:type="dxa"/>
              <w:bottom w:w="0" w:type="dxa"/>
              <w:right w:w="0" w:type="dxa"/>
            </w:tcMar>
            <w:vAlign w:val="center"/>
          </w:tcPr>
          <w:p w14:paraId="65193338"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Median (IQR)</w:t>
            </w:r>
          </w:p>
        </w:tc>
        <w:tc>
          <w:tcPr>
            <w:tcW w:w="1577" w:type="dxa"/>
            <w:tcBorders>
              <w:bottom w:val="single" w:sz="4" w:space="0" w:color="000000"/>
            </w:tcBorders>
            <w:shd w:val="clear" w:color="auto" w:fill="FFFFFF"/>
            <w:tcMar>
              <w:top w:w="0" w:type="dxa"/>
              <w:left w:w="0" w:type="dxa"/>
              <w:bottom w:w="0" w:type="dxa"/>
              <w:right w:w="0" w:type="dxa"/>
            </w:tcMar>
            <w:vAlign w:val="center"/>
          </w:tcPr>
          <w:p w14:paraId="12CEC676"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2.0 (1.0 to 5.0)</w:t>
            </w:r>
          </w:p>
        </w:tc>
        <w:tc>
          <w:tcPr>
            <w:tcW w:w="1577" w:type="dxa"/>
            <w:tcBorders>
              <w:bottom w:val="single" w:sz="4" w:space="0" w:color="000000"/>
            </w:tcBorders>
            <w:shd w:val="clear" w:color="auto" w:fill="FFFFFF"/>
            <w:tcMar>
              <w:top w:w="0" w:type="dxa"/>
              <w:left w:w="0" w:type="dxa"/>
              <w:bottom w:w="0" w:type="dxa"/>
              <w:right w:w="0" w:type="dxa"/>
            </w:tcMar>
            <w:vAlign w:val="center"/>
          </w:tcPr>
          <w:p w14:paraId="21A04B8D"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5.7 (3.5 to 7.3)</w:t>
            </w:r>
          </w:p>
        </w:tc>
        <w:tc>
          <w:tcPr>
            <w:tcW w:w="941" w:type="dxa"/>
            <w:gridSpan w:val="2"/>
            <w:tcBorders>
              <w:bottom w:val="single" w:sz="4" w:space="0" w:color="000000"/>
            </w:tcBorders>
            <w:shd w:val="clear" w:color="auto" w:fill="FFFFFF"/>
            <w:tcMar>
              <w:top w:w="0" w:type="dxa"/>
              <w:left w:w="0" w:type="dxa"/>
              <w:bottom w:w="0" w:type="dxa"/>
              <w:right w:w="0" w:type="dxa"/>
            </w:tcMar>
            <w:vAlign w:val="center"/>
          </w:tcPr>
          <w:p w14:paraId="1D7F19EB" w14:textId="77777777" w:rsidR="00B77386" w:rsidRPr="00D7026D" w:rsidRDefault="00B77386" w:rsidP="00817CE0">
            <w:pPr>
              <w:spacing w:before="40" w:after="40"/>
              <w:ind w:left="100" w:right="100"/>
              <w:jc w:val="right"/>
              <w:rPr>
                <w:rFonts w:asciiTheme="majorHAnsi" w:hAnsiTheme="majorHAnsi" w:cstheme="majorHAnsi"/>
                <w:sz w:val="16"/>
                <w:szCs w:val="16"/>
              </w:rPr>
            </w:pPr>
            <w:r w:rsidRPr="00D7026D">
              <w:rPr>
                <w:rFonts w:asciiTheme="majorHAnsi" w:hAnsiTheme="majorHAnsi" w:cstheme="majorHAnsi"/>
                <w:color w:val="111111"/>
                <w:sz w:val="16"/>
                <w:szCs w:val="16"/>
              </w:rPr>
              <w:t>&lt;0.001</w:t>
            </w:r>
          </w:p>
        </w:tc>
      </w:tr>
      <w:tr w:rsidR="00B77386" w:rsidRPr="00D7026D" w14:paraId="570618B5" w14:textId="77777777" w:rsidTr="00817CE0">
        <w:trPr>
          <w:cantSplit/>
          <w:trHeight w:val="462"/>
          <w:jc w:val="center"/>
        </w:trPr>
        <w:tc>
          <w:tcPr>
            <w:tcW w:w="1845" w:type="dxa"/>
            <w:tcBorders>
              <w:top w:val="single" w:sz="4" w:space="0" w:color="000000"/>
            </w:tcBorders>
            <w:shd w:val="clear" w:color="auto" w:fill="FFFFFF"/>
            <w:tcMar>
              <w:top w:w="0" w:type="dxa"/>
              <w:left w:w="0" w:type="dxa"/>
              <w:bottom w:w="0" w:type="dxa"/>
              <w:right w:w="0" w:type="dxa"/>
            </w:tcMar>
            <w:vAlign w:val="center"/>
          </w:tcPr>
          <w:p w14:paraId="42878058" w14:textId="77777777" w:rsidR="00B77386" w:rsidRPr="00D7026D" w:rsidRDefault="00B77386" w:rsidP="00817CE0">
            <w:pPr>
              <w:spacing w:before="40" w:after="40"/>
              <w:ind w:left="100" w:right="100"/>
              <w:jc w:val="right"/>
              <w:rPr>
                <w:rFonts w:asciiTheme="majorHAnsi" w:hAnsiTheme="majorHAnsi" w:cstheme="majorHAnsi"/>
                <w:color w:val="111111"/>
                <w:sz w:val="16"/>
                <w:szCs w:val="16"/>
              </w:rPr>
            </w:pPr>
            <w:r w:rsidRPr="00D7026D">
              <w:rPr>
                <w:rFonts w:asciiTheme="majorHAnsi" w:hAnsiTheme="majorHAnsi" w:cstheme="majorHAnsi"/>
                <w:color w:val="111111"/>
                <w:sz w:val="16"/>
                <w:szCs w:val="16"/>
              </w:rPr>
              <w:t xml:space="preserve">Total N </w:t>
            </w:r>
          </w:p>
        </w:tc>
        <w:tc>
          <w:tcPr>
            <w:tcW w:w="1483" w:type="dxa"/>
            <w:tcBorders>
              <w:top w:val="single" w:sz="4" w:space="0" w:color="000000"/>
            </w:tcBorders>
            <w:shd w:val="clear" w:color="auto" w:fill="FFFFFF"/>
            <w:tcMar>
              <w:top w:w="0" w:type="dxa"/>
              <w:left w:w="0" w:type="dxa"/>
              <w:bottom w:w="0" w:type="dxa"/>
              <w:right w:w="0" w:type="dxa"/>
            </w:tcMar>
            <w:vAlign w:val="center"/>
          </w:tcPr>
          <w:p w14:paraId="635376ED" w14:textId="77777777" w:rsidR="00B77386" w:rsidRPr="00D7026D" w:rsidRDefault="00B77386" w:rsidP="00817CE0">
            <w:pPr>
              <w:spacing w:before="40" w:after="40"/>
              <w:ind w:left="100" w:right="100"/>
              <w:jc w:val="right"/>
              <w:rPr>
                <w:rFonts w:asciiTheme="majorHAnsi" w:hAnsiTheme="majorHAnsi" w:cstheme="majorHAnsi"/>
                <w:color w:val="111111"/>
                <w:sz w:val="16"/>
                <w:szCs w:val="16"/>
              </w:rPr>
            </w:pPr>
          </w:p>
        </w:tc>
        <w:tc>
          <w:tcPr>
            <w:tcW w:w="1577" w:type="dxa"/>
            <w:tcBorders>
              <w:top w:val="single" w:sz="4" w:space="0" w:color="000000"/>
            </w:tcBorders>
            <w:shd w:val="clear" w:color="auto" w:fill="FFFFFF"/>
            <w:tcMar>
              <w:top w:w="0" w:type="dxa"/>
              <w:left w:w="0" w:type="dxa"/>
              <w:bottom w:w="0" w:type="dxa"/>
              <w:right w:w="0" w:type="dxa"/>
            </w:tcMar>
            <w:vAlign w:val="center"/>
          </w:tcPr>
          <w:p w14:paraId="14063C77" w14:textId="77777777" w:rsidR="00B77386" w:rsidRPr="00D7026D" w:rsidRDefault="00B77386" w:rsidP="00817CE0">
            <w:pPr>
              <w:pStyle w:val="ListParagraph"/>
              <w:numPr>
                <w:ilvl w:val="0"/>
                <w:numId w:val="9"/>
              </w:numPr>
              <w:spacing w:before="40" w:after="40"/>
              <w:ind w:right="100"/>
              <w:jc w:val="right"/>
              <w:rPr>
                <w:rFonts w:asciiTheme="majorHAnsi" w:hAnsiTheme="majorHAnsi" w:cstheme="majorHAnsi"/>
                <w:color w:val="111111"/>
                <w:sz w:val="16"/>
                <w:szCs w:val="16"/>
              </w:rPr>
            </w:pPr>
          </w:p>
        </w:tc>
        <w:tc>
          <w:tcPr>
            <w:tcW w:w="1577" w:type="dxa"/>
            <w:tcBorders>
              <w:top w:val="single" w:sz="4" w:space="0" w:color="000000"/>
            </w:tcBorders>
            <w:shd w:val="clear" w:color="auto" w:fill="FFFFFF"/>
            <w:tcMar>
              <w:top w:w="0" w:type="dxa"/>
              <w:left w:w="0" w:type="dxa"/>
              <w:bottom w:w="0" w:type="dxa"/>
              <w:right w:w="0" w:type="dxa"/>
            </w:tcMar>
            <w:vAlign w:val="center"/>
          </w:tcPr>
          <w:p w14:paraId="4E4A56F4" w14:textId="77777777" w:rsidR="00B77386" w:rsidRPr="00D7026D" w:rsidRDefault="00B77386" w:rsidP="00817CE0">
            <w:pPr>
              <w:spacing w:before="40" w:after="40"/>
              <w:ind w:left="100" w:right="100"/>
              <w:jc w:val="right"/>
              <w:rPr>
                <w:rFonts w:asciiTheme="majorHAnsi" w:hAnsiTheme="majorHAnsi" w:cstheme="majorHAnsi"/>
                <w:color w:val="111111"/>
                <w:sz w:val="16"/>
                <w:szCs w:val="16"/>
              </w:rPr>
            </w:pPr>
            <w:r w:rsidRPr="00D7026D">
              <w:rPr>
                <w:rFonts w:asciiTheme="majorHAnsi" w:hAnsiTheme="majorHAnsi" w:cstheme="majorHAnsi"/>
                <w:color w:val="111111"/>
                <w:sz w:val="16"/>
                <w:szCs w:val="16"/>
              </w:rPr>
              <w:t>159</w:t>
            </w:r>
          </w:p>
        </w:tc>
        <w:tc>
          <w:tcPr>
            <w:tcW w:w="941" w:type="dxa"/>
            <w:gridSpan w:val="2"/>
            <w:tcBorders>
              <w:top w:val="single" w:sz="4" w:space="0" w:color="000000"/>
            </w:tcBorders>
            <w:shd w:val="clear" w:color="auto" w:fill="FFFFFF"/>
            <w:tcMar>
              <w:top w:w="0" w:type="dxa"/>
              <w:left w:w="0" w:type="dxa"/>
              <w:bottom w:w="0" w:type="dxa"/>
              <w:right w:w="0" w:type="dxa"/>
            </w:tcMar>
            <w:vAlign w:val="center"/>
          </w:tcPr>
          <w:p w14:paraId="14F6B18D" w14:textId="77777777" w:rsidR="00B77386" w:rsidRPr="00D7026D" w:rsidRDefault="00B77386" w:rsidP="00817CE0">
            <w:pPr>
              <w:spacing w:before="40" w:after="40"/>
              <w:ind w:left="100" w:right="100"/>
              <w:jc w:val="right"/>
              <w:rPr>
                <w:rFonts w:asciiTheme="majorHAnsi" w:hAnsiTheme="majorHAnsi" w:cstheme="majorHAnsi"/>
                <w:color w:val="111111"/>
                <w:sz w:val="16"/>
                <w:szCs w:val="16"/>
              </w:rPr>
            </w:pPr>
          </w:p>
        </w:tc>
      </w:tr>
      <w:tr w:rsidR="00B77386" w:rsidRPr="00D7026D" w14:paraId="1B159010" w14:textId="77777777" w:rsidTr="00817CE0">
        <w:trPr>
          <w:cantSplit/>
          <w:trHeight w:val="462"/>
          <w:jc w:val="center"/>
        </w:trPr>
        <w:tc>
          <w:tcPr>
            <w:tcW w:w="1845" w:type="dxa"/>
            <w:tcBorders>
              <w:bottom w:val="single" w:sz="4" w:space="0" w:color="000000"/>
            </w:tcBorders>
            <w:shd w:val="clear" w:color="auto" w:fill="FFFFFF"/>
            <w:tcMar>
              <w:top w:w="0" w:type="dxa"/>
              <w:left w:w="0" w:type="dxa"/>
              <w:bottom w:w="0" w:type="dxa"/>
              <w:right w:w="0" w:type="dxa"/>
            </w:tcMar>
            <w:vAlign w:val="center"/>
          </w:tcPr>
          <w:p w14:paraId="1FEEB138" w14:textId="77777777" w:rsidR="00B77386" w:rsidRPr="00D7026D" w:rsidRDefault="00B77386" w:rsidP="00817CE0">
            <w:pPr>
              <w:spacing w:before="40" w:after="40"/>
              <w:ind w:left="100" w:right="100"/>
              <w:jc w:val="right"/>
              <w:rPr>
                <w:rFonts w:asciiTheme="majorHAnsi" w:hAnsiTheme="majorHAnsi" w:cstheme="majorHAnsi"/>
                <w:color w:val="111111"/>
                <w:sz w:val="16"/>
                <w:szCs w:val="16"/>
              </w:rPr>
            </w:pPr>
            <w:r w:rsidRPr="00D7026D">
              <w:rPr>
                <w:rFonts w:asciiTheme="majorHAnsi" w:hAnsiTheme="majorHAnsi" w:cstheme="majorHAnsi"/>
                <w:color w:val="111111"/>
                <w:sz w:val="16"/>
                <w:szCs w:val="16"/>
              </w:rPr>
              <w:t>Fatigue severity at ~12 months</w:t>
            </w:r>
          </w:p>
        </w:tc>
        <w:tc>
          <w:tcPr>
            <w:tcW w:w="1483" w:type="dxa"/>
            <w:tcBorders>
              <w:bottom w:val="single" w:sz="4" w:space="0" w:color="000000"/>
            </w:tcBorders>
            <w:shd w:val="clear" w:color="auto" w:fill="FFFFFF"/>
            <w:tcMar>
              <w:top w:w="0" w:type="dxa"/>
              <w:left w:w="0" w:type="dxa"/>
              <w:bottom w:w="0" w:type="dxa"/>
              <w:right w:w="0" w:type="dxa"/>
            </w:tcMar>
            <w:vAlign w:val="center"/>
          </w:tcPr>
          <w:p w14:paraId="2311868A" w14:textId="77777777" w:rsidR="00B77386" w:rsidRPr="00D7026D" w:rsidRDefault="00B77386" w:rsidP="00817CE0">
            <w:pPr>
              <w:spacing w:before="40" w:after="40"/>
              <w:ind w:left="100" w:right="100"/>
              <w:jc w:val="right"/>
              <w:rPr>
                <w:rFonts w:asciiTheme="majorHAnsi" w:hAnsiTheme="majorHAnsi" w:cstheme="majorHAnsi"/>
                <w:color w:val="111111"/>
                <w:sz w:val="16"/>
                <w:szCs w:val="16"/>
              </w:rPr>
            </w:pPr>
          </w:p>
        </w:tc>
        <w:tc>
          <w:tcPr>
            <w:tcW w:w="1577" w:type="dxa"/>
            <w:tcBorders>
              <w:bottom w:val="single" w:sz="4" w:space="0" w:color="000000"/>
            </w:tcBorders>
            <w:shd w:val="clear" w:color="auto" w:fill="FFFFFF"/>
            <w:tcMar>
              <w:top w:w="0" w:type="dxa"/>
              <w:left w:w="0" w:type="dxa"/>
              <w:bottom w:w="0" w:type="dxa"/>
              <w:right w:w="0" w:type="dxa"/>
            </w:tcMar>
            <w:vAlign w:val="center"/>
          </w:tcPr>
          <w:p w14:paraId="726323C3" w14:textId="77777777" w:rsidR="00B77386" w:rsidRPr="00D7026D" w:rsidRDefault="00B77386" w:rsidP="00817CE0">
            <w:pPr>
              <w:pStyle w:val="ListParagraph"/>
              <w:numPr>
                <w:ilvl w:val="0"/>
                <w:numId w:val="9"/>
              </w:numPr>
              <w:spacing w:before="40" w:after="40"/>
              <w:ind w:right="100"/>
              <w:jc w:val="right"/>
              <w:rPr>
                <w:rFonts w:asciiTheme="majorHAnsi" w:hAnsiTheme="majorHAnsi" w:cstheme="majorHAnsi"/>
                <w:color w:val="111111"/>
                <w:sz w:val="16"/>
                <w:szCs w:val="16"/>
              </w:rPr>
            </w:pPr>
          </w:p>
        </w:tc>
        <w:tc>
          <w:tcPr>
            <w:tcW w:w="1577" w:type="dxa"/>
            <w:tcBorders>
              <w:bottom w:val="single" w:sz="4" w:space="0" w:color="000000"/>
            </w:tcBorders>
            <w:shd w:val="clear" w:color="auto" w:fill="FFFFFF"/>
            <w:tcMar>
              <w:top w:w="0" w:type="dxa"/>
              <w:left w:w="0" w:type="dxa"/>
              <w:bottom w:w="0" w:type="dxa"/>
              <w:right w:w="0" w:type="dxa"/>
            </w:tcMar>
            <w:vAlign w:val="center"/>
          </w:tcPr>
          <w:p w14:paraId="605FE28E" w14:textId="77777777" w:rsidR="00B77386" w:rsidRPr="00D7026D" w:rsidRDefault="00B77386" w:rsidP="00817CE0">
            <w:pPr>
              <w:spacing w:before="40" w:after="40"/>
              <w:ind w:left="100" w:right="100"/>
              <w:jc w:val="right"/>
              <w:rPr>
                <w:rFonts w:asciiTheme="majorHAnsi" w:hAnsiTheme="majorHAnsi" w:cstheme="majorHAnsi"/>
                <w:color w:val="111111"/>
                <w:sz w:val="16"/>
                <w:szCs w:val="16"/>
              </w:rPr>
            </w:pPr>
            <w:r w:rsidRPr="00D7026D">
              <w:rPr>
                <w:rFonts w:asciiTheme="majorHAnsi" w:hAnsiTheme="majorHAnsi" w:cstheme="majorHAnsi"/>
                <w:color w:val="111111"/>
                <w:sz w:val="16"/>
                <w:szCs w:val="16"/>
              </w:rPr>
              <w:t>5.0 (3.0 to 7.0)</w:t>
            </w:r>
          </w:p>
        </w:tc>
        <w:tc>
          <w:tcPr>
            <w:tcW w:w="941" w:type="dxa"/>
            <w:gridSpan w:val="2"/>
            <w:tcBorders>
              <w:bottom w:val="single" w:sz="4" w:space="0" w:color="000000"/>
            </w:tcBorders>
            <w:shd w:val="clear" w:color="auto" w:fill="FFFFFF"/>
            <w:tcMar>
              <w:top w:w="0" w:type="dxa"/>
              <w:left w:w="0" w:type="dxa"/>
              <w:bottom w:w="0" w:type="dxa"/>
              <w:right w:w="0" w:type="dxa"/>
            </w:tcMar>
            <w:vAlign w:val="center"/>
          </w:tcPr>
          <w:p w14:paraId="59833F05" w14:textId="77777777" w:rsidR="00B77386" w:rsidRPr="00D7026D" w:rsidRDefault="00B77386" w:rsidP="00817CE0">
            <w:pPr>
              <w:pStyle w:val="ListParagraph"/>
              <w:numPr>
                <w:ilvl w:val="0"/>
                <w:numId w:val="9"/>
              </w:numPr>
              <w:spacing w:before="40" w:after="40"/>
              <w:ind w:right="100"/>
              <w:jc w:val="right"/>
              <w:rPr>
                <w:rFonts w:asciiTheme="majorHAnsi" w:hAnsiTheme="majorHAnsi" w:cstheme="majorHAnsi"/>
                <w:color w:val="111111"/>
                <w:sz w:val="16"/>
                <w:szCs w:val="16"/>
              </w:rPr>
            </w:pPr>
          </w:p>
        </w:tc>
      </w:tr>
      <w:tr w:rsidR="00B77386" w:rsidRPr="00D7026D" w14:paraId="6F7B1CA7" w14:textId="77777777" w:rsidTr="00817CE0">
        <w:trPr>
          <w:cantSplit/>
          <w:trHeight w:val="462"/>
          <w:jc w:val="center"/>
        </w:trPr>
        <w:tc>
          <w:tcPr>
            <w:tcW w:w="1845" w:type="dxa"/>
            <w:tcBorders>
              <w:top w:val="single" w:sz="4" w:space="0" w:color="000000"/>
            </w:tcBorders>
            <w:shd w:val="clear" w:color="auto" w:fill="FFFFFF"/>
            <w:tcMar>
              <w:top w:w="0" w:type="dxa"/>
              <w:left w:w="0" w:type="dxa"/>
              <w:bottom w:w="0" w:type="dxa"/>
              <w:right w:w="0" w:type="dxa"/>
            </w:tcMar>
            <w:vAlign w:val="center"/>
          </w:tcPr>
          <w:p w14:paraId="25448936" w14:textId="77777777" w:rsidR="00B77386" w:rsidRPr="00D7026D" w:rsidRDefault="00B77386" w:rsidP="00817CE0">
            <w:pPr>
              <w:spacing w:before="40" w:after="40"/>
              <w:ind w:left="100" w:right="100"/>
              <w:jc w:val="right"/>
              <w:rPr>
                <w:rFonts w:asciiTheme="majorHAnsi" w:hAnsiTheme="majorHAnsi" w:cstheme="majorHAnsi"/>
                <w:color w:val="111111"/>
                <w:sz w:val="16"/>
                <w:szCs w:val="16"/>
              </w:rPr>
            </w:pPr>
            <w:r w:rsidRPr="00D7026D">
              <w:rPr>
                <w:rFonts w:asciiTheme="majorHAnsi" w:hAnsiTheme="majorHAnsi" w:cstheme="majorHAnsi"/>
                <w:color w:val="111111"/>
                <w:sz w:val="16"/>
                <w:szCs w:val="16"/>
              </w:rPr>
              <w:t>Total N</w:t>
            </w:r>
          </w:p>
        </w:tc>
        <w:tc>
          <w:tcPr>
            <w:tcW w:w="1483" w:type="dxa"/>
            <w:tcBorders>
              <w:top w:val="single" w:sz="4" w:space="0" w:color="000000"/>
            </w:tcBorders>
            <w:shd w:val="clear" w:color="auto" w:fill="FFFFFF"/>
            <w:tcMar>
              <w:top w:w="0" w:type="dxa"/>
              <w:left w:w="0" w:type="dxa"/>
              <w:bottom w:w="0" w:type="dxa"/>
              <w:right w:w="0" w:type="dxa"/>
            </w:tcMar>
            <w:vAlign w:val="center"/>
          </w:tcPr>
          <w:p w14:paraId="51509676" w14:textId="77777777" w:rsidR="00B77386" w:rsidRPr="00D7026D" w:rsidRDefault="00B77386" w:rsidP="00817CE0">
            <w:pPr>
              <w:spacing w:before="40" w:after="40"/>
              <w:ind w:left="100" w:right="100"/>
              <w:jc w:val="right"/>
              <w:rPr>
                <w:rFonts w:asciiTheme="majorHAnsi" w:hAnsiTheme="majorHAnsi" w:cstheme="majorHAnsi"/>
                <w:color w:val="111111"/>
                <w:sz w:val="16"/>
                <w:szCs w:val="16"/>
              </w:rPr>
            </w:pPr>
          </w:p>
        </w:tc>
        <w:tc>
          <w:tcPr>
            <w:tcW w:w="1577" w:type="dxa"/>
            <w:tcBorders>
              <w:top w:val="single" w:sz="4" w:space="0" w:color="000000"/>
            </w:tcBorders>
            <w:shd w:val="clear" w:color="auto" w:fill="FFFFFF"/>
            <w:tcMar>
              <w:top w:w="0" w:type="dxa"/>
              <w:left w:w="0" w:type="dxa"/>
              <w:bottom w:w="0" w:type="dxa"/>
              <w:right w:w="0" w:type="dxa"/>
            </w:tcMar>
            <w:vAlign w:val="center"/>
          </w:tcPr>
          <w:p w14:paraId="1BA90F67" w14:textId="77777777" w:rsidR="00B77386" w:rsidRPr="00D7026D" w:rsidRDefault="00B77386" w:rsidP="00817CE0">
            <w:pPr>
              <w:spacing w:before="40" w:after="40"/>
              <w:ind w:left="100" w:right="100"/>
              <w:jc w:val="right"/>
              <w:rPr>
                <w:rFonts w:asciiTheme="majorHAnsi" w:hAnsiTheme="majorHAnsi" w:cstheme="majorHAnsi"/>
                <w:color w:val="111111"/>
                <w:sz w:val="16"/>
                <w:szCs w:val="16"/>
              </w:rPr>
            </w:pPr>
            <w:r w:rsidRPr="00D7026D">
              <w:rPr>
                <w:rFonts w:asciiTheme="majorHAnsi" w:hAnsiTheme="majorHAnsi" w:cstheme="majorHAnsi"/>
                <w:color w:val="111111"/>
                <w:sz w:val="16"/>
                <w:szCs w:val="16"/>
              </w:rPr>
              <w:t>85</w:t>
            </w:r>
          </w:p>
        </w:tc>
        <w:tc>
          <w:tcPr>
            <w:tcW w:w="1577" w:type="dxa"/>
            <w:tcBorders>
              <w:top w:val="single" w:sz="4" w:space="0" w:color="000000"/>
            </w:tcBorders>
            <w:shd w:val="clear" w:color="auto" w:fill="FFFFFF"/>
            <w:tcMar>
              <w:top w:w="0" w:type="dxa"/>
              <w:left w:w="0" w:type="dxa"/>
              <w:bottom w:w="0" w:type="dxa"/>
              <w:right w:w="0" w:type="dxa"/>
            </w:tcMar>
            <w:vAlign w:val="center"/>
          </w:tcPr>
          <w:p w14:paraId="3FC0906D" w14:textId="77777777" w:rsidR="00B77386" w:rsidRPr="00D7026D" w:rsidRDefault="00B77386" w:rsidP="00817CE0">
            <w:pPr>
              <w:pStyle w:val="ListParagraph"/>
              <w:numPr>
                <w:ilvl w:val="0"/>
                <w:numId w:val="8"/>
              </w:numPr>
              <w:spacing w:before="40" w:after="40"/>
              <w:ind w:right="100"/>
              <w:jc w:val="right"/>
              <w:rPr>
                <w:rFonts w:asciiTheme="majorHAnsi" w:hAnsiTheme="majorHAnsi" w:cstheme="majorHAnsi"/>
                <w:color w:val="111111"/>
                <w:sz w:val="16"/>
                <w:szCs w:val="16"/>
              </w:rPr>
            </w:pPr>
          </w:p>
        </w:tc>
        <w:tc>
          <w:tcPr>
            <w:tcW w:w="941" w:type="dxa"/>
            <w:gridSpan w:val="2"/>
            <w:tcBorders>
              <w:top w:val="single" w:sz="4" w:space="0" w:color="000000"/>
            </w:tcBorders>
            <w:shd w:val="clear" w:color="auto" w:fill="FFFFFF"/>
            <w:tcMar>
              <w:top w:w="0" w:type="dxa"/>
              <w:left w:w="0" w:type="dxa"/>
              <w:bottom w:w="0" w:type="dxa"/>
              <w:right w:w="0" w:type="dxa"/>
            </w:tcMar>
            <w:vAlign w:val="center"/>
          </w:tcPr>
          <w:p w14:paraId="59716D4E" w14:textId="77777777" w:rsidR="00B77386" w:rsidRPr="00D7026D" w:rsidRDefault="00B77386" w:rsidP="00817CE0">
            <w:pPr>
              <w:spacing w:before="40" w:after="40"/>
              <w:ind w:left="100" w:right="100"/>
              <w:jc w:val="right"/>
              <w:rPr>
                <w:rFonts w:asciiTheme="majorHAnsi" w:hAnsiTheme="majorHAnsi" w:cstheme="majorHAnsi"/>
                <w:color w:val="111111"/>
                <w:sz w:val="16"/>
                <w:szCs w:val="16"/>
              </w:rPr>
            </w:pPr>
          </w:p>
        </w:tc>
      </w:tr>
      <w:tr w:rsidR="00B77386" w:rsidRPr="00D7026D" w14:paraId="4CEF655A" w14:textId="77777777" w:rsidTr="00817CE0">
        <w:trPr>
          <w:cantSplit/>
          <w:trHeight w:val="462"/>
          <w:jc w:val="center"/>
        </w:trPr>
        <w:tc>
          <w:tcPr>
            <w:tcW w:w="1845" w:type="dxa"/>
            <w:tcBorders>
              <w:bottom w:val="single" w:sz="16" w:space="0" w:color="000000"/>
            </w:tcBorders>
            <w:shd w:val="clear" w:color="auto" w:fill="FFFFFF"/>
            <w:tcMar>
              <w:top w:w="0" w:type="dxa"/>
              <w:left w:w="0" w:type="dxa"/>
              <w:bottom w:w="0" w:type="dxa"/>
              <w:right w:w="0" w:type="dxa"/>
            </w:tcMar>
            <w:vAlign w:val="center"/>
          </w:tcPr>
          <w:p w14:paraId="61073245" w14:textId="77777777" w:rsidR="00B77386" w:rsidRPr="00D7026D" w:rsidRDefault="00B77386" w:rsidP="00817CE0">
            <w:pPr>
              <w:spacing w:before="40" w:after="40"/>
              <w:ind w:left="100" w:right="100"/>
              <w:jc w:val="right"/>
              <w:rPr>
                <w:rFonts w:asciiTheme="majorHAnsi" w:hAnsiTheme="majorHAnsi" w:cstheme="majorHAnsi"/>
                <w:color w:val="111111"/>
                <w:sz w:val="16"/>
                <w:szCs w:val="16"/>
              </w:rPr>
            </w:pPr>
            <w:r w:rsidRPr="00D7026D">
              <w:rPr>
                <w:rFonts w:asciiTheme="majorHAnsi" w:hAnsiTheme="majorHAnsi" w:cstheme="majorHAnsi"/>
                <w:color w:val="111111"/>
                <w:sz w:val="16"/>
                <w:szCs w:val="16"/>
              </w:rPr>
              <w:t>Fatigue severity across follow-up period</w:t>
            </w:r>
          </w:p>
        </w:tc>
        <w:tc>
          <w:tcPr>
            <w:tcW w:w="1483" w:type="dxa"/>
            <w:tcBorders>
              <w:bottom w:val="single" w:sz="16" w:space="0" w:color="000000"/>
            </w:tcBorders>
            <w:shd w:val="clear" w:color="auto" w:fill="FFFFFF"/>
            <w:tcMar>
              <w:top w:w="0" w:type="dxa"/>
              <w:left w:w="0" w:type="dxa"/>
              <w:bottom w:w="0" w:type="dxa"/>
              <w:right w:w="0" w:type="dxa"/>
            </w:tcMar>
            <w:vAlign w:val="center"/>
          </w:tcPr>
          <w:p w14:paraId="6C2067CA" w14:textId="77777777" w:rsidR="00B77386" w:rsidRPr="00D7026D" w:rsidRDefault="00B77386" w:rsidP="00817CE0">
            <w:pPr>
              <w:spacing w:before="40" w:after="40"/>
              <w:ind w:left="100" w:right="100"/>
              <w:jc w:val="right"/>
              <w:rPr>
                <w:rFonts w:asciiTheme="majorHAnsi" w:hAnsiTheme="majorHAnsi" w:cstheme="majorHAnsi"/>
                <w:color w:val="111111"/>
                <w:sz w:val="16"/>
                <w:szCs w:val="16"/>
              </w:rPr>
            </w:pPr>
            <w:r w:rsidRPr="00D7026D">
              <w:rPr>
                <w:rFonts w:asciiTheme="majorHAnsi" w:hAnsiTheme="majorHAnsi" w:cstheme="majorHAnsi"/>
                <w:color w:val="111111"/>
                <w:sz w:val="16"/>
                <w:szCs w:val="16"/>
              </w:rPr>
              <w:t>Median (IQR)</w:t>
            </w:r>
          </w:p>
        </w:tc>
        <w:tc>
          <w:tcPr>
            <w:tcW w:w="1577" w:type="dxa"/>
            <w:tcBorders>
              <w:bottom w:val="single" w:sz="16" w:space="0" w:color="000000"/>
            </w:tcBorders>
            <w:shd w:val="clear" w:color="auto" w:fill="FFFFFF"/>
            <w:tcMar>
              <w:top w:w="0" w:type="dxa"/>
              <w:left w:w="0" w:type="dxa"/>
              <w:bottom w:w="0" w:type="dxa"/>
              <w:right w:w="0" w:type="dxa"/>
            </w:tcMar>
            <w:vAlign w:val="center"/>
          </w:tcPr>
          <w:p w14:paraId="323AB1B6" w14:textId="77777777" w:rsidR="00B77386" w:rsidRPr="00D7026D" w:rsidRDefault="00B77386" w:rsidP="00817CE0">
            <w:pPr>
              <w:spacing w:before="40" w:after="40"/>
              <w:ind w:left="100" w:right="100"/>
              <w:jc w:val="right"/>
              <w:rPr>
                <w:rFonts w:asciiTheme="majorHAnsi" w:hAnsiTheme="majorHAnsi" w:cstheme="majorHAnsi"/>
                <w:color w:val="111111"/>
                <w:sz w:val="16"/>
                <w:szCs w:val="16"/>
              </w:rPr>
            </w:pPr>
            <w:r w:rsidRPr="00D7026D">
              <w:rPr>
                <w:rFonts w:asciiTheme="majorHAnsi" w:hAnsiTheme="majorHAnsi" w:cstheme="majorHAnsi"/>
                <w:color w:val="111111"/>
                <w:sz w:val="16"/>
                <w:szCs w:val="16"/>
              </w:rPr>
              <w:t>5.0 (2.0 to 7.0)</w:t>
            </w:r>
          </w:p>
        </w:tc>
        <w:tc>
          <w:tcPr>
            <w:tcW w:w="1577" w:type="dxa"/>
            <w:tcBorders>
              <w:bottom w:val="single" w:sz="16" w:space="0" w:color="000000"/>
            </w:tcBorders>
            <w:shd w:val="clear" w:color="auto" w:fill="FFFFFF"/>
            <w:tcMar>
              <w:top w:w="0" w:type="dxa"/>
              <w:left w:w="0" w:type="dxa"/>
              <w:bottom w:w="0" w:type="dxa"/>
              <w:right w:w="0" w:type="dxa"/>
            </w:tcMar>
            <w:vAlign w:val="center"/>
          </w:tcPr>
          <w:p w14:paraId="10C05A61" w14:textId="77777777" w:rsidR="00B77386" w:rsidRPr="00D7026D" w:rsidRDefault="00B77386" w:rsidP="00817CE0">
            <w:pPr>
              <w:pStyle w:val="ListParagraph"/>
              <w:numPr>
                <w:ilvl w:val="0"/>
                <w:numId w:val="8"/>
              </w:numPr>
              <w:spacing w:before="40" w:after="40"/>
              <w:ind w:right="100"/>
              <w:jc w:val="right"/>
              <w:rPr>
                <w:rFonts w:asciiTheme="majorHAnsi" w:hAnsiTheme="majorHAnsi" w:cstheme="majorHAnsi"/>
                <w:color w:val="111111"/>
                <w:sz w:val="16"/>
                <w:szCs w:val="16"/>
              </w:rPr>
            </w:pPr>
          </w:p>
        </w:tc>
        <w:tc>
          <w:tcPr>
            <w:tcW w:w="941" w:type="dxa"/>
            <w:gridSpan w:val="2"/>
            <w:tcBorders>
              <w:bottom w:val="single" w:sz="16" w:space="0" w:color="000000"/>
            </w:tcBorders>
            <w:shd w:val="clear" w:color="auto" w:fill="FFFFFF"/>
            <w:tcMar>
              <w:top w:w="0" w:type="dxa"/>
              <w:left w:w="0" w:type="dxa"/>
              <w:bottom w:w="0" w:type="dxa"/>
              <w:right w:w="0" w:type="dxa"/>
            </w:tcMar>
            <w:vAlign w:val="center"/>
          </w:tcPr>
          <w:p w14:paraId="3E57E4C0" w14:textId="77777777" w:rsidR="00B77386" w:rsidRPr="00D7026D" w:rsidRDefault="00B77386" w:rsidP="00817CE0">
            <w:pPr>
              <w:pStyle w:val="ListParagraph"/>
              <w:numPr>
                <w:ilvl w:val="0"/>
                <w:numId w:val="8"/>
              </w:numPr>
              <w:spacing w:before="40" w:after="40"/>
              <w:ind w:right="100"/>
              <w:jc w:val="right"/>
              <w:rPr>
                <w:rFonts w:asciiTheme="majorHAnsi" w:hAnsiTheme="majorHAnsi" w:cstheme="majorHAnsi"/>
                <w:color w:val="111111"/>
                <w:sz w:val="16"/>
                <w:szCs w:val="16"/>
              </w:rPr>
            </w:pPr>
          </w:p>
        </w:tc>
      </w:tr>
    </w:tbl>
    <w:p w14:paraId="5E933234" w14:textId="57506422" w:rsidR="00B77386" w:rsidRPr="0052517E" w:rsidRDefault="00991354" w:rsidP="0052517E">
      <w:pPr>
        <w:jc w:val="both"/>
        <w:rPr>
          <w:rFonts w:asciiTheme="majorHAnsi" w:hAnsiTheme="majorHAnsi" w:cstheme="majorHAnsi"/>
          <w:sz w:val="18"/>
          <w:szCs w:val="18"/>
          <w:highlight w:val="white"/>
        </w:rPr>
      </w:pPr>
      <w:r w:rsidRPr="00DF7516">
        <w:rPr>
          <w:rFonts w:asciiTheme="majorHAnsi" w:hAnsiTheme="majorHAnsi" w:cstheme="majorHAnsi"/>
          <w:sz w:val="18"/>
          <w:szCs w:val="18"/>
          <w:highlight w:val="white"/>
        </w:rPr>
        <w:t>Fatigue severity according to Visual Analogue Scale</w:t>
      </w:r>
      <w:r w:rsidR="00B21A48" w:rsidRPr="00DF7516">
        <w:rPr>
          <w:rFonts w:asciiTheme="majorHAnsi" w:hAnsiTheme="majorHAnsi" w:cstheme="majorHAnsi"/>
          <w:sz w:val="18"/>
          <w:szCs w:val="18"/>
          <w:highlight w:val="white"/>
        </w:rPr>
        <w:t xml:space="preserve"> in self-reported questionnaires. Covid-19 cohort: ~3 months – 90-120 days</w:t>
      </w:r>
      <w:r w:rsidR="00EB3C44" w:rsidRPr="00DF7516">
        <w:rPr>
          <w:rFonts w:asciiTheme="majorHAnsi" w:hAnsiTheme="majorHAnsi" w:cstheme="majorHAnsi"/>
          <w:sz w:val="18"/>
          <w:szCs w:val="18"/>
          <w:highlight w:val="white"/>
        </w:rPr>
        <w:t>,</w:t>
      </w:r>
      <w:r w:rsidR="00B21A48" w:rsidRPr="00DF7516">
        <w:rPr>
          <w:rFonts w:asciiTheme="majorHAnsi" w:hAnsiTheme="majorHAnsi" w:cstheme="majorHAnsi"/>
          <w:sz w:val="18"/>
          <w:szCs w:val="18"/>
          <w:highlight w:val="white"/>
        </w:rPr>
        <w:t xml:space="preserve"> </w:t>
      </w:r>
      <w:r w:rsidR="00EB3C44" w:rsidRPr="00DF7516">
        <w:rPr>
          <w:rFonts w:asciiTheme="majorHAnsi" w:hAnsiTheme="majorHAnsi" w:cstheme="majorHAnsi"/>
          <w:sz w:val="18"/>
          <w:szCs w:val="18"/>
          <w:highlight w:val="white"/>
        </w:rPr>
        <w:t xml:space="preserve">~6 months – 150-210 days, </w:t>
      </w:r>
      <w:r w:rsidR="0052517E">
        <w:rPr>
          <w:rFonts w:asciiTheme="majorHAnsi" w:hAnsiTheme="majorHAnsi" w:cstheme="majorHAnsi"/>
          <w:sz w:val="18"/>
          <w:szCs w:val="18"/>
          <w:highlight w:val="white"/>
        </w:rPr>
        <w:t>Fatigue at 12 months was not compared as the Covid-19 cohort had not accrued follow-up to this timepoint.</w:t>
      </w:r>
    </w:p>
    <w:p w14:paraId="4FF9EF06" w14:textId="7DFF1ECA" w:rsidR="00B77386" w:rsidRDefault="00B77386" w:rsidP="00B77386">
      <w:pPr>
        <w:spacing w:line="480" w:lineRule="auto"/>
        <w:jc w:val="both"/>
        <w:rPr>
          <w:rFonts w:asciiTheme="majorHAnsi" w:hAnsiTheme="majorHAnsi" w:cstheme="majorHAnsi"/>
          <w:b/>
          <w:bCs/>
          <w:highlight w:val="white"/>
        </w:rPr>
      </w:pPr>
    </w:p>
    <w:p w14:paraId="3F4D1F13" w14:textId="702AD019" w:rsidR="00953305" w:rsidRDefault="00953305" w:rsidP="00B77386">
      <w:pPr>
        <w:spacing w:line="480" w:lineRule="auto"/>
        <w:jc w:val="both"/>
        <w:rPr>
          <w:rFonts w:asciiTheme="majorHAnsi" w:hAnsiTheme="majorHAnsi" w:cstheme="majorHAnsi"/>
          <w:b/>
          <w:bCs/>
          <w:highlight w:val="white"/>
        </w:rPr>
      </w:pPr>
    </w:p>
    <w:p w14:paraId="357E3C8E" w14:textId="77777777" w:rsidR="00953305" w:rsidRPr="00D7026D" w:rsidRDefault="00953305" w:rsidP="00B77386">
      <w:pPr>
        <w:spacing w:line="480" w:lineRule="auto"/>
        <w:jc w:val="both"/>
        <w:rPr>
          <w:rFonts w:asciiTheme="majorHAnsi" w:hAnsiTheme="majorHAnsi" w:cstheme="majorHAnsi"/>
          <w:b/>
          <w:bCs/>
          <w:highlight w:val="white"/>
        </w:rPr>
      </w:pPr>
    </w:p>
    <w:p w14:paraId="425395DE" w14:textId="77777777" w:rsidR="00B77386" w:rsidRPr="00D7026D" w:rsidRDefault="00B77386" w:rsidP="00B77386">
      <w:pPr>
        <w:spacing w:line="480" w:lineRule="auto"/>
        <w:jc w:val="both"/>
        <w:rPr>
          <w:rFonts w:asciiTheme="majorHAnsi" w:hAnsiTheme="majorHAnsi" w:cstheme="majorHAnsi"/>
          <w:b/>
          <w:bCs/>
          <w:highlight w:val="white"/>
        </w:rPr>
      </w:pPr>
    </w:p>
    <w:p w14:paraId="1BA93394" w14:textId="77777777" w:rsidR="00B77386" w:rsidRPr="00D7026D" w:rsidRDefault="00B77386" w:rsidP="00B77386">
      <w:pPr>
        <w:spacing w:line="480" w:lineRule="auto"/>
        <w:jc w:val="both"/>
        <w:rPr>
          <w:rFonts w:asciiTheme="majorHAnsi" w:hAnsiTheme="majorHAnsi" w:cstheme="majorHAnsi"/>
          <w:b/>
          <w:bCs/>
          <w:highlight w:val="white"/>
        </w:rPr>
      </w:pPr>
    </w:p>
    <w:p w14:paraId="452C64A5" w14:textId="77777777" w:rsidR="00B77386" w:rsidRPr="00D7026D" w:rsidRDefault="00B77386" w:rsidP="00B77386">
      <w:pPr>
        <w:spacing w:line="480" w:lineRule="auto"/>
        <w:jc w:val="both"/>
        <w:rPr>
          <w:rFonts w:asciiTheme="majorHAnsi" w:hAnsiTheme="majorHAnsi" w:cstheme="majorHAnsi"/>
          <w:b/>
          <w:bCs/>
          <w:highlight w:val="white"/>
        </w:rPr>
      </w:pPr>
    </w:p>
    <w:p w14:paraId="531DEA67" w14:textId="77777777" w:rsidR="00B77386" w:rsidRPr="00D7026D" w:rsidRDefault="00B77386" w:rsidP="00B77386">
      <w:pPr>
        <w:spacing w:line="480" w:lineRule="auto"/>
        <w:jc w:val="both"/>
        <w:rPr>
          <w:rFonts w:asciiTheme="majorHAnsi" w:hAnsiTheme="majorHAnsi" w:cstheme="majorHAnsi"/>
          <w:b/>
          <w:bCs/>
          <w:highlight w:val="white"/>
        </w:rPr>
      </w:pPr>
    </w:p>
    <w:p w14:paraId="3DB650CD" w14:textId="77777777" w:rsidR="00B77386" w:rsidRPr="00D7026D" w:rsidRDefault="00B77386" w:rsidP="00B77386">
      <w:pPr>
        <w:spacing w:line="480" w:lineRule="auto"/>
        <w:jc w:val="both"/>
        <w:rPr>
          <w:rFonts w:asciiTheme="majorHAnsi" w:hAnsiTheme="majorHAnsi" w:cstheme="majorHAnsi"/>
          <w:b/>
          <w:bCs/>
          <w:highlight w:val="white"/>
        </w:rPr>
      </w:pPr>
    </w:p>
    <w:p w14:paraId="1646AB15" w14:textId="77777777" w:rsidR="00B77386" w:rsidRPr="00D7026D" w:rsidRDefault="00B77386" w:rsidP="00B77386">
      <w:pPr>
        <w:spacing w:line="480" w:lineRule="auto"/>
        <w:jc w:val="both"/>
        <w:rPr>
          <w:rFonts w:asciiTheme="majorHAnsi" w:hAnsiTheme="majorHAnsi" w:cstheme="majorHAnsi"/>
          <w:b/>
          <w:bCs/>
          <w:highlight w:val="white"/>
        </w:rPr>
      </w:pPr>
    </w:p>
    <w:p w14:paraId="301DF99B" w14:textId="77777777" w:rsidR="00B77386" w:rsidRPr="00D7026D" w:rsidRDefault="00B77386" w:rsidP="00B77386">
      <w:pPr>
        <w:spacing w:line="480" w:lineRule="auto"/>
        <w:jc w:val="both"/>
        <w:rPr>
          <w:rFonts w:asciiTheme="majorHAnsi" w:hAnsiTheme="majorHAnsi" w:cstheme="majorHAnsi"/>
          <w:b/>
          <w:bCs/>
          <w:highlight w:val="white"/>
        </w:rPr>
      </w:pPr>
    </w:p>
    <w:p w14:paraId="08FD72E6" w14:textId="77777777" w:rsidR="00B77386" w:rsidRPr="00D7026D" w:rsidRDefault="00B77386" w:rsidP="00B77386">
      <w:pPr>
        <w:spacing w:line="480" w:lineRule="auto"/>
        <w:jc w:val="both"/>
        <w:rPr>
          <w:rFonts w:asciiTheme="majorHAnsi" w:hAnsiTheme="majorHAnsi" w:cstheme="majorHAnsi"/>
          <w:b/>
          <w:bCs/>
          <w:highlight w:val="white"/>
        </w:rPr>
      </w:pPr>
    </w:p>
    <w:p w14:paraId="7E2D8EE2" w14:textId="77777777" w:rsidR="00B77386" w:rsidRPr="00D7026D" w:rsidRDefault="00B77386" w:rsidP="00B77386">
      <w:pPr>
        <w:spacing w:line="480" w:lineRule="auto"/>
        <w:jc w:val="both"/>
        <w:rPr>
          <w:rFonts w:asciiTheme="majorHAnsi" w:hAnsiTheme="majorHAnsi" w:cstheme="majorHAnsi"/>
          <w:b/>
          <w:bCs/>
          <w:highlight w:val="white"/>
        </w:rPr>
      </w:pPr>
    </w:p>
    <w:p w14:paraId="34CF702F" w14:textId="6D2601C1" w:rsidR="00B77386" w:rsidRDefault="00B77386" w:rsidP="00B77386">
      <w:pPr>
        <w:spacing w:line="480" w:lineRule="auto"/>
        <w:jc w:val="both"/>
        <w:rPr>
          <w:rFonts w:asciiTheme="majorHAnsi" w:hAnsiTheme="majorHAnsi" w:cstheme="majorHAnsi"/>
          <w:b/>
          <w:bCs/>
          <w:highlight w:val="white"/>
        </w:rPr>
      </w:pPr>
    </w:p>
    <w:p w14:paraId="661E3130" w14:textId="77777777" w:rsidR="002A01A5" w:rsidRDefault="002A01A5" w:rsidP="00B77386">
      <w:pPr>
        <w:spacing w:line="480" w:lineRule="auto"/>
        <w:jc w:val="both"/>
        <w:rPr>
          <w:rFonts w:asciiTheme="majorHAnsi" w:hAnsiTheme="majorHAnsi" w:cstheme="majorHAnsi"/>
          <w:b/>
          <w:bCs/>
          <w:highlight w:val="white"/>
        </w:rPr>
      </w:pPr>
    </w:p>
    <w:p w14:paraId="7A389AF5" w14:textId="77777777" w:rsidR="002D16DE" w:rsidRPr="00D7026D" w:rsidRDefault="002D16DE" w:rsidP="00B77386">
      <w:pPr>
        <w:spacing w:line="480" w:lineRule="auto"/>
        <w:jc w:val="both"/>
        <w:rPr>
          <w:rFonts w:asciiTheme="majorHAnsi" w:hAnsiTheme="majorHAnsi" w:cstheme="majorHAnsi"/>
          <w:b/>
          <w:bCs/>
          <w:highlight w:val="white"/>
        </w:rPr>
      </w:pPr>
    </w:p>
    <w:p w14:paraId="69153B94" w14:textId="32A9DA42" w:rsidR="00B77386" w:rsidRPr="00D7026D" w:rsidRDefault="00B77386" w:rsidP="00B77386">
      <w:pPr>
        <w:spacing w:line="480" w:lineRule="auto"/>
        <w:jc w:val="both"/>
        <w:rPr>
          <w:rFonts w:asciiTheme="majorHAnsi" w:hAnsiTheme="majorHAnsi" w:cstheme="majorHAnsi"/>
          <w:b/>
          <w:bCs/>
          <w:highlight w:val="white"/>
        </w:rPr>
      </w:pPr>
    </w:p>
    <w:p w14:paraId="265DB268" w14:textId="77777777" w:rsidR="00D85918" w:rsidRPr="00D7026D" w:rsidRDefault="00D85918" w:rsidP="00D85918">
      <w:pPr>
        <w:spacing w:line="480" w:lineRule="auto"/>
        <w:jc w:val="both"/>
        <w:rPr>
          <w:rFonts w:asciiTheme="majorHAnsi" w:hAnsiTheme="majorHAnsi" w:cstheme="majorHAnsi"/>
          <w:highlight w:val="white"/>
        </w:rPr>
      </w:pPr>
      <w:r>
        <w:rPr>
          <w:rFonts w:asciiTheme="majorHAnsi" w:hAnsiTheme="majorHAnsi" w:cstheme="majorHAnsi"/>
          <w:noProof/>
        </w:rPr>
        <w:drawing>
          <wp:inline distT="0" distB="0" distL="0" distR="0" wp14:anchorId="709D35D1" wp14:editId="6A458633">
            <wp:extent cx="5812177" cy="5613991"/>
            <wp:effectExtent l="0" t="0" r="0" b="0"/>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rotWithShape="1">
                    <a:blip r:embed="rId21" cstate="print">
                      <a:extLst>
                        <a:ext uri="{28A0092B-C50C-407E-A947-70E740481C1C}">
                          <a14:useLocalDpi xmlns:a14="http://schemas.microsoft.com/office/drawing/2010/main" val="0"/>
                        </a:ext>
                      </a:extLst>
                    </a:blip>
                    <a:srcRect b="32315"/>
                    <a:stretch/>
                  </pic:blipFill>
                  <pic:spPr bwMode="auto">
                    <a:xfrm>
                      <a:off x="0" y="0"/>
                      <a:ext cx="5838486" cy="5639403"/>
                    </a:xfrm>
                    <a:prstGeom prst="rect">
                      <a:avLst/>
                    </a:prstGeom>
                    <a:ln>
                      <a:noFill/>
                    </a:ln>
                    <a:extLst>
                      <a:ext uri="{53640926-AAD7-44D8-BBD7-CCE9431645EC}">
                        <a14:shadowObscured xmlns:a14="http://schemas.microsoft.com/office/drawing/2010/main"/>
                      </a:ext>
                    </a:extLst>
                  </pic:spPr>
                </pic:pic>
              </a:graphicData>
            </a:graphic>
          </wp:inline>
        </w:drawing>
      </w:r>
    </w:p>
    <w:p w14:paraId="73920696" w14:textId="77777777" w:rsidR="00D85918" w:rsidRPr="00D7026D" w:rsidRDefault="00D85918" w:rsidP="00D85918">
      <w:pPr>
        <w:spacing w:line="480" w:lineRule="auto"/>
        <w:jc w:val="both"/>
        <w:rPr>
          <w:rFonts w:asciiTheme="majorHAnsi" w:hAnsiTheme="majorHAnsi" w:cstheme="majorBidi"/>
          <w:b/>
          <w:highlight w:val="white"/>
        </w:rPr>
      </w:pPr>
      <w:r w:rsidRPr="4E4A2F72">
        <w:rPr>
          <w:rFonts w:asciiTheme="majorHAnsi" w:hAnsiTheme="majorHAnsi" w:cstheme="majorBidi"/>
          <w:b/>
          <w:highlight w:val="white"/>
        </w:rPr>
        <w:t>Figure 1: Patient inclusion flowchart</w:t>
      </w:r>
      <w:r w:rsidRPr="4E4A2F72">
        <w:rPr>
          <w:rFonts w:asciiTheme="majorHAnsi" w:hAnsiTheme="majorHAnsi" w:cstheme="majorBidi"/>
          <w:b/>
          <w:bCs/>
          <w:highlight w:val="white"/>
        </w:rPr>
        <w:t>. Red: RECOVER trial participants, n=240; Blue: ISARIC4C participants, n=92</w:t>
      </w:r>
    </w:p>
    <w:p w14:paraId="44139B48" w14:textId="77777777" w:rsidR="00D85918" w:rsidRPr="00D7026D" w:rsidRDefault="00D85918" w:rsidP="00D85918">
      <w:pPr>
        <w:keepNext/>
        <w:spacing w:line="480" w:lineRule="auto"/>
        <w:jc w:val="both"/>
        <w:rPr>
          <w:rFonts w:asciiTheme="majorHAnsi" w:hAnsiTheme="majorHAnsi" w:cstheme="majorHAnsi"/>
        </w:rPr>
      </w:pPr>
    </w:p>
    <w:p w14:paraId="3F38FD7C" w14:textId="77777777" w:rsidR="00D85918" w:rsidRDefault="00D85918" w:rsidP="00D85918">
      <w:pPr>
        <w:rPr>
          <w:rFonts w:asciiTheme="majorHAnsi" w:hAnsiTheme="majorHAnsi" w:cstheme="majorHAnsi"/>
          <w:highlight w:val="white"/>
        </w:rPr>
      </w:pPr>
    </w:p>
    <w:p w14:paraId="08616035" w14:textId="77777777" w:rsidR="00D85918" w:rsidRDefault="00D85918" w:rsidP="00D85918">
      <w:pPr>
        <w:rPr>
          <w:rFonts w:asciiTheme="majorHAnsi" w:hAnsiTheme="majorHAnsi" w:cstheme="majorHAnsi"/>
          <w:highlight w:val="white"/>
        </w:rPr>
      </w:pPr>
    </w:p>
    <w:p w14:paraId="1AB482C9" w14:textId="77777777" w:rsidR="00D85918" w:rsidRDefault="00D85918" w:rsidP="00D85918">
      <w:pPr>
        <w:rPr>
          <w:rFonts w:asciiTheme="majorHAnsi" w:hAnsiTheme="majorHAnsi" w:cstheme="majorHAnsi"/>
          <w:highlight w:val="white"/>
        </w:rPr>
      </w:pPr>
    </w:p>
    <w:p w14:paraId="1A0A0EF8" w14:textId="77777777" w:rsidR="00D85918" w:rsidRDefault="00D85918" w:rsidP="00D85918">
      <w:pPr>
        <w:rPr>
          <w:rFonts w:asciiTheme="majorHAnsi" w:hAnsiTheme="majorHAnsi" w:cstheme="majorHAnsi"/>
          <w:highlight w:val="white"/>
        </w:rPr>
      </w:pPr>
    </w:p>
    <w:p w14:paraId="0EED118B" w14:textId="77777777" w:rsidR="00D85918" w:rsidRDefault="00D85918" w:rsidP="00D85918">
      <w:pPr>
        <w:rPr>
          <w:rFonts w:asciiTheme="majorHAnsi" w:hAnsiTheme="majorHAnsi" w:cstheme="majorHAnsi"/>
          <w:highlight w:val="white"/>
        </w:rPr>
      </w:pPr>
    </w:p>
    <w:p w14:paraId="37C6C5FB" w14:textId="77777777" w:rsidR="00D85918" w:rsidRPr="008D6773" w:rsidRDefault="00D85918" w:rsidP="00D85918">
      <w:pPr>
        <w:spacing w:line="480" w:lineRule="auto"/>
        <w:jc w:val="both"/>
        <w:rPr>
          <w:b/>
          <w:highlight w:val="white"/>
        </w:rPr>
      </w:pPr>
    </w:p>
    <w:p w14:paraId="5FA608C5" w14:textId="77777777" w:rsidR="00D85918" w:rsidRPr="00D7026D" w:rsidRDefault="00D85918" w:rsidP="00D85918">
      <w:pPr>
        <w:widowControl w:val="0"/>
        <w:autoSpaceDE w:val="0"/>
        <w:autoSpaceDN w:val="0"/>
        <w:adjustRightInd w:val="0"/>
        <w:spacing w:line="480" w:lineRule="auto"/>
        <w:rPr>
          <w:rFonts w:asciiTheme="majorHAnsi" w:hAnsiTheme="majorHAnsi" w:cstheme="majorHAnsi"/>
          <w:highlight w:val="white"/>
        </w:rPr>
      </w:pPr>
      <w:r>
        <w:rPr>
          <w:noProof/>
        </w:rPr>
        <w:lastRenderedPageBreak/>
        <w:drawing>
          <wp:inline distT="0" distB="0" distL="0" distR="0" wp14:anchorId="1451B177" wp14:editId="7F9A8517">
            <wp:extent cx="5733415" cy="3241039"/>
            <wp:effectExtent l="0" t="0" r="0" b="0"/>
            <wp:docPr id="8" name="Picture 8"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rotWithShape="1">
                    <a:blip r:embed="rId22">
                      <a:extLst>
                        <a:ext uri="{28A0092B-C50C-407E-A947-70E740481C1C}">
                          <a14:useLocalDpi xmlns:a14="http://schemas.microsoft.com/office/drawing/2010/main" val="0"/>
                        </a:ext>
                      </a:extLst>
                    </a:blip>
                    <a:srcRect t="8399"/>
                    <a:stretch/>
                  </pic:blipFill>
                  <pic:spPr bwMode="auto">
                    <a:xfrm>
                      <a:off x="0" y="0"/>
                      <a:ext cx="5733416" cy="3241040"/>
                    </a:xfrm>
                    <a:prstGeom prst="rect">
                      <a:avLst/>
                    </a:prstGeom>
                    <a:ln>
                      <a:noFill/>
                    </a:ln>
                    <a:extLst>
                      <a:ext uri="{53640926-AAD7-44D8-BBD7-CCE9431645EC}">
                        <a14:shadowObscured xmlns:a14="http://schemas.microsoft.com/office/drawing/2010/main"/>
                      </a:ext>
                    </a:extLst>
                  </pic:spPr>
                </pic:pic>
              </a:graphicData>
            </a:graphic>
          </wp:inline>
        </w:drawing>
      </w:r>
    </w:p>
    <w:p w14:paraId="7FAB5E8E" w14:textId="77777777" w:rsidR="00D85918" w:rsidRDefault="00D85918" w:rsidP="00D85918">
      <w:pPr>
        <w:widowControl w:val="0"/>
        <w:autoSpaceDE w:val="0"/>
        <w:autoSpaceDN w:val="0"/>
        <w:adjustRightInd w:val="0"/>
        <w:spacing w:line="480" w:lineRule="auto"/>
        <w:rPr>
          <w:rFonts w:asciiTheme="majorHAnsi" w:hAnsiTheme="majorHAnsi" w:cstheme="majorHAnsi"/>
          <w:highlight w:val="white"/>
        </w:rPr>
      </w:pPr>
    </w:p>
    <w:p w14:paraId="222B9876" w14:textId="4D237475" w:rsidR="009625D0" w:rsidRPr="008D6773" w:rsidRDefault="00D85918" w:rsidP="00D85918">
      <w:pPr>
        <w:spacing w:line="480" w:lineRule="auto"/>
        <w:rPr>
          <w:rFonts w:asciiTheme="majorHAnsi" w:eastAsia="Arial" w:hAnsiTheme="majorHAnsi" w:cstheme="majorBidi"/>
          <w:sz w:val="18"/>
          <w:szCs w:val="18"/>
        </w:rPr>
      </w:pPr>
      <w:r>
        <w:rPr>
          <w:rFonts w:asciiTheme="majorHAnsi" w:hAnsiTheme="majorHAnsi" w:cstheme="majorBidi"/>
          <w:b/>
          <w:highlight w:val="white"/>
        </w:rPr>
        <w:t>Figure 2:</w:t>
      </w:r>
      <w:r w:rsidRPr="18082269">
        <w:rPr>
          <w:rFonts w:asciiTheme="majorHAnsi" w:hAnsiTheme="majorHAnsi" w:cstheme="majorBidi"/>
          <w:b/>
          <w:highlight w:val="white"/>
        </w:rPr>
        <w:t xml:space="preserve"> Logistic regression model </w:t>
      </w:r>
      <w:r w:rsidRPr="4E4A2F72">
        <w:rPr>
          <w:rFonts w:asciiTheme="majorHAnsi" w:hAnsiTheme="majorHAnsi" w:cstheme="majorBidi"/>
          <w:b/>
          <w:bCs/>
          <w:highlight w:val="white"/>
        </w:rPr>
        <w:t xml:space="preserve">for severe (&gt;=7/10) fatigue at </w:t>
      </w:r>
      <w:r w:rsidR="00C265B1">
        <w:rPr>
          <w:rFonts w:asciiTheme="majorHAnsi" w:hAnsiTheme="majorHAnsi" w:cstheme="majorBidi"/>
          <w:b/>
          <w:bCs/>
          <w:highlight w:val="white"/>
        </w:rPr>
        <w:t>6-months</w:t>
      </w:r>
      <w:r w:rsidRPr="4E4A2F72">
        <w:rPr>
          <w:rFonts w:asciiTheme="majorHAnsi" w:hAnsiTheme="majorHAnsi" w:cstheme="majorBidi"/>
          <w:b/>
          <w:bCs/>
          <w:highlight w:val="white"/>
        </w:rPr>
        <w:t xml:space="preserve"> </w:t>
      </w:r>
      <w:r w:rsidRPr="18082269">
        <w:rPr>
          <w:rFonts w:asciiTheme="majorHAnsi" w:hAnsiTheme="majorHAnsi" w:cstheme="majorBidi"/>
          <w:b/>
          <w:highlight w:val="white"/>
        </w:rPr>
        <w:t xml:space="preserve">including all patients (Covid-19 and pre-pandemic </w:t>
      </w:r>
      <w:r w:rsidRPr="003D2A7D">
        <w:rPr>
          <w:rFonts w:asciiTheme="majorHAnsi" w:hAnsiTheme="majorHAnsi" w:cstheme="majorBidi"/>
          <w:b/>
          <w:highlight w:val="white"/>
        </w:rPr>
        <w:t>group)</w:t>
      </w:r>
      <w:r w:rsidR="003D2A7D" w:rsidRPr="003D2A7D">
        <w:rPr>
          <w:rFonts w:asciiTheme="majorHAnsi" w:hAnsiTheme="majorHAnsi" w:cstheme="majorBidi"/>
          <w:b/>
          <w:color w:val="000000" w:themeColor="text1"/>
        </w:rPr>
        <w:t xml:space="preserve">. OR, 95% CI, p-value. </w:t>
      </w:r>
      <w:r w:rsidRPr="003D2A7D">
        <w:rPr>
          <w:rFonts w:asciiTheme="majorHAnsi" w:eastAsia="Arial" w:hAnsiTheme="majorHAnsi" w:cstheme="majorBidi"/>
          <w:bCs/>
          <w:sz w:val="18"/>
          <w:szCs w:val="18"/>
        </w:rPr>
        <w:t>Pre</w:t>
      </w:r>
      <w:r w:rsidRPr="4E4A2F72">
        <w:rPr>
          <w:rFonts w:asciiTheme="majorHAnsi" w:eastAsia="Arial" w:hAnsiTheme="majorHAnsi" w:cstheme="majorBidi"/>
          <w:sz w:val="18"/>
          <w:szCs w:val="18"/>
        </w:rPr>
        <w:t xml:space="preserve">-pandemic patients included at 6-months follow-up. </w:t>
      </w:r>
      <w:r w:rsidRPr="4E4A2F72">
        <w:rPr>
          <w:rFonts w:asciiTheme="majorHAnsi" w:hAnsiTheme="majorHAnsi" w:cstheme="majorBidi"/>
          <w:color w:val="000000" w:themeColor="text1"/>
          <w:sz w:val="18"/>
          <w:szCs w:val="18"/>
        </w:rPr>
        <w:t>Number in model = </w:t>
      </w:r>
      <w:proofErr w:type="gramStart"/>
      <w:r w:rsidRPr="4E4A2F72">
        <w:rPr>
          <w:rFonts w:asciiTheme="majorHAnsi" w:hAnsiTheme="majorHAnsi" w:cstheme="majorBidi"/>
          <w:color w:val="000000" w:themeColor="text1"/>
          <w:sz w:val="18"/>
          <w:szCs w:val="18"/>
        </w:rPr>
        <w:t>251, </w:t>
      </w:r>
      <w:r w:rsidR="00BE04A0" w:rsidRPr="4E4A2F72">
        <w:rPr>
          <w:rFonts w:asciiTheme="majorHAnsi" w:hAnsiTheme="majorHAnsi" w:cstheme="majorBidi"/>
          <w:color w:val="000000" w:themeColor="text1"/>
          <w:sz w:val="18"/>
          <w:szCs w:val="18"/>
        </w:rPr>
        <w:t xml:space="preserve"> </w:t>
      </w:r>
      <w:r w:rsidRPr="4E4A2F72">
        <w:rPr>
          <w:rFonts w:asciiTheme="majorHAnsi" w:hAnsiTheme="majorHAnsi" w:cstheme="majorBidi"/>
          <w:color w:val="000000" w:themeColor="text1"/>
          <w:sz w:val="18"/>
          <w:szCs w:val="18"/>
        </w:rPr>
        <w:t>AIC</w:t>
      </w:r>
      <w:proofErr w:type="gramEnd"/>
      <w:r w:rsidRPr="4E4A2F72">
        <w:rPr>
          <w:rFonts w:asciiTheme="majorHAnsi" w:hAnsiTheme="majorHAnsi" w:cstheme="majorBidi"/>
          <w:color w:val="000000" w:themeColor="text1"/>
          <w:sz w:val="18"/>
          <w:szCs w:val="18"/>
        </w:rPr>
        <w:t> = 262.4, C-statistic = 0.676, H&amp;L = Chi-</w:t>
      </w:r>
      <w:proofErr w:type="spellStart"/>
      <w:r w:rsidRPr="4E4A2F72">
        <w:rPr>
          <w:rFonts w:asciiTheme="majorHAnsi" w:hAnsiTheme="majorHAnsi" w:cstheme="majorBidi"/>
          <w:color w:val="000000" w:themeColor="text1"/>
          <w:sz w:val="18"/>
          <w:szCs w:val="18"/>
        </w:rPr>
        <w:t>sq</w:t>
      </w:r>
      <w:proofErr w:type="spellEnd"/>
      <w:r w:rsidRPr="4E4A2F72">
        <w:rPr>
          <w:rFonts w:asciiTheme="majorHAnsi" w:hAnsiTheme="majorHAnsi" w:cstheme="majorBidi"/>
          <w:color w:val="000000" w:themeColor="text1"/>
          <w:sz w:val="18"/>
          <w:szCs w:val="18"/>
        </w:rPr>
        <w:t xml:space="preserve">(8) 2.26 (p=0.972) </w:t>
      </w:r>
      <w:r w:rsidR="009625D0">
        <w:rPr>
          <w:rFonts w:asciiTheme="majorHAnsi" w:eastAsia="Arial" w:hAnsiTheme="majorHAnsi" w:cstheme="majorBidi"/>
          <w:sz w:val="18"/>
          <w:szCs w:val="18"/>
        </w:rPr>
        <w:t xml:space="preserve">Group = Covid-19 status. 0= pre-pandemic group, non-Covid. 1= Covid-19 cohort. </w:t>
      </w:r>
      <w:proofErr w:type="spellStart"/>
      <w:r w:rsidR="00421187">
        <w:rPr>
          <w:rFonts w:asciiTheme="majorHAnsi" w:eastAsia="Arial" w:hAnsiTheme="majorHAnsi" w:cstheme="majorBidi"/>
          <w:sz w:val="18"/>
          <w:szCs w:val="18"/>
        </w:rPr>
        <w:t>No_comorbid_factor</w:t>
      </w:r>
      <w:proofErr w:type="spellEnd"/>
      <w:r w:rsidR="00421187">
        <w:rPr>
          <w:rFonts w:asciiTheme="majorHAnsi" w:eastAsia="Arial" w:hAnsiTheme="majorHAnsi" w:cstheme="majorBidi"/>
          <w:sz w:val="18"/>
          <w:szCs w:val="18"/>
        </w:rPr>
        <w:t xml:space="preserve"> = Number of comorbidities. </w:t>
      </w:r>
      <w:r w:rsidR="00386375">
        <w:rPr>
          <w:rFonts w:asciiTheme="majorHAnsi" w:eastAsia="Arial" w:hAnsiTheme="majorHAnsi" w:cstheme="majorBidi"/>
          <w:sz w:val="18"/>
          <w:szCs w:val="18"/>
        </w:rPr>
        <w:t>Male, Group 0, No Comorbidities</w:t>
      </w:r>
      <w:r w:rsidR="00421187">
        <w:rPr>
          <w:rFonts w:asciiTheme="majorHAnsi" w:eastAsia="Arial" w:hAnsiTheme="majorHAnsi" w:cstheme="majorBidi"/>
          <w:sz w:val="18"/>
          <w:szCs w:val="18"/>
        </w:rPr>
        <w:t>, Age Under 50 are marked with ‘</w:t>
      </w:r>
      <w:proofErr w:type="gramStart"/>
      <w:r w:rsidR="00421187">
        <w:rPr>
          <w:rFonts w:asciiTheme="majorHAnsi" w:eastAsia="Arial" w:hAnsiTheme="majorHAnsi" w:cstheme="majorBidi"/>
          <w:sz w:val="18"/>
          <w:szCs w:val="18"/>
        </w:rPr>
        <w:t>-‘ as</w:t>
      </w:r>
      <w:proofErr w:type="gramEnd"/>
      <w:r w:rsidR="00421187">
        <w:rPr>
          <w:rFonts w:asciiTheme="majorHAnsi" w:eastAsia="Arial" w:hAnsiTheme="majorHAnsi" w:cstheme="majorBidi"/>
          <w:sz w:val="18"/>
          <w:szCs w:val="18"/>
        </w:rPr>
        <w:t xml:space="preserve"> these were used as the reference level for each respective variable. </w:t>
      </w:r>
    </w:p>
    <w:p w14:paraId="45C59FDF" w14:textId="77777777" w:rsidR="00B77386" w:rsidRDefault="00B77386" w:rsidP="00B77386">
      <w:pPr>
        <w:widowControl w:val="0"/>
        <w:autoSpaceDE w:val="0"/>
        <w:autoSpaceDN w:val="0"/>
        <w:adjustRightInd w:val="0"/>
        <w:spacing w:line="480" w:lineRule="auto"/>
        <w:rPr>
          <w:rFonts w:asciiTheme="majorHAnsi" w:hAnsiTheme="majorHAnsi" w:cstheme="majorHAnsi"/>
          <w:highlight w:val="white"/>
        </w:rPr>
      </w:pPr>
    </w:p>
    <w:p w14:paraId="3CDFB806" w14:textId="77777777" w:rsidR="002D16DE" w:rsidRDefault="002D16DE" w:rsidP="00B77386">
      <w:pPr>
        <w:widowControl w:val="0"/>
        <w:autoSpaceDE w:val="0"/>
        <w:autoSpaceDN w:val="0"/>
        <w:adjustRightInd w:val="0"/>
        <w:spacing w:line="480" w:lineRule="auto"/>
        <w:rPr>
          <w:rFonts w:asciiTheme="majorHAnsi" w:hAnsiTheme="majorHAnsi" w:cstheme="majorHAnsi"/>
          <w:highlight w:val="white"/>
        </w:rPr>
      </w:pPr>
    </w:p>
    <w:p w14:paraId="39B53659" w14:textId="77777777" w:rsidR="002D16DE" w:rsidRDefault="002D16DE" w:rsidP="00B77386">
      <w:pPr>
        <w:widowControl w:val="0"/>
        <w:autoSpaceDE w:val="0"/>
        <w:autoSpaceDN w:val="0"/>
        <w:adjustRightInd w:val="0"/>
        <w:spacing w:line="480" w:lineRule="auto"/>
        <w:rPr>
          <w:rFonts w:asciiTheme="majorHAnsi" w:hAnsiTheme="majorHAnsi" w:cstheme="majorHAnsi"/>
          <w:highlight w:val="white"/>
        </w:rPr>
      </w:pPr>
    </w:p>
    <w:p w14:paraId="39663973" w14:textId="77777777" w:rsidR="002D16DE" w:rsidRDefault="002D16DE" w:rsidP="00B77386">
      <w:pPr>
        <w:widowControl w:val="0"/>
        <w:autoSpaceDE w:val="0"/>
        <w:autoSpaceDN w:val="0"/>
        <w:adjustRightInd w:val="0"/>
        <w:spacing w:line="480" w:lineRule="auto"/>
        <w:rPr>
          <w:rFonts w:asciiTheme="majorHAnsi" w:hAnsiTheme="majorHAnsi" w:cstheme="majorHAnsi"/>
          <w:highlight w:val="white"/>
        </w:rPr>
      </w:pPr>
    </w:p>
    <w:p w14:paraId="00EF4B04" w14:textId="77777777" w:rsidR="00B319C8" w:rsidRDefault="00B319C8" w:rsidP="00D85918">
      <w:pPr>
        <w:rPr>
          <w:rFonts w:asciiTheme="majorHAnsi" w:hAnsiTheme="majorHAnsi" w:cstheme="majorHAnsi"/>
          <w:b/>
          <w:bCs/>
          <w:highlight w:val="white"/>
        </w:rPr>
      </w:pPr>
    </w:p>
    <w:p w14:paraId="41D06F2E" w14:textId="77777777" w:rsidR="00B319C8" w:rsidRDefault="00B319C8" w:rsidP="00D85918">
      <w:pPr>
        <w:rPr>
          <w:rFonts w:asciiTheme="majorHAnsi" w:hAnsiTheme="majorHAnsi" w:cstheme="majorHAnsi"/>
          <w:b/>
          <w:bCs/>
          <w:highlight w:val="white"/>
        </w:rPr>
      </w:pPr>
    </w:p>
    <w:p w14:paraId="32F6C777" w14:textId="77777777" w:rsidR="006975FA" w:rsidRDefault="006975FA" w:rsidP="00D85918">
      <w:pPr>
        <w:rPr>
          <w:rFonts w:asciiTheme="majorHAnsi" w:hAnsiTheme="majorHAnsi" w:cstheme="majorHAnsi"/>
          <w:b/>
          <w:bCs/>
          <w:highlight w:val="white"/>
        </w:rPr>
      </w:pPr>
    </w:p>
    <w:p w14:paraId="31FEA926" w14:textId="77777777" w:rsidR="006975FA" w:rsidRDefault="006975FA" w:rsidP="00D85918">
      <w:pPr>
        <w:rPr>
          <w:rFonts w:asciiTheme="majorHAnsi" w:hAnsiTheme="majorHAnsi" w:cstheme="majorHAnsi"/>
          <w:b/>
          <w:bCs/>
          <w:highlight w:val="white"/>
        </w:rPr>
      </w:pPr>
    </w:p>
    <w:p w14:paraId="0D07D26F" w14:textId="77777777" w:rsidR="006975FA" w:rsidRDefault="006975FA" w:rsidP="00D85918">
      <w:pPr>
        <w:rPr>
          <w:rFonts w:asciiTheme="majorHAnsi" w:hAnsiTheme="majorHAnsi" w:cstheme="majorHAnsi"/>
          <w:b/>
          <w:bCs/>
          <w:highlight w:val="white"/>
        </w:rPr>
      </w:pPr>
    </w:p>
    <w:p w14:paraId="3EC5E3C6" w14:textId="77777777" w:rsidR="00B319C8" w:rsidRDefault="00B319C8" w:rsidP="00D85918">
      <w:pPr>
        <w:rPr>
          <w:rFonts w:asciiTheme="majorHAnsi" w:hAnsiTheme="majorHAnsi" w:cstheme="majorHAnsi"/>
          <w:b/>
          <w:bCs/>
          <w:highlight w:val="white"/>
        </w:rPr>
      </w:pPr>
    </w:p>
    <w:p w14:paraId="35F7E959" w14:textId="77777777" w:rsidR="00B319C8" w:rsidRDefault="00B319C8" w:rsidP="00D85918">
      <w:pPr>
        <w:rPr>
          <w:rFonts w:asciiTheme="majorHAnsi" w:hAnsiTheme="majorHAnsi" w:cstheme="majorHAnsi"/>
          <w:b/>
          <w:bCs/>
          <w:highlight w:val="white"/>
        </w:rPr>
      </w:pPr>
    </w:p>
    <w:p w14:paraId="5DF849FB" w14:textId="77777777" w:rsidR="00DC6584" w:rsidRDefault="00DC6584" w:rsidP="00D85918">
      <w:pPr>
        <w:rPr>
          <w:rFonts w:asciiTheme="majorHAnsi" w:hAnsiTheme="majorHAnsi" w:cstheme="majorHAnsi"/>
          <w:b/>
          <w:bCs/>
          <w:highlight w:val="white"/>
        </w:rPr>
      </w:pPr>
    </w:p>
    <w:p w14:paraId="7619523E" w14:textId="77777777" w:rsidR="0019592A" w:rsidRPr="00A40521" w:rsidRDefault="0019592A" w:rsidP="009B1B6A">
      <w:pPr>
        <w:widowControl w:val="0"/>
        <w:autoSpaceDE w:val="0"/>
        <w:autoSpaceDN w:val="0"/>
        <w:adjustRightInd w:val="0"/>
        <w:spacing w:line="480" w:lineRule="auto"/>
        <w:rPr>
          <w:rFonts w:asciiTheme="majorHAnsi" w:hAnsiTheme="majorHAnsi" w:cstheme="majorHAnsi"/>
          <w:sz w:val="18"/>
          <w:szCs w:val="18"/>
          <w:highlight w:val="white"/>
        </w:rPr>
      </w:pPr>
    </w:p>
    <w:sectPr w:rsidR="0019592A" w:rsidRPr="00A40521">
      <w:footerReference w:type="even" r:id="rId23"/>
      <w:footerReference w:type="default" r:id="rId2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4D693" w14:textId="77777777" w:rsidR="007F2836" w:rsidRDefault="007F2836" w:rsidP="004F27EF">
      <w:r>
        <w:separator/>
      </w:r>
    </w:p>
  </w:endnote>
  <w:endnote w:type="continuationSeparator" w:id="0">
    <w:p w14:paraId="5516FD33" w14:textId="77777777" w:rsidR="007F2836" w:rsidRDefault="007F2836" w:rsidP="004F27EF">
      <w:r>
        <w:continuationSeparator/>
      </w:r>
    </w:p>
  </w:endnote>
  <w:endnote w:type="continuationNotice" w:id="1">
    <w:p w14:paraId="069218C6" w14:textId="77777777" w:rsidR="007F2836" w:rsidRDefault="007F28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5327128"/>
      <w:docPartObj>
        <w:docPartGallery w:val="Page Numbers (Bottom of Page)"/>
        <w:docPartUnique/>
      </w:docPartObj>
    </w:sdtPr>
    <w:sdtEndPr>
      <w:rPr>
        <w:rStyle w:val="PageNumber"/>
      </w:rPr>
    </w:sdtEndPr>
    <w:sdtContent>
      <w:p w14:paraId="359E21AA" w14:textId="1DCA3C0F" w:rsidR="004F27EF" w:rsidRDefault="004F27EF" w:rsidP="00817C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214D45" w14:textId="77777777" w:rsidR="004F27EF" w:rsidRDefault="004F27EF" w:rsidP="004F27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7619081"/>
      <w:docPartObj>
        <w:docPartGallery w:val="Page Numbers (Bottom of Page)"/>
        <w:docPartUnique/>
      </w:docPartObj>
    </w:sdtPr>
    <w:sdtEndPr>
      <w:rPr>
        <w:rStyle w:val="PageNumber"/>
      </w:rPr>
    </w:sdtEndPr>
    <w:sdtContent>
      <w:p w14:paraId="586251C9" w14:textId="245B5FCD" w:rsidR="004F27EF" w:rsidRDefault="004F27EF" w:rsidP="00817C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F1EEC9" w14:textId="77777777" w:rsidR="004F27EF" w:rsidRDefault="004F27EF" w:rsidP="004F27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98235" w14:textId="77777777" w:rsidR="007F2836" w:rsidRDefault="007F2836" w:rsidP="004F27EF">
      <w:r>
        <w:separator/>
      </w:r>
    </w:p>
  </w:footnote>
  <w:footnote w:type="continuationSeparator" w:id="0">
    <w:p w14:paraId="57217161" w14:textId="77777777" w:rsidR="007F2836" w:rsidRDefault="007F2836" w:rsidP="004F27EF">
      <w:r>
        <w:continuationSeparator/>
      </w:r>
    </w:p>
  </w:footnote>
  <w:footnote w:type="continuationNotice" w:id="1">
    <w:p w14:paraId="6C32CEA5" w14:textId="77777777" w:rsidR="007F2836" w:rsidRDefault="007F28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80B"/>
    <w:multiLevelType w:val="hybridMultilevel"/>
    <w:tmpl w:val="53E28A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FC4583"/>
    <w:multiLevelType w:val="hybridMultilevel"/>
    <w:tmpl w:val="C8841162"/>
    <w:lvl w:ilvl="0" w:tplc="64101ACC">
      <w:start w:val="1"/>
      <w:numFmt w:val="bullet"/>
      <w:lvlText w:val=""/>
      <w:lvlJc w:val="left"/>
      <w:pPr>
        <w:ind w:left="720" w:hanging="360"/>
      </w:pPr>
      <w:rPr>
        <w:rFonts w:ascii="Symbol" w:hAnsi="Symbol" w:hint="default"/>
      </w:rPr>
    </w:lvl>
    <w:lvl w:ilvl="1" w:tplc="4E00AD0A">
      <w:start w:val="1"/>
      <w:numFmt w:val="bullet"/>
      <w:lvlText w:val="o"/>
      <w:lvlJc w:val="left"/>
      <w:pPr>
        <w:ind w:left="1440" w:hanging="360"/>
      </w:pPr>
      <w:rPr>
        <w:rFonts w:ascii="Courier New" w:hAnsi="Courier New" w:hint="default"/>
      </w:rPr>
    </w:lvl>
    <w:lvl w:ilvl="2" w:tplc="CC28BEB4">
      <w:start w:val="1"/>
      <w:numFmt w:val="bullet"/>
      <w:lvlText w:val=""/>
      <w:lvlJc w:val="left"/>
      <w:pPr>
        <w:ind w:left="2160" w:hanging="360"/>
      </w:pPr>
      <w:rPr>
        <w:rFonts w:ascii="Wingdings" w:hAnsi="Wingdings" w:hint="default"/>
      </w:rPr>
    </w:lvl>
    <w:lvl w:ilvl="3" w:tplc="812C006C">
      <w:start w:val="1"/>
      <w:numFmt w:val="bullet"/>
      <w:lvlText w:val=""/>
      <w:lvlJc w:val="left"/>
      <w:pPr>
        <w:ind w:left="2880" w:hanging="360"/>
      </w:pPr>
      <w:rPr>
        <w:rFonts w:ascii="Symbol" w:hAnsi="Symbol" w:hint="default"/>
      </w:rPr>
    </w:lvl>
    <w:lvl w:ilvl="4" w:tplc="804C89AC">
      <w:start w:val="1"/>
      <w:numFmt w:val="bullet"/>
      <w:lvlText w:val="o"/>
      <w:lvlJc w:val="left"/>
      <w:pPr>
        <w:ind w:left="3600" w:hanging="360"/>
      </w:pPr>
      <w:rPr>
        <w:rFonts w:ascii="Courier New" w:hAnsi="Courier New" w:hint="default"/>
      </w:rPr>
    </w:lvl>
    <w:lvl w:ilvl="5" w:tplc="FFAC020C">
      <w:start w:val="1"/>
      <w:numFmt w:val="bullet"/>
      <w:lvlText w:val=""/>
      <w:lvlJc w:val="left"/>
      <w:pPr>
        <w:ind w:left="4320" w:hanging="360"/>
      </w:pPr>
      <w:rPr>
        <w:rFonts w:ascii="Wingdings" w:hAnsi="Wingdings" w:hint="default"/>
      </w:rPr>
    </w:lvl>
    <w:lvl w:ilvl="6" w:tplc="F8EAD4CC">
      <w:start w:val="1"/>
      <w:numFmt w:val="bullet"/>
      <w:lvlText w:val=""/>
      <w:lvlJc w:val="left"/>
      <w:pPr>
        <w:ind w:left="5040" w:hanging="360"/>
      </w:pPr>
      <w:rPr>
        <w:rFonts w:ascii="Symbol" w:hAnsi="Symbol" w:hint="default"/>
      </w:rPr>
    </w:lvl>
    <w:lvl w:ilvl="7" w:tplc="4FACD0BC">
      <w:start w:val="1"/>
      <w:numFmt w:val="bullet"/>
      <w:lvlText w:val="o"/>
      <w:lvlJc w:val="left"/>
      <w:pPr>
        <w:ind w:left="5760" w:hanging="360"/>
      </w:pPr>
      <w:rPr>
        <w:rFonts w:ascii="Courier New" w:hAnsi="Courier New" w:hint="default"/>
      </w:rPr>
    </w:lvl>
    <w:lvl w:ilvl="8" w:tplc="68D66A02">
      <w:start w:val="1"/>
      <w:numFmt w:val="bullet"/>
      <w:lvlText w:val=""/>
      <w:lvlJc w:val="left"/>
      <w:pPr>
        <w:ind w:left="6480" w:hanging="360"/>
      </w:pPr>
      <w:rPr>
        <w:rFonts w:ascii="Wingdings" w:hAnsi="Wingdings" w:hint="default"/>
      </w:rPr>
    </w:lvl>
  </w:abstractNum>
  <w:abstractNum w:abstractNumId="2" w15:restartNumberingAfterBreak="0">
    <w:nsid w:val="1A183175"/>
    <w:multiLevelType w:val="hybridMultilevel"/>
    <w:tmpl w:val="DFD6BA30"/>
    <w:lvl w:ilvl="0" w:tplc="51F0F894">
      <w:start w:val="2"/>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D3B35"/>
    <w:multiLevelType w:val="hybridMultilevel"/>
    <w:tmpl w:val="DC5C6BD8"/>
    <w:lvl w:ilvl="0" w:tplc="50760E52">
      <w:numFmt w:val="bullet"/>
      <w:lvlText w:val="-"/>
      <w:lvlJc w:val="left"/>
      <w:pPr>
        <w:ind w:left="720" w:hanging="360"/>
      </w:pPr>
      <w:rPr>
        <w:rFonts w:ascii="Arial" w:eastAsia="Arial"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C7066"/>
    <w:multiLevelType w:val="hybridMultilevel"/>
    <w:tmpl w:val="FFFFFFFF"/>
    <w:lvl w:ilvl="0" w:tplc="B4B29F3E">
      <w:start w:val="1"/>
      <w:numFmt w:val="decimal"/>
      <w:lvlText w:val="%1."/>
      <w:lvlJc w:val="left"/>
      <w:pPr>
        <w:ind w:left="720" w:hanging="360"/>
      </w:pPr>
    </w:lvl>
    <w:lvl w:ilvl="1" w:tplc="9BD25BE4">
      <w:start w:val="1"/>
      <w:numFmt w:val="lowerLetter"/>
      <w:lvlText w:val="%2."/>
      <w:lvlJc w:val="left"/>
      <w:pPr>
        <w:ind w:left="1440" w:hanging="360"/>
      </w:pPr>
    </w:lvl>
    <w:lvl w:ilvl="2" w:tplc="B13487EA">
      <w:start w:val="1"/>
      <w:numFmt w:val="lowerRoman"/>
      <w:lvlText w:val="%3."/>
      <w:lvlJc w:val="right"/>
      <w:pPr>
        <w:ind w:left="2160" w:hanging="180"/>
      </w:pPr>
    </w:lvl>
    <w:lvl w:ilvl="3" w:tplc="C4B623B6">
      <w:start w:val="1"/>
      <w:numFmt w:val="decimal"/>
      <w:lvlText w:val="%4."/>
      <w:lvlJc w:val="left"/>
      <w:pPr>
        <w:ind w:left="2880" w:hanging="360"/>
      </w:pPr>
    </w:lvl>
    <w:lvl w:ilvl="4" w:tplc="810AF096">
      <w:start w:val="1"/>
      <w:numFmt w:val="lowerLetter"/>
      <w:lvlText w:val="%5."/>
      <w:lvlJc w:val="left"/>
      <w:pPr>
        <w:ind w:left="3600" w:hanging="360"/>
      </w:pPr>
    </w:lvl>
    <w:lvl w:ilvl="5" w:tplc="3F82C20A">
      <w:start w:val="1"/>
      <w:numFmt w:val="lowerRoman"/>
      <w:lvlText w:val="%6."/>
      <w:lvlJc w:val="right"/>
      <w:pPr>
        <w:ind w:left="4320" w:hanging="180"/>
      </w:pPr>
    </w:lvl>
    <w:lvl w:ilvl="6" w:tplc="A9F0E400">
      <w:start w:val="1"/>
      <w:numFmt w:val="decimal"/>
      <w:lvlText w:val="%7."/>
      <w:lvlJc w:val="left"/>
      <w:pPr>
        <w:ind w:left="5040" w:hanging="360"/>
      </w:pPr>
    </w:lvl>
    <w:lvl w:ilvl="7" w:tplc="740A16B4">
      <w:start w:val="1"/>
      <w:numFmt w:val="lowerLetter"/>
      <w:lvlText w:val="%8."/>
      <w:lvlJc w:val="left"/>
      <w:pPr>
        <w:ind w:left="5760" w:hanging="360"/>
      </w:pPr>
    </w:lvl>
    <w:lvl w:ilvl="8" w:tplc="36B04656">
      <w:start w:val="1"/>
      <w:numFmt w:val="lowerRoman"/>
      <w:lvlText w:val="%9."/>
      <w:lvlJc w:val="right"/>
      <w:pPr>
        <w:ind w:left="6480" w:hanging="180"/>
      </w:pPr>
    </w:lvl>
  </w:abstractNum>
  <w:abstractNum w:abstractNumId="5" w15:restartNumberingAfterBreak="0">
    <w:nsid w:val="2BA46A9F"/>
    <w:multiLevelType w:val="hybridMultilevel"/>
    <w:tmpl w:val="1416F86E"/>
    <w:lvl w:ilvl="0" w:tplc="591051D0">
      <w:start w:val="2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623376"/>
    <w:multiLevelType w:val="hybridMultilevel"/>
    <w:tmpl w:val="2826A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464F44"/>
    <w:multiLevelType w:val="hybridMultilevel"/>
    <w:tmpl w:val="FFFFFFFF"/>
    <w:lvl w:ilvl="0" w:tplc="3BE8ABD2">
      <w:start w:val="1"/>
      <w:numFmt w:val="decimal"/>
      <w:lvlText w:val="%1."/>
      <w:lvlJc w:val="left"/>
      <w:pPr>
        <w:ind w:left="720" w:hanging="360"/>
      </w:pPr>
    </w:lvl>
    <w:lvl w:ilvl="1" w:tplc="0486F8F4">
      <w:start w:val="1"/>
      <w:numFmt w:val="lowerLetter"/>
      <w:lvlText w:val="%2."/>
      <w:lvlJc w:val="left"/>
      <w:pPr>
        <w:ind w:left="1440" w:hanging="360"/>
      </w:pPr>
    </w:lvl>
    <w:lvl w:ilvl="2" w:tplc="6B26FC14">
      <w:start w:val="1"/>
      <w:numFmt w:val="lowerRoman"/>
      <w:lvlText w:val="%3."/>
      <w:lvlJc w:val="right"/>
      <w:pPr>
        <w:ind w:left="2160" w:hanging="180"/>
      </w:pPr>
    </w:lvl>
    <w:lvl w:ilvl="3" w:tplc="37D0AF12">
      <w:start w:val="1"/>
      <w:numFmt w:val="decimal"/>
      <w:lvlText w:val="%4."/>
      <w:lvlJc w:val="left"/>
      <w:pPr>
        <w:ind w:left="2880" w:hanging="360"/>
      </w:pPr>
    </w:lvl>
    <w:lvl w:ilvl="4" w:tplc="BA782F2A">
      <w:start w:val="1"/>
      <w:numFmt w:val="lowerLetter"/>
      <w:lvlText w:val="%5."/>
      <w:lvlJc w:val="left"/>
      <w:pPr>
        <w:ind w:left="3600" w:hanging="360"/>
      </w:pPr>
    </w:lvl>
    <w:lvl w:ilvl="5" w:tplc="B06EEA26">
      <w:start w:val="1"/>
      <w:numFmt w:val="lowerRoman"/>
      <w:lvlText w:val="%6."/>
      <w:lvlJc w:val="right"/>
      <w:pPr>
        <w:ind w:left="4320" w:hanging="180"/>
      </w:pPr>
    </w:lvl>
    <w:lvl w:ilvl="6" w:tplc="78FA9C0A">
      <w:start w:val="1"/>
      <w:numFmt w:val="decimal"/>
      <w:lvlText w:val="%7."/>
      <w:lvlJc w:val="left"/>
      <w:pPr>
        <w:ind w:left="5040" w:hanging="360"/>
      </w:pPr>
    </w:lvl>
    <w:lvl w:ilvl="7" w:tplc="91CA71FA">
      <w:start w:val="1"/>
      <w:numFmt w:val="lowerLetter"/>
      <w:lvlText w:val="%8."/>
      <w:lvlJc w:val="left"/>
      <w:pPr>
        <w:ind w:left="5760" w:hanging="360"/>
      </w:pPr>
    </w:lvl>
    <w:lvl w:ilvl="8" w:tplc="05ACDE86">
      <w:start w:val="1"/>
      <w:numFmt w:val="lowerRoman"/>
      <w:lvlText w:val="%9."/>
      <w:lvlJc w:val="right"/>
      <w:pPr>
        <w:ind w:left="6480" w:hanging="180"/>
      </w:pPr>
    </w:lvl>
  </w:abstractNum>
  <w:abstractNum w:abstractNumId="8" w15:restartNumberingAfterBreak="0">
    <w:nsid w:val="31680F3A"/>
    <w:multiLevelType w:val="hybridMultilevel"/>
    <w:tmpl w:val="FFFFFFFF"/>
    <w:lvl w:ilvl="0" w:tplc="AA8C538C">
      <w:start w:val="1"/>
      <w:numFmt w:val="decimal"/>
      <w:lvlText w:val="%1."/>
      <w:lvlJc w:val="left"/>
      <w:pPr>
        <w:ind w:left="720" w:hanging="360"/>
      </w:pPr>
    </w:lvl>
    <w:lvl w:ilvl="1" w:tplc="7A2668FC">
      <w:start w:val="1"/>
      <w:numFmt w:val="lowerLetter"/>
      <w:lvlText w:val="%2."/>
      <w:lvlJc w:val="left"/>
      <w:pPr>
        <w:ind w:left="1440" w:hanging="360"/>
      </w:pPr>
    </w:lvl>
    <w:lvl w:ilvl="2" w:tplc="E5F4407E">
      <w:start w:val="1"/>
      <w:numFmt w:val="lowerRoman"/>
      <w:lvlText w:val="%3."/>
      <w:lvlJc w:val="right"/>
      <w:pPr>
        <w:ind w:left="2160" w:hanging="180"/>
      </w:pPr>
    </w:lvl>
    <w:lvl w:ilvl="3" w:tplc="9CFE592A">
      <w:start w:val="1"/>
      <w:numFmt w:val="decimal"/>
      <w:lvlText w:val="%4."/>
      <w:lvlJc w:val="left"/>
      <w:pPr>
        <w:ind w:left="2880" w:hanging="360"/>
      </w:pPr>
    </w:lvl>
    <w:lvl w:ilvl="4" w:tplc="09C2AD1E">
      <w:start w:val="1"/>
      <w:numFmt w:val="lowerLetter"/>
      <w:lvlText w:val="%5."/>
      <w:lvlJc w:val="left"/>
      <w:pPr>
        <w:ind w:left="3600" w:hanging="360"/>
      </w:pPr>
    </w:lvl>
    <w:lvl w:ilvl="5" w:tplc="073858AE">
      <w:start w:val="1"/>
      <w:numFmt w:val="lowerRoman"/>
      <w:lvlText w:val="%6."/>
      <w:lvlJc w:val="right"/>
      <w:pPr>
        <w:ind w:left="4320" w:hanging="180"/>
      </w:pPr>
    </w:lvl>
    <w:lvl w:ilvl="6" w:tplc="747ADCB0">
      <w:start w:val="1"/>
      <w:numFmt w:val="decimal"/>
      <w:lvlText w:val="%7."/>
      <w:lvlJc w:val="left"/>
      <w:pPr>
        <w:ind w:left="5040" w:hanging="360"/>
      </w:pPr>
    </w:lvl>
    <w:lvl w:ilvl="7" w:tplc="E29AB7DA">
      <w:start w:val="1"/>
      <w:numFmt w:val="lowerLetter"/>
      <w:lvlText w:val="%8."/>
      <w:lvlJc w:val="left"/>
      <w:pPr>
        <w:ind w:left="5760" w:hanging="360"/>
      </w:pPr>
    </w:lvl>
    <w:lvl w:ilvl="8" w:tplc="DCD8047E">
      <w:start w:val="1"/>
      <w:numFmt w:val="lowerRoman"/>
      <w:lvlText w:val="%9."/>
      <w:lvlJc w:val="right"/>
      <w:pPr>
        <w:ind w:left="6480" w:hanging="180"/>
      </w:pPr>
    </w:lvl>
  </w:abstractNum>
  <w:abstractNum w:abstractNumId="9" w15:restartNumberingAfterBreak="0">
    <w:nsid w:val="3A946FA2"/>
    <w:multiLevelType w:val="hybridMultilevel"/>
    <w:tmpl w:val="FFFFFFFF"/>
    <w:lvl w:ilvl="0" w:tplc="C1CA0626">
      <w:start w:val="1"/>
      <w:numFmt w:val="decimal"/>
      <w:lvlText w:val="%1."/>
      <w:lvlJc w:val="left"/>
      <w:pPr>
        <w:ind w:left="720" w:hanging="360"/>
      </w:pPr>
    </w:lvl>
    <w:lvl w:ilvl="1" w:tplc="4E7091C4">
      <w:start w:val="1"/>
      <w:numFmt w:val="lowerLetter"/>
      <w:lvlText w:val="%2."/>
      <w:lvlJc w:val="left"/>
      <w:pPr>
        <w:ind w:left="1440" w:hanging="360"/>
      </w:pPr>
    </w:lvl>
    <w:lvl w:ilvl="2" w:tplc="80C0C13C">
      <w:start w:val="1"/>
      <w:numFmt w:val="lowerRoman"/>
      <w:lvlText w:val="%3."/>
      <w:lvlJc w:val="right"/>
      <w:pPr>
        <w:ind w:left="2160" w:hanging="180"/>
      </w:pPr>
    </w:lvl>
    <w:lvl w:ilvl="3" w:tplc="BDF0471A">
      <w:start w:val="1"/>
      <w:numFmt w:val="decimal"/>
      <w:lvlText w:val="%4."/>
      <w:lvlJc w:val="left"/>
      <w:pPr>
        <w:ind w:left="2880" w:hanging="360"/>
      </w:pPr>
    </w:lvl>
    <w:lvl w:ilvl="4" w:tplc="020CCF64">
      <w:start w:val="1"/>
      <w:numFmt w:val="lowerLetter"/>
      <w:lvlText w:val="%5."/>
      <w:lvlJc w:val="left"/>
      <w:pPr>
        <w:ind w:left="3600" w:hanging="360"/>
      </w:pPr>
    </w:lvl>
    <w:lvl w:ilvl="5" w:tplc="D36446F2">
      <w:start w:val="1"/>
      <w:numFmt w:val="lowerRoman"/>
      <w:lvlText w:val="%6."/>
      <w:lvlJc w:val="right"/>
      <w:pPr>
        <w:ind w:left="4320" w:hanging="180"/>
      </w:pPr>
    </w:lvl>
    <w:lvl w:ilvl="6" w:tplc="FFCA7100">
      <w:start w:val="1"/>
      <w:numFmt w:val="decimal"/>
      <w:lvlText w:val="%7."/>
      <w:lvlJc w:val="left"/>
      <w:pPr>
        <w:ind w:left="5040" w:hanging="360"/>
      </w:pPr>
    </w:lvl>
    <w:lvl w:ilvl="7" w:tplc="9D740A32">
      <w:start w:val="1"/>
      <w:numFmt w:val="lowerLetter"/>
      <w:lvlText w:val="%8."/>
      <w:lvlJc w:val="left"/>
      <w:pPr>
        <w:ind w:left="5760" w:hanging="360"/>
      </w:pPr>
    </w:lvl>
    <w:lvl w:ilvl="8" w:tplc="72581022">
      <w:start w:val="1"/>
      <w:numFmt w:val="lowerRoman"/>
      <w:lvlText w:val="%9."/>
      <w:lvlJc w:val="right"/>
      <w:pPr>
        <w:ind w:left="6480" w:hanging="180"/>
      </w:pPr>
    </w:lvl>
  </w:abstractNum>
  <w:abstractNum w:abstractNumId="10" w15:restartNumberingAfterBreak="0">
    <w:nsid w:val="3C4603A2"/>
    <w:multiLevelType w:val="hybridMultilevel"/>
    <w:tmpl w:val="FFFFFFFF"/>
    <w:lvl w:ilvl="0" w:tplc="031CC526">
      <w:start w:val="1"/>
      <w:numFmt w:val="decimal"/>
      <w:lvlText w:val="%1."/>
      <w:lvlJc w:val="left"/>
      <w:pPr>
        <w:ind w:left="720" w:hanging="360"/>
      </w:pPr>
    </w:lvl>
    <w:lvl w:ilvl="1" w:tplc="CC3CD140">
      <w:start w:val="1"/>
      <w:numFmt w:val="lowerLetter"/>
      <w:lvlText w:val="%2."/>
      <w:lvlJc w:val="left"/>
      <w:pPr>
        <w:ind w:left="1440" w:hanging="360"/>
      </w:pPr>
    </w:lvl>
    <w:lvl w:ilvl="2" w:tplc="1318C42A">
      <w:start w:val="1"/>
      <w:numFmt w:val="lowerRoman"/>
      <w:lvlText w:val="%3."/>
      <w:lvlJc w:val="right"/>
      <w:pPr>
        <w:ind w:left="2160" w:hanging="180"/>
      </w:pPr>
    </w:lvl>
    <w:lvl w:ilvl="3" w:tplc="387E8B88">
      <w:start w:val="1"/>
      <w:numFmt w:val="decimal"/>
      <w:lvlText w:val="%4."/>
      <w:lvlJc w:val="left"/>
      <w:pPr>
        <w:ind w:left="2880" w:hanging="360"/>
      </w:pPr>
    </w:lvl>
    <w:lvl w:ilvl="4" w:tplc="5C44F11E">
      <w:start w:val="1"/>
      <w:numFmt w:val="lowerLetter"/>
      <w:lvlText w:val="%5."/>
      <w:lvlJc w:val="left"/>
      <w:pPr>
        <w:ind w:left="3600" w:hanging="360"/>
      </w:pPr>
    </w:lvl>
    <w:lvl w:ilvl="5" w:tplc="90268DAC">
      <w:start w:val="1"/>
      <w:numFmt w:val="lowerRoman"/>
      <w:lvlText w:val="%6."/>
      <w:lvlJc w:val="right"/>
      <w:pPr>
        <w:ind w:left="4320" w:hanging="180"/>
      </w:pPr>
    </w:lvl>
    <w:lvl w:ilvl="6" w:tplc="73284870">
      <w:start w:val="1"/>
      <w:numFmt w:val="decimal"/>
      <w:lvlText w:val="%7."/>
      <w:lvlJc w:val="left"/>
      <w:pPr>
        <w:ind w:left="5040" w:hanging="360"/>
      </w:pPr>
    </w:lvl>
    <w:lvl w:ilvl="7" w:tplc="5BCC09E0">
      <w:start w:val="1"/>
      <w:numFmt w:val="lowerLetter"/>
      <w:lvlText w:val="%8."/>
      <w:lvlJc w:val="left"/>
      <w:pPr>
        <w:ind w:left="5760" w:hanging="360"/>
      </w:pPr>
    </w:lvl>
    <w:lvl w:ilvl="8" w:tplc="43B4AFFA">
      <w:start w:val="1"/>
      <w:numFmt w:val="lowerRoman"/>
      <w:lvlText w:val="%9."/>
      <w:lvlJc w:val="right"/>
      <w:pPr>
        <w:ind w:left="6480" w:hanging="180"/>
      </w:pPr>
    </w:lvl>
  </w:abstractNum>
  <w:abstractNum w:abstractNumId="11" w15:restartNumberingAfterBreak="0">
    <w:nsid w:val="3E976823"/>
    <w:multiLevelType w:val="hybridMultilevel"/>
    <w:tmpl w:val="78B2C7A0"/>
    <w:lvl w:ilvl="0" w:tplc="D3C85EFC">
      <w:numFmt w:val="bullet"/>
      <w:lvlText w:val="-"/>
      <w:lvlJc w:val="left"/>
      <w:pPr>
        <w:ind w:left="460" w:hanging="360"/>
      </w:pPr>
      <w:rPr>
        <w:rFonts w:ascii="Calibri" w:eastAsiaTheme="minorHAnsi" w:hAnsi="Calibri" w:cstheme="majorHAnsi" w:hint="default"/>
      </w:rPr>
    </w:lvl>
    <w:lvl w:ilvl="1" w:tplc="08090003" w:tentative="1">
      <w:start w:val="1"/>
      <w:numFmt w:val="bullet"/>
      <w:lvlText w:val="o"/>
      <w:lvlJc w:val="left"/>
      <w:pPr>
        <w:ind w:left="1180" w:hanging="360"/>
      </w:pPr>
      <w:rPr>
        <w:rFonts w:ascii="Courier New" w:hAnsi="Courier New" w:hint="default"/>
      </w:rPr>
    </w:lvl>
    <w:lvl w:ilvl="2" w:tplc="08090005" w:tentative="1">
      <w:start w:val="1"/>
      <w:numFmt w:val="bullet"/>
      <w:lvlText w:val=""/>
      <w:lvlJc w:val="left"/>
      <w:pPr>
        <w:ind w:left="1900" w:hanging="360"/>
      </w:pPr>
      <w:rPr>
        <w:rFonts w:ascii="Wingdings" w:hAnsi="Wingdings" w:cs="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hint="default"/>
      </w:rPr>
    </w:lvl>
    <w:lvl w:ilvl="5" w:tplc="08090005" w:tentative="1">
      <w:start w:val="1"/>
      <w:numFmt w:val="bullet"/>
      <w:lvlText w:val=""/>
      <w:lvlJc w:val="left"/>
      <w:pPr>
        <w:ind w:left="4060" w:hanging="360"/>
      </w:pPr>
      <w:rPr>
        <w:rFonts w:ascii="Wingdings" w:hAnsi="Wingdings" w:cs="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hint="default"/>
      </w:rPr>
    </w:lvl>
    <w:lvl w:ilvl="8" w:tplc="08090005" w:tentative="1">
      <w:start w:val="1"/>
      <w:numFmt w:val="bullet"/>
      <w:lvlText w:val=""/>
      <w:lvlJc w:val="left"/>
      <w:pPr>
        <w:ind w:left="6220" w:hanging="360"/>
      </w:pPr>
      <w:rPr>
        <w:rFonts w:ascii="Wingdings" w:hAnsi="Wingdings" w:cs="Wingdings" w:hint="default"/>
      </w:rPr>
    </w:lvl>
  </w:abstractNum>
  <w:abstractNum w:abstractNumId="12" w15:restartNumberingAfterBreak="0">
    <w:nsid w:val="45CE427E"/>
    <w:multiLevelType w:val="hybridMultilevel"/>
    <w:tmpl w:val="FFFFFFFF"/>
    <w:lvl w:ilvl="0" w:tplc="1D443C64">
      <w:start w:val="1"/>
      <w:numFmt w:val="decimal"/>
      <w:lvlText w:val="%1."/>
      <w:lvlJc w:val="left"/>
      <w:pPr>
        <w:ind w:left="720" w:hanging="360"/>
      </w:pPr>
    </w:lvl>
    <w:lvl w:ilvl="1" w:tplc="2A6E15E4">
      <w:start w:val="1"/>
      <w:numFmt w:val="lowerLetter"/>
      <w:lvlText w:val="%2."/>
      <w:lvlJc w:val="left"/>
      <w:pPr>
        <w:ind w:left="1440" w:hanging="360"/>
      </w:pPr>
    </w:lvl>
    <w:lvl w:ilvl="2" w:tplc="223E1A02">
      <w:start w:val="1"/>
      <w:numFmt w:val="lowerRoman"/>
      <w:lvlText w:val="%3."/>
      <w:lvlJc w:val="right"/>
      <w:pPr>
        <w:ind w:left="2160" w:hanging="180"/>
      </w:pPr>
    </w:lvl>
    <w:lvl w:ilvl="3" w:tplc="2280FEAE">
      <w:start w:val="1"/>
      <w:numFmt w:val="decimal"/>
      <w:lvlText w:val="%4."/>
      <w:lvlJc w:val="left"/>
      <w:pPr>
        <w:ind w:left="2880" w:hanging="360"/>
      </w:pPr>
    </w:lvl>
    <w:lvl w:ilvl="4" w:tplc="1F5C7CBC">
      <w:start w:val="1"/>
      <w:numFmt w:val="lowerLetter"/>
      <w:lvlText w:val="%5."/>
      <w:lvlJc w:val="left"/>
      <w:pPr>
        <w:ind w:left="3600" w:hanging="360"/>
      </w:pPr>
    </w:lvl>
    <w:lvl w:ilvl="5" w:tplc="BD34F2CA">
      <w:start w:val="1"/>
      <w:numFmt w:val="lowerRoman"/>
      <w:lvlText w:val="%6."/>
      <w:lvlJc w:val="right"/>
      <w:pPr>
        <w:ind w:left="4320" w:hanging="180"/>
      </w:pPr>
    </w:lvl>
    <w:lvl w:ilvl="6" w:tplc="B114E900">
      <w:start w:val="1"/>
      <w:numFmt w:val="decimal"/>
      <w:lvlText w:val="%7."/>
      <w:lvlJc w:val="left"/>
      <w:pPr>
        <w:ind w:left="5040" w:hanging="360"/>
      </w:pPr>
    </w:lvl>
    <w:lvl w:ilvl="7" w:tplc="4A366668">
      <w:start w:val="1"/>
      <w:numFmt w:val="lowerLetter"/>
      <w:lvlText w:val="%8."/>
      <w:lvlJc w:val="left"/>
      <w:pPr>
        <w:ind w:left="5760" w:hanging="360"/>
      </w:pPr>
    </w:lvl>
    <w:lvl w:ilvl="8" w:tplc="1F240B42">
      <w:start w:val="1"/>
      <w:numFmt w:val="lowerRoman"/>
      <w:lvlText w:val="%9."/>
      <w:lvlJc w:val="right"/>
      <w:pPr>
        <w:ind w:left="6480" w:hanging="180"/>
      </w:pPr>
    </w:lvl>
  </w:abstractNum>
  <w:abstractNum w:abstractNumId="13" w15:restartNumberingAfterBreak="0">
    <w:nsid w:val="53674DF0"/>
    <w:multiLevelType w:val="hybridMultilevel"/>
    <w:tmpl w:val="1234C01E"/>
    <w:lvl w:ilvl="0" w:tplc="258E3080">
      <w:start w:val="5"/>
      <w:numFmt w:val="bullet"/>
      <w:lvlText w:val="-"/>
      <w:lvlJc w:val="left"/>
      <w:pPr>
        <w:ind w:left="460" w:hanging="360"/>
      </w:pPr>
      <w:rPr>
        <w:rFonts w:ascii="Calibri" w:eastAsiaTheme="minorHAnsi" w:hAnsi="Calibri" w:cstheme="majorHAnsi" w:hint="default"/>
      </w:rPr>
    </w:lvl>
    <w:lvl w:ilvl="1" w:tplc="08090003" w:tentative="1">
      <w:start w:val="1"/>
      <w:numFmt w:val="bullet"/>
      <w:lvlText w:val="o"/>
      <w:lvlJc w:val="left"/>
      <w:pPr>
        <w:ind w:left="1180" w:hanging="360"/>
      </w:pPr>
      <w:rPr>
        <w:rFonts w:ascii="Courier New" w:hAnsi="Courier New" w:hint="default"/>
      </w:rPr>
    </w:lvl>
    <w:lvl w:ilvl="2" w:tplc="08090005" w:tentative="1">
      <w:start w:val="1"/>
      <w:numFmt w:val="bullet"/>
      <w:lvlText w:val=""/>
      <w:lvlJc w:val="left"/>
      <w:pPr>
        <w:ind w:left="1900" w:hanging="360"/>
      </w:pPr>
      <w:rPr>
        <w:rFonts w:ascii="Wingdings" w:hAnsi="Wingdings" w:cs="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hint="default"/>
      </w:rPr>
    </w:lvl>
    <w:lvl w:ilvl="5" w:tplc="08090005" w:tentative="1">
      <w:start w:val="1"/>
      <w:numFmt w:val="bullet"/>
      <w:lvlText w:val=""/>
      <w:lvlJc w:val="left"/>
      <w:pPr>
        <w:ind w:left="4060" w:hanging="360"/>
      </w:pPr>
      <w:rPr>
        <w:rFonts w:ascii="Wingdings" w:hAnsi="Wingdings" w:cs="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hint="default"/>
      </w:rPr>
    </w:lvl>
    <w:lvl w:ilvl="8" w:tplc="08090005" w:tentative="1">
      <w:start w:val="1"/>
      <w:numFmt w:val="bullet"/>
      <w:lvlText w:val=""/>
      <w:lvlJc w:val="left"/>
      <w:pPr>
        <w:ind w:left="6220" w:hanging="360"/>
      </w:pPr>
      <w:rPr>
        <w:rFonts w:ascii="Wingdings" w:hAnsi="Wingdings" w:cs="Wingdings" w:hint="default"/>
      </w:rPr>
    </w:lvl>
  </w:abstractNum>
  <w:abstractNum w:abstractNumId="14" w15:restartNumberingAfterBreak="0">
    <w:nsid w:val="58AA3252"/>
    <w:multiLevelType w:val="hybridMultilevel"/>
    <w:tmpl w:val="2A9283C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534AB0"/>
    <w:multiLevelType w:val="hybridMultilevel"/>
    <w:tmpl w:val="FFFFFFFF"/>
    <w:lvl w:ilvl="0" w:tplc="26FCD96C">
      <w:start w:val="1"/>
      <w:numFmt w:val="decimal"/>
      <w:lvlText w:val="%1."/>
      <w:lvlJc w:val="left"/>
      <w:pPr>
        <w:ind w:left="720" w:hanging="360"/>
      </w:pPr>
    </w:lvl>
    <w:lvl w:ilvl="1" w:tplc="B8F0520A">
      <w:start w:val="1"/>
      <w:numFmt w:val="lowerLetter"/>
      <w:lvlText w:val="%2."/>
      <w:lvlJc w:val="left"/>
      <w:pPr>
        <w:ind w:left="1440" w:hanging="360"/>
      </w:pPr>
    </w:lvl>
    <w:lvl w:ilvl="2" w:tplc="D69C9FFE">
      <w:start w:val="1"/>
      <w:numFmt w:val="lowerRoman"/>
      <w:lvlText w:val="%3."/>
      <w:lvlJc w:val="right"/>
      <w:pPr>
        <w:ind w:left="2160" w:hanging="180"/>
      </w:pPr>
    </w:lvl>
    <w:lvl w:ilvl="3" w:tplc="5462CCE2">
      <w:start w:val="1"/>
      <w:numFmt w:val="decimal"/>
      <w:lvlText w:val="%4."/>
      <w:lvlJc w:val="left"/>
      <w:pPr>
        <w:ind w:left="2880" w:hanging="360"/>
      </w:pPr>
    </w:lvl>
    <w:lvl w:ilvl="4" w:tplc="71763F64">
      <w:start w:val="1"/>
      <w:numFmt w:val="lowerLetter"/>
      <w:lvlText w:val="%5."/>
      <w:lvlJc w:val="left"/>
      <w:pPr>
        <w:ind w:left="3600" w:hanging="360"/>
      </w:pPr>
    </w:lvl>
    <w:lvl w:ilvl="5" w:tplc="6C4AE2C2">
      <w:start w:val="1"/>
      <w:numFmt w:val="lowerRoman"/>
      <w:lvlText w:val="%6."/>
      <w:lvlJc w:val="right"/>
      <w:pPr>
        <w:ind w:left="4320" w:hanging="180"/>
      </w:pPr>
    </w:lvl>
    <w:lvl w:ilvl="6" w:tplc="C0BC6BDA">
      <w:start w:val="1"/>
      <w:numFmt w:val="decimal"/>
      <w:lvlText w:val="%7."/>
      <w:lvlJc w:val="left"/>
      <w:pPr>
        <w:ind w:left="5040" w:hanging="360"/>
      </w:pPr>
    </w:lvl>
    <w:lvl w:ilvl="7" w:tplc="215A05D6">
      <w:start w:val="1"/>
      <w:numFmt w:val="lowerLetter"/>
      <w:lvlText w:val="%8."/>
      <w:lvlJc w:val="left"/>
      <w:pPr>
        <w:ind w:left="5760" w:hanging="360"/>
      </w:pPr>
    </w:lvl>
    <w:lvl w:ilvl="8" w:tplc="53569960">
      <w:start w:val="1"/>
      <w:numFmt w:val="lowerRoman"/>
      <w:lvlText w:val="%9."/>
      <w:lvlJc w:val="right"/>
      <w:pPr>
        <w:ind w:left="6480" w:hanging="180"/>
      </w:pPr>
    </w:lvl>
  </w:abstractNum>
  <w:abstractNum w:abstractNumId="16" w15:restartNumberingAfterBreak="0">
    <w:nsid w:val="60C95857"/>
    <w:multiLevelType w:val="hybridMultilevel"/>
    <w:tmpl w:val="11B6F3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4E3713"/>
    <w:multiLevelType w:val="hybridMultilevel"/>
    <w:tmpl w:val="FFFFFFFF"/>
    <w:lvl w:ilvl="0" w:tplc="46D610B0">
      <w:start w:val="1"/>
      <w:numFmt w:val="decimal"/>
      <w:lvlText w:val="%1."/>
      <w:lvlJc w:val="left"/>
      <w:pPr>
        <w:ind w:left="720" w:hanging="360"/>
      </w:pPr>
    </w:lvl>
    <w:lvl w:ilvl="1" w:tplc="8A904F94">
      <w:start w:val="1"/>
      <w:numFmt w:val="lowerLetter"/>
      <w:lvlText w:val="%2."/>
      <w:lvlJc w:val="left"/>
      <w:pPr>
        <w:ind w:left="1440" w:hanging="360"/>
      </w:pPr>
    </w:lvl>
    <w:lvl w:ilvl="2" w:tplc="5860ED76">
      <w:start w:val="1"/>
      <w:numFmt w:val="lowerRoman"/>
      <w:lvlText w:val="%3."/>
      <w:lvlJc w:val="right"/>
      <w:pPr>
        <w:ind w:left="2160" w:hanging="180"/>
      </w:pPr>
    </w:lvl>
    <w:lvl w:ilvl="3" w:tplc="62968F02">
      <w:start w:val="1"/>
      <w:numFmt w:val="decimal"/>
      <w:lvlText w:val="%4."/>
      <w:lvlJc w:val="left"/>
      <w:pPr>
        <w:ind w:left="2880" w:hanging="360"/>
      </w:pPr>
    </w:lvl>
    <w:lvl w:ilvl="4" w:tplc="C10A163C">
      <w:start w:val="1"/>
      <w:numFmt w:val="lowerLetter"/>
      <w:lvlText w:val="%5."/>
      <w:lvlJc w:val="left"/>
      <w:pPr>
        <w:ind w:left="3600" w:hanging="360"/>
      </w:pPr>
    </w:lvl>
    <w:lvl w:ilvl="5" w:tplc="836683D8">
      <w:start w:val="1"/>
      <w:numFmt w:val="lowerRoman"/>
      <w:lvlText w:val="%6."/>
      <w:lvlJc w:val="right"/>
      <w:pPr>
        <w:ind w:left="4320" w:hanging="180"/>
      </w:pPr>
    </w:lvl>
    <w:lvl w:ilvl="6" w:tplc="99D29C42">
      <w:start w:val="1"/>
      <w:numFmt w:val="decimal"/>
      <w:lvlText w:val="%7."/>
      <w:lvlJc w:val="left"/>
      <w:pPr>
        <w:ind w:left="5040" w:hanging="360"/>
      </w:pPr>
    </w:lvl>
    <w:lvl w:ilvl="7" w:tplc="123E2D5C">
      <w:start w:val="1"/>
      <w:numFmt w:val="lowerLetter"/>
      <w:lvlText w:val="%8."/>
      <w:lvlJc w:val="left"/>
      <w:pPr>
        <w:ind w:left="5760" w:hanging="360"/>
      </w:pPr>
    </w:lvl>
    <w:lvl w:ilvl="8" w:tplc="7D34914E">
      <w:start w:val="1"/>
      <w:numFmt w:val="lowerRoman"/>
      <w:lvlText w:val="%9."/>
      <w:lvlJc w:val="right"/>
      <w:pPr>
        <w:ind w:left="6480" w:hanging="180"/>
      </w:pPr>
    </w:lvl>
  </w:abstractNum>
  <w:abstractNum w:abstractNumId="18" w15:restartNumberingAfterBreak="0">
    <w:nsid w:val="68AE2811"/>
    <w:multiLevelType w:val="hybridMultilevel"/>
    <w:tmpl w:val="771CE5D8"/>
    <w:lvl w:ilvl="0" w:tplc="4BC058A4">
      <w:start w:val="1"/>
      <w:numFmt w:val="bullet"/>
      <w:lvlText w:val="-"/>
      <w:lvlJc w:val="left"/>
      <w:pPr>
        <w:ind w:left="720" w:hanging="360"/>
      </w:pPr>
      <w:rPr>
        <w:rFonts w:ascii="Calibri" w:hAnsi="Calibri" w:hint="default"/>
      </w:rPr>
    </w:lvl>
    <w:lvl w:ilvl="1" w:tplc="EF9AABB4">
      <w:start w:val="1"/>
      <w:numFmt w:val="bullet"/>
      <w:lvlText w:val="o"/>
      <w:lvlJc w:val="left"/>
      <w:pPr>
        <w:ind w:left="1440" w:hanging="360"/>
      </w:pPr>
      <w:rPr>
        <w:rFonts w:ascii="Courier New" w:hAnsi="Courier New" w:hint="default"/>
      </w:rPr>
    </w:lvl>
    <w:lvl w:ilvl="2" w:tplc="A50A05FE">
      <w:start w:val="1"/>
      <w:numFmt w:val="bullet"/>
      <w:lvlText w:val=""/>
      <w:lvlJc w:val="left"/>
      <w:pPr>
        <w:ind w:left="2160" w:hanging="360"/>
      </w:pPr>
      <w:rPr>
        <w:rFonts w:ascii="Wingdings" w:hAnsi="Wingdings" w:hint="default"/>
      </w:rPr>
    </w:lvl>
    <w:lvl w:ilvl="3" w:tplc="48C4FBE2">
      <w:start w:val="1"/>
      <w:numFmt w:val="bullet"/>
      <w:lvlText w:val=""/>
      <w:lvlJc w:val="left"/>
      <w:pPr>
        <w:ind w:left="2880" w:hanging="360"/>
      </w:pPr>
      <w:rPr>
        <w:rFonts w:ascii="Symbol" w:hAnsi="Symbol" w:hint="default"/>
      </w:rPr>
    </w:lvl>
    <w:lvl w:ilvl="4" w:tplc="D9C4C7C2">
      <w:start w:val="1"/>
      <w:numFmt w:val="bullet"/>
      <w:lvlText w:val="o"/>
      <w:lvlJc w:val="left"/>
      <w:pPr>
        <w:ind w:left="3600" w:hanging="360"/>
      </w:pPr>
      <w:rPr>
        <w:rFonts w:ascii="Courier New" w:hAnsi="Courier New" w:hint="default"/>
      </w:rPr>
    </w:lvl>
    <w:lvl w:ilvl="5" w:tplc="E09438DA">
      <w:start w:val="1"/>
      <w:numFmt w:val="bullet"/>
      <w:lvlText w:val=""/>
      <w:lvlJc w:val="left"/>
      <w:pPr>
        <w:ind w:left="4320" w:hanging="360"/>
      </w:pPr>
      <w:rPr>
        <w:rFonts w:ascii="Wingdings" w:hAnsi="Wingdings" w:hint="default"/>
      </w:rPr>
    </w:lvl>
    <w:lvl w:ilvl="6" w:tplc="8B7C8A42">
      <w:start w:val="1"/>
      <w:numFmt w:val="bullet"/>
      <w:lvlText w:val=""/>
      <w:lvlJc w:val="left"/>
      <w:pPr>
        <w:ind w:left="5040" w:hanging="360"/>
      </w:pPr>
      <w:rPr>
        <w:rFonts w:ascii="Symbol" w:hAnsi="Symbol" w:hint="default"/>
      </w:rPr>
    </w:lvl>
    <w:lvl w:ilvl="7" w:tplc="71C61656">
      <w:start w:val="1"/>
      <w:numFmt w:val="bullet"/>
      <w:lvlText w:val="o"/>
      <w:lvlJc w:val="left"/>
      <w:pPr>
        <w:ind w:left="5760" w:hanging="360"/>
      </w:pPr>
      <w:rPr>
        <w:rFonts w:ascii="Courier New" w:hAnsi="Courier New" w:hint="default"/>
      </w:rPr>
    </w:lvl>
    <w:lvl w:ilvl="8" w:tplc="4E06D41C">
      <w:start w:val="1"/>
      <w:numFmt w:val="bullet"/>
      <w:lvlText w:val=""/>
      <w:lvlJc w:val="left"/>
      <w:pPr>
        <w:ind w:left="6480" w:hanging="360"/>
      </w:pPr>
      <w:rPr>
        <w:rFonts w:ascii="Wingdings" w:hAnsi="Wingdings" w:hint="default"/>
      </w:rPr>
    </w:lvl>
  </w:abstractNum>
  <w:abstractNum w:abstractNumId="19" w15:restartNumberingAfterBreak="0">
    <w:nsid w:val="70E003D6"/>
    <w:multiLevelType w:val="hybridMultilevel"/>
    <w:tmpl w:val="952E9AFA"/>
    <w:lvl w:ilvl="0" w:tplc="2870CA60">
      <w:start w:val="1"/>
      <w:numFmt w:val="bullet"/>
      <w:lvlText w:val="-"/>
      <w:lvlJc w:val="left"/>
      <w:pPr>
        <w:ind w:left="720" w:hanging="360"/>
      </w:pPr>
      <w:rPr>
        <w:u w:val="none"/>
      </w:rPr>
    </w:lvl>
    <w:lvl w:ilvl="1" w:tplc="46741F84">
      <w:start w:val="1"/>
      <w:numFmt w:val="bullet"/>
      <w:lvlText w:val="-"/>
      <w:lvlJc w:val="left"/>
      <w:pPr>
        <w:ind w:left="1440" w:hanging="360"/>
      </w:pPr>
      <w:rPr>
        <w:u w:val="none"/>
      </w:rPr>
    </w:lvl>
    <w:lvl w:ilvl="2" w:tplc="809C7D70">
      <w:start w:val="1"/>
      <w:numFmt w:val="bullet"/>
      <w:lvlText w:val="-"/>
      <w:lvlJc w:val="left"/>
      <w:pPr>
        <w:ind w:left="2160" w:hanging="360"/>
      </w:pPr>
      <w:rPr>
        <w:u w:val="none"/>
      </w:rPr>
    </w:lvl>
    <w:lvl w:ilvl="3" w:tplc="9DFA2FDA">
      <w:start w:val="1"/>
      <w:numFmt w:val="bullet"/>
      <w:lvlText w:val="-"/>
      <w:lvlJc w:val="left"/>
      <w:pPr>
        <w:ind w:left="2880" w:hanging="360"/>
      </w:pPr>
      <w:rPr>
        <w:u w:val="none"/>
      </w:rPr>
    </w:lvl>
    <w:lvl w:ilvl="4" w:tplc="1A00C73A">
      <w:start w:val="1"/>
      <w:numFmt w:val="bullet"/>
      <w:lvlText w:val="-"/>
      <w:lvlJc w:val="left"/>
      <w:pPr>
        <w:ind w:left="3600" w:hanging="360"/>
      </w:pPr>
      <w:rPr>
        <w:u w:val="none"/>
      </w:rPr>
    </w:lvl>
    <w:lvl w:ilvl="5" w:tplc="892E42CA">
      <w:start w:val="1"/>
      <w:numFmt w:val="bullet"/>
      <w:lvlText w:val="-"/>
      <w:lvlJc w:val="left"/>
      <w:pPr>
        <w:ind w:left="4320" w:hanging="360"/>
      </w:pPr>
      <w:rPr>
        <w:u w:val="none"/>
      </w:rPr>
    </w:lvl>
    <w:lvl w:ilvl="6" w:tplc="A3A09C2C">
      <w:start w:val="1"/>
      <w:numFmt w:val="bullet"/>
      <w:lvlText w:val="-"/>
      <w:lvlJc w:val="left"/>
      <w:pPr>
        <w:ind w:left="5040" w:hanging="360"/>
      </w:pPr>
      <w:rPr>
        <w:u w:val="none"/>
      </w:rPr>
    </w:lvl>
    <w:lvl w:ilvl="7" w:tplc="CC0C7A6C">
      <w:start w:val="1"/>
      <w:numFmt w:val="bullet"/>
      <w:lvlText w:val="-"/>
      <w:lvlJc w:val="left"/>
      <w:pPr>
        <w:ind w:left="5760" w:hanging="360"/>
      </w:pPr>
      <w:rPr>
        <w:u w:val="none"/>
      </w:rPr>
    </w:lvl>
    <w:lvl w:ilvl="8" w:tplc="176627B6">
      <w:start w:val="1"/>
      <w:numFmt w:val="bullet"/>
      <w:lvlText w:val="-"/>
      <w:lvlJc w:val="left"/>
      <w:pPr>
        <w:ind w:left="6480" w:hanging="360"/>
      </w:pPr>
      <w:rPr>
        <w:u w:val="none"/>
      </w:rPr>
    </w:lvl>
  </w:abstractNum>
  <w:abstractNum w:abstractNumId="20" w15:restartNumberingAfterBreak="0">
    <w:nsid w:val="7B6C354D"/>
    <w:multiLevelType w:val="hybridMultilevel"/>
    <w:tmpl w:val="F6F251A4"/>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070DAC"/>
    <w:multiLevelType w:val="hybridMultilevel"/>
    <w:tmpl w:val="7A1CEB9C"/>
    <w:lvl w:ilvl="0" w:tplc="54C6BEF4">
      <w:start w:val="1"/>
      <w:numFmt w:val="decimal"/>
      <w:lvlText w:val="%1."/>
      <w:lvlJc w:val="left"/>
      <w:pPr>
        <w:ind w:left="720" w:hanging="360"/>
      </w:pPr>
      <w:rPr>
        <w:u w:val="none"/>
      </w:rPr>
    </w:lvl>
    <w:lvl w:ilvl="1" w:tplc="1840AC84">
      <w:start w:val="1"/>
      <w:numFmt w:val="lowerLetter"/>
      <w:lvlText w:val="%2."/>
      <w:lvlJc w:val="left"/>
      <w:pPr>
        <w:ind w:left="1440" w:hanging="360"/>
      </w:pPr>
      <w:rPr>
        <w:u w:val="none"/>
      </w:rPr>
    </w:lvl>
    <w:lvl w:ilvl="2" w:tplc="C5C6C8F2">
      <w:start w:val="1"/>
      <w:numFmt w:val="lowerRoman"/>
      <w:lvlText w:val="%3."/>
      <w:lvlJc w:val="right"/>
      <w:pPr>
        <w:ind w:left="2160" w:hanging="360"/>
      </w:pPr>
      <w:rPr>
        <w:u w:val="none"/>
      </w:rPr>
    </w:lvl>
    <w:lvl w:ilvl="3" w:tplc="752236D4">
      <w:start w:val="1"/>
      <w:numFmt w:val="decimal"/>
      <w:lvlText w:val="%4."/>
      <w:lvlJc w:val="left"/>
      <w:pPr>
        <w:ind w:left="2880" w:hanging="360"/>
      </w:pPr>
      <w:rPr>
        <w:u w:val="none"/>
      </w:rPr>
    </w:lvl>
    <w:lvl w:ilvl="4" w:tplc="DFEE6BB6">
      <w:start w:val="1"/>
      <w:numFmt w:val="lowerLetter"/>
      <w:lvlText w:val="%5."/>
      <w:lvlJc w:val="left"/>
      <w:pPr>
        <w:ind w:left="3600" w:hanging="360"/>
      </w:pPr>
      <w:rPr>
        <w:u w:val="none"/>
      </w:rPr>
    </w:lvl>
    <w:lvl w:ilvl="5" w:tplc="C4F8EF5E">
      <w:start w:val="1"/>
      <w:numFmt w:val="lowerRoman"/>
      <w:lvlText w:val="%6."/>
      <w:lvlJc w:val="right"/>
      <w:pPr>
        <w:ind w:left="4320" w:hanging="360"/>
      </w:pPr>
      <w:rPr>
        <w:u w:val="none"/>
      </w:rPr>
    </w:lvl>
    <w:lvl w:ilvl="6" w:tplc="917E28CC">
      <w:start w:val="1"/>
      <w:numFmt w:val="decimal"/>
      <w:lvlText w:val="%7."/>
      <w:lvlJc w:val="left"/>
      <w:pPr>
        <w:ind w:left="5040" w:hanging="360"/>
      </w:pPr>
      <w:rPr>
        <w:u w:val="none"/>
      </w:rPr>
    </w:lvl>
    <w:lvl w:ilvl="7" w:tplc="942A86E0">
      <w:start w:val="1"/>
      <w:numFmt w:val="lowerLetter"/>
      <w:lvlText w:val="%8."/>
      <w:lvlJc w:val="left"/>
      <w:pPr>
        <w:ind w:left="5760" w:hanging="360"/>
      </w:pPr>
      <w:rPr>
        <w:u w:val="none"/>
      </w:rPr>
    </w:lvl>
    <w:lvl w:ilvl="8" w:tplc="D9B8F704">
      <w:start w:val="1"/>
      <w:numFmt w:val="lowerRoman"/>
      <w:lvlText w:val="%9."/>
      <w:lvlJc w:val="right"/>
      <w:pPr>
        <w:ind w:left="6480" w:hanging="360"/>
      </w:pPr>
      <w:rPr>
        <w:u w:val="none"/>
      </w:rPr>
    </w:lvl>
  </w:abstractNum>
  <w:num w:numId="1">
    <w:abstractNumId w:val="18"/>
  </w:num>
  <w:num w:numId="2">
    <w:abstractNumId w:val="1"/>
  </w:num>
  <w:num w:numId="3">
    <w:abstractNumId w:val="19"/>
  </w:num>
  <w:num w:numId="4">
    <w:abstractNumId w:val="21"/>
  </w:num>
  <w:num w:numId="5">
    <w:abstractNumId w:val="3"/>
  </w:num>
  <w:num w:numId="6">
    <w:abstractNumId w:val="6"/>
  </w:num>
  <w:num w:numId="7">
    <w:abstractNumId w:val="5"/>
  </w:num>
  <w:num w:numId="8">
    <w:abstractNumId w:val="11"/>
  </w:num>
  <w:num w:numId="9">
    <w:abstractNumId w:val="13"/>
  </w:num>
  <w:num w:numId="10">
    <w:abstractNumId w:val="2"/>
  </w:num>
  <w:num w:numId="11">
    <w:abstractNumId w:val="0"/>
  </w:num>
  <w:num w:numId="12">
    <w:abstractNumId w:val="20"/>
  </w:num>
  <w:num w:numId="13">
    <w:abstractNumId w:val="14"/>
  </w:num>
  <w:num w:numId="14">
    <w:abstractNumId w:val="16"/>
  </w:num>
  <w:num w:numId="15">
    <w:abstractNumId w:val="8"/>
  </w:num>
  <w:num w:numId="16">
    <w:abstractNumId w:val="7"/>
  </w:num>
  <w:num w:numId="17">
    <w:abstractNumId w:val="9"/>
  </w:num>
  <w:num w:numId="18">
    <w:abstractNumId w:val="17"/>
  </w:num>
  <w:num w:numId="19">
    <w:abstractNumId w:val="15"/>
  </w:num>
  <w:num w:numId="20">
    <w:abstractNumId w:val="12"/>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3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33B"/>
    <w:rsid w:val="00004C54"/>
    <w:rsid w:val="0000510D"/>
    <w:rsid w:val="00005E19"/>
    <w:rsid w:val="00005EAB"/>
    <w:rsid w:val="00007D6A"/>
    <w:rsid w:val="000107AF"/>
    <w:rsid w:val="00010904"/>
    <w:rsid w:val="00012E64"/>
    <w:rsid w:val="00013A42"/>
    <w:rsid w:val="00013C0D"/>
    <w:rsid w:val="000175E8"/>
    <w:rsid w:val="00017EF3"/>
    <w:rsid w:val="00020093"/>
    <w:rsid w:val="0002164B"/>
    <w:rsid w:val="00023272"/>
    <w:rsid w:val="000252FA"/>
    <w:rsid w:val="000262F8"/>
    <w:rsid w:val="000278AE"/>
    <w:rsid w:val="00027A56"/>
    <w:rsid w:val="0003468A"/>
    <w:rsid w:val="00035FC7"/>
    <w:rsid w:val="00036B3D"/>
    <w:rsid w:val="00037968"/>
    <w:rsid w:val="00040AE9"/>
    <w:rsid w:val="0004397D"/>
    <w:rsid w:val="0004443B"/>
    <w:rsid w:val="000446B3"/>
    <w:rsid w:val="00044E1A"/>
    <w:rsid w:val="000450C3"/>
    <w:rsid w:val="00047186"/>
    <w:rsid w:val="000504C3"/>
    <w:rsid w:val="00050C83"/>
    <w:rsid w:val="00054568"/>
    <w:rsid w:val="00054FE0"/>
    <w:rsid w:val="00055B43"/>
    <w:rsid w:val="00055E5E"/>
    <w:rsid w:val="00056223"/>
    <w:rsid w:val="00056373"/>
    <w:rsid w:val="0005789C"/>
    <w:rsid w:val="00057CB0"/>
    <w:rsid w:val="00060570"/>
    <w:rsid w:val="000622DB"/>
    <w:rsid w:val="00062B43"/>
    <w:rsid w:val="0006355C"/>
    <w:rsid w:val="0006456B"/>
    <w:rsid w:val="00066076"/>
    <w:rsid w:val="00066491"/>
    <w:rsid w:val="000672BB"/>
    <w:rsid w:val="000679CC"/>
    <w:rsid w:val="000705BF"/>
    <w:rsid w:val="00071EDE"/>
    <w:rsid w:val="00072201"/>
    <w:rsid w:val="000724D9"/>
    <w:rsid w:val="00072AD8"/>
    <w:rsid w:val="00075AA4"/>
    <w:rsid w:val="0008013E"/>
    <w:rsid w:val="000832EC"/>
    <w:rsid w:val="00083B1D"/>
    <w:rsid w:val="00085F4D"/>
    <w:rsid w:val="00087D81"/>
    <w:rsid w:val="00091AB2"/>
    <w:rsid w:val="00091B15"/>
    <w:rsid w:val="00092AE9"/>
    <w:rsid w:val="00095875"/>
    <w:rsid w:val="0009597D"/>
    <w:rsid w:val="00096A83"/>
    <w:rsid w:val="000972CA"/>
    <w:rsid w:val="00097625"/>
    <w:rsid w:val="00097BB4"/>
    <w:rsid w:val="00097D01"/>
    <w:rsid w:val="000A027D"/>
    <w:rsid w:val="000A0F25"/>
    <w:rsid w:val="000A1D4B"/>
    <w:rsid w:val="000A1D54"/>
    <w:rsid w:val="000A24B9"/>
    <w:rsid w:val="000A2A19"/>
    <w:rsid w:val="000A3477"/>
    <w:rsid w:val="000A3C16"/>
    <w:rsid w:val="000A4CC7"/>
    <w:rsid w:val="000A60ED"/>
    <w:rsid w:val="000A7265"/>
    <w:rsid w:val="000A776C"/>
    <w:rsid w:val="000A7CB5"/>
    <w:rsid w:val="000B0535"/>
    <w:rsid w:val="000B0F15"/>
    <w:rsid w:val="000B1E2B"/>
    <w:rsid w:val="000B1EA5"/>
    <w:rsid w:val="000B29BA"/>
    <w:rsid w:val="000B2EB2"/>
    <w:rsid w:val="000B38A6"/>
    <w:rsid w:val="000B3DB9"/>
    <w:rsid w:val="000B477D"/>
    <w:rsid w:val="000B4D03"/>
    <w:rsid w:val="000B5008"/>
    <w:rsid w:val="000B54E4"/>
    <w:rsid w:val="000B5DCE"/>
    <w:rsid w:val="000B5EB2"/>
    <w:rsid w:val="000B7DD1"/>
    <w:rsid w:val="000B7F9D"/>
    <w:rsid w:val="000C2F9C"/>
    <w:rsid w:val="000C3BD2"/>
    <w:rsid w:val="000C54CC"/>
    <w:rsid w:val="000C5D98"/>
    <w:rsid w:val="000C7D94"/>
    <w:rsid w:val="000C7F92"/>
    <w:rsid w:val="000D036D"/>
    <w:rsid w:val="000D2BBD"/>
    <w:rsid w:val="000D321D"/>
    <w:rsid w:val="000D34DE"/>
    <w:rsid w:val="000D3951"/>
    <w:rsid w:val="000D3F47"/>
    <w:rsid w:val="000D6809"/>
    <w:rsid w:val="000D72DE"/>
    <w:rsid w:val="000D794A"/>
    <w:rsid w:val="000D7D04"/>
    <w:rsid w:val="000E0CF1"/>
    <w:rsid w:val="000E1253"/>
    <w:rsid w:val="000E22FC"/>
    <w:rsid w:val="000E279F"/>
    <w:rsid w:val="000E3B17"/>
    <w:rsid w:val="000E4A91"/>
    <w:rsid w:val="000E5930"/>
    <w:rsid w:val="000E7A47"/>
    <w:rsid w:val="000F1394"/>
    <w:rsid w:val="000F1544"/>
    <w:rsid w:val="000F4208"/>
    <w:rsid w:val="000F4544"/>
    <w:rsid w:val="000F66DF"/>
    <w:rsid w:val="000F6B88"/>
    <w:rsid w:val="000F75D8"/>
    <w:rsid w:val="00102C62"/>
    <w:rsid w:val="00103210"/>
    <w:rsid w:val="00104601"/>
    <w:rsid w:val="00105871"/>
    <w:rsid w:val="001066F9"/>
    <w:rsid w:val="00106CCB"/>
    <w:rsid w:val="00107775"/>
    <w:rsid w:val="001077B4"/>
    <w:rsid w:val="00107F61"/>
    <w:rsid w:val="00110D76"/>
    <w:rsid w:val="00111A49"/>
    <w:rsid w:val="00111BB7"/>
    <w:rsid w:val="00112FA6"/>
    <w:rsid w:val="001139B7"/>
    <w:rsid w:val="00113C69"/>
    <w:rsid w:val="00114097"/>
    <w:rsid w:val="00115CD8"/>
    <w:rsid w:val="00116142"/>
    <w:rsid w:val="00117558"/>
    <w:rsid w:val="00117666"/>
    <w:rsid w:val="00117B71"/>
    <w:rsid w:val="001207DC"/>
    <w:rsid w:val="0012119D"/>
    <w:rsid w:val="001219E9"/>
    <w:rsid w:val="00123257"/>
    <w:rsid w:val="00125640"/>
    <w:rsid w:val="001257F9"/>
    <w:rsid w:val="00125E9E"/>
    <w:rsid w:val="00131C60"/>
    <w:rsid w:val="001323F4"/>
    <w:rsid w:val="00132A9A"/>
    <w:rsid w:val="00135B43"/>
    <w:rsid w:val="001361A3"/>
    <w:rsid w:val="00137A4D"/>
    <w:rsid w:val="001404B2"/>
    <w:rsid w:val="0014086B"/>
    <w:rsid w:val="001415AF"/>
    <w:rsid w:val="00141B83"/>
    <w:rsid w:val="00142CB3"/>
    <w:rsid w:val="00143B8B"/>
    <w:rsid w:val="00143FB7"/>
    <w:rsid w:val="0014430B"/>
    <w:rsid w:val="00144A68"/>
    <w:rsid w:val="00144DF9"/>
    <w:rsid w:val="0014760F"/>
    <w:rsid w:val="00147A79"/>
    <w:rsid w:val="00150926"/>
    <w:rsid w:val="00151466"/>
    <w:rsid w:val="00151EAF"/>
    <w:rsid w:val="0015255E"/>
    <w:rsid w:val="0015284F"/>
    <w:rsid w:val="00154F02"/>
    <w:rsid w:val="001551C9"/>
    <w:rsid w:val="0015694A"/>
    <w:rsid w:val="0016185A"/>
    <w:rsid w:val="00163608"/>
    <w:rsid w:val="00164CE5"/>
    <w:rsid w:val="00165B37"/>
    <w:rsid w:val="00166607"/>
    <w:rsid w:val="0017009B"/>
    <w:rsid w:val="0017056F"/>
    <w:rsid w:val="00172FAB"/>
    <w:rsid w:val="00172FCB"/>
    <w:rsid w:val="00174547"/>
    <w:rsid w:val="00174B90"/>
    <w:rsid w:val="001756E4"/>
    <w:rsid w:val="00176606"/>
    <w:rsid w:val="00176CF6"/>
    <w:rsid w:val="001779E5"/>
    <w:rsid w:val="00180F93"/>
    <w:rsid w:val="00181F42"/>
    <w:rsid w:val="001825C9"/>
    <w:rsid w:val="001829BC"/>
    <w:rsid w:val="00183899"/>
    <w:rsid w:val="00184D81"/>
    <w:rsid w:val="00186CBA"/>
    <w:rsid w:val="00190A8D"/>
    <w:rsid w:val="00190B74"/>
    <w:rsid w:val="0019135B"/>
    <w:rsid w:val="00192C86"/>
    <w:rsid w:val="00193A20"/>
    <w:rsid w:val="001940ED"/>
    <w:rsid w:val="0019592A"/>
    <w:rsid w:val="00195A94"/>
    <w:rsid w:val="00195D8C"/>
    <w:rsid w:val="001961AC"/>
    <w:rsid w:val="001963F7"/>
    <w:rsid w:val="001978E0"/>
    <w:rsid w:val="00197F95"/>
    <w:rsid w:val="001A0299"/>
    <w:rsid w:val="001A07FE"/>
    <w:rsid w:val="001A1395"/>
    <w:rsid w:val="001A1563"/>
    <w:rsid w:val="001A189D"/>
    <w:rsid w:val="001A1D95"/>
    <w:rsid w:val="001A4C84"/>
    <w:rsid w:val="001B0884"/>
    <w:rsid w:val="001B1036"/>
    <w:rsid w:val="001B1A91"/>
    <w:rsid w:val="001B22B3"/>
    <w:rsid w:val="001B2EFE"/>
    <w:rsid w:val="001B2FFB"/>
    <w:rsid w:val="001B396C"/>
    <w:rsid w:val="001B3D51"/>
    <w:rsid w:val="001B552A"/>
    <w:rsid w:val="001B5EB8"/>
    <w:rsid w:val="001B62AF"/>
    <w:rsid w:val="001B63BD"/>
    <w:rsid w:val="001B7761"/>
    <w:rsid w:val="001C55AD"/>
    <w:rsid w:val="001C6187"/>
    <w:rsid w:val="001C61A7"/>
    <w:rsid w:val="001C7F0B"/>
    <w:rsid w:val="001D031D"/>
    <w:rsid w:val="001D07B9"/>
    <w:rsid w:val="001D5AF9"/>
    <w:rsid w:val="001D5C08"/>
    <w:rsid w:val="001D7077"/>
    <w:rsid w:val="001D77CA"/>
    <w:rsid w:val="001E0B11"/>
    <w:rsid w:val="001E2E92"/>
    <w:rsid w:val="001E323C"/>
    <w:rsid w:val="001E34F8"/>
    <w:rsid w:val="001E3767"/>
    <w:rsid w:val="001E51EA"/>
    <w:rsid w:val="001E59D3"/>
    <w:rsid w:val="001E6087"/>
    <w:rsid w:val="001E6973"/>
    <w:rsid w:val="001E6AB4"/>
    <w:rsid w:val="001E6DCB"/>
    <w:rsid w:val="001E76E8"/>
    <w:rsid w:val="001F29CE"/>
    <w:rsid w:val="001F3BF7"/>
    <w:rsid w:val="001F4001"/>
    <w:rsid w:val="001F56C5"/>
    <w:rsid w:val="00200251"/>
    <w:rsid w:val="00200D6D"/>
    <w:rsid w:val="002012BD"/>
    <w:rsid w:val="00201869"/>
    <w:rsid w:val="002022F3"/>
    <w:rsid w:val="00203D41"/>
    <w:rsid w:val="0020649C"/>
    <w:rsid w:val="0021151B"/>
    <w:rsid w:val="00211E9B"/>
    <w:rsid w:val="00212055"/>
    <w:rsid w:val="002120B5"/>
    <w:rsid w:val="00212755"/>
    <w:rsid w:val="00212763"/>
    <w:rsid w:val="00212FB3"/>
    <w:rsid w:val="00213A85"/>
    <w:rsid w:val="0021512E"/>
    <w:rsid w:val="0021531F"/>
    <w:rsid w:val="00215519"/>
    <w:rsid w:val="00215AAA"/>
    <w:rsid w:val="00217502"/>
    <w:rsid w:val="002178C9"/>
    <w:rsid w:val="0022096D"/>
    <w:rsid w:val="00222BD5"/>
    <w:rsid w:val="00223BDF"/>
    <w:rsid w:val="0022412C"/>
    <w:rsid w:val="0022651E"/>
    <w:rsid w:val="00226906"/>
    <w:rsid w:val="00226E45"/>
    <w:rsid w:val="00227D8D"/>
    <w:rsid w:val="00230177"/>
    <w:rsid w:val="0023024B"/>
    <w:rsid w:val="002330F4"/>
    <w:rsid w:val="00233B68"/>
    <w:rsid w:val="00233D90"/>
    <w:rsid w:val="002345D8"/>
    <w:rsid w:val="002378E8"/>
    <w:rsid w:val="002403A9"/>
    <w:rsid w:val="00240486"/>
    <w:rsid w:val="002415F9"/>
    <w:rsid w:val="00242C43"/>
    <w:rsid w:val="00242E72"/>
    <w:rsid w:val="0024356A"/>
    <w:rsid w:val="00245C35"/>
    <w:rsid w:val="002465EF"/>
    <w:rsid w:val="0024718E"/>
    <w:rsid w:val="002475D4"/>
    <w:rsid w:val="0024761D"/>
    <w:rsid w:val="00250923"/>
    <w:rsid w:val="00251138"/>
    <w:rsid w:val="00252B4C"/>
    <w:rsid w:val="0025460F"/>
    <w:rsid w:val="0025507A"/>
    <w:rsid w:val="00255547"/>
    <w:rsid w:val="002566D3"/>
    <w:rsid w:val="00260252"/>
    <w:rsid w:val="0026109A"/>
    <w:rsid w:val="0026143C"/>
    <w:rsid w:val="002636DD"/>
    <w:rsid w:val="0026397D"/>
    <w:rsid w:val="002655DB"/>
    <w:rsid w:val="00266137"/>
    <w:rsid w:val="00267F54"/>
    <w:rsid w:val="00270D73"/>
    <w:rsid w:val="00271440"/>
    <w:rsid w:val="00272A98"/>
    <w:rsid w:val="00273708"/>
    <w:rsid w:val="0027414A"/>
    <w:rsid w:val="00274929"/>
    <w:rsid w:val="00275490"/>
    <w:rsid w:val="00275DD7"/>
    <w:rsid w:val="002765A4"/>
    <w:rsid w:val="00276E0A"/>
    <w:rsid w:val="0028047F"/>
    <w:rsid w:val="00281115"/>
    <w:rsid w:val="00281C50"/>
    <w:rsid w:val="002825BF"/>
    <w:rsid w:val="002826A3"/>
    <w:rsid w:val="0028294D"/>
    <w:rsid w:val="002835D9"/>
    <w:rsid w:val="00286368"/>
    <w:rsid w:val="00291EBF"/>
    <w:rsid w:val="00292447"/>
    <w:rsid w:val="0029267F"/>
    <w:rsid w:val="002927FD"/>
    <w:rsid w:val="002933E0"/>
    <w:rsid w:val="002959F0"/>
    <w:rsid w:val="00296B3A"/>
    <w:rsid w:val="0029792E"/>
    <w:rsid w:val="002A01A5"/>
    <w:rsid w:val="002A033B"/>
    <w:rsid w:val="002A0794"/>
    <w:rsid w:val="002A1A51"/>
    <w:rsid w:val="002A2433"/>
    <w:rsid w:val="002A3BEB"/>
    <w:rsid w:val="002A3EBC"/>
    <w:rsid w:val="002A7626"/>
    <w:rsid w:val="002A77B7"/>
    <w:rsid w:val="002A7863"/>
    <w:rsid w:val="002A7ED2"/>
    <w:rsid w:val="002B08AC"/>
    <w:rsid w:val="002B36A0"/>
    <w:rsid w:val="002B50BF"/>
    <w:rsid w:val="002B6D5F"/>
    <w:rsid w:val="002B6E0D"/>
    <w:rsid w:val="002C11CE"/>
    <w:rsid w:val="002C2C42"/>
    <w:rsid w:val="002C32C9"/>
    <w:rsid w:val="002C37CF"/>
    <w:rsid w:val="002C3A62"/>
    <w:rsid w:val="002C4C08"/>
    <w:rsid w:val="002C5D64"/>
    <w:rsid w:val="002C72D0"/>
    <w:rsid w:val="002C7C96"/>
    <w:rsid w:val="002D042F"/>
    <w:rsid w:val="002D056A"/>
    <w:rsid w:val="002D16DE"/>
    <w:rsid w:val="002D20E5"/>
    <w:rsid w:val="002D71F9"/>
    <w:rsid w:val="002E0434"/>
    <w:rsid w:val="002E2301"/>
    <w:rsid w:val="002E2416"/>
    <w:rsid w:val="002E55BF"/>
    <w:rsid w:val="002E58C2"/>
    <w:rsid w:val="002E598B"/>
    <w:rsid w:val="002E6614"/>
    <w:rsid w:val="002E6A61"/>
    <w:rsid w:val="002E6C0B"/>
    <w:rsid w:val="002F0A29"/>
    <w:rsid w:val="002F10A3"/>
    <w:rsid w:val="002F1363"/>
    <w:rsid w:val="002F473C"/>
    <w:rsid w:val="002F4968"/>
    <w:rsid w:val="002F4F30"/>
    <w:rsid w:val="002F586C"/>
    <w:rsid w:val="002F7C59"/>
    <w:rsid w:val="003005FF"/>
    <w:rsid w:val="00300B79"/>
    <w:rsid w:val="0030102A"/>
    <w:rsid w:val="0030147F"/>
    <w:rsid w:val="00305E58"/>
    <w:rsid w:val="00306810"/>
    <w:rsid w:val="00307CAB"/>
    <w:rsid w:val="003106A8"/>
    <w:rsid w:val="003148A1"/>
    <w:rsid w:val="00314B7C"/>
    <w:rsid w:val="00314FF5"/>
    <w:rsid w:val="00316C8E"/>
    <w:rsid w:val="0032057A"/>
    <w:rsid w:val="00321970"/>
    <w:rsid w:val="003221CD"/>
    <w:rsid w:val="00322511"/>
    <w:rsid w:val="003237B6"/>
    <w:rsid w:val="00323D9F"/>
    <w:rsid w:val="0032469C"/>
    <w:rsid w:val="00324CB2"/>
    <w:rsid w:val="0032511F"/>
    <w:rsid w:val="00325982"/>
    <w:rsid w:val="00325B05"/>
    <w:rsid w:val="00326BD7"/>
    <w:rsid w:val="00326E7C"/>
    <w:rsid w:val="00327D6D"/>
    <w:rsid w:val="00330319"/>
    <w:rsid w:val="00330F3B"/>
    <w:rsid w:val="0033206A"/>
    <w:rsid w:val="00332432"/>
    <w:rsid w:val="0033325A"/>
    <w:rsid w:val="00333E9C"/>
    <w:rsid w:val="00334221"/>
    <w:rsid w:val="003358AF"/>
    <w:rsid w:val="00336DF2"/>
    <w:rsid w:val="00342D0D"/>
    <w:rsid w:val="0034316D"/>
    <w:rsid w:val="003455D7"/>
    <w:rsid w:val="0034587C"/>
    <w:rsid w:val="00346B6D"/>
    <w:rsid w:val="00346B7E"/>
    <w:rsid w:val="00347C95"/>
    <w:rsid w:val="00347FF4"/>
    <w:rsid w:val="0035065C"/>
    <w:rsid w:val="00350FC9"/>
    <w:rsid w:val="0035112F"/>
    <w:rsid w:val="00352A83"/>
    <w:rsid w:val="0035311B"/>
    <w:rsid w:val="00354C47"/>
    <w:rsid w:val="003573FC"/>
    <w:rsid w:val="0036086C"/>
    <w:rsid w:val="00361C8E"/>
    <w:rsid w:val="003622BB"/>
    <w:rsid w:val="00362434"/>
    <w:rsid w:val="0036280A"/>
    <w:rsid w:val="00362D16"/>
    <w:rsid w:val="00362EB2"/>
    <w:rsid w:val="003641A1"/>
    <w:rsid w:val="00364658"/>
    <w:rsid w:val="00365CDE"/>
    <w:rsid w:val="00371BE0"/>
    <w:rsid w:val="00371F00"/>
    <w:rsid w:val="00372467"/>
    <w:rsid w:val="00373379"/>
    <w:rsid w:val="003738A9"/>
    <w:rsid w:val="003746BC"/>
    <w:rsid w:val="0037483C"/>
    <w:rsid w:val="00374880"/>
    <w:rsid w:val="00374A92"/>
    <w:rsid w:val="003755E3"/>
    <w:rsid w:val="00375815"/>
    <w:rsid w:val="003761D5"/>
    <w:rsid w:val="00376B76"/>
    <w:rsid w:val="00376DC4"/>
    <w:rsid w:val="00376EBA"/>
    <w:rsid w:val="00377BEC"/>
    <w:rsid w:val="00380FCF"/>
    <w:rsid w:val="00381434"/>
    <w:rsid w:val="00381E90"/>
    <w:rsid w:val="00382190"/>
    <w:rsid w:val="00382335"/>
    <w:rsid w:val="00382B07"/>
    <w:rsid w:val="00383616"/>
    <w:rsid w:val="00384136"/>
    <w:rsid w:val="003853D5"/>
    <w:rsid w:val="00385C9C"/>
    <w:rsid w:val="00386375"/>
    <w:rsid w:val="00386515"/>
    <w:rsid w:val="003869AD"/>
    <w:rsid w:val="0039096F"/>
    <w:rsid w:val="00391D42"/>
    <w:rsid w:val="003927BF"/>
    <w:rsid w:val="00392951"/>
    <w:rsid w:val="0039298E"/>
    <w:rsid w:val="003938CF"/>
    <w:rsid w:val="00394EE5"/>
    <w:rsid w:val="003969A7"/>
    <w:rsid w:val="00397B4D"/>
    <w:rsid w:val="003A0237"/>
    <w:rsid w:val="003A0C89"/>
    <w:rsid w:val="003A2040"/>
    <w:rsid w:val="003A35B7"/>
    <w:rsid w:val="003A3853"/>
    <w:rsid w:val="003A3900"/>
    <w:rsid w:val="003A3977"/>
    <w:rsid w:val="003B058B"/>
    <w:rsid w:val="003B19EC"/>
    <w:rsid w:val="003B1F6E"/>
    <w:rsid w:val="003B2C27"/>
    <w:rsid w:val="003B301A"/>
    <w:rsid w:val="003B5ED3"/>
    <w:rsid w:val="003B7C6E"/>
    <w:rsid w:val="003C047B"/>
    <w:rsid w:val="003C11EA"/>
    <w:rsid w:val="003C189D"/>
    <w:rsid w:val="003C20F4"/>
    <w:rsid w:val="003C29A2"/>
    <w:rsid w:val="003C2BB7"/>
    <w:rsid w:val="003C2C53"/>
    <w:rsid w:val="003C341F"/>
    <w:rsid w:val="003C3D19"/>
    <w:rsid w:val="003C41A5"/>
    <w:rsid w:val="003C4A66"/>
    <w:rsid w:val="003C56B9"/>
    <w:rsid w:val="003D179E"/>
    <w:rsid w:val="003D1E62"/>
    <w:rsid w:val="003D2A7D"/>
    <w:rsid w:val="003D2B5F"/>
    <w:rsid w:val="003D2D63"/>
    <w:rsid w:val="003D500A"/>
    <w:rsid w:val="003D5CDA"/>
    <w:rsid w:val="003D5F75"/>
    <w:rsid w:val="003E05CA"/>
    <w:rsid w:val="003E0FC7"/>
    <w:rsid w:val="003E1A0D"/>
    <w:rsid w:val="003E1F02"/>
    <w:rsid w:val="003E2D55"/>
    <w:rsid w:val="003E3203"/>
    <w:rsid w:val="003E3C29"/>
    <w:rsid w:val="003E58AF"/>
    <w:rsid w:val="003E5ACF"/>
    <w:rsid w:val="003E5FD9"/>
    <w:rsid w:val="003E67BA"/>
    <w:rsid w:val="003F1661"/>
    <w:rsid w:val="003F2298"/>
    <w:rsid w:val="003F3B16"/>
    <w:rsid w:val="003F5F9C"/>
    <w:rsid w:val="003F63D4"/>
    <w:rsid w:val="003F6A44"/>
    <w:rsid w:val="003F6C61"/>
    <w:rsid w:val="00400B74"/>
    <w:rsid w:val="0040137B"/>
    <w:rsid w:val="00402C32"/>
    <w:rsid w:val="00402DAF"/>
    <w:rsid w:val="00405576"/>
    <w:rsid w:val="0040575E"/>
    <w:rsid w:val="004059BF"/>
    <w:rsid w:val="00405EE4"/>
    <w:rsid w:val="00406701"/>
    <w:rsid w:val="0040753B"/>
    <w:rsid w:val="004117D6"/>
    <w:rsid w:val="00412417"/>
    <w:rsid w:val="00413B31"/>
    <w:rsid w:val="00414375"/>
    <w:rsid w:val="00415CA9"/>
    <w:rsid w:val="00415F66"/>
    <w:rsid w:val="00415FD5"/>
    <w:rsid w:val="00416F5F"/>
    <w:rsid w:val="00421187"/>
    <w:rsid w:val="00421F8B"/>
    <w:rsid w:val="00424022"/>
    <w:rsid w:val="0042495B"/>
    <w:rsid w:val="00425ECE"/>
    <w:rsid w:val="00425F45"/>
    <w:rsid w:val="00426FEA"/>
    <w:rsid w:val="00427911"/>
    <w:rsid w:val="0043125D"/>
    <w:rsid w:val="004325D7"/>
    <w:rsid w:val="004340BB"/>
    <w:rsid w:val="0043567A"/>
    <w:rsid w:val="00437CB7"/>
    <w:rsid w:val="00441AAE"/>
    <w:rsid w:val="004433DD"/>
    <w:rsid w:val="00443416"/>
    <w:rsid w:val="00443541"/>
    <w:rsid w:val="00444DA8"/>
    <w:rsid w:val="004461D6"/>
    <w:rsid w:val="00446AEE"/>
    <w:rsid w:val="00446B06"/>
    <w:rsid w:val="004475C1"/>
    <w:rsid w:val="004501DE"/>
    <w:rsid w:val="00452CF4"/>
    <w:rsid w:val="00455556"/>
    <w:rsid w:val="00455F17"/>
    <w:rsid w:val="00456C63"/>
    <w:rsid w:val="00460108"/>
    <w:rsid w:val="00463D61"/>
    <w:rsid w:val="004642F3"/>
    <w:rsid w:val="00465815"/>
    <w:rsid w:val="00465C1C"/>
    <w:rsid w:val="004670DC"/>
    <w:rsid w:val="00470BFF"/>
    <w:rsid w:val="00470D28"/>
    <w:rsid w:val="00470E4D"/>
    <w:rsid w:val="00473ACE"/>
    <w:rsid w:val="00474013"/>
    <w:rsid w:val="0047405A"/>
    <w:rsid w:val="0047497A"/>
    <w:rsid w:val="00474F10"/>
    <w:rsid w:val="00476CE7"/>
    <w:rsid w:val="00477EDF"/>
    <w:rsid w:val="0048055E"/>
    <w:rsid w:val="00480E7F"/>
    <w:rsid w:val="0048265F"/>
    <w:rsid w:val="00483F7C"/>
    <w:rsid w:val="00484CB7"/>
    <w:rsid w:val="004904E3"/>
    <w:rsid w:val="004906A2"/>
    <w:rsid w:val="00490D6C"/>
    <w:rsid w:val="00490F09"/>
    <w:rsid w:val="004942A2"/>
    <w:rsid w:val="004947D9"/>
    <w:rsid w:val="00494885"/>
    <w:rsid w:val="00496244"/>
    <w:rsid w:val="00496BC8"/>
    <w:rsid w:val="00497478"/>
    <w:rsid w:val="00497692"/>
    <w:rsid w:val="004A1831"/>
    <w:rsid w:val="004A4417"/>
    <w:rsid w:val="004A67B3"/>
    <w:rsid w:val="004A7E0E"/>
    <w:rsid w:val="004B02C4"/>
    <w:rsid w:val="004B0F20"/>
    <w:rsid w:val="004B193B"/>
    <w:rsid w:val="004B1CB4"/>
    <w:rsid w:val="004B29E3"/>
    <w:rsid w:val="004B441D"/>
    <w:rsid w:val="004B5756"/>
    <w:rsid w:val="004B687B"/>
    <w:rsid w:val="004B7F4C"/>
    <w:rsid w:val="004C0190"/>
    <w:rsid w:val="004C1BF9"/>
    <w:rsid w:val="004C2279"/>
    <w:rsid w:val="004C24CE"/>
    <w:rsid w:val="004C3739"/>
    <w:rsid w:val="004C402D"/>
    <w:rsid w:val="004C423B"/>
    <w:rsid w:val="004C59BF"/>
    <w:rsid w:val="004C6719"/>
    <w:rsid w:val="004C68CA"/>
    <w:rsid w:val="004C7141"/>
    <w:rsid w:val="004C79C4"/>
    <w:rsid w:val="004C7F52"/>
    <w:rsid w:val="004D05AE"/>
    <w:rsid w:val="004D1A19"/>
    <w:rsid w:val="004D1F5B"/>
    <w:rsid w:val="004D2EBB"/>
    <w:rsid w:val="004D351A"/>
    <w:rsid w:val="004D4D96"/>
    <w:rsid w:val="004D5DA5"/>
    <w:rsid w:val="004D6CF0"/>
    <w:rsid w:val="004D7698"/>
    <w:rsid w:val="004E0B8A"/>
    <w:rsid w:val="004E165C"/>
    <w:rsid w:val="004E1E7C"/>
    <w:rsid w:val="004E2C9B"/>
    <w:rsid w:val="004E2D8A"/>
    <w:rsid w:val="004E37BF"/>
    <w:rsid w:val="004E4A90"/>
    <w:rsid w:val="004E52CD"/>
    <w:rsid w:val="004E6525"/>
    <w:rsid w:val="004E714A"/>
    <w:rsid w:val="004E7E17"/>
    <w:rsid w:val="004F0222"/>
    <w:rsid w:val="004F03CF"/>
    <w:rsid w:val="004F1345"/>
    <w:rsid w:val="004F13B0"/>
    <w:rsid w:val="004F1961"/>
    <w:rsid w:val="004F2126"/>
    <w:rsid w:val="004F27EF"/>
    <w:rsid w:val="004F2D08"/>
    <w:rsid w:val="004F53F4"/>
    <w:rsid w:val="004F6A70"/>
    <w:rsid w:val="004F7857"/>
    <w:rsid w:val="00502471"/>
    <w:rsid w:val="0050255D"/>
    <w:rsid w:val="00503015"/>
    <w:rsid w:val="00503B67"/>
    <w:rsid w:val="00503E62"/>
    <w:rsid w:val="005040C1"/>
    <w:rsid w:val="00505D23"/>
    <w:rsid w:val="0050689F"/>
    <w:rsid w:val="005071CE"/>
    <w:rsid w:val="00507C48"/>
    <w:rsid w:val="005108DB"/>
    <w:rsid w:val="00510D79"/>
    <w:rsid w:val="00511670"/>
    <w:rsid w:val="0051270B"/>
    <w:rsid w:val="00512B85"/>
    <w:rsid w:val="00515DD2"/>
    <w:rsid w:val="00515FEB"/>
    <w:rsid w:val="00517EB5"/>
    <w:rsid w:val="00522F61"/>
    <w:rsid w:val="0052517E"/>
    <w:rsid w:val="00525983"/>
    <w:rsid w:val="00526A00"/>
    <w:rsid w:val="00531DA2"/>
    <w:rsid w:val="00532BC3"/>
    <w:rsid w:val="0053367D"/>
    <w:rsid w:val="00534465"/>
    <w:rsid w:val="00535476"/>
    <w:rsid w:val="005360DA"/>
    <w:rsid w:val="005367EF"/>
    <w:rsid w:val="0053747F"/>
    <w:rsid w:val="005402D2"/>
    <w:rsid w:val="005405AD"/>
    <w:rsid w:val="00540917"/>
    <w:rsid w:val="00541224"/>
    <w:rsid w:val="00541E45"/>
    <w:rsid w:val="00542C75"/>
    <w:rsid w:val="00543259"/>
    <w:rsid w:val="005438F5"/>
    <w:rsid w:val="005472C0"/>
    <w:rsid w:val="00547A15"/>
    <w:rsid w:val="00547B03"/>
    <w:rsid w:val="0055412D"/>
    <w:rsid w:val="005559BF"/>
    <w:rsid w:val="00555D67"/>
    <w:rsid w:val="00557FB8"/>
    <w:rsid w:val="00560762"/>
    <w:rsid w:val="00561A2E"/>
    <w:rsid w:val="00564AB4"/>
    <w:rsid w:val="0056522B"/>
    <w:rsid w:val="00565CAD"/>
    <w:rsid w:val="00566242"/>
    <w:rsid w:val="005679A0"/>
    <w:rsid w:val="00567EB7"/>
    <w:rsid w:val="00571C0A"/>
    <w:rsid w:val="00573DC1"/>
    <w:rsid w:val="005750AE"/>
    <w:rsid w:val="005778B5"/>
    <w:rsid w:val="0058004F"/>
    <w:rsid w:val="00580388"/>
    <w:rsid w:val="005828EF"/>
    <w:rsid w:val="00582973"/>
    <w:rsid w:val="00582DAA"/>
    <w:rsid w:val="00583076"/>
    <w:rsid w:val="00583B8F"/>
    <w:rsid w:val="00586052"/>
    <w:rsid w:val="005910F4"/>
    <w:rsid w:val="0059163E"/>
    <w:rsid w:val="005919D2"/>
    <w:rsid w:val="00592F10"/>
    <w:rsid w:val="0059319D"/>
    <w:rsid w:val="00595B34"/>
    <w:rsid w:val="00595EE0"/>
    <w:rsid w:val="005976C3"/>
    <w:rsid w:val="00597934"/>
    <w:rsid w:val="00597EFA"/>
    <w:rsid w:val="005A0044"/>
    <w:rsid w:val="005A0600"/>
    <w:rsid w:val="005A1F1E"/>
    <w:rsid w:val="005A2651"/>
    <w:rsid w:val="005A424A"/>
    <w:rsid w:val="005A5044"/>
    <w:rsid w:val="005A7A5B"/>
    <w:rsid w:val="005B2609"/>
    <w:rsid w:val="005B28C6"/>
    <w:rsid w:val="005B5A59"/>
    <w:rsid w:val="005B5A8D"/>
    <w:rsid w:val="005B7B7C"/>
    <w:rsid w:val="005C0A17"/>
    <w:rsid w:val="005C11A2"/>
    <w:rsid w:val="005C1DC2"/>
    <w:rsid w:val="005C4983"/>
    <w:rsid w:val="005C720E"/>
    <w:rsid w:val="005C723B"/>
    <w:rsid w:val="005D0436"/>
    <w:rsid w:val="005D05BA"/>
    <w:rsid w:val="005D126B"/>
    <w:rsid w:val="005D1756"/>
    <w:rsid w:val="005D23C5"/>
    <w:rsid w:val="005D3E70"/>
    <w:rsid w:val="005D487F"/>
    <w:rsid w:val="005D4E7B"/>
    <w:rsid w:val="005D5AA3"/>
    <w:rsid w:val="005D6D35"/>
    <w:rsid w:val="005D7896"/>
    <w:rsid w:val="005E0202"/>
    <w:rsid w:val="005E1882"/>
    <w:rsid w:val="005E1B82"/>
    <w:rsid w:val="005E2518"/>
    <w:rsid w:val="005E2B4E"/>
    <w:rsid w:val="005E30FF"/>
    <w:rsid w:val="005E422E"/>
    <w:rsid w:val="005E4264"/>
    <w:rsid w:val="005E479F"/>
    <w:rsid w:val="005E73E0"/>
    <w:rsid w:val="005E7B7F"/>
    <w:rsid w:val="005F06D6"/>
    <w:rsid w:val="005F12BC"/>
    <w:rsid w:val="005F142B"/>
    <w:rsid w:val="005F320D"/>
    <w:rsid w:val="005F41E8"/>
    <w:rsid w:val="005F4D3A"/>
    <w:rsid w:val="005F4F71"/>
    <w:rsid w:val="005F5392"/>
    <w:rsid w:val="005F5B37"/>
    <w:rsid w:val="005F5F2B"/>
    <w:rsid w:val="005F6823"/>
    <w:rsid w:val="005F6E52"/>
    <w:rsid w:val="00602943"/>
    <w:rsid w:val="00602B2E"/>
    <w:rsid w:val="00603236"/>
    <w:rsid w:val="006051DB"/>
    <w:rsid w:val="006055BD"/>
    <w:rsid w:val="00605906"/>
    <w:rsid w:val="006071EB"/>
    <w:rsid w:val="00607889"/>
    <w:rsid w:val="00607A11"/>
    <w:rsid w:val="0061004A"/>
    <w:rsid w:val="006101A9"/>
    <w:rsid w:val="006105B1"/>
    <w:rsid w:val="006105C2"/>
    <w:rsid w:val="00610619"/>
    <w:rsid w:val="00610F9D"/>
    <w:rsid w:val="00611835"/>
    <w:rsid w:val="00611D6C"/>
    <w:rsid w:val="00613880"/>
    <w:rsid w:val="00613A3B"/>
    <w:rsid w:val="006141D1"/>
    <w:rsid w:val="00615CEC"/>
    <w:rsid w:val="006210C1"/>
    <w:rsid w:val="006219DF"/>
    <w:rsid w:val="006224B5"/>
    <w:rsid w:val="00622531"/>
    <w:rsid w:val="00622EDC"/>
    <w:rsid w:val="00623B63"/>
    <w:rsid w:val="0062437E"/>
    <w:rsid w:val="006245C9"/>
    <w:rsid w:val="006248D4"/>
    <w:rsid w:val="006255CB"/>
    <w:rsid w:val="00625D3E"/>
    <w:rsid w:val="00627474"/>
    <w:rsid w:val="00627612"/>
    <w:rsid w:val="006354AB"/>
    <w:rsid w:val="0063550F"/>
    <w:rsid w:val="00635CE4"/>
    <w:rsid w:val="00635D5B"/>
    <w:rsid w:val="00635DEC"/>
    <w:rsid w:val="00635E64"/>
    <w:rsid w:val="00641254"/>
    <w:rsid w:val="0064138B"/>
    <w:rsid w:val="006419D5"/>
    <w:rsid w:val="00642D63"/>
    <w:rsid w:val="00643796"/>
    <w:rsid w:val="00643E8A"/>
    <w:rsid w:val="00644308"/>
    <w:rsid w:val="006448B0"/>
    <w:rsid w:val="0064546D"/>
    <w:rsid w:val="00647AE1"/>
    <w:rsid w:val="0065004C"/>
    <w:rsid w:val="006508E8"/>
    <w:rsid w:val="006523F6"/>
    <w:rsid w:val="00652778"/>
    <w:rsid w:val="006542BC"/>
    <w:rsid w:val="00654FE8"/>
    <w:rsid w:val="00655282"/>
    <w:rsid w:val="006558C0"/>
    <w:rsid w:val="00655BC5"/>
    <w:rsid w:val="006567B6"/>
    <w:rsid w:val="0065787A"/>
    <w:rsid w:val="00657FDD"/>
    <w:rsid w:val="006601F5"/>
    <w:rsid w:val="00661073"/>
    <w:rsid w:val="00661710"/>
    <w:rsid w:val="00661CC8"/>
    <w:rsid w:val="00665608"/>
    <w:rsid w:val="006657B5"/>
    <w:rsid w:val="00665FC5"/>
    <w:rsid w:val="0066781A"/>
    <w:rsid w:val="00671DE6"/>
    <w:rsid w:val="0067281B"/>
    <w:rsid w:val="00672902"/>
    <w:rsid w:val="0067300C"/>
    <w:rsid w:val="006739A5"/>
    <w:rsid w:val="00673C0E"/>
    <w:rsid w:val="00673E95"/>
    <w:rsid w:val="006744B7"/>
    <w:rsid w:val="00675C76"/>
    <w:rsid w:val="00676966"/>
    <w:rsid w:val="00680081"/>
    <w:rsid w:val="00680D95"/>
    <w:rsid w:val="00682757"/>
    <w:rsid w:val="0068361B"/>
    <w:rsid w:val="006837A1"/>
    <w:rsid w:val="00684348"/>
    <w:rsid w:val="00686941"/>
    <w:rsid w:val="006877F2"/>
    <w:rsid w:val="00691D3D"/>
    <w:rsid w:val="00694288"/>
    <w:rsid w:val="006943D0"/>
    <w:rsid w:val="006975FA"/>
    <w:rsid w:val="00697A60"/>
    <w:rsid w:val="00697CFD"/>
    <w:rsid w:val="006A2C67"/>
    <w:rsid w:val="006A4B50"/>
    <w:rsid w:val="006A514F"/>
    <w:rsid w:val="006A5485"/>
    <w:rsid w:val="006A57D7"/>
    <w:rsid w:val="006A5B8D"/>
    <w:rsid w:val="006B00AF"/>
    <w:rsid w:val="006B2EA4"/>
    <w:rsid w:val="006B34F2"/>
    <w:rsid w:val="006B3578"/>
    <w:rsid w:val="006B4868"/>
    <w:rsid w:val="006B752D"/>
    <w:rsid w:val="006B7C1B"/>
    <w:rsid w:val="006C00B4"/>
    <w:rsid w:val="006C07B7"/>
    <w:rsid w:val="006C0C78"/>
    <w:rsid w:val="006C0D02"/>
    <w:rsid w:val="006C1C37"/>
    <w:rsid w:val="006C280A"/>
    <w:rsid w:val="006C2884"/>
    <w:rsid w:val="006C4993"/>
    <w:rsid w:val="006C5349"/>
    <w:rsid w:val="006C6BF6"/>
    <w:rsid w:val="006D0EBB"/>
    <w:rsid w:val="006D2060"/>
    <w:rsid w:val="006D4EE4"/>
    <w:rsid w:val="006D5149"/>
    <w:rsid w:val="006D6D2E"/>
    <w:rsid w:val="006E02B4"/>
    <w:rsid w:val="006E1F72"/>
    <w:rsid w:val="006E2125"/>
    <w:rsid w:val="006E227E"/>
    <w:rsid w:val="006E392C"/>
    <w:rsid w:val="006E453C"/>
    <w:rsid w:val="006E611D"/>
    <w:rsid w:val="006E7AEE"/>
    <w:rsid w:val="006F0220"/>
    <w:rsid w:val="006F128D"/>
    <w:rsid w:val="006F27AA"/>
    <w:rsid w:val="006F291E"/>
    <w:rsid w:val="006F36BE"/>
    <w:rsid w:val="006F3B5E"/>
    <w:rsid w:val="006F44C2"/>
    <w:rsid w:val="006F45FC"/>
    <w:rsid w:val="006F48A5"/>
    <w:rsid w:val="006F5BF9"/>
    <w:rsid w:val="006F691B"/>
    <w:rsid w:val="006F6B4E"/>
    <w:rsid w:val="006F7CF3"/>
    <w:rsid w:val="0070260C"/>
    <w:rsid w:val="0070522A"/>
    <w:rsid w:val="00705824"/>
    <w:rsid w:val="00705DC2"/>
    <w:rsid w:val="00707AF8"/>
    <w:rsid w:val="00712195"/>
    <w:rsid w:val="007121DF"/>
    <w:rsid w:val="00712C5C"/>
    <w:rsid w:val="007139F2"/>
    <w:rsid w:val="00713A55"/>
    <w:rsid w:val="00713AF2"/>
    <w:rsid w:val="00715A13"/>
    <w:rsid w:val="007166F4"/>
    <w:rsid w:val="00717788"/>
    <w:rsid w:val="007179D8"/>
    <w:rsid w:val="00717E4E"/>
    <w:rsid w:val="007214DC"/>
    <w:rsid w:val="00721B43"/>
    <w:rsid w:val="007265AC"/>
    <w:rsid w:val="0072670F"/>
    <w:rsid w:val="00730F15"/>
    <w:rsid w:val="0073189C"/>
    <w:rsid w:val="00732101"/>
    <w:rsid w:val="00733022"/>
    <w:rsid w:val="00736EF8"/>
    <w:rsid w:val="007379A7"/>
    <w:rsid w:val="00740015"/>
    <w:rsid w:val="007416AB"/>
    <w:rsid w:val="007416D1"/>
    <w:rsid w:val="0074188E"/>
    <w:rsid w:val="00742893"/>
    <w:rsid w:val="007449D0"/>
    <w:rsid w:val="00745872"/>
    <w:rsid w:val="00746952"/>
    <w:rsid w:val="00751B54"/>
    <w:rsid w:val="00751C80"/>
    <w:rsid w:val="007534AB"/>
    <w:rsid w:val="00753F43"/>
    <w:rsid w:val="00754032"/>
    <w:rsid w:val="00755538"/>
    <w:rsid w:val="00755D3F"/>
    <w:rsid w:val="00756179"/>
    <w:rsid w:val="00756713"/>
    <w:rsid w:val="007570A4"/>
    <w:rsid w:val="00757BBB"/>
    <w:rsid w:val="007603F3"/>
    <w:rsid w:val="00766872"/>
    <w:rsid w:val="00767C78"/>
    <w:rsid w:val="007734B0"/>
    <w:rsid w:val="0077472C"/>
    <w:rsid w:val="00775B5C"/>
    <w:rsid w:val="00775D63"/>
    <w:rsid w:val="007761A5"/>
    <w:rsid w:val="0077724B"/>
    <w:rsid w:val="00780A28"/>
    <w:rsid w:val="00781CF6"/>
    <w:rsid w:val="00782EA3"/>
    <w:rsid w:val="00783DE2"/>
    <w:rsid w:val="00784CCD"/>
    <w:rsid w:val="00785B0B"/>
    <w:rsid w:val="00786759"/>
    <w:rsid w:val="00786D70"/>
    <w:rsid w:val="00786F8A"/>
    <w:rsid w:val="00787B50"/>
    <w:rsid w:val="00787F42"/>
    <w:rsid w:val="00790293"/>
    <w:rsid w:val="0079098F"/>
    <w:rsid w:val="00791927"/>
    <w:rsid w:val="00792947"/>
    <w:rsid w:val="00793255"/>
    <w:rsid w:val="007937E1"/>
    <w:rsid w:val="007941B5"/>
    <w:rsid w:val="00794933"/>
    <w:rsid w:val="00795000"/>
    <w:rsid w:val="00795FDD"/>
    <w:rsid w:val="007972D8"/>
    <w:rsid w:val="007A0BAB"/>
    <w:rsid w:val="007A119F"/>
    <w:rsid w:val="007A136B"/>
    <w:rsid w:val="007A1AA9"/>
    <w:rsid w:val="007A1B1A"/>
    <w:rsid w:val="007A3036"/>
    <w:rsid w:val="007A39CD"/>
    <w:rsid w:val="007A4BE3"/>
    <w:rsid w:val="007A6E2B"/>
    <w:rsid w:val="007A7136"/>
    <w:rsid w:val="007A71D8"/>
    <w:rsid w:val="007B09ED"/>
    <w:rsid w:val="007B39A9"/>
    <w:rsid w:val="007B3B06"/>
    <w:rsid w:val="007B4113"/>
    <w:rsid w:val="007B4122"/>
    <w:rsid w:val="007B602E"/>
    <w:rsid w:val="007B7359"/>
    <w:rsid w:val="007B7A26"/>
    <w:rsid w:val="007B7B04"/>
    <w:rsid w:val="007C1096"/>
    <w:rsid w:val="007C1CB0"/>
    <w:rsid w:val="007C3C52"/>
    <w:rsid w:val="007C56B1"/>
    <w:rsid w:val="007C6268"/>
    <w:rsid w:val="007D03F9"/>
    <w:rsid w:val="007D0841"/>
    <w:rsid w:val="007D1A88"/>
    <w:rsid w:val="007D634C"/>
    <w:rsid w:val="007D7CCF"/>
    <w:rsid w:val="007E0B3F"/>
    <w:rsid w:val="007E1BCE"/>
    <w:rsid w:val="007E4A5F"/>
    <w:rsid w:val="007E53A3"/>
    <w:rsid w:val="007E5503"/>
    <w:rsid w:val="007E5827"/>
    <w:rsid w:val="007E61BD"/>
    <w:rsid w:val="007E6D9C"/>
    <w:rsid w:val="007E6F8A"/>
    <w:rsid w:val="007F0772"/>
    <w:rsid w:val="007F2434"/>
    <w:rsid w:val="007F277B"/>
    <w:rsid w:val="007F2836"/>
    <w:rsid w:val="007F4D9B"/>
    <w:rsid w:val="007F57BF"/>
    <w:rsid w:val="007F5A8E"/>
    <w:rsid w:val="007F68A0"/>
    <w:rsid w:val="007F6C7D"/>
    <w:rsid w:val="007F6DF0"/>
    <w:rsid w:val="007F7951"/>
    <w:rsid w:val="007F7A7A"/>
    <w:rsid w:val="0080110C"/>
    <w:rsid w:val="008054CA"/>
    <w:rsid w:val="00805FC0"/>
    <w:rsid w:val="008072C4"/>
    <w:rsid w:val="0081068C"/>
    <w:rsid w:val="00810743"/>
    <w:rsid w:val="008121D5"/>
    <w:rsid w:val="00812732"/>
    <w:rsid w:val="00813021"/>
    <w:rsid w:val="008144BB"/>
    <w:rsid w:val="008144EA"/>
    <w:rsid w:val="00814EE1"/>
    <w:rsid w:val="00815456"/>
    <w:rsid w:val="008158D4"/>
    <w:rsid w:val="00816491"/>
    <w:rsid w:val="00817CE0"/>
    <w:rsid w:val="00817CE2"/>
    <w:rsid w:val="00820A2C"/>
    <w:rsid w:val="00820C1B"/>
    <w:rsid w:val="00822E81"/>
    <w:rsid w:val="00823EDA"/>
    <w:rsid w:val="008248C8"/>
    <w:rsid w:val="00824C6C"/>
    <w:rsid w:val="008262E6"/>
    <w:rsid w:val="00826BF3"/>
    <w:rsid w:val="008274C1"/>
    <w:rsid w:val="00827587"/>
    <w:rsid w:val="00832093"/>
    <w:rsid w:val="008333C6"/>
    <w:rsid w:val="00833E29"/>
    <w:rsid w:val="00834090"/>
    <w:rsid w:val="00834DA5"/>
    <w:rsid w:val="00834F66"/>
    <w:rsid w:val="00836220"/>
    <w:rsid w:val="00836C46"/>
    <w:rsid w:val="008375B6"/>
    <w:rsid w:val="00837E9F"/>
    <w:rsid w:val="00837F77"/>
    <w:rsid w:val="00846F4C"/>
    <w:rsid w:val="008473D8"/>
    <w:rsid w:val="00850074"/>
    <w:rsid w:val="00850C51"/>
    <w:rsid w:val="00850D26"/>
    <w:rsid w:val="008514D4"/>
    <w:rsid w:val="00852BCD"/>
    <w:rsid w:val="0085391A"/>
    <w:rsid w:val="00853DE0"/>
    <w:rsid w:val="00853FC7"/>
    <w:rsid w:val="0085684B"/>
    <w:rsid w:val="00856A70"/>
    <w:rsid w:val="00860CF4"/>
    <w:rsid w:val="00860F8B"/>
    <w:rsid w:val="00861FB6"/>
    <w:rsid w:val="008621CE"/>
    <w:rsid w:val="0086291F"/>
    <w:rsid w:val="008668DB"/>
    <w:rsid w:val="008707F4"/>
    <w:rsid w:val="008709DE"/>
    <w:rsid w:val="008713FF"/>
    <w:rsid w:val="00871C4C"/>
    <w:rsid w:val="00872A56"/>
    <w:rsid w:val="008733AC"/>
    <w:rsid w:val="00874218"/>
    <w:rsid w:val="00876441"/>
    <w:rsid w:val="008816E6"/>
    <w:rsid w:val="00883216"/>
    <w:rsid w:val="0088513C"/>
    <w:rsid w:val="00885263"/>
    <w:rsid w:val="00885431"/>
    <w:rsid w:val="00886A71"/>
    <w:rsid w:val="00891532"/>
    <w:rsid w:val="008938B3"/>
    <w:rsid w:val="0089394E"/>
    <w:rsid w:val="008955CD"/>
    <w:rsid w:val="00895670"/>
    <w:rsid w:val="00895C87"/>
    <w:rsid w:val="00897C9D"/>
    <w:rsid w:val="008A3C8E"/>
    <w:rsid w:val="008A480C"/>
    <w:rsid w:val="008A5C8C"/>
    <w:rsid w:val="008A7CF5"/>
    <w:rsid w:val="008B0101"/>
    <w:rsid w:val="008B0C60"/>
    <w:rsid w:val="008B4423"/>
    <w:rsid w:val="008B46BD"/>
    <w:rsid w:val="008B49B3"/>
    <w:rsid w:val="008B4D0F"/>
    <w:rsid w:val="008B52E2"/>
    <w:rsid w:val="008B68DC"/>
    <w:rsid w:val="008B6A64"/>
    <w:rsid w:val="008B7155"/>
    <w:rsid w:val="008B753D"/>
    <w:rsid w:val="008B7669"/>
    <w:rsid w:val="008C1DDB"/>
    <w:rsid w:val="008C3561"/>
    <w:rsid w:val="008C4E5D"/>
    <w:rsid w:val="008C5F01"/>
    <w:rsid w:val="008C77DF"/>
    <w:rsid w:val="008D1E97"/>
    <w:rsid w:val="008D2057"/>
    <w:rsid w:val="008D216D"/>
    <w:rsid w:val="008D33B6"/>
    <w:rsid w:val="008D3A27"/>
    <w:rsid w:val="008D3CD5"/>
    <w:rsid w:val="008D4C0A"/>
    <w:rsid w:val="008D63C5"/>
    <w:rsid w:val="008D6773"/>
    <w:rsid w:val="008D7AA2"/>
    <w:rsid w:val="008E0442"/>
    <w:rsid w:val="008E0730"/>
    <w:rsid w:val="008E083E"/>
    <w:rsid w:val="008E1379"/>
    <w:rsid w:val="008E1612"/>
    <w:rsid w:val="008E3B13"/>
    <w:rsid w:val="008E4095"/>
    <w:rsid w:val="008E44B7"/>
    <w:rsid w:val="008E50DA"/>
    <w:rsid w:val="008E5710"/>
    <w:rsid w:val="008E782E"/>
    <w:rsid w:val="008F053E"/>
    <w:rsid w:val="008F0948"/>
    <w:rsid w:val="008F2D3D"/>
    <w:rsid w:val="008F2F15"/>
    <w:rsid w:val="008F5687"/>
    <w:rsid w:val="00900905"/>
    <w:rsid w:val="00900FB5"/>
    <w:rsid w:val="00901C62"/>
    <w:rsid w:val="009037A9"/>
    <w:rsid w:val="00903A79"/>
    <w:rsid w:val="00904601"/>
    <w:rsid w:val="00904CD3"/>
    <w:rsid w:val="00905D32"/>
    <w:rsid w:val="00912B94"/>
    <w:rsid w:val="009130D0"/>
    <w:rsid w:val="00913D1B"/>
    <w:rsid w:val="00915F37"/>
    <w:rsid w:val="009171B4"/>
    <w:rsid w:val="00922C76"/>
    <w:rsid w:val="009232FE"/>
    <w:rsid w:val="0092548F"/>
    <w:rsid w:val="0092565D"/>
    <w:rsid w:val="00926781"/>
    <w:rsid w:val="00926BE3"/>
    <w:rsid w:val="0092712A"/>
    <w:rsid w:val="00931FB8"/>
    <w:rsid w:val="009325E1"/>
    <w:rsid w:val="009330A7"/>
    <w:rsid w:val="00934516"/>
    <w:rsid w:val="00935ACE"/>
    <w:rsid w:val="00935F6D"/>
    <w:rsid w:val="0093666B"/>
    <w:rsid w:val="0093687E"/>
    <w:rsid w:val="00936CA7"/>
    <w:rsid w:val="00937E30"/>
    <w:rsid w:val="0094059E"/>
    <w:rsid w:val="00943B93"/>
    <w:rsid w:val="00943D41"/>
    <w:rsid w:val="009447DD"/>
    <w:rsid w:val="00945A01"/>
    <w:rsid w:val="00950576"/>
    <w:rsid w:val="009525B5"/>
    <w:rsid w:val="00952DD6"/>
    <w:rsid w:val="00953305"/>
    <w:rsid w:val="0095418B"/>
    <w:rsid w:val="00960EB8"/>
    <w:rsid w:val="00960EEB"/>
    <w:rsid w:val="009625D0"/>
    <w:rsid w:val="0096265E"/>
    <w:rsid w:val="009630CD"/>
    <w:rsid w:val="00963896"/>
    <w:rsid w:val="009639B9"/>
    <w:rsid w:val="00964A79"/>
    <w:rsid w:val="00965A8C"/>
    <w:rsid w:val="00965CFA"/>
    <w:rsid w:val="00966807"/>
    <w:rsid w:val="00967F1F"/>
    <w:rsid w:val="0097008A"/>
    <w:rsid w:val="0097017A"/>
    <w:rsid w:val="00970D4C"/>
    <w:rsid w:val="00971B59"/>
    <w:rsid w:val="00971E0D"/>
    <w:rsid w:val="00972371"/>
    <w:rsid w:val="009728B0"/>
    <w:rsid w:val="00972BAC"/>
    <w:rsid w:val="00973486"/>
    <w:rsid w:val="0098020A"/>
    <w:rsid w:val="00981887"/>
    <w:rsid w:val="009823DE"/>
    <w:rsid w:val="00986843"/>
    <w:rsid w:val="00987E09"/>
    <w:rsid w:val="00991354"/>
    <w:rsid w:val="00991B2E"/>
    <w:rsid w:val="009931A3"/>
    <w:rsid w:val="009952EF"/>
    <w:rsid w:val="009953A1"/>
    <w:rsid w:val="009963CD"/>
    <w:rsid w:val="009975BE"/>
    <w:rsid w:val="009A101D"/>
    <w:rsid w:val="009A3A9D"/>
    <w:rsid w:val="009A4AFA"/>
    <w:rsid w:val="009A52F3"/>
    <w:rsid w:val="009A5C8B"/>
    <w:rsid w:val="009A73D4"/>
    <w:rsid w:val="009A7C97"/>
    <w:rsid w:val="009A7D4F"/>
    <w:rsid w:val="009B0B6A"/>
    <w:rsid w:val="009B1B6A"/>
    <w:rsid w:val="009B1CAB"/>
    <w:rsid w:val="009B3C33"/>
    <w:rsid w:val="009B55B7"/>
    <w:rsid w:val="009B63CA"/>
    <w:rsid w:val="009B6A3B"/>
    <w:rsid w:val="009B6DEE"/>
    <w:rsid w:val="009B7987"/>
    <w:rsid w:val="009C0A22"/>
    <w:rsid w:val="009C1CD4"/>
    <w:rsid w:val="009C28F3"/>
    <w:rsid w:val="009C5BFC"/>
    <w:rsid w:val="009C62BA"/>
    <w:rsid w:val="009C7B69"/>
    <w:rsid w:val="009C7EFD"/>
    <w:rsid w:val="009D1CCC"/>
    <w:rsid w:val="009D1EE2"/>
    <w:rsid w:val="009D2FE6"/>
    <w:rsid w:val="009D3236"/>
    <w:rsid w:val="009D4828"/>
    <w:rsid w:val="009D5444"/>
    <w:rsid w:val="009D5A8E"/>
    <w:rsid w:val="009E21F0"/>
    <w:rsid w:val="009E3068"/>
    <w:rsid w:val="009E3742"/>
    <w:rsid w:val="009E3C93"/>
    <w:rsid w:val="009E5FBA"/>
    <w:rsid w:val="009E62C6"/>
    <w:rsid w:val="009E727D"/>
    <w:rsid w:val="009F17C3"/>
    <w:rsid w:val="009F1B8C"/>
    <w:rsid w:val="009F2B53"/>
    <w:rsid w:val="009F2DE5"/>
    <w:rsid w:val="009F2E78"/>
    <w:rsid w:val="009F33BB"/>
    <w:rsid w:val="009F5501"/>
    <w:rsid w:val="009F66A9"/>
    <w:rsid w:val="009F7493"/>
    <w:rsid w:val="009F75F5"/>
    <w:rsid w:val="009F7840"/>
    <w:rsid w:val="00A034F4"/>
    <w:rsid w:val="00A03701"/>
    <w:rsid w:val="00A03DCD"/>
    <w:rsid w:val="00A05713"/>
    <w:rsid w:val="00A114D6"/>
    <w:rsid w:val="00A118AC"/>
    <w:rsid w:val="00A123EF"/>
    <w:rsid w:val="00A12E8E"/>
    <w:rsid w:val="00A142CB"/>
    <w:rsid w:val="00A1466E"/>
    <w:rsid w:val="00A16206"/>
    <w:rsid w:val="00A16DFD"/>
    <w:rsid w:val="00A20057"/>
    <w:rsid w:val="00A2070C"/>
    <w:rsid w:val="00A212AE"/>
    <w:rsid w:val="00A21837"/>
    <w:rsid w:val="00A22C8B"/>
    <w:rsid w:val="00A2430B"/>
    <w:rsid w:val="00A24634"/>
    <w:rsid w:val="00A24F7F"/>
    <w:rsid w:val="00A25CDF"/>
    <w:rsid w:val="00A25F6B"/>
    <w:rsid w:val="00A25F9F"/>
    <w:rsid w:val="00A27F84"/>
    <w:rsid w:val="00A319D0"/>
    <w:rsid w:val="00A35B63"/>
    <w:rsid w:val="00A35E68"/>
    <w:rsid w:val="00A3649B"/>
    <w:rsid w:val="00A370F6"/>
    <w:rsid w:val="00A37B68"/>
    <w:rsid w:val="00A40521"/>
    <w:rsid w:val="00A4215D"/>
    <w:rsid w:val="00A44094"/>
    <w:rsid w:val="00A46216"/>
    <w:rsid w:val="00A46361"/>
    <w:rsid w:val="00A471E8"/>
    <w:rsid w:val="00A50FB8"/>
    <w:rsid w:val="00A510FA"/>
    <w:rsid w:val="00A52277"/>
    <w:rsid w:val="00A543C8"/>
    <w:rsid w:val="00A54CDA"/>
    <w:rsid w:val="00A5512E"/>
    <w:rsid w:val="00A6050C"/>
    <w:rsid w:val="00A60D08"/>
    <w:rsid w:val="00A61811"/>
    <w:rsid w:val="00A621C8"/>
    <w:rsid w:val="00A622EF"/>
    <w:rsid w:val="00A6278E"/>
    <w:rsid w:val="00A64439"/>
    <w:rsid w:val="00A65303"/>
    <w:rsid w:val="00A6573C"/>
    <w:rsid w:val="00A658B7"/>
    <w:rsid w:val="00A6789B"/>
    <w:rsid w:val="00A725FB"/>
    <w:rsid w:val="00A726BB"/>
    <w:rsid w:val="00A73C65"/>
    <w:rsid w:val="00A73DCF"/>
    <w:rsid w:val="00A740FF"/>
    <w:rsid w:val="00A74E9F"/>
    <w:rsid w:val="00A75BAD"/>
    <w:rsid w:val="00A75D7F"/>
    <w:rsid w:val="00A80299"/>
    <w:rsid w:val="00A8089F"/>
    <w:rsid w:val="00A80990"/>
    <w:rsid w:val="00A810D3"/>
    <w:rsid w:val="00A819BA"/>
    <w:rsid w:val="00A82741"/>
    <w:rsid w:val="00A840AF"/>
    <w:rsid w:val="00A8433E"/>
    <w:rsid w:val="00A843E3"/>
    <w:rsid w:val="00A84E03"/>
    <w:rsid w:val="00A86DAC"/>
    <w:rsid w:val="00A9031E"/>
    <w:rsid w:val="00A91560"/>
    <w:rsid w:val="00A9243D"/>
    <w:rsid w:val="00A9256A"/>
    <w:rsid w:val="00A92B20"/>
    <w:rsid w:val="00A93F1F"/>
    <w:rsid w:val="00A94C83"/>
    <w:rsid w:val="00A96675"/>
    <w:rsid w:val="00A96DD5"/>
    <w:rsid w:val="00A975BF"/>
    <w:rsid w:val="00A97DAF"/>
    <w:rsid w:val="00AA00B5"/>
    <w:rsid w:val="00AA3F7B"/>
    <w:rsid w:val="00AA4271"/>
    <w:rsid w:val="00AA4357"/>
    <w:rsid w:val="00AA4749"/>
    <w:rsid w:val="00AA556F"/>
    <w:rsid w:val="00AA6BD2"/>
    <w:rsid w:val="00AA7188"/>
    <w:rsid w:val="00AB2ABA"/>
    <w:rsid w:val="00AB2C75"/>
    <w:rsid w:val="00AB37D8"/>
    <w:rsid w:val="00AB58A6"/>
    <w:rsid w:val="00AB5D9F"/>
    <w:rsid w:val="00AB7C20"/>
    <w:rsid w:val="00ABB101"/>
    <w:rsid w:val="00AC041B"/>
    <w:rsid w:val="00AC09B2"/>
    <w:rsid w:val="00AC177B"/>
    <w:rsid w:val="00AC24FD"/>
    <w:rsid w:val="00AC4199"/>
    <w:rsid w:val="00AC5B29"/>
    <w:rsid w:val="00AC6A15"/>
    <w:rsid w:val="00AD048F"/>
    <w:rsid w:val="00AD0F86"/>
    <w:rsid w:val="00AD112A"/>
    <w:rsid w:val="00AD232A"/>
    <w:rsid w:val="00AD36B5"/>
    <w:rsid w:val="00AD4974"/>
    <w:rsid w:val="00AD51F9"/>
    <w:rsid w:val="00AD7711"/>
    <w:rsid w:val="00AE1219"/>
    <w:rsid w:val="00AE18E1"/>
    <w:rsid w:val="00AE1A4A"/>
    <w:rsid w:val="00AE23E0"/>
    <w:rsid w:val="00AE589D"/>
    <w:rsid w:val="00AE7BE9"/>
    <w:rsid w:val="00AF050B"/>
    <w:rsid w:val="00AF0914"/>
    <w:rsid w:val="00AF0BAC"/>
    <w:rsid w:val="00AF0E48"/>
    <w:rsid w:val="00AF1970"/>
    <w:rsid w:val="00AF2F35"/>
    <w:rsid w:val="00AF5423"/>
    <w:rsid w:val="00AF5614"/>
    <w:rsid w:val="00AF6B7A"/>
    <w:rsid w:val="00AF75F3"/>
    <w:rsid w:val="00B02389"/>
    <w:rsid w:val="00B03C19"/>
    <w:rsid w:val="00B0447B"/>
    <w:rsid w:val="00B047F7"/>
    <w:rsid w:val="00B05A14"/>
    <w:rsid w:val="00B05DB8"/>
    <w:rsid w:val="00B07CFA"/>
    <w:rsid w:val="00B07F48"/>
    <w:rsid w:val="00B10BF6"/>
    <w:rsid w:val="00B12CE9"/>
    <w:rsid w:val="00B13CC4"/>
    <w:rsid w:val="00B1472E"/>
    <w:rsid w:val="00B15096"/>
    <w:rsid w:val="00B179D6"/>
    <w:rsid w:val="00B219DC"/>
    <w:rsid w:val="00B21A48"/>
    <w:rsid w:val="00B235D1"/>
    <w:rsid w:val="00B248EB"/>
    <w:rsid w:val="00B251C8"/>
    <w:rsid w:val="00B25AE6"/>
    <w:rsid w:val="00B26C54"/>
    <w:rsid w:val="00B30F48"/>
    <w:rsid w:val="00B3156D"/>
    <w:rsid w:val="00B319C8"/>
    <w:rsid w:val="00B32DF6"/>
    <w:rsid w:val="00B33AB5"/>
    <w:rsid w:val="00B34506"/>
    <w:rsid w:val="00B432F9"/>
    <w:rsid w:val="00B43625"/>
    <w:rsid w:val="00B43D32"/>
    <w:rsid w:val="00B43F67"/>
    <w:rsid w:val="00B464DB"/>
    <w:rsid w:val="00B47F93"/>
    <w:rsid w:val="00B50017"/>
    <w:rsid w:val="00B50C97"/>
    <w:rsid w:val="00B50F1B"/>
    <w:rsid w:val="00B519FB"/>
    <w:rsid w:val="00B51FE2"/>
    <w:rsid w:val="00B52D05"/>
    <w:rsid w:val="00B53250"/>
    <w:rsid w:val="00B538C3"/>
    <w:rsid w:val="00B57C1F"/>
    <w:rsid w:val="00B60101"/>
    <w:rsid w:val="00B60468"/>
    <w:rsid w:val="00B604A8"/>
    <w:rsid w:val="00B61541"/>
    <w:rsid w:val="00B6169B"/>
    <w:rsid w:val="00B62E7F"/>
    <w:rsid w:val="00B63B7F"/>
    <w:rsid w:val="00B64533"/>
    <w:rsid w:val="00B64809"/>
    <w:rsid w:val="00B65967"/>
    <w:rsid w:val="00B660BE"/>
    <w:rsid w:val="00B6639A"/>
    <w:rsid w:val="00B67C9D"/>
    <w:rsid w:val="00B70A3F"/>
    <w:rsid w:val="00B710E3"/>
    <w:rsid w:val="00B717F2"/>
    <w:rsid w:val="00B75A8A"/>
    <w:rsid w:val="00B75EEB"/>
    <w:rsid w:val="00B76ADA"/>
    <w:rsid w:val="00B77386"/>
    <w:rsid w:val="00B81A0F"/>
    <w:rsid w:val="00B828F8"/>
    <w:rsid w:val="00B84F16"/>
    <w:rsid w:val="00B851C4"/>
    <w:rsid w:val="00B861E4"/>
    <w:rsid w:val="00B90DB8"/>
    <w:rsid w:val="00B942BD"/>
    <w:rsid w:val="00B954DE"/>
    <w:rsid w:val="00B95A32"/>
    <w:rsid w:val="00BA0655"/>
    <w:rsid w:val="00BA1679"/>
    <w:rsid w:val="00BA1ED0"/>
    <w:rsid w:val="00BA3578"/>
    <w:rsid w:val="00BA3BA5"/>
    <w:rsid w:val="00BA3D1D"/>
    <w:rsid w:val="00BA50D5"/>
    <w:rsid w:val="00BA5776"/>
    <w:rsid w:val="00BA6454"/>
    <w:rsid w:val="00BB1268"/>
    <w:rsid w:val="00BB1E09"/>
    <w:rsid w:val="00BB230D"/>
    <w:rsid w:val="00BB2CBB"/>
    <w:rsid w:val="00BB33BF"/>
    <w:rsid w:val="00BB37CF"/>
    <w:rsid w:val="00BB3C05"/>
    <w:rsid w:val="00BB46A7"/>
    <w:rsid w:val="00BB61B8"/>
    <w:rsid w:val="00BB62A3"/>
    <w:rsid w:val="00BC003B"/>
    <w:rsid w:val="00BC018C"/>
    <w:rsid w:val="00BC1FF2"/>
    <w:rsid w:val="00BC3D8E"/>
    <w:rsid w:val="00BC3E6F"/>
    <w:rsid w:val="00BC4B47"/>
    <w:rsid w:val="00BC4DFE"/>
    <w:rsid w:val="00BC5978"/>
    <w:rsid w:val="00BD0F65"/>
    <w:rsid w:val="00BD1DDA"/>
    <w:rsid w:val="00BD42C3"/>
    <w:rsid w:val="00BD5205"/>
    <w:rsid w:val="00BD67B3"/>
    <w:rsid w:val="00BE0048"/>
    <w:rsid w:val="00BE04A0"/>
    <w:rsid w:val="00BE07B7"/>
    <w:rsid w:val="00BE1EBE"/>
    <w:rsid w:val="00BE3228"/>
    <w:rsid w:val="00BE43A1"/>
    <w:rsid w:val="00BE4DDE"/>
    <w:rsid w:val="00BE6053"/>
    <w:rsid w:val="00BE6592"/>
    <w:rsid w:val="00BE70B6"/>
    <w:rsid w:val="00BE7C8E"/>
    <w:rsid w:val="00BF13BB"/>
    <w:rsid w:val="00BF1F6A"/>
    <w:rsid w:val="00BF28A6"/>
    <w:rsid w:val="00BF2E55"/>
    <w:rsid w:val="00BF30F2"/>
    <w:rsid w:val="00BF32CD"/>
    <w:rsid w:val="00BF343C"/>
    <w:rsid w:val="00BF3DBC"/>
    <w:rsid w:val="00BF3F8B"/>
    <w:rsid w:val="00BF4306"/>
    <w:rsid w:val="00BF462B"/>
    <w:rsid w:val="00BF5845"/>
    <w:rsid w:val="00BF5B71"/>
    <w:rsid w:val="00BF720C"/>
    <w:rsid w:val="00BF76FE"/>
    <w:rsid w:val="00C006AF"/>
    <w:rsid w:val="00C009F0"/>
    <w:rsid w:val="00C011CD"/>
    <w:rsid w:val="00C0251D"/>
    <w:rsid w:val="00C025D5"/>
    <w:rsid w:val="00C02818"/>
    <w:rsid w:val="00C0327F"/>
    <w:rsid w:val="00C0639C"/>
    <w:rsid w:val="00C06B91"/>
    <w:rsid w:val="00C07652"/>
    <w:rsid w:val="00C1082B"/>
    <w:rsid w:val="00C113D3"/>
    <w:rsid w:val="00C11595"/>
    <w:rsid w:val="00C11901"/>
    <w:rsid w:val="00C13EC3"/>
    <w:rsid w:val="00C1608E"/>
    <w:rsid w:val="00C16798"/>
    <w:rsid w:val="00C17750"/>
    <w:rsid w:val="00C17A7D"/>
    <w:rsid w:val="00C2003D"/>
    <w:rsid w:val="00C20966"/>
    <w:rsid w:val="00C2194E"/>
    <w:rsid w:val="00C22A1C"/>
    <w:rsid w:val="00C23C3C"/>
    <w:rsid w:val="00C2643A"/>
    <w:rsid w:val="00C265B1"/>
    <w:rsid w:val="00C278ED"/>
    <w:rsid w:val="00C27E9A"/>
    <w:rsid w:val="00C308A5"/>
    <w:rsid w:val="00C32223"/>
    <w:rsid w:val="00C32D6B"/>
    <w:rsid w:val="00C3305E"/>
    <w:rsid w:val="00C332B8"/>
    <w:rsid w:val="00C333A2"/>
    <w:rsid w:val="00C33B72"/>
    <w:rsid w:val="00C34F1E"/>
    <w:rsid w:val="00C357CB"/>
    <w:rsid w:val="00C357CC"/>
    <w:rsid w:val="00C36020"/>
    <w:rsid w:val="00C363F0"/>
    <w:rsid w:val="00C36D65"/>
    <w:rsid w:val="00C37C32"/>
    <w:rsid w:val="00C40294"/>
    <w:rsid w:val="00C406EE"/>
    <w:rsid w:val="00C40EE7"/>
    <w:rsid w:val="00C40F3B"/>
    <w:rsid w:val="00C41A9C"/>
    <w:rsid w:val="00C4226B"/>
    <w:rsid w:val="00C471EE"/>
    <w:rsid w:val="00C50DBF"/>
    <w:rsid w:val="00C51CDD"/>
    <w:rsid w:val="00C52433"/>
    <w:rsid w:val="00C53F10"/>
    <w:rsid w:val="00C55AEE"/>
    <w:rsid w:val="00C56B29"/>
    <w:rsid w:val="00C57235"/>
    <w:rsid w:val="00C5743A"/>
    <w:rsid w:val="00C5784D"/>
    <w:rsid w:val="00C62149"/>
    <w:rsid w:val="00C626F0"/>
    <w:rsid w:val="00C63C09"/>
    <w:rsid w:val="00C64CA3"/>
    <w:rsid w:val="00C64F63"/>
    <w:rsid w:val="00C658F1"/>
    <w:rsid w:val="00C6761D"/>
    <w:rsid w:val="00C677B4"/>
    <w:rsid w:val="00C67CDA"/>
    <w:rsid w:val="00C7056C"/>
    <w:rsid w:val="00C72971"/>
    <w:rsid w:val="00C730CC"/>
    <w:rsid w:val="00C7335D"/>
    <w:rsid w:val="00C73A53"/>
    <w:rsid w:val="00C74A42"/>
    <w:rsid w:val="00C7636A"/>
    <w:rsid w:val="00C764C3"/>
    <w:rsid w:val="00C76E45"/>
    <w:rsid w:val="00C77585"/>
    <w:rsid w:val="00C77EAE"/>
    <w:rsid w:val="00C8066C"/>
    <w:rsid w:val="00C83429"/>
    <w:rsid w:val="00C87174"/>
    <w:rsid w:val="00C87213"/>
    <w:rsid w:val="00C8768C"/>
    <w:rsid w:val="00C87A6B"/>
    <w:rsid w:val="00C87ED4"/>
    <w:rsid w:val="00C923FC"/>
    <w:rsid w:val="00C9298B"/>
    <w:rsid w:val="00C92BFF"/>
    <w:rsid w:val="00C9539B"/>
    <w:rsid w:val="00C9619A"/>
    <w:rsid w:val="00C96BD0"/>
    <w:rsid w:val="00C97CA5"/>
    <w:rsid w:val="00C97CEE"/>
    <w:rsid w:val="00CA7AE1"/>
    <w:rsid w:val="00CB1C90"/>
    <w:rsid w:val="00CB4CD3"/>
    <w:rsid w:val="00CB62A8"/>
    <w:rsid w:val="00CB6327"/>
    <w:rsid w:val="00CB6527"/>
    <w:rsid w:val="00CC04D3"/>
    <w:rsid w:val="00CC0BC7"/>
    <w:rsid w:val="00CC24B2"/>
    <w:rsid w:val="00CC491D"/>
    <w:rsid w:val="00CC4A41"/>
    <w:rsid w:val="00CC527A"/>
    <w:rsid w:val="00CC6065"/>
    <w:rsid w:val="00CC6155"/>
    <w:rsid w:val="00CC630C"/>
    <w:rsid w:val="00CC6943"/>
    <w:rsid w:val="00CD0C0F"/>
    <w:rsid w:val="00CD1BCF"/>
    <w:rsid w:val="00CD292C"/>
    <w:rsid w:val="00CD3EB3"/>
    <w:rsid w:val="00CD54F3"/>
    <w:rsid w:val="00CD555F"/>
    <w:rsid w:val="00CD6CFB"/>
    <w:rsid w:val="00CD6F4D"/>
    <w:rsid w:val="00CE0181"/>
    <w:rsid w:val="00CE0FEE"/>
    <w:rsid w:val="00CE38E0"/>
    <w:rsid w:val="00CE5064"/>
    <w:rsid w:val="00CE593E"/>
    <w:rsid w:val="00CE762A"/>
    <w:rsid w:val="00CE7DC0"/>
    <w:rsid w:val="00CF02D1"/>
    <w:rsid w:val="00CF126A"/>
    <w:rsid w:val="00CF2AB3"/>
    <w:rsid w:val="00CF2D45"/>
    <w:rsid w:val="00CF331C"/>
    <w:rsid w:val="00CF3CCE"/>
    <w:rsid w:val="00CF3FE4"/>
    <w:rsid w:val="00CF4580"/>
    <w:rsid w:val="00CF4D3E"/>
    <w:rsid w:val="00CF577B"/>
    <w:rsid w:val="00CF5D5D"/>
    <w:rsid w:val="00CF68FB"/>
    <w:rsid w:val="00CF7BEE"/>
    <w:rsid w:val="00D0062F"/>
    <w:rsid w:val="00D00AB2"/>
    <w:rsid w:val="00D01D16"/>
    <w:rsid w:val="00D0261B"/>
    <w:rsid w:val="00D04871"/>
    <w:rsid w:val="00D04F90"/>
    <w:rsid w:val="00D0559E"/>
    <w:rsid w:val="00D055E2"/>
    <w:rsid w:val="00D055E6"/>
    <w:rsid w:val="00D07922"/>
    <w:rsid w:val="00D11198"/>
    <w:rsid w:val="00D12E55"/>
    <w:rsid w:val="00D13C73"/>
    <w:rsid w:val="00D1593E"/>
    <w:rsid w:val="00D16A8A"/>
    <w:rsid w:val="00D16BE8"/>
    <w:rsid w:val="00D172F3"/>
    <w:rsid w:val="00D173A6"/>
    <w:rsid w:val="00D17E4D"/>
    <w:rsid w:val="00D2065F"/>
    <w:rsid w:val="00D20F16"/>
    <w:rsid w:val="00D22EEE"/>
    <w:rsid w:val="00D22FD5"/>
    <w:rsid w:val="00D236A4"/>
    <w:rsid w:val="00D25855"/>
    <w:rsid w:val="00D26417"/>
    <w:rsid w:val="00D27FA2"/>
    <w:rsid w:val="00D301A0"/>
    <w:rsid w:val="00D311FD"/>
    <w:rsid w:val="00D31D69"/>
    <w:rsid w:val="00D31F07"/>
    <w:rsid w:val="00D33544"/>
    <w:rsid w:val="00D34170"/>
    <w:rsid w:val="00D3536E"/>
    <w:rsid w:val="00D357BD"/>
    <w:rsid w:val="00D35BFE"/>
    <w:rsid w:val="00D40626"/>
    <w:rsid w:val="00D4127B"/>
    <w:rsid w:val="00D42149"/>
    <w:rsid w:val="00D42328"/>
    <w:rsid w:val="00D42403"/>
    <w:rsid w:val="00D43F43"/>
    <w:rsid w:val="00D4425A"/>
    <w:rsid w:val="00D44A26"/>
    <w:rsid w:val="00D46443"/>
    <w:rsid w:val="00D50DA0"/>
    <w:rsid w:val="00D5160F"/>
    <w:rsid w:val="00D5280F"/>
    <w:rsid w:val="00D548DF"/>
    <w:rsid w:val="00D5624A"/>
    <w:rsid w:val="00D56B02"/>
    <w:rsid w:val="00D578EF"/>
    <w:rsid w:val="00D63C1F"/>
    <w:rsid w:val="00D64A7A"/>
    <w:rsid w:val="00D650A8"/>
    <w:rsid w:val="00D679B3"/>
    <w:rsid w:val="00D67A23"/>
    <w:rsid w:val="00D7026D"/>
    <w:rsid w:val="00D7044E"/>
    <w:rsid w:val="00D70EE6"/>
    <w:rsid w:val="00D7102A"/>
    <w:rsid w:val="00D7140F"/>
    <w:rsid w:val="00D71929"/>
    <w:rsid w:val="00D72073"/>
    <w:rsid w:val="00D72561"/>
    <w:rsid w:val="00D7305F"/>
    <w:rsid w:val="00D752D5"/>
    <w:rsid w:val="00D759C4"/>
    <w:rsid w:val="00D75E66"/>
    <w:rsid w:val="00D766E7"/>
    <w:rsid w:val="00D77B48"/>
    <w:rsid w:val="00D808A5"/>
    <w:rsid w:val="00D80BD7"/>
    <w:rsid w:val="00D81246"/>
    <w:rsid w:val="00D82598"/>
    <w:rsid w:val="00D82C6C"/>
    <w:rsid w:val="00D82FD8"/>
    <w:rsid w:val="00D84366"/>
    <w:rsid w:val="00D84850"/>
    <w:rsid w:val="00D84BE6"/>
    <w:rsid w:val="00D84DC8"/>
    <w:rsid w:val="00D85918"/>
    <w:rsid w:val="00D85C6C"/>
    <w:rsid w:val="00D86F7C"/>
    <w:rsid w:val="00D926DB"/>
    <w:rsid w:val="00D92A52"/>
    <w:rsid w:val="00D9304A"/>
    <w:rsid w:val="00D93E1B"/>
    <w:rsid w:val="00D9479E"/>
    <w:rsid w:val="00D94A67"/>
    <w:rsid w:val="00D96324"/>
    <w:rsid w:val="00DA0A12"/>
    <w:rsid w:val="00DA0CC9"/>
    <w:rsid w:val="00DA0DD7"/>
    <w:rsid w:val="00DA0F08"/>
    <w:rsid w:val="00DA1FAE"/>
    <w:rsid w:val="00DA2067"/>
    <w:rsid w:val="00DA2451"/>
    <w:rsid w:val="00DA2E6C"/>
    <w:rsid w:val="00DA505F"/>
    <w:rsid w:val="00DA668A"/>
    <w:rsid w:val="00DA72A7"/>
    <w:rsid w:val="00DA76DE"/>
    <w:rsid w:val="00DA7F44"/>
    <w:rsid w:val="00DB007C"/>
    <w:rsid w:val="00DB065D"/>
    <w:rsid w:val="00DB0756"/>
    <w:rsid w:val="00DB0C05"/>
    <w:rsid w:val="00DB1A51"/>
    <w:rsid w:val="00DB201A"/>
    <w:rsid w:val="00DB2496"/>
    <w:rsid w:val="00DB26C6"/>
    <w:rsid w:val="00DB27E5"/>
    <w:rsid w:val="00DB2E96"/>
    <w:rsid w:val="00DB3185"/>
    <w:rsid w:val="00DB5D47"/>
    <w:rsid w:val="00DB6DE7"/>
    <w:rsid w:val="00DB781F"/>
    <w:rsid w:val="00DC0186"/>
    <w:rsid w:val="00DC0933"/>
    <w:rsid w:val="00DC160F"/>
    <w:rsid w:val="00DC189E"/>
    <w:rsid w:val="00DC267E"/>
    <w:rsid w:val="00DC3CA3"/>
    <w:rsid w:val="00DC4B66"/>
    <w:rsid w:val="00DC52F3"/>
    <w:rsid w:val="00DC5CFE"/>
    <w:rsid w:val="00DC5E1E"/>
    <w:rsid w:val="00DC612E"/>
    <w:rsid w:val="00DC6584"/>
    <w:rsid w:val="00DC6B68"/>
    <w:rsid w:val="00DC7394"/>
    <w:rsid w:val="00DC7CA8"/>
    <w:rsid w:val="00DD07F7"/>
    <w:rsid w:val="00DD108C"/>
    <w:rsid w:val="00DD2CEA"/>
    <w:rsid w:val="00DD342B"/>
    <w:rsid w:val="00DD4485"/>
    <w:rsid w:val="00DD6D79"/>
    <w:rsid w:val="00DD6E58"/>
    <w:rsid w:val="00DE0010"/>
    <w:rsid w:val="00DE0745"/>
    <w:rsid w:val="00DE0979"/>
    <w:rsid w:val="00DE0C1A"/>
    <w:rsid w:val="00DE1D1F"/>
    <w:rsid w:val="00DE3312"/>
    <w:rsid w:val="00DE4A06"/>
    <w:rsid w:val="00DE5368"/>
    <w:rsid w:val="00DE5B21"/>
    <w:rsid w:val="00DF0207"/>
    <w:rsid w:val="00DF0363"/>
    <w:rsid w:val="00DF282C"/>
    <w:rsid w:val="00DF2A2F"/>
    <w:rsid w:val="00DF3306"/>
    <w:rsid w:val="00DF3A00"/>
    <w:rsid w:val="00DF5A77"/>
    <w:rsid w:val="00DF604D"/>
    <w:rsid w:val="00DF669C"/>
    <w:rsid w:val="00DF74E9"/>
    <w:rsid w:val="00DF7516"/>
    <w:rsid w:val="00DF799B"/>
    <w:rsid w:val="00E014DF"/>
    <w:rsid w:val="00E016A5"/>
    <w:rsid w:val="00E025A8"/>
    <w:rsid w:val="00E02DAB"/>
    <w:rsid w:val="00E03971"/>
    <w:rsid w:val="00E04938"/>
    <w:rsid w:val="00E04A1C"/>
    <w:rsid w:val="00E05910"/>
    <w:rsid w:val="00E1389A"/>
    <w:rsid w:val="00E13DA8"/>
    <w:rsid w:val="00E1472C"/>
    <w:rsid w:val="00E15736"/>
    <w:rsid w:val="00E15C4F"/>
    <w:rsid w:val="00E16654"/>
    <w:rsid w:val="00E2043E"/>
    <w:rsid w:val="00E20595"/>
    <w:rsid w:val="00E2364E"/>
    <w:rsid w:val="00E24449"/>
    <w:rsid w:val="00E25473"/>
    <w:rsid w:val="00E2588E"/>
    <w:rsid w:val="00E3111E"/>
    <w:rsid w:val="00E315D9"/>
    <w:rsid w:val="00E33500"/>
    <w:rsid w:val="00E33C94"/>
    <w:rsid w:val="00E34855"/>
    <w:rsid w:val="00E357A1"/>
    <w:rsid w:val="00E35B8F"/>
    <w:rsid w:val="00E373E5"/>
    <w:rsid w:val="00E4055D"/>
    <w:rsid w:val="00E40DCB"/>
    <w:rsid w:val="00E40E9D"/>
    <w:rsid w:val="00E41325"/>
    <w:rsid w:val="00E4177F"/>
    <w:rsid w:val="00E41C7A"/>
    <w:rsid w:val="00E42D34"/>
    <w:rsid w:val="00E4550B"/>
    <w:rsid w:val="00E46388"/>
    <w:rsid w:val="00E4784F"/>
    <w:rsid w:val="00E47C08"/>
    <w:rsid w:val="00E50C50"/>
    <w:rsid w:val="00E514A3"/>
    <w:rsid w:val="00E52F46"/>
    <w:rsid w:val="00E5348C"/>
    <w:rsid w:val="00E535C3"/>
    <w:rsid w:val="00E554F0"/>
    <w:rsid w:val="00E55ABE"/>
    <w:rsid w:val="00E56572"/>
    <w:rsid w:val="00E56AB6"/>
    <w:rsid w:val="00E611F2"/>
    <w:rsid w:val="00E6120F"/>
    <w:rsid w:val="00E647F2"/>
    <w:rsid w:val="00E64820"/>
    <w:rsid w:val="00E64848"/>
    <w:rsid w:val="00E64BCE"/>
    <w:rsid w:val="00E650D2"/>
    <w:rsid w:val="00E6677B"/>
    <w:rsid w:val="00E7067B"/>
    <w:rsid w:val="00E72A57"/>
    <w:rsid w:val="00E730F6"/>
    <w:rsid w:val="00E739F8"/>
    <w:rsid w:val="00E75821"/>
    <w:rsid w:val="00E75E1B"/>
    <w:rsid w:val="00E76FB9"/>
    <w:rsid w:val="00E77D56"/>
    <w:rsid w:val="00E77E96"/>
    <w:rsid w:val="00E8043D"/>
    <w:rsid w:val="00E809D0"/>
    <w:rsid w:val="00E8652B"/>
    <w:rsid w:val="00E92C01"/>
    <w:rsid w:val="00E92CC3"/>
    <w:rsid w:val="00E9333B"/>
    <w:rsid w:val="00E94C7A"/>
    <w:rsid w:val="00E95CF4"/>
    <w:rsid w:val="00E95DB0"/>
    <w:rsid w:val="00E96369"/>
    <w:rsid w:val="00E964F2"/>
    <w:rsid w:val="00EA0505"/>
    <w:rsid w:val="00EA1562"/>
    <w:rsid w:val="00EA1969"/>
    <w:rsid w:val="00EA2091"/>
    <w:rsid w:val="00EA2353"/>
    <w:rsid w:val="00EA3493"/>
    <w:rsid w:val="00EA3533"/>
    <w:rsid w:val="00EA4719"/>
    <w:rsid w:val="00EA48B1"/>
    <w:rsid w:val="00EA6F3C"/>
    <w:rsid w:val="00EA7809"/>
    <w:rsid w:val="00EB049D"/>
    <w:rsid w:val="00EB13CD"/>
    <w:rsid w:val="00EB2900"/>
    <w:rsid w:val="00EB2AB5"/>
    <w:rsid w:val="00EB2F19"/>
    <w:rsid w:val="00EB3451"/>
    <w:rsid w:val="00EB3C44"/>
    <w:rsid w:val="00EB6822"/>
    <w:rsid w:val="00EB7D12"/>
    <w:rsid w:val="00EC0373"/>
    <w:rsid w:val="00EC3665"/>
    <w:rsid w:val="00EC516E"/>
    <w:rsid w:val="00EC523A"/>
    <w:rsid w:val="00EC6AE1"/>
    <w:rsid w:val="00EC7417"/>
    <w:rsid w:val="00ED04A9"/>
    <w:rsid w:val="00ED16A0"/>
    <w:rsid w:val="00ED1F16"/>
    <w:rsid w:val="00ED311B"/>
    <w:rsid w:val="00ED42A8"/>
    <w:rsid w:val="00ED5810"/>
    <w:rsid w:val="00ED6E23"/>
    <w:rsid w:val="00ED6EF5"/>
    <w:rsid w:val="00ED77AA"/>
    <w:rsid w:val="00EE083D"/>
    <w:rsid w:val="00EE0DE8"/>
    <w:rsid w:val="00EE1F1F"/>
    <w:rsid w:val="00EE3E46"/>
    <w:rsid w:val="00EE54CB"/>
    <w:rsid w:val="00EE61D5"/>
    <w:rsid w:val="00EE7093"/>
    <w:rsid w:val="00EE7A64"/>
    <w:rsid w:val="00EF1EF3"/>
    <w:rsid w:val="00EF2329"/>
    <w:rsid w:val="00EF62F6"/>
    <w:rsid w:val="00EF6A59"/>
    <w:rsid w:val="00EF6EB5"/>
    <w:rsid w:val="00EF7C6B"/>
    <w:rsid w:val="00F016EC"/>
    <w:rsid w:val="00F02213"/>
    <w:rsid w:val="00F02441"/>
    <w:rsid w:val="00F0266B"/>
    <w:rsid w:val="00F07D0E"/>
    <w:rsid w:val="00F11E63"/>
    <w:rsid w:val="00F12981"/>
    <w:rsid w:val="00F12AE9"/>
    <w:rsid w:val="00F1490A"/>
    <w:rsid w:val="00F1519A"/>
    <w:rsid w:val="00F15BB3"/>
    <w:rsid w:val="00F16CA3"/>
    <w:rsid w:val="00F16D1A"/>
    <w:rsid w:val="00F21396"/>
    <w:rsid w:val="00F2280E"/>
    <w:rsid w:val="00F22989"/>
    <w:rsid w:val="00F23A97"/>
    <w:rsid w:val="00F2409A"/>
    <w:rsid w:val="00F24773"/>
    <w:rsid w:val="00F26921"/>
    <w:rsid w:val="00F30249"/>
    <w:rsid w:val="00F31A9A"/>
    <w:rsid w:val="00F32648"/>
    <w:rsid w:val="00F33BDC"/>
    <w:rsid w:val="00F33BF0"/>
    <w:rsid w:val="00F34267"/>
    <w:rsid w:val="00F3475B"/>
    <w:rsid w:val="00F34C79"/>
    <w:rsid w:val="00F36F93"/>
    <w:rsid w:val="00F370B1"/>
    <w:rsid w:val="00F37337"/>
    <w:rsid w:val="00F378E6"/>
    <w:rsid w:val="00F37C1A"/>
    <w:rsid w:val="00F37D2B"/>
    <w:rsid w:val="00F37E5B"/>
    <w:rsid w:val="00F400F8"/>
    <w:rsid w:val="00F41CAF"/>
    <w:rsid w:val="00F44452"/>
    <w:rsid w:val="00F44A4B"/>
    <w:rsid w:val="00F45311"/>
    <w:rsid w:val="00F46A58"/>
    <w:rsid w:val="00F47FCC"/>
    <w:rsid w:val="00F51132"/>
    <w:rsid w:val="00F516AD"/>
    <w:rsid w:val="00F54CA1"/>
    <w:rsid w:val="00F55821"/>
    <w:rsid w:val="00F562FA"/>
    <w:rsid w:val="00F56387"/>
    <w:rsid w:val="00F578B1"/>
    <w:rsid w:val="00F602B7"/>
    <w:rsid w:val="00F61BA4"/>
    <w:rsid w:val="00F62F0E"/>
    <w:rsid w:val="00F64400"/>
    <w:rsid w:val="00F64EC8"/>
    <w:rsid w:val="00F659FC"/>
    <w:rsid w:val="00F6603C"/>
    <w:rsid w:val="00F70404"/>
    <w:rsid w:val="00F71A94"/>
    <w:rsid w:val="00F739F7"/>
    <w:rsid w:val="00F73D7F"/>
    <w:rsid w:val="00F73D9F"/>
    <w:rsid w:val="00F74243"/>
    <w:rsid w:val="00F74381"/>
    <w:rsid w:val="00F74959"/>
    <w:rsid w:val="00F7496A"/>
    <w:rsid w:val="00F76194"/>
    <w:rsid w:val="00F7636A"/>
    <w:rsid w:val="00F771C4"/>
    <w:rsid w:val="00F82782"/>
    <w:rsid w:val="00F8454D"/>
    <w:rsid w:val="00F85079"/>
    <w:rsid w:val="00F85BCA"/>
    <w:rsid w:val="00F85FC4"/>
    <w:rsid w:val="00F90C56"/>
    <w:rsid w:val="00F90E17"/>
    <w:rsid w:val="00F926A2"/>
    <w:rsid w:val="00F93F35"/>
    <w:rsid w:val="00F94AAB"/>
    <w:rsid w:val="00F94D97"/>
    <w:rsid w:val="00F94EF7"/>
    <w:rsid w:val="00F961A6"/>
    <w:rsid w:val="00F96DE8"/>
    <w:rsid w:val="00FA01AD"/>
    <w:rsid w:val="00FA0378"/>
    <w:rsid w:val="00FA12F0"/>
    <w:rsid w:val="00FA1DC3"/>
    <w:rsid w:val="00FA49C0"/>
    <w:rsid w:val="00FA5091"/>
    <w:rsid w:val="00FA55F3"/>
    <w:rsid w:val="00FA589E"/>
    <w:rsid w:val="00FA5DF1"/>
    <w:rsid w:val="00FB0C94"/>
    <w:rsid w:val="00FB2D37"/>
    <w:rsid w:val="00FB361D"/>
    <w:rsid w:val="00FB3B82"/>
    <w:rsid w:val="00FB3BD2"/>
    <w:rsid w:val="00FB4A7B"/>
    <w:rsid w:val="00FB5669"/>
    <w:rsid w:val="00FB60C4"/>
    <w:rsid w:val="00FB7267"/>
    <w:rsid w:val="00FB742B"/>
    <w:rsid w:val="00FB752C"/>
    <w:rsid w:val="00FB7BB7"/>
    <w:rsid w:val="00FB7CD3"/>
    <w:rsid w:val="00FC0B7C"/>
    <w:rsid w:val="00FC197C"/>
    <w:rsid w:val="00FC19DC"/>
    <w:rsid w:val="00FC1D59"/>
    <w:rsid w:val="00FC34BE"/>
    <w:rsid w:val="00FC6162"/>
    <w:rsid w:val="00FC7194"/>
    <w:rsid w:val="00FC7D5A"/>
    <w:rsid w:val="00FD14F7"/>
    <w:rsid w:val="00FD53A3"/>
    <w:rsid w:val="00FD5D20"/>
    <w:rsid w:val="00FD67A0"/>
    <w:rsid w:val="00FD7DD3"/>
    <w:rsid w:val="00FD7F0F"/>
    <w:rsid w:val="00FE022A"/>
    <w:rsid w:val="00FE3D3B"/>
    <w:rsid w:val="00FE4010"/>
    <w:rsid w:val="00FE543F"/>
    <w:rsid w:val="00FE597D"/>
    <w:rsid w:val="00FE7A20"/>
    <w:rsid w:val="00FE7DD6"/>
    <w:rsid w:val="00FE7EA4"/>
    <w:rsid w:val="00FF00E2"/>
    <w:rsid w:val="00FF1C22"/>
    <w:rsid w:val="00FF23E8"/>
    <w:rsid w:val="00FF36A4"/>
    <w:rsid w:val="00FF3916"/>
    <w:rsid w:val="00FF3BB0"/>
    <w:rsid w:val="00FF4CE1"/>
    <w:rsid w:val="00FF4F4A"/>
    <w:rsid w:val="00FF50D7"/>
    <w:rsid w:val="00FF55E2"/>
    <w:rsid w:val="00FF5B3E"/>
    <w:rsid w:val="00FF603D"/>
    <w:rsid w:val="00FF7BB2"/>
    <w:rsid w:val="012BB91B"/>
    <w:rsid w:val="014440CB"/>
    <w:rsid w:val="034A1658"/>
    <w:rsid w:val="05041238"/>
    <w:rsid w:val="05DF9DF9"/>
    <w:rsid w:val="0691D9F2"/>
    <w:rsid w:val="087F4828"/>
    <w:rsid w:val="094F43DF"/>
    <w:rsid w:val="0983D816"/>
    <w:rsid w:val="0B910EA5"/>
    <w:rsid w:val="0CF39BDB"/>
    <w:rsid w:val="0D410ED9"/>
    <w:rsid w:val="0E653346"/>
    <w:rsid w:val="10202051"/>
    <w:rsid w:val="102698F9"/>
    <w:rsid w:val="109F5429"/>
    <w:rsid w:val="112C3664"/>
    <w:rsid w:val="115713CB"/>
    <w:rsid w:val="15388863"/>
    <w:rsid w:val="17269913"/>
    <w:rsid w:val="178876A9"/>
    <w:rsid w:val="18082269"/>
    <w:rsid w:val="1841C9E2"/>
    <w:rsid w:val="1BC61A43"/>
    <w:rsid w:val="1BF6A63B"/>
    <w:rsid w:val="1C467E15"/>
    <w:rsid w:val="1C83936D"/>
    <w:rsid w:val="1CFFD249"/>
    <w:rsid w:val="1E5A74F9"/>
    <w:rsid w:val="1E60C679"/>
    <w:rsid w:val="1F1C3748"/>
    <w:rsid w:val="20AC5B7D"/>
    <w:rsid w:val="22F26F4F"/>
    <w:rsid w:val="24E1404F"/>
    <w:rsid w:val="25979E30"/>
    <w:rsid w:val="259FB393"/>
    <w:rsid w:val="2658CBC1"/>
    <w:rsid w:val="295BC08F"/>
    <w:rsid w:val="2A06C9E4"/>
    <w:rsid w:val="2B81E375"/>
    <w:rsid w:val="2C971BEE"/>
    <w:rsid w:val="2F53B75C"/>
    <w:rsid w:val="3171EDB7"/>
    <w:rsid w:val="317A3FE4"/>
    <w:rsid w:val="3203FB5B"/>
    <w:rsid w:val="33445B43"/>
    <w:rsid w:val="350453C6"/>
    <w:rsid w:val="35227356"/>
    <w:rsid w:val="3548806C"/>
    <w:rsid w:val="35689935"/>
    <w:rsid w:val="36B28DEE"/>
    <w:rsid w:val="3844DD32"/>
    <w:rsid w:val="38EAF262"/>
    <w:rsid w:val="39D0C989"/>
    <w:rsid w:val="3A0428EE"/>
    <w:rsid w:val="3C323A64"/>
    <w:rsid w:val="3C48309F"/>
    <w:rsid w:val="3D78CB25"/>
    <w:rsid w:val="3FDD2664"/>
    <w:rsid w:val="405C79D7"/>
    <w:rsid w:val="414508D7"/>
    <w:rsid w:val="41464A53"/>
    <w:rsid w:val="4223DDAB"/>
    <w:rsid w:val="449BA174"/>
    <w:rsid w:val="465FB13E"/>
    <w:rsid w:val="47C52BE9"/>
    <w:rsid w:val="484C8A11"/>
    <w:rsid w:val="4997841C"/>
    <w:rsid w:val="4E4A2F72"/>
    <w:rsid w:val="4E72D3C5"/>
    <w:rsid w:val="4E84E6EA"/>
    <w:rsid w:val="4F31EC86"/>
    <w:rsid w:val="4F7F6113"/>
    <w:rsid w:val="50B1C866"/>
    <w:rsid w:val="52D55B96"/>
    <w:rsid w:val="534995A1"/>
    <w:rsid w:val="536E4E48"/>
    <w:rsid w:val="53AD50EA"/>
    <w:rsid w:val="58D1AC8A"/>
    <w:rsid w:val="5A460E14"/>
    <w:rsid w:val="5A476FD5"/>
    <w:rsid w:val="5AC11E00"/>
    <w:rsid w:val="5B142898"/>
    <w:rsid w:val="5B316CB8"/>
    <w:rsid w:val="5BF2E776"/>
    <w:rsid w:val="5C4BB38A"/>
    <w:rsid w:val="5DAC9A9D"/>
    <w:rsid w:val="5DE152D4"/>
    <w:rsid w:val="5F489F8E"/>
    <w:rsid w:val="5FE4A518"/>
    <w:rsid w:val="6171C314"/>
    <w:rsid w:val="61E77DB5"/>
    <w:rsid w:val="635675B7"/>
    <w:rsid w:val="647EF2A0"/>
    <w:rsid w:val="648524B2"/>
    <w:rsid w:val="68B998EE"/>
    <w:rsid w:val="69E21E11"/>
    <w:rsid w:val="6A56AE35"/>
    <w:rsid w:val="6B41734C"/>
    <w:rsid w:val="6BA32746"/>
    <w:rsid w:val="6DA1AF04"/>
    <w:rsid w:val="6E0824F1"/>
    <w:rsid w:val="6F5021C0"/>
    <w:rsid w:val="70519266"/>
    <w:rsid w:val="70B57110"/>
    <w:rsid w:val="7301681F"/>
    <w:rsid w:val="73E45D1C"/>
    <w:rsid w:val="74209D37"/>
    <w:rsid w:val="74ABEBDB"/>
    <w:rsid w:val="759F1756"/>
    <w:rsid w:val="76A2A966"/>
    <w:rsid w:val="77B56745"/>
    <w:rsid w:val="78B6F9FD"/>
    <w:rsid w:val="7909D383"/>
    <w:rsid w:val="7A92CF97"/>
    <w:rsid w:val="7AD0AAD3"/>
    <w:rsid w:val="7AE1BA63"/>
    <w:rsid w:val="7B27D54E"/>
    <w:rsid w:val="7BA4E86C"/>
    <w:rsid w:val="7BC82807"/>
    <w:rsid w:val="7BFD1E6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C3066"/>
  <w15:docId w15:val="{DCA6357A-3FD8-5845-BAFA-E4BD753F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8B0"/>
    <w:pPr>
      <w:spacing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rFonts w:ascii="Arial" w:eastAsia="Arial" w:hAnsi="Arial" w:cs="Arial"/>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02441"/>
    <w:rPr>
      <w:b/>
      <w:bCs/>
    </w:rPr>
  </w:style>
  <w:style w:type="character" w:customStyle="1" w:styleId="CommentSubjectChar">
    <w:name w:val="Comment Subject Char"/>
    <w:basedOn w:val="CommentTextChar"/>
    <w:link w:val="CommentSubject"/>
    <w:uiPriority w:val="99"/>
    <w:semiHidden/>
    <w:rsid w:val="00F02441"/>
    <w:rPr>
      <w:b/>
      <w:bCs/>
      <w:sz w:val="20"/>
      <w:szCs w:val="20"/>
    </w:rPr>
  </w:style>
  <w:style w:type="table" w:styleId="TableGrid">
    <w:name w:val="Table Grid"/>
    <w:basedOn w:val="TableNormal"/>
    <w:uiPriority w:val="39"/>
    <w:rsid w:val="009254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
    <w:name w:val="Grid Table 3"/>
    <w:basedOn w:val="TableNormal"/>
    <w:uiPriority w:val="48"/>
    <w:rsid w:val="00C56B2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e">
    <w:name w:val="Table"/>
    <w:semiHidden/>
    <w:unhideWhenUsed/>
    <w:qFormat/>
    <w:rsid w:val="003B1F6E"/>
    <w:pPr>
      <w:spacing w:after="200" w:line="240" w:lineRule="auto"/>
    </w:pPr>
    <w:rPr>
      <w:rFonts w:asciiTheme="minorHAnsi" w:eastAsiaTheme="minorHAnsi" w:hAnsiTheme="minorHAnsi" w:cstheme="minorBidi"/>
      <w:sz w:val="24"/>
      <w:szCs w:val="24"/>
      <w:lang w:val="en-US" w:eastAsia="en-US"/>
    </w:rPr>
    <w:tblPr>
      <w:tblInd w:w="0" w:type="dxa"/>
      <w:tblCellMar>
        <w:top w:w="0" w:type="dxa"/>
        <w:left w:w="108" w:type="dxa"/>
        <w:bottom w:w="0" w:type="dxa"/>
        <w:right w:w="108" w:type="dxa"/>
      </w:tblCellMar>
    </w:tblPr>
  </w:style>
  <w:style w:type="paragraph" w:styleId="ListParagraph">
    <w:name w:val="List Paragraph"/>
    <w:basedOn w:val="Normal"/>
    <w:uiPriority w:val="34"/>
    <w:qFormat/>
    <w:rsid w:val="00D84DC8"/>
    <w:pPr>
      <w:spacing w:line="276" w:lineRule="auto"/>
      <w:ind w:left="720"/>
      <w:contextualSpacing/>
    </w:pPr>
    <w:rPr>
      <w:rFonts w:ascii="Arial" w:eastAsia="Arial" w:hAnsi="Arial" w:cs="Arial"/>
      <w:sz w:val="22"/>
      <w:szCs w:val="22"/>
    </w:rPr>
  </w:style>
  <w:style w:type="paragraph" w:styleId="Caption">
    <w:name w:val="caption"/>
    <w:basedOn w:val="Normal"/>
    <w:next w:val="Normal"/>
    <w:uiPriority w:val="35"/>
    <w:unhideWhenUsed/>
    <w:qFormat/>
    <w:rsid w:val="000B0535"/>
    <w:pPr>
      <w:spacing w:after="200"/>
    </w:pPr>
    <w:rPr>
      <w:rFonts w:ascii="Arial" w:eastAsia="Arial" w:hAnsi="Arial" w:cs="Arial"/>
      <w:i/>
      <w:iCs/>
      <w:color w:val="1F497D" w:themeColor="text2"/>
      <w:sz w:val="18"/>
      <w:szCs w:val="18"/>
    </w:rPr>
  </w:style>
  <w:style w:type="character" w:styleId="Hyperlink">
    <w:name w:val="Hyperlink"/>
    <w:basedOn w:val="DefaultParagraphFont"/>
    <w:uiPriority w:val="99"/>
    <w:unhideWhenUsed/>
    <w:rsid w:val="00D766E7"/>
    <w:rPr>
      <w:color w:val="0000FF"/>
      <w:u w:val="single"/>
    </w:rPr>
  </w:style>
  <w:style w:type="character" w:styleId="UnresolvedMention">
    <w:name w:val="Unresolved Mention"/>
    <w:basedOn w:val="DefaultParagraphFont"/>
    <w:uiPriority w:val="99"/>
    <w:semiHidden/>
    <w:unhideWhenUsed/>
    <w:rsid w:val="00091AB2"/>
    <w:rPr>
      <w:color w:val="605E5C"/>
      <w:shd w:val="clear" w:color="auto" w:fill="E1DFDD"/>
    </w:rPr>
  </w:style>
  <w:style w:type="table" w:styleId="PlainTable2">
    <w:name w:val="Plain Table 2"/>
    <w:basedOn w:val="TableNormal"/>
    <w:uiPriority w:val="42"/>
    <w:rsid w:val="001E2E92"/>
    <w:pPr>
      <w:spacing w:line="240" w:lineRule="auto"/>
    </w:pPr>
    <w:rPr>
      <w:rFonts w:asciiTheme="minorHAnsi" w:eastAsiaTheme="minorHAnsi" w:hAnsiTheme="minorHAnsi" w:cstheme="minorBidi"/>
      <w:sz w:val="24"/>
      <w:szCs w:val="24"/>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0E0CF1"/>
    <w:pPr>
      <w:spacing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757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570A4"/>
    <w:rPr>
      <w:rFonts w:ascii="Courier New" w:eastAsia="Times New Roman" w:hAnsi="Courier New" w:cs="Courier New"/>
      <w:sz w:val="20"/>
      <w:szCs w:val="20"/>
    </w:rPr>
  </w:style>
  <w:style w:type="character" w:customStyle="1" w:styleId="orcid-id-https">
    <w:name w:val="orcid-id-https"/>
    <w:basedOn w:val="DefaultParagraphFont"/>
    <w:rsid w:val="00B77386"/>
  </w:style>
  <w:style w:type="paragraph" w:styleId="Footer">
    <w:name w:val="footer"/>
    <w:basedOn w:val="Normal"/>
    <w:link w:val="FooterChar"/>
    <w:uiPriority w:val="99"/>
    <w:unhideWhenUsed/>
    <w:rsid w:val="004F27EF"/>
    <w:pPr>
      <w:tabs>
        <w:tab w:val="center" w:pos="4513"/>
        <w:tab w:val="right" w:pos="9026"/>
      </w:tabs>
    </w:pPr>
  </w:style>
  <w:style w:type="character" w:customStyle="1" w:styleId="FooterChar">
    <w:name w:val="Footer Char"/>
    <w:basedOn w:val="DefaultParagraphFont"/>
    <w:link w:val="Footer"/>
    <w:uiPriority w:val="99"/>
    <w:rsid w:val="004F27EF"/>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4F27EF"/>
  </w:style>
  <w:style w:type="paragraph" w:styleId="Header">
    <w:name w:val="header"/>
    <w:basedOn w:val="Normal"/>
    <w:link w:val="HeaderChar"/>
    <w:uiPriority w:val="99"/>
    <w:semiHidden/>
    <w:unhideWhenUsed/>
    <w:rsid w:val="00F44452"/>
    <w:pPr>
      <w:tabs>
        <w:tab w:val="center" w:pos="4680"/>
        <w:tab w:val="right" w:pos="9360"/>
      </w:tabs>
    </w:pPr>
  </w:style>
  <w:style w:type="character" w:customStyle="1" w:styleId="HeaderChar">
    <w:name w:val="Header Char"/>
    <w:basedOn w:val="DefaultParagraphFont"/>
    <w:link w:val="Header"/>
    <w:uiPriority w:val="99"/>
    <w:semiHidden/>
    <w:rsid w:val="007919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2524">
      <w:bodyDiv w:val="1"/>
      <w:marLeft w:val="0"/>
      <w:marRight w:val="0"/>
      <w:marTop w:val="0"/>
      <w:marBottom w:val="0"/>
      <w:divBdr>
        <w:top w:val="none" w:sz="0" w:space="0" w:color="auto"/>
        <w:left w:val="none" w:sz="0" w:space="0" w:color="auto"/>
        <w:bottom w:val="none" w:sz="0" w:space="0" w:color="auto"/>
        <w:right w:val="none" w:sz="0" w:space="0" w:color="auto"/>
      </w:divBdr>
    </w:div>
    <w:div w:id="86119670">
      <w:bodyDiv w:val="1"/>
      <w:marLeft w:val="0"/>
      <w:marRight w:val="0"/>
      <w:marTop w:val="0"/>
      <w:marBottom w:val="0"/>
      <w:divBdr>
        <w:top w:val="none" w:sz="0" w:space="0" w:color="auto"/>
        <w:left w:val="none" w:sz="0" w:space="0" w:color="auto"/>
        <w:bottom w:val="none" w:sz="0" w:space="0" w:color="auto"/>
        <w:right w:val="none" w:sz="0" w:space="0" w:color="auto"/>
      </w:divBdr>
    </w:div>
    <w:div w:id="122238178">
      <w:bodyDiv w:val="1"/>
      <w:marLeft w:val="0"/>
      <w:marRight w:val="0"/>
      <w:marTop w:val="0"/>
      <w:marBottom w:val="0"/>
      <w:divBdr>
        <w:top w:val="none" w:sz="0" w:space="0" w:color="auto"/>
        <w:left w:val="none" w:sz="0" w:space="0" w:color="auto"/>
        <w:bottom w:val="none" w:sz="0" w:space="0" w:color="auto"/>
        <w:right w:val="none" w:sz="0" w:space="0" w:color="auto"/>
      </w:divBdr>
    </w:div>
    <w:div w:id="150877613">
      <w:bodyDiv w:val="1"/>
      <w:marLeft w:val="0"/>
      <w:marRight w:val="0"/>
      <w:marTop w:val="0"/>
      <w:marBottom w:val="0"/>
      <w:divBdr>
        <w:top w:val="none" w:sz="0" w:space="0" w:color="auto"/>
        <w:left w:val="none" w:sz="0" w:space="0" w:color="auto"/>
        <w:bottom w:val="none" w:sz="0" w:space="0" w:color="auto"/>
        <w:right w:val="none" w:sz="0" w:space="0" w:color="auto"/>
      </w:divBdr>
    </w:div>
    <w:div w:id="178544739">
      <w:bodyDiv w:val="1"/>
      <w:marLeft w:val="0"/>
      <w:marRight w:val="0"/>
      <w:marTop w:val="0"/>
      <w:marBottom w:val="0"/>
      <w:divBdr>
        <w:top w:val="none" w:sz="0" w:space="0" w:color="auto"/>
        <w:left w:val="none" w:sz="0" w:space="0" w:color="auto"/>
        <w:bottom w:val="none" w:sz="0" w:space="0" w:color="auto"/>
        <w:right w:val="none" w:sz="0" w:space="0" w:color="auto"/>
      </w:divBdr>
    </w:div>
    <w:div w:id="215169871">
      <w:bodyDiv w:val="1"/>
      <w:marLeft w:val="0"/>
      <w:marRight w:val="0"/>
      <w:marTop w:val="0"/>
      <w:marBottom w:val="0"/>
      <w:divBdr>
        <w:top w:val="none" w:sz="0" w:space="0" w:color="auto"/>
        <w:left w:val="none" w:sz="0" w:space="0" w:color="auto"/>
        <w:bottom w:val="none" w:sz="0" w:space="0" w:color="auto"/>
        <w:right w:val="none" w:sz="0" w:space="0" w:color="auto"/>
      </w:divBdr>
    </w:div>
    <w:div w:id="232469446">
      <w:bodyDiv w:val="1"/>
      <w:marLeft w:val="0"/>
      <w:marRight w:val="0"/>
      <w:marTop w:val="0"/>
      <w:marBottom w:val="0"/>
      <w:divBdr>
        <w:top w:val="none" w:sz="0" w:space="0" w:color="auto"/>
        <w:left w:val="none" w:sz="0" w:space="0" w:color="auto"/>
        <w:bottom w:val="none" w:sz="0" w:space="0" w:color="auto"/>
        <w:right w:val="none" w:sz="0" w:space="0" w:color="auto"/>
      </w:divBdr>
    </w:div>
    <w:div w:id="278146095">
      <w:bodyDiv w:val="1"/>
      <w:marLeft w:val="0"/>
      <w:marRight w:val="0"/>
      <w:marTop w:val="0"/>
      <w:marBottom w:val="0"/>
      <w:divBdr>
        <w:top w:val="none" w:sz="0" w:space="0" w:color="auto"/>
        <w:left w:val="none" w:sz="0" w:space="0" w:color="auto"/>
        <w:bottom w:val="none" w:sz="0" w:space="0" w:color="auto"/>
        <w:right w:val="none" w:sz="0" w:space="0" w:color="auto"/>
      </w:divBdr>
    </w:div>
    <w:div w:id="286818184">
      <w:bodyDiv w:val="1"/>
      <w:marLeft w:val="0"/>
      <w:marRight w:val="0"/>
      <w:marTop w:val="0"/>
      <w:marBottom w:val="0"/>
      <w:divBdr>
        <w:top w:val="none" w:sz="0" w:space="0" w:color="auto"/>
        <w:left w:val="none" w:sz="0" w:space="0" w:color="auto"/>
        <w:bottom w:val="none" w:sz="0" w:space="0" w:color="auto"/>
        <w:right w:val="none" w:sz="0" w:space="0" w:color="auto"/>
      </w:divBdr>
    </w:div>
    <w:div w:id="305167329">
      <w:bodyDiv w:val="1"/>
      <w:marLeft w:val="0"/>
      <w:marRight w:val="0"/>
      <w:marTop w:val="0"/>
      <w:marBottom w:val="0"/>
      <w:divBdr>
        <w:top w:val="none" w:sz="0" w:space="0" w:color="auto"/>
        <w:left w:val="none" w:sz="0" w:space="0" w:color="auto"/>
        <w:bottom w:val="none" w:sz="0" w:space="0" w:color="auto"/>
        <w:right w:val="none" w:sz="0" w:space="0" w:color="auto"/>
      </w:divBdr>
    </w:div>
    <w:div w:id="376509575">
      <w:bodyDiv w:val="1"/>
      <w:marLeft w:val="0"/>
      <w:marRight w:val="0"/>
      <w:marTop w:val="0"/>
      <w:marBottom w:val="0"/>
      <w:divBdr>
        <w:top w:val="none" w:sz="0" w:space="0" w:color="auto"/>
        <w:left w:val="none" w:sz="0" w:space="0" w:color="auto"/>
        <w:bottom w:val="none" w:sz="0" w:space="0" w:color="auto"/>
        <w:right w:val="none" w:sz="0" w:space="0" w:color="auto"/>
      </w:divBdr>
    </w:div>
    <w:div w:id="380324670">
      <w:bodyDiv w:val="1"/>
      <w:marLeft w:val="0"/>
      <w:marRight w:val="0"/>
      <w:marTop w:val="0"/>
      <w:marBottom w:val="0"/>
      <w:divBdr>
        <w:top w:val="none" w:sz="0" w:space="0" w:color="auto"/>
        <w:left w:val="none" w:sz="0" w:space="0" w:color="auto"/>
        <w:bottom w:val="none" w:sz="0" w:space="0" w:color="auto"/>
        <w:right w:val="none" w:sz="0" w:space="0" w:color="auto"/>
      </w:divBdr>
    </w:div>
    <w:div w:id="438918382">
      <w:bodyDiv w:val="1"/>
      <w:marLeft w:val="0"/>
      <w:marRight w:val="0"/>
      <w:marTop w:val="0"/>
      <w:marBottom w:val="0"/>
      <w:divBdr>
        <w:top w:val="none" w:sz="0" w:space="0" w:color="auto"/>
        <w:left w:val="none" w:sz="0" w:space="0" w:color="auto"/>
        <w:bottom w:val="none" w:sz="0" w:space="0" w:color="auto"/>
        <w:right w:val="none" w:sz="0" w:space="0" w:color="auto"/>
      </w:divBdr>
    </w:div>
    <w:div w:id="492642512">
      <w:bodyDiv w:val="1"/>
      <w:marLeft w:val="0"/>
      <w:marRight w:val="0"/>
      <w:marTop w:val="0"/>
      <w:marBottom w:val="0"/>
      <w:divBdr>
        <w:top w:val="none" w:sz="0" w:space="0" w:color="auto"/>
        <w:left w:val="none" w:sz="0" w:space="0" w:color="auto"/>
        <w:bottom w:val="none" w:sz="0" w:space="0" w:color="auto"/>
        <w:right w:val="none" w:sz="0" w:space="0" w:color="auto"/>
      </w:divBdr>
    </w:div>
    <w:div w:id="571743909">
      <w:bodyDiv w:val="1"/>
      <w:marLeft w:val="0"/>
      <w:marRight w:val="0"/>
      <w:marTop w:val="0"/>
      <w:marBottom w:val="0"/>
      <w:divBdr>
        <w:top w:val="none" w:sz="0" w:space="0" w:color="auto"/>
        <w:left w:val="none" w:sz="0" w:space="0" w:color="auto"/>
        <w:bottom w:val="none" w:sz="0" w:space="0" w:color="auto"/>
        <w:right w:val="none" w:sz="0" w:space="0" w:color="auto"/>
      </w:divBdr>
    </w:div>
    <w:div w:id="595482916">
      <w:bodyDiv w:val="1"/>
      <w:marLeft w:val="0"/>
      <w:marRight w:val="0"/>
      <w:marTop w:val="0"/>
      <w:marBottom w:val="0"/>
      <w:divBdr>
        <w:top w:val="none" w:sz="0" w:space="0" w:color="auto"/>
        <w:left w:val="none" w:sz="0" w:space="0" w:color="auto"/>
        <w:bottom w:val="none" w:sz="0" w:space="0" w:color="auto"/>
        <w:right w:val="none" w:sz="0" w:space="0" w:color="auto"/>
      </w:divBdr>
    </w:div>
    <w:div w:id="680354491">
      <w:bodyDiv w:val="1"/>
      <w:marLeft w:val="0"/>
      <w:marRight w:val="0"/>
      <w:marTop w:val="0"/>
      <w:marBottom w:val="0"/>
      <w:divBdr>
        <w:top w:val="none" w:sz="0" w:space="0" w:color="auto"/>
        <w:left w:val="none" w:sz="0" w:space="0" w:color="auto"/>
        <w:bottom w:val="none" w:sz="0" w:space="0" w:color="auto"/>
        <w:right w:val="none" w:sz="0" w:space="0" w:color="auto"/>
      </w:divBdr>
    </w:div>
    <w:div w:id="812332323">
      <w:bodyDiv w:val="1"/>
      <w:marLeft w:val="0"/>
      <w:marRight w:val="0"/>
      <w:marTop w:val="0"/>
      <w:marBottom w:val="0"/>
      <w:divBdr>
        <w:top w:val="none" w:sz="0" w:space="0" w:color="auto"/>
        <w:left w:val="none" w:sz="0" w:space="0" w:color="auto"/>
        <w:bottom w:val="none" w:sz="0" w:space="0" w:color="auto"/>
        <w:right w:val="none" w:sz="0" w:space="0" w:color="auto"/>
      </w:divBdr>
    </w:div>
    <w:div w:id="820078912">
      <w:bodyDiv w:val="1"/>
      <w:marLeft w:val="0"/>
      <w:marRight w:val="0"/>
      <w:marTop w:val="0"/>
      <w:marBottom w:val="0"/>
      <w:divBdr>
        <w:top w:val="none" w:sz="0" w:space="0" w:color="auto"/>
        <w:left w:val="none" w:sz="0" w:space="0" w:color="auto"/>
        <w:bottom w:val="none" w:sz="0" w:space="0" w:color="auto"/>
        <w:right w:val="none" w:sz="0" w:space="0" w:color="auto"/>
      </w:divBdr>
    </w:div>
    <w:div w:id="872154592">
      <w:bodyDiv w:val="1"/>
      <w:marLeft w:val="0"/>
      <w:marRight w:val="0"/>
      <w:marTop w:val="0"/>
      <w:marBottom w:val="0"/>
      <w:divBdr>
        <w:top w:val="none" w:sz="0" w:space="0" w:color="auto"/>
        <w:left w:val="none" w:sz="0" w:space="0" w:color="auto"/>
        <w:bottom w:val="none" w:sz="0" w:space="0" w:color="auto"/>
        <w:right w:val="none" w:sz="0" w:space="0" w:color="auto"/>
      </w:divBdr>
    </w:div>
    <w:div w:id="886137078">
      <w:bodyDiv w:val="1"/>
      <w:marLeft w:val="0"/>
      <w:marRight w:val="0"/>
      <w:marTop w:val="0"/>
      <w:marBottom w:val="0"/>
      <w:divBdr>
        <w:top w:val="none" w:sz="0" w:space="0" w:color="auto"/>
        <w:left w:val="none" w:sz="0" w:space="0" w:color="auto"/>
        <w:bottom w:val="none" w:sz="0" w:space="0" w:color="auto"/>
        <w:right w:val="none" w:sz="0" w:space="0" w:color="auto"/>
      </w:divBdr>
    </w:div>
    <w:div w:id="959654347">
      <w:bodyDiv w:val="1"/>
      <w:marLeft w:val="0"/>
      <w:marRight w:val="0"/>
      <w:marTop w:val="0"/>
      <w:marBottom w:val="0"/>
      <w:divBdr>
        <w:top w:val="none" w:sz="0" w:space="0" w:color="auto"/>
        <w:left w:val="none" w:sz="0" w:space="0" w:color="auto"/>
        <w:bottom w:val="none" w:sz="0" w:space="0" w:color="auto"/>
        <w:right w:val="none" w:sz="0" w:space="0" w:color="auto"/>
      </w:divBdr>
    </w:div>
    <w:div w:id="962155187">
      <w:bodyDiv w:val="1"/>
      <w:marLeft w:val="0"/>
      <w:marRight w:val="0"/>
      <w:marTop w:val="0"/>
      <w:marBottom w:val="0"/>
      <w:divBdr>
        <w:top w:val="none" w:sz="0" w:space="0" w:color="auto"/>
        <w:left w:val="none" w:sz="0" w:space="0" w:color="auto"/>
        <w:bottom w:val="none" w:sz="0" w:space="0" w:color="auto"/>
        <w:right w:val="none" w:sz="0" w:space="0" w:color="auto"/>
      </w:divBdr>
    </w:div>
    <w:div w:id="1068919812">
      <w:bodyDiv w:val="1"/>
      <w:marLeft w:val="0"/>
      <w:marRight w:val="0"/>
      <w:marTop w:val="0"/>
      <w:marBottom w:val="0"/>
      <w:divBdr>
        <w:top w:val="none" w:sz="0" w:space="0" w:color="auto"/>
        <w:left w:val="none" w:sz="0" w:space="0" w:color="auto"/>
        <w:bottom w:val="none" w:sz="0" w:space="0" w:color="auto"/>
        <w:right w:val="none" w:sz="0" w:space="0" w:color="auto"/>
      </w:divBdr>
    </w:div>
    <w:div w:id="1091270824">
      <w:bodyDiv w:val="1"/>
      <w:marLeft w:val="0"/>
      <w:marRight w:val="0"/>
      <w:marTop w:val="0"/>
      <w:marBottom w:val="0"/>
      <w:divBdr>
        <w:top w:val="none" w:sz="0" w:space="0" w:color="auto"/>
        <w:left w:val="none" w:sz="0" w:space="0" w:color="auto"/>
        <w:bottom w:val="none" w:sz="0" w:space="0" w:color="auto"/>
        <w:right w:val="none" w:sz="0" w:space="0" w:color="auto"/>
      </w:divBdr>
    </w:div>
    <w:div w:id="1112434482">
      <w:bodyDiv w:val="1"/>
      <w:marLeft w:val="0"/>
      <w:marRight w:val="0"/>
      <w:marTop w:val="0"/>
      <w:marBottom w:val="0"/>
      <w:divBdr>
        <w:top w:val="none" w:sz="0" w:space="0" w:color="auto"/>
        <w:left w:val="none" w:sz="0" w:space="0" w:color="auto"/>
        <w:bottom w:val="none" w:sz="0" w:space="0" w:color="auto"/>
        <w:right w:val="none" w:sz="0" w:space="0" w:color="auto"/>
      </w:divBdr>
    </w:div>
    <w:div w:id="1144851356">
      <w:bodyDiv w:val="1"/>
      <w:marLeft w:val="0"/>
      <w:marRight w:val="0"/>
      <w:marTop w:val="0"/>
      <w:marBottom w:val="0"/>
      <w:divBdr>
        <w:top w:val="none" w:sz="0" w:space="0" w:color="auto"/>
        <w:left w:val="none" w:sz="0" w:space="0" w:color="auto"/>
        <w:bottom w:val="none" w:sz="0" w:space="0" w:color="auto"/>
        <w:right w:val="none" w:sz="0" w:space="0" w:color="auto"/>
      </w:divBdr>
    </w:div>
    <w:div w:id="1166090888">
      <w:bodyDiv w:val="1"/>
      <w:marLeft w:val="0"/>
      <w:marRight w:val="0"/>
      <w:marTop w:val="0"/>
      <w:marBottom w:val="0"/>
      <w:divBdr>
        <w:top w:val="none" w:sz="0" w:space="0" w:color="auto"/>
        <w:left w:val="none" w:sz="0" w:space="0" w:color="auto"/>
        <w:bottom w:val="none" w:sz="0" w:space="0" w:color="auto"/>
        <w:right w:val="none" w:sz="0" w:space="0" w:color="auto"/>
      </w:divBdr>
    </w:div>
    <w:div w:id="1400710696">
      <w:bodyDiv w:val="1"/>
      <w:marLeft w:val="0"/>
      <w:marRight w:val="0"/>
      <w:marTop w:val="0"/>
      <w:marBottom w:val="0"/>
      <w:divBdr>
        <w:top w:val="none" w:sz="0" w:space="0" w:color="auto"/>
        <w:left w:val="none" w:sz="0" w:space="0" w:color="auto"/>
        <w:bottom w:val="none" w:sz="0" w:space="0" w:color="auto"/>
        <w:right w:val="none" w:sz="0" w:space="0" w:color="auto"/>
      </w:divBdr>
    </w:div>
    <w:div w:id="1428309244">
      <w:bodyDiv w:val="1"/>
      <w:marLeft w:val="0"/>
      <w:marRight w:val="0"/>
      <w:marTop w:val="0"/>
      <w:marBottom w:val="0"/>
      <w:divBdr>
        <w:top w:val="none" w:sz="0" w:space="0" w:color="auto"/>
        <w:left w:val="none" w:sz="0" w:space="0" w:color="auto"/>
        <w:bottom w:val="none" w:sz="0" w:space="0" w:color="auto"/>
        <w:right w:val="none" w:sz="0" w:space="0" w:color="auto"/>
      </w:divBdr>
    </w:div>
    <w:div w:id="1509515592">
      <w:bodyDiv w:val="1"/>
      <w:marLeft w:val="0"/>
      <w:marRight w:val="0"/>
      <w:marTop w:val="0"/>
      <w:marBottom w:val="0"/>
      <w:divBdr>
        <w:top w:val="none" w:sz="0" w:space="0" w:color="auto"/>
        <w:left w:val="none" w:sz="0" w:space="0" w:color="auto"/>
        <w:bottom w:val="none" w:sz="0" w:space="0" w:color="auto"/>
        <w:right w:val="none" w:sz="0" w:space="0" w:color="auto"/>
      </w:divBdr>
    </w:div>
    <w:div w:id="1510559005">
      <w:bodyDiv w:val="1"/>
      <w:marLeft w:val="0"/>
      <w:marRight w:val="0"/>
      <w:marTop w:val="0"/>
      <w:marBottom w:val="0"/>
      <w:divBdr>
        <w:top w:val="none" w:sz="0" w:space="0" w:color="auto"/>
        <w:left w:val="none" w:sz="0" w:space="0" w:color="auto"/>
        <w:bottom w:val="none" w:sz="0" w:space="0" w:color="auto"/>
        <w:right w:val="none" w:sz="0" w:space="0" w:color="auto"/>
      </w:divBdr>
    </w:div>
    <w:div w:id="1523470924">
      <w:bodyDiv w:val="1"/>
      <w:marLeft w:val="0"/>
      <w:marRight w:val="0"/>
      <w:marTop w:val="0"/>
      <w:marBottom w:val="0"/>
      <w:divBdr>
        <w:top w:val="none" w:sz="0" w:space="0" w:color="auto"/>
        <w:left w:val="none" w:sz="0" w:space="0" w:color="auto"/>
        <w:bottom w:val="none" w:sz="0" w:space="0" w:color="auto"/>
        <w:right w:val="none" w:sz="0" w:space="0" w:color="auto"/>
      </w:divBdr>
    </w:div>
    <w:div w:id="1526480524">
      <w:bodyDiv w:val="1"/>
      <w:marLeft w:val="0"/>
      <w:marRight w:val="0"/>
      <w:marTop w:val="0"/>
      <w:marBottom w:val="0"/>
      <w:divBdr>
        <w:top w:val="none" w:sz="0" w:space="0" w:color="auto"/>
        <w:left w:val="none" w:sz="0" w:space="0" w:color="auto"/>
        <w:bottom w:val="none" w:sz="0" w:space="0" w:color="auto"/>
        <w:right w:val="none" w:sz="0" w:space="0" w:color="auto"/>
      </w:divBdr>
      <w:divsChild>
        <w:div w:id="1804424407">
          <w:marLeft w:val="0"/>
          <w:marRight w:val="0"/>
          <w:marTop w:val="0"/>
          <w:marBottom w:val="60"/>
          <w:divBdr>
            <w:top w:val="none" w:sz="0" w:space="0" w:color="auto"/>
            <w:left w:val="none" w:sz="0" w:space="0" w:color="auto"/>
            <w:bottom w:val="none" w:sz="0" w:space="0" w:color="auto"/>
            <w:right w:val="none" w:sz="0" w:space="0" w:color="auto"/>
          </w:divBdr>
          <w:divsChild>
            <w:div w:id="1289700970">
              <w:marLeft w:val="0"/>
              <w:marRight w:val="0"/>
              <w:marTop w:val="0"/>
              <w:marBottom w:val="0"/>
              <w:divBdr>
                <w:top w:val="none" w:sz="0" w:space="0" w:color="auto"/>
                <w:left w:val="none" w:sz="0" w:space="0" w:color="auto"/>
                <w:bottom w:val="none" w:sz="0" w:space="0" w:color="auto"/>
                <w:right w:val="none" w:sz="0" w:space="0" w:color="auto"/>
              </w:divBdr>
              <w:divsChild>
                <w:div w:id="358435023">
                  <w:marLeft w:val="0"/>
                  <w:marRight w:val="0"/>
                  <w:marTop w:val="0"/>
                  <w:marBottom w:val="0"/>
                  <w:divBdr>
                    <w:top w:val="none" w:sz="0" w:space="0" w:color="auto"/>
                    <w:left w:val="none" w:sz="0" w:space="0" w:color="auto"/>
                    <w:bottom w:val="none" w:sz="0" w:space="0" w:color="auto"/>
                    <w:right w:val="none" w:sz="0" w:space="0" w:color="auto"/>
                  </w:divBdr>
                  <w:divsChild>
                    <w:div w:id="126596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47933">
      <w:bodyDiv w:val="1"/>
      <w:marLeft w:val="0"/>
      <w:marRight w:val="0"/>
      <w:marTop w:val="0"/>
      <w:marBottom w:val="0"/>
      <w:divBdr>
        <w:top w:val="none" w:sz="0" w:space="0" w:color="auto"/>
        <w:left w:val="none" w:sz="0" w:space="0" w:color="auto"/>
        <w:bottom w:val="none" w:sz="0" w:space="0" w:color="auto"/>
        <w:right w:val="none" w:sz="0" w:space="0" w:color="auto"/>
      </w:divBdr>
    </w:div>
    <w:div w:id="1578442687">
      <w:bodyDiv w:val="1"/>
      <w:marLeft w:val="0"/>
      <w:marRight w:val="0"/>
      <w:marTop w:val="0"/>
      <w:marBottom w:val="0"/>
      <w:divBdr>
        <w:top w:val="none" w:sz="0" w:space="0" w:color="auto"/>
        <w:left w:val="none" w:sz="0" w:space="0" w:color="auto"/>
        <w:bottom w:val="none" w:sz="0" w:space="0" w:color="auto"/>
        <w:right w:val="none" w:sz="0" w:space="0" w:color="auto"/>
      </w:divBdr>
    </w:div>
    <w:div w:id="1626156681">
      <w:bodyDiv w:val="1"/>
      <w:marLeft w:val="0"/>
      <w:marRight w:val="0"/>
      <w:marTop w:val="0"/>
      <w:marBottom w:val="0"/>
      <w:divBdr>
        <w:top w:val="none" w:sz="0" w:space="0" w:color="auto"/>
        <w:left w:val="none" w:sz="0" w:space="0" w:color="auto"/>
        <w:bottom w:val="none" w:sz="0" w:space="0" w:color="auto"/>
        <w:right w:val="none" w:sz="0" w:space="0" w:color="auto"/>
      </w:divBdr>
    </w:div>
    <w:div w:id="1689870278">
      <w:bodyDiv w:val="1"/>
      <w:marLeft w:val="0"/>
      <w:marRight w:val="0"/>
      <w:marTop w:val="0"/>
      <w:marBottom w:val="0"/>
      <w:divBdr>
        <w:top w:val="none" w:sz="0" w:space="0" w:color="auto"/>
        <w:left w:val="none" w:sz="0" w:space="0" w:color="auto"/>
        <w:bottom w:val="none" w:sz="0" w:space="0" w:color="auto"/>
        <w:right w:val="none" w:sz="0" w:space="0" w:color="auto"/>
      </w:divBdr>
    </w:div>
    <w:div w:id="1743142786">
      <w:bodyDiv w:val="1"/>
      <w:marLeft w:val="0"/>
      <w:marRight w:val="0"/>
      <w:marTop w:val="0"/>
      <w:marBottom w:val="0"/>
      <w:divBdr>
        <w:top w:val="none" w:sz="0" w:space="0" w:color="auto"/>
        <w:left w:val="none" w:sz="0" w:space="0" w:color="auto"/>
        <w:bottom w:val="none" w:sz="0" w:space="0" w:color="auto"/>
        <w:right w:val="none" w:sz="0" w:space="0" w:color="auto"/>
      </w:divBdr>
    </w:div>
    <w:div w:id="1759330682">
      <w:bodyDiv w:val="1"/>
      <w:marLeft w:val="0"/>
      <w:marRight w:val="0"/>
      <w:marTop w:val="0"/>
      <w:marBottom w:val="0"/>
      <w:divBdr>
        <w:top w:val="none" w:sz="0" w:space="0" w:color="auto"/>
        <w:left w:val="none" w:sz="0" w:space="0" w:color="auto"/>
        <w:bottom w:val="none" w:sz="0" w:space="0" w:color="auto"/>
        <w:right w:val="none" w:sz="0" w:space="0" w:color="auto"/>
      </w:divBdr>
    </w:div>
    <w:div w:id="1817187021">
      <w:bodyDiv w:val="1"/>
      <w:marLeft w:val="0"/>
      <w:marRight w:val="0"/>
      <w:marTop w:val="0"/>
      <w:marBottom w:val="0"/>
      <w:divBdr>
        <w:top w:val="none" w:sz="0" w:space="0" w:color="auto"/>
        <w:left w:val="none" w:sz="0" w:space="0" w:color="auto"/>
        <w:bottom w:val="none" w:sz="0" w:space="0" w:color="auto"/>
        <w:right w:val="none" w:sz="0" w:space="0" w:color="auto"/>
      </w:divBdr>
    </w:div>
    <w:div w:id="1891262045">
      <w:bodyDiv w:val="1"/>
      <w:marLeft w:val="0"/>
      <w:marRight w:val="0"/>
      <w:marTop w:val="0"/>
      <w:marBottom w:val="0"/>
      <w:divBdr>
        <w:top w:val="none" w:sz="0" w:space="0" w:color="auto"/>
        <w:left w:val="none" w:sz="0" w:space="0" w:color="auto"/>
        <w:bottom w:val="none" w:sz="0" w:space="0" w:color="auto"/>
        <w:right w:val="none" w:sz="0" w:space="0" w:color="auto"/>
      </w:divBdr>
      <w:divsChild>
        <w:div w:id="992030054">
          <w:marLeft w:val="0"/>
          <w:marRight w:val="0"/>
          <w:marTop w:val="0"/>
          <w:marBottom w:val="0"/>
          <w:divBdr>
            <w:top w:val="none" w:sz="0" w:space="0" w:color="auto"/>
            <w:left w:val="none" w:sz="0" w:space="0" w:color="auto"/>
            <w:bottom w:val="none" w:sz="0" w:space="0" w:color="auto"/>
            <w:right w:val="none" w:sz="0" w:space="0" w:color="auto"/>
          </w:divBdr>
        </w:div>
        <w:div w:id="1194459906">
          <w:marLeft w:val="0"/>
          <w:marRight w:val="0"/>
          <w:marTop w:val="0"/>
          <w:marBottom w:val="0"/>
          <w:divBdr>
            <w:top w:val="none" w:sz="0" w:space="0" w:color="auto"/>
            <w:left w:val="none" w:sz="0" w:space="0" w:color="auto"/>
            <w:bottom w:val="none" w:sz="0" w:space="0" w:color="auto"/>
            <w:right w:val="none" w:sz="0" w:space="0" w:color="auto"/>
          </w:divBdr>
        </w:div>
        <w:div w:id="1218931936">
          <w:marLeft w:val="0"/>
          <w:marRight w:val="0"/>
          <w:marTop w:val="0"/>
          <w:marBottom w:val="0"/>
          <w:divBdr>
            <w:top w:val="none" w:sz="0" w:space="0" w:color="auto"/>
            <w:left w:val="none" w:sz="0" w:space="0" w:color="auto"/>
            <w:bottom w:val="none" w:sz="0" w:space="0" w:color="auto"/>
            <w:right w:val="none" w:sz="0" w:space="0" w:color="auto"/>
          </w:divBdr>
        </w:div>
        <w:div w:id="1825244245">
          <w:marLeft w:val="0"/>
          <w:marRight w:val="0"/>
          <w:marTop w:val="0"/>
          <w:marBottom w:val="0"/>
          <w:divBdr>
            <w:top w:val="none" w:sz="0" w:space="0" w:color="auto"/>
            <w:left w:val="none" w:sz="0" w:space="0" w:color="auto"/>
            <w:bottom w:val="none" w:sz="0" w:space="0" w:color="auto"/>
            <w:right w:val="none" w:sz="0" w:space="0" w:color="auto"/>
          </w:divBdr>
        </w:div>
      </w:divsChild>
    </w:div>
    <w:div w:id="1928881241">
      <w:bodyDiv w:val="1"/>
      <w:marLeft w:val="0"/>
      <w:marRight w:val="0"/>
      <w:marTop w:val="0"/>
      <w:marBottom w:val="0"/>
      <w:divBdr>
        <w:top w:val="none" w:sz="0" w:space="0" w:color="auto"/>
        <w:left w:val="none" w:sz="0" w:space="0" w:color="auto"/>
        <w:bottom w:val="none" w:sz="0" w:space="0" w:color="auto"/>
        <w:right w:val="none" w:sz="0" w:space="0" w:color="auto"/>
      </w:divBdr>
    </w:div>
    <w:div w:id="1956866453">
      <w:bodyDiv w:val="1"/>
      <w:marLeft w:val="0"/>
      <w:marRight w:val="0"/>
      <w:marTop w:val="0"/>
      <w:marBottom w:val="0"/>
      <w:divBdr>
        <w:top w:val="none" w:sz="0" w:space="0" w:color="auto"/>
        <w:left w:val="none" w:sz="0" w:space="0" w:color="auto"/>
        <w:bottom w:val="none" w:sz="0" w:space="0" w:color="auto"/>
        <w:right w:val="none" w:sz="0" w:space="0" w:color="auto"/>
      </w:divBdr>
    </w:div>
    <w:div w:id="2042895269">
      <w:bodyDiv w:val="1"/>
      <w:marLeft w:val="0"/>
      <w:marRight w:val="0"/>
      <w:marTop w:val="0"/>
      <w:marBottom w:val="0"/>
      <w:divBdr>
        <w:top w:val="none" w:sz="0" w:space="0" w:color="auto"/>
        <w:left w:val="none" w:sz="0" w:space="0" w:color="auto"/>
        <w:bottom w:val="none" w:sz="0" w:space="0" w:color="auto"/>
        <w:right w:val="none" w:sz="0" w:space="0" w:color="auto"/>
      </w:divBdr>
    </w:div>
    <w:div w:id="20997926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6994-9722" TargetMode="External"/><Relationship Id="rId13" Type="http://schemas.openxmlformats.org/officeDocument/2006/relationships/hyperlink" Target="https://orcid.org/0000-0002-5018-3066" TargetMode="External"/><Relationship Id="rId18" Type="http://schemas.openxmlformats.org/officeDocument/2006/relationships/hyperlink" Target="https://orcid.org/0000-0001-8277-420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orcid.org/0000-0003-2707-2779" TargetMode="External"/><Relationship Id="rId17" Type="http://schemas.openxmlformats.org/officeDocument/2006/relationships/hyperlink" Target="https://orcid.org/0000-0001-9700-041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rcid.org/0000-0002-3590-8540" TargetMode="External"/><Relationship Id="rId20" Type="http://schemas.openxmlformats.org/officeDocument/2006/relationships/hyperlink" Target="https://isaric4c.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3-2764-1177"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orcid.org/0000-0001-8030-5223" TargetMode="External"/><Relationship Id="rId23" Type="http://schemas.openxmlformats.org/officeDocument/2006/relationships/footer" Target="footer1.xml"/><Relationship Id="rId10" Type="http://schemas.openxmlformats.org/officeDocument/2006/relationships/hyperlink" Target="https://orcid.org/0000-0001-9500-241X" TargetMode="External"/><Relationship Id="rId19" Type="http://schemas.openxmlformats.org/officeDocument/2006/relationships/hyperlink" Target="https://www.isrctn.com/ISRCTN66726260" TargetMode="External"/><Relationship Id="rId4" Type="http://schemas.openxmlformats.org/officeDocument/2006/relationships/settings" Target="settings.xml"/><Relationship Id="rId9" Type="http://schemas.openxmlformats.org/officeDocument/2006/relationships/hyperlink" Target="https://orcid.org/0000-0002-9334-6494" TargetMode="External"/><Relationship Id="rId14" Type="http://schemas.openxmlformats.org/officeDocument/2006/relationships/hyperlink" Target="https://orcid.org/0000-0001-5258-793"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0D4635A8-5665-254C-BFF5-403E4C122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41114</Words>
  <Characters>234354</Characters>
  <Application>Microsoft Office Word</Application>
  <DocSecurity>0</DocSecurity>
  <Lines>1952</Lines>
  <Paragraphs>549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274919</CharactersWithSpaces>
  <SharedDoc>false</SharedDoc>
  <HLinks>
    <vt:vector size="72" baseType="variant">
      <vt:variant>
        <vt:i4>655454</vt:i4>
      </vt:variant>
      <vt:variant>
        <vt:i4>156</vt:i4>
      </vt:variant>
      <vt:variant>
        <vt:i4>0</vt:i4>
      </vt:variant>
      <vt:variant>
        <vt:i4>5</vt:i4>
      </vt:variant>
      <vt:variant>
        <vt:lpwstr>https://isaric4c.net/</vt:lpwstr>
      </vt:variant>
      <vt:variant>
        <vt:lpwstr/>
      </vt:variant>
      <vt:variant>
        <vt:i4>5636105</vt:i4>
      </vt:variant>
      <vt:variant>
        <vt:i4>153</vt:i4>
      </vt:variant>
      <vt:variant>
        <vt:i4>0</vt:i4>
      </vt:variant>
      <vt:variant>
        <vt:i4>5</vt:i4>
      </vt:variant>
      <vt:variant>
        <vt:lpwstr>https://www.isrctn.com/ISRCTN66726260</vt:lpwstr>
      </vt:variant>
      <vt:variant>
        <vt:lpwstr/>
      </vt:variant>
      <vt:variant>
        <vt:i4>5570588</vt:i4>
      </vt:variant>
      <vt:variant>
        <vt:i4>27</vt:i4>
      </vt:variant>
      <vt:variant>
        <vt:i4>0</vt:i4>
      </vt:variant>
      <vt:variant>
        <vt:i4>5</vt:i4>
      </vt:variant>
      <vt:variant>
        <vt:lpwstr>https://orcid.org/0000-0001-8277-420X</vt:lpwstr>
      </vt:variant>
      <vt:variant>
        <vt:lpwstr/>
      </vt:variant>
      <vt:variant>
        <vt:i4>5373980</vt:i4>
      </vt:variant>
      <vt:variant>
        <vt:i4>24</vt:i4>
      </vt:variant>
      <vt:variant>
        <vt:i4>0</vt:i4>
      </vt:variant>
      <vt:variant>
        <vt:i4>5</vt:i4>
      </vt:variant>
      <vt:variant>
        <vt:lpwstr>https://orcid.org/0000-0001-9700-0418</vt:lpwstr>
      </vt:variant>
      <vt:variant>
        <vt:lpwstr/>
      </vt:variant>
      <vt:variant>
        <vt:i4>6094877</vt:i4>
      </vt:variant>
      <vt:variant>
        <vt:i4>21</vt:i4>
      </vt:variant>
      <vt:variant>
        <vt:i4>0</vt:i4>
      </vt:variant>
      <vt:variant>
        <vt:i4>5</vt:i4>
      </vt:variant>
      <vt:variant>
        <vt:lpwstr>https://orcid.org/0000-0002-3590-8540</vt:lpwstr>
      </vt:variant>
      <vt:variant>
        <vt:lpwstr/>
      </vt:variant>
      <vt:variant>
        <vt:i4>5439512</vt:i4>
      </vt:variant>
      <vt:variant>
        <vt:i4>18</vt:i4>
      </vt:variant>
      <vt:variant>
        <vt:i4>0</vt:i4>
      </vt:variant>
      <vt:variant>
        <vt:i4>5</vt:i4>
      </vt:variant>
      <vt:variant>
        <vt:lpwstr>https://orcid.org/0000-0001-8030-5223</vt:lpwstr>
      </vt:variant>
      <vt:variant>
        <vt:lpwstr/>
      </vt:variant>
      <vt:variant>
        <vt:i4>5898264</vt:i4>
      </vt:variant>
      <vt:variant>
        <vt:i4>15</vt:i4>
      </vt:variant>
      <vt:variant>
        <vt:i4>0</vt:i4>
      </vt:variant>
      <vt:variant>
        <vt:i4>5</vt:i4>
      </vt:variant>
      <vt:variant>
        <vt:lpwstr>https://orcid.org/0000-0001-5258-793</vt:lpwstr>
      </vt:variant>
      <vt:variant>
        <vt:lpwstr/>
      </vt:variant>
      <vt:variant>
        <vt:i4>5832726</vt:i4>
      </vt:variant>
      <vt:variant>
        <vt:i4>12</vt:i4>
      </vt:variant>
      <vt:variant>
        <vt:i4>0</vt:i4>
      </vt:variant>
      <vt:variant>
        <vt:i4>5</vt:i4>
      </vt:variant>
      <vt:variant>
        <vt:lpwstr>https://orcid.org/0000-0002-5018-3066</vt:lpwstr>
      </vt:variant>
      <vt:variant>
        <vt:lpwstr/>
      </vt:variant>
      <vt:variant>
        <vt:i4>5308438</vt:i4>
      </vt:variant>
      <vt:variant>
        <vt:i4>9</vt:i4>
      </vt:variant>
      <vt:variant>
        <vt:i4>0</vt:i4>
      </vt:variant>
      <vt:variant>
        <vt:i4>5</vt:i4>
      </vt:variant>
      <vt:variant>
        <vt:lpwstr>https://orcid.org/0000-0003-2707-2779</vt:lpwstr>
      </vt:variant>
      <vt:variant>
        <vt:lpwstr/>
      </vt:variant>
      <vt:variant>
        <vt:i4>5373980</vt:i4>
      </vt:variant>
      <vt:variant>
        <vt:i4>6</vt:i4>
      </vt:variant>
      <vt:variant>
        <vt:i4>0</vt:i4>
      </vt:variant>
      <vt:variant>
        <vt:i4>5</vt:i4>
      </vt:variant>
      <vt:variant>
        <vt:lpwstr>https://orcid.org/0000-0001-9500-241X</vt:lpwstr>
      </vt:variant>
      <vt:variant>
        <vt:lpwstr/>
      </vt:variant>
      <vt:variant>
        <vt:i4>6029340</vt:i4>
      </vt:variant>
      <vt:variant>
        <vt:i4>3</vt:i4>
      </vt:variant>
      <vt:variant>
        <vt:i4>0</vt:i4>
      </vt:variant>
      <vt:variant>
        <vt:i4>5</vt:i4>
      </vt:variant>
      <vt:variant>
        <vt:lpwstr>https://orcid.org/0000-0002-9334-6494</vt:lpwstr>
      </vt:variant>
      <vt:variant>
        <vt:lpwstr/>
      </vt:variant>
      <vt:variant>
        <vt:i4>5373977</vt:i4>
      </vt:variant>
      <vt:variant>
        <vt:i4>0</vt:i4>
      </vt:variant>
      <vt:variant>
        <vt:i4>0</vt:i4>
      </vt:variant>
      <vt:variant>
        <vt:i4>5</vt:i4>
      </vt:variant>
      <vt:variant>
        <vt:lpwstr>https://orcid.org/0000-0001-6994-9722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PAULEY Ellen</dc:creator>
  <cp:keywords/>
  <cp:lastModifiedBy>Semple, Calum</cp:lastModifiedBy>
  <cp:revision>2</cp:revision>
  <cp:lastPrinted>2021-06-14T03:26:00Z</cp:lastPrinted>
  <dcterms:created xsi:type="dcterms:W3CDTF">2021-11-19T09:43:00Z</dcterms:created>
  <dcterms:modified xsi:type="dcterms:W3CDTF">2021-11-19T09:43:00Z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http://www.zotero.org/styles/bmj</vt:lpwstr>
  </property>
  <property fmtid="{D5CDD505-2E9C-101B-9397-08002B2CF9AE}" pid="7" name="Mendeley Recent Style Name 2_1">
    <vt:lpwstr>BMJ</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http://www.zotero.org/styles/sage-vancouver</vt:lpwstr>
  </property>
  <property fmtid="{D5CDD505-2E9C-101B-9397-08002B2CF9AE}" pid="17" name="Mendeley Recent Style Name 7_1">
    <vt:lpwstr>SAGE - Vancouver</vt:lpwstr>
  </property>
  <property fmtid="{D5CDD505-2E9C-101B-9397-08002B2CF9AE}" pid="18" name="Mendeley Recent Style Id 8_1">
    <vt:lpwstr>http://www.zotero.org/styles/the-lancet</vt:lpwstr>
  </property>
  <property fmtid="{D5CDD505-2E9C-101B-9397-08002B2CF9AE}" pid="19" name="Mendeley Recent Style Name 8_1">
    <vt:lpwstr>The Lancet</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543c428a-37ef-353a-9d98-e06ef4cd1bfa</vt:lpwstr>
  </property>
  <property fmtid="{D5CDD505-2E9C-101B-9397-08002B2CF9AE}" pid="24" name="Mendeley Citation Style_1">
    <vt:lpwstr>http://www.zotero.org/styles/sage-vancouver</vt:lpwstr>
  </property>
</Properties>
</file>