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0333" w14:textId="77777777" w:rsidR="0048728D" w:rsidRPr="0034091A" w:rsidRDefault="0048728D" w:rsidP="0048728D">
      <w:pPr>
        <w:rPr>
          <w:b/>
          <w:sz w:val="32"/>
        </w:rPr>
      </w:pPr>
      <w:r w:rsidRPr="0034091A">
        <w:rPr>
          <w:b/>
          <w:sz w:val="32"/>
        </w:rPr>
        <w:t>Genetic variants associated with mandibular osteoradionecrosis following radiotherapy for head and neck malignancy</w:t>
      </w:r>
    </w:p>
    <w:p w14:paraId="51A1972A" w14:textId="77777777" w:rsidR="0048728D" w:rsidRPr="0034091A" w:rsidRDefault="0048728D" w:rsidP="0048728D">
      <w:pPr>
        <w:rPr>
          <w:b/>
        </w:rPr>
      </w:pPr>
      <w:r w:rsidRPr="0034091A">
        <w:rPr>
          <w:b/>
        </w:rPr>
        <w:t>Abstract</w:t>
      </w:r>
    </w:p>
    <w:p w14:paraId="72772495" w14:textId="77777777" w:rsidR="00845B20" w:rsidRPr="00845B20" w:rsidRDefault="00845B20" w:rsidP="00845B20">
      <w:pPr>
        <w:spacing w:before="240" w:after="240" w:line="240" w:lineRule="auto"/>
        <w:jc w:val="both"/>
        <w:rPr>
          <w:rFonts w:ascii="Times New Roman" w:eastAsia="Times New Roman" w:hAnsi="Times New Roman" w:cs="Times New Roman"/>
          <w:sz w:val="24"/>
          <w:szCs w:val="24"/>
        </w:rPr>
      </w:pPr>
      <w:r w:rsidRPr="00845B20">
        <w:rPr>
          <w:rFonts w:eastAsia="Times New Roman"/>
          <w:color w:val="000000"/>
        </w:rPr>
        <w:t>Background/Aim</w:t>
      </w:r>
    </w:p>
    <w:p w14:paraId="5FC34FFA" w14:textId="2A945DAA" w:rsidR="00845B20" w:rsidRPr="00845B20" w:rsidRDefault="00845B20" w:rsidP="00845B20">
      <w:pPr>
        <w:spacing w:before="240" w:after="240" w:line="240" w:lineRule="auto"/>
        <w:jc w:val="both"/>
        <w:rPr>
          <w:rFonts w:ascii="Times New Roman" w:eastAsia="Times New Roman" w:hAnsi="Times New Roman" w:cs="Times New Roman"/>
          <w:sz w:val="24"/>
          <w:szCs w:val="24"/>
        </w:rPr>
      </w:pPr>
      <w:r w:rsidRPr="00845B20">
        <w:rPr>
          <w:rFonts w:eastAsia="Times New Roman"/>
          <w:color w:val="000000"/>
        </w:rPr>
        <w:t>Utilising radiotherapy in the management of head and neck cancer (HNC) often results in long term toxicities. Mandibular osteoradionecrosis (ORN) represents a late toxicity associated with significant morbidity. We aim to identify a panel of common genetic variants which can predict ORN to aid development of personalised radiotherapy protocols.</w:t>
      </w:r>
    </w:p>
    <w:p w14:paraId="62E02094" w14:textId="77777777" w:rsidR="00845B20" w:rsidRPr="00845B20" w:rsidRDefault="00845B20" w:rsidP="00845B20">
      <w:pPr>
        <w:spacing w:before="240" w:after="240" w:line="240" w:lineRule="auto"/>
        <w:jc w:val="both"/>
        <w:rPr>
          <w:rFonts w:ascii="Times New Roman" w:eastAsia="Times New Roman" w:hAnsi="Times New Roman" w:cs="Times New Roman"/>
          <w:sz w:val="24"/>
          <w:szCs w:val="24"/>
        </w:rPr>
      </w:pPr>
      <w:r w:rsidRPr="00845B20">
        <w:rPr>
          <w:rFonts w:eastAsia="Times New Roman"/>
          <w:color w:val="000000"/>
        </w:rPr>
        <w:t>Method</w:t>
      </w:r>
    </w:p>
    <w:p w14:paraId="4B4ECA25" w14:textId="77777777" w:rsidR="00845B20" w:rsidRPr="00845B20" w:rsidRDefault="00845B20" w:rsidP="00845B20">
      <w:pPr>
        <w:spacing w:before="240" w:after="240" w:line="240" w:lineRule="auto"/>
        <w:jc w:val="both"/>
        <w:rPr>
          <w:rFonts w:ascii="Times New Roman" w:eastAsia="Times New Roman" w:hAnsi="Times New Roman" w:cs="Times New Roman"/>
          <w:sz w:val="24"/>
          <w:szCs w:val="24"/>
        </w:rPr>
      </w:pPr>
      <w:r w:rsidRPr="00845B20">
        <w:rPr>
          <w:rFonts w:eastAsia="Times New Roman"/>
          <w:color w:val="000000"/>
        </w:rPr>
        <w:t xml:space="preserve">Single nucleotide polymorphism (SNP) arrays were applied to DNA samples from patients who had prior HNC radiotherapy and minimum two years follow-up. A case cohort of mandibular ORN was compared to a control group of participants recruited to </w:t>
      </w:r>
      <w:r w:rsidRPr="005938C3">
        <w:rPr>
          <w:rFonts w:eastAsia="Times New Roman"/>
          <w:color w:val="000000"/>
        </w:rPr>
        <w:t>CRUK HOPON</w:t>
      </w:r>
      <w:r w:rsidRPr="00845B20">
        <w:rPr>
          <w:rFonts w:eastAsia="Times New Roman"/>
          <w:color w:val="000000"/>
        </w:rPr>
        <w:t xml:space="preserve"> clinical trial.  Relevant clinical parameters influencing ORN risk (e.g. smoking/alcohol) were collected. Significant associations from array data were internally validated using polymerase chain reaction (PCR) and pyrosequencing.</w:t>
      </w:r>
    </w:p>
    <w:p w14:paraId="28ADDB5D" w14:textId="77777777" w:rsidR="00845B20" w:rsidRPr="00845B20" w:rsidRDefault="00845B20" w:rsidP="00845B20">
      <w:pPr>
        <w:spacing w:before="240" w:after="240" w:line="240" w:lineRule="auto"/>
        <w:jc w:val="both"/>
        <w:rPr>
          <w:rFonts w:ascii="Times New Roman" w:eastAsia="Times New Roman" w:hAnsi="Times New Roman" w:cs="Times New Roman"/>
          <w:sz w:val="24"/>
          <w:szCs w:val="24"/>
        </w:rPr>
      </w:pPr>
      <w:r w:rsidRPr="00845B20">
        <w:rPr>
          <w:rFonts w:eastAsia="Times New Roman"/>
          <w:color w:val="000000"/>
        </w:rPr>
        <w:t>Results</w:t>
      </w:r>
    </w:p>
    <w:p w14:paraId="5A7B725E" w14:textId="3E19AFE2" w:rsidR="00E320F1" w:rsidRDefault="00845B20" w:rsidP="00E320F1">
      <w:pPr>
        <w:spacing w:before="240" w:after="240"/>
        <w:jc w:val="both"/>
        <w:rPr>
          <w:rFonts w:eastAsia="Times New Roman"/>
          <w:color w:val="000000"/>
        </w:rPr>
      </w:pPr>
      <w:r w:rsidRPr="00845B20">
        <w:rPr>
          <w:rFonts w:eastAsia="Times New Roman"/>
          <w:color w:val="000000"/>
        </w:rPr>
        <w:t>Following inclusion of 141 patients in the analysis</w:t>
      </w:r>
      <w:r w:rsidR="00EE36D6">
        <w:rPr>
          <w:rFonts w:eastAsia="Times New Roman"/>
          <w:color w:val="000000"/>
        </w:rPr>
        <w:t xml:space="preserve"> (52 cases, 89 controls)</w:t>
      </w:r>
      <w:r w:rsidRPr="00845B20">
        <w:rPr>
          <w:rFonts w:eastAsia="Times New Roman"/>
          <w:color w:val="000000"/>
        </w:rPr>
        <w:t xml:space="preserve">, a model predictive for ORN was developed; </w:t>
      </w:r>
      <w:r w:rsidR="00EE36D6">
        <w:rPr>
          <w:rFonts w:eastAsia="Times New Roman"/>
          <w:color w:val="000000"/>
        </w:rPr>
        <w:t>after controlling for</w:t>
      </w:r>
      <w:r w:rsidRPr="00845B20">
        <w:rPr>
          <w:rFonts w:eastAsia="Times New Roman"/>
          <w:color w:val="000000"/>
        </w:rPr>
        <w:t xml:space="preserve"> alcohol consumption, smoking, and age</w:t>
      </w:r>
      <w:r w:rsidR="007F401B">
        <w:rPr>
          <w:rFonts w:eastAsia="Times New Roman"/>
          <w:color w:val="000000"/>
        </w:rPr>
        <w:t>,</w:t>
      </w:r>
      <w:r w:rsidRPr="00845B20">
        <w:rPr>
          <w:rFonts w:eastAsia="Times New Roman"/>
          <w:color w:val="000000"/>
        </w:rPr>
        <w:t xml:space="preserve"> </w:t>
      </w:r>
      <w:r w:rsidR="00EE36D6">
        <w:rPr>
          <w:rFonts w:eastAsia="Times New Roman"/>
          <w:color w:val="000000"/>
        </w:rPr>
        <w:t xml:space="preserve">4053 SNPs were </w:t>
      </w:r>
      <w:r w:rsidRPr="00845B20">
        <w:rPr>
          <w:rFonts w:eastAsia="Times New Roman"/>
          <w:color w:val="000000"/>
        </w:rPr>
        <w:t xml:space="preserve">identified as significant. This was reduced to a representative model of 18 SNPs achieving 92% accuracy. Following internal </w:t>
      </w:r>
      <w:r w:rsidR="0014195B">
        <w:rPr>
          <w:rFonts w:eastAsia="Times New Roman"/>
          <w:color w:val="000000"/>
        </w:rPr>
        <w:t>technical</w:t>
      </w:r>
      <w:r w:rsidR="002D4705">
        <w:rPr>
          <w:rFonts w:eastAsia="Times New Roman"/>
          <w:color w:val="000000"/>
        </w:rPr>
        <w:t xml:space="preserve"> validation,</w:t>
      </w:r>
      <w:r w:rsidR="0014195B">
        <w:rPr>
          <w:rFonts w:eastAsia="Times New Roman"/>
          <w:color w:val="000000"/>
        </w:rPr>
        <w:t xml:space="preserve"> </w:t>
      </w:r>
      <w:r w:rsidRPr="00845B20">
        <w:rPr>
          <w:rFonts w:eastAsia="Times New Roman"/>
          <w:color w:val="000000"/>
        </w:rPr>
        <w:t>a six SNP model (rs34798038, rs6011731, rs2348569, rs530752, rs7477958, rs1415848) was retained within multivariate regression analysis (ROC AUC 0.859).  Of these, four SNPs (rs3479803</w:t>
      </w:r>
      <w:r w:rsidR="0049107E">
        <w:rPr>
          <w:rFonts w:eastAsia="Times New Roman"/>
          <w:color w:val="000000"/>
        </w:rPr>
        <w:t>8 (A/G)(p 0.006), rs6011731 (C/T</w:t>
      </w:r>
      <w:r w:rsidRPr="00845B20">
        <w:rPr>
          <w:rFonts w:eastAsia="Times New Roman"/>
          <w:color w:val="000000"/>
        </w:rPr>
        <w:t>)(p 0.018), rs530752 (A/G)(p 0.046)</w:t>
      </w:r>
      <w:r w:rsidRPr="00845B20">
        <w:rPr>
          <w:rFonts w:eastAsia="Times New Roman"/>
          <w:color w:val="000000"/>
          <w:sz w:val="18"/>
          <w:szCs w:val="18"/>
        </w:rPr>
        <w:t xml:space="preserve"> </w:t>
      </w:r>
      <w:r w:rsidRPr="00845B20">
        <w:rPr>
          <w:rFonts w:eastAsia="Times New Roman"/>
          <w:color w:val="000000"/>
        </w:rPr>
        <w:t>and rs2348569 (G/G)(p 0.005)) were significantly asso</w:t>
      </w:r>
      <w:r w:rsidR="002D4705">
        <w:rPr>
          <w:rFonts w:eastAsia="Times New Roman"/>
          <w:color w:val="000000"/>
        </w:rPr>
        <w:t>ciated with the absence of ORN.</w:t>
      </w:r>
    </w:p>
    <w:p w14:paraId="1AD5071B" w14:textId="4CDF793B" w:rsidR="00845B20" w:rsidRPr="00845B20" w:rsidRDefault="00845B20" w:rsidP="00E320F1">
      <w:pPr>
        <w:spacing w:before="240" w:after="240"/>
        <w:jc w:val="both"/>
        <w:rPr>
          <w:rFonts w:ascii="Times New Roman" w:eastAsia="Times New Roman" w:hAnsi="Times New Roman" w:cs="Times New Roman"/>
          <w:sz w:val="24"/>
          <w:szCs w:val="24"/>
        </w:rPr>
      </w:pPr>
      <w:r w:rsidRPr="00845B20">
        <w:rPr>
          <w:rFonts w:eastAsia="Times New Roman"/>
          <w:color w:val="000000"/>
        </w:rPr>
        <w:t>Conclusion</w:t>
      </w:r>
    </w:p>
    <w:p w14:paraId="797E5658" w14:textId="186F2E3A" w:rsidR="00845B20" w:rsidRDefault="00845B20" w:rsidP="00845B20">
      <w:pPr>
        <w:spacing w:before="240" w:after="240" w:line="240" w:lineRule="auto"/>
        <w:jc w:val="both"/>
        <w:rPr>
          <w:rFonts w:eastAsia="Times New Roman"/>
          <w:color w:val="000000"/>
        </w:rPr>
      </w:pPr>
      <w:r w:rsidRPr="00845B20">
        <w:rPr>
          <w:rFonts w:eastAsia="Times New Roman"/>
          <w:color w:val="000000"/>
        </w:rPr>
        <w:t>This is the first genome wide association study in HNC using ORN as the endpoint and offers new insight into ORN pathogenesis. Subject to validation, these variants m</w:t>
      </w:r>
      <w:r w:rsidR="005938C3">
        <w:rPr>
          <w:rFonts w:eastAsia="Times New Roman"/>
          <w:color w:val="000000"/>
        </w:rPr>
        <w:t xml:space="preserve">ay guide patient selection for </w:t>
      </w:r>
      <w:r w:rsidRPr="00845B20">
        <w:rPr>
          <w:rFonts w:eastAsia="Times New Roman"/>
          <w:color w:val="000000"/>
        </w:rPr>
        <w:t>personalised radiotherapy</w:t>
      </w:r>
      <w:r w:rsidR="002D4705">
        <w:rPr>
          <w:rFonts w:eastAsia="Times New Roman"/>
          <w:color w:val="000000"/>
        </w:rPr>
        <w:t xml:space="preserve"> strategies</w:t>
      </w:r>
      <w:r w:rsidRPr="00845B20">
        <w:rPr>
          <w:rFonts w:eastAsia="Times New Roman"/>
          <w:color w:val="000000"/>
        </w:rPr>
        <w:t>.</w:t>
      </w:r>
    </w:p>
    <w:p w14:paraId="67A24308" w14:textId="2F1123B8" w:rsidR="005636E3" w:rsidRDefault="005636E3" w:rsidP="00845B20">
      <w:pPr>
        <w:spacing w:before="240" w:after="240" w:line="240" w:lineRule="auto"/>
        <w:jc w:val="both"/>
        <w:rPr>
          <w:rFonts w:eastAsia="Times New Roman"/>
          <w:color w:val="000000"/>
        </w:rPr>
      </w:pPr>
      <w:r>
        <w:rPr>
          <w:rFonts w:eastAsia="Times New Roman"/>
          <w:color w:val="000000"/>
        </w:rPr>
        <w:t>Key Words:</w:t>
      </w:r>
    </w:p>
    <w:p w14:paraId="0BC8A3A5" w14:textId="5A49D711" w:rsidR="00A71043" w:rsidRDefault="00C01C60" w:rsidP="00E320F1">
      <w:pPr>
        <w:spacing w:before="240" w:after="240" w:line="240" w:lineRule="auto"/>
        <w:jc w:val="both"/>
      </w:pPr>
      <w:r>
        <w:rPr>
          <w:rFonts w:eastAsia="Times New Roman"/>
          <w:color w:val="000000"/>
        </w:rPr>
        <w:t>Head and neck cancer, radiotherapy, osteoradionecrosis, mandible, single nucleotide polymorphism</w:t>
      </w:r>
      <w:r w:rsidR="00E320F1">
        <w:rPr>
          <w:rFonts w:eastAsia="Times New Roman"/>
          <w:color w:val="000000"/>
        </w:rPr>
        <w:t xml:space="preserve">, </w:t>
      </w:r>
      <w:r w:rsidR="00E320F1">
        <w:t>genome wide association studies</w:t>
      </w:r>
      <w:r>
        <w:rPr>
          <w:rFonts w:eastAsia="Times New Roman"/>
          <w:color w:val="000000"/>
        </w:rPr>
        <w:t>.</w:t>
      </w:r>
      <w:r w:rsidR="00935490" w:rsidRPr="00935490">
        <w:rPr>
          <w:rStyle w:val="FootnoteReference"/>
          <w:rFonts w:eastAsia="Times New Roman"/>
          <w:color w:val="FFFFFF" w:themeColor="background1"/>
        </w:rPr>
        <w:footnoteReference w:id="1"/>
      </w:r>
    </w:p>
    <w:p w14:paraId="4D47369F" w14:textId="77777777" w:rsidR="00796397" w:rsidRPr="0034091A" w:rsidRDefault="00C545C9">
      <w:pPr>
        <w:pStyle w:val="Heading2"/>
        <w:rPr>
          <w:b/>
          <w:color w:val="auto"/>
        </w:rPr>
      </w:pPr>
      <w:r w:rsidRPr="0034091A">
        <w:rPr>
          <w:b/>
          <w:color w:val="auto"/>
        </w:rPr>
        <w:lastRenderedPageBreak/>
        <w:t>Introduction</w:t>
      </w:r>
    </w:p>
    <w:p w14:paraId="2136539A" w14:textId="349A5023" w:rsidR="00551ED7" w:rsidRDefault="00551ED7" w:rsidP="00551ED7">
      <w:pPr>
        <w:jc w:val="both"/>
      </w:pPr>
      <w:r>
        <w:t xml:space="preserve">Osteoradionecrosis of the jaw (ORN) is a devastating late toxicity of head and neck radiotherapy with </w:t>
      </w:r>
      <w:r w:rsidR="00826F53">
        <w:t>reported</w:t>
      </w:r>
      <w:r>
        <w:t xml:space="preserve"> incidence</w:t>
      </w:r>
      <w:r w:rsidR="00826F53">
        <w:t xml:space="preserve"> in modern series ranging from 4-8</w:t>
      </w:r>
      <w:r>
        <w:t>% [</w:t>
      </w:r>
      <w:r>
        <w:rPr>
          <w:vertAlign w:val="superscript"/>
        </w:rPr>
        <w:t>1</w:t>
      </w:r>
      <w:r w:rsidR="00C90C17">
        <w:rPr>
          <w:vertAlign w:val="superscript"/>
        </w:rPr>
        <w:t>,2,3</w:t>
      </w:r>
      <w:r>
        <w:t>]. It is characterised by the presence of non-healing necrotic bone for longer than 3 months in an area previously exposed to radiotherapy without evidence of recurrent tumour [</w:t>
      </w:r>
      <w:r w:rsidR="00C90C17">
        <w:rPr>
          <w:vertAlign w:val="superscript"/>
        </w:rPr>
        <w:t>4</w:t>
      </w:r>
      <w:r>
        <w:t>]. The severity of ORN can vary from a small non healing area within the alveolar margin to pathological fracture and skin fistulae leading to significant compromise on functions associated with normal daily living. It poses a great challenge for clinicians, due to the absence of effective medical management in those with severe forms of the condition leading to technically difficult major reconstructive procedures without guarantee of resolution [</w:t>
      </w:r>
      <w:r w:rsidR="00C90C17">
        <w:rPr>
          <w:vertAlign w:val="superscript"/>
        </w:rPr>
        <w:t>5</w:t>
      </w:r>
      <w:r>
        <w:t>]. The development of this complication is multifactorial with clinical (i.e. cigarette smoking) and dosimetric (volume of irradiated mandible) factors playing an important role and, in addition, functional polymorphisms have been causally linked to its occurrence [</w:t>
      </w:r>
      <w:r w:rsidR="00C90C17">
        <w:rPr>
          <w:vertAlign w:val="superscript"/>
        </w:rPr>
        <w:t>6</w:t>
      </w:r>
      <w:r>
        <w:t xml:space="preserve">]. </w:t>
      </w:r>
    </w:p>
    <w:p w14:paraId="67A7BC73" w14:textId="53619333" w:rsidR="00551ED7" w:rsidRDefault="00551ED7" w:rsidP="00C90C17">
      <w:pPr>
        <w:jc w:val="both"/>
      </w:pPr>
      <w:r>
        <w:t>Multiple candidate gene studies have taken place investigating the association between ORN and single nucleotide polymorphisms</w:t>
      </w:r>
      <w:r w:rsidR="00FD7D80">
        <w:t xml:space="preserve"> (SNPs)</w:t>
      </w:r>
      <w:r>
        <w:t xml:space="preserve"> within genes that encode proteins targeting fibrosis pathways, oxidative stress response and DNA repair [</w:t>
      </w:r>
      <w:r w:rsidR="00C90C17">
        <w:rPr>
          <w:vertAlign w:val="superscript"/>
        </w:rPr>
        <w:t>7,8,9</w:t>
      </w:r>
      <w:r>
        <w:t xml:space="preserve">]. ORN offers an ideal focus for the development of a predictive genetic biomarker panel as it is a dichotomous outcome which is easily diagnosed and quantified, and eliminates subjective interpretation of side effects. </w:t>
      </w:r>
    </w:p>
    <w:p w14:paraId="28F57241" w14:textId="77777777" w:rsidR="00551ED7" w:rsidRDefault="00551ED7" w:rsidP="00551ED7">
      <w:pPr>
        <w:pBdr>
          <w:top w:val="nil"/>
          <w:left w:val="nil"/>
          <w:bottom w:val="nil"/>
          <w:right w:val="nil"/>
          <w:between w:val="nil"/>
        </w:pBdr>
        <w:jc w:val="both"/>
      </w:pPr>
      <w:r>
        <w:t>The aim of this study was to discover new common genetic variants predictive of ORN. In doing so we may generate new hypotheses on pathogenesis and contribute to developing a more personalised approach to radiotherapy treatment planning for patients with head and neck cancer.</w:t>
      </w:r>
    </w:p>
    <w:p w14:paraId="6B2CDF5C" w14:textId="77777777" w:rsidR="00551ED7" w:rsidRDefault="00551ED7">
      <w:pPr>
        <w:pStyle w:val="Heading2"/>
        <w:rPr>
          <w:b/>
          <w:color w:val="auto"/>
        </w:rPr>
      </w:pPr>
    </w:p>
    <w:p w14:paraId="527E5F7F" w14:textId="77777777" w:rsidR="00796397" w:rsidRPr="005938C3" w:rsidRDefault="00C545C9">
      <w:pPr>
        <w:pStyle w:val="Heading2"/>
        <w:rPr>
          <w:b/>
          <w:color w:val="auto"/>
        </w:rPr>
      </w:pPr>
      <w:r w:rsidRPr="005938C3">
        <w:rPr>
          <w:b/>
          <w:color w:val="auto"/>
        </w:rPr>
        <w:t>Methods</w:t>
      </w:r>
    </w:p>
    <w:p w14:paraId="22D0A4C5" w14:textId="215DCF6A" w:rsidR="00796397" w:rsidRDefault="00C545C9">
      <w:pPr>
        <w:jc w:val="both"/>
      </w:pPr>
      <w:r w:rsidRPr="005938C3">
        <w:t>A case-control study of 1</w:t>
      </w:r>
      <w:r w:rsidR="004F28A6" w:rsidRPr="005938C3">
        <w:t>5</w:t>
      </w:r>
      <w:r w:rsidR="007C120B" w:rsidRPr="005938C3">
        <w:t>2</w:t>
      </w:r>
      <w:r w:rsidR="002E537C" w:rsidRPr="005938C3">
        <w:t xml:space="preserve"> patients was undertaken</w:t>
      </w:r>
      <w:r w:rsidR="0048728D" w:rsidRPr="005938C3">
        <w:t xml:space="preserve"> with ethical approval from North West – Liverpool Central REC (Ref. No. 10/H1002/53) and Greater Manchester Central REC (Ref. No.08/H1008/32</w:t>
      </w:r>
      <w:r w:rsidR="0048728D" w:rsidRPr="005938C3">
        <w:rPr>
          <w:rFonts w:ascii="Times New Roman" w:eastAsia="Times New Roman" w:hAnsi="Times New Roman" w:cs="Times New Roman"/>
        </w:rPr>
        <w:t>)</w:t>
      </w:r>
      <w:r w:rsidR="0048728D" w:rsidRPr="005938C3">
        <w:t xml:space="preserve">.  </w:t>
      </w:r>
      <w:r w:rsidRPr="005938C3">
        <w:t>9</w:t>
      </w:r>
      <w:r w:rsidR="00205F61" w:rsidRPr="005938C3">
        <w:t>7</w:t>
      </w:r>
      <w:r w:rsidRPr="005938C3">
        <w:t xml:space="preserve"> patients took part in the CRUK HOPON</w:t>
      </w:r>
      <w:r w:rsidR="002E537C" w:rsidRPr="005938C3">
        <w:t xml:space="preserve"> clinical trial; </w:t>
      </w:r>
      <w:r w:rsidRPr="005938C3">
        <w:t xml:space="preserve">a randomised controlled phase III trial examining whether the delivery of hyperbaric oxygen reduced the likelihood of developing ORN following dental procedures in patients who received </w:t>
      </w:r>
      <w:r w:rsidR="002E537C" w:rsidRPr="005938C3">
        <w:t>&gt;</w:t>
      </w:r>
      <w:r w:rsidRPr="005938C3">
        <w:t>50Gy radiotherapy to the head and neck [</w:t>
      </w:r>
      <w:r w:rsidRPr="005938C3">
        <w:rPr>
          <w:vertAlign w:val="superscript"/>
        </w:rPr>
        <w:t>1</w:t>
      </w:r>
      <w:r w:rsidR="003A243C">
        <w:rPr>
          <w:vertAlign w:val="superscript"/>
        </w:rPr>
        <w:t>0</w:t>
      </w:r>
      <w:r w:rsidRPr="005938C3">
        <w:t>].</w:t>
      </w:r>
      <w:r w:rsidR="00DC07AE" w:rsidRPr="005938C3">
        <w:t xml:space="preserve"> 9</w:t>
      </w:r>
      <w:r w:rsidR="007C120B" w:rsidRPr="005938C3">
        <w:t>3</w:t>
      </w:r>
      <w:r w:rsidRPr="005938C3">
        <w:t xml:space="preserve"> </w:t>
      </w:r>
      <w:r w:rsidR="00DC07AE" w:rsidRPr="005938C3">
        <w:t xml:space="preserve">patients from the prospective HOPON collection </w:t>
      </w:r>
      <w:r w:rsidRPr="005938C3">
        <w:t>did not develop ORN despite being deemed high risk by virtue of post treatment dentoalveolar surgery and blinded clinical/radiological assessment for ORN as its primary outcome measure</w:t>
      </w:r>
      <w:r w:rsidR="004F28A6" w:rsidRPr="005938C3">
        <w:t xml:space="preserve">. </w:t>
      </w:r>
      <w:r w:rsidR="00BC5238" w:rsidRPr="005938C3">
        <w:t>In addition to 4 ca</w:t>
      </w:r>
      <w:r w:rsidR="009D1C13" w:rsidRPr="005938C3">
        <w:t>ses of ORN from the HOPON trial,</w:t>
      </w:r>
      <w:r w:rsidR="00BC5238" w:rsidRPr="005938C3">
        <w:t xml:space="preserve"> </w:t>
      </w:r>
      <w:r w:rsidR="009D1C13" w:rsidRPr="005938C3">
        <w:t>a</w:t>
      </w:r>
      <w:r w:rsidR="004F28A6" w:rsidRPr="005938C3">
        <w:t>n independent group of 55</w:t>
      </w:r>
      <w:r w:rsidRPr="005938C3">
        <w:t xml:space="preserve"> patients recruited at University Hospital Aintree NHS Foundation Trust Head and Neck Cancer Unit who similarly received over 50Gy radiotherapy to head and neck were recruited after developing ORN. </w:t>
      </w:r>
      <w:r w:rsidR="00EC3809" w:rsidRPr="005938C3">
        <w:t xml:space="preserve">Thus the case cohort constituted a total of </w:t>
      </w:r>
      <w:r w:rsidR="007C120B" w:rsidRPr="005938C3">
        <w:t>59</w:t>
      </w:r>
      <w:r w:rsidR="00EC3809" w:rsidRPr="005938C3">
        <w:t xml:space="preserve"> patients and the control cohort of 9</w:t>
      </w:r>
      <w:r w:rsidR="007C120B" w:rsidRPr="005938C3">
        <w:t>3</w:t>
      </w:r>
      <w:r w:rsidR="00EC3809" w:rsidRPr="005938C3">
        <w:t xml:space="preserve"> patients.  </w:t>
      </w:r>
      <w:r w:rsidRPr="005938C3">
        <w:t>Within the case cohort</w:t>
      </w:r>
      <w:r>
        <w:t xml:space="preserve"> a diagnosis of ORN was confirmed from clinical notes and review of X-rays, </w:t>
      </w:r>
      <w:r w:rsidR="00EC3809">
        <w:t xml:space="preserve">clinical </w:t>
      </w:r>
      <w:r>
        <w:t xml:space="preserve">photographs and physical examination with </w:t>
      </w:r>
      <w:r w:rsidR="0068172B">
        <w:t>N</w:t>
      </w:r>
      <w:r>
        <w:t>otani grade noted where specified [</w:t>
      </w:r>
      <w:r>
        <w:rPr>
          <w:vertAlign w:val="superscript"/>
        </w:rPr>
        <w:t>1</w:t>
      </w:r>
      <w:r w:rsidR="003A243C">
        <w:rPr>
          <w:vertAlign w:val="superscript"/>
        </w:rPr>
        <w:t>1</w:t>
      </w:r>
      <w:r>
        <w:t>]. Radiotherapy treatment information was obtained via study data collection forms or clinical patient records. Treatment was delivered using either 3D conformal or IMRT depending upon individual treating clinician and centre, with doses ranging 50-70Gy delivered over 20-35 fractions. Information on smoking status, alcohol consumption, post radiotherapy dental procedures, and use of bisphosphonates w</w:t>
      </w:r>
      <w:r w:rsidR="000E67C1">
        <w:t>ere</w:t>
      </w:r>
      <w:r>
        <w:t xml:space="preserve"> also obtained. All patients had at least 2 years of follow up data</w:t>
      </w:r>
      <w:r w:rsidR="00DC07AE">
        <w:t xml:space="preserve"> available at time of </w:t>
      </w:r>
      <w:r w:rsidR="00DC07AE" w:rsidRPr="005938C3">
        <w:t>analysis</w:t>
      </w:r>
      <w:r w:rsidR="00551ED7">
        <w:t>.  STROGAR guidelines were followed for reporting where possible</w:t>
      </w:r>
      <w:r w:rsidR="005938C3" w:rsidRPr="005938C3">
        <w:t xml:space="preserve"> </w:t>
      </w:r>
      <w:r w:rsidRPr="005938C3">
        <w:t>[</w:t>
      </w:r>
      <w:r w:rsidRPr="005938C3">
        <w:rPr>
          <w:vertAlign w:val="superscript"/>
        </w:rPr>
        <w:t>1</w:t>
      </w:r>
      <w:r w:rsidR="003A243C">
        <w:rPr>
          <w:vertAlign w:val="superscript"/>
        </w:rPr>
        <w:t>2</w:t>
      </w:r>
      <w:r w:rsidRPr="005938C3">
        <w:t>].</w:t>
      </w:r>
    </w:p>
    <w:p w14:paraId="61A5392C" w14:textId="77777777" w:rsidR="00551ED7" w:rsidRPr="0034091A" w:rsidRDefault="00551ED7" w:rsidP="00551ED7">
      <w:pPr>
        <w:pStyle w:val="Heading3"/>
        <w:rPr>
          <w:b/>
          <w:color w:val="auto"/>
        </w:rPr>
      </w:pPr>
      <w:r w:rsidRPr="0034091A">
        <w:rPr>
          <w:b/>
          <w:color w:val="auto"/>
        </w:rPr>
        <w:lastRenderedPageBreak/>
        <w:t>Genomic Sequencing</w:t>
      </w:r>
    </w:p>
    <w:p w14:paraId="7DB67781" w14:textId="18D6D597" w:rsidR="00796397" w:rsidRDefault="00E37223">
      <w:pPr>
        <w:jc w:val="both"/>
      </w:pPr>
      <w:r>
        <w:t>Cell pellets from whole blood collected in ethylenediaminetetraacetic acid (EDTA) containing collection tubes were aliquoted and stored at -80</w:t>
      </w:r>
      <w:r>
        <w:rPr>
          <w:rtl/>
          <w:lang w:bidi="he-IL"/>
        </w:rPr>
        <w:t>֯</w:t>
      </w:r>
      <w:r>
        <w:t xml:space="preserve">C.  </w:t>
      </w:r>
      <w:r w:rsidR="00C545C9">
        <w:t xml:space="preserve">Genomic DNA was extracted </w:t>
      </w:r>
      <w:r w:rsidR="001904EE">
        <w:t xml:space="preserve">from </w:t>
      </w:r>
      <w:r>
        <w:t>these</w:t>
      </w:r>
      <w:r w:rsidR="001904EE">
        <w:t xml:space="preserve"> cell pellets </w:t>
      </w:r>
      <w:r w:rsidR="00C545C9">
        <w:t>using QIAGEN QIAamp DNA Blood Midi Kit according to manufacturer handbook instruction</w:t>
      </w:r>
      <w:r w:rsidR="00DE575B">
        <w:t>s (1090244 02/2015, QIAGEN Ltd.</w:t>
      </w:r>
      <w:r w:rsidR="00C545C9">
        <w:t xml:space="preserve">). </w:t>
      </w:r>
      <w:r w:rsidR="001C3125">
        <w:t xml:space="preserve">DNA </w:t>
      </w:r>
      <w:r w:rsidR="00C545C9">
        <w:t xml:space="preserve">samples were sent for SNP array sequencing at Edinburgh Genomics (Ashworth Laboratories, The University of Edinburgh). </w:t>
      </w:r>
      <w:r w:rsidR="001C3125">
        <w:t>S</w:t>
      </w:r>
      <w:r w:rsidR="00C545C9">
        <w:t>amples were prepared and processed by hybridisation, washing, staining and sequenced using the Infinium Global Scree</w:t>
      </w:r>
      <w:r w:rsidR="00DE575B">
        <w:t>ning Array V2.0 (Illumina, Inc.</w:t>
      </w:r>
      <w:r w:rsidR="00C545C9">
        <w:t xml:space="preserve">). </w:t>
      </w:r>
    </w:p>
    <w:p w14:paraId="606C19FB" w14:textId="77777777" w:rsidR="00551ED7" w:rsidRPr="0034091A" w:rsidRDefault="00551ED7" w:rsidP="00551ED7">
      <w:pPr>
        <w:pStyle w:val="Heading3"/>
        <w:rPr>
          <w:b/>
          <w:color w:val="auto"/>
        </w:rPr>
      </w:pPr>
      <w:r w:rsidRPr="0034091A">
        <w:rPr>
          <w:b/>
          <w:color w:val="auto"/>
        </w:rPr>
        <w:t>Bioinformatic analysis</w:t>
      </w:r>
    </w:p>
    <w:p w14:paraId="2E2DAEDE" w14:textId="70A23563" w:rsidR="00551ED7" w:rsidRPr="0034091A" w:rsidRDefault="00551ED7" w:rsidP="00551ED7">
      <w:pPr>
        <w:pStyle w:val="Heading7"/>
        <w:jc w:val="both"/>
        <w:rPr>
          <w:b/>
          <w:color w:val="auto"/>
        </w:rPr>
      </w:pPr>
      <w:r w:rsidRPr="0034091A">
        <w:rPr>
          <w:b/>
          <w:color w:val="auto"/>
        </w:rPr>
        <w:t>Associating SNPs to ORN</w:t>
      </w:r>
    </w:p>
    <w:p w14:paraId="0B8A7E24" w14:textId="4012847C" w:rsidR="001904EE" w:rsidRDefault="00C545C9" w:rsidP="001904EE">
      <w:pPr>
        <w:jc w:val="both"/>
      </w:pPr>
      <w:r>
        <w:t>PLINK (v 1.90b6)[</w:t>
      </w:r>
      <w:r>
        <w:rPr>
          <w:vertAlign w:val="superscript"/>
        </w:rPr>
        <w:t>1</w:t>
      </w:r>
      <w:r w:rsidR="003A243C">
        <w:rPr>
          <w:vertAlign w:val="superscript"/>
        </w:rPr>
        <w:t>3</w:t>
      </w:r>
      <w:r>
        <w:t xml:space="preserve">] </w:t>
      </w:r>
      <w:r w:rsidR="004032CA">
        <w:t>was utilised to generate genome wide associations</w:t>
      </w:r>
      <w:r w:rsidR="001904EE">
        <w:t>.  SNPs were extracted for which PLINK returned an empirical p-value based on permutations &lt; 0.01 and were annotated using SNP nexus [</w:t>
      </w:r>
      <w:r w:rsidR="004B2590">
        <w:rPr>
          <w:vertAlign w:val="superscript"/>
        </w:rPr>
        <w:t>1</w:t>
      </w:r>
      <w:r w:rsidR="003A243C">
        <w:rPr>
          <w:vertAlign w:val="superscript"/>
        </w:rPr>
        <w:t>4</w:t>
      </w:r>
      <w:r w:rsidR="001904EE">
        <w:rPr>
          <w:vertAlign w:val="superscript"/>
        </w:rPr>
        <w:t>-</w:t>
      </w:r>
      <w:r w:rsidR="003A243C">
        <w:rPr>
          <w:vertAlign w:val="superscript"/>
        </w:rPr>
        <w:t>18</w:t>
      </w:r>
      <w:r w:rsidR="001E192D">
        <w:rPr>
          <w:vertAlign w:val="superscript"/>
        </w:rPr>
        <w:t>,</w:t>
      </w:r>
      <w:r w:rsidR="001904EE">
        <w:rPr>
          <w:vertAlign w:val="superscript"/>
        </w:rPr>
        <w:t>2</w:t>
      </w:r>
      <w:r w:rsidR="004B2590">
        <w:rPr>
          <w:vertAlign w:val="superscript"/>
        </w:rPr>
        <w:t>3</w:t>
      </w:r>
      <w:r w:rsidR="001904EE">
        <w:t>].</w:t>
      </w:r>
    </w:p>
    <w:p w14:paraId="1FCABB0B" w14:textId="71868024" w:rsidR="00551ED7" w:rsidRPr="00EE36D6" w:rsidRDefault="00551ED7" w:rsidP="00BD3B6E">
      <w:pPr>
        <w:pStyle w:val="Heading7"/>
        <w:rPr>
          <w:b/>
          <w:color w:val="auto"/>
        </w:rPr>
      </w:pPr>
      <w:r w:rsidRPr="00EE36D6">
        <w:rPr>
          <w:b/>
          <w:color w:val="auto"/>
        </w:rPr>
        <w:t>Identif</w:t>
      </w:r>
      <w:r w:rsidR="00BD3B6E" w:rsidRPr="00EE36D6">
        <w:rPr>
          <w:b/>
          <w:color w:val="auto"/>
        </w:rPr>
        <w:t xml:space="preserve">ying </w:t>
      </w:r>
      <w:r w:rsidRPr="00EE36D6">
        <w:rPr>
          <w:b/>
          <w:color w:val="auto"/>
        </w:rPr>
        <w:t>a SNP panel predictive of ORN</w:t>
      </w:r>
    </w:p>
    <w:p w14:paraId="4AE1D289" w14:textId="54C1B1F8" w:rsidR="00796397" w:rsidRDefault="00C545C9">
      <w:pPr>
        <w:jc w:val="both"/>
      </w:pPr>
      <w:r>
        <w:t>To identify a potential panel predictive of ORN outcome</w:t>
      </w:r>
      <w:r w:rsidR="00845790">
        <w:t>,</w:t>
      </w:r>
      <w:r>
        <w:t xml:space="preserve"> the frequencies of all SNPs within the dataset </w:t>
      </w:r>
      <w:r w:rsidR="00845790">
        <w:t xml:space="preserve">were </w:t>
      </w:r>
      <w:r>
        <w:t>input</w:t>
      </w:r>
      <w:r w:rsidR="00845790">
        <w:t>ted</w:t>
      </w:r>
      <w:r>
        <w:t xml:space="preserve"> </w:t>
      </w:r>
      <w:r w:rsidR="00845790">
        <w:t>in</w:t>
      </w:r>
      <w:r>
        <w:t>to a genetic algorithm based predictive modelling approach (GALGO) [</w:t>
      </w:r>
      <w:r w:rsidR="003A243C">
        <w:rPr>
          <w:vertAlign w:val="superscript"/>
        </w:rPr>
        <w:t>19</w:t>
      </w:r>
      <w:r w:rsidR="00BD4B66">
        <w:t>]</w:t>
      </w:r>
      <w:r>
        <w:t xml:space="preserve">. Feature sets </w:t>
      </w:r>
      <w:r w:rsidR="00845790">
        <w:t>were</w:t>
      </w:r>
      <w:r>
        <w:t xml:space="preserve"> trai</w:t>
      </w:r>
      <w:r w:rsidR="00845790">
        <w:t xml:space="preserve">ned within GALGO by </w:t>
      </w:r>
      <w:r w:rsidR="009F71A8">
        <w:t>applying</w:t>
      </w:r>
      <w:r w:rsidR="00845790">
        <w:t xml:space="preserve"> a</w:t>
      </w:r>
      <w:r>
        <w:t xml:space="preserve"> random Forest (RF) classifier [</w:t>
      </w:r>
      <w:r w:rsidR="003A243C" w:rsidRPr="007F401B">
        <w:rPr>
          <w:vertAlign w:val="superscript"/>
        </w:rPr>
        <w:t>20</w:t>
      </w:r>
      <w:r w:rsidR="007B3819">
        <w:t>]</w:t>
      </w:r>
      <w:r>
        <w:t xml:space="preserve">. </w:t>
      </w:r>
      <w:r w:rsidR="008053AD">
        <w:t>T</w:t>
      </w:r>
      <w:r>
        <w:t xml:space="preserve">he smallest possible model predictive of ORN was </w:t>
      </w:r>
      <w:r w:rsidR="008053AD">
        <w:t xml:space="preserve">obtained </w:t>
      </w:r>
      <w:r>
        <w:t>using the robustGeneBackwardElimination</w:t>
      </w:r>
      <w:r w:rsidR="008053AD">
        <w:t xml:space="preserve"> </w:t>
      </w:r>
      <w:r>
        <w:t xml:space="preserve">approach within GALGO. </w:t>
      </w:r>
      <w:r w:rsidR="008053AD">
        <w:t>For further details see supplementary methods.</w:t>
      </w:r>
    </w:p>
    <w:p w14:paraId="39456A6E" w14:textId="77777777" w:rsidR="00551ED7" w:rsidRDefault="00551ED7" w:rsidP="00551ED7">
      <w:pPr>
        <w:pStyle w:val="Heading3"/>
        <w:jc w:val="both"/>
        <w:rPr>
          <w:b/>
          <w:color w:val="auto"/>
        </w:rPr>
      </w:pPr>
      <w:bookmarkStart w:id="0" w:name="_w9r93wjv2l2p" w:colFirst="0" w:colLast="0"/>
      <w:bookmarkEnd w:id="0"/>
      <w:r w:rsidRPr="00BD3B6E">
        <w:rPr>
          <w:b/>
          <w:color w:val="auto"/>
        </w:rPr>
        <w:t xml:space="preserve">Validation </w:t>
      </w:r>
    </w:p>
    <w:p w14:paraId="1A30A64C" w14:textId="6E0D687E" w:rsidR="00796397" w:rsidRDefault="00C545C9">
      <w:pPr>
        <w:jc w:val="both"/>
      </w:pPr>
      <w:r>
        <w:t>The ten top highlighted SNPs of interest were internally validated using polymerase chain reaction (PCR) and pyrosequencing. Cognizant of the significant findings in previous publications</w:t>
      </w:r>
      <w:r w:rsidR="00C74002">
        <w:t xml:space="preserve"> [</w:t>
      </w:r>
      <w:r w:rsidR="003A243C">
        <w:rPr>
          <w:vertAlign w:val="superscript"/>
        </w:rPr>
        <w:t>8,9,21</w:t>
      </w:r>
      <w:r w:rsidR="00C74002">
        <w:t>]</w:t>
      </w:r>
      <w:r>
        <w:t xml:space="preserve">, SNPs rs1695, rs1042522, rs1047768, rs25487 and rs1800469 were checked for significance </w:t>
      </w:r>
      <w:r w:rsidR="003D2131">
        <w:t>within the larger model. We</w:t>
      </w:r>
      <w:r>
        <w:t xml:space="preserve"> sought to validate the additional SNP rs1800469 (TGFβ1) given this target approached significance (p 0.07) [</w:t>
      </w:r>
      <w:r w:rsidR="003A243C">
        <w:rPr>
          <w:vertAlign w:val="superscript"/>
        </w:rPr>
        <w:t>7</w:t>
      </w:r>
      <w:r>
        <w:t xml:space="preserve">]. </w:t>
      </w:r>
    </w:p>
    <w:p w14:paraId="07198672" w14:textId="6D39E00C" w:rsidR="00E37223" w:rsidRPr="009E047C" w:rsidRDefault="00E37223" w:rsidP="00E37223">
      <w:pPr>
        <w:jc w:val="both"/>
      </w:pPr>
      <w:bookmarkStart w:id="1" w:name="_47lz622ev3gj" w:colFirst="0" w:colLast="0"/>
      <w:bookmarkEnd w:id="1"/>
      <w:r>
        <w:t>Primer design for amplification and sequencing was performed using Pyromark Assay Design 2.0 software (QIAGEN Ltd.) and dbSNP NCBI (National Centre for Biotechnology Information)[</w:t>
      </w:r>
      <w:r w:rsidR="003A243C">
        <w:rPr>
          <w:vertAlign w:val="superscript"/>
        </w:rPr>
        <w:t>22</w:t>
      </w:r>
      <w:r>
        <w:t>]. Following annealing temperature optimisation, DNA samples were genotyped for SNPs outlined in Table S1</w:t>
      </w:r>
      <w:r>
        <w:rPr>
          <w:highlight w:val="white"/>
        </w:rPr>
        <w:t xml:space="preserve"> using PyroMark PCR Kit (</w:t>
      </w:r>
      <w:r>
        <w:t>QIAGEN Ltd.</w:t>
      </w:r>
      <w:r>
        <w:rPr>
          <w:highlight w:val="white"/>
        </w:rPr>
        <w:t>) according to manufacturer handbook instructions.</w:t>
      </w:r>
      <w:r>
        <w:rPr>
          <w:sz w:val="24"/>
          <w:szCs w:val="24"/>
          <w:highlight w:val="white"/>
        </w:rPr>
        <w:t xml:space="preserve"> </w:t>
      </w:r>
      <w:r>
        <w:rPr>
          <w:highlight w:val="white"/>
        </w:rPr>
        <w:t xml:space="preserve">PCR products were sequenced with the corresponding primer using PyroMark Q96 </w:t>
      </w:r>
      <w:r w:rsidRPr="009E047C">
        <w:rPr>
          <w:highlight w:val="white"/>
        </w:rPr>
        <w:t>ID pyrosequencer (</w:t>
      </w:r>
      <w:r w:rsidRPr="009E047C">
        <w:t>QIAGEN Ltd.</w:t>
      </w:r>
      <w:r w:rsidRPr="009E047C">
        <w:rPr>
          <w:highlight w:val="white"/>
        </w:rPr>
        <w:t>) along and PyroMark Gold Q96 reagents (</w:t>
      </w:r>
      <w:r w:rsidRPr="009E047C">
        <w:t>QIAGEN Ltd.</w:t>
      </w:r>
      <w:r w:rsidRPr="009E047C">
        <w:rPr>
          <w:highlight w:val="white"/>
        </w:rPr>
        <w:t>). Analysis was performed using PyroMark Q96 ID Software 2.5 (</w:t>
      </w:r>
      <w:r w:rsidRPr="009E047C">
        <w:t>QIAGEN Ltd.</w:t>
      </w:r>
      <w:r w:rsidRPr="009E047C">
        <w:rPr>
          <w:highlight w:val="white"/>
        </w:rPr>
        <w:t xml:space="preserve">). </w:t>
      </w:r>
    </w:p>
    <w:p w14:paraId="7A77C2A1" w14:textId="18CC8575" w:rsidR="00796397" w:rsidRDefault="008053AD">
      <w:pPr>
        <w:jc w:val="both"/>
      </w:pPr>
      <w:r>
        <w:t>Validation s</w:t>
      </w:r>
      <w:r w:rsidR="00C545C9">
        <w:t>tatistical analysis was completed using IBM SPSS statistics v27. Univariate</w:t>
      </w:r>
      <w:r w:rsidR="0042745B">
        <w:t xml:space="preserve"> and multivariate </w:t>
      </w:r>
      <w:r w:rsidR="00C545C9">
        <w:t>logistic regression validate</w:t>
      </w:r>
      <w:r w:rsidR="001C3125">
        <w:t>d</w:t>
      </w:r>
      <w:r w:rsidR="00C545C9">
        <w:t xml:space="preserve"> the association between SNPs wit</w:t>
      </w:r>
      <w:r w:rsidR="0042745B">
        <w:t>hin the optimised model and ORN (supplementary methods)</w:t>
      </w:r>
      <w:r w:rsidR="007A40F6">
        <w:t>.</w:t>
      </w:r>
      <w:r w:rsidR="00C545C9">
        <w:t xml:space="preserve"> </w:t>
      </w:r>
    </w:p>
    <w:p w14:paraId="34AB3414" w14:textId="2CE8FC42" w:rsidR="00C87DD5" w:rsidRPr="000A3A43" w:rsidRDefault="00C545C9" w:rsidP="000A3A43">
      <w:pPr>
        <w:pStyle w:val="Heading2"/>
        <w:jc w:val="both"/>
        <w:rPr>
          <w:b/>
          <w:color w:val="auto"/>
        </w:rPr>
      </w:pPr>
      <w:bookmarkStart w:id="2" w:name="_8ozj3i9hhu5q" w:colFirst="0" w:colLast="0"/>
      <w:bookmarkEnd w:id="2"/>
      <w:r w:rsidRPr="0034091A">
        <w:rPr>
          <w:b/>
          <w:color w:val="auto"/>
        </w:rPr>
        <w:t>Results</w:t>
      </w:r>
    </w:p>
    <w:p w14:paraId="2331B4C2" w14:textId="2494F8BF" w:rsidR="00A71043" w:rsidRDefault="00A71043" w:rsidP="00372382">
      <w:pPr>
        <w:jc w:val="both"/>
        <w:rPr>
          <w:color w:val="000000"/>
        </w:rPr>
      </w:pPr>
      <w:bookmarkStart w:id="3" w:name="_x427wk2bsr2d" w:colFirst="0" w:colLast="0"/>
      <w:bookmarkEnd w:id="3"/>
      <w:r>
        <w:rPr>
          <w:color w:val="000000"/>
        </w:rPr>
        <w:t xml:space="preserve">Two patients were excluded from final modelling and validation analysis due to insufficient </w:t>
      </w:r>
      <w:r w:rsidR="006D11AC">
        <w:rPr>
          <w:color w:val="000000"/>
        </w:rPr>
        <w:t>DNA samples to allow PCR and pyrosequencing</w:t>
      </w:r>
      <w:r>
        <w:rPr>
          <w:color w:val="000000"/>
        </w:rPr>
        <w:t xml:space="preserve">.  Of the remaining 150, nine were highlighted as outliers based on the PCA of SNP data generated using the Illumina Infinium Global Array (Figure S1). Of the analysis set of 141 patients, the median age was 56 (range 16-78) and the majority (107/141, 76%) </w:t>
      </w:r>
      <w:r>
        <w:rPr>
          <w:color w:val="000000"/>
        </w:rPr>
        <w:lastRenderedPageBreak/>
        <w:t xml:space="preserve">were males. 63 (45%) patients were diagnosed with a primary oropharyngeal tumour and 54 (38%) primary oral cavity tumour; 57% (80/141) having stage 3 or 4 disease. Patients either received adjuvant radiotherapy (83/141, 59%), adjuvant chemoradiotherapy (15/141, 11%), </w:t>
      </w:r>
      <w:r w:rsidR="000B05DD">
        <w:rPr>
          <w:color w:val="000000"/>
        </w:rPr>
        <w:t xml:space="preserve">primary </w:t>
      </w:r>
      <w:r>
        <w:rPr>
          <w:color w:val="000000"/>
        </w:rPr>
        <w:t xml:space="preserve">radiotherapy (16/141, 11%) or </w:t>
      </w:r>
      <w:r w:rsidR="000B05DD">
        <w:rPr>
          <w:color w:val="000000"/>
        </w:rPr>
        <w:t>primary</w:t>
      </w:r>
      <w:r>
        <w:rPr>
          <w:color w:val="000000"/>
        </w:rPr>
        <w:t xml:space="preserve"> chemoradiotherapy (27/141, 19%). A total of 52 patients (including 2 patients from HOPON cohort) out of 141 (37%) developed ORN with no significant association on univariate analysis with sex, smoking, site of tumour, stage or treatment received (Table 1). The HOPON clinical trial excluded any patients taking bisphosphonates and none of the additional patients recruited had a history of taking bisphosphonates. </w:t>
      </w:r>
    </w:p>
    <w:p w14:paraId="4F2E962A" w14:textId="599ED89C" w:rsidR="00A71043" w:rsidRPr="00A71043" w:rsidRDefault="00A71043" w:rsidP="00A71043">
      <w:pPr>
        <w:spacing w:line="240" w:lineRule="auto"/>
        <w:jc w:val="both"/>
        <w:rPr>
          <w:rFonts w:ascii="Times New Roman" w:eastAsia="Times New Roman" w:hAnsi="Times New Roman" w:cs="Times New Roman"/>
          <w:sz w:val="24"/>
          <w:szCs w:val="24"/>
        </w:rPr>
      </w:pPr>
      <w:r w:rsidRPr="00A71043">
        <w:rPr>
          <w:rFonts w:eastAsia="Times New Roman"/>
          <w:color w:val="000000"/>
        </w:rPr>
        <w:t xml:space="preserve">A PCA analysis of the dataset showed no specific separation between ORN positive and negative patients. As shown in </w:t>
      </w:r>
      <w:r w:rsidR="006535BD">
        <w:rPr>
          <w:rFonts w:eastAsia="Times New Roman"/>
          <w:color w:val="000000"/>
        </w:rPr>
        <w:t>Supplementary Figure 1A</w:t>
      </w:r>
      <w:r w:rsidR="00EA6E25">
        <w:rPr>
          <w:rFonts w:eastAsia="Times New Roman"/>
          <w:color w:val="000000"/>
        </w:rPr>
        <w:t>, gender defined the two groups within the</w:t>
      </w:r>
      <w:r w:rsidRPr="00A71043">
        <w:rPr>
          <w:rFonts w:eastAsia="Times New Roman"/>
          <w:color w:val="000000"/>
        </w:rPr>
        <w:t xml:space="preserve"> dataset based on the amount of missing data representing the Y chromosome speci</w:t>
      </w:r>
      <w:r w:rsidR="00EA6E25">
        <w:rPr>
          <w:rFonts w:eastAsia="Times New Roman"/>
          <w:color w:val="000000"/>
        </w:rPr>
        <w:t>fic SNPs on the array. For id</w:t>
      </w:r>
      <w:r w:rsidRPr="00A71043">
        <w:rPr>
          <w:rFonts w:eastAsia="Times New Roman"/>
          <w:color w:val="000000"/>
        </w:rPr>
        <w:t>entification of significantly different SNPs betwe</w:t>
      </w:r>
      <w:r w:rsidR="00EA6E25">
        <w:rPr>
          <w:rFonts w:eastAsia="Times New Roman"/>
          <w:color w:val="000000"/>
        </w:rPr>
        <w:t xml:space="preserve">en ORN positive and negative cases, </w:t>
      </w:r>
      <w:r w:rsidRPr="00A71043">
        <w:rPr>
          <w:rFonts w:eastAsia="Times New Roman"/>
          <w:color w:val="000000"/>
        </w:rPr>
        <w:t>four additional covariates</w:t>
      </w:r>
      <w:r w:rsidR="00EA6E25">
        <w:rPr>
          <w:rFonts w:eastAsia="Times New Roman"/>
          <w:color w:val="000000"/>
        </w:rPr>
        <w:t xml:space="preserve"> were included</w:t>
      </w:r>
      <w:r>
        <w:rPr>
          <w:rFonts w:eastAsia="Times New Roman"/>
          <w:color w:val="000000"/>
        </w:rPr>
        <w:t>;</w:t>
      </w:r>
      <w:r w:rsidRPr="00A71043">
        <w:rPr>
          <w:rFonts w:eastAsia="Times New Roman"/>
          <w:color w:val="000000"/>
        </w:rPr>
        <w:t xml:space="preserve"> gender, age, alcohol </w:t>
      </w:r>
      <w:r w:rsidR="00EA6E25">
        <w:rPr>
          <w:rFonts w:eastAsia="Times New Roman"/>
          <w:color w:val="000000"/>
        </w:rPr>
        <w:t>consumption, and smoking status</w:t>
      </w:r>
      <w:r w:rsidRPr="00A71043">
        <w:rPr>
          <w:rFonts w:eastAsia="Times New Roman"/>
          <w:color w:val="000000"/>
        </w:rPr>
        <w:t>. This identified a total of 4053 SNPs</w:t>
      </w:r>
      <w:r w:rsidR="00716209">
        <w:rPr>
          <w:rFonts w:eastAsia="Times New Roman"/>
          <w:color w:val="000000"/>
        </w:rPr>
        <w:t xml:space="preserve"> (Table S2).</w:t>
      </w:r>
      <w:r w:rsidRPr="00A71043">
        <w:rPr>
          <w:rFonts w:eastAsia="Times New Roman"/>
          <w:color w:val="000000"/>
        </w:rPr>
        <w:t xml:space="preserve"> </w:t>
      </w:r>
    </w:p>
    <w:p w14:paraId="59F2125D" w14:textId="5A28D4BE" w:rsidR="00BD3B6E" w:rsidRPr="00BD3B6E" w:rsidRDefault="00EA6E25" w:rsidP="00A71043">
      <w:pPr>
        <w:spacing w:line="240" w:lineRule="auto"/>
        <w:jc w:val="both"/>
        <w:rPr>
          <w:rFonts w:eastAsia="Times New Roman"/>
        </w:rPr>
      </w:pPr>
      <w:r>
        <w:rPr>
          <w:rFonts w:eastAsia="Times New Roman"/>
          <w:color w:val="000000"/>
        </w:rPr>
        <w:t xml:space="preserve">The </w:t>
      </w:r>
      <w:r w:rsidR="00A71043" w:rsidRPr="00A71043">
        <w:rPr>
          <w:rFonts w:eastAsia="Times New Roman"/>
          <w:color w:val="000000"/>
        </w:rPr>
        <w:t>significant SNP list</w:t>
      </w:r>
      <w:r w:rsidR="001E192D">
        <w:rPr>
          <w:rFonts w:eastAsia="Times New Roman"/>
          <w:color w:val="000000"/>
        </w:rPr>
        <w:t>s</w:t>
      </w:r>
      <w:r>
        <w:rPr>
          <w:rFonts w:eastAsia="Times New Roman"/>
          <w:color w:val="000000"/>
        </w:rPr>
        <w:t xml:space="preserve"> were compared</w:t>
      </w:r>
      <w:r w:rsidR="00A71043" w:rsidRPr="00A71043">
        <w:rPr>
          <w:rFonts w:eastAsia="Times New Roman"/>
          <w:color w:val="000000"/>
        </w:rPr>
        <w:t xml:space="preserve"> with the data within the 1000 Genomes Project [</w:t>
      </w:r>
      <w:r w:rsidR="003A243C" w:rsidRPr="00A71043">
        <w:rPr>
          <w:rFonts w:eastAsia="Times New Roman"/>
          <w:color w:val="000000"/>
          <w:szCs w:val="13"/>
          <w:vertAlign w:val="superscript"/>
        </w:rPr>
        <w:t>2</w:t>
      </w:r>
      <w:r w:rsidR="003A243C">
        <w:rPr>
          <w:rFonts w:eastAsia="Times New Roman"/>
          <w:color w:val="000000"/>
          <w:szCs w:val="13"/>
          <w:vertAlign w:val="superscript"/>
        </w:rPr>
        <w:t>3</w:t>
      </w:r>
      <w:r w:rsidR="00A71043" w:rsidRPr="00A71043">
        <w:rPr>
          <w:rFonts w:eastAsia="Times New Roman"/>
          <w:color w:val="000000"/>
        </w:rPr>
        <w:t>] and HapMap [</w:t>
      </w:r>
      <w:r w:rsidR="003A243C">
        <w:rPr>
          <w:rFonts w:eastAsia="Times New Roman"/>
          <w:color w:val="000000"/>
          <w:szCs w:val="13"/>
          <w:vertAlign w:val="superscript"/>
        </w:rPr>
        <w:t>24</w:t>
      </w:r>
      <w:r w:rsidR="00A71043" w:rsidRPr="00A71043">
        <w:rPr>
          <w:rFonts w:eastAsia="Times New Roman"/>
          <w:color w:val="000000"/>
        </w:rPr>
        <w:t xml:space="preserve">], as expected, controls clustered closely together with the European population within </w:t>
      </w:r>
      <w:r w:rsidR="00A71043" w:rsidRPr="00E013AF">
        <w:rPr>
          <w:rFonts w:eastAsia="Times New Roman"/>
        </w:rPr>
        <w:t xml:space="preserve">the 1000 Genome Project (Figure </w:t>
      </w:r>
      <w:r w:rsidR="00716209" w:rsidRPr="00E013AF">
        <w:rPr>
          <w:rFonts w:eastAsia="Times New Roman"/>
        </w:rPr>
        <w:t>S</w:t>
      </w:r>
      <w:r w:rsidR="00A71043" w:rsidRPr="00E013AF">
        <w:rPr>
          <w:rFonts w:eastAsia="Times New Roman"/>
        </w:rPr>
        <w:t>2). </w:t>
      </w:r>
    </w:p>
    <w:p w14:paraId="6BB60E68" w14:textId="77777777" w:rsidR="00BD3B6E" w:rsidRDefault="00A71043" w:rsidP="00A71043">
      <w:pPr>
        <w:spacing w:line="240" w:lineRule="auto"/>
        <w:jc w:val="both"/>
        <w:rPr>
          <w:rFonts w:eastAsia="Times New Roman"/>
          <w:color w:val="000000"/>
        </w:rPr>
      </w:pPr>
      <w:r w:rsidRPr="00A71043">
        <w:rPr>
          <w:rFonts w:eastAsia="Times New Roman"/>
          <w:color w:val="000000"/>
        </w:rPr>
        <w:t xml:space="preserve">Annotation of the SNPs identified 1764 overlapped genes and 483 genes within 10000 bases of their position. </w:t>
      </w:r>
      <w:r w:rsidR="00BD3B6E" w:rsidRPr="00A71043">
        <w:rPr>
          <w:rFonts w:eastAsia="Times New Roman"/>
          <w:color w:val="000000"/>
        </w:rPr>
        <w:t>To better understand the genes the SNPs might have affected, separate functional enrichment analyses of the directly overlapped and nearest genes</w:t>
      </w:r>
      <w:r w:rsidR="00BD3B6E">
        <w:rPr>
          <w:rFonts w:eastAsia="Times New Roman"/>
          <w:color w:val="000000"/>
        </w:rPr>
        <w:t xml:space="preserve"> took place</w:t>
      </w:r>
      <w:r w:rsidR="00BD3B6E" w:rsidRPr="00A71043">
        <w:rPr>
          <w:rFonts w:eastAsia="Times New Roman"/>
          <w:color w:val="000000"/>
        </w:rPr>
        <w:t>.</w:t>
      </w:r>
    </w:p>
    <w:p w14:paraId="1AE0836D" w14:textId="7E38CFBE" w:rsidR="00BD3B6E" w:rsidRDefault="00A71043" w:rsidP="00A71043">
      <w:pPr>
        <w:spacing w:line="240" w:lineRule="auto"/>
        <w:jc w:val="both"/>
        <w:rPr>
          <w:rFonts w:ascii="Times New Roman" w:eastAsia="Times New Roman" w:hAnsi="Times New Roman" w:cs="Times New Roman"/>
          <w:sz w:val="24"/>
          <w:szCs w:val="24"/>
        </w:rPr>
      </w:pPr>
      <w:r w:rsidRPr="00A71043">
        <w:rPr>
          <w:rFonts w:eastAsia="Times New Roman"/>
          <w:color w:val="000000"/>
        </w:rPr>
        <w:t>Functional enrichment of the directly overlapping g</w:t>
      </w:r>
      <w:r>
        <w:rPr>
          <w:rFonts w:eastAsia="Times New Roman"/>
          <w:color w:val="000000"/>
        </w:rPr>
        <w:t>eneset (based on the 1764 genes</w:t>
      </w:r>
      <w:r w:rsidRPr="00A71043">
        <w:rPr>
          <w:rFonts w:eastAsia="Times New Roman"/>
          <w:color w:val="000000"/>
        </w:rPr>
        <w:t>) highlighted cell junction organization, parasympathetic nervous system development, synapse organisation and neuron differentiation</w:t>
      </w:r>
      <w:r w:rsidR="00A11792">
        <w:rPr>
          <w:rFonts w:eastAsia="Times New Roman"/>
          <w:color w:val="000000"/>
        </w:rPr>
        <w:t xml:space="preserve"> (Figure S3 and Table S2)</w:t>
      </w:r>
      <w:r w:rsidRPr="00A71043">
        <w:rPr>
          <w:rFonts w:eastAsia="Times New Roman"/>
          <w:color w:val="000000"/>
        </w:rPr>
        <w:t>. </w:t>
      </w:r>
      <w:r w:rsidR="006C377E">
        <w:rPr>
          <w:rFonts w:ascii="Times New Roman" w:eastAsia="Times New Roman" w:hAnsi="Times New Roman" w:cs="Times New Roman"/>
          <w:sz w:val="24"/>
          <w:szCs w:val="24"/>
        </w:rPr>
        <w:t xml:space="preserve"> </w:t>
      </w:r>
    </w:p>
    <w:p w14:paraId="1AC5A94C" w14:textId="5D121D83" w:rsidR="00BD3B6E" w:rsidRPr="00BD3B6E" w:rsidRDefault="00A71043" w:rsidP="00A71043">
      <w:pPr>
        <w:spacing w:line="240" w:lineRule="auto"/>
        <w:jc w:val="both"/>
        <w:rPr>
          <w:rFonts w:eastAsia="Times New Roman"/>
        </w:rPr>
      </w:pPr>
      <w:r w:rsidRPr="00A71043">
        <w:rPr>
          <w:rFonts w:eastAsia="Times New Roman"/>
          <w:color w:val="000000"/>
        </w:rPr>
        <w:t xml:space="preserve">Genes within 10000bp to SNPs without direct gene overlap enriched again in nervous system development, bone remodelling, and immune system relevant functions such as CD4+/CD25+ T cell </w:t>
      </w:r>
      <w:r w:rsidRPr="00E013AF">
        <w:rPr>
          <w:rFonts w:eastAsia="Times New Roman"/>
        </w:rPr>
        <w:t xml:space="preserve">differentiation.  </w:t>
      </w:r>
    </w:p>
    <w:p w14:paraId="24C9CB92" w14:textId="4D85A288" w:rsidR="0042745B" w:rsidRDefault="00372382">
      <w:pPr>
        <w:jc w:val="both"/>
      </w:pPr>
      <w:r>
        <w:t xml:space="preserve">To test whether the allele frequencies could predict ORN, feature selection methodology was applied to the data. First the coded allele usage for each sample was extracted and used in a genetic algorithm based feature selection methodology (GALGO). In conjunction with a </w:t>
      </w:r>
      <w:r w:rsidR="00986790">
        <w:t>RF</w:t>
      </w:r>
      <w:r>
        <w:t xml:space="preserve"> classifier, small sets of SNPs able to predict ORN within </w:t>
      </w:r>
      <w:r w:rsidR="004032CA">
        <w:t>this patient cohort</w:t>
      </w:r>
      <w:r>
        <w:t xml:space="preserve"> were identified. </w:t>
      </w:r>
      <w:r w:rsidR="0042745B">
        <w:t>GALGO uses a dual training and test strategy linked with a cross-validation methodology to overcome overtraining of the models. The first training split is further split into a second level training/test split which is then used to generate a set of models. To ensure we covered a large enough search space we developed 5000 models.</w:t>
      </w:r>
      <w:r w:rsidR="00BD3B6E">
        <w:t xml:space="preserve">  </w:t>
      </w:r>
      <w:r>
        <w:t>All 5000 models</w:t>
      </w:r>
      <w:r w:rsidR="00F40DEC">
        <w:t xml:space="preserve"> generated </w:t>
      </w:r>
      <w:r>
        <w:t>reached an accuracy of least 92%</w:t>
      </w:r>
      <w:r w:rsidR="00BD3B6E" w:rsidRPr="00BD3B6E">
        <w:t xml:space="preserve"> </w:t>
      </w:r>
      <w:r w:rsidR="00BD3B6E">
        <w:t>within the second level split</w:t>
      </w:r>
      <w:r>
        <w:t xml:space="preserve">. To develop </w:t>
      </w:r>
      <w:r w:rsidR="00F40DEC">
        <w:t>the most robust and</w:t>
      </w:r>
      <w:r>
        <w:t xml:space="preserve"> representative</w:t>
      </w:r>
      <w:r w:rsidR="00BD3B6E">
        <w:t xml:space="preserve"> predictive model,</w:t>
      </w:r>
      <w:r>
        <w:t xml:space="preserve"> a forward selection approach on the initial training and test split </w:t>
      </w:r>
      <w:r w:rsidR="00CD4CB3">
        <w:t xml:space="preserve">was applied </w:t>
      </w:r>
      <w:r>
        <w:t xml:space="preserve">(Figure </w:t>
      </w:r>
      <w:r w:rsidR="00365AFC">
        <w:t>1</w:t>
      </w:r>
      <w:r>
        <w:t xml:space="preserve">). The resulting model highlighted that while the control samples were well predicted, ORN cases could be predicted with approximately 70% accuracy (Figure </w:t>
      </w:r>
      <w:r w:rsidR="00365AFC">
        <w:t>1A</w:t>
      </w:r>
      <w:r>
        <w:t xml:space="preserve">). Here the best </w:t>
      </w:r>
      <w:r w:rsidR="004032CA">
        <w:t xml:space="preserve">performing </w:t>
      </w:r>
      <w:r>
        <w:t xml:space="preserve">model reached an </w:t>
      </w:r>
      <w:r w:rsidR="004032CA">
        <w:t xml:space="preserve">overall </w:t>
      </w:r>
      <w:r>
        <w:t xml:space="preserve">accuracy of 82%. To test whether this model could be </w:t>
      </w:r>
      <w:r w:rsidR="004032CA">
        <w:t>optimised,</w:t>
      </w:r>
      <w:r>
        <w:t xml:space="preserve"> the backward selection procedure within GALGO </w:t>
      </w:r>
      <w:r w:rsidR="004032CA">
        <w:t>removed</w:t>
      </w:r>
      <w:r>
        <w:t xml:space="preserve"> excess features from th</w:t>
      </w:r>
      <w:r w:rsidR="00BD3B6E">
        <w:t>e</w:t>
      </w:r>
      <w:r>
        <w:t xml:space="preserve"> representative model. This resulted in a list of 18 SNPs that within the initial tra</w:t>
      </w:r>
      <w:r w:rsidR="009021C6">
        <w:t xml:space="preserve">ining and test split achieved </w:t>
      </w:r>
      <w:r>
        <w:t xml:space="preserve">92% accuracy </w:t>
      </w:r>
      <w:r w:rsidRPr="0088709C">
        <w:t xml:space="preserve">(Table </w:t>
      </w:r>
      <w:r w:rsidR="001D2EBD">
        <w:t>S</w:t>
      </w:r>
      <w:r w:rsidRPr="0088709C">
        <w:t>3).</w:t>
      </w:r>
      <w:r>
        <w:t xml:space="preserve"> </w:t>
      </w:r>
      <w:r w:rsidR="00BF4745">
        <w:t>T</w:t>
      </w:r>
      <w:r>
        <w:t xml:space="preserve">he model </w:t>
      </w:r>
      <w:r w:rsidR="00BF4745">
        <w:t xml:space="preserve">was tested </w:t>
      </w:r>
      <w:r>
        <w:t xml:space="preserve">against numerous first splits within GALGO and </w:t>
      </w:r>
      <w:r w:rsidR="00BF4745">
        <w:t>confirmed a good prediction for t</w:t>
      </w:r>
      <w:r>
        <w:t xml:space="preserve">he majority of control samples </w:t>
      </w:r>
      <w:r w:rsidR="00BF4745">
        <w:t>(</w:t>
      </w:r>
      <w:r>
        <w:t xml:space="preserve">Figure </w:t>
      </w:r>
      <w:r w:rsidR="00365AFC">
        <w:t>1B</w:t>
      </w:r>
      <w:r>
        <w:t>). Several ORN cases, however, were misclassified.</w:t>
      </w:r>
    </w:p>
    <w:p w14:paraId="6B82E8FE" w14:textId="6D94B2BD" w:rsidR="0088709C" w:rsidRPr="0088709C" w:rsidRDefault="0088709C" w:rsidP="0088709C">
      <w:pPr>
        <w:jc w:val="both"/>
      </w:pPr>
      <w:r>
        <w:rPr>
          <w:color w:val="000000"/>
        </w:rPr>
        <w:lastRenderedPageBreak/>
        <w:t>I</w:t>
      </w:r>
      <w:r w:rsidR="00F24832">
        <w:rPr>
          <w:color w:val="000000"/>
        </w:rPr>
        <w:t xml:space="preserve">n order to internally validate </w:t>
      </w:r>
      <w:r>
        <w:rPr>
          <w:color w:val="000000"/>
        </w:rPr>
        <w:t>optimised 18 SNP model</w:t>
      </w:r>
      <w:r w:rsidR="009021C6">
        <w:rPr>
          <w:color w:val="000000"/>
        </w:rPr>
        <w:t>,</w:t>
      </w:r>
      <w:r>
        <w:rPr>
          <w:color w:val="000000"/>
        </w:rPr>
        <w:t xml:space="preserve"> both univariate (UVA) and multivariate (MVA) regression analysis </w:t>
      </w:r>
      <w:r w:rsidR="00F24832">
        <w:rPr>
          <w:color w:val="000000"/>
        </w:rPr>
        <w:t xml:space="preserve">took place </w:t>
      </w:r>
      <w:r>
        <w:rPr>
          <w:color w:val="000000"/>
        </w:rPr>
        <w:t>on a representative selection of ten targets</w:t>
      </w:r>
      <w:r w:rsidR="00F24832">
        <w:rPr>
          <w:color w:val="000000"/>
        </w:rPr>
        <w:t>,</w:t>
      </w:r>
      <w:r>
        <w:rPr>
          <w:color w:val="000000"/>
        </w:rPr>
        <w:t xml:space="preserve"> using pyrosequencing data from our set of 141 patients (</w:t>
      </w:r>
      <w:r w:rsidR="001D2EBD">
        <w:rPr>
          <w:color w:val="000000"/>
        </w:rPr>
        <w:t>T</w:t>
      </w:r>
      <w:r>
        <w:rPr>
          <w:color w:val="000000"/>
        </w:rPr>
        <w:t xml:space="preserve">able </w:t>
      </w:r>
      <w:r w:rsidR="001D2EBD">
        <w:rPr>
          <w:color w:val="000000"/>
        </w:rPr>
        <w:t>S3</w:t>
      </w:r>
      <w:r w:rsidR="003F288E">
        <w:rPr>
          <w:color w:val="000000"/>
        </w:rPr>
        <w:t xml:space="preserve"> and Table S4</w:t>
      </w:r>
      <w:r>
        <w:rPr>
          <w:color w:val="000000"/>
        </w:rPr>
        <w:t>). When significant variables on UVA were incorporated into MVA, the model yielding the lowest AIC (117.5) excluded rs2105042 and rs11605273 whilst retaining rs34798038, rs6011731, rs2348569, rs530752, rs7477958, rs1415848.   Significant genotypes were heterozygote rs34798038 (A/G) (p 0.006), rs6011731 (</w:t>
      </w:r>
      <w:r w:rsidR="0049107E">
        <w:rPr>
          <w:color w:val="000000"/>
        </w:rPr>
        <w:t>C/T</w:t>
      </w:r>
      <w:r>
        <w:rPr>
          <w:color w:val="000000"/>
        </w:rPr>
        <w:t xml:space="preserve">) (p 0.018) and rs530752 (A/G) (p 0.046) along with the rarer variant homozygote genotype for rs2348569 (G/G) (p 0.005) (Table 2). This model produced ROC with AUC 0.859 and was a good fit to the data </w:t>
      </w:r>
      <w:r w:rsidR="00140AE5">
        <w:rPr>
          <w:color w:val="000000"/>
        </w:rPr>
        <w:t xml:space="preserve">(H-L test </w:t>
      </w:r>
      <w:r>
        <w:rPr>
          <w:color w:val="000000"/>
        </w:rPr>
        <w:t>p&gt;0.05). To further test model perform</w:t>
      </w:r>
      <w:r w:rsidR="00F24832">
        <w:rPr>
          <w:color w:val="000000"/>
        </w:rPr>
        <w:t>ance</w:t>
      </w:r>
      <w:r>
        <w:rPr>
          <w:color w:val="000000"/>
        </w:rPr>
        <w:t xml:space="preserve"> </w:t>
      </w:r>
      <w:r w:rsidR="007A0528">
        <w:rPr>
          <w:color w:val="000000"/>
        </w:rPr>
        <w:t xml:space="preserve">these steps were </w:t>
      </w:r>
      <w:r w:rsidR="00F24832">
        <w:rPr>
          <w:color w:val="000000"/>
        </w:rPr>
        <w:t xml:space="preserve">repeated </w:t>
      </w:r>
      <w:r>
        <w:rPr>
          <w:color w:val="000000"/>
        </w:rPr>
        <w:t xml:space="preserve">with the inclusion of the nine patients removed during the SNP array </w:t>
      </w:r>
      <w:r w:rsidR="00140AE5">
        <w:rPr>
          <w:color w:val="000000"/>
        </w:rPr>
        <w:t>PCA</w:t>
      </w:r>
      <w:r>
        <w:rPr>
          <w:color w:val="000000"/>
        </w:rPr>
        <w:t>. This resulted in a marginally smaller AUC of 0.853.</w:t>
      </w:r>
    </w:p>
    <w:p w14:paraId="632C3BBC" w14:textId="3464A250" w:rsidR="00F443E9" w:rsidRDefault="006C377E" w:rsidP="0088709C">
      <w:pPr>
        <w:pStyle w:val="Heading2"/>
        <w:jc w:val="both"/>
        <w:rPr>
          <w:rFonts w:ascii="Calibri" w:hAnsi="Calibri" w:cs="Calibri"/>
          <w:color w:val="000000"/>
          <w:sz w:val="22"/>
          <w:szCs w:val="22"/>
        </w:rPr>
      </w:pPr>
      <w:bookmarkStart w:id="4" w:name="_96iljvuqu31i" w:colFirst="0" w:colLast="0"/>
      <w:bookmarkStart w:id="5" w:name="_np4dnf3ogkut" w:colFirst="0" w:colLast="0"/>
      <w:bookmarkStart w:id="6" w:name="_ktj10glpjivi" w:colFirst="0" w:colLast="0"/>
      <w:bookmarkEnd w:id="4"/>
      <w:bookmarkEnd w:id="5"/>
      <w:bookmarkEnd w:id="6"/>
      <w:r>
        <w:rPr>
          <w:rFonts w:ascii="Calibri" w:hAnsi="Calibri" w:cs="Calibri"/>
          <w:color w:val="000000"/>
          <w:sz w:val="22"/>
          <w:szCs w:val="22"/>
        </w:rPr>
        <w:t>T</w:t>
      </w:r>
      <w:r w:rsidR="00F443E9">
        <w:rPr>
          <w:rFonts w:ascii="Calibri" w:hAnsi="Calibri" w:cs="Calibri"/>
          <w:color w:val="000000"/>
          <w:sz w:val="22"/>
          <w:szCs w:val="22"/>
        </w:rPr>
        <w:t xml:space="preserve">he SNP rs1800469 (TGF-β1) </w:t>
      </w:r>
      <w:r>
        <w:rPr>
          <w:rFonts w:ascii="Calibri" w:hAnsi="Calibri" w:cs="Calibri"/>
          <w:color w:val="000000"/>
          <w:sz w:val="22"/>
          <w:szCs w:val="22"/>
        </w:rPr>
        <w:t>approached</w:t>
      </w:r>
      <w:r w:rsidR="00F443E9">
        <w:rPr>
          <w:rFonts w:ascii="Calibri" w:hAnsi="Calibri" w:cs="Calibri"/>
          <w:color w:val="000000"/>
          <w:sz w:val="22"/>
          <w:szCs w:val="22"/>
        </w:rPr>
        <w:t xml:space="preserve"> significance (p 0.07) within the wider model [</w:t>
      </w:r>
      <w:r w:rsidR="003A243C">
        <w:rPr>
          <w:rFonts w:ascii="Calibri" w:hAnsi="Calibri" w:cs="Calibri"/>
          <w:color w:val="000000"/>
          <w:sz w:val="22"/>
          <w:szCs w:val="22"/>
          <w:vertAlign w:val="superscript"/>
        </w:rPr>
        <w:t>7</w:t>
      </w:r>
      <w:r>
        <w:rPr>
          <w:rFonts w:ascii="Calibri" w:hAnsi="Calibri" w:cs="Calibri"/>
          <w:color w:val="000000"/>
          <w:sz w:val="22"/>
          <w:szCs w:val="22"/>
        </w:rPr>
        <w:t>], however t</w:t>
      </w:r>
      <w:r w:rsidR="00F443E9">
        <w:rPr>
          <w:rFonts w:ascii="Calibri" w:hAnsi="Calibri" w:cs="Calibri"/>
          <w:color w:val="000000"/>
          <w:sz w:val="22"/>
          <w:szCs w:val="22"/>
        </w:rPr>
        <w:t xml:space="preserve">he presence of the rarer C/T or T/T allele were not found to be significant </w:t>
      </w:r>
      <w:r>
        <w:rPr>
          <w:rFonts w:ascii="Calibri" w:hAnsi="Calibri" w:cs="Calibri"/>
          <w:color w:val="000000"/>
          <w:sz w:val="22"/>
          <w:szCs w:val="22"/>
        </w:rPr>
        <w:t>on UVA during validation</w:t>
      </w:r>
      <w:r w:rsidR="00F443E9">
        <w:rPr>
          <w:rFonts w:ascii="Calibri" w:hAnsi="Calibri" w:cs="Calibri"/>
          <w:color w:val="000000"/>
          <w:sz w:val="22"/>
          <w:szCs w:val="22"/>
        </w:rPr>
        <w:t xml:space="preserve"> (</w:t>
      </w:r>
      <w:r w:rsidR="00C67D85">
        <w:rPr>
          <w:rFonts w:ascii="Calibri" w:hAnsi="Calibri" w:cs="Calibri"/>
          <w:color w:val="000000"/>
          <w:sz w:val="22"/>
          <w:szCs w:val="22"/>
        </w:rPr>
        <w:t>Table S4</w:t>
      </w:r>
      <w:r w:rsidR="00F443E9">
        <w:rPr>
          <w:rFonts w:ascii="Calibri" w:hAnsi="Calibri" w:cs="Calibri"/>
          <w:color w:val="000000"/>
          <w:sz w:val="22"/>
          <w:szCs w:val="22"/>
        </w:rPr>
        <w:t xml:space="preserve">).  Other SNPs previously reported within candidate gene studies to be associated with ORN </w:t>
      </w:r>
      <w:r w:rsidR="00F443E9" w:rsidRPr="0088709C">
        <w:rPr>
          <w:rFonts w:ascii="Calibri" w:hAnsi="Calibri" w:cs="Calibri"/>
          <w:color w:val="000000"/>
          <w:sz w:val="22"/>
          <w:szCs w:val="22"/>
        </w:rPr>
        <w:t>[</w:t>
      </w:r>
      <w:r w:rsidR="003A243C">
        <w:rPr>
          <w:rFonts w:ascii="Calibri" w:hAnsi="Calibri" w:cs="Calibri"/>
          <w:color w:val="000000"/>
          <w:sz w:val="22"/>
          <w:szCs w:val="22"/>
          <w:vertAlign w:val="superscript"/>
        </w:rPr>
        <w:t>8,9,21</w:t>
      </w:r>
      <w:r w:rsidR="00F443E9">
        <w:rPr>
          <w:rFonts w:ascii="Calibri" w:hAnsi="Calibri" w:cs="Calibri"/>
          <w:color w:val="000000"/>
          <w:sz w:val="22"/>
          <w:szCs w:val="22"/>
        </w:rPr>
        <w:t xml:space="preserve">] did not retain significance; rs1695 within GSTP1 (p 0.258), rs1042522 pro allele of TP53 (p 0.557), rs1047768 within ERCC5 (p 0.146), and rs25487 within XRCC1 (p 0.307). </w:t>
      </w:r>
    </w:p>
    <w:p w14:paraId="1C657786" w14:textId="77777777" w:rsidR="00F443E9" w:rsidRDefault="00F443E9">
      <w:pPr>
        <w:pStyle w:val="Heading2"/>
        <w:rPr>
          <w:rFonts w:ascii="Calibri" w:hAnsi="Calibri" w:cs="Calibri"/>
          <w:color w:val="000000"/>
          <w:sz w:val="22"/>
          <w:szCs w:val="22"/>
        </w:rPr>
      </w:pPr>
    </w:p>
    <w:p w14:paraId="6E4AF264" w14:textId="32FC841F" w:rsidR="00796397" w:rsidRPr="00E013AF" w:rsidRDefault="00C545C9">
      <w:pPr>
        <w:pStyle w:val="Heading2"/>
        <w:rPr>
          <w:b/>
          <w:color w:val="auto"/>
        </w:rPr>
      </w:pPr>
      <w:r w:rsidRPr="00E013AF">
        <w:rPr>
          <w:b/>
          <w:color w:val="auto"/>
        </w:rPr>
        <w:t xml:space="preserve">Discussion: </w:t>
      </w:r>
    </w:p>
    <w:p w14:paraId="4C41EB8D" w14:textId="21D42DE2" w:rsidR="00796397" w:rsidRDefault="00C545C9">
      <w:pPr>
        <w:shd w:val="clear" w:color="auto" w:fill="FFFFFF"/>
        <w:spacing w:before="240" w:after="0"/>
        <w:jc w:val="both"/>
      </w:pPr>
      <w:r>
        <w:t xml:space="preserve">We set out to discover novel genetic variants which may affect the probability of developing ORN following head and neck radiotherapy. Our optimised predictive model encapsulates 18 SNPs which distinguish control and ORN cases. When validated, six SNPs were retained within the model and </w:t>
      </w:r>
      <w:r w:rsidR="00BE1140">
        <w:t>four</w:t>
      </w:r>
      <w:r>
        <w:t xml:space="preserve"> genotypes significantly reduced the likelihood of developing ORN; rs2348569 (G/G), </w:t>
      </w:r>
      <w:r w:rsidR="0049107E">
        <w:t>rs34798038 (A/G), rs6011731 (C/T</w:t>
      </w:r>
      <w:r>
        <w:t xml:space="preserve">) </w:t>
      </w:r>
      <w:r w:rsidR="00454D64">
        <w:t xml:space="preserve">and </w:t>
      </w:r>
      <w:r w:rsidR="00454D64" w:rsidRPr="003E002D">
        <w:t>rs530752</w:t>
      </w:r>
      <w:r w:rsidR="00454D64">
        <w:t xml:space="preserve"> (A/G) </w:t>
      </w:r>
      <w:r>
        <w:t xml:space="preserve">(Table </w:t>
      </w:r>
      <w:r w:rsidR="005A6B47">
        <w:t>2</w:t>
      </w:r>
      <w:r>
        <w:t xml:space="preserve">). </w:t>
      </w:r>
    </w:p>
    <w:p w14:paraId="5F8CD357" w14:textId="5C68DD12" w:rsidR="00AD1701" w:rsidRDefault="00C545C9" w:rsidP="005012DE">
      <w:pPr>
        <w:shd w:val="clear" w:color="auto" w:fill="FFFFFF"/>
        <w:spacing w:before="240" w:after="0"/>
        <w:jc w:val="both"/>
      </w:pPr>
      <w:r w:rsidRPr="005012DE">
        <w:t>To our knowledge this is the first GWAS experim</w:t>
      </w:r>
      <w:r w:rsidR="000E78BF">
        <w:t>e</w:t>
      </w:r>
      <w:r w:rsidRPr="005012DE">
        <w:t xml:space="preserve">nt investigating ORN as a long term </w:t>
      </w:r>
      <w:r w:rsidR="000E24C7" w:rsidRPr="005012DE">
        <w:t xml:space="preserve">radiotherapy </w:t>
      </w:r>
      <w:r w:rsidRPr="005012DE">
        <w:t xml:space="preserve">toxicity outcome. The bioresource obtained from patients recruited to the CRUK HOPON study provided a </w:t>
      </w:r>
      <w:r w:rsidR="00D00029" w:rsidRPr="005012DE">
        <w:t>uniquely well characterised and relevant</w:t>
      </w:r>
      <w:r w:rsidRPr="005012DE">
        <w:t xml:space="preserve"> control cohort and the means to investigate a binary outcome with very few confounding factors. In maintaining such unrivalled clean cohorts with blinded assessment of ORN, we have avoided the ‘noise’ of data pooling/multiple outcomes seen in other radiogenomic GWAS experiments. </w:t>
      </w:r>
    </w:p>
    <w:p w14:paraId="60B06C12" w14:textId="52ABAEDD" w:rsidR="00796397" w:rsidRDefault="00C545C9" w:rsidP="005012DE">
      <w:pPr>
        <w:shd w:val="clear" w:color="auto" w:fill="FFFFFF"/>
        <w:spacing w:after="0"/>
        <w:jc w:val="both"/>
        <w:rPr>
          <w:color w:val="212121"/>
        </w:rPr>
      </w:pPr>
      <w:r w:rsidRPr="005012DE">
        <w:t>The pathophysiology of ORN is poorly understood and theories have evolved from infection following trauma to treatment induced cellular and vascular damage leading to hypoxia and tissue breakdown [</w:t>
      </w:r>
      <w:r w:rsidR="003A243C">
        <w:rPr>
          <w:vertAlign w:val="superscript"/>
        </w:rPr>
        <w:t>25,26</w:t>
      </w:r>
      <w:r w:rsidRPr="005012DE">
        <w:t xml:space="preserve">]. More recently, reactive oxygen species (induced through the acute inflammatory response) are thought to </w:t>
      </w:r>
      <w:r w:rsidR="00AD1701">
        <w:t>dysregulate</w:t>
      </w:r>
      <w:r w:rsidRPr="005012DE">
        <w:t xml:space="preserve"> collagen and fibrotic pathways [</w:t>
      </w:r>
      <w:r w:rsidR="003A243C">
        <w:rPr>
          <w:vertAlign w:val="superscript"/>
        </w:rPr>
        <w:t>27</w:t>
      </w:r>
      <w:r w:rsidRPr="005012DE">
        <w:t>]. The resultant promotion of fibrosis and prevention of effective vascularisation has been confirmed through the examination of dento-alveolar bone cores following irradiation; a reduction in microcapillaries correlating to increasing doses [</w:t>
      </w:r>
      <w:r w:rsidR="003A243C">
        <w:rPr>
          <w:vertAlign w:val="superscript"/>
        </w:rPr>
        <w:t>28</w:t>
      </w:r>
      <w:r w:rsidR="0049107E">
        <w:t>]. The heterozygote variant (C/T</w:t>
      </w:r>
      <w:r w:rsidRPr="005012DE">
        <w:t xml:space="preserve">) SNP rs6011731 (p 0.018, OR 0.172) included within validation </w:t>
      </w:r>
      <w:r w:rsidR="00C732B9">
        <w:t>is</w:t>
      </w:r>
      <w:r w:rsidRPr="005012DE">
        <w:t xml:space="preserve"> located within </w:t>
      </w:r>
      <w:r w:rsidRPr="005012DE">
        <w:rPr>
          <w:color w:val="212121"/>
        </w:rPr>
        <w:t>COL20A1 (collagen type XX alpha 1 chain)</w:t>
      </w:r>
      <w:r w:rsidRPr="005012DE">
        <w:t>. This gene e</w:t>
      </w:r>
      <w:r w:rsidRPr="005012DE">
        <w:rPr>
          <w:color w:val="212121"/>
        </w:rPr>
        <w:t>ncodes pro-alpha 1 chain of type 1 collag</w:t>
      </w:r>
      <w:r w:rsidR="00AD1701">
        <w:rPr>
          <w:color w:val="212121"/>
        </w:rPr>
        <w:t>en which plays a key role in</w:t>
      </w:r>
      <w:r w:rsidRPr="005012DE">
        <w:rPr>
          <w:color w:val="212121"/>
        </w:rPr>
        <w:t xml:space="preserve"> assembly of collagen fibrils, organisation of extracellular matrix and tissue repair [</w:t>
      </w:r>
      <w:r w:rsidR="003A243C">
        <w:rPr>
          <w:color w:val="212121"/>
          <w:vertAlign w:val="superscript"/>
        </w:rPr>
        <w:t>29,30</w:t>
      </w:r>
      <w:r w:rsidRPr="005012DE">
        <w:rPr>
          <w:color w:val="212121"/>
        </w:rPr>
        <w:t>]. It is also a participant in the integrin pathway which ultimately results in inhibition of angiogenesis via thrombospondin 1 (TSP1) [</w:t>
      </w:r>
      <w:r w:rsidR="003A243C">
        <w:rPr>
          <w:color w:val="212121"/>
          <w:vertAlign w:val="superscript"/>
        </w:rPr>
        <w:t>31</w:t>
      </w:r>
      <w:r w:rsidRPr="005012DE">
        <w:rPr>
          <w:color w:val="212121"/>
        </w:rPr>
        <w:t xml:space="preserve">]. Similarly the heterozygote (A/G) </w:t>
      </w:r>
      <w:r w:rsidRPr="005012DE">
        <w:t xml:space="preserve">rs34798038 </w:t>
      </w:r>
      <w:r w:rsidRPr="005012DE">
        <w:rPr>
          <w:color w:val="212121"/>
        </w:rPr>
        <w:t xml:space="preserve">was seen to reduce the odds of developing ORN (p 0.006, OR 0.048). This SNP lies within </w:t>
      </w:r>
      <w:r w:rsidRPr="005012DE">
        <w:t xml:space="preserve">transducin like enhancer of split 4 (TLE 4) which is a member of TLE family of </w:t>
      </w:r>
      <w:r w:rsidRPr="005012DE">
        <w:lastRenderedPageBreak/>
        <w:t>transcription repressor genes involved in regulating a number of pathways, including expression of WNT signalling and Runx2/Cbfa1 (that codes for a protein essential for osteoblast differentiation) [</w:t>
      </w:r>
      <w:r w:rsidR="003A243C">
        <w:rPr>
          <w:vertAlign w:val="superscript"/>
        </w:rPr>
        <w:t>32,33</w:t>
      </w:r>
      <w:r w:rsidRPr="005012DE">
        <w:t>]. The knock out of this gene in murine models has led to defective bone mineralisation and cortical bone thinning [</w:t>
      </w:r>
      <w:r w:rsidR="003A243C">
        <w:rPr>
          <w:vertAlign w:val="superscript"/>
        </w:rPr>
        <w:t>34</w:t>
      </w:r>
      <w:r w:rsidRPr="005012DE">
        <w:t xml:space="preserve">]. </w:t>
      </w:r>
      <w:r w:rsidR="005012DE">
        <w:t>The SNP r</w:t>
      </w:r>
      <w:r>
        <w:t>s2348569 (p 0.005, OR 0.086) lies within an uncharacterised genomic region</w:t>
      </w:r>
      <w:r w:rsidR="001539B0">
        <w:t>,</w:t>
      </w:r>
      <w:r>
        <w:t xml:space="preserve"> close to non-coding transcripts. Long non-coding RNAs are known to be differentially expressed following tumour irradiation in murine models, however it is currently unclear as to whether SNPs near to these non-coding transcripts may play a role in modulating normal tissue radiosensitivity [</w:t>
      </w:r>
      <w:r w:rsidR="003A243C">
        <w:rPr>
          <w:vertAlign w:val="superscript"/>
        </w:rPr>
        <w:t>35</w:t>
      </w:r>
      <w:r>
        <w:t xml:space="preserve">]. </w:t>
      </w:r>
      <w:r>
        <w:rPr>
          <w:color w:val="212121"/>
        </w:rPr>
        <w:t xml:space="preserve">A number of our validated genetic variants seem to relate to the described pathogenesis of ORN and may contribute to altered tolerance of the mandible to radiation through defective collagen assembly, angiogenesis and bone mineralisation. </w:t>
      </w:r>
    </w:p>
    <w:p w14:paraId="2DF82642" w14:textId="77777777" w:rsidR="008E54EA" w:rsidRDefault="008E54EA" w:rsidP="005012DE">
      <w:pPr>
        <w:shd w:val="clear" w:color="auto" w:fill="FFFFFF"/>
        <w:spacing w:after="0"/>
        <w:jc w:val="both"/>
        <w:rPr>
          <w:color w:val="212121"/>
        </w:rPr>
      </w:pPr>
    </w:p>
    <w:p w14:paraId="6B2ECD9F" w14:textId="1BD38B27" w:rsidR="00796397" w:rsidRDefault="00C545C9" w:rsidP="000D4779">
      <w:pPr>
        <w:shd w:val="clear" w:color="auto" w:fill="FFFFFF"/>
        <w:spacing w:after="0"/>
        <w:jc w:val="both"/>
      </w:pPr>
      <w:r>
        <w:t>4053 SNPs were highlighted as significant in distinguishing ORN cases from controls</w:t>
      </w:r>
      <w:r w:rsidR="005E617A">
        <w:t>.</w:t>
      </w:r>
      <w:r>
        <w:t xml:space="preserve"> </w:t>
      </w:r>
      <w:r w:rsidR="005E617A">
        <w:t>S</w:t>
      </w:r>
      <w:r>
        <w:t>ubsequent functional enrichment of overlapping genes highlighted parasympathetic nervous system development, synapse organisation, and neuron differentiation</w:t>
      </w:r>
      <w:r w:rsidR="00003042">
        <w:t xml:space="preserve"> pathways</w:t>
      </w:r>
      <w:r>
        <w:t>. Bone remodelling was previously thought to be regulated by hormones (i</w:t>
      </w:r>
      <w:r w:rsidR="001E192D">
        <w:t>.</w:t>
      </w:r>
      <w:r>
        <w:t>e</w:t>
      </w:r>
      <w:r w:rsidR="001E192D">
        <w:t>.</w:t>
      </w:r>
      <w:r>
        <w:t xml:space="preserve"> parathyroid hormone and insulin like growth factor 1) however more</w:t>
      </w:r>
      <w:r w:rsidR="00DA1075">
        <w:t xml:space="preserve"> recent evidence supports a</w:t>
      </w:r>
      <w:r>
        <w:t xml:space="preserve"> complex interplay between endocrine and neural control.  Central control of bone mass is modulated by a variety of neurotransmitters which can exert an inhibitory or excitatory effect through both beta 2 receptors possessed by osteoblasts and osteoclast nicotinic receptors [</w:t>
      </w:r>
      <w:r w:rsidR="003A243C">
        <w:rPr>
          <w:vertAlign w:val="superscript"/>
        </w:rPr>
        <w:t>36</w:t>
      </w:r>
      <w:r>
        <w:t>].  Murine models demonstrate osteoclast apoptosis in response to cholinergic signalling promoting increased bone mass, whereas sympathetic signalling has the opposite effect [</w:t>
      </w:r>
      <w:r w:rsidR="003A243C">
        <w:rPr>
          <w:vertAlign w:val="superscript"/>
        </w:rPr>
        <w:t>37</w:t>
      </w:r>
      <w:r>
        <w:t>]. Irradiating osteoblasts in culture led to elevated levels of acetylcholinesterase and this was confirmed in murine models whereby mouse limb bud irradiation promoted bone formation, osteoblast differentiation and a cholinergic phenotype presumably encouraging repair and remodelling [</w:t>
      </w:r>
      <w:r w:rsidR="003A243C">
        <w:rPr>
          <w:vertAlign w:val="superscript"/>
        </w:rPr>
        <w:t>38</w:t>
      </w:r>
      <w:r>
        <w:t xml:space="preserve">]. </w:t>
      </w:r>
      <w:r w:rsidR="005012DE">
        <w:t>Interestingly, t</w:t>
      </w:r>
      <w:r w:rsidR="005012DE" w:rsidRPr="005012DE">
        <w:t>he</w:t>
      </w:r>
      <w:r w:rsidR="005012DE">
        <w:t xml:space="preserve"> validated</w:t>
      </w:r>
      <w:r w:rsidR="005012DE" w:rsidRPr="005012DE">
        <w:t xml:space="preserve"> SNP rs530752 (p 0.046, OR 0.163) lies approximately 8000 base pairs from c</w:t>
      </w:r>
      <w:r w:rsidR="005012DE" w:rsidRPr="005012DE">
        <w:rPr>
          <w:rFonts w:eastAsia="Times New Roman"/>
          <w:bCs/>
          <w:color w:val="000000"/>
        </w:rPr>
        <w:t xml:space="preserve">holinergic receptor muscarinic 1 (CHRM1) </w:t>
      </w:r>
      <w:r w:rsidR="00C732B9">
        <w:rPr>
          <w:rFonts w:eastAsia="Times New Roman"/>
          <w:bCs/>
          <w:color w:val="000000"/>
        </w:rPr>
        <w:t>coding</w:t>
      </w:r>
      <w:r w:rsidR="005012DE" w:rsidRPr="005012DE">
        <w:rPr>
          <w:rFonts w:eastAsia="Times New Roman"/>
          <w:color w:val="000000"/>
        </w:rPr>
        <w:t xml:space="preserve"> for muscarinic acetylcholine receptor M1.  </w:t>
      </w:r>
      <w:r w:rsidR="0074440B">
        <w:rPr>
          <w:rFonts w:eastAsia="Times New Roman"/>
          <w:color w:val="000000"/>
        </w:rPr>
        <w:t>This</w:t>
      </w:r>
      <w:r w:rsidR="00E07E29">
        <w:rPr>
          <w:rFonts w:eastAsia="Times New Roman"/>
          <w:color w:val="000000"/>
        </w:rPr>
        <w:t xml:space="preserve"> receptor centrally regulate</w:t>
      </w:r>
      <w:r w:rsidR="00C732B9">
        <w:rPr>
          <w:rFonts w:eastAsia="Times New Roman"/>
          <w:color w:val="000000"/>
        </w:rPr>
        <w:t>s</w:t>
      </w:r>
      <w:r w:rsidR="00E07E29">
        <w:rPr>
          <w:rFonts w:eastAsia="Times New Roman"/>
          <w:color w:val="000000"/>
        </w:rPr>
        <w:t xml:space="preserve"> haematopoietic stem cell differentiation </w:t>
      </w:r>
      <w:r w:rsidR="002F629A">
        <w:rPr>
          <w:rFonts w:eastAsia="Times New Roman"/>
          <w:color w:val="000000"/>
        </w:rPr>
        <w:t>within the bone marrow via G-CSF</w:t>
      </w:r>
      <w:r w:rsidR="004F016A">
        <w:rPr>
          <w:rFonts w:eastAsia="Times New Roman"/>
          <w:color w:val="000000"/>
        </w:rPr>
        <w:t xml:space="preserve"> [</w:t>
      </w:r>
      <w:r w:rsidR="003A243C">
        <w:rPr>
          <w:rFonts w:eastAsia="Times New Roman"/>
          <w:color w:val="000000"/>
          <w:vertAlign w:val="superscript"/>
        </w:rPr>
        <w:t>39</w:t>
      </w:r>
      <w:r w:rsidR="004F016A">
        <w:rPr>
          <w:rFonts w:eastAsia="Times New Roman"/>
          <w:color w:val="000000"/>
        </w:rPr>
        <w:t>].  V</w:t>
      </w:r>
      <w:r w:rsidR="00AA2D46">
        <w:rPr>
          <w:rFonts w:eastAsia="Times New Roman"/>
          <w:color w:val="000000"/>
        </w:rPr>
        <w:t>ariants close to th</w:t>
      </w:r>
      <w:r w:rsidR="00294856">
        <w:rPr>
          <w:rFonts w:eastAsia="Times New Roman"/>
          <w:color w:val="000000"/>
        </w:rPr>
        <w:t>is</w:t>
      </w:r>
      <w:r w:rsidR="00AA2D46">
        <w:rPr>
          <w:rFonts w:eastAsia="Times New Roman"/>
          <w:color w:val="000000"/>
        </w:rPr>
        <w:t xml:space="preserve"> gene </w:t>
      </w:r>
      <w:r w:rsidR="004E40C2">
        <w:rPr>
          <w:rFonts w:eastAsia="Times New Roman"/>
          <w:color w:val="000000"/>
        </w:rPr>
        <w:t>may</w:t>
      </w:r>
      <w:r w:rsidR="00AA2D46">
        <w:rPr>
          <w:rFonts w:eastAsia="Times New Roman"/>
          <w:color w:val="000000"/>
        </w:rPr>
        <w:t xml:space="preserve"> </w:t>
      </w:r>
      <w:r w:rsidR="00294856">
        <w:rPr>
          <w:rFonts w:eastAsia="Times New Roman"/>
          <w:color w:val="000000"/>
        </w:rPr>
        <w:t>influence</w:t>
      </w:r>
      <w:r w:rsidR="005E4AEB">
        <w:rPr>
          <w:rFonts w:eastAsia="Times New Roman"/>
          <w:color w:val="000000"/>
        </w:rPr>
        <w:t xml:space="preserve"> the expression of CHRM1</w:t>
      </w:r>
      <w:r w:rsidR="004F016A">
        <w:rPr>
          <w:rFonts w:eastAsia="Times New Roman"/>
          <w:color w:val="000000"/>
        </w:rPr>
        <w:t xml:space="preserve">, </w:t>
      </w:r>
      <w:r w:rsidR="0074440B">
        <w:rPr>
          <w:rFonts w:eastAsia="Times New Roman"/>
          <w:color w:val="000000"/>
        </w:rPr>
        <w:t xml:space="preserve">parasympathetic </w:t>
      </w:r>
      <w:r w:rsidR="004F016A">
        <w:rPr>
          <w:rFonts w:eastAsia="Times New Roman"/>
          <w:color w:val="000000"/>
        </w:rPr>
        <w:t xml:space="preserve">innervation of mandibular bone and </w:t>
      </w:r>
      <w:r w:rsidR="0074440B">
        <w:rPr>
          <w:rFonts w:eastAsia="Times New Roman"/>
          <w:color w:val="000000"/>
        </w:rPr>
        <w:t xml:space="preserve">augmentation of osteoblast function </w:t>
      </w:r>
      <w:r w:rsidR="004F016A">
        <w:rPr>
          <w:rFonts w:eastAsia="Times New Roman"/>
          <w:color w:val="000000"/>
        </w:rPr>
        <w:t>[</w:t>
      </w:r>
      <w:r w:rsidR="003A243C">
        <w:rPr>
          <w:rFonts w:eastAsia="Times New Roman"/>
          <w:color w:val="000000"/>
          <w:vertAlign w:val="superscript"/>
        </w:rPr>
        <w:t>40,41</w:t>
      </w:r>
      <w:r w:rsidR="0061631C">
        <w:rPr>
          <w:rFonts w:eastAsia="Times New Roman"/>
          <w:color w:val="000000"/>
        </w:rPr>
        <w:t>]</w:t>
      </w:r>
      <w:r w:rsidR="00E45F4E">
        <w:rPr>
          <w:rFonts w:eastAsia="Times New Roman"/>
          <w:color w:val="000000"/>
        </w:rPr>
        <w:t xml:space="preserve"> </w:t>
      </w:r>
      <w:r w:rsidR="001069BE">
        <w:rPr>
          <w:rFonts w:eastAsia="Times New Roman"/>
          <w:color w:val="000000"/>
        </w:rPr>
        <w:t xml:space="preserve">thus </w:t>
      </w:r>
      <w:r w:rsidR="00E45F4E">
        <w:rPr>
          <w:rFonts w:eastAsia="Times New Roman"/>
          <w:color w:val="000000"/>
        </w:rPr>
        <w:t xml:space="preserve">altering repair and remodelling in response to </w:t>
      </w:r>
      <w:r w:rsidR="004E40C2">
        <w:rPr>
          <w:rFonts w:eastAsia="Times New Roman"/>
          <w:color w:val="000000"/>
        </w:rPr>
        <w:t>radiotherapy</w:t>
      </w:r>
      <w:r w:rsidR="001069BE">
        <w:rPr>
          <w:rFonts w:eastAsia="Times New Roman"/>
          <w:color w:val="000000"/>
        </w:rPr>
        <w:t>.</w:t>
      </w:r>
      <w:r w:rsidR="004E40C2">
        <w:rPr>
          <w:rFonts w:eastAsia="Times New Roman"/>
          <w:color w:val="000000"/>
        </w:rPr>
        <w:t xml:space="preserve">  </w:t>
      </w:r>
    </w:p>
    <w:p w14:paraId="7D9339DB" w14:textId="352142CB" w:rsidR="00796397" w:rsidRDefault="00C545C9">
      <w:pPr>
        <w:shd w:val="clear" w:color="auto" w:fill="FFFFFF"/>
        <w:spacing w:before="240" w:after="0"/>
        <w:jc w:val="both"/>
      </w:pPr>
      <w:r>
        <w:t xml:space="preserve">Previously identified variants from candidate gene studies examining long term radiation toxicity in </w:t>
      </w:r>
      <w:r w:rsidR="00003042">
        <w:t>HNC</w:t>
      </w:r>
      <w:r>
        <w:t xml:space="preserve"> did not prove to be significantly associated with ORN in our study [</w:t>
      </w:r>
      <w:r w:rsidR="003A243C">
        <w:rPr>
          <w:vertAlign w:val="superscript"/>
        </w:rPr>
        <w:t>8,9,21</w:t>
      </w:r>
      <w:r>
        <w:t>]. RS1800469 (TGF-β1) was of particular interest given the evidence reported ac</w:t>
      </w:r>
      <w:r w:rsidR="00737631">
        <w:t xml:space="preserve">ross a variety of solid tumours </w:t>
      </w:r>
      <w:r>
        <w:t>[</w:t>
      </w:r>
      <w:r w:rsidR="003A243C">
        <w:rPr>
          <w:vertAlign w:val="superscript"/>
        </w:rPr>
        <w:t>7</w:t>
      </w:r>
      <w:r>
        <w:t>]. TGF-β proteins have a wide range of reported functions; with abnormal bone remodelling, increased fibroblast proliferation and abnormal accumulation of extracellular matrix originally thought to be responsible for poor healing following radiotherapy [</w:t>
      </w:r>
      <w:r w:rsidR="003A243C">
        <w:rPr>
          <w:vertAlign w:val="superscript"/>
        </w:rPr>
        <w:t>42</w:t>
      </w:r>
      <w:r>
        <w:t xml:space="preserve">]. TGF-β is also </w:t>
      </w:r>
      <w:r w:rsidR="00FD7D80">
        <w:t>a</w:t>
      </w:r>
      <w:r>
        <w:t xml:space="preserve"> modulat</w:t>
      </w:r>
      <w:r w:rsidR="00FD7D80">
        <w:t>or of</w:t>
      </w:r>
      <w:r>
        <w:t xml:space="preserve"> inflammation and promotes Th17 cell differentiation from CD4+/CD25+ T cells [</w:t>
      </w:r>
      <w:r w:rsidR="003A243C">
        <w:rPr>
          <w:vertAlign w:val="superscript"/>
        </w:rPr>
        <w:t>43</w:t>
      </w:r>
      <w:r>
        <w:t xml:space="preserve">]. Enrichment analysis highlighted SNPs without direct overlap within these immune functions, and although rs1800469 was not significantly associated with ORN during validation analysis, it remains likely that </w:t>
      </w:r>
      <w:r w:rsidR="005E617A">
        <w:t>it could have</w:t>
      </w:r>
      <w:r>
        <w:t xml:space="preserve"> an additive effect within this multi-loci model.  </w:t>
      </w:r>
    </w:p>
    <w:p w14:paraId="2B15426A" w14:textId="62852037" w:rsidR="00394B1A" w:rsidRDefault="00C545C9">
      <w:pPr>
        <w:shd w:val="clear" w:color="auto" w:fill="FFFFFF"/>
        <w:spacing w:before="240" w:after="0"/>
        <w:jc w:val="both"/>
        <w:rPr>
          <w:i/>
          <w:iCs/>
        </w:rPr>
      </w:pPr>
      <w:r>
        <w:t>Our study has limitations, specifically the small sample size, however through internally validating single targets we have confirmed our conclusions. In addition, as with all GWAS experiments, there is the potential of missing low frequency loci with small effect sizes and as a result it will be necessary to further confirm our findings with lar</w:t>
      </w:r>
      <w:r w:rsidR="00BD4B66">
        <w:t>ger external validation cohorts</w:t>
      </w:r>
      <w:r>
        <w:rPr>
          <w:color w:val="212121"/>
        </w:rPr>
        <w:t>.</w:t>
      </w:r>
      <w:r w:rsidR="00D9466C" w:rsidRPr="00D9466C">
        <w:t xml:space="preserve"> </w:t>
      </w:r>
      <w:r w:rsidR="00D9466C">
        <w:t xml:space="preserve">A further limitation </w:t>
      </w:r>
      <w:r w:rsidR="00D9466C">
        <w:lastRenderedPageBreak/>
        <w:t xml:space="preserve">is the absence of </w:t>
      </w:r>
      <w:r w:rsidR="00394B1A">
        <w:t xml:space="preserve">comprehensive </w:t>
      </w:r>
      <w:r w:rsidR="00D9466C">
        <w:t>dosimetric data</w:t>
      </w:r>
      <w:r w:rsidR="00394B1A">
        <w:t>; u</w:t>
      </w:r>
      <w:r w:rsidR="00394B1A">
        <w:rPr>
          <w:iCs/>
        </w:rPr>
        <w:t>nfortunately this</w:t>
      </w:r>
      <w:r w:rsidR="00394B1A" w:rsidRPr="00394B1A">
        <w:rPr>
          <w:iCs/>
        </w:rPr>
        <w:t xml:space="preserve"> reflects a pooling of patients from multiple units and </w:t>
      </w:r>
      <w:r w:rsidR="00DA7681" w:rsidRPr="00394B1A">
        <w:rPr>
          <w:iCs/>
        </w:rPr>
        <w:t>time points</w:t>
      </w:r>
      <w:r w:rsidR="00394B1A" w:rsidRPr="00394B1A">
        <w:rPr>
          <w:iCs/>
        </w:rPr>
        <w:t xml:space="preserve">, as </w:t>
      </w:r>
      <w:r w:rsidR="00394B1A">
        <w:rPr>
          <w:iCs/>
        </w:rPr>
        <w:t>follows</w:t>
      </w:r>
      <w:r w:rsidR="00394B1A" w:rsidRPr="00394B1A">
        <w:rPr>
          <w:iCs/>
        </w:rPr>
        <w:t xml:space="preserve"> the recruitment to the respective clinical trials, </w:t>
      </w:r>
      <w:r w:rsidR="00394B1A">
        <w:t xml:space="preserve">along with </w:t>
      </w:r>
      <w:r w:rsidR="00394B1A">
        <w:rPr>
          <w:color w:val="212121"/>
        </w:rPr>
        <w:t>historic changes in planning software.</w:t>
      </w:r>
      <w:r w:rsidR="00394B1A" w:rsidRPr="00394B1A">
        <w:rPr>
          <w:iCs/>
        </w:rPr>
        <w:t xml:space="preserve"> It would be of interest to determine if the site and extent of ORN correlated with critical</w:t>
      </w:r>
      <w:r w:rsidR="00394B1A">
        <w:rPr>
          <w:iCs/>
        </w:rPr>
        <w:t xml:space="preserve"> dose/volume</w:t>
      </w:r>
      <w:r w:rsidR="00394B1A" w:rsidRPr="00394B1A">
        <w:rPr>
          <w:iCs/>
        </w:rPr>
        <w:t xml:space="preserve"> threshold of</w:t>
      </w:r>
      <w:r w:rsidR="00394B1A">
        <w:rPr>
          <w:iCs/>
        </w:rPr>
        <w:t xml:space="preserve"> mandibular exposure</w:t>
      </w:r>
      <w:r w:rsidR="00394B1A" w:rsidRPr="00394B1A">
        <w:rPr>
          <w:iCs/>
        </w:rPr>
        <w:t xml:space="preserve">, or were dominated by mandibular blood supply and other anatomical features such as the muscle insertions of mentalis, masseter, medial pterygoid. </w:t>
      </w:r>
      <w:r w:rsidR="00394B1A">
        <w:rPr>
          <w:iCs/>
        </w:rPr>
        <w:t>Future</w:t>
      </w:r>
      <w:r w:rsidR="00394B1A">
        <w:t xml:space="preserve"> investigations would be strengthened by the inclusion</w:t>
      </w:r>
      <w:r w:rsidR="001C536D">
        <w:t xml:space="preserve"> and utilisation</w:t>
      </w:r>
      <w:r w:rsidR="00394B1A">
        <w:t xml:space="preserve"> of </w:t>
      </w:r>
      <w:r w:rsidR="00112F9E">
        <w:t>validated normal tissue complication probability models</w:t>
      </w:r>
      <w:r w:rsidR="00DA099A">
        <w:t xml:space="preserve"> (e.g. </w:t>
      </w:r>
      <w:r w:rsidR="00112F9E">
        <w:t>percentage volume of mandible receiving 35Gy</w:t>
      </w:r>
      <w:r w:rsidR="007F401B">
        <w:t xml:space="preserve"> [</w:t>
      </w:r>
      <w:r w:rsidR="00DA099A" w:rsidRPr="007F401B">
        <w:rPr>
          <w:vertAlign w:val="superscript"/>
        </w:rPr>
        <w:t>44</w:t>
      </w:r>
      <w:r w:rsidR="007F401B">
        <w:t>]</w:t>
      </w:r>
      <w:r w:rsidR="00DA099A">
        <w:t>)</w:t>
      </w:r>
      <w:r w:rsidR="00394B1A">
        <w:t>.</w:t>
      </w:r>
    </w:p>
    <w:p w14:paraId="141F7262" w14:textId="69A19D2B" w:rsidR="00796397" w:rsidRDefault="0088709C">
      <w:pPr>
        <w:shd w:val="clear" w:color="auto" w:fill="FFFFFF"/>
        <w:spacing w:before="240" w:after="0"/>
        <w:jc w:val="both"/>
      </w:pPr>
      <w:r>
        <w:rPr>
          <w:color w:val="212121"/>
        </w:rPr>
        <w:t xml:space="preserve">During QC of the array data, nine patients were excluded based on their positioning </w:t>
      </w:r>
      <w:r w:rsidR="00737631">
        <w:rPr>
          <w:color w:val="212121"/>
        </w:rPr>
        <w:t xml:space="preserve">within a PCA.  One could argue </w:t>
      </w:r>
      <w:r>
        <w:rPr>
          <w:color w:val="212121"/>
        </w:rPr>
        <w:t xml:space="preserve">these individuals may represent a phenotype influenced by an alternative mechanism of interest; however, the study sample size limited further exploration. Interestingly, validation via pyrosequencing </w:t>
      </w:r>
      <w:r w:rsidR="00737631">
        <w:rPr>
          <w:color w:val="212121"/>
        </w:rPr>
        <w:t>with</w:t>
      </w:r>
      <w:r>
        <w:rPr>
          <w:color w:val="212121"/>
        </w:rPr>
        <w:t xml:space="preserve"> inclusion of the nine outlier patients did not significantly decrease the AUC of the model, suggesting that technical </w:t>
      </w:r>
      <w:r w:rsidR="00DD034C">
        <w:rPr>
          <w:color w:val="212121"/>
        </w:rPr>
        <w:t xml:space="preserve">differences in the array </w:t>
      </w:r>
      <w:r>
        <w:rPr>
          <w:color w:val="212121"/>
        </w:rPr>
        <w:t xml:space="preserve">influenced their </w:t>
      </w:r>
      <w:r w:rsidR="00DD034C">
        <w:rPr>
          <w:color w:val="212121"/>
        </w:rPr>
        <w:t xml:space="preserve">PCA </w:t>
      </w:r>
      <w:r>
        <w:rPr>
          <w:color w:val="212121"/>
        </w:rPr>
        <w:t>placement.</w:t>
      </w:r>
    </w:p>
    <w:p w14:paraId="1573DBC4" w14:textId="1800D278" w:rsidR="00796397" w:rsidRDefault="00C545C9">
      <w:pPr>
        <w:shd w:val="clear" w:color="auto" w:fill="FFFFFF"/>
        <w:spacing w:before="240" w:after="0"/>
        <w:jc w:val="both"/>
      </w:pPr>
      <w:r>
        <w:t xml:space="preserve">With the incidence of </w:t>
      </w:r>
      <w:r w:rsidR="00737631">
        <w:t>HNC</w:t>
      </w:r>
      <w:r>
        <w:t xml:space="preserve"> steadily increasing over the last three decades and survival outcomes improving through the use of new anticancer agents, more patients are living with devastating consequences of ORN [</w:t>
      </w:r>
      <w:r w:rsidR="007F401B" w:rsidRPr="007F401B">
        <w:rPr>
          <w:vertAlign w:val="superscript"/>
        </w:rPr>
        <w:t>4</w:t>
      </w:r>
      <w:r w:rsidR="00DA099A">
        <w:rPr>
          <w:vertAlign w:val="superscript"/>
        </w:rPr>
        <w:t>5</w:t>
      </w:r>
      <w:r>
        <w:t>]. It is vitally important we expand our understandi</w:t>
      </w:r>
      <w:r w:rsidR="00DD034C">
        <w:t>ng of this condition,</w:t>
      </w:r>
      <w:r>
        <w:t xml:space="preserve"> develop biomarkers to prevent its occurrence and improve therapeutic options. If our findings are confirmed in larger, external validation cohorts our polygenic risk model may contribute to a pre-treatment risk prediction tool and facilitate much needed tailored radiotherapy strategies. </w:t>
      </w:r>
    </w:p>
    <w:p w14:paraId="10C08F27" w14:textId="77777777" w:rsidR="00E97E30" w:rsidRDefault="00E97E30" w:rsidP="00E97E30">
      <w:pPr>
        <w:spacing w:after="0"/>
        <w:rPr>
          <w:rFonts w:cstheme="minorHAnsi"/>
          <w:b/>
          <w:bCs/>
        </w:rPr>
      </w:pPr>
      <w:bookmarkStart w:id="7" w:name="_5htyo7utre2z" w:colFirst="0" w:colLast="0"/>
      <w:bookmarkEnd w:id="7"/>
    </w:p>
    <w:p w14:paraId="45320163" w14:textId="77777777" w:rsidR="00E97E30" w:rsidRPr="00230476" w:rsidRDefault="00E97E30" w:rsidP="00E97E30">
      <w:pPr>
        <w:spacing w:after="0"/>
        <w:rPr>
          <w:rFonts w:asciiTheme="minorHAnsi" w:hAnsiTheme="minorHAnsi" w:cstheme="minorHAnsi"/>
          <w:b/>
          <w:bCs/>
          <w:sz w:val="28"/>
        </w:rPr>
      </w:pPr>
      <w:r w:rsidRPr="00230476">
        <w:rPr>
          <w:rFonts w:asciiTheme="minorHAnsi" w:hAnsiTheme="minorHAnsi" w:cstheme="minorHAnsi"/>
          <w:b/>
          <w:bCs/>
          <w:sz w:val="28"/>
        </w:rPr>
        <w:t>Acknowledgements:</w:t>
      </w:r>
      <w:bookmarkStart w:id="8" w:name="_GoBack"/>
      <w:bookmarkEnd w:id="8"/>
    </w:p>
    <w:p w14:paraId="35CAEEA5" w14:textId="464095CC" w:rsidR="00E97E30" w:rsidRDefault="00E97E30" w:rsidP="00E97E30">
      <w:pPr>
        <w:spacing w:after="0"/>
        <w:rPr>
          <w:rFonts w:cstheme="minorHAnsi"/>
          <w:bCs/>
        </w:rPr>
      </w:pPr>
      <w:r>
        <w:rPr>
          <w:rFonts w:cstheme="minorHAnsi"/>
          <w:bCs/>
        </w:rPr>
        <w:t xml:space="preserve">The authors would like to thank the Aintree Head and Neck Cancer Patient Research Forum for funding this work and the Liverpool Clinical Trials Centre for HOPON clinical trial data acquisition. </w:t>
      </w:r>
    </w:p>
    <w:p w14:paraId="4ADA43C8" w14:textId="3911D16F" w:rsidR="00F80E32" w:rsidRPr="00DA30C2" w:rsidRDefault="00F80E32" w:rsidP="00F80E32">
      <w:pPr>
        <w:spacing w:after="0"/>
        <w:rPr>
          <w:rFonts w:cstheme="minorHAnsi"/>
          <w:b/>
          <w:bCs/>
        </w:rPr>
      </w:pPr>
      <w:r w:rsidRPr="00DA30C2">
        <w:rPr>
          <w:rFonts w:cstheme="minorHAnsi"/>
          <w:b/>
          <w:bCs/>
        </w:rPr>
        <w:t>Funding:</w:t>
      </w:r>
    </w:p>
    <w:p w14:paraId="32671EB5" w14:textId="77777777" w:rsidR="00F80E32" w:rsidRDefault="00F80E32" w:rsidP="00F80E32">
      <w:pPr>
        <w:spacing w:after="0"/>
        <w:rPr>
          <w:rFonts w:cstheme="minorHAnsi"/>
        </w:rPr>
      </w:pPr>
      <w:r w:rsidRPr="002335F7">
        <w:rPr>
          <w:rFonts w:cstheme="minorHAnsi"/>
          <w:iCs/>
        </w:rPr>
        <w:t xml:space="preserve">This work was funded by Aintree Head and Neck </w:t>
      </w:r>
      <w:r>
        <w:rPr>
          <w:rFonts w:cstheme="minorHAnsi"/>
          <w:iCs/>
        </w:rPr>
        <w:t xml:space="preserve">Cancer Patient </w:t>
      </w:r>
      <w:r w:rsidRPr="002335F7">
        <w:rPr>
          <w:rFonts w:cstheme="minorHAnsi"/>
          <w:iCs/>
        </w:rPr>
        <w:t>Research Forum</w:t>
      </w:r>
      <w:r>
        <w:rPr>
          <w:rFonts w:cstheme="minorHAnsi"/>
          <w:iCs/>
        </w:rPr>
        <w:t xml:space="preserve">, Aintree Hospital, Liverpool, UK.  </w:t>
      </w:r>
      <w:r w:rsidRPr="00BF30EC">
        <w:rPr>
          <w:rFonts w:cstheme="minorHAnsi"/>
          <w:iCs/>
        </w:rPr>
        <w:t>The HOPON Trial was funded by Cancer Research UK (CRUK CTAAC: C23033/A12122 &amp; FSC: C23033/A9397)</w:t>
      </w:r>
      <w:r>
        <w:rPr>
          <w:rFonts w:cstheme="minorHAnsi"/>
          <w:iCs/>
        </w:rPr>
        <w:t xml:space="preserve">.  </w:t>
      </w:r>
      <w:r>
        <w:rPr>
          <w:rFonts w:cstheme="minorHAnsi"/>
        </w:rPr>
        <w:t>Dr R.C. Brooker is supported though a clinical research fellowship awarded by the Clatterbridge Cancer Charity.</w:t>
      </w:r>
    </w:p>
    <w:p w14:paraId="492D9B47" w14:textId="77777777" w:rsidR="009536C2" w:rsidRDefault="009536C2" w:rsidP="00F80E32">
      <w:pPr>
        <w:spacing w:after="0"/>
        <w:rPr>
          <w:rFonts w:cstheme="minorHAnsi"/>
        </w:rPr>
      </w:pPr>
    </w:p>
    <w:p w14:paraId="376772C5" w14:textId="77777777" w:rsidR="009536C2" w:rsidRPr="009536C2" w:rsidRDefault="009536C2" w:rsidP="009536C2">
      <w:pPr>
        <w:spacing w:after="0"/>
        <w:rPr>
          <w:rFonts w:asciiTheme="minorHAnsi" w:hAnsiTheme="minorHAnsi" w:cstheme="minorHAnsi"/>
          <w:b/>
          <w:iCs/>
          <w:sz w:val="26"/>
          <w:szCs w:val="26"/>
        </w:rPr>
      </w:pPr>
      <w:r w:rsidRPr="009536C2">
        <w:rPr>
          <w:rFonts w:asciiTheme="minorHAnsi" w:hAnsiTheme="minorHAnsi" w:cstheme="minorHAnsi"/>
          <w:b/>
          <w:iCs/>
          <w:sz w:val="26"/>
          <w:szCs w:val="26"/>
        </w:rPr>
        <w:t>Conflict of Interest Statement:</w:t>
      </w:r>
    </w:p>
    <w:p w14:paraId="16AAC79C" w14:textId="77777777" w:rsidR="009536C2" w:rsidRPr="0001417D" w:rsidRDefault="009536C2" w:rsidP="009536C2">
      <w:pPr>
        <w:spacing w:after="0"/>
        <w:rPr>
          <w:rFonts w:cstheme="minorHAnsi"/>
          <w:iCs/>
        </w:rPr>
      </w:pPr>
      <w:r>
        <w:rPr>
          <w:rFonts w:cstheme="minorHAnsi"/>
          <w:iCs/>
        </w:rPr>
        <w:t>Conflict of Interest: None</w:t>
      </w:r>
    </w:p>
    <w:p w14:paraId="75AAE02F" w14:textId="77777777" w:rsidR="009536C2" w:rsidRPr="002335F7" w:rsidRDefault="009536C2" w:rsidP="00F80E32">
      <w:pPr>
        <w:spacing w:after="0"/>
        <w:rPr>
          <w:rFonts w:cstheme="minorHAnsi"/>
          <w:bCs/>
        </w:rPr>
      </w:pPr>
    </w:p>
    <w:p w14:paraId="05207FFA" w14:textId="77777777" w:rsidR="00F80E32" w:rsidRPr="00E97E30" w:rsidRDefault="00F80E32" w:rsidP="00E97E30">
      <w:pPr>
        <w:spacing w:after="0"/>
        <w:rPr>
          <w:rFonts w:cstheme="minorHAnsi"/>
          <w:bCs/>
        </w:rPr>
      </w:pPr>
    </w:p>
    <w:p w14:paraId="32911296" w14:textId="77777777" w:rsidR="00796397" w:rsidRPr="00E013AF" w:rsidRDefault="00C545C9">
      <w:pPr>
        <w:pStyle w:val="Heading2"/>
        <w:spacing w:before="240" w:after="240"/>
        <w:rPr>
          <w:b/>
          <w:color w:val="auto"/>
        </w:rPr>
      </w:pPr>
      <w:r w:rsidRPr="00E013AF">
        <w:rPr>
          <w:b/>
          <w:color w:val="auto"/>
        </w:rPr>
        <w:t>References</w:t>
      </w:r>
    </w:p>
    <w:p w14:paraId="0282E202" w14:textId="7297111E" w:rsidR="00796397" w:rsidRDefault="00A81319" w:rsidP="007F401B">
      <w:pPr>
        <w:spacing w:before="240" w:after="240"/>
        <w:ind w:left="640"/>
      </w:pPr>
      <w:r>
        <w:t xml:space="preserve">1. </w:t>
      </w:r>
      <w:r>
        <w:tab/>
      </w:r>
      <w:r w:rsidR="00C545C9">
        <w:t xml:space="preserve">Shaw RJ, Butterworth CJ, Silcocks P, et al. HOPON (Hyperbaric Oxygen for the Prevention of Osteoradionecrosis): a randomised controlled trial of hyperbaric oxygen to prevent osteoradionecrosis of the irradiated mandible after dentoalveolar surgery. </w:t>
      </w:r>
      <w:r w:rsidR="00C545C9" w:rsidRPr="00A81319">
        <w:rPr>
          <w:i/>
        </w:rPr>
        <w:t>Int J Radiat Oncol</w:t>
      </w:r>
      <w:r w:rsidR="004929E3">
        <w:t>. 2019;104(3):530-539</w:t>
      </w:r>
      <w:r w:rsidR="00C545C9">
        <w:t xml:space="preserve"> doi:10.1016/j.ijrobp.2019.02.044</w:t>
      </w:r>
    </w:p>
    <w:p w14:paraId="645D0A4C" w14:textId="7E346D5F" w:rsidR="00442457" w:rsidRDefault="00A81319" w:rsidP="00A81319">
      <w:pPr>
        <w:spacing w:before="240" w:after="240"/>
        <w:ind w:left="640"/>
      </w:pPr>
      <w:r>
        <w:lastRenderedPageBreak/>
        <w:t xml:space="preserve">2. </w:t>
      </w:r>
      <w:r>
        <w:tab/>
      </w:r>
      <w:r w:rsidR="00442457">
        <w:t xml:space="preserve">Owosho AA, Tsai CJ, Lee RS, et al.  The prevalence and risk factors associated with osteoradionecrosis of the jaw in oral and oropharyngeal cancer patients treated with intensity modulated radiation therapy (IMRT):  The Memorial Sloan Kettering Cancer Centre experience.  </w:t>
      </w:r>
      <w:r w:rsidR="00442457" w:rsidRPr="007F401B">
        <w:rPr>
          <w:i/>
        </w:rPr>
        <w:t>Oral Oncology</w:t>
      </w:r>
      <w:r w:rsidR="00442457">
        <w:t xml:space="preserve"> 2017; 64: 44-51.</w:t>
      </w:r>
      <w:r w:rsidR="00C90C17">
        <w:t xml:space="preserve"> doi:10.1016/j.oraloncology.2016.11.015</w:t>
      </w:r>
    </w:p>
    <w:p w14:paraId="0B6237CD" w14:textId="0ACD39F0" w:rsidR="00442457" w:rsidRDefault="00A81319" w:rsidP="00A81319">
      <w:pPr>
        <w:spacing w:before="240" w:after="240"/>
        <w:ind w:left="640"/>
      </w:pPr>
      <w:r>
        <w:t xml:space="preserve">3. </w:t>
      </w:r>
      <w:r>
        <w:tab/>
      </w:r>
      <w:r w:rsidR="00442457">
        <w:t xml:space="preserve">Tsai CJ, Hofstede TM, Sturgis EM, et al.  Osteoradionecrosis and radiation dose to the mandible in patients with oropharyngeal cancer.  </w:t>
      </w:r>
      <w:r w:rsidR="00442457" w:rsidRPr="007F401B">
        <w:rPr>
          <w:i/>
        </w:rPr>
        <w:t>Int J Radiat Oncol Biol Phys</w:t>
      </w:r>
      <w:r w:rsidR="00442457">
        <w:t>.  2013;85:415-420.</w:t>
      </w:r>
      <w:r w:rsidR="00C90C17">
        <w:t xml:space="preserve"> doi:10.1016/j.ijrobp.2012.05.032</w:t>
      </w:r>
    </w:p>
    <w:p w14:paraId="74E70466" w14:textId="2878AFB3" w:rsidR="004F28A6" w:rsidRDefault="00442457">
      <w:pPr>
        <w:spacing w:before="240" w:after="240"/>
        <w:ind w:left="640"/>
      </w:pPr>
      <w:r>
        <w:t>4</w:t>
      </w:r>
      <w:r w:rsidR="00C545C9">
        <w:t xml:space="preserve">.  </w:t>
      </w:r>
      <w:r w:rsidR="00C545C9">
        <w:tab/>
        <w:t xml:space="preserve">Harris M. The conservative management of osteoradionecrosis of the mandible with ultrasound therapy. </w:t>
      </w:r>
      <w:r w:rsidR="00C545C9">
        <w:rPr>
          <w:i/>
        </w:rPr>
        <w:t>Br J Oral Maxillofac Surg</w:t>
      </w:r>
      <w:r w:rsidR="00C545C9">
        <w:t>. 1992;30(5):313-318. doi:10.1016/0266-4356(92)90181-H</w:t>
      </w:r>
      <w:r w:rsidR="004F28A6" w:rsidRPr="004F28A6">
        <w:t xml:space="preserve"> </w:t>
      </w:r>
    </w:p>
    <w:p w14:paraId="72250E36" w14:textId="38F92CFC" w:rsidR="00796397" w:rsidRDefault="00442457">
      <w:pPr>
        <w:spacing w:before="240" w:after="240"/>
        <w:ind w:left="640"/>
      </w:pPr>
      <w:r>
        <w:t>5</w:t>
      </w:r>
      <w:r w:rsidR="004F28A6">
        <w:t>.</w:t>
      </w:r>
      <w:r w:rsidR="004F28A6">
        <w:tab/>
        <w:t xml:space="preserve">Rice N, Polyzois I, Ekanayake K, Omer O, Stassen LFA. The management of osteoradionecrosis of the jaws - A review. </w:t>
      </w:r>
      <w:r w:rsidR="004F28A6">
        <w:rPr>
          <w:i/>
          <w:iCs/>
        </w:rPr>
        <w:t>Surg</w:t>
      </w:r>
      <w:r w:rsidR="004929E3">
        <w:rPr>
          <w:i/>
          <w:iCs/>
        </w:rPr>
        <w:t xml:space="preserve"> J R Coll Surg E</w:t>
      </w:r>
      <w:r w:rsidR="004F28A6">
        <w:t>. 2015;13(2):101-109. doi:10.1016/j.surge.2014.07.003</w:t>
      </w:r>
    </w:p>
    <w:p w14:paraId="129F2343" w14:textId="4A3F99E9" w:rsidR="00796397" w:rsidRDefault="00442457">
      <w:pPr>
        <w:spacing w:before="240" w:after="240"/>
        <w:ind w:left="640"/>
      </w:pPr>
      <w:r>
        <w:t>6</w:t>
      </w:r>
      <w:r w:rsidR="00C545C9">
        <w:t xml:space="preserve">.  </w:t>
      </w:r>
      <w:r w:rsidR="00C545C9">
        <w:tab/>
        <w:t xml:space="preserve">Raguse JD, Hossamo J, Tinhofer I, et al. Patient and treatment-related risk factors for osteoradionecrosis of the jaw in patients with head and neck cancer. </w:t>
      </w:r>
      <w:r w:rsidR="00C545C9">
        <w:rPr>
          <w:i/>
        </w:rPr>
        <w:t>Or Surg Or Med Or</w:t>
      </w:r>
      <w:r w:rsidR="004929E3">
        <w:rPr>
          <w:i/>
        </w:rPr>
        <w:t xml:space="preserve"> Pa</w:t>
      </w:r>
      <w:r w:rsidR="00C545C9">
        <w:t>. 2016;121(3):215-221.e1. doi:10.1016/j.oooo.2015.10.006</w:t>
      </w:r>
    </w:p>
    <w:p w14:paraId="7E186C45" w14:textId="05005BBC" w:rsidR="00796397" w:rsidRDefault="00442457">
      <w:pPr>
        <w:spacing w:before="240" w:after="240"/>
        <w:ind w:left="640"/>
      </w:pPr>
      <w:r>
        <w:t>7</w:t>
      </w:r>
      <w:r w:rsidR="00C545C9">
        <w:t xml:space="preserve">.  </w:t>
      </w:r>
      <w:r w:rsidR="00C545C9">
        <w:tab/>
        <w:t xml:space="preserve">Lyons AJ, West CM, Risk JM, et al. Osteoradionecrosis in head-and-neck cancer has a distinct genotype-dependent cause. </w:t>
      </w:r>
      <w:r w:rsidR="00C545C9">
        <w:rPr>
          <w:i/>
        </w:rPr>
        <w:t>Int J Radiat Oncol Biol Phys</w:t>
      </w:r>
      <w:r w:rsidR="00C545C9">
        <w:t>. 2012;82(4):1479-1484. doi:10.1016/j.ijrobp.2011.05.016</w:t>
      </w:r>
    </w:p>
    <w:p w14:paraId="09FE9658" w14:textId="79CBF7D6" w:rsidR="00796397" w:rsidRDefault="00442457">
      <w:pPr>
        <w:spacing w:before="240" w:after="240"/>
        <w:ind w:left="640"/>
      </w:pPr>
      <w:r>
        <w:t>8</w:t>
      </w:r>
      <w:r w:rsidR="00C545C9">
        <w:t xml:space="preserve">.  </w:t>
      </w:r>
      <w:r w:rsidR="00C545C9">
        <w:tab/>
        <w:t>Danielsson D</w:t>
      </w:r>
      <w:r w:rsidR="008B4BF8">
        <w:t>, Brehwens K, Halle M, et al</w:t>
      </w:r>
      <w:r w:rsidR="00C74002">
        <w:t>. Influence of genetic backgrou</w:t>
      </w:r>
      <w:r w:rsidR="00C545C9">
        <w:t>nd and oxidative stress response on r</w:t>
      </w:r>
      <w:r w:rsidR="008B4BF8">
        <w:t>isk of mandibular osteoradionec</w:t>
      </w:r>
      <w:r w:rsidR="00C545C9">
        <w:t xml:space="preserve">rosis after radiotherapy of head and neck cancer. </w:t>
      </w:r>
      <w:r w:rsidR="008B4BF8">
        <w:rPr>
          <w:i/>
        </w:rPr>
        <w:t>Head Neck</w:t>
      </w:r>
      <w:r w:rsidR="00B67123">
        <w:rPr>
          <w:i/>
        </w:rPr>
        <w:t>-J Sci Spec</w:t>
      </w:r>
      <w:r w:rsidR="005976A4">
        <w:t>. 2016;38(3):387-393</w:t>
      </w:r>
      <w:r w:rsidR="00C545C9">
        <w:t xml:space="preserve">. </w:t>
      </w:r>
      <w:r w:rsidR="005976A4">
        <w:t>d</w:t>
      </w:r>
      <w:r w:rsidR="00B67123" w:rsidRPr="00B67123">
        <w:t>oi</w:t>
      </w:r>
      <w:r w:rsidR="005976A4">
        <w:t>:</w:t>
      </w:r>
      <w:r w:rsidR="005976A4" w:rsidRPr="00B67123">
        <w:t xml:space="preserve"> </w:t>
      </w:r>
      <w:r w:rsidR="00B67123" w:rsidRPr="00B67123">
        <w:t>10.1002/hed.23903</w:t>
      </w:r>
    </w:p>
    <w:p w14:paraId="06DA6A71" w14:textId="20EFC3F5" w:rsidR="00796397" w:rsidRDefault="00442457">
      <w:pPr>
        <w:spacing w:before="240" w:after="240"/>
        <w:ind w:left="640"/>
      </w:pPr>
      <w:r>
        <w:t>9</w:t>
      </w:r>
      <w:r w:rsidR="00C545C9">
        <w:t xml:space="preserve">.  </w:t>
      </w:r>
      <w:r w:rsidR="00C545C9">
        <w:tab/>
        <w:t xml:space="preserve">Borchiellini D, Etienne-Grimaldi MC, Bensadoun RJ, et al. Candidate apoptotic and DNA repair gene approach confirms involvement of ERCC1, ERCC5, TP53 and MDM2 in radiation-induced toxicity in head and neck cancer. </w:t>
      </w:r>
      <w:r w:rsidR="00C545C9">
        <w:rPr>
          <w:i/>
        </w:rPr>
        <w:t>Oral Oncol</w:t>
      </w:r>
      <w:r w:rsidR="00C545C9">
        <w:t>. 2017;67:70-76. doi:10.1016/j.oraloncology.2017.02.003</w:t>
      </w:r>
    </w:p>
    <w:p w14:paraId="19C7F4DD" w14:textId="394865B1" w:rsidR="00796397" w:rsidRDefault="003A243C">
      <w:pPr>
        <w:spacing w:before="240" w:after="240"/>
        <w:ind w:left="640"/>
      </w:pPr>
      <w:r w:rsidRPr="00BE041E">
        <w:t>1</w:t>
      </w:r>
      <w:r>
        <w:t>0</w:t>
      </w:r>
      <w:r w:rsidR="003A71DE" w:rsidRPr="00BE041E">
        <w:t>.</w:t>
      </w:r>
      <w:r w:rsidR="00C545C9" w:rsidRPr="00BE041E">
        <w:t xml:space="preserve"> </w:t>
      </w:r>
      <w:r w:rsidR="00C545C9" w:rsidRPr="00BE041E">
        <w:tab/>
        <w:t xml:space="preserve">Shaw R, Butterworth C, Tesfaye B, et al. HOPON (Hyperbaric Oxygen for the Prevention of Osteoradionecrosis): A randomised controlled trial of hyperbaric oxygen to prevent osteoradionecrosis of the irradiated mandible: Study protocol for a randomised controlled trial. </w:t>
      </w:r>
      <w:r w:rsidR="00C545C9" w:rsidRPr="00BE041E">
        <w:rPr>
          <w:i/>
        </w:rPr>
        <w:t>Trials</w:t>
      </w:r>
      <w:r w:rsidR="00C545C9" w:rsidRPr="00BE041E">
        <w:t>. 2018;19(1):1-10. doi:10.1186/s13063-017-2376-7</w:t>
      </w:r>
    </w:p>
    <w:p w14:paraId="27097277" w14:textId="2972193C" w:rsidR="00796397" w:rsidRDefault="003A243C">
      <w:pPr>
        <w:spacing w:before="240" w:after="240"/>
        <w:ind w:left="640"/>
      </w:pPr>
      <w:r>
        <w:t>11</w:t>
      </w:r>
      <w:r w:rsidR="003A71DE">
        <w:t>.</w:t>
      </w:r>
      <w:r w:rsidR="00C545C9">
        <w:t xml:space="preserve"> </w:t>
      </w:r>
      <w:r w:rsidR="00C545C9">
        <w:tab/>
        <w:t xml:space="preserve">Shaw R, Tesfaye B, Bickerstaff M, Silcocks P, Butterworth C. Refining the definition of mandibular osteoradionecrosis in clinical trials: The cancer research UK HOPON trial (Hyperbaric Oxygen for the Prevention of Osteoradionecrosis). </w:t>
      </w:r>
      <w:r w:rsidR="00C545C9">
        <w:rPr>
          <w:i/>
        </w:rPr>
        <w:t>Oral Oncol</w:t>
      </w:r>
      <w:r w:rsidR="00C545C9">
        <w:t>. 2017;64:73-77. doi:10.1016/j.oraloncology.2016.12.002</w:t>
      </w:r>
    </w:p>
    <w:p w14:paraId="30791134" w14:textId="193ED5C9" w:rsidR="00796397" w:rsidRDefault="003A243C">
      <w:pPr>
        <w:spacing w:before="240" w:after="240"/>
        <w:ind w:left="640"/>
      </w:pPr>
      <w:r>
        <w:t>12</w:t>
      </w:r>
      <w:r w:rsidR="003A71DE">
        <w:t>.</w:t>
      </w:r>
      <w:r w:rsidR="00C545C9">
        <w:t xml:space="preserve"> </w:t>
      </w:r>
      <w:r w:rsidR="00C545C9">
        <w:tab/>
        <w:t xml:space="preserve">Kerns SL, Ruysscher D De, Andreassen CN, et al. STROGAR - STrengthening the Reporting of Genetic Association studies in Radiogenomics. </w:t>
      </w:r>
      <w:r w:rsidR="00C545C9">
        <w:rPr>
          <w:i/>
        </w:rPr>
        <w:t>Radiother Oncol</w:t>
      </w:r>
      <w:r w:rsidR="00C545C9">
        <w:t>. 2014;110(1):182-188. doi:10.1016/j.radonc.2013.07.011</w:t>
      </w:r>
    </w:p>
    <w:p w14:paraId="2F95C6CB" w14:textId="77A98733" w:rsidR="00796397" w:rsidRDefault="003A243C">
      <w:pPr>
        <w:spacing w:before="240" w:after="240"/>
        <w:ind w:left="640"/>
      </w:pPr>
      <w:r>
        <w:lastRenderedPageBreak/>
        <w:t>13</w:t>
      </w:r>
      <w:r w:rsidR="00C545C9">
        <w:t xml:space="preserve">. </w:t>
      </w:r>
      <w:r w:rsidR="00C545C9">
        <w:tab/>
        <w:t xml:space="preserve">Chang CC, Chow CC, Tellier LCAM, </w:t>
      </w:r>
      <w:r w:rsidR="00FA1459">
        <w:t>et al</w:t>
      </w:r>
      <w:r w:rsidR="00C545C9">
        <w:t xml:space="preserve">. Second-generation PLINK: Rising to the challenge of larger and richer datasets. </w:t>
      </w:r>
      <w:r w:rsidR="00C545C9">
        <w:rPr>
          <w:i/>
        </w:rPr>
        <w:t>Gigascience</w:t>
      </w:r>
      <w:r w:rsidR="00C545C9">
        <w:t>. 2015;4(1):1-16. doi:10.1186/s13742-015-0047-8</w:t>
      </w:r>
    </w:p>
    <w:p w14:paraId="0BA9E3AA" w14:textId="3DB4A4F1" w:rsidR="00796397" w:rsidRDefault="003A243C">
      <w:pPr>
        <w:spacing w:before="240" w:after="240"/>
        <w:ind w:left="640"/>
        <w:rPr>
          <w:color w:val="3C4043"/>
          <w:highlight w:val="white"/>
        </w:rPr>
      </w:pPr>
      <w:r>
        <w:t>14</w:t>
      </w:r>
      <w:r w:rsidR="00C545C9">
        <w:t xml:space="preserve">. </w:t>
      </w:r>
      <w:r w:rsidR="00C545C9" w:rsidRPr="00BE041E">
        <w:tab/>
      </w:r>
      <w:r w:rsidR="00C545C9" w:rsidRPr="00BE041E">
        <w:rPr>
          <w:highlight w:val="white"/>
        </w:rPr>
        <w:t xml:space="preserve">Oscanoa J, Sivapalan L, Gadaleta E, </w:t>
      </w:r>
      <w:r w:rsidR="00BE041E" w:rsidRPr="00BE041E">
        <w:rPr>
          <w:highlight w:val="white"/>
        </w:rPr>
        <w:t>et al</w:t>
      </w:r>
      <w:r w:rsidR="00C545C9" w:rsidRPr="00BE041E">
        <w:rPr>
          <w:highlight w:val="white"/>
        </w:rPr>
        <w:t xml:space="preserve">. SNPnexus: a web server for functional annotation of human genome sequence variation (2020 update). </w:t>
      </w:r>
      <w:r w:rsidR="00C545C9" w:rsidRPr="00BE041E">
        <w:rPr>
          <w:i/>
          <w:highlight w:val="white"/>
        </w:rPr>
        <w:t>Nucleic Acids Res</w:t>
      </w:r>
      <w:r w:rsidR="00C545C9" w:rsidRPr="00BE041E">
        <w:rPr>
          <w:highlight w:val="white"/>
        </w:rPr>
        <w:t xml:space="preserve">. 2020; 48(W1):W185-W192. </w:t>
      </w:r>
    </w:p>
    <w:p w14:paraId="0F8FAEA7" w14:textId="6A5BE550" w:rsidR="00796397" w:rsidRPr="00BE041E" w:rsidRDefault="003A243C">
      <w:pPr>
        <w:spacing w:before="240" w:after="240"/>
        <w:ind w:left="640"/>
        <w:rPr>
          <w:highlight w:val="white"/>
        </w:rPr>
      </w:pPr>
      <w:r>
        <w:t>15</w:t>
      </w:r>
      <w:r w:rsidR="00C545C9" w:rsidRPr="00BE041E">
        <w:t xml:space="preserve">. </w:t>
      </w:r>
      <w:r w:rsidR="00C545C9" w:rsidRPr="00BE041E">
        <w:tab/>
      </w:r>
      <w:r w:rsidR="00C545C9" w:rsidRPr="00BE041E">
        <w:rPr>
          <w:highlight w:val="white"/>
        </w:rPr>
        <w:t xml:space="preserve">Dayem Ullah AZ, Oscanoa J, Wang J, </w:t>
      </w:r>
      <w:r w:rsidR="00BE041E" w:rsidRPr="00BE041E">
        <w:rPr>
          <w:highlight w:val="white"/>
        </w:rPr>
        <w:t>et al</w:t>
      </w:r>
      <w:r w:rsidR="00C545C9" w:rsidRPr="00BE041E">
        <w:rPr>
          <w:highlight w:val="white"/>
        </w:rPr>
        <w:t xml:space="preserve">. SNPnexus: assessing the functional relevance of genetic variation to facilitate the promise of precision medicine. </w:t>
      </w:r>
      <w:r w:rsidR="00C545C9" w:rsidRPr="00BE041E">
        <w:rPr>
          <w:i/>
          <w:highlight w:val="white"/>
        </w:rPr>
        <w:t>Nucleic Acids Res</w:t>
      </w:r>
      <w:r w:rsidR="00C545C9" w:rsidRPr="00BE041E">
        <w:rPr>
          <w:highlight w:val="white"/>
        </w:rPr>
        <w:t xml:space="preserve">. 2018; 46(W1):W109-W113. </w:t>
      </w:r>
    </w:p>
    <w:p w14:paraId="162BF17F" w14:textId="62790EF1" w:rsidR="00796397" w:rsidRPr="00BE041E" w:rsidRDefault="004B2590">
      <w:pPr>
        <w:spacing w:before="240" w:after="240"/>
        <w:ind w:left="640"/>
        <w:rPr>
          <w:highlight w:val="white"/>
        </w:rPr>
      </w:pPr>
      <w:r>
        <w:t>1</w:t>
      </w:r>
      <w:r w:rsidR="003A243C">
        <w:t>6</w:t>
      </w:r>
      <w:r w:rsidR="00C545C9" w:rsidRPr="00BE041E">
        <w:t xml:space="preserve">. </w:t>
      </w:r>
      <w:r w:rsidR="00C545C9" w:rsidRPr="00BE041E">
        <w:tab/>
      </w:r>
      <w:r w:rsidR="00C545C9" w:rsidRPr="00BE041E">
        <w:rPr>
          <w:highlight w:val="white"/>
        </w:rPr>
        <w:t xml:space="preserve"> Dayem Ullah AZ, Lemoine NR, Chelala C. A practical guide for the functional annotation of genetic variations using SNPnexus. </w:t>
      </w:r>
      <w:r w:rsidR="00C545C9" w:rsidRPr="00BE041E">
        <w:rPr>
          <w:i/>
          <w:highlight w:val="white"/>
        </w:rPr>
        <w:t xml:space="preserve">Briefings in Bioinformatics. </w:t>
      </w:r>
      <w:r w:rsidR="00C545C9" w:rsidRPr="00BE041E">
        <w:rPr>
          <w:highlight w:val="white"/>
        </w:rPr>
        <w:t>2013; 14(4):437-</w:t>
      </w:r>
    </w:p>
    <w:p w14:paraId="2EDC4AC9" w14:textId="67E52DF7" w:rsidR="00796397" w:rsidRPr="00BE041E" w:rsidRDefault="003A243C">
      <w:pPr>
        <w:spacing w:before="240" w:after="240"/>
        <w:ind w:left="640"/>
        <w:rPr>
          <w:highlight w:val="white"/>
        </w:rPr>
      </w:pPr>
      <w:r>
        <w:rPr>
          <w:highlight w:val="white"/>
        </w:rPr>
        <w:t>17</w:t>
      </w:r>
      <w:r w:rsidR="00C545C9" w:rsidRPr="00BE041E">
        <w:rPr>
          <w:highlight w:val="white"/>
        </w:rPr>
        <w:t xml:space="preserve">. </w:t>
      </w:r>
      <w:r w:rsidR="00C545C9" w:rsidRPr="00BE041E">
        <w:rPr>
          <w:highlight w:val="white"/>
        </w:rPr>
        <w:tab/>
        <w:t xml:space="preserve">Dayem Ullah AZ, Lemoine NR, Chelala C. SNPnexus: a web server for functional annotation of novel and publicly known genetic variants (2012 update). </w:t>
      </w:r>
      <w:r w:rsidR="00C545C9" w:rsidRPr="00BE041E">
        <w:rPr>
          <w:i/>
          <w:highlight w:val="white"/>
        </w:rPr>
        <w:t>Nucleic Acids Res</w:t>
      </w:r>
      <w:r w:rsidR="00C545C9" w:rsidRPr="00BE041E">
        <w:rPr>
          <w:highlight w:val="white"/>
        </w:rPr>
        <w:t xml:space="preserve">. 2012; 40(W1):W65-W70. </w:t>
      </w:r>
    </w:p>
    <w:p w14:paraId="542DDCF5" w14:textId="3EC0C7F9" w:rsidR="00796397" w:rsidRPr="00BE041E" w:rsidRDefault="003A243C">
      <w:pPr>
        <w:spacing w:before="240" w:after="240"/>
        <w:ind w:left="640"/>
        <w:rPr>
          <w:highlight w:val="white"/>
        </w:rPr>
      </w:pPr>
      <w:r>
        <w:t>18</w:t>
      </w:r>
      <w:r w:rsidR="00C545C9" w:rsidRPr="00BE041E">
        <w:t xml:space="preserve">. </w:t>
      </w:r>
      <w:r w:rsidR="00C545C9" w:rsidRPr="00BE041E">
        <w:tab/>
      </w:r>
      <w:r w:rsidR="00C545C9" w:rsidRPr="00BE041E">
        <w:rPr>
          <w:highlight w:val="white"/>
        </w:rPr>
        <w:t xml:space="preserve">Chelala C, Khan A, Lemoine NR. SNPnexus: A web database for functional annotation of newly discovered and public domain Single Nucleotide Polymorphisms. </w:t>
      </w:r>
      <w:r w:rsidR="00C545C9" w:rsidRPr="00BE041E">
        <w:rPr>
          <w:i/>
          <w:highlight w:val="white"/>
        </w:rPr>
        <w:t>Bioinformatics.</w:t>
      </w:r>
      <w:r w:rsidR="00C545C9" w:rsidRPr="00BE041E">
        <w:rPr>
          <w:highlight w:val="white"/>
        </w:rPr>
        <w:t xml:space="preserve"> 2009; 25(5):655-61.1. </w:t>
      </w:r>
    </w:p>
    <w:p w14:paraId="7E8277F8" w14:textId="00B20C54" w:rsidR="00796397" w:rsidRPr="00BE041E" w:rsidRDefault="003A243C">
      <w:pPr>
        <w:spacing w:before="240" w:after="240"/>
        <w:ind w:left="640"/>
        <w:rPr>
          <w:highlight w:val="white"/>
        </w:rPr>
      </w:pPr>
      <w:r>
        <w:rPr>
          <w:highlight w:val="white"/>
        </w:rPr>
        <w:t>19</w:t>
      </w:r>
      <w:r w:rsidR="00C545C9" w:rsidRPr="00BE041E">
        <w:rPr>
          <w:highlight w:val="white"/>
        </w:rPr>
        <w:t>.</w:t>
      </w:r>
      <w:r w:rsidR="00C545C9" w:rsidRPr="00BE041E">
        <w:rPr>
          <w:highlight w:val="white"/>
        </w:rPr>
        <w:tab/>
        <w:t xml:space="preserve">Trevino V, Falciani F. GALGO: An R package for multivariate variable selection using genetic algorithms. </w:t>
      </w:r>
      <w:r w:rsidR="00C545C9" w:rsidRPr="00BE041E">
        <w:rPr>
          <w:i/>
          <w:highlight w:val="white"/>
        </w:rPr>
        <w:t>Bioinformatics</w:t>
      </w:r>
      <w:r w:rsidR="00C545C9" w:rsidRPr="00BE041E">
        <w:rPr>
          <w:highlight w:val="white"/>
        </w:rPr>
        <w:t>. 2006;22(9):1154-1156. doi:10.1093/bioinformatics/btl0741.</w:t>
      </w:r>
    </w:p>
    <w:p w14:paraId="6E41648B" w14:textId="253F05B3" w:rsidR="00796397" w:rsidRPr="007F5267" w:rsidRDefault="003A243C">
      <w:pPr>
        <w:spacing w:before="240" w:after="240"/>
        <w:ind w:left="640"/>
        <w:rPr>
          <w:highlight w:val="white"/>
        </w:rPr>
      </w:pPr>
      <w:r>
        <w:rPr>
          <w:color w:val="3C4043"/>
          <w:highlight w:val="white"/>
        </w:rPr>
        <w:t>20</w:t>
      </w:r>
      <w:r w:rsidR="00C545C9">
        <w:rPr>
          <w:color w:val="3C4043"/>
          <w:highlight w:val="white"/>
        </w:rPr>
        <w:t>.</w:t>
      </w:r>
      <w:r w:rsidR="00C545C9">
        <w:rPr>
          <w:color w:val="3C4043"/>
          <w:highlight w:val="white"/>
        </w:rPr>
        <w:tab/>
      </w:r>
      <w:r w:rsidR="00C545C9" w:rsidRPr="007F5267">
        <w:rPr>
          <w:highlight w:val="white"/>
        </w:rPr>
        <w:t>Pavlov YL. Random forests.</w:t>
      </w:r>
      <w:r w:rsidR="00BE041E" w:rsidRPr="007F5267">
        <w:rPr>
          <w:highlight w:val="white"/>
        </w:rPr>
        <w:t xml:space="preserve"> </w:t>
      </w:r>
      <w:r w:rsidR="00BE041E" w:rsidRPr="007F5267">
        <w:rPr>
          <w:i/>
          <w:highlight w:val="white"/>
        </w:rPr>
        <w:t>Random for</w:t>
      </w:r>
      <w:r w:rsidR="00BE041E" w:rsidRPr="007F5267">
        <w:rPr>
          <w:highlight w:val="white"/>
        </w:rPr>
        <w:t>.</w:t>
      </w:r>
      <w:r w:rsidR="00C545C9" w:rsidRPr="007F5267">
        <w:rPr>
          <w:highlight w:val="white"/>
        </w:rPr>
        <w:t xml:space="preserve"> 2019:1-122. doi:10.1201/9780429469275-8</w:t>
      </w:r>
      <w:r w:rsidR="007F5267">
        <w:rPr>
          <w:highlight w:val="white"/>
        </w:rPr>
        <w:t>.</w:t>
      </w:r>
    </w:p>
    <w:p w14:paraId="04456CA7" w14:textId="5B82485F" w:rsidR="00CD66F1" w:rsidRDefault="003A243C" w:rsidP="00CD66F1">
      <w:pPr>
        <w:spacing w:before="240" w:after="240"/>
        <w:ind w:left="640"/>
      </w:pPr>
      <w:r>
        <w:t>21</w:t>
      </w:r>
      <w:r w:rsidR="00CD66F1">
        <w:t xml:space="preserve">. </w:t>
      </w:r>
      <w:r w:rsidR="00CD66F1">
        <w:tab/>
        <w:t>Alsbeih G, Al-Harbi N, Al-Hadyan K, El-Sebaie M, Al-Rajhi N</w:t>
      </w:r>
      <w:r w:rsidR="007F5267">
        <w:t xml:space="preserve">.  </w:t>
      </w:r>
      <w:r w:rsidR="00CD66F1">
        <w:t xml:space="preserve">Association between Normal Tissue Complications after Radiotherapy and Polymorphic Variations in TGFB1 and XRCC1 Genes. </w:t>
      </w:r>
      <w:r w:rsidR="00CD66F1">
        <w:rPr>
          <w:i/>
        </w:rPr>
        <w:t>Radiat Res</w:t>
      </w:r>
      <w:r w:rsidR="007F5267">
        <w:t>. 2010;</w:t>
      </w:r>
      <w:r w:rsidR="00CD66F1">
        <w:rPr>
          <w:i/>
        </w:rPr>
        <w:t>173</w:t>
      </w:r>
      <w:r w:rsidR="00CD66F1">
        <w:t>(4),505–</w:t>
      </w:r>
      <w:r w:rsidR="00CD66F1" w:rsidRPr="007F5267">
        <w:t>511.</w:t>
      </w:r>
      <w:hyperlink r:id="rId8">
        <w:r w:rsidR="00CD66F1" w:rsidRPr="007F5267">
          <w:t xml:space="preserve"> </w:t>
        </w:r>
      </w:hyperlink>
      <w:hyperlink r:id="rId9">
        <w:r w:rsidR="00CD66F1" w:rsidRPr="007F5267">
          <w:t>doi</w:t>
        </w:r>
        <w:r w:rsidR="007F5267" w:rsidRPr="007F5267">
          <w:t>:</w:t>
        </w:r>
        <w:r w:rsidR="00CD66F1" w:rsidRPr="007F5267">
          <w:t>10.1667/rr1769.1</w:t>
        </w:r>
      </w:hyperlink>
    </w:p>
    <w:p w14:paraId="01023B28" w14:textId="6711FCDA" w:rsidR="003A243C" w:rsidRDefault="003A243C" w:rsidP="003A243C">
      <w:pPr>
        <w:spacing w:before="240" w:after="240"/>
        <w:ind w:left="640"/>
        <w:rPr>
          <w:color w:val="1155CC"/>
          <w:u w:val="single"/>
        </w:rPr>
      </w:pPr>
      <w:r>
        <w:rPr>
          <w:color w:val="3C4043"/>
          <w:highlight w:val="white"/>
        </w:rPr>
        <w:t xml:space="preserve">22. </w:t>
      </w:r>
      <w:r>
        <w:rPr>
          <w:color w:val="3C4043"/>
          <w:highlight w:val="white"/>
        </w:rPr>
        <w:tab/>
      </w:r>
      <w:r>
        <w:t>Sherry S</w:t>
      </w:r>
      <w:r w:rsidRPr="007F5267">
        <w:t>T, Ward MH, Kholodov M, et al. dbSNP: the NCBI database of genetic variation.</w:t>
      </w:r>
      <w:hyperlink r:id="rId10">
        <w:r w:rsidRPr="007F5267">
          <w:t xml:space="preserve"> </w:t>
        </w:r>
      </w:hyperlink>
      <w:hyperlink r:id="rId11">
        <w:r w:rsidRPr="007F5267">
          <w:rPr>
            <w:i/>
          </w:rPr>
          <w:t>Nucleic Acids Res</w:t>
        </w:r>
        <w:r w:rsidRPr="007F5267">
          <w:t>. 2001 Jan 1; 29(1):308-11</w:t>
        </w:r>
      </w:hyperlink>
      <w:r>
        <w:t>.</w:t>
      </w:r>
    </w:p>
    <w:p w14:paraId="6FECEE95" w14:textId="3C9332BE" w:rsidR="00796397" w:rsidRDefault="003A243C">
      <w:pPr>
        <w:spacing w:before="240" w:after="240"/>
        <w:ind w:left="640"/>
        <w:rPr>
          <w:color w:val="1155CC"/>
          <w:highlight w:val="white"/>
          <w:u w:val="single"/>
        </w:rPr>
      </w:pPr>
      <w:r>
        <w:t>23</w:t>
      </w:r>
      <w:r w:rsidR="00C545C9">
        <w:t xml:space="preserve">. </w:t>
      </w:r>
      <w:r w:rsidR="00C545C9">
        <w:tab/>
      </w:r>
      <w:hyperlink r:id="rId12">
        <w:r w:rsidR="00C545C9">
          <w:rPr>
            <w:color w:val="1155CC"/>
            <w:highlight w:val="white"/>
            <w:u w:val="single"/>
          </w:rPr>
          <w:t>https://www.ncbi.nlm.nih.gov/variation/tools/1000genomes/</w:t>
        </w:r>
      </w:hyperlink>
    </w:p>
    <w:p w14:paraId="6F89BDD1" w14:textId="760E7F1B" w:rsidR="00796397" w:rsidRDefault="003A243C">
      <w:pPr>
        <w:spacing w:before="240" w:after="240"/>
        <w:ind w:left="640"/>
        <w:rPr>
          <w:color w:val="1155CC"/>
          <w:u w:val="single"/>
        </w:rPr>
      </w:pPr>
      <w:r>
        <w:rPr>
          <w:color w:val="3C4043"/>
          <w:highlight w:val="white"/>
        </w:rPr>
        <w:t>24</w:t>
      </w:r>
      <w:r w:rsidR="00C545C9">
        <w:rPr>
          <w:color w:val="3C4043"/>
          <w:highlight w:val="white"/>
        </w:rPr>
        <w:t xml:space="preserve">. </w:t>
      </w:r>
      <w:r w:rsidR="00C545C9">
        <w:rPr>
          <w:color w:val="3C4043"/>
          <w:highlight w:val="white"/>
        </w:rPr>
        <w:tab/>
      </w:r>
      <w:hyperlink r:id="rId13">
        <w:r w:rsidR="00C545C9">
          <w:rPr>
            <w:color w:val="1155CC"/>
            <w:u w:val="single"/>
          </w:rPr>
          <w:t>https://ftp.ncbi.nlm.nih.gov/hapmap/</w:t>
        </w:r>
      </w:hyperlink>
    </w:p>
    <w:p w14:paraId="51E116F2" w14:textId="252F3814" w:rsidR="00796397" w:rsidRDefault="003A243C">
      <w:pPr>
        <w:spacing w:before="240" w:after="240"/>
        <w:ind w:left="640"/>
        <w:rPr>
          <w:i/>
        </w:rPr>
      </w:pPr>
      <w:r>
        <w:t>25</w:t>
      </w:r>
      <w:r w:rsidR="00C545C9">
        <w:t xml:space="preserve">. </w:t>
      </w:r>
      <w:r w:rsidR="00C545C9">
        <w:tab/>
        <w:t xml:space="preserve">Meyer I. Infectious diseases of the jaws. </w:t>
      </w:r>
      <w:r w:rsidR="00C545C9">
        <w:rPr>
          <w:i/>
        </w:rPr>
        <w:t>J Oral Surg</w:t>
      </w:r>
      <w:r w:rsidR="007F5267">
        <w:rPr>
          <w:i/>
        </w:rPr>
        <w:t xml:space="preserve">. </w:t>
      </w:r>
      <w:r w:rsidR="007F5267" w:rsidRPr="007F5267">
        <w:t>1970;</w:t>
      </w:r>
      <w:r w:rsidR="007F5267">
        <w:t>28(</w:t>
      </w:r>
      <w:r w:rsidR="00C545C9" w:rsidRPr="007F5267">
        <w:t>17e26</w:t>
      </w:r>
      <w:r w:rsidR="007F5267">
        <w:t>)</w:t>
      </w:r>
      <w:r w:rsidR="00C545C9">
        <w:rPr>
          <w:i/>
        </w:rPr>
        <w:t>.</w:t>
      </w:r>
    </w:p>
    <w:p w14:paraId="433A2545" w14:textId="1F87281E" w:rsidR="00796397" w:rsidRDefault="003A243C">
      <w:pPr>
        <w:spacing w:before="240" w:after="240"/>
        <w:ind w:left="640"/>
        <w:rPr>
          <w:i/>
        </w:rPr>
      </w:pPr>
      <w:r>
        <w:t>26</w:t>
      </w:r>
      <w:r w:rsidR="00C545C9">
        <w:t xml:space="preserve">. </w:t>
      </w:r>
      <w:r w:rsidR="00C545C9">
        <w:tab/>
        <w:t xml:space="preserve">Marx, R. E. A new concept in the treatment of osteoradionecrosis. </w:t>
      </w:r>
      <w:r w:rsidR="007F5267">
        <w:rPr>
          <w:i/>
        </w:rPr>
        <w:t xml:space="preserve">J Oral Maxillofac Surg. </w:t>
      </w:r>
      <w:r w:rsidR="007F5267" w:rsidRPr="007F5267">
        <w:t>1983;41(</w:t>
      </w:r>
      <w:r w:rsidR="00C545C9" w:rsidRPr="007F5267">
        <w:t>351e357</w:t>
      </w:r>
      <w:r w:rsidR="007F5267" w:rsidRPr="007F5267">
        <w:t>)</w:t>
      </w:r>
      <w:r w:rsidR="00C545C9" w:rsidRPr="007F5267">
        <w:t>.</w:t>
      </w:r>
    </w:p>
    <w:p w14:paraId="28B49C5D" w14:textId="5F5E6731" w:rsidR="00796397" w:rsidRDefault="003A243C">
      <w:pPr>
        <w:spacing w:before="240" w:after="240"/>
        <w:ind w:left="640"/>
        <w:rPr>
          <w:color w:val="0000FF"/>
          <w:u w:val="single"/>
        </w:rPr>
      </w:pPr>
      <w:r>
        <w:t>27</w:t>
      </w:r>
      <w:r w:rsidR="007F5267">
        <w:t xml:space="preserve">. </w:t>
      </w:r>
      <w:r w:rsidR="007F5267">
        <w:tab/>
        <w:t xml:space="preserve">Delanian </w:t>
      </w:r>
      <w:r w:rsidR="00C545C9">
        <w:t>S, Lefaix J</w:t>
      </w:r>
      <w:r w:rsidR="007F5267">
        <w:t xml:space="preserve">L. </w:t>
      </w:r>
      <w:r w:rsidR="00C545C9">
        <w:t xml:space="preserve">The radiation-induced fibroatrophic process: Therapeutic perspective via the antioxidant pathway. </w:t>
      </w:r>
      <w:r w:rsidR="00C545C9">
        <w:rPr>
          <w:i/>
        </w:rPr>
        <w:t>Radiother Oncol</w:t>
      </w:r>
      <w:r w:rsidR="007F5267">
        <w:t>.  2004;</w:t>
      </w:r>
      <w:r w:rsidR="00C545C9" w:rsidRPr="007F5267">
        <w:t>73</w:t>
      </w:r>
      <w:r w:rsidR="007F5267">
        <w:t>(2):</w:t>
      </w:r>
      <w:r w:rsidR="00C545C9">
        <w:t>119–131.</w:t>
      </w:r>
      <w:hyperlink r:id="rId14">
        <w:r w:rsidR="00C545C9">
          <w:t xml:space="preserve"> </w:t>
        </w:r>
      </w:hyperlink>
      <w:hyperlink r:id="rId15">
        <w:r w:rsidR="00C545C9" w:rsidRPr="007F5267">
          <w:t>doi</w:t>
        </w:r>
        <w:r w:rsidR="007F5267" w:rsidRPr="007F5267">
          <w:t>:</w:t>
        </w:r>
        <w:r w:rsidR="00C545C9" w:rsidRPr="007F5267">
          <w:t>10.1016/j.radonc.2004.08.021</w:t>
        </w:r>
      </w:hyperlink>
    </w:p>
    <w:p w14:paraId="33DF5C86" w14:textId="5FF04E76" w:rsidR="00796397" w:rsidRDefault="003A243C">
      <w:pPr>
        <w:spacing w:before="240" w:after="240"/>
        <w:ind w:left="640"/>
      </w:pPr>
      <w:r>
        <w:lastRenderedPageBreak/>
        <w:t>28</w:t>
      </w:r>
      <w:r w:rsidR="00C545C9">
        <w:t xml:space="preserve">. </w:t>
      </w:r>
      <w:r w:rsidR="00C545C9">
        <w:tab/>
        <w:t>Patel V, Di Silvio L, Kwok J, et al. The impact of intensity-modulated radiation treatment on dento-alveolar microvasculature in pharyngeal cancer implant patients. J Oral Rehabil. 2020;47(11):1411-1421. doi:10.1111/joor.13084</w:t>
      </w:r>
    </w:p>
    <w:p w14:paraId="1AED5820" w14:textId="6D39B158" w:rsidR="00796397" w:rsidRPr="007F5267" w:rsidRDefault="003A243C" w:rsidP="007F5267">
      <w:pPr>
        <w:spacing w:before="240" w:after="240"/>
        <w:ind w:left="640"/>
        <w:rPr>
          <w:highlight w:val="white"/>
        </w:rPr>
      </w:pPr>
      <w:r>
        <w:rPr>
          <w:highlight w:val="white"/>
        </w:rPr>
        <w:t>29</w:t>
      </w:r>
      <w:r w:rsidR="00C545C9">
        <w:rPr>
          <w:highlight w:val="white"/>
        </w:rPr>
        <w:t xml:space="preserve">. </w:t>
      </w:r>
      <w:r w:rsidR="00C545C9">
        <w:rPr>
          <w:highlight w:val="white"/>
        </w:rPr>
        <w:tab/>
        <w:t>Yates</w:t>
      </w:r>
      <w:r w:rsidR="007F5267">
        <w:rPr>
          <w:highlight w:val="white"/>
        </w:rPr>
        <w:t xml:space="preserve"> AD</w:t>
      </w:r>
      <w:r w:rsidR="00C545C9">
        <w:rPr>
          <w:highlight w:val="white"/>
        </w:rPr>
        <w:t>, Achuthan</w:t>
      </w:r>
      <w:r w:rsidR="007F5267">
        <w:rPr>
          <w:highlight w:val="white"/>
        </w:rPr>
        <w:t xml:space="preserve"> P</w:t>
      </w:r>
      <w:r w:rsidR="00C545C9">
        <w:rPr>
          <w:highlight w:val="white"/>
        </w:rPr>
        <w:t xml:space="preserve">, </w:t>
      </w:r>
      <w:r w:rsidR="007F5267">
        <w:rPr>
          <w:highlight w:val="white"/>
        </w:rPr>
        <w:t>A</w:t>
      </w:r>
      <w:r w:rsidR="00C545C9">
        <w:rPr>
          <w:highlight w:val="white"/>
        </w:rPr>
        <w:t>kanni</w:t>
      </w:r>
      <w:r w:rsidR="007F5267">
        <w:rPr>
          <w:highlight w:val="white"/>
        </w:rPr>
        <w:t xml:space="preserve"> W</w:t>
      </w:r>
      <w:r w:rsidR="00C545C9">
        <w:rPr>
          <w:highlight w:val="white"/>
        </w:rPr>
        <w:t xml:space="preserve">, et al. </w:t>
      </w:r>
      <w:r w:rsidR="00C545C9" w:rsidRPr="00AD1A70">
        <w:rPr>
          <w:highlight w:val="white"/>
        </w:rPr>
        <w:t>Ensembl 2020 (release 103).</w:t>
      </w:r>
      <w:r w:rsidR="00C545C9" w:rsidRPr="00AD1A70">
        <w:t xml:space="preserve"> </w:t>
      </w:r>
      <w:r w:rsidR="00C545C9" w:rsidRPr="00AD1A70">
        <w:rPr>
          <w:highlight w:val="white"/>
        </w:rPr>
        <w:t>PubMed PMID: 31691826.</w:t>
      </w:r>
      <w:hyperlink r:id="rId16">
        <w:r w:rsidR="00C545C9" w:rsidRPr="00AD1A70">
          <w:t xml:space="preserve"> </w:t>
        </w:r>
      </w:hyperlink>
      <w:hyperlink r:id="rId17">
        <w:r w:rsidR="00C545C9" w:rsidRPr="00AD1A70">
          <w:rPr>
            <w:color w:val="1155CC"/>
            <w:highlight w:val="white"/>
            <w:u w:val="single"/>
          </w:rPr>
          <w:t>doi:10.1093/nar/gkz966</w:t>
        </w:r>
      </w:hyperlink>
    </w:p>
    <w:p w14:paraId="1E5A7621" w14:textId="3F56B6AA" w:rsidR="00796397" w:rsidRDefault="003A243C">
      <w:pPr>
        <w:spacing w:before="240" w:after="240"/>
        <w:ind w:left="640"/>
        <w:rPr>
          <w:color w:val="1155CC"/>
          <w:u w:val="single"/>
        </w:rPr>
      </w:pPr>
      <w:r>
        <w:t>30</w:t>
      </w:r>
      <w:r w:rsidR="00C545C9">
        <w:t xml:space="preserve">. </w:t>
      </w:r>
      <w:r w:rsidR="00C545C9">
        <w:tab/>
        <w:t xml:space="preserve">Sayers EW, Beck J, Bolton EE, et al. Database resources of the National Center for Biotechnology Information. </w:t>
      </w:r>
      <w:r w:rsidR="00C545C9">
        <w:rPr>
          <w:i/>
        </w:rPr>
        <w:t>Nucleic Acids Res</w:t>
      </w:r>
      <w:r w:rsidR="00C545C9">
        <w:t>. 2021;49(D1):D10-D17. doi:10.1093/nar/gkaa892</w:t>
      </w:r>
      <w:hyperlink r:id="rId18">
        <w:r w:rsidR="00C545C9">
          <w:t xml:space="preserve"> </w:t>
        </w:r>
      </w:hyperlink>
      <w:hyperlink r:id="rId19">
        <w:r w:rsidR="00C545C9">
          <w:rPr>
            <w:color w:val="1155CC"/>
            <w:u w:val="single"/>
          </w:rPr>
          <w:t>https://www.ncbi.nlm.nih.gov/snp/</w:t>
        </w:r>
      </w:hyperlink>
    </w:p>
    <w:p w14:paraId="0F7293CD" w14:textId="33A9572D" w:rsidR="00796397" w:rsidRDefault="003A243C">
      <w:pPr>
        <w:spacing w:before="240" w:after="240"/>
        <w:ind w:left="640"/>
      </w:pPr>
      <w:r>
        <w:t>31</w:t>
      </w:r>
      <w:r w:rsidR="00C545C9">
        <w:t xml:space="preserve">. </w:t>
      </w:r>
      <w:r w:rsidR="00C545C9">
        <w:tab/>
        <w:t xml:space="preserve">Belinky F, Nativ N, Stelzer G, et al. PathCards: Multi-source consolidation of human biological pathways. </w:t>
      </w:r>
      <w:r w:rsidR="00C545C9">
        <w:rPr>
          <w:i/>
        </w:rPr>
        <w:t>Database</w:t>
      </w:r>
      <w:r w:rsidR="00C545C9">
        <w:t>. 2015;2015(2):1-13. doi:10.1093/database/bav006</w:t>
      </w:r>
    </w:p>
    <w:p w14:paraId="399CE1B6" w14:textId="54F5EC82" w:rsidR="00796397" w:rsidRDefault="003A243C">
      <w:pPr>
        <w:spacing w:before="240" w:after="240"/>
        <w:ind w:left="640"/>
      </w:pPr>
      <w:r>
        <w:t>32</w:t>
      </w:r>
      <w:r w:rsidR="00C545C9">
        <w:t xml:space="preserve">. </w:t>
      </w:r>
      <w:r w:rsidR="00C545C9">
        <w:tab/>
        <w:t xml:space="preserve">Zaidi SK, Javed A, Choi JY, et al. A specific targeting signal directs Runx2/Cbfa1 to subnuclear domains and contributes to transactivation of the osteocalcin gene. </w:t>
      </w:r>
      <w:r w:rsidR="00C545C9">
        <w:rPr>
          <w:i/>
        </w:rPr>
        <w:t>J Cell Sci</w:t>
      </w:r>
      <w:r w:rsidR="00C545C9">
        <w:t>. 2001;114(17):3093-3102.</w:t>
      </w:r>
    </w:p>
    <w:p w14:paraId="528BCC79" w14:textId="1DFA7C9B" w:rsidR="00796397" w:rsidRDefault="003A243C">
      <w:pPr>
        <w:spacing w:before="240" w:after="240"/>
        <w:ind w:left="640"/>
      </w:pPr>
      <w:r>
        <w:t>33</w:t>
      </w:r>
      <w:r w:rsidR="00C545C9">
        <w:t xml:space="preserve">. </w:t>
      </w:r>
      <w:r w:rsidR="00C545C9">
        <w:tab/>
        <w:t xml:space="preserve">Milili M, Gauthier L, Veran J, Mattei MG, Schiff C. </w:t>
      </w:r>
      <w:r w:rsidR="007F5267">
        <w:t xml:space="preserve"> </w:t>
      </w:r>
      <w:r w:rsidR="00C545C9">
        <w:t xml:space="preserve">A new Groucho TLE4 protein may regulate the repressive activity of Pax5 in human B lymphocytes. </w:t>
      </w:r>
      <w:r w:rsidR="00C545C9">
        <w:rPr>
          <w:i/>
        </w:rPr>
        <w:t>Immunology</w:t>
      </w:r>
      <w:r w:rsidR="00C545C9">
        <w:t xml:space="preserve">. 2002;106(4):447-455. </w:t>
      </w:r>
      <w:r w:rsidR="000E536C">
        <w:t>d</w:t>
      </w:r>
      <w:r w:rsidR="00C545C9">
        <w:t>oi:10.1046/j.1365-2567.2002.01456.x</w:t>
      </w:r>
    </w:p>
    <w:p w14:paraId="58301120" w14:textId="2D8B191B" w:rsidR="00796397" w:rsidRDefault="003A243C">
      <w:pPr>
        <w:spacing w:before="240" w:after="240"/>
        <w:ind w:left="640"/>
      </w:pPr>
      <w:r>
        <w:t>34</w:t>
      </w:r>
      <w:r w:rsidR="00C545C9">
        <w:t xml:space="preserve">. </w:t>
      </w:r>
      <w:r w:rsidR="00C545C9">
        <w:tab/>
        <w:t xml:space="preserve">Wheat JC, Krause DS, Shin TH, et al. The corepressor Tle4 is a novel regulator of murine hematopoiesis and bone development. </w:t>
      </w:r>
      <w:r w:rsidR="00C545C9">
        <w:rPr>
          <w:i/>
        </w:rPr>
        <w:t>PLoS One</w:t>
      </w:r>
      <w:r w:rsidR="00C545C9">
        <w:t>. 2014;9(8). doi:10.1371/journal.pone.0105557</w:t>
      </w:r>
    </w:p>
    <w:p w14:paraId="470DEA4B" w14:textId="4C4EEFA2" w:rsidR="00796397" w:rsidRDefault="003A243C">
      <w:pPr>
        <w:spacing w:before="240" w:after="240"/>
        <w:ind w:left="640"/>
      </w:pPr>
      <w:r>
        <w:t>35</w:t>
      </w:r>
      <w:r w:rsidR="00C545C9">
        <w:t>.</w:t>
      </w:r>
      <w:r w:rsidR="00C545C9">
        <w:tab/>
        <w:t>Tang J,</w:t>
      </w:r>
      <w:r w:rsidR="000E536C">
        <w:t xml:space="preserve"> Huang Y, Nguyen DH, Costes SV</w:t>
      </w:r>
      <w:r w:rsidR="00C545C9">
        <w:t xml:space="preserve">, Snijders AM, Mao JH. Genetic background modulates lncRNA-coordinated tissue response to low dose ionizing radiation. Int J Genomics. 2015;2015. doi:10.1155/2015/4610381. </w:t>
      </w:r>
    </w:p>
    <w:p w14:paraId="7BE207C6" w14:textId="7C4F1947" w:rsidR="00796397" w:rsidRDefault="003A243C">
      <w:pPr>
        <w:spacing w:before="240" w:after="240"/>
        <w:ind w:left="640"/>
      </w:pPr>
      <w:r>
        <w:t>36</w:t>
      </w:r>
      <w:r w:rsidR="00C545C9">
        <w:t>.</w:t>
      </w:r>
      <w:r w:rsidR="00C545C9">
        <w:tab/>
        <w:t xml:space="preserve">Huang S, Li Z, Liu Y, et al. Neural regulation of bone remodeling: Identifying novel neural molecules and pathways between brain and bone. J Cell Physiol. 2019;234(5):5466-5477. doi:10.1002/jcp.265021. </w:t>
      </w:r>
    </w:p>
    <w:p w14:paraId="2951308A" w14:textId="1D0C0F0E" w:rsidR="00796397" w:rsidRDefault="003A243C">
      <w:pPr>
        <w:spacing w:before="240" w:after="240"/>
        <w:ind w:left="640"/>
      </w:pPr>
      <w:r>
        <w:t>37</w:t>
      </w:r>
      <w:r w:rsidR="00C545C9">
        <w:t>.</w:t>
      </w:r>
      <w:r w:rsidR="00C545C9">
        <w:tab/>
        <w:t>Spieker J, Frieß JL, Sperling L, Thangaraj G, Vogel-Höpker A, Layer PG. Cholinergic control of bone development and beyond. Int Immunopharmacol. 2020;83(January):106405. doi:10.1016/j.intimp.2020.106405</w:t>
      </w:r>
    </w:p>
    <w:p w14:paraId="7348ACC6" w14:textId="0CCA8126" w:rsidR="00E45F4E" w:rsidRDefault="003A243C" w:rsidP="00E45F4E">
      <w:pPr>
        <w:spacing w:before="240" w:after="240"/>
        <w:ind w:left="640"/>
      </w:pPr>
      <w:r>
        <w:t>38</w:t>
      </w:r>
      <w:r w:rsidR="00C545C9">
        <w:t>.</w:t>
      </w:r>
      <w:r w:rsidR="00C545C9">
        <w:tab/>
        <w:t>Thangaraj G, Manakov V, Cucu A, Fournier C, Layer PG. Inflammatory effects of TNFα are counteracted by X-ray irradiation and AChE inhibition in mouse micromass cultures. Chem Biol Interact. 2016;259:313-318. doi:10.1016/j.cbi.2016.03.027</w:t>
      </w:r>
      <w:r w:rsidR="0061631C" w:rsidRPr="0061631C">
        <w:t xml:space="preserve"> </w:t>
      </w:r>
      <w:r w:rsidR="0061631C">
        <w:t xml:space="preserve">1. </w:t>
      </w:r>
      <w:r w:rsidR="0061631C">
        <w:tab/>
      </w:r>
    </w:p>
    <w:p w14:paraId="14EE0E6F" w14:textId="756E27EE" w:rsidR="004F016A" w:rsidRDefault="003A243C" w:rsidP="00E45F4E">
      <w:pPr>
        <w:spacing w:before="240" w:after="240"/>
        <w:ind w:left="640"/>
      </w:pPr>
      <w:r>
        <w:t>39</w:t>
      </w:r>
      <w:r w:rsidR="004F016A">
        <w:t xml:space="preserve">. </w:t>
      </w:r>
      <w:r w:rsidR="004F016A">
        <w:tab/>
        <w:t xml:space="preserve">Pierce H, Zhang D, Magnon C, et al. Cholinergic Signals from the CNS Regulate G-CSF-Mediated HSC Mobilization from Bone Marrow via a Glucocorticoid Signaling Relay. </w:t>
      </w:r>
      <w:r w:rsidR="004F016A">
        <w:rPr>
          <w:i/>
          <w:iCs/>
        </w:rPr>
        <w:t>Cell Stem Cell</w:t>
      </w:r>
      <w:r w:rsidR="004F016A">
        <w:t>. 2017;20(5):648-658.e4. doi:10.1016/j.stem.2017.01.002</w:t>
      </w:r>
    </w:p>
    <w:p w14:paraId="7C052720" w14:textId="547FEAB1" w:rsidR="0061631C" w:rsidRDefault="003A243C" w:rsidP="00E45F4E">
      <w:pPr>
        <w:spacing w:before="240" w:after="240"/>
        <w:ind w:left="640"/>
      </w:pPr>
      <w:r>
        <w:t>40</w:t>
      </w:r>
      <w:r w:rsidR="00E45F4E">
        <w:t>.</w:t>
      </w:r>
      <w:r w:rsidR="00E45F4E">
        <w:tab/>
        <w:t xml:space="preserve">Eimar H, Tamimi I, Murshed M, Tamimi F. Cholinergic regulation of bone. </w:t>
      </w:r>
      <w:r w:rsidR="00E45F4E">
        <w:rPr>
          <w:i/>
          <w:iCs/>
        </w:rPr>
        <w:t>J Musculoskelet Neuronal Interact</w:t>
      </w:r>
      <w:r w:rsidR="00E45F4E">
        <w:t>. 2013;13(2):124-132.</w:t>
      </w:r>
    </w:p>
    <w:p w14:paraId="2ABFF07B" w14:textId="32A504A7" w:rsidR="00796397" w:rsidRDefault="003A243C">
      <w:pPr>
        <w:spacing w:before="240" w:after="240"/>
        <w:ind w:left="640"/>
        <w:rPr>
          <w:sz w:val="18"/>
          <w:szCs w:val="18"/>
        </w:rPr>
      </w:pPr>
      <w:r>
        <w:lastRenderedPageBreak/>
        <w:t>41</w:t>
      </w:r>
      <w:r w:rsidR="0061631C">
        <w:t>.</w:t>
      </w:r>
      <w:r w:rsidR="0061631C">
        <w:tab/>
        <w:t xml:space="preserve">Bataille C, Mauprivez C, Haÿ E, et al. Different sympathetic pathways control the metabolism of distinct bone envelopes. </w:t>
      </w:r>
      <w:r w:rsidR="0061631C">
        <w:rPr>
          <w:i/>
          <w:iCs/>
        </w:rPr>
        <w:t>Bone</w:t>
      </w:r>
      <w:r w:rsidR="0061631C">
        <w:t>. 2012;50(5):1162-1172. doi:10.1016/j.bone.2012.01.023</w:t>
      </w:r>
    </w:p>
    <w:p w14:paraId="6CE6B74F" w14:textId="26F51B73" w:rsidR="00796397" w:rsidRDefault="003A243C">
      <w:pPr>
        <w:spacing w:before="240" w:after="240"/>
        <w:ind w:left="640"/>
      </w:pPr>
      <w:r>
        <w:t>42</w:t>
      </w:r>
      <w:r w:rsidR="00C545C9">
        <w:t>.</w:t>
      </w:r>
      <w:r w:rsidR="00C545C9">
        <w:tab/>
        <w:t>Pohlers D, Brenmoehl J, Löffler I, et al. TGF-β and fibrosis in different organs - molecular pathway imprints. Biochim Biophys Acta - Mol Basis Dis. 2009;1792(8):746-756. doi:10.1016/j.bbadis.2009.06.004</w:t>
      </w:r>
    </w:p>
    <w:p w14:paraId="3385C3B6" w14:textId="18BA3F4D" w:rsidR="00AA3989" w:rsidRDefault="003A243C">
      <w:pPr>
        <w:spacing w:before="240" w:after="240"/>
        <w:ind w:left="640"/>
      </w:pPr>
      <w:r>
        <w:t>43</w:t>
      </w:r>
      <w:r w:rsidR="00C545C9">
        <w:t>.</w:t>
      </w:r>
      <w:r w:rsidR="00C545C9">
        <w:tab/>
        <w:t>Zhang S. The role of transforming growth factor β in T helper 17 differentiation. Immunology. 2018;155(1):24-35. doi:10.1111/imm.12938</w:t>
      </w:r>
      <w:r w:rsidR="00AA3989" w:rsidRPr="00AA3989">
        <w:t xml:space="preserve"> </w:t>
      </w:r>
    </w:p>
    <w:p w14:paraId="554E6BE7" w14:textId="10E37548" w:rsidR="00DA099A" w:rsidRDefault="00DA099A">
      <w:pPr>
        <w:spacing w:before="240" w:after="240"/>
        <w:ind w:left="640"/>
      </w:pPr>
      <w:r>
        <w:t>44.</w:t>
      </w:r>
      <w:r w:rsidRPr="00DA099A">
        <w:t xml:space="preserve"> </w:t>
      </w:r>
      <w:r>
        <w:tab/>
        <w:t xml:space="preserve">Van Dijk L V., Abusaif AA, Rigert J, et al. Normal Tissue Complication Probability (NTCP) Prediction Model for Osteoradionecrosis of the Mandible in Patients With Head and Neck Cancer After Radiation Therapy: Large-Scale Observational Cohort. </w:t>
      </w:r>
      <w:r>
        <w:rPr>
          <w:i/>
          <w:iCs/>
        </w:rPr>
        <w:t>Int J Radiat Oncol Biol Phys</w:t>
      </w:r>
      <w:r>
        <w:t>. 2021;000(00). doi:10.1016/j.ijrobp.2021.04.042</w:t>
      </w:r>
    </w:p>
    <w:p w14:paraId="7F8E7459" w14:textId="7BE5FD56" w:rsidR="00796397" w:rsidRDefault="003A243C" w:rsidP="007A40F6">
      <w:pPr>
        <w:spacing w:before="240" w:after="240"/>
        <w:ind w:left="640"/>
      </w:pPr>
      <w:r>
        <w:t>4</w:t>
      </w:r>
      <w:r w:rsidR="00DA099A">
        <w:t>5</w:t>
      </w:r>
      <w:r w:rsidR="00AA3989">
        <w:t>.</w:t>
      </w:r>
      <w:r w:rsidR="00AA3989">
        <w:tab/>
        <w:t xml:space="preserve">Schache AG, Powell NG, Cuschieri KS, et al. HPV-related oropharynx cancer in the United Kingdom: An evolution in the understanding of disease etiology. </w:t>
      </w:r>
      <w:r w:rsidR="00AA3989">
        <w:rPr>
          <w:i/>
          <w:iCs/>
        </w:rPr>
        <w:t>Cancer Res</w:t>
      </w:r>
      <w:r w:rsidR="00AA3989">
        <w:t>. 2016;76(22):6598-6606. doi:10.1158/0008-5472.CAN-16-0633</w:t>
      </w:r>
      <w:bookmarkStart w:id="9" w:name="_yxl171r2e5pa" w:colFirst="0" w:colLast="0"/>
      <w:bookmarkStart w:id="10" w:name="_l9wzk3pdclui" w:colFirst="0" w:colLast="0"/>
      <w:bookmarkEnd w:id="9"/>
      <w:bookmarkEnd w:id="10"/>
    </w:p>
    <w:p w14:paraId="3F9CBB87" w14:textId="77777777" w:rsidR="00DA099A" w:rsidRDefault="00DA099A" w:rsidP="007A40F6">
      <w:pPr>
        <w:spacing w:before="240" w:after="240"/>
        <w:ind w:left="640"/>
      </w:pPr>
    </w:p>
    <w:p w14:paraId="50D7BD5B" w14:textId="77777777" w:rsidR="001168D9" w:rsidRDefault="001168D9" w:rsidP="00E97E30">
      <w:pPr>
        <w:rPr>
          <w:b/>
        </w:rPr>
      </w:pPr>
    </w:p>
    <w:p w14:paraId="79479C4F" w14:textId="4134CD7E" w:rsidR="00E97E30" w:rsidRPr="00E97E30" w:rsidRDefault="00E97E30" w:rsidP="00E97E30">
      <w:pPr>
        <w:rPr>
          <w:b/>
        </w:rPr>
      </w:pPr>
    </w:p>
    <w:p w14:paraId="5DE80569" w14:textId="77777777" w:rsidR="007A40F6" w:rsidRDefault="007A40F6" w:rsidP="007A40F6">
      <w:pPr>
        <w:spacing w:line="240" w:lineRule="auto"/>
        <w:jc w:val="both"/>
        <w:rPr>
          <w:rFonts w:eastAsia="Times New Roman"/>
          <w:color w:val="000000"/>
        </w:rPr>
      </w:pPr>
    </w:p>
    <w:p w14:paraId="6B239C5D" w14:textId="77777777" w:rsidR="007A40F6" w:rsidRDefault="007A40F6" w:rsidP="007A40F6">
      <w:pPr>
        <w:spacing w:line="240" w:lineRule="auto"/>
        <w:jc w:val="both"/>
        <w:rPr>
          <w:color w:val="000000"/>
        </w:rPr>
      </w:pPr>
    </w:p>
    <w:p w14:paraId="6D525F6B" w14:textId="47D4F934" w:rsidR="00AC10A4" w:rsidRPr="00AC10A4" w:rsidRDefault="00AC10A4" w:rsidP="00AC10A4">
      <w:pPr>
        <w:spacing w:line="240" w:lineRule="auto"/>
        <w:jc w:val="both"/>
        <w:rPr>
          <w:rFonts w:ascii="Times New Roman" w:eastAsia="Times New Roman" w:hAnsi="Times New Roman" w:cs="Times New Roman"/>
          <w:sz w:val="24"/>
          <w:szCs w:val="24"/>
        </w:rPr>
      </w:pPr>
    </w:p>
    <w:p w14:paraId="2E84ABB9" w14:textId="6DDE6C24" w:rsidR="00AC10A4" w:rsidRDefault="00AC10A4" w:rsidP="00AC10A4">
      <w:pPr>
        <w:spacing w:line="240" w:lineRule="auto"/>
        <w:jc w:val="both"/>
        <w:rPr>
          <w:color w:val="000000"/>
        </w:rPr>
      </w:pPr>
      <w:r>
        <w:rPr>
          <w:b/>
          <w:bCs/>
          <w:color w:val="000000"/>
        </w:rPr>
        <w:t xml:space="preserve">Figure </w:t>
      </w:r>
      <w:r w:rsidR="00021539">
        <w:rPr>
          <w:b/>
          <w:bCs/>
          <w:color w:val="000000"/>
        </w:rPr>
        <w:t>1</w:t>
      </w:r>
      <w:r w:rsidR="00021539" w:rsidRPr="00AC10A4">
        <w:rPr>
          <w:b/>
          <w:color w:val="000000"/>
        </w:rPr>
        <w:t xml:space="preserve"> </w:t>
      </w:r>
      <w:r w:rsidRPr="00AC10A4">
        <w:rPr>
          <w:b/>
          <w:color w:val="000000"/>
        </w:rPr>
        <w:t>-</w:t>
      </w:r>
      <w:r>
        <w:rPr>
          <w:color w:val="000000"/>
        </w:rPr>
        <w:t xml:space="preserve"> A) Forward selection trajectories indicate that individuals without ORN are easier to predict than ORN cases. B) Optimised 18 SNP model predicting ORN. While all controls are well predicted some ORN cases are still misclassified.</w:t>
      </w:r>
    </w:p>
    <w:p w14:paraId="7E4FC666" w14:textId="77777777" w:rsidR="00AC10A4" w:rsidRPr="00AC10A4" w:rsidRDefault="00AC10A4" w:rsidP="00AC10A4">
      <w:pPr>
        <w:spacing w:line="240" w:lineRule="auto"/>
        <w:jc w:val="both"/>
        <w:rPr>
          <w:rFonts w:ascii="Times New Roman" w:eastAsia="Times New Roman" w:hAnsi="Times New Roman" w:cs="Times New Roman"/>
          <w:sz w:val="24"/>
          <w:szCs w:val="24"/>
        </w:rPr>
      </w:pPr>
    </w:p>
    <w:p w14:paraId="678C5696" w14:textId="77777777" w:rsidR="00AC10A4" w:rsidRDefault="00AC10A4" w:rsidP="00A34CDD">
      <w:pPr>
        <w:jc w:val="both"/>
      </w:pPr>
    </w:p>
    <w:p w14:paraId="0DE2A511" w14:textId="77777777" w:rsidR="00AC10A4" w:rsidRDefault="00AC10A4" w:rsidP="00A34CDD">
      <w:pPr>
        <w:jc w:val="both"/>
      </w:pPr>
    </w:p>
    <w:sectPr w:rsidR="00AC10A4">
      <w:footerReference w:type="default" r:id="rId20"/>
      <w:pgSz w:w="11906" w:h="16838"/>
      <w:pgMar w:top="1440" w:right="1440" w:bottom="1440" w:left="1440"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53168" w16cex:dateUtc="2021-05-11T15:38:00Z"/>
  <w16cex:commentExtensible w16cex:durableId="244532A9" w16cex:dateUtc="2021-05-11T15:43:00Z"/>
  <w16cex:commentExtensible w16cex:durableId="244532C8" w16cex:dateUtc="2021-05-11T15:43:00Z"/>
  <w16cex:commentExtensible w16cex:durableId="244532E8" w16cex:dateUtc="2021-05-11T15:44:00Z"/>
  <w16cex:commentExtensible w16cex:durableId="24453398" w16cex:dateUtc="2021-05-11T15:47:00Z"/>
  <w16cex:commentExtensible w16cex:durableId="24453474" w16cex:dateUtc="2021-05-11T15:51:00Z"/>
  <w16cex:commentExtensible w16cex:durableId="244534F4" w16cex:dateUtc="2021-05-11T15:53:00Z"/>
  <w16cex:commentExtensible w16cex:durableId="2445358E" w16cex:dateUtc="2021-05-11T15:55:00Z"/>
  <w16cex:commentExtensible w16cex:durableId="244535B4" w16cex:dateUtc="2021-05-11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765D30" w16cid:durableId="24452D10"/>
  <w16cid:commentId w16cid:paraId="129362C8" w16cid:durableId="24452D11"/>
  <w16cid:commentId w16cid:paraId="0239DA3B" w16cid:durableId="24453168"/>
  <w16cid:commentId w16cid:paraId="5C8CD486" w16cid:durableId="244532A9"/>
  <w16cid:commentId w16cid:paraId="3CF96A5B" w16cid:durableId="244532C8"/>
  <w16cid:commentId w16cid:paraId="198917F8" w16cid:durableId="244532E8"/>
  <w16cid:commentId w16cid:paraId="2465C693" w16cid:durableId="24453398"/>
  <w16cid:commentId w16cid:paraId="11FD5DD3" w16cid:durableId="24453474"/>
  <w16cid:commentId w16cid:paraId="3B41503F" w16cid:durableId="24452D12"/>
  <w16cid:commentId w16cid:paraId="53B06690" w16cid:durableId="24452D13"/>
  <w16cid:commentId w16cid:paraId="314B784A" w16cid:durableId="244534F4"/>
  <w16cid:commentId w16cid:paraId="6DF80CE5" w16cid:durableId="2445358E"/>
  <w16cid:commentId w16cid:paraId="1529083F" w16cid:durableId="244535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2C5E7" w14:textId="77777777" w:rsidR="001854BC" w:rsidRDefault="001854BC" w:rsidP="00845B20">
      <w:pPr>
        <w:spacing w:after="0" w:line="240" w:lineRule="auto"/>
      </w:pPr>
      <w:r>
        <w:separator/>
      </w:r>
    </w:p>
  </w:endnote>
  <w:endnote w:type="continuationSeparator" w:id="0">
    <w:p w14:paraId="2CF2A7C5" w14:textId="77777777" w:rsidR="001854BC" w:rsidRDefault="001854BC" w:rsidP="0084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843065"/>
      <w:docPartObj>
        <w:docPartGallery w:val="Page Numbers (Bottom of Page)"/>
        <w:docPartUnique/>
      </w:docPartObj>
    </w:sdtPr>
    <w:sdtEndPr>
      <w:rPr>
        <w:noProof/>
      </w:rPr>
    </w:sdtEndPr>
    <w:sdtContent>
      <w:p w14:paraId="7AAC4044" w14:textId="080926DF" w:rsidR="009F20B7" w:rsidRDefault="009F20B7">
        <w:pPr>
          <w:pStyle w:val="Footer"/>
          <w:jc w:val="right"/>
        </w:pPr>
        <w:r>
          <w:fldChar w:fldCharType="begin"/>
        </w:r>
        <w:r>
          <w:instrText xml:space="preserve"> PAGE   \* MERGEFORMAT </w:instrText>
        </w:r>
        <w:r>
          <w:fldChar w:fldCharType="separate"/>
        </w:r>
        <w:r w:rsidR="007F401B">
          <w:rPr>
            <w:noProof/>
          </w:rPr>
          <w:t>7</w:t>
        </w:r>
        <w:r>
          <w:rPr>
            <w:noProof/>
          </w:rPr>
          <w:fldChar w:fldCharType="end"/>
        </w:r>
      </w:p>
    </w:sdtContent>
  </w:sdt>
  <w:p w14:paraId="45F3EF59" w14:textId="77777777" w:rsidR="00021539" w:rsidRDefault="0002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C7B2F" w14:textId="77777777" w:rsidR="001854BC" w:rsidRDefault="001854BC" w:rsidP="00845B20">
      <w:pPr>
        <w:spacing w:after="0" w:line="240" w:lineRule="auto"/>
      </w:pPr>
      <w:r>
        <w:separator/>
      </w:r>
    </w:p>
  </w:footnote>
  <w:footnote w:type="continuationSeparator" w:id="0">
    <w:p w14:paraId="289250FB" w14:textId="77777777" w:rsidR="001854BC" w:rsidRDefault="001854BC" w:rsidP="00845B20">
      <w:pPr>
        <w:spacing w:after="0" w:line="240" w:lineRule="auto"/>
      </w:pPr>
      <w:r>
        <w:continuationSeparator/>
      </w:r>
    </w:p>
  </w:footnote>
  <w:footnote w:id="1">
    <w:p w14:paraId="25D688DA" w14:textId="767E3898" w:rsidR="00021539" w:rsidRDefault="00021539">
      <w:pPr>
        <w:pStyle w:val="FootnoteText"/>
      </w:pPr>
      <w:r>
        <w:t>Abbreviations</w:t>
      </w:r>
    </w:p>
    <w:p w14:paraId="58D5BB55" w14:textId="0B844830" w:rsidR="00021539" w:rsidRDefault="00021539">
      <w:pPr>
        <w:pStyle w:val="FootnoteText"/>
      </w:pPr>
      <w:r>
        <w:t xml:space="preserve">HNC:  Head and neck cancer, ORN:  Osteoradionecrosis , </w:t>
      </w:r>
      <w:r>
        <w:rPr>
          <w:rFonts w:eastAsia="Times New Roman"/>
          <w:color w:val="000000"/>
        </w:rPr>
        <w:t xml:space="preserve">SNP: </w:t>
      </w:r>
      <w:r w:rsidRPr="00845B20">
        <w:rPr>
          <w:rFonts w:eastAsia="Times New Roman"/>
          <w:color w:val="000000"/>
        </w:rPr>
        <w:t>Single nucleotide polymorphism</w:t>
      </w:r>
      <w:r>
        <w:rPr>
          <w:rFonts w:eastAsia="Times New Roman"/>
          <w:color w:val="000000"/>
        </w:rPr>
        <w:t>, PCR: P</w:t>
      </w:r>
      <w:r w:rsidRPr="00845B20">
        <w:rPr>
          <w:rFonts w:eastAsia="Times New Roman"/>
          <w:color w:val="000000"/>
        </w:rPr>
        <w:t>olymerase chain reaction</w:t>
      </w:r>
      <w:r>
        <w:t xml:space="preserve">, </w:t>
      </w:r>
      <w:r>
        <w:rPr>
          <w:rFonts w:eastAsia="Times New Roman"/>
          <w:color w:val="000000"/>
        </w:rPr>
        <w:t>ROC: Receiver operator characteristic</w:t>
      </w:r>
      <w:r>
        <w:t xml:space="preserve">, </w:t>
      </w:r>
      <w:r>
        <w:rPr>
          <w:rFonts w:eastAsia="Times New Roman"/>
          <w:color w:val="000000"/>
        </w:rPr>
        <w:t>AUC: Area under curve</w:t>
      </w:r>
      <w:r>
        <w:t xml:space="preserve">, CRUK: Cancer research UK, HOPON: Hyperbaric Oxygen for the Prevention of OsteoradioNecrosis, GWAS: Genome wide association study, STAT: standardised average toxicity score, GALGO: genetic algorithm based predictive modelling, RF: random forests, UVA: univariate analysis, MVA: multivariate analysis, PCA: principle component analysis.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B7C21"/>
    <w:multiLevelType w:val="multilevel"/>
    <w:tmpl w:val="7E16761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20D8C"/>
    <w:multiLevelType w:val="hybridMultilevel"/>
    <w:tmpl w:val="C750D87C"/>
    <w:lvl w:ilvl="0" w:tplc="DAFEEA44">
      <w:start w:val="1"/>
      <w:numFmt w:val="decimal"/>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2" w15:restartNumberingAfterBreak="0">
    <w:nsid w:val="5D61236B"/>
    <w:multiLevelType w:val="multilevel"/>
    <w:tmpl w:val="0A129BF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C1572F"/>
    <w:multiLevelType w:val="hybridMultilevel"/>
    <w:tmpl w:val="C478AD74"/>
    <w:lvl w:ilvl="0" w:tplc="255EDA2E">
      <w:start w:val="1"/>
      <w:numFmt w:val="decimal"/>
      <w:lvlText w:val="%1."/>
      <w:lvlJc w:val="left"/>
      <w:pPr>
        <w:ind w:left="1435" w:hanging="795"/>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97"/>
    <w:rsid w:val="00003042"/>
    <w:rsid w:val="0001197B"/>
    <w:rsid w:val="00015D23"/>
    <w:rsid w:val="00021539"/>
    <w:rsid w:val="000225E0"/>
    <w:rsid w:val="000301D1"/>
    <w:rsid w:val="000333D4"/>
    <w:rsid w:val="00047289"/>
    <w:rsid w:val="00064DA1"/>
    <w:rsid w:val="00064F45"/>
    <w:rsid w:val="000A3A43"/>
    <w:rsid w:val="000B05DD"/>
    <w:rsid w:val="000C6CDB"/>
    <w:rsid w:val="000D4779"/>
    <w:rsid w:val="000E24C7"/>
    <w:rsid w:val="000E536C"/>
    <w:rsid w:val="000E67C1"/>
    <w:rsid w:val="000E78BF"/>
    <w:rsid w:val="001069BE"/>
    <w:rsid w:val="00112F9E"/>
    <w:rsid w:val="001168D9"/>
    <w:rsid w:val="00137682"/>
    <w:rsid w:val="00140AE5"/>
    <w:rsid w:val="0014195B"/>
    <w:rsid w:val="00147322"/>
    <w:rsid w:val="001506FD"/>
    <w:rsid w:val="001539B0"/>
    <w:rsid w:val="00174C1D"/>
    <w:rsid w:val="00183877"/>
    <w:rsid w:val="001854BC"/>
    <w:rsid w:val="001904EE"/>
    <w:rsid w:val="001C3125"/>
    <w:rsid w:val="001C536D"/>
    <w:rsid w:val="001C7178"/>
    <w:rsid w:val="001D2EBD"/>
    <w:rsid w:val="001E192D"/>
    <w:rsid w:val="001F79C0"/>
    <w:rsid w:val="002002C3"/>
    <w:rsid w:val="00205F61"/>
    <w:rsid w:val="00230476"/>
    <w:rsid w:val="0023207C"/>
    <w:rsid w:val="00294856"/>
    <w:rsid w:val="002D4705"/>
    <w:rsid w:val="002E537C"/>
    <w:rsid w:val="002F629A"/>
    <w:rsid w:val="003008CE"/>
    <w:rsid w:val="003152F7"/>
    <w:rsid w:val="00334BD0"/>
    <w:rsid w:val="0034091A"/>
    <w:rsid w:val="00360F5F"/>
    <w:rsid w:val="00365AFC"/>
    <w:rsid w:val="00372382"/>
    <w:rsid w:val="00386907"/>
    <w:rsid w:val="00394B1A"/>
    <w:rsid w:val="003A243C"/>
    <w:rsid w:val="003A71DE"/>
    <w:rsid w:val="003D2131"/>
    <w:rsid w:val="003E002D"/>
    <w:rsid w:val="003F288E"/>
    <w:rsid w:val="004032CA"/>
    <w:rsid w:val="00403810"/>
    <w:rsid w:val="0042063F"/>
    <w:rsid w:val="00426C9E"/>
    <w:rsid w:val="0042745B"/>
    <w:rsid w:val="00442457"/>
    <w:rsid w:val="00454D64"/>
    <w:rsid w:val="004649E8"/>
    <w:rsid w:val="0048728D"/>
    <w:rsid w:val="0049107E"/>
    <w:rsid w:val="004929E3"/>
    <w:rsid w:val="004B2590"/>
    <w:rsid w:val="004C60FD"/>
    <w:rsid w:val="004E40C2"/>
    <w:rsid w:val="004F016A"/>
    <w:rsid w:val="004F28A6"/>
    <w:rsid w:val="004F4A56"/>
    <w:rsid w:val="005012DE"/>
    <w:rsid w:val="0051043E"/>
    <w:rsid w:val="00545204"/>
    <w:rsid w:val="00551ED7"/>
    <w:rsid w:val="00552CAE"/>
    <w:rsid w:val="005636E3"/>
    <w:rsid w:val="005938C3"/>
    <w:rsid w:val="005976A4"/>
    <w:rsid w:val="005A3F9F"/>
    <w:rsid w:val="005A6B47"/>
    <w:rsid w:val="005E4AEB"/>
    <w:rsid w:val="005E617A"/>
    <w:rsid w:val="005F47AC"/>
    <w:rsid w:val="006033F3"/>
    <w:rsid w:val="00604462"/>
    <w:rsid w:val="0061631C"/>
    <w:rsid w:val="00633B27"/>
    <w:rsid w:val="006535BD"/>
    <w:rsid w:val="00676B58"/>
    <w:rsid w:val="0068172B"/>
    <w:rsid w:val="006A3010"/>
    <w:rsid w:val="006C377E"/>
    <w:rsid w:val="006D11AC"/>
    <w:rsid w:val="007029D8"/>
    <w:rsid w:val="00716209"/>
    <w:rsid w:val="0071650B"/>
    <w:rsid w:val="00725D5B"/>
    <w:rsid w:val="00737631"/>
    <w:rsid w:val="0074440B"/>
    <w:rsid w:val="0074588D"/>
    <w:rsid w:val="007603B0"/>
    <w:rsid w:val="0076420D"/>
    <w:rsid w:val="00796397"/>
    <w:rsid w:val="007A0528"/>
    <w:rsid w:val="007A40F6"/>
    <w:rsid w:val="007B3819"/>
    <w:rsid w:val="007C120B"/>
    <w:rsid w:val="007F33D0"/>
    <w:rsid w:val="007F401B"/>
    <w:rsid w:val="007F48DB"/>
    <w:rsid w:val="007F5267"/>
    <w:rsid w:val="008053AD"/>
    <w:rsid w:val="00824F30"/>
    <w:rsid w:val="00826F53"/>
    <w:rsid w:val="0084238F"/>
    <w:rsid w:val="00843395"/>
    <w:rsid w:val="00845790"/>
    <w:rsid w:val="00845B20"/>
    <w:rsid w:val="00853123"/>
    <w:rsid w:val="00873C11"/>
    <w:rsid w:val="00877E81"/>
    <w:rsid w:val="0088709C"/>
    <w:rsid w:val="008A4711"/>
    <w:rsid w:val="008B4BF8"/>
    <w:rsid w:val="008D0EDE"/>
    <w:rsid w:val="008D424F"/>
    <w:rsid w:val="008E54EA"/>
    <w:rsid w:val="009021C6"/>
    <w:rsid w:val="00935490"/>
    <w:rsid w:val="00945DDB"/>
    <w:rsid w:val="009536C2"/>
    <w:rsid w:val="00962FA9"/>
    <w:rsid w:val="00986790"/>
    <w:rsid w:val="00997573"/>
    <w:rsid w:val="009D1C13"/>
    <w:rsid w:val="009E047C"/>
    <w:rsid w:val="009F20B7"/>
    <w:rsid w:val="009F71A8"/>
    <w:rsid w:val="00A1038F"/>
    <w:rsid w:val="00A11792"/>
    <w:rsid w:val="00A11AF3"/>
    <w:rsid w:val="00A32EFC"/>
    <w:rsid w:val="00A34CDD"/>
    <w:rsid w:val="00A36273"/>
    <w:rsid w:val="00A71043"/>
    <w:rsid w:val="00A802EA"/>
    <w:rsid w:val="00A81319"/>
    <w:rsid w:val="00AA2D46"/>
    <w:rsid w:val="00AA3989"/>
    <w:rsid w:val="00AA5B58"/>
    <w:rsid w:val="00AB578E"/>
    <w:rsid w:val="00AB63F3"/>
    <w:rsid w:val="00AC10A4"/>
    <w:rsid w:val="00AC70AB"/>
    <w:rsid w:val="00AD1701"/>
    <w:rsid w:val="00AD1A70"/>
    <w:rsid w:val="00B624E0"/>
    <w:rsid w:val="00B62FAD"/>
    <w:rsid w:val="00B67123"/>
    <w:rsid w:val="00BA6F3E"/>
    <w:rsid w:val="00BC5238"/>
    <w:rsid w:val="00BD3B6E"/>
    <w:rsid w:val="00BD4B66"/>
    <w:rsid w:val="00BE041E"/>
    <w:rsid w:val="00BE1140"/>
    <w:rsid w:val="00BF1F86"/>
    <w:rsid w:val="00BF2BD2"/>
    <w:rsid w:val="00BF4745"/>
    <w:rsid w:val="00C01C60"/>
    <w:rsid w:val="00C52F9E"/>
    <w:rsid w:val="00C545C9"/>
    <w:rsid w:val="00C617C9"/>
    <w:rsid w:val="00C67D85"/>
    <w:rsid w:val="00C732B9"/>
    <w:rsid w:val="00C74002"/>
    <w:rsid w:val="00C87DD5"/>
    <w:rsid w:val="00C90C17"/>
    <w:rsid w:val="00C9253B"/>
    <w:rsid w:val="00C973AD"/>
    <w:rsid w:val="00CB2F0B"/>
    <w:rsid w:val="00CB4691"/>
    <w:rsid w:val="00CC5AA2"/>
    <w:rsid w:val="00CD4CB3"/>
    <w:rsid w:val="00CD66F1"/>
    <w:rsid w:val="00D00029"/>
    <w:rsid w:val="00D17604"/>
    <w:rsid w:val="00D332CB"/>
    <w:rsid w:val="00D51236"/>
    <w:rsid w:val="00D641BC"/>
    <w:rsid w:val="00D7734A"/>
    <w:rsid w:val="00D7766F"/>
    <w:rsid w:val="00D94537"/>
    <w:rsid w:val="00D9466C"/>
    <w:rsid w:val="00DA099A"/>
    <w:rsid w:val="00DA1075"/>
    <w:rsid w:val="00DA7681"/>
    <w:rsid w:val="00DB75F5"/>
    <w:rsid w:val="00DC0520"/>
    <w:rsid w:val="00DC07AE"/>
    <w:rsid w:val="00DC50A2"/>
    <w:rsid w:val="00DC7D97"/>
    <w:rsid w:val="00DD034C"/>
    <w:rsid w:val="00DE575B"/>
    <w:rsid w:val="00DE743B"/>
    <w:rsid w:val="00E013AF"/>
    <w:rsid w:val="00E07E29"/>
    <w:rsid w:val="00E17122"/>
    <w:rsid w:val="00E21591"/>
    <w:rsid w:val="00E31EFD"/>
    <w:rsid w:val="00E320F1"/>
    <w:rsid w:val="00E37223"/>
    <w:rsid w:val="00E45F4E"/>
    <w:rsid w:val="00E52FC1"/>
    <w:rsid w:val="00E53116"/>
    <w:rsid w:val="00E97E30"/>
    <w:rsid w:val="00EA6E25"/>
    <w:rsid w:val="00EC0A32"/>
    <w:rsid w:val="00EC3809"/>
    <w:rsid w:val="00EE36D6"/>
    <w:rsid w:val="00F13542"/>
    <w:rsid w:val="00F24832"/>
    <w:rsid w:val="00F40DEC"/>
    <w:rsid w:val="00F443E9"/>
    <w:rsid w:val="00F57841"/>
    <w:rsid w:val="00F63BBE"/>
    <w:rsid w:val="00F80E32"/>
    <w:rsid w:val="00F82412"/>
    <w:rsid w:val="00FA0D34"/>
    <w:rsid w:val="00FA1459"/>
    <w:rsid w:val="00FD7D80"/>
    <w:rsid w:val="00FE3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D145"/>
  <w15:docId w15:val="{447EE335-D4A8-4453-B706-38492981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after="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CB46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4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C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37682"/>
    <w:rPr>
      <w:b/>
      <w:bCs/>
    </w:rPr>
  </w:style>
  <w:style w:type="character" w:customStyle="1" w:styleId="CommentSubjectChar">
    <w:name w:val="Comment Subject Char"/>
    <w:basedOn w:val="CommentTextChar"/>
    <w:link w:val="CommentSubject"/>
    <w:uiPriority w:val="99"/>
    <w:semiHidden/>
    <w:rsid w:val="00137682"/>
    <w:rPr>
      <w:b/>
      <w:bCs/>
      <w:sz w:val="20"/>
      <w:szCs w:val="20"/>
    </w:rPr>
  </w:style>
  <w:style w:type="paragraph" w:styleId="NoSpacing">
    <w:name w:val="No Spacing"/>
    <w:uiPriority w:val="1"/>
    <w:qFormat/>
    <w:rsid w:val="001C7178"/>
    <w:pPr>
      <w:spacing w:after="0" w:line="240" w:lineRule="auto"/>
    </w:pPr>
  </w:style>
  <w:style w:type="character" w:customStyle="1" w:styleId="Heading7Char">
    <w:name w:val="Heading 7 Char"/>
    <w:basedOn w:val="DefaultParagraphFont"/>
    <w:link w:val="Heading7"/>
    <w:uiPriority w:val="9"/>
    <w:rsid w:val="00CB4691"/>
    <w:rPr>
      <w:rFonts w:asciiTheme="majorHAnsi" w:eastAsiaTheme="majorEastAsia" w:hAnsiTheme="majorHAnsi" w:cstheme="majorBidi"/>
      <w:i/>
      <w:iCs/>
      <w:color w:val="404040" w:themeColor="text1" w:themeTint="BF"/>
    </w:rPr>
  </w:style>
  <w:style w:type="paragraph" w:styleId="NormalWeb">
    <w:name w:val="Normal (Web)"/>
    <w:basedOn w:val="Normal"/>
    <w:uiPriority w:val="99"/>
    <w:semiHidden/>
    <w:unhideWhenUsed/>
    <w:rsid w:val="00F443E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B20"/>
  </w:style>
  <w:style w:type="paragraph" w:styleId="Footer">
    <w:name w:val="footer"/>
    <w:basedOn w:val="Normal"/>
    <w:link w:val="FooterChar"/>
    <w:uiPriority w:val="99"/>
    <w:unhideWhenUsed/>
    <w:rsid w:val="0084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B20"/>
  </w:style>
  <w:style w:type="paragraph" w:styleId="FootnoteText">
    <w:name w:val="footnote text"/>
    <w:basedOn w:val="Normal"/>
    <w:link w:val="FootnoteTextChar"/>
    <w:uiPriority w:val="99"/>
    <w:semiHidden/>
    <w:unhideWhenUsed/>
    <w:rsid w:val="009354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490"/>
    <w:rPr>
      <w:sz w:val="20"/>
      <w:szCs w:val="20"/>
    </w:rPr>
  </w:style>
  <w:style w:type="character" w:styleId="FootnoteReference">
    <w:name w:val="footnote reference"/>
    <w:basedOn w:val="DefaultParagraphFont"/>
    <w:uiPriority w:val="99"/>
    <w:semiHidden/>
    <w:unhideWhenUsed/>
    <w:rsid w:val="00935490"/>
    <w:rPr>
      <w:vertAlign w:val="superscript"/>
    </w:rPr>
  </w:style>
  <w:style w:type="paragraph" w:styleId="ListParagraph">
    <w:name w:val="List Paragraph"/>
    <w:basedOn w:val="Normal"/>
    <w:uiPriority w:val="34"/>
    <w:qFormat/>
    <w:rsid w:val="00442457"/>
    <w:pPr>
      <w:ind w:left="720"/>
      <w:contextualSpacing/>
    </w:pPr>
  </w:style>
  <w:style w:type="character" w:styleId="PlaceholderText">
    <w:name w:val="Placeholder Text"/>
    <w:basedOn w:val="DefaultParagraphFont"/>
    <w:uiPriority w:val="99"/>
    <w:semiHidden/>
    <w:rsid w:val="00E37223"/>
    <w:rPr>
      <w:color w:val="808080"/>
    </w:rPr>
  </w:style>
  <w:style w:type="table" w:styleId="LightShading">
    <w:name w:val="Light Shading"/>
    <w:basedOn w:val="TableNormal"/>
    <w:uiPriority w:val="60"/>
    <w:rsid w:val="005452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5452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7186">
      <w:bodyDiv w:val="1"/>
      <w:marLeft w:val="0"/>
      <w:marRight w:val="0"/>
      <w:marTop w:val="0"/>
      <w:marBottom w:val="0"/>
      <w:divBdr>
        <w:top w:val="none" w:sz="0" w:space="0" w:color="auto"/>
        <w:left w:val="none" w:sz="0" w:space="0" w:color="auto"/>
        <w:bottom w:val="none" w:sz="0" w:space="0" w:color="auto"/>
        <w:right w:val="none" w:sz="0" w:space="0" w:color="auto"/>
      </w:divBdr>
    </w:div>
    <w:div w:id="180047624">
      <w:bodyDiv w:val="1"/>
      <w:marLeft w:val="0"/>
      <w:marRight w:val="0"/>
      <w:marTop w:val="0"/>
      <w:marBottom w:val="0"/>
      <w:divBdr>
        <w:top w:val="none" w:sz="0" w:space="0" w:color="auto"/>
        <w:left w:val="none" w:sz="0" w:space="0" w:color="auto"/>
        <w:bottom w:val="none" w:sz="0" w:space="0" w:color="auto"/>
        <w:right w:val="none" w:sz="0" w:space="0" w:color="auto"/>
      </w:divBdr>
    </w:div>
    <w:div w:id="567610903">
      <w:bodyDiv w:val="1"/>
      <w:marLeft w:val="0"/>
      <w:marRight w:val="0"/>
      <w:marTop w:val="0"/>
      <w:marBottom w:val="0"/>
      <w:divBdr>
        <w:top w:val="none" w:sz="0" w:space="0" w:color="auto"/>
        <w:left w:val="none" w:sz="0" w:space="0" w:color="auto"/>
        <w:bottom w:val="none" w:sz="0" w:space="0" w:color="auto"/>
        <w:right w:val="none" w:sz="0" w:space="0" w:color="auto"/>
      </w:divBdr>
    </w:div>
    <w:div w:id="747113972">
      <w:bodyDiv w:val="1"/>
      <w:marLeft w:val="0"/>
      <w:marRight w:val="0"/>
      <w:marTop w:val="0"/>
      <w:marBottom w:val="0"/>
      <w:divBdr>
        <w:top w:val="none" w:sz="0" w:space="0" w:color="auto"/>
        <w:left w:val="none" w:sz="0" w:space="0" w:color="auto"/>
        <w:bottom w:val="none" w:sz="0" w:space="0" w:color="auto"/>
        <w:right w:val="none" w:sz="0" w:space="0" w:color="auto"/>
      </w:divBdr>
    </w:div>
    <w:div w:id="902105165">
      <w:bodyDiv w:val="1"/>
      <w:marLeft w:val="0"/>
      <w:marRight w:val="0"/>
      <w:marTop w:val="0"/>
      <w:marBottom w:val="0"/>
      <w:divBdr>
        <w:top w:val="none" w:sz="0" w:space="0" w:color="auto"/>
        <w:left w:val="none" w:sz="0" w:space="0" w:color="auto"/>
        <w:bottom w:val="none" w:sz="0" w:space="0" w:color="auto"/>
        <w:right w:val="none" w:sz="0" w:space="0" w:color="auto"/>
      </w:divBdr>
    </w:div>
    <w:div w:id="909776034">
      <w:bodyDiv w:val="1"/>
      <w:marLeft w:val="0"/>
      <w:marRight w:val="0"/>
      <w:marTop w:val="0"/>
      <w:marBottom w:val="0"/>
      <w:divBdr>
        <w:top w:val="none" w:sz="0" w:space="0" w:color="auto"/>
        <w:left w:val="none" w:sz="0" w:space="0" w:color="auto"/>
        <w:bottom w:val="none" w:sz="0" w:space="0" w:color="auto"/>
        <w:right w:val="none" w:sz="0" w:space="0" w:color="auto"/>
      </w:divBdr>
    </w:div>
    <w:div w:id="1050611136">
      <w:bodyDiv w:val="1"/>
      <w:marLeft w:val="0"/>
      <w:marRight w:val="0"/>
      <w:marTop w:val="0"/>
      <w:marBottom w:val="0"/>
      <w:divBdr>
        <w:top w:val="none" w:sz="0" w:space="0" w:color="auto"/>
        <w:left w:val="none" w:sz="0" w:space="0" w:color="auto"/>
        <w:bottom w:val="none" w:sz="0" w:space="0" w:color="auto"/>
        <w:right w:val="none" w:sz="0" w:space="0" w:color="auto"/>
      </w:divBdr>
    </w:div>
    <w:div w:id="1853883745">
      <w:bodyDiv w:val="1"/>
      <w:marLeft w:val="0"/>
      <w:marRight w:val="0"/>
      <w:marTop w:val="0"/>
      <w:marBottom w:val="0"/>
      <w:divBdr>
        <w:top w:val="none" w:sz="0" w:space="0" w:color="auto"/>
        <w:left w:val="none" w:sz="0" w:space="0" w:color="auto"/>
        <w:bottom w:val="none" w:sz="0" w:space="0" w:color="auto"/>
        <w:right w:val="none" w:sz="0" w:space="0" w:color="auto"/>
      </w:divBdr>
    </w:div>
    <w:div w:id="2070416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667/rr1769.1" TargetMode="External"/><Relationship Id="rId13" Type="http://schemas.openxmlformats.org/officeDocument/2006/relationships/hyperlink" Target="https://ftp.ncbi.nlm.nih.gov/hapmap/" TargetMode="External"/><Relationship Id="rId18" Type="http://schemas.openxmlformats.org/officeDocument/2006/relationships/hyperlink" Target="https://www.ncbi.nlm.nih.gov/sn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variation/tools/1000genomes/" TargetMode="External"/><Relationship Id="rId17" Type="http://schemas.openxmlformats.org/officeDocument/2006/relationships/hyperlink" Target="https://doi.org/10.1093/nar/gkz966"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doi.org/10.1093/nar/gkz966"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11125122" TargetMode="External"/><Relationship Id="rId5" Type="http://schemas.openxmlformats.org/officeDocument/2006/relationships/webSettings" Target="webSettings.xml"/><Relationship Id="rId15" Type="http://schemas.openxmlformats.org/officeDocument/2006/relationships/hyperlink" Target="https://doi.org/10.1016/j.radonc.2004.08.021" TargetMode="External"/><Relationship Id="rId10" Type="http://schemas.openxmlformats.org/officeDocument/2006/relationships/hyperlink" Target="https://www.ncbi.nlm.nih.gov/pubmed/11125122" TargetMode="External"/><Relationship Id="rId19" Type="http://schemas.openxmlformats.org/officeDocument/2006/relationships/hyperlink" Target="https://www.ncbi.nlm.nih.gov/snp/" TargetMode="External"/><Relationship Id="rId4" Type="http://schemas.openxmlformats.org/officeDocument/2006/relationships/settings" Target="settings.xml"/><Relationship Id="rId9" Type="http://schemas.openxmlformats.org/officeDocument/2006/relationships/hyperlink" Target="https://doi.org/10.1667/rr1769.1" TargetMode="External"/><Relationship Id="rId14" Type="http://schemas.openxmlformats.org/officeDocument/2006/relationships/hyperlink" Target="https://doi.org/10.1016/j.radonc.2004.08.0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F88E0-838E-451B-B399-77C03315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4885</Words>
  <Characters>27845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The Clatterbridge Cancer Centre</Company>
  <LinksUpToDate>false</LinksUpToDate>
  <CharactersWithSpaces>32665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Brooker</dc:creator>
  <cp:lastModifiedBy>Rachel Brooker</cp:lastModifiedBy>
  <cp:revision>5</cp:revision>
  <dcterms:created xsi:type="dcterms:W3CDTF">2021-10-14T07:08:00Z</dcterms:created>
  <dcterms:modified xsi:type="dcterms:W3CDTF">2021-11-16T12:53:00Z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