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EA821" w14:textId="0BF6435C" w:rsidR="002F526A" w:rsidRPr="00BF60BC" w:rsidRDefault="00B40B12" w:rsidP="00655F22">
      <w:pPr>
        <w:spacing w:after="0" w:line="360" w:lineRule="auto"/>
        <w:jc w:val="both"/>
        <w:rPr>
          <w:rFonts w:ascii="Cambria" w:hAnsi="Cambria"/>
          <w:b/>
          <w:sz w:val="24"/>
          <w:szCs w:val="24"/>
        </w:rPr>
      </w:pPr>
      <w:r w:rsidRPr="00226D98">
        <w:rPr>
          <w:rFonts w:ascii="Cambria" w:hAnsi="Cambria"/>
          <w:b/>
          <w:sz w:val="24"/>
          <w:szCs w:val="24"/>
        </w:rPr>
        <w:t xml:space="preserve">Manuscript </w:t>
      </w:r>
      <w:r w:rsidR="002F526A" w:rsidRPr="00226D98">
        <w:rPr>
          <w:rFonts w:ascii="Cambria" w:hAnsi="Cambria"/>
          <w:b/>
          <w:sz w:val="24"/>
          <w:szCs w:val="24"/>
        </w:rPr>
        <w:t>word count:</w:t>
      </w:r>
      <w:r w:rsidR="00FB6FDD" w:rsidRPr="00226D98">
        <w:rPr>
          <w:rFonts w:ascii="Cambria" w:hAnsi="Cambria"/>
          <w:b/>
          <w:sz w:val="24"/>
          <w:szCs w:val="24"/>
        </w:rPr>
        <w:t xml:space="preserve"> </w:t>
      </w:r>
      <w:r w:rsidR="00C5774B" w:rsidRPr="00226D98">
        <w:rPr>
          <w:rFonts w:ascii="Cambria" w:hAnsi="Cambria"/>
          <w:bCs/>
          <w:sz w:val="24"/>
          <w:szCs w:val="24"/>
        </w:rPr>
        <w:t>3,000</w:t>
      </w:r>
    </w:p>
    <w:p w14:paraId="3C7AE85B" w14:textId="77777777" w:rsidR="00826167" w:rsidRDefault="00826167" w:rsidP="00655F22">
      <w:pPr>
        <w:spacing w:after="0" w:line="360" w:lineRule="auto"/>
        <w:jc w:val="both"/>
        <w:rPr>
          <w:rFonts w:ascii="Cambria" w:hAnsi="Cambria"/>
          <w:b/>
          <w:sz w:val="24"/>
          <w:szCs w:val="24"/>
        </w:rPr>
      </w:pPr>
    </w:p>
    <w:p w14:paraId="36C7FD11" w14:textId="0D6D7DAC" w:rsidR="00401E24" w:rsidRPr="00BF60BC" w:rsidRDefault="001C174F" w:rsidP="00655F22">
      <w:pPr>
        <w:spacing w:after="0" w:line="360" w:lineRule="auto"/>
        <w:jc w:val="both"/>
        <w:rPr>
          <w:rFonts w:ascii="Cambria" w:hAnsi="Cambria"/>
          <w:b/>
          <w:sz w:val="24"/>
          <w:szCs w:val="24"/>
        </w:rPr>
      </w:pPr>
      <w:r w:rsidRPr="00BF60BC">
        <w:rPr>
          <w:rFonts w:ascii="Cambria" w:hAnsi="Cambria"/>
          <w:b/>
          <w:sz w:val="24"/>
          <w:szCs w:val="24"/>
        </w:rPr>
        <w:t xml:space="preserve">Changes in the prevalence and correlates of </w:t>
      </w:r>
      <w:r w:rsidR="009D175F" w:rsidRPr="00BF60BC">
        <w:rPr>
          <w:rFonts w:ascii="Cambria" w:hAnsi="Cambria"/>
          <w:b/>
          <w:sz w:val="24"/>
          <w:szCs w:val="24"/>
        </w:rPr>
        <w:t>weight-</w:t>
      </w:r>
      <w:r w:rsidR="00213DFF" w:rsidRPr="00BF60BC">
        <w:rPr>
          <w:rFonts w:ascii="Cambria" w:hAnsi="Cambria"/>
          <w:b/>
          <w:sz w:val="24"/>
          <w:szCs w:val="24"/>
        </w:rPr>
        <w:t xml:space="preserve">control </w:t>
      </w:r>
      <w:proofErr w:type="spellStart"/>
      <w:r w:rsidR="00DA210E" w:rsidRPr="00BF60BC">
        <w:rPr>
          <w:rFonts w:ascii="Cambria" w:hAnsi="Cambria"/>
          <w:b/>
          <w:sz w:val="24"/>
          <w:szCs w:val="24"/>
        </w:rPr>
        <w:t>behaviors</w:t>
      </w:r>
      <w:proofErr w:type="spellEnd"/>
      <w:r w:rsidR="00A16184" w:rsidRPr="00BF60BC">
        <w:rPr>
          <w:rFonts w:ascii="Cambria" w:hAnsi="Cambria"/>
          <w:b/>
          <w:sz w:val="24"/>
          <w:szCs w:val="24"/>
        </w:rPr>
        <w:t xml:space="preserve"> and weight perception</w:t>
      </w:r>
      <w:r w:rsidR="009D175F" w:rsidRPr="00BF60BC">
        <w:rPr>
          <w:rFonts w:ascii="Cambria" w:hAnsi="Cambria"/>
          <w:b/>
          <w:sz w:val="24"/>
          <w:szCs w:val="24"/>
        </w:rPr>
        <w:t xml:space="preserve"> </w:t>
      </w:r>
      <w:r w:rsidRPr="00BF60BC">
        <w:rPr>
          <w:rFonts w:ascii="Cambria" w:hAnsi="Cambria"/>
          <w:b/>
          <w:sz w:val="24"/>
          <w:szCs w:val="24"/>
        </w:rPr>
        <w:t xml:space="preserve">in adolescence from </w:t>
      </w:r>
      <w:r w:rsidR="00CD60F2" w:rsidRPr="00BF60BC">
        <w:rPr>
          <w:rFonts w:ascii="Cambria" w:hAnsi="Cambria"/>
          <w:b/>
          <w:sz w:val="24"/>
          <w:szCs w:val="24"/>
        </w:rPr>
        <w:t>1986</w:t>
      </w:r>
      <w:r w:rsidRPr="00BF60BC">
        <w:rPr>
          <w:rFonts w:ascii="Cambria" w:hAnsi="Cambria"/>
          <w:b/>
          <w:sz w:val="24"/>
          <w:szCs w:val="24"/>
        </w:rPr>
        <w:t xml:space="preserve"> to 2015. Findings from </w:t>
      </w:r>
      <w:r w:rsidR="00CD60F2" w:rsidRPr="00BF60BC">
        <w:rPr>
          <w:rFonts w:ascii="Cambria" w:hAnsi="Cambria"/>
          <w:b/>
          <w:sz w:val="24"/>
          <w:szCs w:val="24"/>
        </w:rPr>
        <w:t>three</w:t>
      </w:r>
      <w:r w:rsidRPr="00BF60BC">
        <w:rPr>
          <w:rFonts w:ascii="Cambria" w:hAnsi="Cambria"/>
          <w:b/>
          <w:sz w:val="24"/>
          <w:szCs w:val="24"/>
        </w:rPr>
        <w:t xml:space="preserve"> UK birth cohorts.</w:t>
      </w:r>
    </w:p>
    <w:p w14:paraId="31443671" w14:textId="77777777" w:rsidR="0027625C" w:rsidRPr="00BF60BC" w:rsidRDefault="0027625C" w:rsidP="00655F22">
      <w:pPr>
        <w:spacing w:after="0"/>
        <w:jc w:val="both"/>
        <w:rPr>
          <w:rFonts w:ascii="Cambria" w:hAnsi="Cambria"/>
          <w:i/>
        </w:rPr>
      </w:pPr>
    </w:p>
    <w:p w14:paraId="19525266" w14:textId="55ECBCD4" w:rsidR="0097636A" w:rsidRPr="00BF60BC" w:rsidRDefault="00FD0AD4" w:rsidP="00655F22">
      <w:pPr>
        <w:spacing w:after="0"/>
        <w:jc w:val="both"/>
        <w:rPr>
          <w:rFonts w:cstheme="minorHAnsi"/>
          <w:i/>
          <w:sz w:val="24"/>
          <w:szCs w:val="24"/>
        </w:rPr>
      </w:pPr>
      <w:r w:rsidRPr="00BF60BC">
        <w:rPr>
          <w:rFonts w:cstheme="minorHAnsi"/>
          <w:i/>
          <w:sz w:val="24"/>
          <w:szCs w:val="24"/>
        </w:rPr>
        <w:t>Francesca Solmi</w:t>
      </w:r>
      <w:r w:rsidR="00750B03" w:rsidRPr="00BF60BC">
        <w:rPr>
          <w:rFonts w:cstheme="minorHAnsi"/>
          <w:i/>
          <w:sz w:val="24"/>
          <w:szCs w:val="24"/>
          <w:vertAlign w:val="superscript"/>
        </w:rPr>
        <w:t>1</w:t>
      </w:r>
      <w:r w:rsidRPr="00BF60BC">
        <w:rPr>
          <w:rFonts w:cstheme="minorHAnsi"/>
          <w:i/>
          <w:sz w:val="24"/>
          <w:szCs w:val="24"/>
        </w:rPr>
        <w:t>, Helen Sharpe</w:t>
      </w:r>
      <w:r w:rsidR="00750B03" w:rsidRPr="00BF60BC">
        <w:rPr>
          <w:rFonts w:cstheme="minorHAnsi"/>
          <w:i/>
          <w:sz w:val="24"/>
          <w:szCs w:val="24"/>
          <w:vertAlign w:val="superscript"/>
        </w:rPr>
        <w:t>2</w:t>
      </w:r>
      <w:r w:rsidRPr="00BF60BC">
        <w:rPr>
          <w:rFonts w:cstheme="minorHAnsi"/>
          <w:i/>
          <w:sz w:val="24"/>
          <w:szCs w:val="24"/>
        </w:rPr>
        <w:t>, Susanne H. Gage</w:t>
      </w:r>
      <w:r w:rsidR="00750B03" w:rsidRPr="00BF60BC">
        <w:rPr>
          <w:rFonts w:cstheme="minorHAnsi"/>
          <w:i/>
          <w:sz w:val="24"/>
          <w:szCs w:val="24"/>
          <w:vertAlign w:val="superscript"/>
        </w:rPr>
        <w:t>3</w:t>
      </w:r>
      <w:r w:rsidRPr="00BF60BC">
        <w:rPr>
          <w:rFonts w:cstheme="minorHAnsi"/>
          <w:i/>
          <w:sz w:val="24"/>
          <w:szCs w:val="24"/>
        </w:rPr>
        <w:t xml:space="preserve">, </w:t>
      </w:r>
      <w:r w:rsidR="00D7714B" w:rsidRPr="00BF60BC">
        <w:rPr>
          <w:rFonts w:cstheme="minorHAnsi"/>
          <w:i/>
          <w:sz w:val="24"/>
          <w:szCs w:val="24"/>
        </w:rPr>
        <w:t>Jane Maddock</w:t>
      </w:r>
      <w:r w:rsidR="00750B03" w:rsidRPr="00BF60BC">
        <w:rPr>
          <w:rFonts w:cstheme="minorHAnsi"/>
          <w:i/>
          <w:sz w:val="24"/>
          <w:szCs w:val="24"/>
          <w:vertAlign w:val="superscript"/>
        </w:rPr>
        <w:t>4</w:t>
      </w:r>
      <w:r w:rsidR="00D7714B" w:rsidRPr="00BF60BC">
        <w:rPr>
          <w:rFonts w:cstheme="minorHAnsi"/>
          <w:i/>
          <w:sz w:val="24"/>
          <w:szCs w:val="24"/>
        </w:rPr>
        <w:t>, Glyn Lewis</w:t>
      </w:r>
      <w:r w:rsidR="00750B03" w:rsidRPr="00BF60BC">
        <w:rPr>
          <w:rFonts w:cstheme="minorHAnsi"/>
          <w:i/>
          <w:sz w:val="24"/>
          <w:szCs w:val="24"/>
          <w:vertAlign w:val="superscript"/>
        </w:rPr>
        <w:t>1</w:t>
      </w:r>
      <w:r w:rsidR="00D7714B" w:rsidRPr="00BF60BC">
        <w:rPr>
          <w:rFonts w:cstheme="minorHAnsi"/>
          <w:i/>
          <w:sz w:val="24"/>
          <w:szCs w:val="24"/>
        </w:rPr>
        <w:t>, Praveetha Patalay</w:t>
      </w:r>
      <w:r w:rsidR="00511C23" w:rsidRPr="00BF60BC">
        <w:rPr>
          <w:rFonts w:cstheme="minorHAnsi"/>
          <w:i/>
          <w:sz w:val="24"/>
          <w:szCs w:val="24"/>
          <w:vertAlign w:val="superscript"/>
        </w:rPr>
        <w:t>5</w:t>
      </w:r>
    </w:p>
    <w:p w14:paraId="1B3D7B26" w14:textId="4E940931" w:rsidR="002F526A" w:rsidRPr="00BF60BC" w:rsidRDefault="002F526A" w:rsidP="00655F22">
      <w:pPr>
        <w:spacing w:after="0"/>
        <w:jc w:val="both"/>
        <w:rPr>
          <w:rFonts w:cstheme="minorHAnsi"/>
          <w:i/>
          <w:sz w:val="24"/>
          <w:szCs w:val="24"/>
        </w:rPr>
      </w:pPr>
    </w:p>
    <w:p w14:paraId="20316B2E" w14:textId="18DD725F" w:rsidR="0023656D" w:rsidRPr="00BF60BC" w:rsidRDefault="0023656D" w:rsidP="00655F22">
      <w:pPr>
        <w:spacing w:after="0"/>
        <w:jc w:val="both"/>
        <w:rPr>
          <w:rFonts w:ascii="Calibri" w:hAnsi="Calibri" w:cs="Calibri"/>
          <w:i/>
          <w:sz w:val="24"/>
          <w:szCs w:val="24"/>
        </w:rPr>
      </w:pPr>
      <w:r w:rsidRPr="00BF60BC">
        <w:rPr>
          <w:rFonts w:ascii="Calibri" w:hAnsi="Calibri" w:cs="Calibri"/>
          <w:i/>
          <w:sz w:val="24"/>
          <w:szCs w:val="24"/>
          <w:vertAlign w:val="superscript"/>
        </w:rPr>
        <w:t>1</w:t>
      </w:r>
      <w:r w:rsidRPr="00BF60BC">
        <w:rPr>
          <w:rFonts w:ascii="Calibri" w:hAnsi="Calibri" w:cs="Calibri"/>
          <w:i/>
          <w:sz w:val="24"/>
          <w:szCs w:val="24"/>
        </w:rPr>
        <w:t xml:space="preserve"> Division of Psychiatry, </w:t>
      </w:r>
      <w:r w:rsidR="00A96A2E" w:rsidRPr="00BF60BC">
        <w:rPr>
          <w:rFonts w:ascii="Calibri" w:hAnsi="Calibri" w:cs="Calibri"/>
          <w:i/>
          <w:sz w:val="24"/>
          <w:szCs w:val="24"/>
        </w:rPr>
        <w:t>UCL</w:t>
      </w:r>
      <w:r w:rsidRPr="00BF60BC">
        <w:rPr>
          <w:rFonts w:ascii="Calibri" w:hAnsi="Calibri" w:cs="Calibri"/>
          <w:i/>
          <w:sz w:val="24"/>
          <w:szCs w:val="24"/>
        </w:rPr>
        <w:t>, London, UK.</w:t>
      </w:r>
    </w:p>
    <w:p w14:paraId="41C5167C" w14:textId="02795CB0" w:rsidR="004B7B3C" w:rsidRPr="00BF60BC" w:rsidRDefault="004B7B3C" w:rsidP="00655F22">
      <w:pPr>
        <w:spacing w:after="0"/>
        <w:jc w:val="both"/>
        <w:rPr>
          <w:rFonts w:ascii="Calibri" w:hAnsi="Calibri" w:cs="Calibri"/>
          <w:i/>
          <w:sz w:val="24"/>
          <w:szCs w:val="24"/>
        </w:rPr>
      </w:pPr>
      <w:r w:rsidRPr="00BF60BC">
        <w:rPr>
          <w:rFonts w:ascii="Calibri" w:hAnsi="Calibri" w:cs="Calibri"/>
          <w:i/>
          <w:sz w:val="24"/>
          <w:szCs w:val="24"/>
          <w:vertAlign w:val="superscript"/>
        </w:rPr>
        <w:t>2</w:t>
      </w:r>
      <w:r w:rsidRPr="00BF60BC">
        <w:rPr>
          <w:rFonts w:ascii="Calibri" w:eastAsia="Times New Roman" w:hAnsi="Calibri" w:cs="Calibri"/>
          <w:i/>
          <w:sz w:val="24"/>
          <w:szCs w:val="24"/>
        </w:rPr>
        <w:t xml:space="preserve"> </w:t>
      </w:r>
      <w:r w:rsidRPr="00BF60BC">
        <w:rPr>
          <w:rFonts w:ascii="Calibri" w:hAnsi="Calibri" w:cs="Calibri"/>
          <w:i/>
          <w:sz w:val="24"/>
          <w:szCs w:val="24"/>
        </w:rPr>
        <w:t>School of Health in Social Science, University of Edinburgh, Edinburgh, UK.</w:t>
      </w:r>
    </w:p>
    <w:p w14:paraId="3AE8C54D" w14:textId="68A13389" w:rsidR="004B7B3C" w:rsidRPr="00BF60BC" w:rsidRDefault="004B7B3C" w:rsidP="00655F22">
      <w:pPr>
        <w:spacing w:after="0"/>
        <w:jc w:val="both"/>
        <w:rPr>
          <w:rFonts w:ascii="Calibri" w:hAnsi="Calibri" w:cs="Calibri"/>
          <w:i/>
          <w:sz w:val="24"/>
          <w:szCs w:val="24"/>
        </w:rPr>
      </w:pPr>
      <w:r w:rsidRPr="00BF60BC">
        <w:rPr>
          <w:rFonts w:ascii="Calibri" w:hAnsi="Calibri" w:cs="Calibri"/>
          <w:i/>
          <w:sz w:val="24"/>
          <w:szCs w:val="24"/>
          <w:vertAlign w:val="superscript"/>
        </w:rPr>
        <w:t>3</w:t>
      </w:r>
      <w:r w:rsidR="00ED2B6C" w:rsidRPr="00BF60BC">
        <w:rPr>
          <w:rFonts w:ascii="Calibri" w:hAnsi="Calibri" w:cs="Calibri"/>
          <w:i/>
          <w:sz w:val="24"/>
          <w:szCs w:val="24"/>
          <w:vertAlign w:val="superscript"/>
        </w:rPr>
        <w:t xml:space="preserve"> </w:t>
      </w:r>
      <w:r w:rsidR="00ED2B6C" w:rsidRPr="00BF60BC">
        <w:rPr>
          <w:rFonts w:ascii="Calibri" w:hAnsi="Calibri" w:cs="Calibri"/>
          <w:i/>
          <w:sz w:val="24"/>
          <w:szCs w:val="24"/>
        </w:rPr>
        <w:t>Department of Psychological Sciences, University of Liverpool, Liverpool, UK.</w:t>
      </w:r>
    </w:p>
    <w:p w14:paraId="003D4389" w14:textId="622C9200" w:rsidR="00A96A2E" w:rsidRPr="00BF60BC" w:rsidRDefault="004B7B3C" w:rsidP="00655F22">
      <w:pPr>
        <w:spacing w:after="0"/>
        <w:jc w:val="both"/>
        <w:rPr>
          <w:rFonts w:ascii="Calibri" w:hAnsi="Calibri" w:cs="Calibri"/>
          <w:i/>
          <w:sz w:val="24"/>
          <w:szCs w:val="24"/>
        </w:rPr>
      </w:pPr>
      <w:r w:rsidRPr="00BF60BC">
        <w:rPr>
          <w:rFonts w:ascii="Calibri" w:hAnsi="Calibri" w:cs="Calibri"/>
          <w:i/>
          <w:sz w:val="24"/>
          <w:szCs w:val="24"/>
          <w:vertAlign w:val="superscript"/>
        </w:rPr>
        <w:t>4</w:t>
      </w:r>
      <w:r w:rsidR="00A96A2E" w:rsidRPr="00BF60BC">
        <w:rPr>
          <w:rFonts w:ascii="Calibri" w:hAnsi="Calibri" w:cs="Calibri"/>
          <w:i/>
          <w:sz w:val="24"/>
          <w:szCs w:val="24"/>
          <w:vertAlign w:val="superscript"/>
        </w:rPr>
        <w:t xml:space="preserve"> </w:t>
      </w:r>
      <w:r w:rsidR="00A96A2E" w:rsidRPr="00BF60BC">
        <w:rPr>
          <w:rFonts w:ascii="Calibri" w:hAnsi="Calibri" w:cs="Calibri"/>
          <w:i/>
          <w:sz w:val="24"/>
          <w:szCs w:val="24"/>
        </w:rPr>
        <w:t>MRC Unit for Lifelong Health and Ageing at UCL, Department of Population Science and Experimental Medicine, London, UK</w:t>
      </w:r>
    </w:p>
    <w:p w14:paraId="6A4316A7" w14:textId="50786FD3" w:rsidR="00511C23" w:rsidRPr="00BF60BC" w:rsidRDefault="00511C23" w:rsidP="00655F22">
      <w:pPr>
        <w:spacing w:after="0"/>
        <w:jc w:val="both"/>
        <w:rPr>
          <w:rFonts w:ascii="Calibri" w:hAnsi="Calibri" w:cs="Calibri"/>
          <w:i/>
          <w:sz w:val="24"/>
          <w:szCs w:val="24"/>
          <w:vertAlign w:val="superscript"/>
        </w:rPr>
      </w:pPr>
      <w:r w:rsidRPr="00BF60BC">
        <w:rPr>
          <w:rFonts w:ascii="Calibri" w:hAnsi="Calibri" w:cs="Calibri"/>
          <w:i/>
          <w:sz w:val="24"/>
          <w:szCs w:val="24"/>
          <w:vertAlign w:val="superscript"/>
        </w:rPr>
        <w:t>5</w:t>
      </w:r>
      <w:r w:rsidRPr="00BF60BC">
        <w:rPr>
          <w:rFonts w:ascii="Calibri" w:hAnsi="Calibri" w:cs="Calibri"/>
          <w:i/>
          <w:sz w:val="24"/>
          <w:szCs w:val="24"/>
        </w:rPr>
        <w:t>Centre for Longitudinal Studies and MRC Unit for Lifelong Health and Ageing, UCL, London, UK</w:t>
      </w:r>
    </w:p>
    <w:p w14:paraId="3FA52E02" w14:textId="5B1D549A" w:rsidR="004B7B3C" w:rsidRPr="00BF60BC" w:rsidRDefault="004B7B3C" w:rsidP="00655F22">
      <w:pPr>
        <w:spacing w:after="0"/>
        <w:jc w:val="both"/>
        <w:rPr>
          <w:rFonts w:cstheme="minorHAnsi"/>
          <w:i/>
          <w:sz w:val="24"/>
          <w:szCs w:val="24"/>
        </w:rPr>
      </w:pPr>
    </w:p>
    <w:p w14:paraId="3580AE7D" w14:textId="77777777" w:rsidR="0059029B" w:rsidRDefault="00AB7D8F" w:rsidP="00655F22">
      <w:pPr>
        <w:spacing w:after="0"/>
        <w:jc w:val="both"/>
        <w:rPr>
          <w:rFonts w:cstheme="minorHAnsi"/>
          <w:sz w:val="24"/>
          <w:szCs w:val="24"/>
        </w:rPr>
      </w:pPr>
      <w:r>
        <w:rPr>
          <w:rFonts w:cstheme="minorHAnsi"/>
          <w:b/>
          <w:sz w:val="24"/>
          <w:szCs w:val="24"/>
        </w:rPr>
        <w:t xml:space="preserve">Date of </w:t>
      </w:r>
      <w:r w:rsidR="0059029B">
        <w:rPr>
          <w:rFonts w:cstheme="minorHAnsi"/>
          <w:b/>
          <w:sz w:val="24"/>
          <w:szCs w:val="24"/>
        </w:rPr>
        <w:t>1</w:t>
      </w:r>
      <w:r w:rsidR="0059029B" w:rsidRPr="00C5774B">
        <w:rPr>
          <w:rFonts w:cstheme="minorHAnsi"/>
          <w:b/>
          <w:sz w:val="24"/>
          <w:szCs w:val="24"/>
          <w:vertAlign w:val="superscript"/>
        </w:rPr>
        <w:t>st</w:t>
      </w:r>
      <w:r w:rsidR="0059029B">
        <w:rPr>
          <w:rFonts w:cstheme="minorHAnsi"/>
          <w:b/>
          <w:sz w:val="24"/>
          <w:szCs w:val="24"/>
        </w:rPr>
        <w:t xml:space="preserve"> </w:t>
      </w:r>
      <w:r>
        <w:rPr>
          <w:rFonts w:cstheme="minorHAnsi"/>
          <w:b/>
          <w:sz w:val="24"/>
          <w:szCs w:val="24"/>
        </w:rPr>
        <w:t xml:space="preserve">revision: </w:t>
      </w:r>
      <w:r>
        <w:rPr>
          <w:rFonts w:cstheme="minorHAnsi"/>
          <w:sz w:val="24"/>
          <w:szCs w:val="24"/>
        </w:rPr>
        <w:t>27 April 2020</w:t>
      </w:r>
    </w:p>
    <w:p w14:paraId="3C6DAB10" w14:textId="3CE700D2" w:rsidR="002F526A" w:rsidRPr="00AB7D8F" w:rsidRDefault="0059029B" w:rsidP="00655F22">
      <w:pPr>
        <w:spacing w:after="0"/>
        <w:jc w:val="both"/>
        <w:rPr>
          <w:rFonts w:cstheme="minorHAnsi"/>
          <w:sz w:val="24"/>
          <w:szCs w:val="24"/>
        </w:rPr>
      </w:pPr>
      <w:r>
        <w:rPr>
          <w:rFonts w:cstheme="minorHAnsi"/>
          <w:sz w:val="24"/>
          <w:szCs w:val="24"/>
        </w:rPr>
        <w:t>Date of 2</w:t>
      </w:r>
      <w:r w:rsidRPr="00C5774B">
        <w:rPr>
          <w:rFonts w:cstheme="minorHAnsi"/>
          <w:sz w:val="24"/>
          <w:szCs w:val="24"/>
          <w:vertAlign w:val="superscript"/>
        </w:rPr>
        <w:t>nd</w:t>
      </w:r>
      <w:r>
        <w:rPr>
          <w:rFonts w:cstheme="minorHAnsi"/>
          <w:sz w:val="24"/>
          <w:szCs w:val="24"/>
        </w:rPr>
        <w:t xml:space="preserve"> revision: </w:t>
      </w:r>
      <w:r w:rsidR="00C5774B">
        <w:rPr>
          <w:rFonts w:cstheme="minorHAnsi"/>
          <w:sz w:val="24"/>
          <w:szCs w:val="24"/>
        </w:rPr>
        <w:t>30</w:t>
      </w:r>
      <w:r w:rsidR="000D11C6">
        <w:rPr>
          <w:rFonts w:cstheme="minorHAnsi"/>
          <w:sz w:val="24"/>
          <w:szCs w:val="24"/>
        </w:rPr>
        <w:t xml:space="preserve"> June 2020</w:t>
      </w:r>
    </w:p>
    <w:p w14:paraId="062FCCFA" w14:textId="77777777" w:rsidR="0097636A" w:rsidRPr="00BF60BC" w:rsidRDefault="0097636A" w:rsidP="00655F22">
      <w:pPr>
        <w:spacing w:after="0"/>
        <w:jc w:val="both"/>
        <w:rPr>
          <w:rFonts w:ascii="Cambria" w:hAnsi="Cambria"/>
          <w:b/>
          <w:sz w:val="24"/>
          <w:szCs w:val="24"/>
          <w:vertAlign w:val="superscript"/>
        </w:rPr>
      </w:pPr>
    </w:p>
    <w:p w14:paraId="72D755F4" w14:textId="77777777" w:rsidR="0097636A" w:rsidRPr="00BF60BC" w:rsidRDefault="0097636A" w:rsidP="00655F22">
      <w:pPr>
        <w:spacing w:after="0"/>
        <w:jc w:val="both"/>
        <w:rPr>
          <w:rFonts w:ascii="Cambria" w:hAnsi="Cambria"/>
          <w:b/>
          <w:sz w:val="24"/>
          <w:szCs w:val="24"/>
        </w:rPr>
      </w:pPr>
      <w:r w:rsidRPr="00BF60BC">
        <w:rPr>
          <w:rFonts w:ascii="Cambria" w:hAnsi="Cambria"/>
          <w:b/>
          <w:sz w:val="24"/>
          <w:szCs w:val="24"/>
        </w:rPr>
        <w:t>Corresponding author</w:t>
      </w:r>
    </w:p>
    <w:p w14:paraId="4A096840" w14:textId="77777777" w:rsidR="0097636A" w:rsidRPr="00BF60BC" w:rsidRDefault="0097636A" w:rsidP="00655F22">
      <w:pPr>
        <w:spacing w:after="0" w:line="240" w:lineRule="auto"/>
        <w:jc w:val="both"/>
        <w:rPr>
          <w:rFonts w:cstheme="minorHAnsi"/>
          <w:sz w:val="24"/>
          <w:szCs w:val="24"/>
        </w:rPr>
      </w:pPr>
      <w:r w:rsidRPr="00BF60BC">
        <w:rPr>
          <w:rFonts w:cstheme="minorHAnsi"/>
          <w:sz w:val="24"/>
          <w:szCs w:val="24"/>
        </w:rPr>
        <w:t>Francesca Solmi, PhD</w:t>
      </w:r>
    </w:p>
    <w:p w14:paraId="1F9F09AD" w14:textId="04E58BEE" w:rsidR="00414AD8" w:rsidRPr="00BF60BC" w:rsidRDefault="0097636A" w:rsidP="00655F22">
      <w:pPr>
        <w:spacing w:after="0" w:line="240" w:lineRule="auto"/>
        <w:jc w:val="both"/>
        <w:rPr>
          <w:rFonts w:cstheme="minorHAnsi"/>
          <w:sz w:val="24"/>
          <w:szCs w:val="24"/>
        </w:rPr>
      </w:pPr>
      <w:r w:rsidRPr="00BF60BC">
        <w:rPr>
          <w:rFonts w:cstheme="minorHAnsi"/>
          <w:sz w:val="24"/>
          <w:szCs w:val="24"/>
        </w:rPr>
        <w:t>UCL Division of Psychiatry,</w:t>
      </w:r>
    </w:p>
    <w:p w14:paraId="65F14DC4" w14:textId="0A05FBEC" w:rsidR="0097636A" w:rsidRPr="00BF60BC" w:rsidRDefault="0097636A" w:rsidP="00655F22">
      <w:pPr>
        <w:spacing w:after="0" w:line="240" w:lineRule="auto"/>
        <w:jc w:val="both"/>
        <w:rPr>
          <w:rFonts w:cstheme="minorHAnsi"/>
          <w:sz w:val="24"/>
          <w:szCs w:val="24"/>
        </w:rPr>
      </w:pPr>
      <w:r w:rsidRPr="00BF60BC">
        <w:rPr>
          <w:rFonts w:cstheme="minorHAnsi"/>
          <w:sz w:val="24"/>
          <w:szCs w:val="24"/>
        </w:rPr>
        <w:t>Maple House 6</w:t>
      </w:r>
      <w:r w:rsidRPr="00BF60BC">
        <w:rPr>
          <w:rFonts w:cstheme="minorHAnsi"/>
          <w:sz w:val="24"/>
          <w:szCs w:val="24"/>
          <w:vertAlign w:val="superscript"/>
        </w:rPr>
        <w:t>th</w:t>
      </w:r>
      <w:r w:rsidRPr="00BF60BC">
        <w:rPr>
          <w:rFonts w:cstheme="minorHAnsi"/>
          <w:sz w:val="24"/>
          <w:szCs w:val="24"/>
        </w:rPr>
        <w:t xml:space="preserve"> floor, Wing </w:t>
      </w:r>
      <w:r w:rsidR="00D8498A" w:rsidRPr="00BF60BC">
        <w:rPr>
          <w:rFonts w:cstheme="minorHAnsi"/>
          <w:sz w:val="24"/>
          <w:szCs w:val="24"/>
        </w:rPr>
        <w:t>A</w:t>
      </w:r>
    </w:p>
    <w:p w14:paraId="75415555" w14:textId="77777777" w:rsidR="0097636A" w:rsidRPr="00BF60BC" w:rsidRDefault="0097636A" w:rsidP="00655F22">
      <w:pPr>
        <w:spacing w:after="0" w:line="240" w:lineRule="auto"/>
        <w:jc w:val="both"/>
        <w:rPr>
          <w:rFonts w:cstheme="minorHAnsi"/>
          <w:sz w:val="24"/>
          <w:szCs w:val="24"/>
        </w:rPr>
      </w:pPr>
      <w:r w:rsidRPr="00BF60BC">
        <w:rPr>
          <w:rFonts w:cstheme="minorHAnsi"/>
          <w:sz w:val="24"/>
          <w:szCs w:val="24"/>
        </w:rPr>
        <w:t>149 Tottenham Court Road, London</w:t>
      </w:r>
    </w:p>
    <w:p w14:paraId="667384C1" w14:textId="77777777" w:rsidR="0097636A" w:rsidRPr="00BF60BC" w:rsidRDefault="0097636A" w:rsidP="00655F22">
      <w:pPr>
        <w:spacing w:after="0" w:line="240" w:lineRule="auto"/>
        <w:jc w:val="both"/>
        <w:rPr>
          <w:rFonts w:cstheme="minorHAnsi"/>
          <w:sz w:val="24"/>
          <w:szCs w:val="24"/>
        </w:rPr>
      </w:pPr>
      <w:r w:rsidRPr="00BF60BC">
        <w:rPr>
          <w:rFonts w:cstheme="minorHAnsi"/>
          <w:sz w:val="24"/>
          <w:szCs w:val="24"/>
        </w:rPr>
        <w:t>WC1N 7TF, UK</w:t>
      </w:r>
    </w:p>
    <w:p w14:paraId="78B8C916" w14:textId="77777777" w:rsidR="0097636A" w:rsidRPr="00BF60BC" w:rsidRDefault="0097636A" w:rsidP="00655F22">
      <w:pPr>
        <w:spacing w:after="0" w:line="240" w:lineRule="auto"/>
        <w:jc w:val="both"/>
        <w:rPr>
          <w:rFonts w:cstheme="minorHAnsi"/>
          <w:sz w:val="24"/>
          <w:szCs w:val="24"/>
          <w:lang w:val="fr-FR"/>
        </w:rPr>
      </w:pPr>
      <w:proofErr w:type="gramStart"/>
      <w:r w:rsidRPr="00BF60BC">
        <w:rPr>
          <w:rFonts w:cstheme="minorHAnsi"/>
          <w:sz w:val="24"/>
          <w:szCs w:val="24"/>
          <w:lang w:val="fr-FR"/>
        </w:rPr>
        <w:t>Email:</w:t>
      </w:r>
      <w:proofErr w:type="gramEnd"/>
      <w:r w:rsidRPr="00BF60BC">
        <w:rPr>
          <w:rFonts w:cstheme="minorHAnsi"/>
          <w:sz w:val="24"/>
          <w:szCs w:val="24"/>
          <w:lang w:val="fr-FR"/>
        </w:rPr>
        <w:t xml:space="preserve"> </w:t>
      </w:r>
      <w:hyperlink r:id="rId8" w:history="1">
        <w:r w:rsidRPr="00BF60BC">
          <w:rPr>
            <w:rStyle w:val="Hyperlink"/>
            <w:rFonts w:cstheme="minorHAnsi"/>
            <w:sz w:val="24"/>
            <w:szCs w:val="24"/>
            <w:lang w:val="fr-FR"/>
          </w:rPr>
          <w:t>francesca.solmi@ucl.ac.uk</w:t>
        </w:r>
      </w:hyperlink>
    </w:p>
    <w:p w14:paraId="324FB3BC" w14:textId="77A6FD05" w:rsidR="002F526A" w:rsidRPr="00BF60BC" w:rsidRDefault="0097636A" w:rsidP="00655F22">
      <w:pPr>
        <w:spacing w:after="0" w:line="240" w:lineRule="auto"/>
        <w:jc w:val="both"/>
        <w:rPr>
          <w:rFonts w:cstheme="minorHAnsi"/>
          <w:sz w:val="24"/>
          <w:szCs w:val="24"/>
        </w:rPr>
      </w:pPr>
      <w:r w:rsidRPr="00BF60BC">
        <w:rPr>
          <w:rFonts w:cstheme="minorHAnsi"/>
          <w:sz w:val="24"/>
          <w:szCs w:val="24"/>
        </w:rPr>
        <w:t>Phone: +44(0)207</w:t>
      </w:r>
      <w:r w:rsidR="00780F7A" w:rsidRPr="00BF60BC">
        <w:rPr>
          <w:rFonts w:cstheme="minorHAnsi"/>
          <w:sz w:val="24"/>
          <w:szCs w:val="24"/>
        </w:rPr>
        <w:t>6799643</w:t>
      </w:r>
    </w:p>
    <w:p w14:paraId="0082C62D" w14:textId="36118318" w:rsidR="00DE5CE6" w:rsidRPr="00BF60BC" w:rsidRDefault="00DE5CE6" w:rsidP="00655F22">
      <w:pPr>
        <w:jc w:val="both"/>
        <w:rPr>
          <w:sz w:val="24"/>
          <w:szCs w:val="24"/>
        </w:rPr>
      </w:pPr>
    </w:p>
    <w:p w14:paraId="60945BD4" w14:textId="78B9BE1C" w:rsidR="005B1A5A" w:rsidRPr="00BF60BC" w:rsidRDefault="005B1A5A" w:rsidP="00655F22">
      <w:pPr>
        <w:jc w:val="both"/>
        <w:rPr>
          <w:b/>
          <w:sz w:val="24"/>
          <w:szCs w:val="24"/>
        </w:rPr>
      </w:pPr>
      <w:r w:rsidRPr="00BF60BC">
        <w:rPr>
          <w:b/>
          <w:sz w:val="24"/>
          <w:szCs w:val="24"/>
        </w:rPr>
        <w:t xml:space="preserve">Key words: </w:t>
      </w:r>
      <w:r w:rsidRPr="00BF60BC">
        <w:rPr>
          <w:sz w:val="24"/>
          <w:szCs w:val="24"/>
        </w:rPr>
        <w:t xml:space="preserve">cohort, ALSPAC, </w:t>
      </w:r>
      <w:r w:rsidR="00181E1C" w:rsidRPr="00BF60BC">
        <w:rPr>
          <w:sz w:val="24"/>
          <w:szCs w:val="24"/>
        </w:rPr>
        <w:t>British Cohort Study 1970</w:t>
      </w:r>
      <w:r w:rsidRPr="00BF60BC">
        <w:rPr>
          <w:sz w:val="24"/>
          <w:szCs w:val="24"/>
        </w:rPr>
        <w:t xml:space="preserve">, </w:t>
      </w:r>
      <w:r w:rsidR="001A5C79" w:rsidRPr="00BF60BC">
        <w:rPr>
          <w:sz w:val="24"/>
          <w:szCs w:val="24"/>
        </w:rPr>
        <w:t>Millennium Cohort Study</w:t>
      </w:r>
      <w:r w:rsidRPr="00BF60BC">
        <w:rPr>
          <w:sz w:val="24"/>
          <w:szCs w:val="24"/>
        </w:rPr>
        <w:t xml:space="preserve">, diet, obesity, trend, disordered eating. </w:t>
      </w:r>
      <w:r w:rsidRPr="00BF60BC">
        <w:rPr>
          <w:b/>
          <w:sz w:val="24"/>
          <w:szCs w:val="24"/>
        </w:rPr>
        <w:br w:type="page"/>
      </w:r>
    </w:p>
    <w:p w14:paraId="77B3AE98" w14:textId="174DDE7F" w:rsidR="00FD43A3" w:rsidRDefault="00FD43A3" w:rsidP="00655F22">
      <w:pPr>
        <w:spacing w:after="0" w:line="360" w:lineRule="auto"/>
        <w:jc w:val="both"/>
        <w:rPr>
          <w:rFonts w:cstheme="minorHAnsi"/>
          <w:b/>
          <w:sz w:val="24"/>
          <w:szCs w:val="24"/>
        </w:rPr>
      </w:pPr>
      <w:r w:rsidRPr="00BF60BC">
        <w:rPr>
          <w:rFonts w:cstheme="minorHAnsi"/>
          <w:b/>
          <w:sz w:val="24"/>
          <w:szCs w:val="24"/>
        </w:rPr>
        <w:lastRenderedPageBreak/>
        <w:t>Abstract</w:t>
      </w:r>
    </w:p>
    <w:p w14:paraId="215D6104" w14:textId="77777777" w:rsidR="007970C8" w:rsidRPr="00BF60BC" w:rsidRDefault="007970C8" w:rsidP="00655F22">
      <w:pPr>
        <w:spacing w:after="0" w:line="360" w:lineRule="auto"/>
        <w:jc w:val="both"/>
        <w:rPr>
          <w:rFonts w:cstheme="minorHAnsi"/>
          <w:b/>
          <w:sz w:val="24"/>
          <w:szCs w:val="24"/>
        </w:rPr>
      </w:pPr>
    </w:p>
    <w:p w14:paraId="5DE5CE89" w14:textId="7535E195" w:rsidR="00257749" w:rsidRDefault="00BD0F27" w:rsidP="00655F22">
      <w:pPr>
        <w:spacing w:after="0" w:line="360" w:lineRule="auto"/>
        <w:jc w:val="both"/>
        <w:rPr>
          <w:rFonts w:cstheme="minorHAnsi"/>
          <w:sz w:val="24"/>
          <w:szCs w:val="24"/>
        </w:rPr>
      </w:pPr>
      <w:r w:rsidRPr="00BF60BC">
        <w:rPr>
          <w:rFonts w:cstheme="minorHAnsi"/>
          <w:b/>
          <w:sz w:val="24"/>
          <w:szCs w:val="24"/>
        </w:rPr>
        <w:t>Importance</w:t>
      </w:r>
      <w:r w:rsidR="008B0F6A" w:rsidRPr="00BF60BC">
        <w:rPr>
          <w:rFonts w:cstheme="minorHAnsi"/>
          <w:sz w:val="24"/>
          <w:szCs w:val="24"/>
        </w:rPr>
        <w:t xml:space="preserve">: In the context of the </w:t>
      </w:r>
      <w:r w:rsidR="001F2D26" w:rsidRPr="00BF60BC">
        <w:rPr>
          <w:rFonts w:cstheme="minorHAnsi"/>
          <w:sz w:val="24"/>
          <w:szCs w:val="24"/>
        </w:rPr>
        <w:t>growing</w:t>
      </w:r>
      <w:r w:rsidR="008B0F6A" w:rsidRPr="00BF60BC">
        <w:rPr>
          <w:rFonts w:cstheme="minorHAnsi"/>
          <w:sz w:val="24"/>
          <w:szCs w:val="24"/>
        </w:rPr>
        <w:t xml:space="preserve"> prevalence of childhood obesity, </w:t>
      </w:r>
      <w:proofErr w:type="spellStart"/>
      <w:r w:rsidR="00DA210E" w:rsidRPr="00BF60BC">
        <w:rPr>
          <w:rFonts w:cstheme="minorHAnsi"/>
          <w:sz w:val="24"/>
          <w:szCs w:val="24"/>
        </w:rPr>
        <w:t>behaviors</w:t>
      </w:r>
      <w:proofErr w:type="spellEnd"/>
      <w:r w:rsidR="008B0F6A" w:rsidRPr="00BF60BC">
        <w:rPr>
          <w:rFonts w:cstheme="minorHAnsi"/>
          <w:sz w:val="24"/>
          <w:szCs w:val="24"/>
        </w:rPr>
        <w:t xml:space="preserve"> aimed at weight-loss and their psychological burden might be increasing.</w:t>
      </w:r>
    </w:p>
    <w:p w14:paraId="55C7432A" w14:textId="6D6B15FA" w:rsidR="0057329B" w:rsidRPr="0057329B" w:rsidRDefault="0057329B" w:rsidP="00655F22">
      <w:pPr>
        <w:spacing w:after="0" w:line="360" w:lineRule="auto"/>
        <w:jc w:val="both"/>
        <w:rPr>
          <w:rFonts w:cstheme="minorHAnsi"/>
          <w:b/>
          <w:sz w:val="24"/>
          <w:szCs w:val="24"/>
        </w:rPr>
      </w:pPr>
      <w:r>
        <w:rPr>
          <w:rFonts w:cstheme="minorHAnsi"/>
          <w:b/>
          <w:sz w:val="24"/>
          <w:szCs w:val="24"/>
        </w:rPr>
        <w:t xml:space="preserve">Objective: </w:t>
      </w:r>
      <w:r w:rsidR="0017747B">
        <w:rPr>
          <w:rFonts w:cstheme="minorHAnsi"/>
          <w:sz w:val="24"/>
          <w:szCs w:val="24"/>
        </w:rPr>
        <w:t>T</w:t>
      </w:r>
      <w:r>
        <w:rPr>
          <w:rFonts w:cstheme="minorHAnsi"/>
          <w:sz w:val="24"/>
          <w:szCs w:val="24"/>
        </w:rPr>
        <w:t xml:space="preserve">o investigate whether </w:t>
      </w:r>
      <w:r w:rsidRPr="00BF60BC">
        <w:rPr>
          <w:rFonts w:cstheme="minorHAnsi"/>
          <w:sz w:val="24"/>
          <w:szCs w:val="24"/>
        </w:rPr>
        <w:t xml:space="preserve">the prevalence of weight-control </w:t>
      </w:r>
      <w:proofErr w:type="spellStart"/>
      <w:r w:rsidRPr="00BF60BC">
        <w:rPr>
          <w:rFonts w:cstheme="minorHAnsi"/>
          <w:sz w:val="24"/>
          <w:szCs w:val="24"/>
        </w:rPr>
        <w:t>behaviors</w:t>
      </w:r>
      <w:proofErr w:type="spellEnd"/>
      <w:r w:rsidRPr="00BF60BC">
        <w:rPr>
          <w:rFonts w:cstheme="minorHAnsi"/>
          <w:sz w:val="24"/>
          <w:szCs w:val="24"/>
        </w:rPr>
        <w:t xml:space="preserve"> and weight </w:t>
      </w:r>
      <w:r>
        <w:rPr>
          <w:rFonts w:cstheme="minorHAnsi"/>
          <w:sz w:val="24"/>
          <w:szCs w:val="24"/>
        </w:rPr>
        <w:t>perception, and their association with depressive symptoms</w:t>
      </w:r>
      <w:r w:rsidR="0017747B">
        <w:rPr>
          <w:rFonts w:cstheme="minorHAnsi"/>
          <w:sz w:val="24"/>
          <w:szCs w:val="24"/>
        </w:rPr>
        <w:t>,</w:t>
      </w:r>
      <w:r w:rsidRPr="00BF60BC">
        <w:rPr>
          <w:rFonts w:cstheme="minorHAnsi"/>
          <w:sz w:val="24"/>
          <w:szCs w:val="24"/>
        </w:rPr>
        <w:t xml:space="preserve"> </w:t>
      </w:r>
      <w:r>
        <w:rPr>
          <w:rFonts w:cstheme="minorHAnsi"/>
          <w:sz w:val="24"/>
          <w:szCs w:val="24"/>
        </w:rPr>
        <w:t xml:space="preserve">has </w:t>
      </w:r>
      <w:r w:rsidRPr="00BF60BC">
        <w:rPr>
          <w:rFonts w:cstheme="minorHAnsi"/>
          <w:sz w:val="24"/>
          <w:szCs w:val="24"/>
        </w:rPr>
        <w:t>changed in the three decades between 1986 and 2015</w:t>
      </w:r>
      <w:r>
        <w:rPr>
          <w:rFonts w:cstheme="minorHAnsi"/>
          <w:sz w:val="24"/>
          <w:szCs w:val="24"/>
        </w:rPr>
        <w:t>.</w:t>
      </w:r>
    </w:p>
    <w:p w14:paraId="35452907" w14:textId="60CBF6E4" w:rsidR="00257749" w:rsidRPr="00BF60BC" w:rsidRDefault="00257749" w:rsidP="00655F22">
      <w:pPr>
        <w:spacing w:after="0" w:line="360" w:lineRule="auto"/>
        <w:jc w:val="both"/>
        <w:rPr>
          <w:rFonts w:cstheme="minorHAnsi"/>
          <w:sz w:val="24"/>
          <w:szCs w:val="24"/>
        </w:rPr>
      </w:pPr>
      <w:r w:rsidRPr="00BF60BC">
        <w:rPr>
          <w:rFonts w:cstheme="minorHAnsi"/>
          <w:b/>
          <w:sz w:val="24"/>
          <w:szCs w:val="24"/>
        </w:rPr>
        <w:t>Design</w:t>
      </w:r>
      <w:r w:rsidRPr="00BF60BC">
        <w:rPr>
          <w:rFonts w:cstheme="minorHAnsi"/>
          <w:sz w:val="24"/>
          <w:szCs w:val="24"/>
        </w:rPr>
        <w:t xml:space="preserve">: </w:t>
      </w:r>
      <w:r w:rsidR="00391A1E" w:rsidRPr="00BF60BC">
        <w:rPr>
          <w:rFonts w:cstheme="minorHAnsi"/>
          <w:sz w:val="24"/>
          <w:szCs w:val="24"/>
        </w:rPr>
        <w:t>R</w:t>
      </w:r>
      <w:r w:rsidR="004C02A3" w:rsidRPr="00BF60BC">
        <w:rPr>
          <w:rFonts w:cstheme="minorHAnsi"/>
          <w:sz w:val="24"/>
          <w:szCs w:val="24"/>
        </w:rPr>
        <w:t>epeated cross-section</w:t>
      </w:r>
      <w:r w:rsidR="00996BDD" w:rsidRPr="00BF60BC">
        <w:rPr>
          <w:rFonts w:cstheme="minorHAnsi"/>
          <w:sz w:val="24"/>
          <w:szCs w:val="24"/>
        </w:rPr>
        <w:t>s from</w:t>
      </w:r>
      <w:r w:rsidR="00551A6B" w:rsidRPr="00BF60BC">
        <w:rPr>
          <w:rFonts w:cstheme="minorHAnsi"/>
          <w:sz w:val="24"/>
          <w:szCs w:val="24"/>
        </w:rPr>
        <w:t xml:space="preserve"> successive</w:t>
      </w:r>
      <w:r w:rsidR="00996BDD" w:rsidRPr="00BF60BC">
        <w:rPr>
          <w:rFonts w:cstheme="minorHAnsi"/>
          <w:sz w:val="24"/>
          <w:szCs w:val="24"/>
        </w:rPr>
        <w:t xml:space="preserve"> longitudinal </w:t>
      </w:r>
      <w:r w:rsidR="00D51308" w:rsidRPr="00BF60BC">
        <w:rPr>
          <w:rFonts w:cstheme="minorHAnsi"/>
          <w:sz w:val="24"/>
          <w:szCs w:val="24"/>
        </w:rPr>
        <w:t xml:space="preserve">birth cohort </w:t>
      </w:r>
      <w:r w:rsidRPr="00BF60BC">
        <w:rPr>
          <w:rFonts w:cstheme="minorHAnsi"/>
          <w:sz w:val="24"/>
          <w:szCs w:val="24"/>
        </w:rPr>
        <w:t>studies</w:t>
      </w:r>
    </w:p>
    <w:p w14:paraId="69F8A435" w14:textId="0BCB73FB" w:rsidR="00257749" w:rsidRPr="00BF60BC" w:rsidRDefault="00257749" w:rsidP="00655F22">
      <w:pPr>
        <w:spacing w:after="0" w:line="360" w:lineRule="auto"/>
        <w:jc w:val="both"/>
        <w:rPr>
          <w:rFonts w:cstheme="minorHAnsi"/>
          <w:sz w:val="24"/>
          <w:szCs w:val="24"/>
        </w:rPr>
      </w:pPr>
      <w:r w:rsidRPr="00BF60BC">
        <w:rPr>
          <w:rFonts w:cstheme="minorHAnsi"/>
          <w:b/>
          <w:sz w:val="24"/>
          <w:szCs w:val="24"/>
        </w:rPr>
        <w:t xml:space="preserve">Setting: </w:t>
      </w:r>
      <w:r w:rsidR="00CE1580" w:rsidRPr="00BF60BC">
        <w:rPr>
          <w:rFonts w:cstheme="minorHAnsi"/>
          <w:sz w:val="24"/>
          <w:szCs w:val="24"/>
        </w:rPr>
        <w:t>United Kingdom (</w:t>
      </w:r>
      <w:r w:rsidRPr="00BF60BC">
        <w:rPr>
          <w:rFonts w:cstheme="minorHAnsi"/>
          <w:sz w:val="24"/>
          <w:szCs w:val="24"/>
        </w:rPr>
        <w:t>UK</w:t>
      </w:r>
      <w:r w:rsidR="00CE1580" w:rsidRPr="00BF60BC">
        <w:rPr>
          <w:rFonts w:cstheme="minorHAnsi"/>
          <w:sz w:val="24"/>
          <w:szCs w:val="24"/>
        </w:rPr>
        <w:t>)</w:t>
      </w:r>
      <w:r w:rsidRPr="00BF60BC">
        <w:rPr>
          <w:rFonts w:cstheme="minorHAnsi"/>
          <w:sz w:val="24"/>
          <w:szCs w:val="24"/>
        </w:rPr>
        <w:t xml:space="preserve"> general population samples of 14/16 year olds from three birth cohorts: </w:t>
      </w:r>
      <w:r w:rsidRPr="00BF60BC">
        <w:rPr>
          <w:rFonts w:cstheme="minorHAnsi"/>
          <w:bCs/>
          <w:sz w:val="24"/>
          <w:szCs w:val="24"/>
        </w:rPr>
        <w:t>British Cohort Study 1970, data collected in 1986; Avon Longitudinal Study of Parents and Children, data collected in 2005; and Millennium Cohort Study, data collected in 2015.</w:t>
      </w:r>
    </w:p>
    <w:p w14:paraId="77F00CE1" w14:textId="172D0DEC" w:rsidR="00257749" w:rsidRPr="00BF60BC" w:rsidRDefault="00257749" w:rsidP="00655F22">
      <w:pPr>
        <w:spacing w:after="0" w:line="360" w:lineRule="auto"/>
        <w:jc w:val="both"/>
        <w:rPr>
          <w:rFonts w:eastAsia="Times New Roman" w:cstheme="minorHAnsi"/>
          <w:sz w:val="24"/>
          <w:szCs w:val="24"/>
          <w:lang w:eastAsia="en-GB"/>
        </w:rPr>
      </w:pPr>
      <w:r w:rsidRPr="00BF60BC">
        <w:rPr>
          <w:rFonts w:cstheme="minorHAnsi"/>
          <w:b/>
          <w:sz w:val="24"/>
          <w:szCs w:val="24"/>
        </w:rPr>
        <w:t xml:space="preserve">Participants: </w:t>
      </w:r>
      <w:r w:rsidRPr="00BF60BC">
        <w:rPr>
          <w:rFonts w:cstheme="minorHAnsi"/>
          <w:bCs/>
          <w:sz w:val="24"/>
          <w:szCs w:val="24"/>
        </w:rPr>
        <w:t>22,</w:t>
      </w:r>
      <w:r w:rsidRPr="00BF60BC">
        <w:rPr>
          <w:rFonts w:eastAsia="Times New Roman" w:cstheme="minorHAnsi"/>
          <w:sz w:val="24"/>
          <w:szCs w:val="24"/>
          <w:lang w:eastAsia="en-GB"/>
        </w:rPr>
        <w:t xml:space="preserve">503 adolescents </w:t>
      </w:r>
      <w:r w:rsidR="00D51308" w:rsidRPr="00BF60BC">
        <w:rPr>
          <w:rFonts w:eastAsia="Times New Roman" w:cstheme="minorHAnsi"/>
          <w:sz w:val="24"/>
          <w:szCs w:val="24"/>
          <w:lang w:eastAsia="en-GB"/>
        </w:rPr>
        <w:t>with</w:t>
      </w:r>
      <w:r w:rsidRPr="00BF60BC">
        <w:rPr>
          <w:rFonts w:eastAsia="Times New Roman" w:cstheme="minorHAnsi"/>
          <w:sz w:val="24"/>
          <w:szCs w:val="24"/>
          <w:lang w:eastAsia="en-GB"/>
        </w:rPr>
        <w:t xml:space="preserve"> data available on at least one weight-control and weight-perception variable </w:t>
      </w:r>
      <w:r w:rsidR="00D97398" w:rsidRPr="00BF60BC">
        <w:rPr>
          <w:rFonts w:eastAsia="Times New Roman" w:cstheme="minorHAnsi"/>
          <w:sz w:val="24"/>
          <w:szCs w:val="24"/>
          <w:lang w:eastAsia="en-GB"/>
        </w:rPr>
        <w:t>in mid-adolescence</w:t>
      </w:r>
      <w:r w:rsidRPr="00BF60BC">
        <w:rPr>
          <w:rFonts w:eastAsia="Times New Roman" w:cstheme="minorHAnsi"/>
          <w:sz w:val="24"/>
          <w:szCs w:val="24"/>
          <w:lang w:eastAsia="en-GB"/>
        </w:rPr>
        <w:t>.</w:t>
      </w:r>
    </w:p>
    <w:p w14:paraId="411C6579" w14:textId="367BD0E1" w:rsidR="00257749" w:rsidRPr="00BF60BC" w:rsidRDefault="00231538" w:rsidP="00655F22">
      <w:pPr>
        <w:spacing w:after="0" w:line="360" w:lineRule="auto"/>
        <w:jc w:val="both"/>
        <w:rPr>
          <w:rFonts w:eastAsia="Times New Roman" w:cstheme="minorHAnsi"/>
          <w:sz w:val="24"/>
          <w:szCs w:val="24"/>
          <w:lang w:eastAsia="en-GB"/>
        </w:rPr>
      </w:pPr>
      <w:r w:rsidRPr="00BF60BC">
        <w:rPr>
          <w:rFonts w:eastAsia="Times New Roman" w:cstheme="minorHAnsi"/>
          <w:b/>
          <w:sz w:val="24"/>
          <w:szCs w:val="24"/>
          <w:lang w:eastAsia="en-GB"/>
        </w:rPr>
        <w:t>Main outcome</w:t>
      </w:r>
      <w:r w:rsidR="009E33A0">
        <w:rPr>
          <w:rFonts w:eastAsia="Times New Roman" w:cstheme="minorHAnsi"/>
          <w:b/>
          <w:sz w:val="24"/>
          <w:szCs w:val="24"/>
          <w:lang w:eastAsia="en-GB"/>
        </w:rPr>
        <w:t>s</w:t>
      </w:r>
      <w:r w:rsidR="00257749" w:rsidRPr="00BF60BC">
        <w:rPr>
          <w:rFonts w:eastAsia="Times New Roman" w:cstheme="minorHAnsi"/>
          <w:sz w:val="24"/>
          <w:szCs w:val="24"/>
          <w:lang w:eastAsia="en-GB"/>
        </w:rPr>
        <w:t xml:space="preserve">: </w:t>
      </w:r>
      <w:r w:rsidR="00C5751F" w:rsidRPr="00BF60BC">
        <w:rPr>
          <w:rFonts w:eastAsia="Times New Roman" w:cstheme="minorHAnsi"/>
          <w:sz w:val="24"/>
          <w:szCs w:val="24"/>
          <w:lang w:eastAsia="en-GB"/>
        </w:rPr>
        <w:t>S</w:t>
      </w:r>
      <w:r w:rsidR="00257749" w:rsidRPr="00BF60BC">
        <w:rPr>
          <w:rFonts w:eastAsia="Times New Roman" w:cstheme="minorHAnsi"/>
          <w:sz w:val="24"/>
          <w:szCs w:val="24"/>
          <w:lang w:eastAsia="en-GB"/>
        </w:rPr>
        <w:t xml:space="preserve">elf-reported lifetime dieting and exercise for weight loss, current intentions about weight (doing nothing, lose weight, stay the same, gain weight), and weight perception (underweight, about right, overweight) adjusted for Body Mass Index. Secondary outcome </w:t>
      </w:r>
      <w:r w:rsidR="00C5751F" w:rsidRPr="00BF60BC">
        <w:rPr>
          <w:rFonts w:eastAsia="Times New Roman" w:cstheme="minorHAnsi"/>
          <w:sz w:val="24"/>
          <w:szCs w:val="24"/>
          <w:lang w:eastAsia="en-GB"/>
        </w:rPr>
        <w:t xml:space="preserve">was </w:t>
      </w:r>
      <w:r w:rsidR="00257749" w:rsidRPr="00BF60BC">
        <w:rPr>
          <w:rFonts w:eastAsia="Times New Roman" w:cstheme="minorHAnsi"/>
          <w:sz w:val="24"/>
          <w:szCs w:val="24"/>
          <w:lang w:eastAsia="en-GB"/>
        </w:rPr>
        <w:t>depressive symptoms.</w:t>
      </w:r>
    </w:p>
    <w:p w14:paraId="1C3B2D3C" w14:textId="47091FC7" w:rsidR="008B0F6A" w:rsidRPr="00BF60BC" w:rsidRDefault="00257749" w:rsidP="00655F22">
      <w:pPr>
        <w:spacing w:after="0" w:line="360" w:lineRule="auto"/>
        <w:jc w:val="both"/>
        <w:rPr>
          <w:rFonts w:eastAsia="Times New Roman" w:cstheme="minorHAnsi"/>
          <w:sz w:val="24"/>
          <w:szCs w:val="24"/>
          <w:lang w:eastAsia="en-GB"/>
        </w:rPr>
      </w:pPr>
      <w:r w:rsidRPr="00BF60BC">
        <w:rPr>
          <w:rFonts w:eastAsia="Times New Roman" w:cstheme="minorHAnsi"/>
          <w:b/>
          <w:sz w:val="24"/>
          <w:szCs w:val="24"/>
          <w:lang w:eastAsia="en-GB"/>
        </w:rPr>
        <w:t xml:space="preserve">Exposures: </w:t>
      </w:r>
      <w:r w:rsidRPr="00BF60BC">
        <w:rPr>
          <w:rFonts w:eastAsia="Times New Roman" w:cstheme="minorHAnsi"/>
          <w:sz w:val="24"/>
          <w:szCs w:val="24"/>
          <w:lang w:eastAsia="en-GB"/>
        </w:rPr>
        <w:t>The main exposure was time</w:t>
      </w:r>
      <w:r w:rsidR="004E29E6" w:rsidRPr="00BF60BC">
        <w:rPr>
          <w:rFonts w:eastAsia="Times New Roman" w:cstheme="minorHAnsi"/>
          <w:sz w:val="24"/>
          <w:szCs w:val="24"/>
          <w:lang w:eastAsia="en-GB"/>
        </w:rPr>
        <w:t xml:space="preserve"> (i.e. cohort); </w:t>
      </w:r>
      <w:r w:rsidRPr="00BF60BC">
        <w:rPr>
          <w:rFonts w:eastAsia="Times New Roman" w:cstheme="minorHAnsi"/>
          <w:sz w:val="24"/>
          <w:szCs w:val="24"/>
          <w:lang w:eastAsia="en-GB"/>
        </w:rPr>
        <w:t>secondary exposure</w:t>
      </w:r>
      <w:r w:rsidR="004E29E6" w:rsidRPr="00BF60BC">
        <w:rPr>
          <w:rFonts w:eastAsia="Times New Roman" w:cstheme="minorHAnsi"/>
          <w:sz w:val="24"/>
          <w:szCs w:val="24"/>
          <w:lang w:eastAsia="en-GB"/>
        </w:rPr>
        <w:t>s</w:t>
      </w:r>
      <w:r w:rsidRPr="00BF60BC">
        <w:rPr>
          <w:rFonts w:eastAsia="Times New Roman" w:cstheme="minorHAnsi"/>
          <w:sz w:val="24"/>
          <w:szCs w:val="24"/>
          <w:lang w:eastAsia="en-GB"/>
        </w:rPr>
        <w:t xml:space="preserve"> were weight-change </w:t>
      </w:r>
      <w:proofErr w:type="spellStart"/>
      <w:r w:rsidR="00DA210E" w:rsidRPr="00BF60BC">
        <w:rPr>
          <w:rFonts w:eastAsia="Times New Roman" w:cstheme="minorHAnsi"/>
          <w:sz w:val="24"/>
          <w:szCs w:val="24"/>
          <w:lang w:eastAsia="en-GB"/>
        </w:rPr>
        <w:t>behaviors</w:t>
      </w:r>
      <w:proofErr w:type="spellEnd"/>
      <w:r w:rsidRPr="00BF60BC">
        <w:rPr>
          <w:rFonts w:eastAsia="Times New Roman" w:cstheme="minorHAnsi"/>
          <w:sz w:val="24"/>
          <w:szCs w:val="24"/>
          <w:lang w:eastAsia="en-GB"/>
        </w:rPr>
        <w:t xml:space="preserve"> and weight perception.</w:t>
      </w:r>
    </w:p>
    <w:p w14:paraId="1A71D423" w14:textId="4414FF8B" w:rsidR="008B0F6A" w:rsidRPr="00BF60BC" w:rsidRDefault="008B0F6A" w:rsidP="00655F22">
      <w:pPr>
        <w:spacing w:after="0" w:line="360" w:lineRule="auto"/>
        <w:jc w:val="both"/>
        <w:rPr>
          <w:rFonts w:cstheme="minorHAnsi"/>
          <w:bCs/>
          <w:sz w:val="24"/>
          <w:szCs w:val="24"/>
        </w:rPr>
      </w:pPr>
      <w:r w:rsidRPr="00BF60BC">
        <w:rPr>
          <w:rFonts w:cstheme="minorHAnsi"/>
          <w:b/>
          <w:sz w:val="24"/>
          <w:szCs w:val="24"/>
        </w:rPr>
        <w:t xml:space="preserve">Results: </w:t>
      </w:r>
      <w:bookmarkStart w:id="0" w:name="_Hlk38539002"/>
      <w:r w:rsidRPr="00BF60BC">
        <w:rPr>
          <w:rFonts w:eastAsia="Times New Roman" w:cstheme="minorHAnsi"/>
          <w:sz w:val="24"/>
          <w:szCs w:val="24"/>
          <w:lang w:eastAsia="en-GB"/>
        </w:rPr>
        <w:t xml:space="preserve">In 2015, 44% and 60% of </w:t>
      </w:r>
      <w:r w:rsidR="007A0B84" w:rsidRPr="00BF60BC">
        <w:rPr>
          <w:rFonts w:eastAsia="Times New Roman" w:cstheme="minorHAnsi"/>
          <w:sz w:val="24"/>
          <w:szCs w:val="24"/>
          <w:lang w:eastAsia="en-GB"/>
        </w:rPr>
        <w:t xml:space="preserve">all </w:t>
      </w:r>
      <w:r w:rsidRPr="00BF60BC">
        <w:rPr>
          <w:rFonts w:eastAsia="Times New Roman" w:cstheme="minorHAnsi"/>
          <w:sz w:val="24"/>
          <w:szCs w:val="24"/>
          <w:lang w:eastAsia="en-GB"/>
        </w:rPr>
        <w:t>participants</w:t>
      </w:r>
      <w:r w:rsidR="00CE1580" w:rsidRPr="00BF60BC">
        <w:rPr>
          <w:rFonts w:eastAsia="Times New Roman" w:cstheme="minorHAnsi"/>
          <w:sz w:val="24"/>
          <w:szCs w:val="24"/>
          <w:lang w:eastAsia="en-GB"/>
        </w:rPr>
        <w:t xml:space="preserve"> </w:t>
      </w:r>
      <w:r w:rsidRPr="00BF60BC">
        <w:rPr>
          <w:rFonts w:eastAsia="Times New Roman" w:cstheme="minorHAnsi"/>
          <w:sz w:val="24"/>
          <w:szCs w:val="24"/>
          <w:lang w:eastAsia="en-GB"/>
        </w:rPr>
        <w:t xml:space="preserve">had dieted or exercised to lose weight compared to 38% and 7% in 1986. </w:t>
      </w:r>
      <w:bookmarkEnd w:id="0"/>
      <w:r w:rsidRPr="00BF60BC">
        <w:rPr>
          <w:rFonts w:eastAsia="Times New Roman" w:cstheme="minorHAnsi"/>
          <w:sz w:val="24"/>
          <w:szCs w:val="24"/>
          <w:lang w:eastAsia="en-GB"/>
        </w:rPr>
        <w:t xml:space="preserve">Furthermore, 42% were trying to lose weight in 2015 compared to 30% in 2005. </w:t>
      </w:r>
      <w:bookmarkStart w:id="1" w:name="_Hlk38545959"/>
      <w:r w:rsidRPr="00BF60BC">
        <w:rPr>
          <w:rFonts w:eastAsia="Times New Roman" w:cstheme="minorHAnsi"/>
          <w:sz w:val="24"/>
          <w:szCs w:val="24"/>
          <w:lang w:eastAsia="en-GB"/>
        </w:rPr>
        <w:t xml:space="preserve">Although girls were more likely to report these </w:t>
      </w:r>
      <w:proofErr w:type="spellStart"/>
      <w:r w:rsidR="00DA210E" w:rsidRPr="00BF60BC">
        <w:rPr>
          <w:rFonts w:eastAsia="Times New Roman" w:cstheme="minorHAnsi"/>
          <w:sz w:val="24"/>
          <w:szCs w:val="24"/>
          <w:lang w:eastAsia="en-GB"/>
        </w:rPr>
        <w:t>behaviors</w:t>
      </w:r>
      <w:proofErr w:type="spellEnd"/>
      <w:r w:rsidRPr="00BF60BC">
        <w:rPr>
          <w:rFonts w:eastAsia="Times New Roman" w:cstheme="minorHAnsi"/>
          <w:sz w:val="24"/>
          <w:szCs w:val="24"/>
          <w:lang w:eastAsia="en-GB"/>
        </w:rPr>
        <w:t xml:space="preserve"> in all years, their prevalence increased more in boys over time</w:t>
      </w:r>
      <w:r w:rsidR="00917C5A" w:rsidRPr="00BF60BC">
        <w:rPr>
          <w:rFonts w:eastAsia="Times New Roman" w:cstheme="minorHAnsi"/>
          <w:sz w:val="24"/>
          <w:szCs w:val="24"/>
          <w:lang w:eastAsia="en-GB"/>
        </w:rPr>
        <w:t xml:space="preserve"> (lifetime dieting [boys] odds ratio (OR): 1.79, 95% confidence intervals (CI): 1.24, 2.59, [girls] OR: 1.23, 95%CI: 0.91, 1.66; currently trying to lose weight [boys] OR: 2.75, 95%CI: 2.38, 3.19, [girls] OR: 1.70, 95%CI: 1.50, 1.92).</w:t>
      </w:r>
      <w:bookmarkEnd w:id="1"/>
      <w:r w:rsidRPr="00BF60BC">
        <w:rPr>
          <w:rFonts w:eastAsia="Times New Roman" w:cstheme="minorHAnsi"/>
          <w:sz w:val="24"/>
          <w:szCs w:val="24"/>
          <w:lang w:eastAsia="en-GB"/>
        </w:rPr>
        <w:t xml:space="preserve"> Adolescents also became more likely to over-estimate their weight. These </w:t>
      </w:r>
      <w:proofErr w:type="spellStart"/>
      <w:r w:rsidR="00DA210E" w:rsidRPr="00BF60BC">
        <w:rPr>
          <w:rFonts w:eastAsia="Times New Roman" w:cstheme="minorHAnsi"/>
          <w:sz w:val="24"/>
          <w:szCs w:val="24"/>
          <w:lang w:eastAsia="en-GB"/>
        </w:rPr>
        <w:t>behaviors</w:t>
      </w:r>
      <w:proofErr w:type="spellEnd"/>
      <w:r w:rsidRPr="00BF60BC">
        <w:rPr>
          <w:rFonts w:eastAsia="Times New Roman" w:cstheme="minorHAnsi"/>
          <w:sz w:val="24"/>
          <w:szCs w:val="24"/>
          <w:lang w:eastAsia="en-GB"/>
        </w:rPr>
        <w:t xml:space="preserve"> were associated with depressive symptoms, with the magnitude of this association increasing in girls over time.</w:t>
      </w:r>
    </w:p>
    <w:p w14:paraId="5624731E" w14:textId="749C40B3" w:rsidR="001F2D26" w:rsidRPr="00BF60BC" w:rsidRDefault="001761F1" w:rsidP="00655F22">
      <w:pPr>
        <w:spacing w:after="0" w:line="360" w:lineRule="auto"/>
        <w:jc w:val="both"/>
        <w:rPr>
          <w:rFonts w:cstheme="minorHAnsi"/>
          <w:sz w:val="24"/>
          <w:szCs w:val="24"/>
        </w:rPr>
      </w:pPr>
      <w:r w:rsidRPr="00BF60BC">
        <w:rPr>
          <w:rFonts w:cstheme="minorHAnsi"/>
          <w:b/>
          <w:sz w:val="24"/>
          <w:szCs w:val="24"/>
        </w:rPr>
        <w:t>Conclusion and relevance</w:t>
      </w:r>
      <w:r w:rsidR="008B0F6A" w:rsidRPr="00BF60BC">
        <w:rPr>
          <w:rFonts w:cstheme="minorHAnsi"/>
          <w:b/>
          <w:sz w:val="24"/>
          <w:szCs w:val="24"/>
        </w:rPr>
        <w:t xml:space="preserve">: </w:t>
      </w:r>
      <w:r w:rsidR="008B0F6A" w:rsidRPr="00BF60BC">
        <w:rPr>
          <w:rFonts w:cstheme="minorHAnsi"/>
          <w:sz w:val="24"/>
          <w:szCs w:val="24"/>
        </w:rPr>
        <w:t>The</w:t>
      </w:r>
      <w:r w:rsidR="008B0F6A" w:rsidRPr="00BF60BC">
        <w:rPr>
          <w:rFonts w:cstheme="minorHAnsi"/>
          <w:bCs/>
          <w:sz w:val="24"/>
          <w:szCs w:val="24"/>
        </w:rPr>
        <w:t xml:space="preserve"> growing focus on obesity prevention might have had unintended consequences related to weight-control </w:t>
      </w:r>
      <w:proofErr w:type="spellStart"/>
      <w:r w:rsidR="00DA210E" w:rsidRPr="00BF60BC">
        <w:rPr>
          <w:rFonts w:cstheme="minorHAnsi"/>
          <w:bCs/>
          <w:sz w:val="24"/>
          <w:szCs w:val="24"/>
        </w:rPr>
        <w:t>behaviors</w:t>
      </w:r>
      <w:proofErr w:type="spellEnd"/>
      <w:r w:rsidR="008B0F6A" w:rsidRPr="00BF60BC">
        <w:rPr>
          <w:rFonts w:cstheme="minorHAnsi"/>
          <w:bCs/>
          <w:sz w:val="24"/>
          <w:szCs w:val="24"/>
        </w:rPr>
        <w:t xml:space="preserve"> and mental ill-health. </w:t>
      </w:r>
      <w:r w:rsidR="008B0F6A" w:rsidRPr="00BF60BC">
        <w:rPr>
          <w:sz w:val="24"/>
          <w:szCs w:val="24"/>
        </w:rPr>
        <w:t xml:space="preserve">Public health campaigns addressing obesity </w:t>
      </w:r>
      <w:r w:rsidR="008B0F6A" w:rsidRPr="00BF60BC">
        <w:rPr>
          <w:rFonts w:eastAsia="Times New Roman" w:cstheme="minorHAnsi"/>
          <w:sz w:val="24"/>
          <w:szCs w:val="24"/>
        </w:rPr>
        <w:t>should</w:t>
      </w:r>
      <w:r w:rsidR="008B0F6A" w:rsidRPr="00BF60BC">
        <w:rPr>
          <w:rFonts w:cstheme="minorHAnsi"/>
          <w:sz w:val="24"/>
          <w:szCs w:val="24"/>
        </w:rPr>
        <w:t xml:space="preserve"> include prevention of disordered eating </w:t>
      </w:r>
      <w:proofErr w:type="spellStart"/>
      <w:r w:rsidR="00DA210E" w:rsidRPr="00BF60BC">
        <w:rPr>
          <w:rFonts w:cstheme="minorHAnsi"/>
          <w:sz w:val="24"/>
          <w:szCs w:val="24"/>
        </w:rPr>
        <w:t>behaviors</w:t>
      </w:r>
      <w:proofErr w:type="spellEnd"/>
      <w:r w:rsidR="008B0F6A" w:rsidRPr="00BF60BC">
        <w:rPr>
          <w:rFonts w:cstheme="minorHAnsi"/>
          <w:sz w:val="24"/>
          <w:szCs w:val="24"/>
        </w:rPr>
        <w:t xml:space="preserve"> and be sensitive to negative impact on mental health.</w:t>
      </w:r>
    </w:p>
    <w:p w14:paraId="12FB4C64" w14:textId="3A1DA94A" w:rsidR="008B0F6A" w:rsidRPr="00BF60BC" w:rsidRDefault="00BD0F27" w:rsidP="00655F22">
      <w:pPr>
        <w:spacing w:after="0"/>
        <w:jc w:val="both"/>
        <w:rPr>
          <w:rFonts w:ascii="Cambria" w:hAnsi="Cambria" w:cstheme="minorHAnsi"/>
          <w:b/>
          <w:sz w:val="24"/>
          <w:szCs w:val="24"/>
        </w:rPr>
      </w:pPr>
      <w:r w:rsidRPr="00BF60BC">
        <w:rPr>
          <w:rFonts w:ascii="Cambria" w:hAnsi="Cambria" w:cstheme="minorHAnsi"/>
          <w:b/>
          <w:sz w:val="24"/>
          <w:szCs w:val="24"/>
        </w:rPr>
        <w:lastRenderedPageBreak/>
        <w:t>Key points</w:t>
      </w:r>
    </w:p>
    <w:p w14:paraId="409FC11A" w14:textId="38034C81" w:rsidR="00BD0F27" w:rsidRPr="00BF60BC" w:rsidRDefault="00BD0F27" w:rsidP="00655F22">
      <w:pPr>
        <w:spacing w:after="0" w:line="360" w:lineRule="auto"/>
        <w:jc w:val="both"/>
        <w:rPr>
          <w:rFonts w:cstheme="minorHAnsi"/>
          <w:b/>
          <w:sz w:val="24"/>
          <w:szCs w:val="24"/>
        </w:rPr>
      </w:pPr>
    </w:p>
    <w:p w14:paraId="719AD0D8" w14:textId="296AFEA0" w:rsidR="00BD0F27" w:rsidRPr="00BF60BC" w:rsidRDefault="00BD0F27" w:rsidP="00655F22">
      <w:pPr>
        <w:spacing w:after="0" w:line="360" w:lineRule="auto"/>
        <w:jc w:val="both"/>
        <w:rPr>
          <w:rFonts w:cstheme="minorHAnsi"/>
          <w:sz w:val="24"/>
          <w:szCs w:val="24"/>
        </w:rPr>
      </w:pPr>
      <w:r w:rsidRPr="00BF60BC">
        <w:rPr>
          <w:rFonts w:cstheme="minorHAnsi"/>
          <w:b/>
          <w:sz w:val="24"/>
          <w:szCs w:val="24"/>
        </w:rPr>
        <w:t xml:space="preserve">Question: </w:t>
      </w:r>
      <w:r w:rsidRPr="00BF60BC">
        <w:rPr>
          <w:rFonts w:cstheme="minorHAnsi"/>
          <w:sz w:val="24"/>
          <w:szCs w:val="24"/>
        </w:rPr>
        <w:t xml:space="preserve">Has the prevalence of </w:t>
      </w:r>
      <w:proofErr w:type="spellStart"/>
      <w:r w:rsidR="00DA210E" w:rsidRPr="00BF60BC">
        <w:rPr>
          <w:rFonts w:cstheme="minorHAnsi"/>
          <w:sz w:val="24"/>
          <w:szCs w:val="24"/>
        </w:rPr>
        <w:t>behaviors</w:t>
      </w:r>
      <w:proofErr w:type="spellEnd"/>
      <w:r w:rsidRPr="00BF60BC">
        <w:rPr>
          <w:rFonts w:cstheme="minorHAnsi"/>
          <w:sz w:val="24"/>
          <w:szCs w:val="24"/>
        </w:rPr>
        <w:t xml:space="preserve"> aimed at weight loss and weight-perception</w:t>
      </w:r>
      <w:r w:rsidR="00D97398" w:rsidRPr="00BF60BC">
        <w:rPr>
          <w:rFonts w:cstheme="minorHAnsi"/>
          <w:sz w:val="24"/>
          <w:szCs w:val="24"/>
        </w:rPr>
        <w:t xml:space="preserve"> in adolescence</w:t>
      </w:r>
      <w:r w:rsidR="000851F6" w:rsidRPr="00BF60BC">
        <w:rPr>
          <w:rFonts w:cstheme="minorHAnsi"/>
          <w:sz w:val="24"/>
          <w:szCs w:val="24"/>
        </w:rPr>
        <w:t>,</w:t>
      </w:r>
      <w:r w:rsidRPr="00BF60BC">
        <w:rPr>
          <w:rFonts w:cstheme="minorHAnsi"/>
          <w:sz w:val="24"/>
          <w:szCs w:val="24"/>
        </w:rPr>
        <w:t xml:space="preserve"> and their association with depressive symptoms changed over thirty years?</w:t>
      </w:r>
    </w:p>
    <w:p w14:paraId="1B50F053" w14:textId="28A84915" w:rsidR="00BD0F27" w:rsidRPr="00BF60BC" w:rsidRDefault="00BD0F27" w:rsidP="00655F22">
      <w:pPr>
        <w:spacing w:after="0" w:line="360" w:lineRule="auto"/>
        <w:jc w:val="both"/>
        <w:rPr>
          <w:rFonts w:cstheme="minorHAnsi"/>
          <w:sz w:val="24"/>
          <w:szCs w:val="24"/>
        </w:rPr>
      </w:pPr>
      <w:r w:rsidRPr="00BF60BC">
        <w:rPr>
          <w:rFonts w:cstheme="minorHAnsi"/>
          <w:b/>
          <w:sz w:val="24"/>
          <w:szCs w:val="24"/>
        </w:rPr>
        <w:t xml:space="preserve">Findings: </w:t>
      </w:r>
      <w:r w:rsidRPr="00BF60BC">
        <w:rPr>
          <w:rFonts w:cstheme="minorHAnsi"/>
          <w:sz w:val="24"/>
          <w:szCs w:val="24"/>
        </w:rPr>
        <w:t>Using data from three</w:t>
      </w:r>
      <w:r w:rsidR="00CE1580" w:rsidRPr="00BF60BC">
        <w:rPr>
          <w:rFonts w:cstheme="minorHAnsi"/>
          <w:sz w:val="24"/>
          <w:szCs w:val="24"/>
        </w:rPr>
        <w:t xml:space="preserve"> U</w:t>
      </w:r>
      <w:r w:rsidR="001362B7" w:rsidRPr="00BF60BC">
        <w:rPr>
          <w:rFonts w:cstheme="minorHAnsi"/>
          <w:sz w:val="24"/>
          <w:szCs w:val="24"/>
        </w:rPr>
        <w:t>K</w:t>
      </w:r>
      <w:r w:rsidRPr="00BF60BC">
        <w:rPr>
          <w:rFonts w:cstheme="minorHAnsi"/>
          <w:sz w:val="24"/>
          <w:szCs w:val="24"/>
        </w:rPr>
        <w:t xml:space="preserve"> cohorts spanning 30 years we find that </w:t>
      </w:r>
      <w:r w:rsidRPr="00BF60BC">
        <w:rPr>
          <w:rFonts w:eastAsia="Times New Roman" w:cstheme="minorHAnsi"/>
          <w:sz w:val="24"/>
          <w:szCs w:val="24"/>
        </w:rPr>
        <w:t xml:space="preserve">the prevalence of </w:t>
      </w:r>
      <w:proofErr w:type="spellStart"/>
      <w:r w:rsidR="00DA210E" w:rsidRPr="00BF60BC">
        <w:rPr>
          <w:rFonts w:eastAsia="Times New Roman" w:cstheme="minorHAnsi"/>
          <w:sz w:val="24"/>
          <w:szCs w:val="24"/>
        </w:rPr>
        <w:t>behaviors</w:t>
      </w:r>
      <w:proofErr w:type="spellEnd"/>
      <w:r w:rsidRPr="00BF60BC">
        <w:rPr>
          <w:rFonts w:eastAsia="Times New Roman" w:cstheme="minorHAnsi"/>
          <w:sz w:val="24"/>
          <w:szCs w:val="24"/>
        </w:rPr>
        <w:t xml:space="preserve"> aimed at achieving weight-loss has increased in 2015 compared to both 2005 and 1986 and that this is not explained by known changes in BMI alone. We also find that weight-control </w:t>
      </w:r>
      <w:proofErr w:type="spellStart"/>
      <w:r w:rsidR="00DA210E" w:rsidRPr="00BF60BC">
        <w:rPr>
          <w:rFonts w:eastAsia="Times New Roman" w:cstheme="minorHAnsi"/>
          <w:sz w:val="24"/>
          <w:szCs w:val="24"/>
        </w:rPr>
        <w:t>behaviors</w:t>
      </w:r>
      <w:proofErr w:type="spellEnd"/>
      <w:r w:rsidRPr="00BF60BC">
        <w:rPr>
          <w:rFonts w:eastAsia="Times New Roman" w:cstheme="minorHAnsi"/>
          <w:sz w:val="24"/>
          <w:szCs w:val="24"/>
        </w:rPr>
        <w:t xml:space="preserve"> have increased more in boys than in girls, but that among the latter these </w:t>
      </w:r>
      <w:proofErr w:type="spellStart"/>
      <w:r w:rsidR="00DA210E" w:rsidRPr="00BF60BC">
        <w:rPr>
          <w:rFonts w:eastAsia="Times New Roman" w:cstheme="minorHAnsi"/>
          <w:sz w:val="24"/>
          <w:szCs w:val="24"/>
        </w:rPr>
        <w:t>behaviors</w:t>
      </w:r>
      <w:proofErr w:type="spellEnd"/>
      <w:r w:rsidRPr="00BF60BC">
        <w:rPr>
          <w:rFonts w:eastAsia="Times New Roman" w:cstheme="minorHAnsi"/>
          <w:sz w:val="24"/>
          <w:szCs w:val="24"/>
        </w:rPr>
        <w:t xml:space="preserve"> were associated with greater depressive symptoms in 2015 compared to 2005 and 198</w:t>
      </w:r>
      <w:r w:rsidR="003B650D" w:rsidRPr="00BF60BC">
        <w:rPr>
          <w:rFonts w:eastAsia="Times New Roman" w:cstheme="minorHAnsi"/>
          <w:sz w:val="24"/>
          <w:szCs w:val="24"/>
        </w:rPr>
        <w:t>6</w:t>
      </w:r>
      <w:r w:rsidRPr="00BF60BC">
        <w:rPr>
          <w:rFonts w:eastAsia="Times New Roman" w:cstheme="minorHAnsi"/>
          <w:sz w:val="24"/>
          <w:szCs w:val="24"/>
        </w:rPr>
        <w:t>.</w:t>
      </w:r>
    </w:p>
    <w:p w14:paraId="2C25F1CF" w14:textId="40D2AA9D" w:rsidR="00BD0F27" w:rsidRPr="00BF60BC" w:rsidRDefault="00BD0F27" w:rsidP="00655F22">
      <w:pPr>
        <w:spacing w:after="0" w:line="360" w:lineRule="auto"/>
        <w:jc w:val="both"/>
        <w:rPr>
          <w:rFonts w:eastAsia="Times New Roman" w:cstheme="minorHAnsi"/>
          <w:sz w:val="24"/>
          <w:szCs w:val="24"/>
        </w:rPr>
      </w:pPr>
      <w:r w:rsidRPr="00BF60BC">
        <w:rPr>
          <w:rFonts w:cstheme="minorHAnsi"/>
          <w:b/>
          <w:sz w:val="24"/>
          <w:szCs w:val="24"/>
        </w:rPr>
        <w:t xml:space="preserve">Meaning: </w:t>
      </w:r>
      <w:r w:rsidRPr="00BF60BC">
        <w:rPr>
          <w:rFonts w:eastAsia="Times New Roman" w:cstheme="minorHAnsi"/>
          <w:sz w:val="24"/>
          <w:szCs w:val="24"/>
        </w:rPr>
        <w:t xml:space="preserve">It is possible that increased societal and public health focus on obesity could have had </w:t>
      </w:r>
      <w:r w:rsidRPr="00BF60BC">
        <w:rPr>
          <w:rFonts w:cstheme="minorHAnsi"/>
          <w:bCs/>
          <w:sz w:val="24"/>
          <w:szCs w:val="24"/>
        </w:rPr>
        <w:t xml:space="preserve">unintended consequences related to weight-control </w:t>
      </w:r>
      <w:proofErr w:type="spellStart"/>
      <w:r w:rsidR="00DA210E" w:rsidRPr="00BF60BC">
        <w:rPr>
          <w:rFonts w:cstheme="minorHAnsi"/>
          <w:bCs/>
          <w:sz w:val="24"/>
          <w:szCs w:val="24"/>
        </w:rPr>
        <w:t>behaviors</w:t>
      </w:r>
      <w:proofErr w:type="spellEnd"/>
      <w:r w:rsidRPr="00BF60BC">
        <w:rPr>
          <w:rFonts w:cstheme="minorHAnsi"/>
          <w:bCs/>
          <w:sz w:val="24"/>
          <w:szCs w:val="24"/>
        </w:rPr>
        <w:t xml:space="preserve"> and mental ill-health. </w:t>
      </w:r>
      <w:r w:rsidRPr="00BF60BC">
        <w:rPr>
          <w:rFonts w:eastAsia="Times New Roman" w:cstheme="minorHAnsi"/>
          <w:sz w:val="24"/>
          <w:szCs w:val="24"/>
        </w:rPr>
        <w:t>Public health campaigns around the prevention of obesity should</w:t>
      </w:r>
      <w:r w:rsidRPr="00BF60BC">
        <w:rPr>
          <w:rFonts w:cstheme="minorHAnsi"/>
          <w:sz w:val="24"/>
          <w:szCs w:val="24"/>
        </w:rPr>
        <w:t xml:space="preserve"> include prevention of disordered eating </w:t>
      </w:r>
      <w:proofErr w:type="spellStart"/>
      <w:r w:rsidR="00DA210E" w:rsidRPr="00BF60BC">
        <w:rPr>
          <w:rFonts w:cstheme="minorHAnsi"/>
          <w:sz w:val="24"/>
          <w:szCs w:val="24"/>
        </w:rPr>
        <w:t>behaviors</w:t>
      </w:r>
      <w:proofErr w:type="spellEnd"/>
      <w:r w:rsidRPr="00BF60BC">
        <w:rPr>
          <w:rFonts w:cstheme="minorHAnsi"/>
          <w:sz w:val="24"/>
          <w:szCs w:val="24"/>
        </w:rPr>
        <w:t xml:space="preserve"> and be sensitive to adverse outcomes such as mental ill-health.</w:t>
      </w:r>
    </w:p>
    <w:p w14:paraId="20696718" w14:textId="360401FA" w:rsidR="006E32B3" w:rsidRPr="00BF60BC" w:rsidRDefault="00DD6FB6" w:rsidP="00655F22">
      <w:pPr>
        <w:spacing w:after="0" w:line="360" w:lineRule="auto"/>
        <w:jc w:val="both"/>
        <w:rPr>
          <w:rFonts w:ascii="Cambria" w:hAnsi="Cambria" w:cstheme="minorHAnsi"/>
          <w:b/>
          <w:sz w:val="24"/>
          <w:szCs w:val="24"/>
        </w:rPr>
      </w:pPr>
      <w:r w:rsidRPr="00BF60BC">
        <w:rPr>
          <w:rFonts w:ascii="Cambria" w:hAnsi="Cambria" w:cstheme="minorHAnsi"/>
          <w:b/>
          <w:sz w:val="24"/>
          <w:szCs w:val="24"/>
        </w:rPr>
        <w:br w:type="page"/>
      </w:r>
    </w:p>
    <w:p w14:paraId="04C33F5F" w14:textId="1826B7E4" w:rsidR="0058077F" w:rsidRPr="00BF60BC" w:rsidRDefault="00213DFF" w:rsidP="00655F22">
      <w:pPr>
        <w:jc w:val="both"/>
        <w:rPr>
          <w:rFonts w:ascii="Cambria" w:hAnsi="Cambria" w:cstheme="minorHAnsi"/>
          <w:b/>
          <w:sz w:val="24"/>
          <w:szCs w:val="24"/>
        </w:rPr>
      </w:pPr>
      <w:r w:rsidRPr="00BF60BC">
        <w:rPr>
          <w:rFonts w:ascii="Cambria" w:hAnsi="Cambria" w:cstheme="minorHAnsi"/>
          <w:b/>
          <w:sz w:val="24"/>
          <w:szCs w:val="24"/>
        </w:rPr>
        <w:lastRenderedPageBreak/>
        <w:t>Introduction</w:t>
      </w:r>
    </w:p>
    <w:p w14:paraId="1EEBA965" w14:textId="08B713AC" w:rsidR="00C96F76" w:rsidRPr="00BF60BC" w:rsidRDefault="00525E52" w:rsidP="00655F22">
      <w:pPr>
        <w:spacing w:after="0" w:line="360" w:lineRule="auto"/>
        <w:jc w:val="both"/>
        <w:rPr>
          <w:rFonts w:cstheme="minorHAnsi"/>
          <w:sz w:val="24"/>
          <w:szCs w:val="24"/>
        </w:rPr>
      </w:pPr>
      <w:r w:rsidRPr="00BF60BC">
        <w:rPr>
          <w:rFonts w:cstheme="minorHAnsi"/>
          <w:sz w:val="24"/>
          <w:szCs w:val="24"/>
        </w:rPr>
        <w:t xml:space="preserve">The proportion of </w:t>
      </w:r>
      <w:r w:rsidR="00E00272" w:rsidRPr="00BF60BC">
        <w:rPr>
          <w:rFonts w:cstheme="minorHAnsi"/>
          <w:sz w:val="24"/>
          <w:szCs w:val="24"/>
        </w:rPr>
        <w:t>adolescents</w:t>
      </w:r>
      <w:r w:rsidRPr="00BF60BC">
        <w:rPr>
          <w:rFonts w:cstheme="minorHAnsi"/>
          <w:sz w:val="24"/>
          <w:szCs w:val="24"/>
        </w:rPr>
        <w:t xml:space="preserve"> with an overweight or obese </w:t>
      </w:r>
      <w:r w:rsidR="00637868" w:rsidRPr="00BF60BC">
        <w:rPr>
          <w:rFonts w:cstheme="minorHAnsi"/>
          <w:sz w:val="24"/>
          <w:szCs w:val="24"/>
        </w:rPr>
        <w:t>body mass index(</w:t>
      </w:r>
      <w:r w:rsidRPr="00BF60BC">
        <w:rPr>
          <w:rFonts w:cstheme="minorHAnsi"/>
          <w:sz w:val="24"/>
          <w:szCs w:val="24"/>
        </w:rPr>
        <w:t>BMI</w:t>
      </w:r>
      <w:r w:rsidR="00637868" w:rsidRPr="00BF60BC">
        <w:rPr>
          <w:rFonts w:cstheme="minorHAnsi"/>
          <w:sz w:val="24"/>
          <w:szCs w:val="24"/>
        </w:rPr>
        <w:t>)</w:t>
      </w:r>
      <w:r w:rsidRPr="00BF60BC">
        <w:rPr>
          <w:rFonts w:cstheme="minorHAnsi"/>
          <w:sz w:val="24"/>
          <w:szCs w:val="24"/>
        </w:rPr>
        <w:t xml:space="preserve"> has almost </w:t>
      </w:r>
      <w:r w:rsidR="0063482E" w:rsidRPr="00BF60BC">
        <w:rPr>
          <w:rFonts w:cstheme="minorHAnsi"/>
          <w:sz w:val="24"/>
          <w:szCs w:val="24"/>
        </w:rPr>
        <w:t>tripled</w:t>
      </w:r>
      <w:r w:rsidRPr="00BF60BC">
        <w:rPr>
          <w:rFonts w:cstheme="minorHAnsi"/>
          <w:sz w:val="24"/>
          <w:szCs w:val="24"/>
        </w:rPr>
        <w:t xml:space="preserve"> over the past 40 years</w:t>
      </w:r>
      <w:r w:rsidR="00C96F6D" w:rsidRPr="00BF60BC">
        <w:rPr>
          <w:rFonts w:cstheme="minorHAnsi"/>
          <w:sz w:val="24"/>
          <w:szCs w:val="24"/>
        </w:rPr>
        <w:t xml:space="preserve"> in the United Kingdom(UK)</w:t>
      </w:r>
      <w:r w:rsidR="00664EAF" w:rsidRPr="00BF60BC">
        <w:rPr>
          <w:rFonts w:cstheme="minorHAnsi"/>
          <w:sz w:val="24"/>
          <w:szCs w:val="24"/>
        </w:rPr>
        <w:t>.</w:t>
      </w:r>
      <w:r w:rsidR="00BB371E" w:rsidRPr="00BF60BC">
        <w:rPr>
          <w:rFonts w:cstheme="minorHAnsi"/>
          <w:sz w:val="24"/>
          <w:szCs w:val="24"/>
        </w:rPr>
        <w:fldChar w:fldCharType="begin" w:fldLock="1"/>
      </w:r>
      <w:r w:rsidR="004477FB" w:rsidRPr="00BF60BC">
        <w:rPr>
          <w:rFonts w:cstheme="minorHAnsi"/>
          <w:sz w:val="24"/>
          <w:szCs w:val="24"/>
        </w:rPr>
        <w:instrText>ADDIN CSL_CITATION {"citationItems":[{"id":"ITEM-1","itemData":{"DOI":"10.1371/journal.pmed.1001828","ISSN":"15491676","abstract":"There is a paucity of information on secular trends in the age-related process by which people develop overweight or obesity. Utilizing longitudinal data in the United Kingdom birth cohort studies, we investigated shifts over the past nearly 70 years in the distribution of body mass index (BMI) and development of overweight or obesity across childhood and adulthood. The sample comprised 56,632 participants with 273,843 BMI observations in the 1946 Medical Research Council National Survey of Health and Development (NSHD; ages 2–64 years), 1958 National Child Development Study (NCDS; 7–50), 1970 British Cohort Study (BCS; 10–42), 1991 Avon Longitudinal Study of Parents and Children (ALSPAC; 7–18), or 2001 Millennium Cohort Study (MCS; 3–11). Growth references showed a secular trend toward positive skewing of the BMI distribution at younger ages. During childhood, the 50th centiles for all studies lay in the middle of the International Obesity Task Force normal weight range, but during adulthood, the age when a 50th centile first entered the overweight range (i.e., 25–29.9 kg/m&lt;sup&gt;2&lt;/sup&gt;) decreased across NSHD, NCDS, and BCS from 41 to 33 to 30 years in males and 48 to 44 to 41 years in females. Trajectories of overweight or obesity showed that more recently born cohorts developed greater probabilities of overweight or obesity at younger ages. Overweight or obesity became more probable in NCDS than NSHD in early adulthood, but more probable in BCS than NCDS and NSHD in adolescence, for example. By age 10 years, the estimated probabilities of overweight or obesity in cohorts born after the 1980s were 2–3 times greater than those born before the 1980s (e.g., 0.229 [95% CI 0.219–0.240] in MCS males; 0.071 [0.065–0.078] in NSHD males). It was not possible to (1) model separate trajectories for overweight and obesity, because there were few obesity cases at young ages in the earliest-born cohorts, or (2) consider ethnic minority groups. The end date for analyses was August 2014. Our results demonstrate how younger generations are likely to accumulate greater exposure to overweight or obesity throughout their lives and, thus, increased risk for chronic health conditions such as coronary heart disease and type 2 diabetes mellitus. In the absence of effective intervention, overweight and obesity will have severe public health consequences in decades to come.","author":[{"dropping-particle":"","family":"Johnson","given":"William","non-dropping-particle":"","parse-names":false,"suffix":""},{"dropping-particle":"","family":"Li","given":"Leah","non-dropping-particle":"","parse-names":false,"suffix":""},{"dropping-particle":"","family":"Kuh","given":"Diana","non-dropping-particle":"","parse-names":false,"suffix":""},{"dropping-particle":"","family":"Hardy","given":"Rebecca","non-dropping-particle":"","parse-names":false,"suffix":""}],"container-title":"PLoS Medicine","id":"ITEM-1","issued":{"date-parts":[["2015"]]},"title":"How Has the Age-Related Process of Overweight or Obesity Development Changed over Time? Co-ordinated Analyses of Individual Participant Data from Five United Kingdom Birth Cohorts","type":"article-journal"},"uris":["http://www.mendeley.com/documents/?uuid=c4164a41-f422-42f9-9c67-0576c6e05c23","http://www.mendeley.com/documents/?uuid=911fa5b5-5bdb-4ccb-8f18-635c8d16b14c"]},{"id":"ITEM-2","itemData":{"author":[{"dropping-particle":"","family":"NHS Digital","given":"","non-dropping-particle":"","parse-names":false,"suffix":""}],"id":"ITEM-2","issued":{"date-parts":[["2018"]]},"title":"Health Survey for England 2017 Adult and child overweight and obesity","type":"report"},"uris":["http://www.mendeley.com/documents/?uuid=4e01cc21-c358-45ba-85d0-793210b6d919","http://www.mendeley.com/documents/?uuid=5be9df2a-5a85-4e8a-9904-25ceec637f81"]}],"mendeley":{"formattedCitation":"&lt;sup&gt;1,2&lt;/sup&gt;","plainTextFormattedCitation":"1,2","previouslyFormattedCitation":"&lt;sup&gt;1,2&lt;/sup&gt;"},"properties":{"noteIndex":0},"schema":"https://github.com/citation-style-language/schema/raw/master/csl-citation.json"}</w:instrText>
      </w:r>
      <w:r w:rsidR="00BB371E" w:rsidRPr="00BF60BC">
        <w:rPr>
          <w:rFonts w:cstheme="minorHAnsi"/>
          <w:sz w:val="24"/>
          <w:szCs w:val="24"/>
        </w:rPr>
        <w:fldChar w:fldCharType="separate"/>
      </w:r>
      <w:r w:rsidR="00465BAA" w:rsidRPr="00BF60BC">
        <w:rPr>
          <w:rFonts w:cstheme="minorHAnsi"/>
          <w:noProof/>
          <w:sz w:val="24"/>
          <w:szCs w:val="24"/>
          <w:vertAlign w:val="superscript"/>
        </w:rPr>
        <w:t>1,2</w:t>
      </w:r>
      <w:r w:rsidR="00BB371E" w:rsidRPr="00BF60BC">
        <w:rPr>
          <w:rFonts w:cstheme="minorHAnsi"/>
          <w:sz w:val="24"/>
          <w:szCs w:val="24"/>
        </w:rPr>
        <w:fldChar w:fldCharType="end"/>
      </w:r>
      <w:r w:rsidR="00284B87" w:rsidRPr="00BF60BC">
        <w:rPr>
          <w:rFonts w:cstheme="minorHAnsi"/>
          <w:sz w:val="24"/>
          <w:szCs w:val="24"/>
        </w:rPr>
        <w:t xml:space="preserve"> </w:t>
      </w:r>
      <w:r w:rsidR="00664EAF" w:rsidRPr="00BF60BC">
        <w:rPr>
          <w:rFonts w:cstheme="minorHAnsi"/>
          <w:sz w:val="24"/>
          <w:szCs w:val="24"/>
        </w:rPr>
        <w:t>A</w:t>
      </w:r>
      <w:r w:rsidR="003D656C" w:rsidRPr="00BF60BC">
        <w:rPr>
          <w:rFonts w:cstheme="minorHAnsi"/>
          <w:sz w:val="24"/>
          <w:szCs w:val="24"/>
        </w:rPr>
        <w:t xml:space="preserve">round </w:t>
      </w:r>
      <w:r w:rsidR="00B44F02" w:rsidRPr="00BF60BC">
        <w:rPr>
          <w:rFonts w:cstheme="minorHAnsi"/>
          <w:sz w:val="24"/>
          <w:szCs w:val="24"/>
        </w:rPr>
        <w:t xml:space="preserve">40% of UK adolescents aged 13 to 15 years </w:t>
      </w:r>
      <w:r w:rsidR="003D656C" w:rsidRPr="00BF60BC">
        <w:rPr>
          <w:rFonts w:cstheme="minorHAnsi"/>
          <w:sz w:val="24"/>
          <w:szCs w:val="24"/>
        </w:rPr>
        <w:t>have</w:t>
      </w:r>
      <w:r w:rsidR="00B44F02" w:rsidRPr="00BF60BC">
        <w:rPr>
          <w:rFonts w:cstheme="minorHAnsi"/>
          <w:sz w:val="24"/>
          <w:szCs w:val="24"/>
        </w:rPr>
        <w:t xml:space="preserve"> an overweight or obese </w:t>
      </w:r>
      <w:r w:rsidR="000468A4" w:rsidRPr="00BF60BC">
        <w:rPr>
          <w:rFonts w:cstheme="minorHAnsi"/>
          <w:sz w:val="24"/>
          <w:szCs w:val="24"/>
        </w:rPr>
        <w:t>BMI</w:t>
      </w:r>
      <w:r w:rsidR="00B44F02" w:rsidRPr="00BF60BC">
        <w:rPr>
          <w:rFonts w:cstheme="minorHAnsi"/>
          <w:sz w:val="24"/>
          <w:szCs w:val="24"/>
        </w:rPr>
        <w:t>.</w:t>
      </w:r>
      <w:r w:rsidR="00B44F02" w:rsidRPr="00BF60BC">
        <w:rPr>
          <w:rFonts w:cstheme="minorHAnsi"/>
          <w:sz w:val="24"/>
          <w:szCs w:val="24"/>
        </w:rPr>
        <w:fldChar w:fldCharType="begin" w:fldLock="1"/>
      </w:r>
      <w:r w:rsidR="00D61304" w:rsidRPr="00BF60BC">
        <w:rPr>
          <w:rFonts w:cstheme="minorHAnsi"/>
          <w:sz w:val="24"/>
          <w:szCs w:val="24"/>
        </w:rPr>
        <w:instrText>ADDIN CSL_CITATION {"citationItems":[{"id":"ITEM-1","itemData":{"author":[{"dropping-particle":"","family":"NHS Digital","given":"","non-dropping-particle":"","parse-names":false,"suffix":""}],"id":"ITEM-1","issued":{"date-parts":[["2018"]]},"title":"Health Survey for England 2017 Adult and child overweight and obesity","type":"report"},"uris":["http://www.mendeley.com/documents/?uuid=5be9df2a-5a85-4e8a-9904-25ceec637f81","http://www.mendeley.com/documents/?uuid=4e01cc21-c358-45ba-85d0-793210b6d919"]}],"mendeley":{"formattedCitation":"&lt;sup&gt;2&lt;/sup&gt;","plainTextFormattedCitation":"2","previouslyFormattedCitation":"&lt;sup&gt;2&lt;/sup&gt;"},"properties":{"noteIndex":0},"schema":"https://github.com/citation-style-language/schema/raw/master/csl-citation.json"}</w:instrText>
      </w:r>
      <w:r w:rsidR="00B44F02" w:rsidRPr="00BF60BC">
        <w:rPr>
          <w:rFonts w:cstheme="minorHAnsi"/>
          <w:sz w:val="24"/>
          <w:szCs w:val="24"/>
        </w:rPr>
        <w:fldChar w:fldCharType="separate"/>
      </w:r>
      <w:r w:rsidR="00BE6586" w:rsidRPr="00BF60BC">
        <w:rPr>
          <w:rFonts w:cstheme="minorHAnsi"/>
          <w:noProof/>
          <w:sz w:val="24"/>
          <w:szCs w:val="24"/>
          <w:vertAlign w:val="superscript"/>
        </w:rPr>
        <w:t>2</w:t>
      </w:r>
      <w:r w:rsidR="00B44F02" w:rsidRPr="00BF60BC">
        <w:rPr>
          <w:rFonts w:cstheme="minorHAnsi"/>
          <w:sz w:val="24"/>
          <w:szCs w:val="24"/>
        </w:rPr>
        <w:fldChar w:fldCharType="end"/>
      </w:r>
      <w:r w:rsidR="00B44F02" w:rsidRPr="00BF60BC">
        <w:rPr>
          <w:rFonts w:cstheme="minorHAnsi"/>
          <w:sz w:val="24"/>
          <w:szCs w:val="24"/>
        </w:rPr>
        <w:t xml:space="preserve"> </w:t>
      </w:r>
      <w:r w:rsidR="003D656C" w:rsidRPr="00BF60BC">
        <w:rPr>
          <w:rFonts w:cstheme="minorHAnsi"/>
          <w:sz w:val="24"/>
          <w:szCs w:val="24"/>
        </w:rPr>
        <w:t>G</w:t>
      </w:r>
      <w:r w:rsidR="00B44F02" w:rsidRPr="00BF60BC">
        <w:rPr>
          <w:rFonts w:cstheme="minorHAnsi"/>
          <w:sz w:val="24"/>
          <w:szCs w:val="24"/>
        </w:rPr>
        <w:t xml:space="preserve">overnment strategies for the prevention of </w:t>
      </w:r>
      <w:r w:rsidR="003D656C" w:rsidRPr="00BF60BC">
        <w:rPr>
          <w:rFonts w:cstheme="minorHAnsi"/>
          <w:sz w:val="24"/>
          <w:szCs w:val="24"/>
        </w:rPr>
        <w:t>obesity in childhood include</w:t>
      </w:r>
      <w:r w:rsidR="00B44F02" w:rsidRPr="00BF60BC">
        <w:rPr>
          <w:rFonts w:cstheme="minorHAnsi"/>
          <w:sz w:val="24"/>
          <w:szCs w:val="24"/>
        </w:rPr>
        <w:t xml:space="preserve"> </w:t>
      </w:r>
      <w:r w:rsidR="003D656C" w:rsidRPr="00BF60BC">
        <w:rPr>
          <w:rFonts w:cstheme="minorHAnsi"/>
          <w:sz w:val="24"/>
          <w:szCs w:val="24"/>
        </w:rPr>
        <w:t>raising</w:t>
      </w:r>
      <w:r w:rsidR="00B44F02" w:rsidRPr="00BF60BC">
        <w:rPr>
          <w:rFonts w:cstheme="minorHAnsi"/>
          <w:sz w:val="24"/>
          <w:szCs w:val="24"/>
        </w:rPr>
        <w:t xml:space="preserve"> awareness of food caloric intake(</w:t>
      </w:r>
      <w:r w:rsidR="00607265" w:rsidRPr="00BF60BC">
        <w:rPr>
          <w:rFonts w:cstheme="minorHAnsi"/>
          <w:sz w:val="24"/>
          <w:szCs w:val="24"/>
        </w:rPr>
        <w:t>e.g.</w:t>
      </w:r>
      <w:r w:rsidR="00B44F02" w:rsidRPr="00BF60BC">
        <w:rPr>
          <w:rFonts w:cstheme="minorHAnsi"/>
          <w:sz w:val="24"/>
          <w:szCs w:val="24"/>
        </w:rPr>
        <w:t xml:space="preserve"> the ‘traffic light’ system </w:t>
      </w:r>
      <w:r w:rsidR="003D656C" w:rsidRPr="00BF60BC">
        <w:rPr>
          <w:rFonts w:cstheme="minorHAnsi"/>
          <w:sz w:val="24"/>
          <w:szCs w:val="24"/>
        </w:rPr>
        <w:t>on food packaging</w:t>
      </w:r>
      <w:r w:rsidR="00B44F02" w:rsidRPr="00BF60BC">
        <w:rPr>
          <w:rFonts w:cstheme="minorHAnsi"/>
          <w:sz w:val="24"/>
          <w:szCs w:val="24"/>
        </w:rPr>
        <w:t>)</w:t>
      </w:r>
      <w:r w:rsidR="00465BAA" w:rsidRPr="00BF60BC">
        <w:rPr>
          <w:rFonts w:cstheme="minorHAnsi"/>
          <w:sz w:val="24"/>
          <w:szCs w:val="24"/>
        </w:rPr>
        <w:t>,</w:t>
      </w:r>
      <w:r w:rsidR="006565D1" w:rsidRPr="00BF60BC">
        <w:rPr>
          <w:rFonts w:cstheme="minorHAnsi"/>
          <w:sz w:val="24"/>
          <w:szCs w:val="24"/>
        </w:rPr>
        <w:fldChar w:fldCharType="begin" w:fldLock="1"/>
      </w:r>
      <w:r w:rsidR="00D61304" w:rsidRPr="00BF60BC">
        <w:rPr>
          <w:rFonts w:cstheme="minorHAnsi"/>
          <w:sz w:val="24"/>
          <w:szCs w:val="24"/>
        </w:rPr>
        <w:instrText>ADDIN CSL_CITATION {"citationItems":[{"id":"ITEM-1","itemData":{"author":[{"dropping-particle":"","family":"HM Government","given":"","non-dropping-particle":"","parse-names":false,"suffix":""}],"id":"ITEM-1","issued":{"date-parts":[["2018"]]},"title":"Childhood obesity: a plan for action","type":"report"},"uris":["http://www.mendeley.com/documents/?uuid=6c7c58f2-b6aa-4807-9371-598c572f8f63","http://www.mendeley.com/documents/?uuid=68502b32-8c20-4d16-8f17-52aa4e56d316"]}],"mendeley":{"formattedCitation":"&lt;sup&gt;3&lt;/sup&gt;","plainTextFormattedCitation":"3","previouslyFormattedCitation":"&lt;sup&gt;3&lt;/sup&gt;"},"properties":{"noteIndex":0},"schema":"https://github.com/citation-style-language/schema/raw/master/csl-citation.json"}</w:instrText>
      </w:r>
      <w:r w:rsidR="006565D1" w:rsidRPr="00BF60BC">
        <w:rPr>
          <w:rFonts w:cstheme="minorHAnsi"/>
          <w:sz w:val="24"/>
          <w:szCs w:val="24"/>
        </w:rPr>
        <w:fldChar w:fldCharType="separate"/>
      </w:r>
      <w:r w:rsidR="00BE6586" w:rsidRPr="00BF60BC">
        <w:rPr>
          <w:rFonts w:cstheme="minorHAnsi"/>
          <w:noProof/>
          <w:sz w:val="24"/>
          <w:szCs w:val="24"/>
          <w:vertAlign w:val="superscript"/>
        </w:rPr>
        <w:t>3</w:t>
      </w:r>
      <w:r w:rsidR="006565D1" w:rsidRPr="00BF60BC">
        <w:rPr>
          <w:rFonts w:cstheme="minorHAnsi"/>
          <w:sz w:val="24"/>
          <w:szCs w:val="24"/>
        </w:rPr>
        <w:fldChar w:fldCharType="end"/>
      </w:r>
      <w:r w:rsidR="00604829" w:rsidRPr="00BF60BC">
        <w:rPr>
          <w:rFonts w:cstheme="minorHAnsi"/>
          <w:sz w:val="24"/>
          <w:szCs w:val="24"/>
        </w:rPr>
        <w:t xml:space="preserve"> introducing the Soft Drinks Industry Levy</w:t>
      </w:r>
      <w:r w:rsidR="00664EAF" w:rsidRPr="00BF60BC">
        <w:rPr>
          <w:rFonts w:cstheme="minorHAnsi"/>
          <w:sz w:val="24"/>
          <w:szCs w:val="24"/>
        </w:rPr>
        <w:t xml:space="preserve"> </w:t>
      </w:r>
      <w:r w:rsidR="00604829" w:rsidRPr="00BF60BC">
        <w:rPr>
          <w:rFonts w:cstheme="minorHAnsi"/>
          <w:sz w:val="24"/>
          <w:szCs w:val="24"/>
        </w:rPr>
        <w:t>in 2018</w:t>
      </w:r>
      <w:r w:rsidR="007B1BF9" w:rsidRPr="00BF60BC">
        <w:rPr>
          <w:rFonts w:cstheme="minorHAnsi"/>
          <w:sz w:val="24"/>
          <w:szCs w:val="24"/>
        </w:rPr>
        <w:t>,</w:t>
      </w:r>
      <w:r w:rsidR="00213DFF" w:rsidRPr="00BF60BC">
        <w:rPr>
          <w:rFonts w:cstheme="minorHAnsi"/>
          <w:sz w:val="24"/>
          <w:szCs w:val="24"/>
        </w:rPr>
        <w:fldChar w:fldCharType="begin" w:fldLock="1"/>
      </w:r>
      <w:r w:rsidR="00D61304" w:rsidRPr="00BF60BC">
        <w:rPr>
          <w:rFonts w:cstheme="minorHAnsi"/>
          <w:sz w:val="24"/>
          <w:szCs w:val="24"/>
        </w:rPr>
        <w:instrText>ADDIN CSL_CITATION {"citationItems":[{"id":"ITEM-1","itemData":{"author":[{"dropping-particle":"","family":"HM Government","given":"","non-dropping-particle":"","parse-names":false,"suffix":""}],"id":"ITEM-1","issued":{"date-parts":[["2018"]]},"title":"Childhood obesity: a plan for action","type":"report"},"uris":["http://www.mendeley.com/documents/?uuid=6c7c58f2-b6aa-4807-9371-598c572f8f63"]}],"mendeley":{"formattedCitation":"&lt;sup&gt;3&lt;/sup&gt;","plainTextFormattedCitation":"3","previouslyFormattedCitation":"&lt;sup&gt;3&lt;/sup&gt;"},"properties":{"noteIndex":0},"schema":"https://github.com/citation-style-language/schema/raw/master/csl-citation.json"}</w:instrText>
      </w:r>
      <w:r w:rsidR="00213DFF" w:rsidRPr="00BF60BC">
        <w:rPr>
          <w:rFonts w:cstheme="minorHAnsi"/>
          <w:sz w:val="24"/>
          <w:szCs w:val="24"/>
        </w:rPr>
        <w:fldChar w:fldCharType="separate"/>
      </w:r>
      <w:r w:rsidR="00BE6586" w:rsidRPr="00BF60BC">
        <w:rPr>
          <w:rFonts w:cstheme="minorHAnsi"/>
          <w:noProof/>
          <w:sz w:val="24"/>
          <w:szCs w:val="24"/>
          <w:vertAlign w:val="superscript"/>
        </w:rPr>
        <w:t>3</w:t>
      </w:r>
      <w:r w:rsidR="00213DFF" w:rsidRPr="00BF60BC">
        <w:rPr>
          <w:rFonts w:cstheme="minorHAnsi"/>
          <w:sz w:val="24"/>
          <w:szCs w:val="24"/>
        </w:rPr>
        <w:fldChar w:fldCharType="end"/>
      </w:r>
      <w:r w:rsidR="006565D1" w:rsidRPr="00BF60BC">
        <w:rPr>
          <w:rFonts w:cstheme="minorHAnsi"/>
          <w:sz w:val="24"/>
          <w:szCs w:val="24"/>
        </w:rPr>
        <w:t xml:space="preserve"> and increasing physical activity.</w:t>
      </w:r>
      <w:r w:rsidR="006565D1" w:rsidRPr="00BF60BC">
        <w:rPr>
          <w:rFonts w:cstheme="minorHAnsi"/>
          <w:sz w:val="24"/>
          <w:szCs w:val="24"/>
        </w:rPr>
        <w:fldChar w:fldCharType="begin" w:fldLock="1"/>
      </w:r>
      <w:r w:rsidR="00D61304" w:rsidRPr="00BF60BC">
        <w:rPr>
          <w:rFonts w:cstheme="minorHAnsi"/>
          <w:sz w:val="24"/>
          <w:szCs w:val="24"/>
        </w:rPr>
        <w:instrText>ADDIN CSL_CITATION {"citationItems":[{"id":"ITEM-1","itemData":{"author":[{"dropping-particle":"","family":"HM Government","given":"","non-dropping-particle":"","parse-names":false,"suffix":""}],"id":"ITEM-1","issued":{"date-parts":[["2015"]]},"title":"Sporting Future: A New Strategy for an Active Nation","type":"report"},"uris":["http://www.mendeley.com/documents/?uuid=765dc122-a60c-4605-b222-b2c9224fb42f","http://www.mendeley.com/documents/?uuid=69d21319-1ad7-4c18-97bc-25dccf403471"]}],"mendeley":{"formattedCitation":"&lt;sup&gt;4&lt;/sup&gt;","plainTextFormattedCitation":"4","previouslyFormattedCitation":"&lt;sup&gt;4&lt;/sup&gt;"},"properties":{"noteIndex":0},"schema":"https://github.com/citation-style-language/schema/raw/master/csl-citation.json"}</w:instrText>
      </w:r>
      <w:r w:rsidR="006565D1" w:rsidRPr="00BF60BC">
        <w:rPr>
          <w:rFonts w:cstheme="minorHAnsi"/>
          <w:sz w:val="24"/>
          <w:szCs w:val="24"/>
        </w:rPr>
        <w:fldChar w:fldCharType="separate"/>
      </w:r>
      <w:r w:rsidR="00BE6586" w:rsidRPr="00BF60BC">
        <w:rPr>
          <w:rFonts w:cstheme="minorHAnsi"/>
          <w:noProof/>
          <w:sz w:val="24"/>
          <w:szCs w:val="24"/>
          <w:vertAlign w:val="superscript"/>
        </w:rPr>
        <w:t>4</w:t>
      </w:r>
      <w:r w:rsidR="006565D1" w:rsidRPr="00BF60BC">
        <w:rPr>
          <w:rFonts w:cstheme="minorHAnsi"/>
          <w:sz w:val="24"/>
          <w:szCs w:val="24"/>
        </w:rPr>
        <w:fldChar w:fldCharType="end"/>
      </w:r>
    </w:p>
    <w:p w14:paraId="79D79263" w14:textId="77777777" w:rsidR="00C96F76" w:rsidRPr="00BF60BC" w:rsidRDefault="00C96F76" w:rsidP="00655F22">
      <w:pPr>
        <w:spacing w:after="0" w:line="360" w:lineRule="auto"/>
        <w:jc w:val="both"/>
        <w:rPr>
          <w:rFonts w:cstheme="minorHAnsi"/>
          <w:sz w:val="24"/>
          <w:szCs w:val="24"/>
        </w:rPr>
      </w:pPr>
    </w:p>
    <w:p w14:paraId="45B5F36D" w14:textId="2115B376" w:rsidR="008B4477" w:rsidRPr="00BF60BC" w:rsidRDefault="00515EB9" w:rsidP="00655F22">
      <w:pPr>
        <w:spacing w:after="0" w:line="360" w:lineRule="auto"/>
        <w:jc w:val="both"/>
        <w:rPr>
          <w:rFonts w:cstheme="minorHAnsi"/>
          <w:sz w:val="24"/>
          <w:szCs w:val="24"/>
        </w:rPr>
      </w:pPr>
      <w:r w:rsidRPr="00BF60BC">
        <w:rPr>
          <w:rFonts w:cstheme="minorHAnsi"/>
          <w:sz w:val="24"/>
          <w:szCs w:val="24"/>
        </w:rPr>
        <w:t>R</w:t>
      </w:r>
      <w:r w:rsidR="000468A4" w:rsidRPr="00BF60BC">
        <w:rPr>
          <w:rFonts w:cstheme="minorHAnsi"/>
          <w:sz w:val="24"/>
          <w:szCs w:val="24"/>
        </w:rPr>
        <w:t xml:space="preserve">estrictive eating </w:t>
      </w:r>
      <w:proofErr w:type="spellStart"/>
      <w:r w:rsidR="00DA210E" w:rsidRPr="00BF60BC">
        <w:rPr>
          <w:rFonts w:cstheme="minorHAnsi"/>
          <w:sz w:val="24"/>
          <w:szCs w:val="24"/>
        </w:rPr>
        <w:t>behaviors</w:t>
      </w:r>
      <w:proofErr w:type="spellEnd"/>
      <w:r w:rsidR="000468A4" w:rsidRPr="00BF60BC">
        <w:rPr>
          <w:rFonts w:cstheme="minorHAnsi"/>
          <w:sz w:val="24"/>
          <w:szCs w:val="24"/>
        </w:rPr>
        <w:t xml:space="preserve"> aimed at weight loss </w:t>
      </w:r>
      <w:r w:rsidR="006E32B3" w:rsidRPr="00BF60BC">
        <w:rPr>
          <w:rFonts w:cstheme="minorHAnsi"/>
          <w:sz w:val="24"/>
          <w:szCs w:val="24"/>
        </w:rPr>
        <w:t>can be</w:t>
      </w:r>
      <w:r w:rsidR="00F731AE" w:rsidRPr="00BF60BC">
        <w:rPr>
          <w:rFonts w:cstheme="minorHAnsi"/>
          <w:sz w:val="24"/>
          <w:szCs w:val="24"/>
        </w:rPr>
        <w:t xml:space="preserve"> common in adolescence, particularly among </w:t>
      </w:r>
      <w:r w:rsidR="006E32B3" w:rsidRPr="00BF60BC">
        <w:rPr>
          <w:rFonts w:cstheme="minorHAnsi"/>
          <w:sz w:val="24"/>
          <w:szCs w:val="24"/>
        </w:rPr>
        <w:t>adolescents</w:t>
      </w:r>
      <w:r w:rsidR="00F731AE" w:rsidRPr="00BF60BC">
        <w:rPr>
          <w:rFonts w:cstheme="minorHAnsi"/>
          <w:sz w:val="24"/>
          <w:szCs w:val="24"/>
        </w:rPr>
        <w:t xml:space="preserve"> </w:t>
      </w:r>
      <w:r w:rsidR="000468A4" w:rsidRPr="00BF60BC">
        <w:rPr>
          <w:rFonts w:cstheme="minorHAnsi"/>
          <w:sz w:val="24"/>
          <w:szCs w:val="24"/>
        </w:rPr>
        <w:t>who have an overweight BMI</w:t>
      </w:r>
      <w:r w:rsidR="00D77C56" w:rsidRPr="00BF60BC">
        <w:rPr>
          <w:rFonts w:cstheme="minorHAnsi"/>
          <w:sz w:val="24"/>
          <w:szCs w:val="24"/>
        </w:rPr>
        <w:t>.</w:t>
      </w:r>
      <w:r w:rsidR="00D77C56" w:rsidRPr="00BF60BC">
        <w:rPr>
          <w:rFonts w:cstheme="minorHAnsi"/>
          <w:sz w:val="24"/>
          <w:szCs w:val="24"/>
        </w:rPr>
        <w:fldChar w:fldCharType="begin" w:fldLock="1"/>
      </w:r>
      <w:r w:rsidR="00D61304" w:rsidRPr="00BF60BC">
        <w:rPr>
          <w:rFonts w:cstheme="minorHAnsi"/>
          <w:sz w:val="24"/>
          <w:szCs w:val="24"/>
        </w:rPr>
        <w:instrText>ADDIN CSL_CITATION {"citationItems":[{"id":"ITEM-1","itemData":{"DOI":"10.1001/archpedi.156.2.171","ISSN":"1072-4710","PMID":"11814380","abstract":"OBJECTIVES: To assess weight-related concerns and behaviors in a population-based sample of adolescents and to compare these concerns and behaviors across sex and weight status. DESIGN: The study population included 4746 adolescents from St Paul or Minneapolis, Minn, public schools who completed surveys and anthropometric measurements as part of Project EAT (Eating Among Teens), a population-based study focusing on eating patterns and weight concerns among teenagers. MAIN OUTCOME MEASURES: Measured weight status, weight-related concerns (perceived weight status, weight disparity, body satisfaction, and care about controlling weight), and weight-related behaviors (general and specific weight control behaviors and binge eating). RESULTS: Weight-related concerns and behaviors were prevalent among the study population. Although adolescents were most likely to report healthy weight control behaviors (adolescent girls, 85%; and adolescent boys, 70%), also prevalent were weight control behaviors considered to be unhealthy (adolescent girls, 57%; and adolescent boys, 33%) or extreme (adolescent girls, 12%; and adolescent boys, 5%). Most overweight youth perceived themselves as overweight and reported the use of healthy weight control behaviors during the past year. However, the use of unhealthy and extreme weight control behaviors and binge eating were alarmingly high among overweight youth, particularly adolescent girls. Extreme weight control practices (taking diet pills, laxatives, or diuretics or vomiting) were reported by 18% of very overweight adolescent girls, compared with 6% of very overweight adolescent boys (body mass index, &gt; OR = 95th percentile). CONCLUSION: Prevention interventions that address the broad spectrum of weight-related disorders, enhance skill development for behavioral change, and provide support for dealing with potentially harmful social norms are warranted in light of the high prevalence and co-occurrence of obesity and unhealthy weight-related behaviors.","author":[{"dropping-particle":"","family":"Neumark-Sztainer","given":"Dianne","non-dropping-particle":"","parse-names":false,"suffix":""},{"dropping-particle":"","family":"Story","given":"Mary","non-dropping-particle":"","parse-names":false,"suffix":""},{"dropping-particle":"","family":"Hannan","given":"Peter J.","non-dropping-particle":"","parse-names":false,"suffix":""},{"dropping-particle":"","family":"Perry","given":"Cheryl L.","non-dropping-particle":"","parse-names":false,"suffix":""},{"dropping-particle":"","family":"Irving","given":"Lori M.","non-dropping-particle":"","parse-names":false,"suffix":""}],"container-title":"Archives of Pediatrics &amp; Adolescent Medicine","id":"ITEM-1","issue":"2","issued":{"date-parts":[["2002","2","1"]]},"page":"171","publisher":"American Medical Association","title":"Weight-related concerns and behaviors among overweight and nonoverweight adolescents: implications for preventing weight-related disorders.","type":"article-journal","volume":"156"},"uris":["http://www.mendeley.com/documents/?uuid=227c1953-0f50-4c75-9ce7-eda29f32db63"]}],"mendeley":{"formattedCitation":"&lt;sup&gt;5&lt;/sup&gt;","plainTextFormattedCitation":"5","previouslyFormattedCitation":"&lt;sup&gt;5&lt;/sup&gt;"},"properties":{"noteIndex":0},"schema":"https://github.com/citation-style-language/schema/raw/master/csl-citation.json"}</w:instrText>
      </w:r>
      <w:r w:rsidR="00D77C56" w:rsidRPr="00BF60BC">
        <w:rPr>
          <w:rFonts w:cstheme="minorHAnsi"/>
          <w:sz w:val="24"/>
          <w:szCs w:val="24"/>
        </w:rPr>
        <w:fldChar w:fldCharType="separate"/>
      </w:r>
      <w:r w:rsidR="00BE6586" w:rsidRPr="00BF60BC">
        <w:rPr>
          <w:rFonts w:cstheme="minorHAnsi"/>
          <w:noProof/>
          <w:sz w:val="24"/>
          <w:szCs w:val="24"/>
          <w:vertAlign w:val="superscript"/>
        </w:rPr>
        <w:t>5</w:t>
      </w:r>
      <w:r w:rsidR="00D77C56" w:rsidRPr="00BF60BC">
        <w:rPr>
          <w:rFonts w:cstheme="minorHAnsi"/>
          <w:sz w:val="24"/>
          <w:szCs w:val="24"/>
        </w:rPr>
        <w:fldChar w:fldCharType="end"/>
      </w:r>
      <w:r w:rsidR="003C633F" w:rsidRPr="00BF60BC">
        <w:rPr>
          <w:rFonts w:cstheme="minorHAnsi"/>
          <w:sz w:val="24"/>
          <w:szCs w:val="24"/>
        </w:rPr>
        <w:t xml:space="preserve"> </w:t>
      </w:r>
      <w:r w:rsidR="00827324" w:rsidRPr="00BF60BC">
        <w:rPr>
          <w:rFonts w:cstheme="minorHAnsi"/>
          <w:sz w:val="24"/>
          <w:szCs w:val="24"/>
        </w:rPr>
        <w:t xml:space="preserve">Due to the </w:t>
      </w:r>
      <w:r w:rsidRPr="00BF60BC">
        <w:rPr>
          <w:rFonts w:cstheme="minorHAnsi"/>
          <w:sz w:val="24"/>
          <w:szCs w:val="24"/>
        </w:rPr>
        <w:t xml:space="preserve">increasing </w:t>
      </w:r>
      <w:r w:rsidR="00827324" w:rsidRPr="00BF60BC">
        <w:rPr>
          <w:rFonts w:cstheme="minorHAnsi"/>
          <w:sz w:val="24"/>
          <w:szCs w:val="24"/>
        </w:rPr>
        <w:t>prevalence</w:t>
      </w:r>
      <w:r w:rsidRPr="00BF60BC">
        <w:rPr>
          <w:rFonts w:cstheme="minorHAnsi"/>
          <w:sz w:val="24"/>
          <w:szCs w:val="24"/>
        </w:rPr>
        <w:t xml:space="preserve"> of</w:t>
      </w:r>
      <w:r w:rsidR="00827324" w:rsidRPr="00BF60BC">
        <w:rPr>
          <w:rFonts w:cstheme="minorHAnsi"/>
          <w:sz w:val="24"/>
          <w:szCs w:val="24"/>
        </w:rPr>
        <w:t xml:space="preserve"> </w:t>
      </w:r>
      <w:r w:rsidRPr="00BF60BC">
        <w:rPr>
          <w:rFonts w:cstheme="minorHAnsi"/>
          <w:sz w:val="24"/>
          <w:szCs w:val="24"/>
        </w:rPr>
        <w:t>obesity</w:t>
      </w:r>
      <w:r w:rsidR="00607265" w:rsidRPr="00BF60BC">
        <w:rPr>
          <w:rFonts w:cstheme="minorHAnsi"/>
          <w:sz w:val="24"/>
          <w:szCs w:val="24"/>
        </w:rPr>
        <w:t xml:space="preserve"> </w:t>
      </w:r>
      <w:r w:rsidR="005C38BF" w:rsidRPr="00BF60BC">
        <w:rPr>
          <w:rFonts w:cstheme="minorHAnsi"/>
          <w:sz w:val="24"/>
          <w:szCs w:val="24"/>
        </w:rPr>
        <w:t>and</w:t>
      </w:r>
      <w:r w:rsidR="00F731AE" w:rsidRPr="00BF60BC">
        <w:rPr>
          <w:rFonts w:cstheme="minorHAnsi"/>
          <w:sz w:val="24"/>
          <w:szCs w:val="24"/>
        </w:rPr>
        <w:t xml:space="preserve"> widespread societal messages promoting thinness </w:t>
      </w:r>
      <w:r w:rsidR="00827324" w:rsidRPr="00BF60BC">
        <w:rPr>
          <w:rFonts w:cstheme="minorHAnsi"/>
          <w:sz w:val="24"/>
          <w:szCs w:val="24"/>
        </w:rPr>
        <w:t xml:space="preserve">they </w:t>
      </w:r>
      <w:r w:rsidR="000468A4" w:rsidRPr="00BF60BC">
        <w:rPr>
          <w:rFonts w:cstheme="minorHAnsi"/>
          <w:sz w:val="24"/>
          <w:szCs w:val="24"/>
        </w:rPr>
        <w:t xml:space="preserve">might </w:t>
      </w:r>
      <w:r w:rsidR="00F731AE" w:rsidRPr="00BF60BC">
        <w:rPr>
          <w:rFonts w:cstheme="minorHAnsi"/>
          <w:sz w:val="24"/>
          <w:szCs w:val="24"/>
        </w:rPr>
        <w:t xml:space="preserve">be </w:t>
      </w:r>
      <w:r w:rsidR="000468A4" w:rsidRPr="00BF60BC">
        <w:rPr>
          <w:rFonts w:cstheme="minorHAnsi"/>
          <w:sz w:val="24"/>
          <w:szCs w:val="24"/>
        </w:rPr>
        <w:t>becoming more common</w:t>
      </w:r>
      <w:r w:rsidR="008B4477" w:rsidRPr="00BF60BC">
        <w:rPr>
          <w:rFonts w:cstheme="minorHAnsi"/>
          <w:sz w:val="24"/>
          <w:szCs w:val="24"/>
        </w:rPr>
        <w:t xml:space="preserve"> across the BMI spectrum</w:t>
      </w:r>
      <w:r w:rsidR="00DC10BE" w:rsidRPr="00BF60BC">
        <w:rPr>
          <w:rFonts w:cstheme="minorHAnsi"/>
          <w:sz w:val="24"/>
          <w:szCs w:val="24"/>
        </w:rPr>
        <w:t xml:space="preserve">. This is of </w:t>
      </w:r>
      <w:r w:rsidR="00A92D9C" w:rsidRPr="00BF60BC">
        <w:rPr>
          <w:rFonts w:cstheme="minorHAnsi"/>
          <w:sz w:val="24"/>
          <w:szCs w:val="24"/>
        </w:rPr>
        <w:t>concern</w:t>
      </w:r>
      <w:r w:rsidR="00DC10BE" w:rsidRPr="00BF60BC">
        <w:rPr>
          <w:rFonts w:cstheme="minorHAnsi"/>
          <w:sz w:val="24"/>
          <w:szCs w:val="24"/>
        </w:rPr>
        <w:t xml:space="preserve"> because e</w:t>
      </w:r>
      <w:r w:rsidR="008B4477" w:rsidRPr="00BF60BC">
        <w:rPr>
          <w:rFonts w:cstheme="minorHAnsi"/>
          <w:sz w:val="24"/>
          <w:szCs w:val="24"/>
        </w:rPr>
        <w:t xml:space="preserve">xperimental studies </w:t>
      </w:r>
      <w:r w:rsidR="00DC10BE" w:rsidRPr="00BF60BC">
        <w:rPr>
          <w:rFonts w:cstheme="minorHAnsi"/>
          <w:sz w:val="24"/>
          <w:szCs w:val="24"/>
        </w:rPr>
        <w:t>find</w:t>
      </w:r>
      <w:r w:rsidR="008B4477" w:rsidRPr="00BF60BC">
        <w:rPr>
          <w:rFonts w:cstheme="minorHAnsi"/>
          <w:sz w:val="24"/>
          <w:szCs w:val="24"/>
        </w:rPr>
        <w:t xml:space="preserve"> that dieting is </w:t>
      </w:r>
      <w:r w:rsidR="00173961">
        <w:rPr>
          <w:rFonts w:cstheme="minorHAnsi"/>
          <w:sz w:val="24"/>
          <w:szCs w:val="24"/>
        </w:rPr>
        <w:t>in</w:t>
      </w:r>
      <w:r w:rsidR="008B4477" w:rsidRPr="00BF60BC">
        <w:rPr>
          <w:rFonts w:cstheme="minorHAnsi"/>
          <w:sz w:val="24"/>
          <w:szCs w:val="24"/>
        </w:rPr>
        <w:t>effective at reducing body weight in young people</w:t>
      </w:r>
      <w:r w:rsidR="008B4477" w:rsidRPr="00BF60BC">
        <w:rPr>
          <w:rFonts w:cstheme="minorHAnsi"/>
          <w:sz w:val="24"/>
          <w:szCs w:val="24"/>
        </w:rPr>
        <w:fldChar w:fldCharType="begin" w:fldLock="1"/>
      </w:r>
      <w:r w:rsidR="00D61304" w:rsidRPr="00BF60BC">
        <w:rPr>
          <w:rFonts w:cstheme="minorHAnsi"/>
          <w:sz w:val="24"/>
          <w:szCs w:val="24"/>
        </w:rPr>
        <w:instrText>ADDIN CSL_CITATION {"citationItems":[{"id":"ITEM-1","itemData":{"DOI":"10.1002/14651858.CD001871.pub4","ISSN":"14651858","author":[{"dropping-particle":"","family":"Brown","given":"Tamara","non-dropping-particle":"","parse-names":false,"suffix":""},{"dropping-particle":"","family":"Moore","given":"Theresa HM","non-dropping-particle":"","parse-names":false,"suffix":""},{"dropping-particle":"","family":"Hooper","given":"Lee","non-dropping-particle":"","parse-names":false,"suffix":""},{"dropping-particle":"","family":"Gao","given":"Yang","non-dropping-particle":"","parse-names":false,"suffix":""},{"dropping-particle":"","family":"Zayegh","given":"Amir","non-dropping-particle":"","parse-names":false,"suffix":""},{"dropping-particle":"","family":"Ijaz","given":"Sharea","non-dropping-particle":"","parse-names":false,"suffix":""},{"dropping-particle":"","family":"Elwenspoek","given":"Martha","non-dropping-particle":"","parse-names":false,"suffix":""},{"dropping-particle":"","family":"Foxen","given":"Sophie C","non-dropping-particle":"","parse-names":false,"suffix":""},{"dropping-particle":"","family":"Magee","given":"Lucia","non-dropping-particle":"","parse-names":false,"suffix":""},{"dropping-particle":"","family":"O'Malley","given":"Claire","non-dropping-particle":"","parse-names":false,"suffix":""},{"dropping-particle":"","family":"Waters","given":"Elizabeth","non-dropping-particle":"","parse-names":false,"suffix":""},{"dropping-particle":"","family":"Summerbell","given":"Carolyn D","non-dropping-particle":"","parse-names":false,"suffix":""}],"container-title":"Cochrane Database of Systematic Reviews","id":"ITEM-1","issue":"7","issued":{"date-parts":[["2019","7","23"]]},"publisher":"John Wiley &amp; Sons, Ltd","title":"Interventions for preventing obesity in children","type":"article-journal"},"uris":["http://www.mendeley.com/documents/?uuid=7df75298-b564-3060-9e0b-24b6a8a889a1","http://www.mendeley.com/documents/?uuid=d91e0e30-7dee-4872-a718-634de89dcfa7"]}],"mendeley":{"formattedCitation":"&lt;sup&gt;6&lt;/sup&gt;","plainTextFormattedCitation":"6","previouslyFormattedCitation":"&lt;sup&gt;6&lt;/sup&gt;"},"properties":{"noteIndex":0},"schema":"https://github.com/citation-style-language/schema/raw/master/csl-citation.json"}</w:instrText>
      </w:r>
      <w:r w:rsidR="008B4477" w:rsidRPr="00BF60BC">
        <w:rPr>
          <w:rFonts w:cstheme="minorHAnsi"/>
          <w:sz w:val="24"/>
          <w:szCs w:val="24"/>
        </w:rPr>
        <w:fldChar w:fldCharType="separate"/>
      </w:r>
      <w:r w:rsidR="00BE6586" w:rsidRPr="00BF60BC">
        <w:rPr>
          <w:rFonts w:cstheme="minorHAnsi"/>
          <w:noProof/>
          <w:sz w:val="24"/>
          <w:szCs w:val="24"/>
          <w:vertAlign w:val="superscript"/>
        </w:rPr>
        <w:t>6</w:t>
      </w:r>
      <w:r w:rsidR="008B4477" w:rsidRPr="00BF60BC">
        <w:rPr>
          <w:rFonts w:cstheme="minorHAnsi"/>
          <w:sz w:val="24"/>
          <w:szCs w:val="24"/>
        </w:rPr>
        <w:fldChar w:fldCharType="end"/>
      </w:r>
      <w:r w:rsidR="008B4477" w:rsidRPr="00BF60BC">
        <w:rPr>
          <w:rFonts w:cstheme="minorHAnsi"/>
          <w:sz w:val="24"/>
          <w:szCs w:val="24"/>
        </w:rPr>
        <w:t xml:space="preserve"> </w:t>
      </w:r>
      <w:r w:rsidR="0063482E" w:rsidRPr="00BF60BC">
        <w:rPr>
          <w:rFonts w:cstheme="minorHAnsi"/>
          <w:sz w:val="24"/>
          <w:szCs w:val="24"/>
        </w:rPr>
        <w:t>and</w:t>
      </w:r>
      <w:bookmarkStart w:id="2" w:name="_Hlk38538730"/>
      <w:bookmarkStart w:id="3" w:name="_Hlk37856093"/>
      <w:r w:rsidR="003955CE">
        <w:rPr>
          <w:rFonts w:cstheme="minorHAnsi"/>
          <w:sz w:val="24"/>
          <w:szCs w:val="24"/>
        </w:rPr>
        <w:t xml:space="preserve"> that</w:t>
      </w:r>
      <w:r w:rsidR="00DC10BE" w:rsidRPr="00BF60BC">
        <w:rPr>
          <w:rFonts w:cstheme="minorHAnsi"/>
          <w:sz w:val="24"/>
          <w:szCs w:val="24"/>
        </w:rPr>
        <w:t xml:space="preserve"> restrictive eating </w:t>
      </w:r>
      <w:proofErr w:type="spellStart"/>
      <w:r w:rsidR="00DA210E" w:rsidRPr="00BF60BC">
        <w:rPr>
          <w:rFonts w:cstheme="minorHAnsi"/>
          <w:sz w:val="24"/>
          <w:szCs w:val="24"/>
        </w:rPr>
        <w:t>behaviors</w:t>
      </w:r>
      <w:proofErr w:type="spellEnd"/>
      <w:r w:rsidR="00DC10BE" w:rsidRPr="00BF60BC">
        <w:rPr>
          <w:rFonts w:cstheme="minorHAnsi"/>
          <w:sz w:val="24"/>
          <w:szCs w:val="24"/>
        </w:rPr>
        <w:t xml:space="preserve"> are </w:t>
      </w:r>
      <w:r w:rsidR="00E00272" w:rsidRPr="00BF60BC">
        <w:rPr>
          <w:rFonts w:cstheme="minorHAnsi"/>
          <w:sz w:val="24"/>
          <w:szCs w:val="24"/>
        </w:rPr>
        <w:t>longitudinally associated with adverse</w:t>
      </w:r>
      <w:r w:rsidR="00DC10BE" w:rsidRPr="00BF60BC">
        <w:rPr>
          <w:rFonts w:cstheme="minorHAnsi"/>
          <w:sz w:val="24"/>
          <w:szCs w:val="24"/>
        </w:rPr>
        <w:t xml:space="preserve"> mental health</w:t>
      </w:r>
      <w:r w:rsidR="00E00272" w:rsidRPr="00BF60BC">
        <w:rPr>
          <w:rFonts w:cstheme="minorHAnsi"/>
          <w:sz w:val="24"/>
          <w:szCs w:val="24"/>
        </w:rPr>
        <w:t xml:space="preserve"> outcomes</w:t>
      </w:r>
      <w:r w:rsidR="0067673E" w:rsidRPr="00BF60BC">
        <w:rPr>
          <w:rFonts w:cstheme="minorHAnsi"/>
          <w:sz w:val="24"/>
          <w:szCs w:val="24"/>
        </w:rPr>
        <w:t xml:space="preserve">, </w:t>
      </w:r>
      <w:r w:rsidR="00E00272" w:rsidRPr="00BF60BC">
        <w:rPr>
          <w:rFonts w:cstheme="minorHAnsi"/>
          <w:sz w:val="24"/>
          <w:szCs w:val="24"/>
        </w:rPr>
        <w:t>including depression</w:t>
      </w:r>
      <w:r w:rsidR="0067673E" w:rsidRPr="00BF60BC">
        <w:rPr>
          <w:rFonts w:cstheme="minorHAnsi"/>
          <w:sz w:val="24"/>
          <w:szCs w:val="24"/>
        </w:rPr>
        <w:t xml:space="preserve"> </w:t>
      </w:r>
      <w:r w:rsidR="00A62AE2" w:rsidRPr="00BF60BC">
        <w:rPr>
          <w:rFonts w:cstheme="minorHAnsi"/>
          <w:sz w:val="24"/>
          <w:szCs w:val="24"/>
        </w:rPr>
        <w:t>and</w:t>
      </w:r>
      <w:r w:rsidR="00E00272" w:rsidRPr="00BF60BC">
        <w:rPr>
          <w:rFonts w:cstheme="minorHAnsi"/>
          <w:sz w:val="24"/>
          <w:szCs w:val="24"/>
        </w:rPr>
        <w:t xml:space="preserve"> eating disorders.</w:t>
      </w:r>
      <w:r w:rsidR="00DC10BE" w:rsidRPr="00BF60BC">
        <w:rPr>
          <w:rFonts w:cstheme="minorHAnsi"/>
          <w:sz w:val="24"/>
          <w:szCs w:val="24"/>
        </w:rPr>
        <w:fldChar w:fldCharType="begin" w:fldLock="1"/>
      </w:r>
      <w:r w:rsidR="00C5774B">
        <w:rPr>
          <w:rFonts w:cstheme="minorHAnsi"/>
          <w:sz w:val="24"/>
          <w:szCs w:val="24"/>
        </w:rPr>
        <w:instrText>ADDIN CSL_CITATION {"citationItems":[{"id":"ITEM-1","itemData":{"DOI":"10.1037/abn0000219","ISSN":"1939-1846","author":[{"dropping-particle":"","family":"Stice","given":"Eric","non-dropping-particle":"","parse-names":false,"suffix":""},{"dropping-particle":"","family":"Gau","given":"Jeff M.","non-dropping-particle":"","parse-names":false,"suffix":""},{"dropping-particle":"","family":"Rohde","given":"Paul","non-dropping-particle":"","parse-names":false,"suffix":""},{"dropping-particle":"","family":"Shaw","given":"Heather","non-dropping-particle":"","parse-names":false,"suffix":""}],"container-title":"Journal of Abnormal Psychology","id":"ITEM-1","issue":"1","issued":{"date-parts":[["2017","1"]]},"page":"38-51","title":"Risk factors that predict future onset of each DSM–5 eating disorder: Predictive specificity in high-risk adolescent females.","type":"article-journal","volume":"126"},"uris":["http://www.mendeley.com/documents/?uuid=3e59bbf0-c9d6-37e0-9ffb-3ad1c7d641be","http://www.mendeley.com/documents/?uuid=cb2d36e3-a5d0-45c9-ba57-ed52b953e27a"]},{"id":"ITEM-2","itemData":{"DOI":"10.1097/00004583-200112000-00014","ISSN":"0890-8567","PMID":"11765289","abstract":"This study investigates the longitudinal course of eating problems from childhood though adulthood. The following questions are answered: (1) How stable are eating disorder symptoms and diagnoses over a 17-year interval from childhood to adulthood? (2) Do early childhood eating problems predict the occurrence of eating disorders in adulthood?","author":[{"dropping-particle":"","family":"Kotler","given":"L A","non-dropping-particle":"","parse-names":false,"suffix":""},{"dropping-particle":"","family":"Cohen","given":"P","non-dropping-particle":"","parse-names":false,"suffix":""},{"dropping-particle":"","family":"Davies","given":"M","non-dropping-particle":"","parse-names":false,"suffix":""},{"dropping-particle":"","family":"Pine","given":"D S","non-dropping-particle":"","parse-names":false,"suffix":""},{"dropping-particle":"","family":"Walsh","given":"B T","non-dropping-particle":"","parse-names":false,"suffix":""}],"container-title":"Journal of the American Academy of Child and Adolescent Psychiatry","id":"ITEM-2","issue":"12","issued":{"date-parts":[["2001","12"]]},"page":"1434-40","title":"Longitudinal relationships between childhood, adolescent, and adult eating disorders.","type":"article-journal","volume":"40"},"uris":["http://www.mendeley.com/documents/?uuid=f460760b-e849-4af9-b25d-37521b240fd0"]},{"id":"ITEM-3","itemData":{"DOI":"10.1002/eat.10179","ISSN":"02763478","author":[{"dropping-particle":"","family":"Rojo","given":"Luis","non-dropping-particle":"","parse-names":false,"suffix":""},{"dropping-particle":"","family":"Livianos","given":"Lorenzo","non-dropping-particle":"","parse-names":false,"suffix":""},{"dropping-particle":"","family":"Conesa","given":"Llanos","non-dropping-particle":"","parse-names":false,"suffix":""},{"dropping-particle":"","family":"García","given":"Angeles","non-dropping-particle":"","parse-names":false,"suffix":""},{"dropping-particle":"","family":"Domínguez","given":"Alberto","non-dropping-particle":"","parse-names":false,"suffix":""},{"dropping-particle":"","family":"Rodrigo","given":"Gloria","non-dropping-particle":"","parse-names":false,"suffix":""},{"dropping-particle":"","family":"Sanjuán","given":"Lluis","non-dropping-particle":"","parse-names":false,"suffix":""},{"dropping-particle":"","family":"Vila","given":"Marisa","non-dropping-particle":"","parse-names":false,"suffix":""}],"container-title":"International Journal of Eating Disorders","id":"ITEM-3","issue":"3","issued":{"date-parts":[["2003","11","1"]]},"page":"281-291","publisher":"John Wiley &amp; Sons, Ltd","title":"Epidemiology and risk factors of eating disorders: A two-stage epidemiologic study in a Spanish population aged 12-18 years","type":"article-journal","volume":"34"},"uris":["http://www.mendeley.com/documents/?uuid=e9913bdf-f60b-3fc3-b324-b5726a8862d4"]},{"id":"ITEM-4","itemData":{"DOI":"10.1017/S0954579417001663","ISSN":"14692198","abstract":" Body dissatisfaction and depressive symptoms are commonly experienced during adolescence and increase the risk of adverse health outcomes, especially eating disorders. However, the dominant temporal associations between these two experiences (i.e., whether one is a risk factor for the other or the two are mutually reinforcing) has yet to be fully explored. We examined the associations between body dissatisfaction and depressive symptoms assessed at baseline and 5- and 10-year follow-up in younger ( M age = 12.9 years at baseline, 56% female, n = 577) and older ( M age = 15.9 years at baseline, 57% female, n = 1,325) adolescent cohorts assessed as part of Project Eating Among Teens and Young Adults. Associations between body dissatisfaction and depressive symptoms were examined using cross-lagged models. For females, the dominant directionality was for body dissatisfaction predicting later depressive symptoms. For males, the picture was more complex, with developmentally sensitive associations in which depressive symptoms predicted later body dissatisfaction in early adolescence and early adulthood, but the reverse association was dominant during middle adolescence. These findings suggest that interventions should be tailored to dynamic risk profiles that shift over adolescence and early adulthood, and that targeting body dissatisfaction at key periods during development may have downstream impacts on depressive symptoms. ","author":[{"dropping-particle":"","family":"Sharpe","given":"Helen","non-dropping-particle":"","parse-names":false,"suffix":""},{"dropping-particle":"","family":"Patalay","given":"Praveetha","non-dropping-particle":"","parse-names":false,"suffix":""},{"dropping-particle":"","family":"Choo","given":"Tse Hwei","non-dropping-particle":"","parse-names":false,"suffix":""},{"dropping-particle":"","family":"Wall","given":"Melanie","non-dropping-particle":"","parse-names":false,"suffix":""},{"dropping-particle":"","family":"Mason","given":"Susan M.","non-dropping-particle":"","parse-names":false,"suffix":""},{"dropping-particle":"","family":"Goldschmidt","given":"Andrea B.","non-dropping-particle":"","parse-names":false,"suffix":""},{"dropping-particle":"","family":"Neumark-Sztainer","given":"Dianne","non-dropping-particle":"","parse-names":false,"suffix":""}],"container-title":"Development and Psychopathology","id":"ITEM-4","issued":{"date-parts":[["2018"]]},"title":"Bidirectional associations between body dissatisfaction and depressive symptoms from adolescence through early adulthood","type":"article-journal"},"uris":["http://www.mendeley.com/documents/?uuid=65ddfb6a-7071-4a35-901e-1b8820d46fac","http://www.mendeley.com/documents/?uuid=fb267652-1dae-44ef-9bb3-0ff761177d9d"]},{"id":"ITEM-5","itemData":{"abstract":"BACKGROUND Disordered eating behaviors are prevalent in adolescence and can have harmful consequences. An important question is whether use of these behaviors in adolescence sets the pattern for continued use into young adulthood. OBJECTIVE To examine the prevalence and tracking of dieting, unhealthy and extreme weight control behaviors, and binge eating from adolescence to young adulthood. DESIGN Population-based, 10-year longitudinal study (Project EAT-III: Eating Among Teens and Young Adults, 1999-2010). PARTICIPANTS/SETTING The study population included 2,287 young adults (55% girls, 52% nonwhite). The sample included a younger group (mean age 12.8±0.7 years at baseline and 23.2±1.0 years at follow-up) and an older group (mean age 15.9±0.8 at baseline and 26.2±0.9 years at follow-up). STATISTICAL ANALYSES PERFORMED Longitudinal trends in prevalence of behaviors were tested using generalized estimating equations. Tracking of behaviors were estimated using the relative risk of behaviors at follow-up given presence at baseline. RESULTS In general, the prevalence of dieting and disordered eating was high and remained constant, or increased, from adolescence to young adulthood. Furthermore, behaviors tended to track within individuals and, in general, participants who engaged in dieting and disordered eating behaviors during adolescence were at increased risk for these behaviors 10 years later. Tracking was particularly consistent for the older girls and boys transitioning from middle adolescence to middle young adulthood. CONCLUSIONS Study findings indicate that disordered eating behaviors are not just an adolescent problem, but continue to be prevalent among young adults. The tracking of dieting and disordered eating within individuals suggests that early use is likely to set the stage for ongoing use. Findings suggest a need for both early prevention efforts before the onset of harmful behavioral patterns as well as ongoing prevention and treatment interventions to address the high prevalence of disordered eating throughout adolescence and young adulthood.","author":[{"dropping-particle":"","family":"Neumark-Sztainer","given":"D","non-dropping-particle":"","parse-names":false,"suffix":""},{"dropping-particle":"","family":"Wall","given":"M","non-dropping-particle":"","parse-names":false,"suffix":""},{"dropping-particle":"","family":"Larson","given":"N I.","non-dropping-particle":"","parse-names":false,"suffix":""},{"dropping-particle":"","family":"Eisenberg","given":"M E","non-dropping-particle":"","parse-names":false,"suffix":""},{"dropping-particle":"","family":"Loth","given":"K","non-dropping-particle":"","parse-names":false,"suffix":""}],"container-title":"Journal of the American Dietetic Association","id":"ITEM-5","issue":"7","issued":{"date-parts":[["2011"]]},"page":"1004-1011","title":"Dieting and Disordered Eating Behaviors from Adolescence to Young Adulthood: Findings from a 10-Year Longitudinal Study","type":"article-journal","volume":"111"},"uris":["http://www.mendeley.com/documents/?uuid=61832359-4756-42dc-837f-35ebdb98c8ba"]},{"id":"ITEM-6","itemData":{"DOI":"10.1016/j.jaac.2015.05.009","ISSN":"15275418 08908567","abstract":"© 2015 American Academy of Child and Adolescent Psychiatry.Objective To investigate whether anorexia nervosa (AN), bulimia nervosa (BN), binge eating disorder (BED), and other specified feeding and eating disorders (OSFED), including purging disorder (PD), subthreshold BN, and BED at ages 14 and 16 years, are prospectively associated with later depression, anxiety disorders, alcohol and substance use, and self-harm. Method Eating disorders were ascertained at ages 14 and 16 years in 6,140 youth at age 14 (58% of those eligible) and 5,069 at age 16 (52% of those eligible) as part of the prospective Avon Longitudinal Study of Parents and Children (ALSPAC). Outcomes (depression, anxiety disorders, binge drinking, drug use, deliberate self-harm, weight status) were measured using interviews and questionnaires about 2 years after predictors. Generalized estimating equation models adjusting for gender, socio-demographic variables, and prior outcome were used to examine prospective associations between eating disorders and each outcome. Results All eating disorders were predictive of later anxiety disorders. AN, BN, BED, PD, and OSFED were prospectively associated with depression (respectively AN: odds ratio [OR] = 1.39, 95% CI = 1.00-1.94; BN: OR = 3.39, 95% CI = 1.25-9.20; BED: OR = 2.00, 95% CI = 1.06-3.75; and PD: OR = 2.56, 95% CI = 1.38-4.74). All eating disorders but AN predicted drug use and deliberate self-harm (BN: OR = 5.72, 95% CI = 2.22-14.72; PD: OR = 4.88, 95% CI = 2.78-8.57; subthreshold BN: OR = 3.97, 95% CI = 1.44-10.98; and subthreshold BED: OR = 2.32, 95% CI = 1.43-3.75). Although BED and BN predicted obesity (respectively OR = 3.58, 95% CI = 1.06-12.14 and OR = 6.42, 95% CI = 1.69-24.30), AN was prospectively associated with underweight. Conclusions Adolescent eating disorders, including subthreshold presentations, predict negative outcomes, including mental health disorders, substance use, deliberate self-harm, and weight outcomes. This study highlights the high public health and clinical burden of eating disorders among adolescents.","author":[{"dropping-particle":"","family":"Micali","given":"N.","non-dropping-particle":"","parse-names":false,"suffix":""},{"dropping-particle":"","family":"Solmi","given":"F.","non-dropping-particle":"","parse-names":false,"suffix":""},{"dropping-particle":"","family":"Horton","given":"N.J.","non-dropping-particle":"","parse-names":false,"suffix":""},{"dropping-particle":"","family":"Crosby","given":"R.D.","non-dropping-particle":"","parse-names":false,"suffix":""},{"dropping-particle":"","family":"Eddy","given":"K.T.","non-dropping-particle":"","parse-names":false,"suffix":""},{"dropping-particle":"","family":"Calzo","given":"J.P.","non-dropping-particle":"","parse-names":false,"suffix":""},{"dropping-particle":"","family":"Sonneville","given":"K.R.","non-dropping-particle":"","parse-names":false,"suffix":""},{"dropping-particle":"","family":"Swanson","given":"S.A.","non-dropping-particle":"","parse-names":false,"suffix":""},{"dropping-particle":"","family":"Field","given":"A.E.","non-dropping-particle":"","parse-names":false,"suffix":""}],"container-title":"Journal of the American Academy of Child and Adolescent Psychiatry","id":"ITEM-6","issue":"8","issued":{"date-parts":[["2015"]]},"title":"Adolescent Eating Disorders Predict Psychiatric, High-Risk Behaviors and Weight Outcomes in Young Adulthood","type":"article-journal","volume":"54"},"uris":["http://www.mendeley.com/documents/?uuid=21d6ddaf-a483-32c1-ba31-6b8992987faa"]},{"id":"ITEM-7","itemData":{"DOI":"10.1002/eat.20383","ISSN":"0276-3478","PMID":"17497706","abstract":"OBJECTIVE This paper examines the association between weight overestimation and symptoms of disordered eating behaviors using a nationally representative sample of young women. METHOD We use data from Wave III of the National Longitudinal Study of Adolescent Health to compare self-reported weight (in pounds) to measure weight obtained by interviewers using a scale. Focusing on normal weight women between the ages of 18 and 24 (n = 2,805) we compare the discrepancy in self-reported and measured weight among women with and without any disordered eating behaviors. RESULTS Women who over report their weight by at least five percent are significantly more likely than those who either under report or accurately report their weights to exhibit disordered eating behaviors. These results persist despite controlling for distorted body image. CONCLUSION Our findings support both motivational and perceptual bias explanations for overestimating weight among those who exhibit disordered eating behaviors. We argue that weight over-estimation, together with other important information regarding women's nutrition, exercise, mental health, and health-related behaviors, should be treated as a potential indicator for the diagnosis of an eating disorder among young normal weight women.","author":[{"dropping-particle":"","family":"Conley","given":"Amanda","non-dropping-particle":"","parse-names":false,"suffix":""},{"dropping-particle":"","family":"Boardman","given":"Jason D","non-dropping-particle":"","parse-names":false,"suffix":""}],"container-title":"The International journal of eating disorders","id":"ITEM-7","issue":"5","issued":{"date-parts":[["2007","7"]]},"page":"441-5","publisher":"NIH Public Access","title":"Weight overestimation as an indicator of disordered eating behaviors among young women in the United States.","type":"article-journal","volume":"40"},"uris":["http://www.mendeley.com/documents/?uuid=0a78d481-427a-3a69-8604-3e6b239898c1"]}],"mendeley":{"formattedCitation":"&lt;sup&gt;7–13&lt;/sup&gt;","plainTextFormattedCitation":"7–13","previouslyFormattedCitation":"&lt;sup&gt;7–13&lt;/sup&gt;"},"properties":{"noteIndex":0},"schema":"https://github.com/citation-style-language/schema/raw/master/csl-citation.json"}</w:instrText>
      </w:r>
      <w:r w:rsidR="00DC10BE" w:rsidRPr="00BF60BC">
        <w:rPr>
          <w:rFonts w:cstheme="minorHAnsi"/>
          <w:sz w:val="24"/>
          <w:szCs w:val="24"/>
        </w:rPr>
        <w:fldChar w:fldCharType="separate"/>
      </w:r>
      <w:r w:rsidR="00C5774B" w:rsidRPr="00C5774B">
        <w:rPr>
          <w:rFonts w:cstheme="minorHAnsi"/>
          <w:noProof/>
          <w:sz w:val="24"/>
          <w:szCs w:val="24"/>
          <w:vertAlign w:val="superscript"/>
        </w:rPr>
        <w:t>7–13</w:t>
      </w:r>
      <w:r w:rsidR="00DC10BE" w:rsidRPr="00BF60BC">
        <w:rPr>
          <w:rFonts w:cstheme="minorHAnsi"/>
          <w:sz w:val="24"/>
          <w:szCs w:val="24"/>
        </w:rPr>
        <w:fldChar w:fldCharType="end"/>
      </w:r>
    </w:p>
    <w:p w14:paraId="086EB67F" w14:textId="56A21751" w:rsidR="00A41256" w:rsidRPr="00BF60BC" w:rsidRDefault="00A41256" w:rsidP="00655F22">
      <w:pPr>
        <w:spacing w:after="0" w:line="360" w:lineRule="auto"/>
        <w:jc w:val="both"/>
        <w:rPr>
          <w:rFonts w:cstheme="minorHAnsi"/>
          <w:sz w:val="24"/>
          <w:szCs w:val="24"/>
        </w:rPr>
      </w:pPr>
    </w:p>
    <w:p w14:paraId="6AE80886" w14:textId="4F411ADF" w:rsidR="008B0F6A" w:rsidRPr="00BF60BC" w:rsidRDefault="008B0F6A" w:rsidP="00655F22">
      <w:pPr>
        <w:spacing w:after="0" w:line="360" w:lineRule="auto"/>
        <w:jc w:val="both"/>
        <w:rPr>
          <w:rFonts w:cstheme="minorHAnsi"/>
          <w:sz w:val="24"/>
          <w:szCs w:val="24"/>
        </w:rPr>
      </w:pPr>
      <w:bookmarkStart w:id="4" w:name="_Hlk38539066"/>
      <w:r w:rsidRPr="00BF60BC">
        <w:rPr>
          <w:rFonts w:cstheme="minorHAnsi"/>
          <w:sz w:val="24"/>
          <w:szCs w:val="24"/>
        </w:rPr>
        <w:t xml:space="preserve">We are not aware of any UK general population studies </w:t>
      </w:r>
      <w:r w:rsidR="00A00D09" w:rsidRPr="00BF60BC">
        <w:rPr>
          <w:rFonts w:cstheme="minorHAnsi"/>
          <w:sz w:val="24"/>
          <w:szCs w:val="24"/>
        </w:rPr>
        <w:t>investigating</w:t>
      </w:r>
      <w:r w:rsidRPr="00BF60BC">
        <w:rPr>
          <w:rFonts w:cstheme="minorHAnsi"/>
          <w:sz w:val="24"/>
          <w:szCs w:val="24"/>
        </w:rPr>
        <w:t xml:space="preserve"> time</w:t>
      </w:r>
      <w:r w:rsidR="00173961">
        <w:rPr>
          <w:rFonts w:cstheme="minorHAnsi"/>
          <w:sz w:val="24"/>
          <w:szCs w:val="24"/>
        </w:rPr>
        <w:t>-</w:t>
      </w:r>
      <w:r w:rsidRPr="00BF60BC">
        <w:rPr>
          <w:rFonts w:cstheme="minorHAnsi"/>
          <w:sz w:val="24"/>
          <w:szCs w:val="24"/>
        </w:rPr>
        <w:t xml:space="preserve">trends in weight-control </w:t>
      </w:r>
      <w:proofErr w:type="spellStart"/>
      <w:r w:rsidR="00DA210E" w:rsidRPr="00BF60BC">
        <w:rPr>
          <w:rFonts w:cstheme="minorHAnsi"/>
          <w:sz w:val="24"/>
          <w:szCs w:val="24"/>
        </w:rPr>
        <w:t>behaviors</w:t>
      </w:r>
      <w:proofErr w:type="spellEnd"/>
      <w:r w:rsidRPr="00BF60BC">
        <w:rPr>
          <w:rFonts w:cstheme="minorHAnsi"/>
          <w:sz w:val="24"/>
          <w:szCs w:val="24"/>
        </w:rPr>
        <w:t xml:space="preserve"> and weight-perception in adolescence</w:t>
      </w:r>
      <w:r w:rsidR="00A00D09" w:rsidRPr="00BF60BC">
        <w:rPr>
          <w:rFonts w:cstheme="minorHAnsi"/>
          <w:sz w:val="24"/>
          <w:szCs w:val="24"/>
        </w:rPr>
        <w:t>,</w:t>
      </w:r>
      <w:r w:rsidRPr="00BF60BC">
        <w:rPr>
          <w:rFonts w:cstheme="minorHAnsi"/>
          <w:sz w:val="24"/>
          <w:szCs w:val="24"/>
        </w:rPr>
        <w:t xml:space="preserve"> </w:t>
      </w:r>
      <w:r w:rsidR="00E32660" w:rsidRPr="00BF60BC">
        <w:rPr>
          <w:rFonts w:cstheme="minorHAnsi"/>
          <w:sz w:val="24"/>
          <w:szCs w:val="24"/>
        </w:rPr>
        <w:t>and changes to their psychological correlates</w:t>
      </w:r>
      <w:r w:rsidR="00A00D09" w:rsidRPr="00BF60BC">
        <w:rPr>
          <w:rFonts w:cstheme="minorHAnsi"/>
          <w:sz w:val="24"/>
          <w:szCs w:val="24"/>
        </w:rPr>
        <w:t xml:space="preserve">. </w:t>
      </w:r>
      <w:r w:rsidR="001D263C">
        <w:rPr>
          <w:rFonts w:cstheme="minorHAnsi"/>
          <w:sz w:val="24"/>
          <w:szCs w:val="24"/>
        </w:rPr>
        <w:t>Recently, t</w:t>
      </w:r>
      <w:r w:rsidR="00173961">
        <w:rPr>
          <w:rFonts w:cstheme="minorHAnsi"/>
          <w:sz w:val="24"/>
          <w:szCs w:val="24"/>
        </w:rPr>
        <w:t>he</w:t>
      </w:r>
      <w:r w:rsidR="00E32660" w:rsidRPr="00BF60BC">
        <w:rPr>
          <w:rFonts w:cstheme="minorHAnsi"/>
          <w:sz w:val="24"/>
          <w:szCs w:val="24"/>
        </w:rPr>
        <w:t xml:space="preserve"> UK Government</w:t>
      </w:r>
      <w:r w:rsidR="00173961">
        <w:rPr>
          <w:rFonts w:cstheme="minorHAnsi"/>
          <w:sz w:val="24"/>
          <w:szCs w:val="24"/>
        </w:rPr>
        <w:t xml:space="preserve"> has highlighted these issues</w:t>
      </w:r>
      <w:r w:rsidR="00E32660" w:rsidRPr="00BF60BC">
        <w:rPr>
          <w:rFonts w:cstheme="minorHAnsi"/>
          <w:sz w:val="24"/>
          <w:szCs w:val="24"/>
        </w:rPr>
        <w:t xml:space="preserve"> as an area of increasing </w:t>
      </w:r>
      <w:r w:rsidR="0063482E" w:rsidRPr="00BF60BC">
        <w:rPr>
          <w:rFonts w:cstheme="minorHAnsi"/>
          <w:sz w:val="24"/>
          <w:szCs w:val="24"/>
        </w:rPr>
        <w:t xml:space="preserve">policy </w:t>
      </w:r>
      <w:r w:rsidR="00E32660" w:rsidRPr="00BF60BC">
        <w:rPr>
          <w:rFonts w:cstheme="minorHAnsi"/>
          <w:sz w:val="24"/>
          <w:szCs w:val="24"/>
        </w:rPr>
        <w:t>concern</w:t>
      </w:r>
      <w:bookmarkEnd w:id="2"/>
      <w:r w:rsidR="00E32660" w:rsidRPr="00BF60BC">
        <w:rPr>
          <w:rFonts w:cstheme="minorHAnsi"/>
          <w:sz w:val="24"/>
          <w:szCs w:val="24"/>
        </w:rPr>
        <w:t>.</w:t>
      </w:r>
      <w:bookmarkEnd w:id="4"/>
      <w:r w:rsidR="00E32660" w:rsidRPr="00BF60BC">
        <w:rPr>
          <w:rFonts w:cstheme="minorHAnsi"/>
          <w:sz w:val="24"/>
          <w:szCs w:val="24"/>
        </w:rPr>
        <w:fldChar w:fldCharType="begin" w:fldLock="1"/>
      </w:r>
      <w:r w:rsidR="00C5774B">
        <w:rPr>
          <w:rFonts w:cstheme="minorHAnsi"/>
          <w:sz w:val="24"/>
          <w:szCs w:val="24"/>
        </w:rPr>
        <w:instrText>ADDIN CSL_CITATION {"citationItems":[{"id":"ITEM-1","itemData":{"URL":"https://committees.parliament.uk/call-for-evidence/93/changing-the-perfect-picture-an-inquiry-into-body-image/","accessed":{"date-parts":[["2020","4","10"]]},"author":[{"dropping-particle":"","family":"UK Parliament","given":"","non-dropping-particle":"","parse-names":false,"suffix":""}],"id":"ITEM-1","issued":{"date-parts":[["2020"]]},"title":"Call for evidence Changing the perfect picture: an inquiry into body image","type":"webpage"},"uris":["http://www.mendeley.com/documents/?uuid=ab973e62-53b9-46a4-81a9-770e9d749c0d"]}],"mendeley":{"formattedCitation":"&lt;sup&gt;14&lt;/sup&gt;","plainTextFormattedCitation":"14","previouslyFormattedCitation":"&lt;sup&gt;14&lt;/sup&gt;"},"properties":{"noteIndex":0},"schema":"https://github.com/citation-style-language/schema/raw/master/csl-citation.json"}</w:instrText>
      </w:r>
      <w:r w:rsidR="00E32660" w:rsidRPr="00BF60BC">
        <w:rPr>
          <w:rFonts w:cstheme="minorHAnsi"/>
          <w:sz w:val="24"/>
          <w:szCs w:val="24"/>
        </w:rPr>
        <w:fldChar w:fldCharType="separate"/>
      </w:r>
      <w:r w:rsidR="00C5774B" w:rsidRPr="00C5774B">
        <w:rPr>
          <w:rFonts w:cstheme="minorHAnsi"/>
          <w:noProof/>
          <w:sz w:val="24"/>
          <w:szCs w:val="24"/>
          <w:vertAlign w:val="superscript"/>
        </w:rPr>
        <w:t>14</w:t>
      </w:r>
      <w:r w:rsidR="00E32660" w:rsidRPr="00BF60BC">
        <w:rPr>
          <w:rFonts w:cstheme="minorHAnsi"/>
          <w:sz w:val="24"/>
          <w:szCs w:val="24"/>
        </w:rPr>
        <w:fldChar w:fldCharType="end"/>
      </w:r>
      <w:r w:rsidR="00E32660" w:rsidRPr="00BF60BC">
        <w:rPr>
          <w:rFonts w:cstheme="minorHAnsi"/>
          <w:sz w:val="24"/>
          <w:szCs w:val="24"/>
        </w:rPr>
        <w:t xml:space="preserve"> </w:t>
      </w:r>
      <w:bookmarkEnd w:id="3"/>
      <w:r w:rsidR="00717CC5" w:rsidRPr="00BF60BC">
        <w:rPr>
          <w:rFonts w:cstheme="minorHAnsi"/>
          <w:sz w:val="24"/>
          <w:szCs w:val="24"/>
        </w:rPr>
        <w:t>F</w:t>
      </w:r>
      <w:r w:rsidRPr="00BF60BC">
        <w:rPr>
          <w:rFonts w:cstheme="minorHAnsi"/>
          <w:sz w:val="24"/>
          <w:szCs w:val="24"/>
        </w:rPr>
        <w:t>indings from other Western countries</w:t>
      </w:r>
      <w:r w:rsidR="0092222E" w:rsidRPr="00BF60BC">
        <w:rPr>
          <w:rFonts w:cstheme="minorHAnsi"/>
          <w:sz w:val="24"/>
          <w:szCs w:val="24"/>
        </w:rPr>
        <w:fldChar w:fldCharType="begin" w:fldLock="1"/>
      </w:r>
      <w:r w:rsidR="00C5774B">
        <w:rPr>
          <w:rFonts w:cstheme="minorHAnsi"/>
          <w:sz w:val="24"/>
          <w:szCs w:val="24"/>
        </w:rPr>
        <w:instrText>ADDIN CSL_CITATION {"citationItems":[{"id":"ITEM-1","itemData":{"URL":"https://www.cdc.gov/healthyyouth/data/topics/npao.htm","accessed":{"date-parts":[["2019","10","19"]]},"author":[{"dropping-particle":"","family":"Center for Disease Control and Prevention","given":"","non-dropping-particle":"","parse-names":false,"suffix":""}],"id":"ITEM-1","issued":{"date-parts":[["0"]]},"title":"Nutrition, Physical Activity, &amp; Obesity Data &amp; Statistics","type":"webpage"},"uris":["http://www.mendeley.com/documents/?uuid=dad09dd7-271b-43a0-8d74-2139996ceaa7","http://www.mendeley.com/documents/?uuid=13f10fbb-ac81-4d10-9c16-752bb47c587f"]},{"id":"ITEM-2","itemData":{"DOI":"10.1111/jpc.14196","ISSN":"14401754","abstract":"Aim: To explore secular trends of adolescent weight control concerns and behaviours, between 2007 and 2012, and determine if these vary by body size. Methods: Data were drawn from two nationally representative youth health surveys, Youth’07 and Youth’12. Multiple logistic regression models were used to determine differences in the prevalence of weight control behaviours and concerns between the two time points, controlling for socio-demographic variables. Results: Between 2007 and 2012, both boys and girls were significantly more likely to report concerns about their weight, though the prevalence of trying to lose weight increased for boys, but not girls. Trends in weight control behaviours varied by body size for boys and girls. Perhaps the most striking findings were the increases in proportions of underweight girls and healthy weight boys who were trying to lose weight. Conclusions: The current study highlights the growing concerns that young people are experiencing in relation to weight control. Given the persistently high rates of adolescent obesity in New Zealand and globally, greater support for young people with regards to healthy eating and weight management is warranted.","author":[{"dropping-particle":"","family":"Utter","given":"Jennifer","non-dropping-particle":"","parse-names":false,"suffix":""},{"dropping-particle":"","family":"Haines","given":"Jess","non-dropping-particle":"","parse-names":false,"suffix":""},{"dropping-particle":"","family":"Denny","given":"Simon","non-dropping-particle":"","parse-names":false,"suffix":""},{"dropping-particle":"","family":"Teevale","given":"Tasileta","non-dropping-particle":"","parse-names":false,"suffix":""}],"container-title":"Journal of Paediatrics and Child Health","id":"ITEM-2","issued":{"date-parts":[["2019"]]},"title":"Trends in weight-related attitudes and behaviours among New Zealand adolescents, between 2007 and 2012","type":"article-journal"},"uris":["http://www.mendeley.com/documents/?uuid=ab91c20c-8699-4f9c-8563-2ff400d67407"]},{"id":"ITEM-3","itemData":{"DOI":"10.1186/s12889-020-8295-7","ISSN":"1471-2458","abstract":"Dieting is a risk factor of both eating disorders and obesity. The aim was to examine time trends of dieting in Swedish adolescents, and explore how dieting and body weight dissatisfaction are related to self-reported health, wellbeing and health behaviours. Analyses of cross-sectional Swedish data from HBSC (Health Behaviour in School-aged Children) surveys 1994–2014. In total, about 30,000 girls and boys in the age of 11, 13 and 15 years participated. Data was collected by using classroom administered questionnaires in 5th, 7th and 9th grade. Logistic regressions was used to analyse secular trends of dieting, and how dieting and body dissatisfaction were associated with self-reported overall health, health behaviours, BMI and various physical, psychological and social aspects of health in 2014. Dieting increased from 1994 to 2014 in both girls and boys in all age groups, and in 2014, the prevalence was 14% in girls and 8% in boys. The prevalence of body satisfaction was 65% respectively 69%. Body weight dissatisfaction and dieting were present in all body weight classes and were associated with self-reported poor health and many other negative health aspects. In comparison with the participants that were satisfied with their body weight the odds ratio (95% CI) for self-reported poor health was 3.4 (2.6–4.4) in dieters, 4.9 (3.8–6.4) in participants who perceived a need to lose weight and 2.1 (1.5–2.8) in those who perceived a need to gain weight, when adjusting for age, sex and body weight class. When promoting health among school age children body weight dissatisfaction and dieting ought to be considered. Furthermore, it is important to support girls and boys in all weight classes to reach and maintain a healthy body image and weight.","author":[{"dropping-particle":"","family":"Berg","given":"Christina","non-dropping-particle":"","parse-names":false,"suffix":""},{"dropping-particle":"","family":"Larsson","given":"Christel","non-dropping-particle":"","parse-names":false,"suffix":""}],"container-title":"BMC Public Health","id":"ITEM-3","issue":"1","issued":{"date-parts":[["2020","12","5"]]},"page":"187","publisher":"BioMed Central","title":"Dieting, body weight concerns and health: trends and associations in Swedish schoolchildren","type":"article-journal","volume":"20"},"uris":["http://www.mendeley.com/documents/?uuid=61894b5d-c337-3e24-8f7a-edec2dcd3ba2"]},{"id":"ITEM-4","itemData":{"DOI":"10.1002/eat.22271","ISSN":"1098108X","abstract":"Objective This study examines secular trends in eating problems among adolescents between 1992 and 2010. The study aims further to investigate whether such trends can be accounted for by secular changes in putative risk factors. Method Three nationwide surveys of Norwegian senior high-school students were conducted in 1992, 2002, and 2010 (response rates 97.0, 91.0, and 83.2%). At each time point, approximately 3,000 adolescents participated. Eating problems were assessed by means of the Dieting and the Bulimia and Food Preoccupation subscales of the Eating Attitude Test-12. Moreover, a variety of potential risk factors that might account for time trends in such problems were measured. Results Dieting scores increased almost linearly for both genders during the research period. No differences over time in Bulimia and Food Preoccupation scores were seen among boys, whereas these symptoms peaked in 2002 for girls with considerably lower levels in both 1992 and 2010. The increase in Dieting from 1992 to 2010 for both genders could be attributed in part to increasing body mass index levels and, to a lesser degree, to depressive symptoms among females. The girls' time trend in Bulimia and Food Preoccupation was to some extent related to changes in appearance satisfaction, alcohol intoxication, and global self-worth. Discussion This study is one of few to statistically examine how secular trends in eating problems are related to changes in putative risk factors. The study does not however provide conclusive information on the causal direction between putative risk factors and eating problems. © 2014 Wiley Periodicals, Inc.","author":[{"dropping-particle":"","family":"Soest","given":"Tilmann","non-dropping-particle":"Von","parse-names":false,"suffix":""},{"dropping-particle":"","family":"Wichstrøm","given":"Lars","non-dropping-particle":"","parse-names":false,"suffix":""}],"container-title":"International Journal of Eating Disorders","id":"ITEM-4","issued":{"date-parts":[["2014"]]},"title":"Secular trends in eating problems among norwegian adolescents from 1992 to 2010","type":"article-journal"},"uris":["http://www.mendeley.com/documents/?uuid=b7d1a3c1-2f73-4237-9900-326fb79e07d4"]}],"mendeley":{"formattedCitation":"&lt;sup&gt;15–18&lt;/sup&gt;","plainTextFormattedCitation":"15–18","previouslyFormattedCitation":"&lt;sup&gt;15–18&lt;/sup&gt;"},"properties":{"noteIndex":0},"schema":"https://github.com/citation-style-language/schema/raw/master/csl-citation.json"}</w:instrText>
      </w:r>
      <w:r w:rsidR="0092222E" w:rsidRPr="00BF60BC">
        <w:rPr>
          <w:rFonts w:cstheme="minorHAnsi"/>
          <w:sz w:val="24"/>
          <w:szCs w:val="24"/>
        </w:rPr>
        <w:fldChar w:fldCharType="separate"/>
      </w:r>
      <w:r w:rsidR="00C5774B" w:rsidRPr="00C5774B">
        <w:rPr>
          <w:rFonts w:cstheme="minorHAnsi"/>
          <w:noProof/>
          <w:sz w:val="24"/>
          <w:szCs w:val="24"/>
          <w:vertAlign w:val="superscript"/>
        </w:rPr>
        <w:t>15–18</w:t>
      </w:r>
      <w:r w:rsidR="0092222E" w:rsidRPr="00BF60BC">
        <w:rPr>
          <w:rFonts w:cstheme="minorHAnsi"/>
          <w:sz w:val="24"/>
          <w:szCs w:val="24"/>
        </w:rPr>
        <w:fldChar w:fldCharType="end"/>
      </w:r>
      <w:r w:rsidRPr="00BF60BC">
        <w:rPr>
          <w:rFonts w:cstheme="minorHAnsi"/>
          <w:sz w:val="24"/>
          <w:szCs w:val="24"/>
        </w:rPr>
        <w:t xml:space="preserve"> provide inconsistent evidence. Data from the US, Norway, Cyprus, Sweden, and New Zealand shows an increase in the proportion of weight</w:t>
      </w:r>
      <w:r w:rsidR="0063482E" w:rsidRPr="00BF60BC">
        <w:rPr>
          <w:rFonts w:cstheme="minorHAnsi"/>
          <w:sz w:val="24"/>
          <w:szCs w:val="24"/>
        </w:rPr>
        <w:t>-</w:t>
      </w:r>
      <w:r w:rsidRPr="00BF60BC">
        <w:rPr>
          <w:rFonts w:cstheme="minorHAnsi"/>
          <w:sz w:val="24"/>
          <w:szCs w:val="24"/>
        </w:rPr>
        <w:t xml:space="preserve">control </w:t>
      </w:r>
      <w:proofErr w:type="spellStart"/>
      <w:r w:rsidR="00DA210E" w:rsidRPr="00BF60BC">
        <w:rPr>
          <w:rFonts w:cstheme="minorHAnsi"/>
          <w:sz w:val="24"/>
          <w:szCs w:val="24"/>
        </w:rPr>
        <w:t>behaviors</w:t>
      </w:r>
      <w:proofErr w:type="spellEnd"/>
      <w:r w:rsidRPr="00BF60BC">
        <w:rPr>
          <w:rFonts w:cstheme="minorHAnsi"/>
          <w:sz w:val="24"/>
          <w:szCs w:val="24"/>
        </w:rPr>
        <w:t xml:space="preserve"> in early adolescence, particularly in boys.</w:t>
      </w:r>
      <w:r w:rsidRPr="00BF60BC">
        <w:rPr>
          <w:rFonts w:cstheme="minorHAnsi"/>
          <w:sz w:val="24"/>
          <w:szCs w:val="24"/>
        </w:rPr>
        <w:fldChar w:fldCharType="begin" w:fldLock="1"/>
      </w:r>
      <w:r w:rsidR="00C5774B">
        <w:rPr>
          <w:rFonts w:cstheme="minorHAnsi"/>
          <w:sz w:val="24"/>
          <w:szCs w:val="24"/>
        </w:rPr>
        <w:instrText>ADDIN CSL_CITATION {"citationItems":[{"id":"ITEM-1","itemData":{"URL":"https://www.cdc.gov/healthyyouth/data/topics/npao.htm","accessed":{"date-parts":[["2019","10","19"]]},"author":[{"dropping-particle":"","family":"Center for Disease Control and Prevention","given":"","non-dropping-particle":"","parse-names":false,"suffix":""}],"id":"ITEM-1","issued":{"date-parts":[["0"]]},"title":"Nutrition, Physical Activity, &amp; Obesity Data &amp; Statistics","type":"webpage"},"uris":["http://www.mendeley.com/documents/?uuid=dad09dd7-271b-43a0-8d74-2139996ceaa7","http://www.mendeley.com/documents/?uuid=13f10fbb-ac81-4d10-9c16-752bb47c587f"]},{"id":"ITEM-2","itemData":{"DOI":"10.1111/jpc.14196","ISSN":"14401754","abstract":"Aim: To explore secular trends of adolescent weight control concerns and behaviours, between 2007 and 2012, and determine if these vary by body size. Methods: Data were drawn from two nationally representative youth health surveys, Youth’07 and Youth’12. Multiple logistic regression models were used to determine differences in the prevalence of weight control behaviours and concerns between the two time points, controlling for socio-demographic variables. Results: Between 2007 and 2012, both boys and girls were significantly more likely to report concerns about their weight, though the prevalence of trying to lose weight increased for boys, but not girls. Trends in weight control behaviours varied by body size for boys and girls. Perhaps the most striking findings were the increases in proportions of underweight girls and healthy weight boys who were trying to lose weight. Conclusions: The current study highlights the growing concerns that young people are experiencing in relation to weight control. Given the persistently high rates of adolescent obesity in New Zealand and globally, greater support for young people with regards to healthy eating and weight management is warranted.","author":[{"dropping-particle":"","family":"Utter","given":"Jennifer","non-dropping-particle":"","parse-names":false,"suffix":""},{"dropping-particle":"","family":"Haines","given":"Jess","non-dropping-particle":"","parse-names":false,"suffix":""},{"dropping-particle":"","family":"Denny","given":"Simon","non-dropping-particle":"","parse-names":false,"suffix":""},{"dropping-particle":"","family":"Teevale","given":"Tasileta","non-dropping-particle":"","parse-names":false,"suffix":""}],"container-title":"Journal of Paediatrics and Child Health","id":"ITEM-2","issued":{"date-parts":[["2019"]]},"title":"Trends in weight-related attitudes and behaviours among New Zealand adolescents, between 2007 and 2012","type":"article-journal"},"uris":["http://www.mendeley.com/documents/?uuid=ab91c20c-8699-4f9c-8563-2ff400d67407"]}],"mendeley":{"formattedCitation":"&lt;sup&gt;15,16&lt;/sup&gt;","plainTextFormattedCitation":"15,16","previouslyFormattedCitation":"&lt;sup&gt;15,16&lt;/sup&gt;"},"properties":{"noteIndex":0},"schema":"https://github.com/citation-style-language/schema/raw/master/csl-citation.json"}</w:instrText>
      </w:r>
      <w:r w:rsidRPr="00BF60BC">
        <w:rPr>
          <w:rFonts w:cstheme="minorHAnsi"/>
          <w:sz w:val="24"/>
          <w:szCs w:val="24"/>
        </w:rPr>
        <w:fldChar w:fldCharType="separate"/>
      </w:r>
      <w:r w:rsidR="00C5774B" w:rsidRPr="00C5774B">
        <w:rPr>
          <w:rFonts w:cstheme="minorHAnsi"/>
          <w:noProof/>
          <w:sz w:val="24"/>
          <w:szCs w:val="24"/>
          <w:vertAlign w:val="superscript"/>
        </w:rPr>
        <w:t>15,16</w:t>
      </w:r>
      <w:r w:rsidRPr="00BF60BC">
        <w:rPr>
          <w:rFonts w:cstheme="minorHAnsi"/>
          <w:sz w:val="24"/>
          <w:szCs w:val="24"/>
        </w:rPr>
        <w:fldChar w:fldCharType="end"/>
      </w:r>
      <w:r w:rsidRPr="00BF60BC">
        <w:rPr>
          <w:rFonts w:cstheme="minorHAnsi"/>
          <w:sz w:val="24"/>
          <w:szCs w:val="24"/>
        </w:rPr>
        <w:t xml:space="preserve"> However, two studies based in the US and Finland found that the prevalence of weight-control </w:t>
      </w:r>
      <w:proofErr w:type="spellStart"/>
      <w:r w:rsidR="00DA210E" w:rsidRPr="00BF60BC">
        <w:rPr>
          <w:rFonts w:cstheme="minorHAnsi"/>
          <w:sz w:val="24"/>
          <w:szCs w:val="24"/>
        </w:rPr>
        <w:t>behaviors</w:t>
      </w:r>
      <w:proofErr w:type="spellEnd"/>
      <w:r w:rsidRPr="00BF60BC">
        <w:rPr>
          <w:rFonts w:cstheme="minorHAnsi"/>
          <w:sz w:val="24"/>
          <w:szCs w:val="24"/>
        </w:rPr>
        <w:t xml:space="preserve"> did not change over a 10-year time period(US: 1999-2010; Finland: 2003-2013)</w:t>
      </w:r>
      <w:r w:rsidR="00A00D09" w:rsidRPr="00BF60BC">
        <w:rPr>
          <w:rFonts w:cstheme="minorHAnsi"/>
          <w:sz w:val="24"/>
          <w:szCs w:val="24"/>
        </w:rPr>
        <w:t>,</w:t>
      </w:r>
      <w:r w:rsidRPr="00BF60BC">
        <w:rPr>
          <w:rFonts w:cstheme="minorHAnsi"/>
          <w:sz w:val="24"/>
          <w:szCs w:val="24"/>
        </w:rPr>
        <w:fldChar w:fldCharType="begin" w:fldLock="1"/>
      </w:r>
      <w:r w:rsidR="00C5774B">
        <w:rPr>
          <w:rFonts w:cstheme="minorHAnsi"/>
          <w:sz w:val="24"/>
          <w:szCs w:val="24"/>
        </w:rPr>
        <w:instrText>ADDIN CSL_CITATION {"citationItems":[{"id":"ITEM-1","itemData":{"DOI":"10.1080/08039488.2016.1224272","ISSN":"0803-9488","abstract":"AbstractBackground: A debate concerns whether eating disorders are increasing in prevalence. The role of socio-economic status (SES) for adolescent eating disorders (ED) is another matter of debate...","author":[{"dropping-particle":"","family":"Litmanen","given":"Jessi","non-dropping-particle":"","parse-names":false,"suffix":""},{"dropping-particle":"","family":"Fröjd","given":"Sari","non-dropping-particle":"","parse-names":false,"suffix":""},{"dropping-particle":"","family":"Marttunen","given":"Mauri","non-dropping-particle":"","parse-names":false,"suffix":""},{"dropping-particle":"","family":"Isomaa","given":"Rasmus","non-dropping-particle":"","parse-names":false,"suffix":""},{"dropping-particle":"","family":"Kaltiala-Heino","given":"Riittakerttu","non-dropping-particle":"","parse-names":false,"suffix":""}],"container-title":"Nordic Journal of Psychiatry","id":"ITEM-1","issue":"1","issued":{"date-parts":[["2017","1","2"]]},"page":"61-66","publisher":"Taylor &amp; Francis","title":"Are eating disorders and their symptoms increasing in prevalence among adolescent population?","type":"article-journal","volume":"71"},"uris":["http://www.mendeley.com/documents/?uuid=a7c6c2b2-fcbb-3db4-b94b-2be6a2b2a8ea","http://www.mendeley.com/documents/?uuid=3f832507-154e-4913-bc0a-78558340e42b"]},{"id":"ITEM-2","itemData":{"DOI":"10.1002/eat.22382","ISSN":"1098108X","abstract":"© 2015 Wiley Periodicals, Inc. Objective: In this research study, we examine how both overweight and nonoverweight adolescent girls and boys fared from 1999 to 2010 in terms of disordered eating behaviors and psychosocial well-being. Method: A repeated cross-sectional design was used. Participants were recruited from public schools in 1999 (n = 3072, mean age = 14.6 ± 1.8) and 2010 (n = 2793, mean age = 14.4 ± 2.0). Secular trends were examined by weight status and gender using inverse probability weighting to control for changes in socio-demographics. Results: In general, the prevalence of disordered eating behaviors and markers of psychosocial well-being among overweight girls and boys remained the same from 1999 to 2010. In contrast, among nonoverweight girls, chronic dieting, unhealthy weight control behaviors, and extreme weight control behaviors decreased, and body satisfaction improved during this time period. Further, among non-overweight boys, the prevalence of unhealthy and extreme weight control behaviors decreased, as did mean depression scores. Discussion: Overall, findings indicate a strong need to ensure that messages about the dangers of disordered eating behaviors are reaching overweight youth. Obesity prevention interventions should not overlook the comorbid nature of obesity, disordered eating and poor psychosocial health; prevention programming should address shared risk factors, including dieting, media use, body dissatisfaction, and weight-related teasing.","author":[{"dropping-particle":"","family":"Loth","given":"Katie","non-dropping-particle":"","parse-names":false,"suffix":""},{"dropping-particle":"","family":"Wall","given":"Melanie","non-dropping-particle":"","parse-names":false,"suffix":""},{"dropping-particle":"","family":"Larson","given":"Nicole","non-dropping-particle":"","parse-names":false,"suffix":""},{"dropping-particle":"","family":"Neumark-Sztainer","given":"Dianne","non-dropping-particle":"","parse-names":false,"suffix":""}],"container-title":"International Journal of Eating Disorders","id":"ITEM-2","issued":{"date-parts":[["2015"]]},"title":"Disordered eating and psychological well-being in overweight and nonoverweight adolescents: Secular trends from 1999 to 2010","type":"article-journal"},"uris":["http://www.mendeley.com/documents/?uuid=d778ed4c-10d1-4ab8-8498-648345f99d73"]}],"mendeley":{"formattedCitation":"&lt;sup&gt;19,20&lt;/sup&gt;","plainTextFormattedCitation":"19,20","previouslyFormattedCitation":"&lt;sup&gt;19,20&lt;/sup&gt;"},"properties":{"noteIndex":0},"schema":"https://github.com/citation-style-language/schema/raw/master/csl-citation.json"}</w:instrText>
      </w:r>
      <w:r w:rsidRPr="00BF60BC">
        <w:rPr>
          <w:rFonts w:cstheme="minorHAnsi"/>
          <w:sz w:val="24"/>
          <w:szCs w:val="24"/>
        </w:rPr>
        <w:fldChar w:fldCharType="separate"/>
      </w:r>
      <w:r w:rsidR="00C5774B" w:rsidRPr="00C5774B">
        <w:rPr>
          <w:rFonts w:cstheme="minorHAnsi"/>
          <w:noProof/>
          <w:sz w:val="24"/>
          <w:szCs w:val="24"/>
          <w:vertAlign w:val="superscript"/>
        </w:rPr>
        <w:t>19,20</w:t>
      </w:r>
      <w:r w:rsidRPr="00BF60BC">
        <w:rPr>
          <w:rFonts w:cstheme="minorHAnsi"/>
          <w:sz w:val="24"/>
          <w:szCs w:val="24"/>
        </w:rPr>
        <w:fldChar w:fldCharType="end"/>
      </w:r>
      <w:r w:rsidR="0063482E" w:rsidRPr="00BF60BC">
        <w:rPr>
          <w:rFonts w:cstheme="minorHAnsi"/>
          <w:sz w:val="24"/>
          <w:szCs w:val="24"/>
        </w:rPr>
        <w:t xml:space="preserve"> although girls in Finland became more likely to believe they </w:t>
      </w:r>
      <w:r w:rsidRPr="00BF60BC">
        <w:rPr>
          <w:rFonts w:cstheme="minorHAnsi"/>
          <w:sz w:val="24"/>
          <w:szCs w:val="24"/>
        </w:rPr>
        <w:t>would feel worthless if they could not achieve their desired weight</w:t>
      </w:r>
      <w:r w:rsidR="00A00D09" w:rsidRPr="00BF60BC">
        <w:rPr>
          <w:rFonts w:cstheme="minorHAnsi"/>
          <w:sz w:val="24"/>
          <w:szCs w:val="24"/>
        </w:rPr>
        <w:t>.</w:t>
      </w:r>
      <w:r w:rsidRPr="00BF60BC">
        <w:rPr>
          <w:rFonts w:cstheme="minorHAnsi"/>
          <w:sz w:val="24"/>
          <w:szCs w:val="24"/>
        </w:rPr>
        <w:fldChar w:fldCharType="begin" w:fldLock="1"/>
      </w:r>
      <w:r w:rsidR="00C5774B">
        <w:rPr>
          <w:rFonts w:cstheme="minorHAnsi"/>
          <w:sz w:val="24"/>
          <w:szCs w:val="24"/>
        </w:rPr>
        <w:instrText>ADDIN CSL_CITATION {"citationItems":[{"id":"ITEM-1","itemData":{"DOI":"10.1080/08039488.2016.1224272","ISSN":"0803-9488","abstract":"AbstractBackground: A debate concerns whether eating disorders are increasing in prevalence. The role of socio-economic status (SES) for adolescent eating disorders (ED) is another matter of debate...","author":[{"dropping-particle":"","family":"Litmanen","given":"Jessi","non-dropping-particle":"","parse-names":false,"suffix":""},{"dropping-particle":"","family":"Fröjd","given":"Sari","non-dropping-particle":"","parse-names":false,"suffix":""},{"dropping-particle":"","family":"Marttunen","given":"Mauri","non-dropping-particle":"","parse-names":false,"suffix":""},{"dropping-particle":"","family":"Isomaa","given":"Rasmus","non-dropping-particle":"","parse-names":false,"suffix":""},{"dropping-particle":"","family":"Kaltiala-Heino","given":"Riittakerttu","non-dropping-particle":"","parse-names":false,"suffix":""}],"container-title":"Nordic Journal of Psychiatry","id":"ITEM-1","issue":"1","issued":{"date-parts":[["2017","1","2"]]},"page":"61-66","publisher":"Taylor &amp; Francis","title":"Are eating disorders and their symptoms increasing in prevalence among adolescent population?","type":"article-journal","volume":"71"},"uris":["http://www.mendeley.com/documents/?uuid=a7c6c2b2-fcbb-3db4-b94b-2be6a2b2a8ea","http://www.mendeley.com/documents/?uuid=3f832507-154e-4913-bc0a-78558340e42b"]}],"mendeley":{"formattedCitation":"&lt;sup&gt;19&lt;/sup&gt;","plainTextFormattedCitation":"19","previouslyFormattedCitation":"&lt;sup&gt;19&lt;/sup&gt;"},"properties":{"noteIndex":0},"schema":"https://github.com/citation-style-language/schema/raw/master/csl-citation.json"}</w:instrText>
      </w:r>
      <w:r w:rsidRPr="00BF60BC">
        <w:rPr>
          <w:rFonts w:cstheme="minorHAnsi"/>
          <w:sz w:val="24"/>
          <w:szCs w:val="24"/>
        </w:rPr>
        <w:fldChar w:fldCharType="separate"/>
      </w:r>
      <w:r w:rsidR="00C5774B" w:rsidRPr="00C5774B">
        <w:rPr>
          <w:rFonts w:cstheme="minorHAnsi"/>
          <w:noProof/>
          <w:sz w:val="24"/>
          <w:szCs w:val="24"/>
          <w:vertAlign w:val="superscript"/>
        </w:rPr>
        <w:t>19</w:t>
      </w:r>
      <w:r w:rsidRPr="00BF60BC">
        <w:rPr>
          <w:rFonts w:cstheme="minorHAnsi"/>
          <w:sz w:val="24"/>
          <w:szCs w:val="24"/>
        </w:rPr>
        <w:fldChar w:fldCharType="end"/>
      </w:r>
      <w:r w:rsidRPr="00BF60BC">
        <w:rPr>
          <w:rFonts w:cstheme="minorHAnsi"/>
          <w:sz w:val="24"/>
          <w:szCs w:val="24"/>
        </w:rPr>
        <w:t xml:space="preserve"> </w:t>
      </w:r>
      <w:bookmarkStart w:id="5" w:name="_Hlk37856113"/>
      <w:r w:rsidR="00A00D09" w:rsidRPr="00BF60BC">
        <w:rPr>
          <w:rFonts w:cstheme="minorHAnsi"/>
          <w:sz w:val="24"/>
          <w:szCs w:val="24"/>
        </w:rPr>
        <w:t>This suggests that the</w:t>
      </w:r>
      <w:r w:rsidRPr="00BF60BC">
        <w:rPr>
          <w:rFonts w:cstheme="minorHAnsi"/>
          <w:sz w:val="24"/>
          <w:szCs w:val="24"/>
        </w:rPr>
        <w:t xml:space="preserve"> psychological burden associated </w:t>
      </w:r>
      <w:r w:rsidR="00A00D09" w:rsidRPr="00BF60BC">
        <w:rPr>
          <w:rFonts w:cstheme="minorHAnsi"/>
          <w:sz w:val="24"/>
          <w:szCs w:val="24"/>
        </w:rPr>
        <w:t>with these behaviours</w:t>
      </w:r>
      <w:r w:rsidRPr="00BF60BC">
        <w:rPr>
          <w:rFonts w:cstheme="minorHAnsi"/>
          <w:sz w:val="24"/>
          <w:szCs w:val="24"/>
        </w:rPr>
        <w:t xml:space="preserve"> might </w:t>
      </w:r>
      <w:r w:rsidR="00A00D09" w:rsidRPr="00BF60BC">
        <w:rPr>
          <w:rFonts w:cstheme="minorHAnsi"/>
          <w:sz w:val="24"/>
          <w:szCs w:val="24"/>
        </w:rPr>
        <w:t>have increased</w:t>
      </w:r>
      <w:r w:rsidRPr="00BF60BC">
        <w:rPr>
          <w:rFonts w:cstheme="minorHAnsi"/>
          <w:sz w:val="24"/>
          <w:szCs w:val="24"/>
        </w:rPr>
        <w:t xml:space="preserve"> over time.</w:t>
      </w:r>
      <w:bookmarkEnd w:id="5"/>
    </w:p>
    <w:p w14:paraId="038BFE54" w14:textId="77777777" w:rsidR="00E00272" w:rsidRPr="00BF60BC" w:rsidRDefault="00E00272" w:rsidP="00655F22">
      <w:pPr>
        <w:spacing w:after="0" w:line="360" w:lineRule="auto"/>
        <w:jc w:val="both"/>
        <w:rPr>
          <w:rFonts w:cstheme="minorHAnsi"/>
          <w:sz w:val="24"/>
          <w:szCs w:val="24"/>
        </w:rPr>
      </w:pPr>
    </w:p>
    <w:p w14:paraId="70887639" w14:textId="296B065F" w:rsidR="00285FA0" w:rsidRPr="00BF60BC" w:rsidRDefault="00EC5245" w:rsidP="00655F22">
      <w:pPr>
        <w:spacing w:after="0" w:line="360" w:lineRule="auto"/>
        <w:jc w:val="both"/>
        <w:rPr>
          <w:rFonts w:cstheme="minorHAnsi"/>
          <w:sz w:val="24"/>
          <w:szCs w:val="24"/>
        </w:rPr>
      </w:pPr>
      <w:r w:rsidRPr="00BF60BC">
        <w:rPr>
          <w:rFonts w:cstheme="minorHAnsi"/>
          <w:sz w:val="24"/>
          <w:szCs w:val="24"/>
        </w:rPr>
        <w:t>In</w:t>
      </w:r>
      <w:r w:rsidR="00285FA0" w:rsidRPr="00BF60BC">
        <w:rPr>
          <w:rFonts w:cstheme="minorHAnsi"/>
          <w:sz w:val="24"/>
          <w:szCs w:val="24"/>
        </w:rPr>
        <w:t xml:space="preserve"> this study we </w:t>
      </w:r>
      <w:r w:rsidR="00B41995" w:rsidRPr="00BF60BC">
        <w:rPr>
          <w:rFonts w:cstheme="minorHAnsi"/>
          <w:sz w:val="24"/>
          <w:szCs w:val="24"/>
        </w:rPr>
        <w:t xml:space="preserve">used </w:t>
      </w:r>
      <w:r w:rsidR="00285FA0" w:rsidRPr="00BF60BC">
        <w:rPr>
          <w:rFonts w:cstheme="minorHAnsi"/>
          <w:sz w:val="24"/>
          <w:szCs w:val="24"/>
        </w:rPr>
        <w:t>harmoni</w:t>
      </w:r>
      <w:r w:rsidR="006068CA">
        <w:rPr>
          <w:rFonts w:cstheme="minorHAnsi"/>
          <w:sz w:val="24"/>
          <w:szCs w:val="24"/>
        </w:rPr>
        <w:t>z</w:t>
      </w:r>
      <w:r w:rsidR="00285FA0" w:rsidRPr="00BF60BC">
        <w:rPr>
          <w:rFonts w:cstheme="minorHAnsi"/>
          <w:sz w:val="24"/>
          <w:szCs w:val="24"/>
        </w:rPr>
        <w:t xml:space="preserve">ed data </w:t>
      </w:r>
      <w:r w:rsidR="00A92D9C" w:rsidRPr="00BF60BC">
        <w:rPr>
          <w:rFonts w:cstheme="minorHAnsi"/>
          <w:sz w:val="24"/>
          <w:szCs w:val="24"/>
        </w:rPr>
        <w:t xml:space="preserve">spanning 30 years derived </w:t>
      </w:r>
      <w:r w:rsidR="00285FA0" w:rsidRPr="00BF60BC">
        <w:rPr>
          <w:rFonts w:cstheme="minorHAnsi"/>
          <w:sz w:val="24"/>
          <w:szCs w:val="24"/>
        </w:rPr>
        <w:t xml:space="preserve">from three UK </w:t>
      </w:r>
      <w:r w:rsidR="00B41995" w:rsidRPr="00BF60BC">
        <w:rPr>
          <w:rFonts w:cstheme="minorHAnsi"/>
          <w:sz w:val="24"/>
          <w:szCs w:val="24"/>
        </w:rPr>
        <w:t xml:space="preserve">birth </w:t>
      </w:r>
      <w:r w:rsidR="00285FA0" w:rsidRPr="00BF60BC">
        <w:rPr>
          <w:rFonts w:cstheme="minorHAnsi"/>
          <w:sz w:val="24"/>
          <w:szCs w:val="24"/>
        </w:rPr>
        <w:t>cohort</w:t>
      </w:r>
      <w:r w:rsidR="00A00D09" w:rsidRPr="00BF60BC">
        <w:rPr>
          <w:rFonts w:cstheme="minorHAnsi"/>
          <w:sz w:val="24"/>
          <w:szCs w:val="24"/>
        </w:rPr>
        <w:t>s</w:t>
      </w:r>
      <w:r w:rsidR="00285FA0" w:rsidRPr="00BF60BC">
        <w:rPr>
          <w:rFonts w:cstheme="minorHAnsi"/>
          <w:sz w:val="24"/>
          <w:szCs w:val="24"/>
        </w:rPr>
        <w:t xml:space="preserve"> which collected data </w:t>
      </w:r>
      <w:r w:rsidR="00141B0C" w:rsidRPr="00BF60BC">
        <w:rPr>
          <w:rFonts w:cstheme="minorHAnsi"/>
          <w:sz w:val="24"/>
          <w:szCs w:val="24"/>
        </w:rPr>
        <w:t xml:space="preserve">in mid-adolescence </w:t>
      </w:r>
      <w:r w:rsidR="00285FA0" w:rsidRPr="00BF60BC">
        <w:rPr>
          <w:rFonts w:cstheme="minorHAnsi"/>
          <w:sz w:val="24"/>
          <w:szCs w:val="24"/>
        </w:rPr>
        <w:t xml:space="preserve">on </w:t>
      </w:r>
      <w:r w:rsidR="00E10730" w:rsidRPr="00BF60BC">
        <w:rPr>
          <w:rFonts w:cstheme="minorHAnsi"/>
          <w:sz w:val="24"/>
          <w:szCs w:val="24"/>
        </w:rPr>
        <w:t xml:space="preserve">weight perception </w:t>
      </w:r>
      <w:r w:rsidR="00285FA0" w:rsidRPr="00BF60BC">
        <w:rPr>
          <w:rFonts w:cstheme="minorHAnsi"/>
          <w:sz w:val="24"/>
          <w:szCs w:val="24"/>
        </w:rPr>
        <w:t xml:space="preserve">and weight-control </w:t>
      </w:r>
      <w:proofErr w:type="spellStart"/>
      <w:r w:rsidR="00DA210E" w:rsidRPr="00BF60BC">
        <w:rPr>
          <w:rFonts w:cstheme="minorHAnsi"/>
          <w:sz w:val="24"/>
          <w:szCs w:val="24"/>
        </w:rPr>
        <w:t>behaviors</w:t>
      </w:r>
      <w:proofErr w:type="spellEnd"/>
      <w:r w:rsidR="00285FA0" w:rsidRPr="00BF60BC">
        <w:rPr>
          <w:rFonts w:cstheme="minorHAnsi"/>
          <w:sz w:val="24"/>
          <w:szCs w:val="24"/>
        </w:rPr>
        <w:t xml:space="preserve"> in 1986, 2005, and 2015</w:t>
      </w:r>
      <w:r w:rsidR="00D8406B" w:rsidRPr="00BF60BC">
        <w:rPr>
          <w:rFonts w:cstheme="minorHAnsi"/>
          <w:sz w:val="24"/>
          <w:szCs w:val="24"/>
        </w:rPr>
        <w:t xml:space="preserve">, </w:t>
      </w:r>
      <w:r w:rsidR="00285FA0" w:rsidRPr="00BF60BC">
        <w:rPr>
          <w:rFonts w:cstheme="minorHAnsi"/>
          <w:sz w:val="24"/>
          <w:szCs w:val="24"/>
        </w:rPr>
        <w:t>with two aims. First</w:t>
      </w:r>
      <w:r w:rsidR="0057329B" w:rsidRPr="00BF60BC">
        <w:rPr>
          <w:rFonts w:cstheme="minorHAnsi"/>
          <w:sz w:val="24"/>
          <w:szCs w:val="24"/>
        </w:rPr>
        <w:t xml:space="preserve">, we examine whether the prevalence of weight-control </w:t>
      </w:r>
      <w:proofErr w:type="spellStart"/>
      <w:r w:rsidR="0057329B" w:rsidRPr="00BF60BC">
        <w:rPr>
          <w:rFonts w:cstheme="minorHAnsi"/>
          <w:sz w:val="24"/>
          <w:szCs w:val="24"/>
        </w:rPr>
        <w:t>behaviors</w:t>
      </w:r>
      <w:proofErr w:type="spellEnd"/>
      <w:r w:rsidR="0057329B" w:rsidRPr="00BF60BC">
        <w:rPr>
          <w:rFonts w:cstheme="minorHAnsi"/>
          <w:sz w:val="24"/>
          <w:szCs w:val="24"/>
        </w:rPr>
        <w:t xml:space="preserve"> and weight perception changed in the three decades between 1986 and </w:t>
      </w:r>
      <w:r w:rsidR="0057329B" w:rsidRPr="00BF60BC">
        <w:rPr>
          <w:rFonts w:cstheme="minorHAnsi"/>
          <w:sz w:val="24"/>
          <w:szCs w:val="24"/>
        </w:rPr>
        <w:lastRenderedPageBreak/>
        <w:t>2015 and whether any changes vary by sex.  Second, we estimate the</w:t>
      </w:r>
      <w:r w:rsidR="00063C24">
        <w:rPr>
          <w:rFonts w:cstheme="minorHAnsi"/>
          <w:sz w:val="24"/>
          <w:szCs w:val="24"/>
        </w:rPr>
        <w:t>ir</w:t>
      </w:r>
      <w:r w:rsidR="0057329B" w:rsidRPr="00BF60BC">
        <w:rPr>
          <w:rFonts w:cstheme="minorHAnsi"/>
          <w:sz w:val="24"/>
          <w:szCs w:val="24"/>
        </w:rPr>
        <w:t xml:space="preserve"> related psychological burden by investigating their associations with depressive symptoms and the magnitude</w:t>
      </w:r>
      <w:r w:rsidR="00063C24">
        <w:rPr>
          <w:rFonts w:cstheme="minorHAnsi"/>
          <w:sz w:val="24"/>
          <w:szCs w:val="24"/>
        </w:rPr>
        <w:t xml:space="preserve"> of these associations</w:t>
      </w:r>
      <w:r w:rsidR="0057329B" w:rsidRPr="00BF60BC">
        <w:rPr>
          <w:rFonts w:cstheme="minorHAnsi"/>
          <w:sz w:val="24"/>
          <w:szCs w:val="24"/>
        </w:rPr>
        <w:t xml:space="preserve"> has changed over time.</w:t>
      </w:r>
    </w:p>
    <w:p w14:paraId="331CF73E" w14:textId="0352E94A" w:rsidR="00E81393" w:rsidRPr="00BF60BC" w:rsidRDefault="00E81393" w:rsidP="00655F22">
      <w:pPr>
        <w:spacing w:after="0" w:line="360" w:lineRule="auto"/>
        <w:jc w:val="both"/>
        <w:rPr>
          <w:rFonts w:ascii="Cambria" w:eastAsia="Times New Roman" w:hAnsi="Cambria" w:cs="Calibri"/>
          <w:b/>
          <w:sz w:val="24"/>
          <w:szCs w:val="24"/>
        </w:rPr>
      </w:pPr>
    </w:p>
    <w:p w14:paraId="1ECC652C" w14:textId="77777777" w:rsidR="00B41995" w:rsidRPr="00BF60BC" w:rsidRDefault="00B41995" w:rsidP="00655F22">
      <w:pPr>
        <w:spacing w:after="0" w:line="360" w:lineRule="auto"/>
        <w:jc w:val="both"/>
        <w:rPr>
          <w:rFonts w:ascii="Cambria" w:eastAsia="Times New Roman" w:hAnsi="Cambria" w:cs="Calibri"/>
          <w:b/>
          <w:sz w:val="24"/>
          <w:szCs w:val="24"/>
        </w:rPr>
      </w:pPr>
    </w:p>
    <w:p w14:paraId="513BD919" w14:textId="7AB5FFA3" w:rsidR="0097636A" w:rsidRPr="00BF60BC" w:rsidRDefault="0097636A" w:rsidP="00655F22">
      <w:pPr>
        <w:spacing w:after="0" w:line="360" w:lineRule="auto"/>
        <w:jc w:val="both"/>
        <w:rPr>
          <w:rFonts w:ascii="Cambria" w:eastAsia="Times New Roman" w:hAnsi="Cambria" w:cs="Calibri"/>
          <w:b/>
          <w:sz w:val="24"/>
          <w:szCs w:val="24"/>
        </w:rPr>
      </w:pPr>
      <w:r w:rsidRPr="00BF60BC">
        <w:rPr>
          <w:rFonts w:ascii="Cambria" w:eastAsia="Times New Roman" w:hAnsi="Cambria" w:cs="Calibri"/>
          <w:b/>
          <w:sz w:val="24"/>
          <w:szCs w:val="24"/>
        </w:rPr>
        <w:t>METHOD</w:t>
      </w:r>
    </w:p>
    <w:p w14:paraId="00046456" w14:textId="77777777" w:rsidR="0097636A" w:rsidRPr="00BF60BC" w:rsidRDefault="0097636A" w:rsidP="00655F22">
      <w:pPr>
        <w:spacing w:after="0" w:line="360" w:lineRule="auto"/>
        <w:jc w:val="both"/>
        <w:rPr>
          <w:rFonts w:ascii="Calibri" w:eastAsia="Times New Roman" w:hAnsi="Calibri" w:cs="Calibri"/>
          <w:b/>
          <w:sz w:val="24"/>
          <w:szCs w:val="24"/>
        </w:rPr>
      </w:pPr>
      <w:r w:rsidRPr="00BF60BC">
        <w:rPr>
          <w:rFonts w:ascii="Calibri" w:eastAsia="Times New Roman" w:hAnsi="Calibri" w:cs="Calibri"/>
          <w:b/>
          <w:sz w:val="24"/>
          <w:szCs w:val="24"/>
        </w:rPr>
        <w:t>Participants/Cohorts</w:t>
      </w:r>
    </w:p>
    <w:p w14:paraId="474CC0AF" w14:textId="09E03777" w:rsidR="00655F22" w:rsidRPr="00655F22" w:rsidRDefault="00D8406B" w:rsidP="00655F22">
      <w:pPr>
        <w:spacing w:after="0" w:line="360" w:lineRule="auto"/>
        <w:jc w:val="both"/>
        <w:rPr>
          <w:rFonts w:ascii="Calibri" w:eastAsia="Times New Roman" w:hAnsi="Calibri" w:cs="Calibri"/>
          <w:color w:val="000000"/>
          <w:sz w:val="24"/>
          <w:szCs w:val="24"/>
        </w:rPr>
      </w:pPr>
      <w:bookmarkStart w:id="6" w:name="_Hlk38538284"/>
      <w:r w:rsidRPr="00BF60BC">
        <w:rPr>
          <w:rFonts w:ascii="Calibri" w:eastAsia="Times New Roman" w:hAnsi="Calibri" w:cs="Calibri"/>
          <w:color w:val="000000"/>
          <w:sz w:val="24"/>
          <w:szCs w:val="24"/>
        </w:rPr>
        <w:t>We</w:t>
      </w:r>
      <w:r w:rsidR="0097636A" w:rsidRPr="00BF60BC">
        <w:rPr>
          <w:rFonts w:ascii="Calibri" w:eastAsia="Times New Roman" w:hAnsi="Calibri" w:cs="Calibri"/>
          <w:color w:val="000000"/>
          <w:sz w:val="24"/>
          <w:szCs w:val="24"/>
        </w:rPr>
        <w:t xml:space="preserve"> used data from three </w:t>
      </w:r>
      <w:r w:rsidR="00910661" w:rsidRPr="00BF60BC">
        <w:rPr>
          <w:rFonts w:ascii="Calibri" w:eastAsia="Times New Roman" w:hAnsi="Calibri" w:cs="Calibri"/>
          <w:color w:val="000000"/>
          <w:sz w:val="24"/>
          <w:szCs w:val="24"/>
        </w:rPr>
        <w:t xml:space="preserve">UK </w:t>
      </w:r>
      <w:r w:rsidR="0097636A" w:rsidRPr="00BF60BC">
        <w:rPr>
          <w:rFonts w:ascii="Calibri" w:eastAsia="Times New Roman" w:hAnsi="Calibri" w:cs="Calibri"/>
          <w:color w:val="000000"/>
          <w:sz w:val="24"/>
          <w:szCs w:val="24"/>
        </w:rPr>
        <w:t>cohorts</w:t>
      </w:r>
      <w:r w:rsidR="00910661" w:rsidRPr="00BF60BC">
        <w:rPr>
          <w:rFonts w:ascii="Calibri" w:eastAsia="Times New Roman" w:hAnsi="Calibri" w:cs="Calibri"/>
          <w:color w:val="000000"/>
          <w:sz w:val="24"/>
          <w:szCs w:val="24"/>
        </w:rPr>
        <w:t>:</w:t>
      </w:r>
      <w:r w:rsidR="0097636A" w:rsidRPr="00BF60BC">
        <w:rPr>
          <w:rFonts w:ascii="Calibri" w:eastAsia="Times New Roman" w:hAnsi="Calibri" w:cs="Calibri"/>
          <w:color w:val="000000"/>
          <w:sz w:val="24"/>
          <w:szCs w:val="24"/>
        </w:rPr>
        <w:t xml:space="preserve"> </w:t>
      </w:r>
      <w:r w:rsidR="00910661" w:rsidRPr="00BF60BC">
        <w:rPr>
          <w:rFonts w:ascii="Calibri" w:eastAsia="Times New Roman" w:hAnsi="Calibri" w:cs="Calibri"/>
          <w:color w:val="000000"/>
          <w:sz w:val="24"/>
          <w:szCs w:val="24"/>
        </w:rPr>
        <w:t xml:space="preserve">1970 British Cohort </w:t>
      </w:r>
      <w:proofErr w:type="gramStart"/>
      <w:r w:rsidR="00910661" w:rsidRPr="00BF60BC">
        <w:rPr>
          <w:rFonts w:ascii="Calibri" w:eastAsia="Times New Roman" w:hAnsi="Calibri" w:cs="Calibri"/>
          <w:color w:val="000000"/>
          <w:sz w:val="24"/>
          <w:szCs w:val="24"/>
        </w:rPr>
        <w:t>Study(</w:t>
      </w:r>
      <w:proofErr w:type="gramEnd"/>
      <w:r w:rsidR="00063C24">
        <w:rPr>
          <w:rFonts w:ascii="Calibri" w:eastAsia="Times New Roman" w:hAnsi="Calibri" w:cs="Calibri"/>
          <w:color w:val="000000"/>
          <w:sz w:val="24"/>
          <w:szCs w:val="24"/>
        </w:rPr>
        <w:t>BCS</w:t>
      </w:r>
      <w:r w:rsidR="00910661" w:rsidRPr="00BF60BC">
        <w:rPr>
          <w:rFonts w:ascii="Calibri" w:eastAsia="Times New Roman" w:hAnsi="Calibri" w:cs="Calibri"/>
          <w:color w:val="000000"/>
          <w:sz w:val="24"/>
          <w:szCs w:val="24"/>
        </w:rPr>
        <w:t>), Avon Longitudinal Study of Parents and Children(ALSPAC), and Millennium Cohort Study(MCS</w:t>
      </w:r>
      <w:r w:rsidR="00655F22">
        <w:rPr>
          <w:rFonts w:ascii="Calibri" w:eastAsia="Times New Roman" w:hAnsi="Calibri" w:cs="Calibri"/>
          <w:color w:val="000000"/>
          <w:sz w:val="24"/>
          <w:szCs w:val="24"/>
        </w:rPr>
        <w:t xml:space="preserve">, details in </w:t>
      </w:r>
      <w:r w:rsidR="00655F22" w:rsidRPr="00655F22">
        <w:rPr>
          <w:rFonts w:ascii="Calibri" w:eastAsia="Times New Roman" w:hAnsi="Calibri" w:cs="Calibri"/>
          <w:b/>
          <w:color w:val="000000"/>
          <w:sz w:val="24"/>
          <w:szCs w:val="24"/>
        </w:rPr>
        <w:t>eMethod1</w:t>
      </w:r>
      <w:r w:rsidR="00717CC5" w:rsidRPr="00BF60BC">
        <w:rPr>
          <w:rFonts w:ascii="Calibri" w:eastAsia="Times New Roman" w:hAnsi="Calibri" w:cs="Calibri"/>
          <w:color w:val="000000"/>
          <w:sz w:val="24"/>
          <w:szCs w:val="24"/>
        </w:rPr>
        <w:t>)</w:t>
      </w:r>
      <w:bookmarkStart w:id="7" w:name="_Hlk37409221"/>
      <w:r w:rsidR="00655F22">
        <w:rPr>
          <w:rFonts w:ascii="Calibri" w:eastAsia="Times New Roman" w:hAnsi="Calibri" w:cs="Calibri"/>
          <w:color w:val="000000"/>
          <w:sz w:val="24"/>
          <w:szCs w:val="24"/>
        </w:rPr>
        <w:t xml:space="preserve"> </w:t>
      </w:r>
      <w:r w:rsidR="00910661" w:rsidRPr="00BF60BC">
        <w:rPr>
          <w:rFonts w:ascii="Calibri" w:eastAsia="Times New Roman" w:hAnsi="Calibri" w:cs="Calibri"/>
          <w:color w:val="000000"/>
          <w:sz w:val="24"/>
          <w:szCs w:val="24"/>
        </w:rPr>
        <w:t>c</w:t>
      </w:r>
      <w:r w:rsidR="0097636A" w:rsidRPr="00BF60BC">
        <w:rPr>
          <w:rFonts w:ascii="Calibri" w:eastAsia="Times New Roman" w:hAnsi="Calibri" w:cs="Calibri"/>
          <w:color w:val="000000"/>
          <w:sz w:val="24"/>
          <w:szCs w:val="24"/>
        </w:rPr>
        <w:t>ollected</w:t>
      </w:r>
      <w:r w:rsidR="00655F22">
        <w:rPr>
          <w:rFonts w:ascii="Calibri" w:eastAsia="Times New Roman" w:hAnsi="Calibri" w:cs="Calibri"/>
          <w:color w:val="000000"/>
          <w:sz w:val="24"/>
          <w:szCs w:val="24"/>
        </w:rPr>
        <w:t xml:space="preserve"> </w:t>
      </w:r>
      <w:r w:rsidR="0097636A" w:rsidRPr="00BF60BC">
        <w:rPr>
          <w:rFonts w:ascii="Calibri" w:eastAsia="Times New Roman" w:hAnsi="Calibri" w:cs="Calibri"/>
          <w:color w:val="000000"/>
          <w:sz w:val="24"/>
          <w:szCs w:val="24"/>
        </w:rPr>
        <w:t>when participa</w:t>
      </w:r>
      <w:r w:rsidR="0015758F" w:rsidRPr="00BF60BC">
        <w:rPr>
          <w:rFonts w:ascii="Calibri" w:eastAsia="Times New Roman" w:hAnsi="Calibri" w:cs="Calibri"/>
          <w:color w:val="000000"/>
          <w:sz w:val="24"/>
          <w:szCs w:val="24"/>
        </w:rPr>
        <w:t>nts were approximately 16(BCS</w:t>
      </w:r>
      <w:r w:rsidR="00637EEF" w:rsidRPr="00BF60BC">
        <w:rPr>
          <w:rFonts w:ascii="Calibri" w:eastAsia="Times New Roman" w:hAnsi="Calibri" w:cs="Calibri"/>
          <w:color w:val="000000"/>
          <w:sz w:val="24"/>
          <w:szCs w:val="24"/>
        </w:rPr>
        <w:t>, in 1986</w:t>
      </w:r>
      <w:r w:rsidR="0097636A" w:rsidRPr="00BF60BC">
        <w:rPr>
          <w:rFonts w:ascii="Calibri" w:eastAsia="Times New Roman" w:hAnsi="Calibri" w:cs="Calibri"/>
          <w:color w:val="000000"/>
          <w:sz w:val="24"/>
          <w:szCs w:val="24"/>
        </w:rPr>
        <w:t>) and 14 y</w:t>
      </w:r>
      <w:r w:rsidR="0015758F" w:rsidRPr="00BF60BC">
        <w:rPr>
          <w:rFonts w:ascii="Calibri" w:eastAsia="Times New Roman" w:hAnsi="Calibri" w:cs="Calibri"/>
          <w:color w:val="000000"/>
          <w:sz w:val="24"/>
          <w:szCs w:val="24"/>
        </w:rPr>
        <w:t>ears(ALSPAC</w:t>
      </w:r>
      <w:r w:rsidR="00637EEF" w:rsidRPr="00BF60BC">
        <w:rPr>
          <w:rFonts w:ascii="Calibri" w:eastAsia="Times New Roman" w:hAnsi="Calibri" w:cs="Calibri"/>
          <w:color w:val="000000"/>
          <w:sz w:val="24"/>
          <w:szCs w:val="24"/>
        </w:rPr>
        <w:t>, in 2005,</w:t>
      </w:r>
      <w:r w:rsidR="0015758F" w:rsidRPr="00BF60BC">
        <w:rPr>
          <w:rFonts w:ascii="Calibri" w:eastAsia="Times New Roman" w:hAnsi="Calibri" w:cs="Calibri"/>
          <w:color w:val="000000"/>
          <w:sz w:val="24"/>
          <w:szCs w:val="24"/>
        </w:rPr>
        <w:t xml:space="preserve"> and MCS</w:t>
      </w:r>
      <w:r w:rsidR="00637EEF" w:rsidRPr="00BF60BC">
        <w:rPr>
          <w:rFonts w:ascii="Calibri" w:eastAsia="Times New Roman" w:hAnsi="Calibri" w:cs="Calibri"/>
          <w:color w:val="000000"/>
          <w:sz w:val="24"/>
          <w:szCs w:val="24"/>
        </w:rPr>
        <w:t xml:space="preserve"> in 2015</w:t>
      </w:r>
      <w:r w:rsidR="0015758F" w:rsidRPr="00BF60BC">
        <w:rPr>
          <w:rFonts w:ascii="Calibri" w:eastAsia="Times New Roman" w:hAnsi="Calibri" w:cs="Calibri"/>
          <w:color w:val="000000"/>
          <w:sz w:val="24"/>
          <w:szCs w:val="24"/>
        </w:rPr>
        <w:t>)</w:t>
      </w:r>
      <w:r w:rsidR="0097636A" w:rsidRPr="00BF60BC">
        <w:rPr>
          <w:rFonts w:ascii="Calibri" w:eastAsia="Times New Roman" w:hAnsi="Calibri" w:cs="Calibri"/>
          <w:color w:val="000000"/>
          <w:sz w:val="24"/>
          <w:szCs w:val="24"/>
        </w:rPr>
        <w:t>.</w:t>
      </w:r>
      <w:bookmarkEnd w:id="6"/>
      <w:bookmarkEnd w:id="7"/>
      <w:r w:rsidR="00655F22">
        <w:rPr>
          <w:rFonts w:ascii="Calibri" w:eastAsia="Times New Roman" w:hAnsi="Calibri" w:cs="Calibri"/>
          <w:color w:val="000000"/>
          <w:sz w:val="24"/>
          <w:szCs w:val="24"/>
        </w:rPr>
        <w:t xml:space="preserve"> Henceforth, </w:t>
      </w:r>
      <w:r w:rsidR="00637EEF" w:rsidRPr="00BF60BC">
        <w:rPr>
          <w:rFonts w:ascii="Calibri" w:eastAsia="Times New Roman" w:hAnsi="Calibri" w:cs="Calibri"/>
          <w:color w:val="000000"/>
          <w:sz w:val="24"/>
          <w:szCs w:val="24"/>
        </w:rPr>
        <w:t xml:space="preserve">we refer to each cohort by the year at which the outcomes were </w:t>
      </w:r>
      <w:proofErr w:type="gramStart"/>
      <w:r w:rsidR="00637EEF" w:rsidRPr="00BF60BC">
        <w:rPr>
          <w:rFonts w:ascii="Calibri" w:eastAsia="Times New Roman" w:hAnsi="Calibri" w:cs="Calibri"/>
          <w:color w:val="000000"/>
          <w:sz w:val="24"/>
          <w:szCs w:val="24"/>
        </w:rPr>
        <w:t>measured</w:t>
      </w:r>
      <w:r w:rsidR="009E70A8" w:rsidRPr="00BF60BC">
        <w:rPr>
          <w:rFonts w:ascii="Calibri" w:eastAsia="Times New Roman" w:hAnsi="Calibri" w:cs="Calibri"/>
          <w:color w:val="000000"/>
          <w:sz w:val="24"/>
          <w:szCs w:val="24"/>
        </w:rPr>
        <w:t>(</w:t>
      </w:r>
      <w:proofErr w:type="gramEnd"/>
      <w:r w:rsidR="00C47373" w:rsidRPr="00BF60BC">
        <w:rPr>
          <w:rFonts w:ascii="Calibri" w:eastAsia="Times New Roman" w:hAnsi="Calibri" w:cs="Calibri"/>
          <w:color w:val="000000"/>
          <w:sz w:val="24"/>
          <w:szCs w:val="24"/>
        </w:rPr>
        <w:t>1986, 2005, 2015)</w:t>
      </w:r>
      <w:r w:rsidR="00637EEF" w:rsidRPr="00BF60BC">
        <w:rPr>
          <w:rFonts w:ascii="Calibri" w:eastAsia="Times New Roman" w:hAnsi="Calibri" w:cs="Calibri"/>
          <w:color w:val="000000"/>
          <w:sz w:val="24"/>
          <w:szCs w:val="24"/>
        </w:rPr>
        <w:t xml:space="preserve">. </w:t>
      </w:r>
      <w:r w:rsidR="00655F22" w:rsidRPr="00655F22">
        <w:rPr>
          <w:rFonts w:ascii="Calibri" w:eastAsia="Times New Roman" w:hAnsi="Calibri" w:cs="Calibri"/>
          <w:iCs/>
          <w:color w:val="000000"/>
          <w:sz w:val="24"/>
          <w:szCs w:val="24"/>
        </w:rPr>
        <w:t xml:space="preserve">Ethics approval for </w:t>
      </w:r>
      <w:r w:rsidR="00063C24">
        <w:rPr>
          <w:rFonts w:ascii="Calibri" w:eastAsia="Times New Roman" w:hAnsi="Calibri" w:cs="Calibri"/>
          <w:iCs/>
          <w:color w:val="000000"/>
          <w:sz w:val="24"/>
          <w:szCs w:val="24"/>
        </w:rPr>
        <w:t>BCS</w:t>
      </w:r>
      <w:r w:rsidR="00655F22" w:rsidRPr="00655F22">
        <w:rPr>
          <w:rFonts w:ascii="Calibri" w:eastAsia="Times New Roman" w:hAnsi="Calibri" w:cs="Calibri"/>
          <w:iCs/>
          <w:color w:val="000000"/>
          <w:sz w:val="24"/>
          <w:szCs w:val="24"/>
        </w:rPr>
        <w:t xml:space="preserve"> was obtained for all sweeps after the year 2000. Prior sweeps receive</w:t>
      </w:r>
      <w:r w:rsidR="00173961">
        <w:rPr>
          <w:rFonts w:ascii="Calibri" w:eastAsia="Times New Roman" w:hAnsi="Calibri" w:cs="Calibri"/>
          <w:iCs/>
          <w:color w:val="000000"/>
          <w:sz w:val="24"/>
          <w:szCs w:val="24"/>
        </w:rPr>
        <w:t>d</w:t>
      </w:r>
      <w:r w:rsidR="00655F22" w:rsidRPr="00655F22">
        <w:rPr>
          <w:rFonts w:ascii="Calibri" w:eastAsia="Times New Roman" w:hAnsi="Calibri" w:cs="Calibri"/>
          <w:iCs/>
          <w:color w:val="000000"/>
          <w:sz w:val="24"/>
          <w:szCs w:val="24"/>
        </w:rPr>
        <w:t xml:space="preserve"> internal approval in line with the regulations of the time.</w:t>
      </w:r>
      <w:r w:rsidR="00655F22" w:rsidRPr="00655F22">
        <w:rPr>
          <w:rFonts w:ascii="Calibri" w:eastAsia="Times New Roman" w:hAnsi="Calibri" w:cs="Calibri"/>
          <w:iCs/>
          <w:color w:val="000000"/>
          <w:sz w:val="24"/>
          <w:szCs w:val="24"/>
        </w:rPr>
        <w:fldChar w:fldCharType="begin" w:fldLock="1"/>
      </w:r>
      <w:r w:rsidR="00C5774B">
        <w:rPr>
          <w:rFonts w:ascii="Calibri" w:eastAsia="Times New Roman" w:hAnsi="Calibri" w:cs="Calibri"/>
          <w:iCs/>
          <w:color w:val="000000"/>
          <w:sz w:val="24"/>
          <w:szCs w:val="24"/>
        </w:rPr>
        <w:instrText>ADDIN CSL_CITATION {"citationItems":[{"id":"ITEM-1","itemData":{"author":[{"dropping-particle":"","family":"Shepherd","given":"P","non-dropping-particle":"","parse-names":false,"suffix":""}],"id":"ITEM-1","issued":{"date-parts":[["2012"]]},"title":"1970 British Cohort Study Ethical review and consent","type":"report"},"uris":["http://www.mendeley.com/documents/?uuid=415b5193-c21d-4208-be9f-72218a732abb"]}],"mendeley":{"formattedCitation":"&lt;sup&gt;21&lt;/sup&gt;","plainTextFormattedCitation":"21","previouslyFormattedCitation":"&lt;sup&gt;21&lt;/sup&gt;"},"properties":{"noteIndex":0},"schema":"https://github.com/citation-style-language/schema/raw/master/csl-citation.json"}</w:instrText>
      </w:r>
      <w:r w:rsidR="00655F22" w:rsidRPr="00655F22">
        <w:rPr>
          <w:rFonts w:ascii="Calibri" w:eastAsia="Times New Roman" w:hAnsi="Calibri" w:cs="Calibri"/>
          <w:iCs/>
          <w:color w:val="000000"/>
          <w:sz w:val="24"/>
          <w:szCs w:val="24"/>
        </w:rPr>
        <w:fldChar w:fldCharType="separate"/>
      </w:r>
      <w:r w:rsidR="00C5774B" w:rsidRPr="00C5774B">
        <w:rPr>
          <w:rFonts w:ascii="Calibri" w:eastAsia="Times New Roman" w:hAnsi="Calibri" w:cs="Calibri"/>
          <w:iCs/>
          <w:noProof/>
          <w:color w:val="000000"/>
          <w:sz w:val="24"/>
          <w:szCs w:val="24"/>
          <w:vertAlign w:val="superscript"/>
        </w:rPr>
        <w:t>21</w:t>
      </w:r>
      <w:r w:rsidR="00655F22" w:rsidRPr="00655F22">
        <w:rPr>
          <w:rFonts w:ascii="Calibri" w:eastAsia="Times New Roman" w:hAnsi="Calibri" w:cs="Calibri"/>
          <w:color w:val="000000"/>
          <w:sz w:val="24"/>
          <w:szCs w:val="24"/>
        </w:rPr>
        <w:fldChar w:fldCharType="end"/>
      </w:r>
      <w:r w:rsidR="00655F22">
        <w:rPr>
          <w:rFonts w:ascii="Calibri" w:eastAsia="Times New Roman" w:hAnsi="Calibri" w:cs="Calibri"/>
          <w:color w:val="000000"/>
          <w:sz w:val="24"/>
          <w:szCs w:val="24"/>
        </w:rPr>
        <w:t xml:space="preserve"> </w:t>
      </w:r>
      <w:r w:rsidR="00655F22" w:rsidRPr="009F1202">
        <w:rPr>
          <w:rFonts w:ascii="Calibri" w:eastAsia="Times New Roman" w:hAnsi="Calibri" w:cs="Calibri"/>
          <w:color w:val="000000"/>
          <w:sz w:val="24"/>
          <w:szCs w:val="24"/>
        </w:rPr>
        <w:t>The ALSPAC Law and Ethics committee and the Local Research Ethics committees</w:t>
      </w:r>
      <w:r w:rsidR="00063C24">
        <w:rPr>
          <w:rFonts w:ascii="Calibri" w:eastAsia="Times New Roman" w:hAnsi="Calibri" w:cs="Calibri"/>
          <w:color w:val="000000"/>
          <w:sz w:val="24"/>
          <w:szCs w:val="24"/>
        </w:rPr>
        <w:t>,</w:t>
      </w:r>
      <w:r w:rsidR="00655F22">
        <w:rPr>
          <w:rFonts w:ascii="Calibri" w:eastAsia="Times New Roman" w:hAnsi="Calibri" w:cs="Calibri"/>
          <w:color w:val="000000"/>
          <w:sz w:val="24"/>
          <w:szCs w:val="24"/>
        </w:rPr>
        <w:t xml:space="preserve"> and the </w:t>
      </w:r>
      <w:r w:rsidR="00655F22" w:rsidRPr="008E3508">
        <w:rPr>
          <w:rFonts w:ascii="Calibri" w:eastAsia="Times New Roman" w:hAnsi="Calibri" w:cs="Calibri"/>
          <w:color w:val="000000"/>
          <w:sz w:val="24"/>
          <w:szCs w:val="24"/>
        </w:rPr>
        <w:t>Multi-Centre Research Ethics Committee(MREC)</w:t>
      </w:r>
      <w:r w:rsidR="00655F22" w:rsidRPr="009F1202">
        <w:rPr>
          <w:rFonts w:ascii="Calibri" w:eastAsia="Times New Roman" w:hAnsi="Calibri" w:cs="Calibri"/>
          <w:color w:val="000000"/>
          <w:sz w:val="24"/>
          <w:szCs w:val="24"/>
        </w:rPr>
        <w:t xml:space="preserve"> gave ethical approval </w:t>
      </w:r>
      <w:r w:rsidR="00655F22">
        <w:rPr>
          <w:rFonts w:ascii="Calibri" w:eastAsia="Times New Roman" w:hAnsi="Calibri" w:cs="Calibri"/>
          <w:color w:val="000000"/>
          <w:sz w:val="24"/>
          <w:szCs w:val="24"/>
        </w:rPr>
        <w:t>ALSPAC and MCS</w:t>
      </w:r>
      <w:r w:rsidR="00655F22" w:rsidRPr="009F1202">
        <w:rPr>
          <w:rFonts w:ascii="Calibri" w:eastAsia="Times New Roman" w:hAnsi="Calibri" w:cs="Calibri"/>
          <w:color w:val="000000"/>
          <w:sz w:val="24"/>
          <w:szCs w:val="24"/>
        </w:rPr>
        <w:t xml:space="preserve">. </w:t>
      </w:r>
      <w:r w:rsidR="00655F22" w:rsidRPr="00655F22">
        <w:rPr>
          <w:rFonts w:ascii="Calibri" w:eastAsia="Times New Roman" w:hAnsi="Calibri" w:cs="Calibri"/>
          <w:color w:val="000000"/>
          <w:sz w:val="24"/>
          <w:szCs w:val="24"/>
        </w:rPr>
        <w:t>Participants gave</w:t>
      </w:r>
      <w:r w:rsidR="009C1F54">
        <w:rPr>
          <w:rFonts w:ascii="Calibri" w:eastAsia="Times New Roman" w:hAnsi="Calibri" w:cs="Calibri"/>
          <w:color w:val="000000"/>
          <w:sz w:val="24"/>
          <w:szCs w:val="24"/>
        </w:rPr>
        <w:t xml:space="preserve"> written</w:t>
      </w:r>
      <w:r w:rsidR="00655F22" w:rsidRPr="00655F22">
        <w:rPr>
          <w:rFonts w:ascii="Calibri" w:eastAsia="Times New Roman" w:hAnsi="Calibri" w:cs="Calibri"/>
          <w:color w:val="000000"/>
          <w:sz w:val="24"/>
          <w:szCs w:val="24"/>
        </w:rPr>
        <w:t xml:space="preserve"> consent to take part </w:t>
      </w:r>
      <w:r w:rsidR="001F39A3">
        <w:rPr>
          <w:rFonts w:ascii="Calibri" w:eastAsia="Times New Roman" w:hAnsi="Calibri" w:cs="Calibri"/>
          <w:color w:val="000000"/>
          <w:sz w:val="24"/>
          <w:szCs w:val="24"/>
        </w:rPr>
        <w:t>in</w:t>
      </w:r>
      <w:r w:rsidR="00655F22" w:rsidRPr="00655F22">
        <w:rPr>
          <w:rFonts w:ascii="Calibri" w:eastAsia="Times New Roman" w:hAnsi="Calibri" w:cs="Calibri"/>
          <w:color w:val="000000"/>
          <w:sz w:val="24"/>
          <w:szCs w:val="24"/>
        </w:rPr>
        <w:t xml:space="preserve"> the stud</w:t>
      </w:r>
      <w:r w:rsidR="00655F22">
        <w:rPr>
          <w:rFonts w:ascii="Calibri" w:eastAsia="Times New Roman" w:hAnsi="Calibri" w:cs="Calibri"/>
          <w:color w:val="000000"/>
          <w:sz w:val="24"/>
          <w:szCs w:val="24"/>
        </w:rPr>
        <w:t>ies</w:t>
      </w:r>
      <w:r w:rsidR="00655F22" w:rsidRPr="00655F22">
        <w:rPr>
          <w:rFonts w:ascii="Calibri" w:eastAsia="Times New Roman" w:hAnsi="Calibri" w:cs="Calibri"/>
          <w:color w:val="000000"/>
          <w:sz w:val="24"/>
          <w:szCs w:val="24"/>
        </w:rPr>
        <w:t>.</w:t>
      </w:r>
    </w:p>
    <w:p w14:paraId="18C21258" w14:textId="77777777" w:rsidR="00637EEF" w:rsidRPr="00BF60BC" w:rsidRDefault="00637EEF" w:rsidP="00655F22">
      <w:pPr>
        <w:spacing w:after="0" w:line="360" w:lineRule="auto"/>
        <w:jc w:val="both"/>
        <w:rPr>
          <w:rFonts w:ascii="Calibri" w:eastAsia="Times New Roman" w:hAnsi="Calibri" w:cs="Calibri"/>
          <w:color w:val="000000"/>
          <w:sz w:val="24"/>
          <w:szCs w:val="24"/>
        </w:rPr>
      </w:pPr>
    </w:p>
    <w:p w14:paraId="0A58E34F" w14:textId="4CEACA4F" w:rsidR="0097636A" w:rsidRPr="00BF60BC" w:rsidRDefault="003F3DDE" w:rsidP="00655F22">
      <w:pPr>
        <w:spacing w:after="0" w:line="360" w:lineRule="auto"/>
        <w:jc w:val="both"/>
        <w:rPr>
          <w:rFonts w:ascii="Calibri" w:eastAsia="Times New Roman" w:hAnsi="Calibri" w:cs="Calibri"/>
          <w:color w:val="000000"/>
          <w:sz w:val="24"/>
          <w:szCs w:val="24"/>
        </w:rPr>
      </w:pPr>
      <w:r w:rsidRPr="00BF60BC">
        <w:rPr>
          <w:rFonts w:ascii="Calibri" w:eastAsia="Times New Roman" w:hAnsi="Calibri" w:cs="Calibri"/>
          <w:color w:val="000000"/>
          <w:sz w:val="24"/>
          <w:szCs w:val="24"/>
        </w:rPr>
        <w:t>In our sample we included</w:t>
      </w:r>
      <w:r w:rsidR="0097636A" w:rsidRPr="00BF60BC">
        <w:rPr>
          <w:rFonts w:ascii="Calibri" w:eastAsia="Times New Roman" w:hAnsi="Calibri" w:cs="Calibri"/>
          <w:color w:val="000000"/>
          <w:sz w:val="24"/>
          <w:szCs w:val="24"/>
        </w:rPr>
        <w:t xml:space="preserve"> participants </w:t>
      </w:r>
      <w:r w:rsidRPr="00BF60BC">
        <w:rPr>
          <w:rFonts w:ascii="Calibri" w:eastAsia="Times New Roman" w:hAnsi="Calibri" w:cs="Calibri"/>
          <w:color w:val="000000"/>
          <w:sz w:val="24"/>
          <w:szCs w:val="24"/>
        </w:rPr>
        <w:t>with data available</w:t>
      </w:r>
      <w:r w:rsidR="0097636A" w:rsidRPr="00BF60BC">
        <w:rPr>
          <w:rFonts w:ascii="Calibri" w:eastAsia="Times New Roman" w:hAnsi="Calibri" w:cs="Calibri"/>
          <w:color w:val="000000"/>
          <w:sz w:val="24"/>
          <w:szCs w:val="24"/>
        </w:rPr>
        <w:t xml:space="preserve"> on at least one of the main </w:t>
      </w:r>
      <w:r w:rsidR="00323E9B" w:rsidRPr="00BF60BC">
        <w:rPr>
          <w:rFonts w:ascii="Calibri" w:eastAsia="Times New Roman" w:hAnsi="Calibri" w:cs="Calibri"/>
          <w:color w:val="000000"/>
          <w:sz w:val="24"/>
          <w:szCs w:val="24"/>
        </w:rPr>
        <w:t xml:space="preserve">weight-change/-perception </w:t>
      </w:r>
      <w:r w:rsidR="0097636A" w:rsidRPr="00BF60BC">
        <w:rPr>
          <w:rFonts w:ascii="Calibri" w:eastAsia="Times New Roman" w:hAnsi="Calibri" w:cs="Calibri"/>
          <w:color w:val="000000"/>
          <w:sz w:val="24"/>
          <w:szCs w:val="24"/>
        </w:rPr>
        <w:t>outcome</w:t>
      </w:r>
      <w:r w:rsidR="00323E9B" w:rsidRPr="00BF60BC">
        <w:rPr>
          <w:rFonts w:ascii="Calibri" w:eastAsia="Times New Roman" w:hAnsi="Calibri" w:cs="Calibri"/>
          <w:color w:val="000000"/>
          <w:sz w:val="24"/>
          <w:szCs w:val="24"/>
        </w:rPr>
        <w:t>s</w:t>
      </w:r>
      <w:r w:rsidR="0097636A" w:rsidRPr="00BF60BC">
        <w:rPr>
          <w:rFonts w:ascii="Calibri" w:eastAsia="Times New Roman" w:hAnsi="Calibri" w:cs="Calibri"/>
          <w:color w:val="000000"/>
          <w:sz w:val="24"/>
          <w:szCs w:val="24"/>
        </w:rPr>
        <w:t xml:space="preserve">. </w:t>
      </w:r>
      <w:r w:rsidRPr="00BF60BC">
        <w:rPr>
          <w:rFonts w:ascii="Calibri" w:eastAsia="Times New Roman" w:hAnsi="Calibri" w:cs="Calibri"/>
          <w:color w:val="000000"/>
          <w:sz w:val="24"/>
          <w:szCs w:val="24"/>
        </w:rPr>
        <w:t xml:space="preserve">In case of </w:t>
      </w:r>
      <w:proofErr w:type="gramStart"/>
      <w:r w:rsidR="00BA1A74" w:rsidRPr="00BF60BC">
        <w:rPr>
          <w:rFonts w:ascii="Calibri" w:eastAsia="Times New Roman" w:hAnsi="Calibri" w:cs="Calibri"/>
          <w:color w:val="000000"/>
          <w:sz w:val="24"/>
          <w:szCs w:val="24"/>
        </w:rPr>
        <w:t>twins(</w:t>
      </w:r>
      <w:proofErr w:type="gramEnd"/>
      <w:r w:rsidR="00BA1A74" w:rsidRPr="00BF60BC">
        <w:rPr>
          <w:rFonts w:ascii="Calibri" w:eastAsia="Times New Roman" w:hAnsi="Calibri" w:cs="Calibri"/>
          <w:color w:val="000000"/>
          <w:sz w:val="24"/>
          <w:szCs w:val="24"/>
        </w:rPr>
        <w:t>BCS</w:t>
      </w:r>
      <w:r w:rsidR="00B40B12" w:rsidRPr="00BF60BC">
        <w:rPr>
          <w:rFonts w:ascii="Calibri" w:eastAsia="Times New Roman" w:hAnsi="Calibri" w:cs="Calibri"/>
          <w:color w:val="000000"/>
          <w:sz w:val="24"/>
          <w:szCs w:val="24"/>
        </w:rPr>
        <w:t>:</w:t>
      </w:r>
      <w:r w:rsidR="00F07436" w:rsidRPr="00BF60BC">
        <w:rPr>
          <w:rFonts w:ascii="Calibri" w:eastAsia="Times New Roman" w:hAnsi="Calibri" w:cs="Calibri"/>
          <w:color w:val="000000"/>
          <w:sz w:val="24"/>
          <w:szCs w:val="24"/>
        </w:rPr>
        <w:t xml:space="preserve"> </w:t>
      </w:r>
      <w:r w:rsidR="00063C24">
        <w:rPr>
          <w:rFonts w:ascii="Calibri" w:eastAsia="Times New Roman" w:hAnsi="Calibri" w:cs="Calibri"/>
          <w:color w:val="000000"/>
          <w:sz w:val="24"/>
          <w:szCs w:val="24"/>
        </w:rPr>
        <w:t>n=</w:t>
      </w:r>
      <w:r w:rsidR="00BA1A74" w:rsidRPr="00BF60BC">
        <w:rPr>
          <w:rFonts w:ascii="Calibri" w:eastAsia="Times New Roman" w:hAnsi="Calibri" w:cs="Calibri"/>
          <w:color w:val="000000"/>
          <w:sz w:val="24"/>
          <w:szCs w:val="24"/>
        </w:rPr>
        <w:t>398</w:t>
      </w:r>
      <w:r w:rsidR="00EC5245" w:rsidRPr="00BF60BC">
        <w:rPr>
          <w:rFonts w:ascii="Calibri" w:eastAsia="Times New Roman" w:hAnsi="Calibri" w:cs="Calibri"/>
          <w:color w:val="000000"/>
          <w:sz w:val="24"/>
          <w:szCs w:val="24"/>
        </w:rPr>
        <w:t xml:space="preserve">; </w:t>
      </w:r>
      <w:r w:rsidR="00BA1A74" w:rsidRPr="00BF60BC">
        <w:rPr>
          <w:rFonts w:ascii="Calibri" w:eastAsia="Times New Roman" w:hAnsi="Calibri" w:cs="Calibri"/>
          <w:color w:val="000000"/>
          <w:sz w:val="24"/>
          <w:szCs w:val="24"/>
        </w:rPr>
        <w:t>ALSPAC</w:t>
      </w:r>
      <w:r w:rsidR="00EC5245" w:rsidRPr="00BF60BC">
        <w:rPr>
          <w:rFonts w:ascii="Calibri" w:eastAsia="Times New Roman" w:hAnsi="Calibri" w:cs="Calibri"/>
          <w:color w:val="000000"/>
          <w:sz w:val="24"/>
          <w:szCs w:val="24"/>
        </w:rPr>
        <w:t>:</w:t>
      </w:r>
      <w:r w:rsidR="00A6294D" w:rsidRPr="00BF60BC">
        <w:rPr>
          <w:rFonts w:ascii="Calibri" w:eastAsia="Times New Roman" w:hAnsi="Calibri" w:cs="Calibri"/>
          <w:color w:val="000000"/>
          <w:sz w:val="24"/>
          <w:szCs w:val="24"/>
        </w:rPr>
        <w:t xml:space="preserve"> </w:t>
      </w:r>
      <w:r w:rsidR="00063C24">
        <w:rPr>
          <w:rFonts w:ascii="Calibri" w:eastAsia="Times New Roman" w:hAnsi="Calibri" w:cs="Calibri"/>
          <w:color w:val="000000"/>
          <w:sz w:val="24"/>
          <w:szCs w:val="24"/>
        </w:rPr>
        <w:t>n=</w:t>
      </w:r>
      <w:r w:rsidR="00BA1A74" w:rsidRPr="00BF60BC">
        <w:rPr>
          <w:rFonts w:ascii="Calibri" w:eastAsia="Times New Roman" w:hAnsi="Calibri" w:cs="Calibri"/>
          <w:color w:val="000000"/>
          <w:sz w:val="24"/>
          <w:szCs w:val="24"/>
        </w:rPr>
        <w:t>202, MCS</w:t>
      </w:r>
      <w:r w:rsidR="00EC5245" w:rsidRPr="00BF60BC">
        <w:rPr>
          <w:rFonts w:ascii="Calibri" w:eastAsia="Times New Roman" w:hAnsi="Calibri" w:cs="Calibri"/>
          <w:color w:val="000000"/>
          <w:sz w:val="24"/>
          <w:szCs w:val="24"/>
        </w:rPr>
        <w:t>:</w:t>
      </w:r>
      <w:r w:rsidRPr="00BF60BC">
        <w:rPr>
          <w:rFonts w:ascii="Calibri" w:eastAsia="Times New Roman" w:hAnsi="Calibri" w:cs="Calibri"/>
          <w:color w:val="000000"/>
          <w:sz w:val="24"/>
          <w:szCs w:val="24"/>
        </w:rPr>
        <w:t xml:space="preserve"> </w:t>
      </w:r>
      <w:r w:rsidR="00063C24">
        <w:rPr>
          <w:rFonts w:ascii="Calibri" w:eastAsia="Times New Roman" w:hAnsi="Calibri" w:cs="Calibri"/>
          <w:color w:val="000000"/>
          <w:sz w:val="24"/>
          <w:szCs w:val="24"/>
        </w:rPr>
        <w:t>n=</w:t>
      </w:r>
      <w:r w:rsidRPr="00BF60BC">
        <w:rPr>
          <w:rFonts w:ascii="Calibri" w:eastAsia="Times New Roman" w:hAnsi="Calibri" w:cs="Calibri"/>
          <w:color w:val="000000"/>
          <w:sz w:val="24"/>
          <w:szCs w:val="24"/>
        </w:rPr>
        <w:t xml:space="preserve">246 twins and </w:t>
      </w:r>
      <w:r w:rsidR="00063C24">
        <w:rPr>
          <w:rFonts w:ascii="Calibri" w:eastAsia="Times New Roman" w:hAnsi="Calibri" w:cs="Calibri"/>
          <w:color w:val="000000"/>
          <w:sz w:val="24"/>
          <w:szCs w:val="24"/>
        </w:rPr>
        <w:t>n=</w:t>
      </w:r>
      <w:r w:rsidRPr="00BF60BC">
        <w:rPr>
          <w:rFonts w:ascii="Calibri" w:eastAsia="Times New Roman" w:hAnsi="Calibri" w:cs="Calibri"/>
          <w:color w:val="000000"/>
          <w:sz w:val="24"/>
          <w:szCs w:val="24"/>
        </w:rPr>
        <w:t>10 triplets)</w:t>
      </w:r>
      <w:r w:rsidR="00BA1A74" w:rsidRPr="00BF60BC">
        <w:rPr>
          <w:rFonts w:ascii="Calibri" w:eastAsia="Times New Roman" w:hAnsi="Calibri" w:cs="Calibri"/>
          <w:color w:val="000000"/>
          <w:sz w:val="24"/>
          <w:szCs w:val="24"/>
        </w:rPr>
        <w:t xml:space="preserve">, </w:t>
      </w:r>
      <w:bookmarkStart w:id="8" w:name="_Hlk37409077"/>
      <w:r w:rsidR="00BA1A74" w:rsidRPr="00BF60BC">
        <w:rPr>
          <w:rFonts w:ascii="Calibri" w:eastAsia="Times New Roman" w:hAnsi="Calibri" w:cs="Calibri"/>
          <w:color w:val="000000"/>
          <w:sz w:val="24"/>
          <w:szCs w:val="24"/>
        </w:rPr>
        <w:t>we retained</w:t>
      </w:r>
      <w:r w:rsidR="00391A1E" w:rsidRPr="00BF60BC">
        <w:rPr>
          <w:rFonts w:ascii="Calibri" w:eastAsia="Times New Roman" w:hAnsi="Calibri" w:cs="Calibri"/>
          <w:color w:val="000000"/>
          <w:sz w:val="24"/>
          <w:szCs w:val="24"/>
        </w:rPr>
        <w:t xml:space="preserve"> </w:t>
      </w:r>
      <w:r w:rsidR="00BA1A74" w:rsidRPr="00BF60BC">
        <w:rPr>
          <w:rFonts w:ascii="Calibri" w:eastAsia="Times New Roman" w:hAnsi="Calibri" w:cs="Calibri"/>
          <w:color w:val="000000"/>
          <w:sz w:val="24"/>
          <w:szCs w:val="24"/>
        </w:rPr>
        <w:t>one participant per twin or triplet</w:t>
      </w:r>
      <w:r w:rsidR="00391A1E" w:rsidRPr="00BF60BC">
        <w:rPr>
          <w:rFonts w:ascii="Calibri" w:eastAsia="Times New Roman" w:hAnsi="Calibri" w:cs="Calibri"/>
          <w:color w:val="000000"/>
          <w:sz w:val="24"/>
          <w:szCs w:val="24"/>
        </w:rPr>
        <w:t xml:space="preserve"> </w:t>
      </w:r>
      <w:r w:rsidR="00641174" w:rsidRPr="00BF60BC">
        <w:rPr>
          <w:rFonts w:ascii="Calibri" w:eastAsia="Times New Roman" w:hAnsi="Calibri" w:cs="Calibri"/>
          <w:color w:val="000000"/>
          <w:sz w:val="24"/>
          <w:szCs w:val="24"/>
        </w:rPr>
        <w:t xml:space="preserve">at </w:t>
      </w:r>
      <w:r w:rsidR="00391A1E" w:rsidRPr="00BF60BC">
        <w:rPr>
          <w:rFonts w:ascii="Calibri" w:eastAsia="Times New Roman" w:hAnsi="Calibri" w:cs="Calibri"/>
          <w:color w:val="000000"/>
          <w:sz w:val="24"/>
          <w:szCs w:val="24"/>
        </w:rPr>
        <w:t>random</w:t>
      </w:r>
      <w:bookmarkEnd w:id="8"/>
      <w:r w:rsidR="00BA1A74" w:rsidRPr="00BF60BC">
        <w:rPr>
          <w:rFonts w:ascii="Calibri" w:eastAsia="Times New Roman" w:hAnsi="Calibri" w:cs="Calibri"/>
          <w:color w:val="000000"/>
          <w:sz w:val="24"/>
          <w:szCs w:val="24"/>
        </w:rPr>
        <w:t xml:space="preserve">, as their shared genetic and environmental exposures might </w:t>
      </w:r>
      <w:r w:rsidR="00EC5245" w:rsidRPr="00BF60BC">
        <w:rPr>
          <w:rFonts w:ascii="Calibri" w:eastAsia="Times New Roman" w:hAnsi="Calibri" w:cs="Calibri"/>
          <w:color w:val="000000"/>
          <w:sz w:val="24"/>
          <w:szCs w:val="24"/>
        </w:rPr>
        <w:t xml:space="preserve">otherwise </w:t>
      </w:r>
      <w:r w:rsidR="00BA1A74" w:rsidRPr="00BF60BC">
        <w:rPr>
          <w:rFonts w:ascii="Calibri" w:eastAsia="Times New Roman" w:hAnsi="Calibri" w:cs="Calibri"/>
          <w:color w:val="000000"/>
          <w:sz w:val="24"/>
          <w:szCs w:val="24"/>
        </w:rPr>
        <w:t>lead to over-/underestimation of the associations.</w:t>
      </w:r>
      <w:r w:rsidR="00E32660" w:rsidRPr="00BF60BC">
        <w:rPr>
          <w:rFonts w:ascii="Calibri" w:eastAsia="Times New Roman" w:hAnsi="Calibri" w:cs="Calibri"/>
          <w:color w:val="000000"/>
          <w:sz w:val="24"/>
          <w:szCs w:val="24"/>
        </w:rPr>
        <w:t xml:space="preserve"> </w:t>
      </w:r>
      <w:r w:rsidR="00DB1C8D" w:rsidRPr="00BF60BC">
        <w:rPr>
          <w:rFonts w:ascii="Calibri" w:eastAsia="Times New Roman" w:hAnsi="Calibri" w:cs="Calibri"/>
          <w:color w:val="000000"/>
          <w:sz w:val="24"/>
          <w:szCs w:val="24"/>
          <w:lang w:eastAsia="en-GB"/>
        </w:rPr>
        <w:t xml:space="preserve">As not all </w:t>
      </w:r>
      <w:r w:rsidR="00FC429E" w:rsidRPr="00BF60BC">
        <w:rPr>
          <w:rFonts w:ascii="Calibri" w:eastAsia="Times New Roman" w:hAnsi="Calibri" w:cs="Calibri"/>
          <w:color w:val="000000"/>
          <w:sz w:val="24"/>
          <w:szCs w:val="24"/>
          <w:lang w:eastAsia="en-GB"/>
        </w:rPr>
        <w:t>outcomes</w:t>
      </w:r>
      <w:r w:rsidR="00DB1C8D" w:rsidRPr="00BF60BC">
        <w:rPr>
          <w:rFonts w:ascii="Calibri" w:eastAsia="Times New Roman" w:hAnsi="Calibri" w:cs="Calibri"/>
          <w:color w:val="000000"/>
          <w:sz w:val="24"/>
          <w:szCs w:val="24"/>
          <w:lang w:eastAsia="en-GB"/>
        </w:rPr>
        <w:t xml:space="preserve"> </w:t>
      </w:r>
      <w:r w:rsidR="00FC429E" w:rsidRPr="00BF60BC">
        <w:rPr>
          <w:rFonts w:ascii="Calibri" w:eastAsia="Times New Roman" w:hAnsi="Calibri" w:cs="Calibri"/>
          <w:color w:val="000000"/>
          <w:sz w:val="24"/>
          <w:szCs w:val="24"/>
          <w:lang w:eastAsia="en-GB"/>
        </w:rPr>
        <w:t>were measured</w:t>
      </w:r>
      <w:r w:rsidR="00DB1C8D" w:rsidRPr="00BF60BC">
        <w:rPr>
          <w:rFonts w:ascii="Calibri" w:eastAsia="Times New Roman" w:hAnsi="Calibri" w:cs="Calibri"/>
          <w:color w:val="000000"/>
          <w:sz w:val="24"/>
          <w:szCs w:val="24"/>
          <w:lang w:eastAsia="en-GB"/>
        </w:rPr>
        <w:t xml:space="preserve"> in all cohorts</w:t>
      </w:r>
      <w:r w:rsidR="00850243">
        <w:rPr>
          <w:rFonts w:ascii="Calibri" w:eastAsia="Times New Roman" w:hAnsi="Calibri" w:cs="Calibri"/>
          <w:color w:val="000000"/>
          <w:sz w:val="24"/>
          <w:szCs w:val="24"/>
          <w:lang w:eastAsia="en-GB"/>
        </w:rPr>
        <w:t>(</w:t>
      </w:r>
      <w:r w:rsidR="00850243">
        <w:rPr>
          <w:rFonts w:ascii="Calibri" w:eastAsia="Times New Roman" w:hAnsi="Calibri" w:cs="Calibri"/>
          <w:b/>
          <w:color w:val="000000"/>
          <w:sz w:val="24"/>
          <w:szCs w:val="24"/>
          <w:lang w:eastAsia="en-GB"/>
        </w:rPr>
        <w:t>e</w:t>
      </w:r>
      <w:r w:rsidR="00173961">
        <w:rPr>
          <w:rFonts w:ascii="Calibri" w:eastAsia="Times New Roman" w:hAnsi="Calibri" w:cs="Calibri"/>
          <w:b/>
          <w:color w:val="000000"/>
          <w:sz w:val="24"/>
          <w:szCs w:val="24"/>
          <w:lang w:eastAsia="en-GB"/>
        </w:rPr>
        <w:t>Table</w:t>
      </w:r>
      <w:r w:rsidR="00DB1C8D" w:rsidRPr="00BF60BC">
        <w:rPr>
          <w:rFonts w:ascii="Calibri" w:eastAsia="Times New Roman" w:hAnsi="Calibri" w:cs="Calibri"/>
          <w:b/>
          <w:color w:val="000000"/>
          <w:sz w:val="24"/>
          <w:szCs w:val="24"/>
          <w:lang w:eastAsia="en-GB"/>
        </w:rPr>
        <w:t>1</w:t>
      </w:r>
      <w:r w:rsidR="00DB1C8D" w:rsidRPr="00BF60BC">
        <w:rPr>
          <w:rFonts w:ascii="Calibri" w:eastAsia="Times New Roman" w:hAnsi="Calibri" w:cs="Calibri"/>
          <w:color w:val="000000"/>
          <w:sz w:val="24"/>
          <w:szCs w:val="24"/>
          <w:lang w:eastAsia="en-GB"/>
        </w:rPr>
        <w:t xml:space="preserve">) our analytical samples vary depending on the </w:t>
      </w:r>
      <w:r w:rsidR="00B96BFE" w:rsidRPr="00BF60BC">
        <w:rPr>
          <w:rFonts w:ascii="Calibri" w:eastAsia="Times New Roman" w:hAnsi="Calibri" w:cs="Calibri"/>
          <w:color w:val="000000"/>
          <w:sz w:val="24"/>
          <w:szCs w:val="24"/>
          <w:lang w:eastAsia="en-GB"/>
        </w:rPr>
        <w:t>analyses of interest</w:t>
      </w:r>
      <w:r w:rsidR="00DB1C8D" w:rsidRPr="00BF60BC">
        <w:rPr>
          <w:rFonts w:ascii="Calibri" w:eastAsia="Times New Roman" w:hAnsi="Calibri" w:cs="Calibri"/>
          <w:color w:val="000000"/>
          <w:sz w:val="24"/>
          <w:szCs w:val="24"/>
          <w:lang w:eastAsia="en-GB"/>
        </w:rPr>
        <w:t>.</w:t>
      </w:r>
    </w:p>
    <w:p w14:paraId="631F74A7" w14:textId="77777777" w:rsidR="00DD1D89" w:rsidRPr="00BF60BC" w:rsidRDefault="00DD1D89" w:rsidP="00655F22">
      <w:pPr>
        <w:jc w:val="both"/>
        <w:rPr>
          <w:rFonts w:ascii="Calibri" w:eastAsia="Times New Roman" w:hAnsi="Calibri" w:cs="Calibri"/>
          <w:i/>
          <w:iCs/>
          <w:color w:val="000000"/>
          <w:sz w:val="24"/>
          <w:szCs w:val="24"/>
        </w:rPr>
      </w:pPr>
    </w:p>
    <w:p w14:paraId="3633B1FE" w14:textId="16CC14A1" w:rsidR="0097636A" w:rsidRPr="00BF60BC" w:rsidRDefault="00DD1D89" w:rsidP="00655F22">
      <w:pPr>
        <w:jc w:val="both"/>
        <w:rPr>
          <w:rFonts w:ascii="Times New Roman" w:eastAsia="Times New Roman" w:hAnsi="Times New Roman" w:cs="Times New Roman"/>
          <w:sz w:val="24"/>
          <w:szCs w:val="24"/>
        </w:rPr>
      </w:pPr>
      <w:r w:rsidRPr="00BF60BC">
        <w:rPr>
          <w:rFonts w:ascii="Calibri" w:eastAsia="Times New Roman" w:hAnsi="Calibri" w:cs="Calibri"/>
          <w:i/>
          <w:iCs/>
          <w:color w:val="000000"/>
          <w:sz w:val="24"/>
          <w:szCs w:val="24"/>
        </w:rPr>
        <w:t>W</w:t>
      </w:r>
      <w:r w:rsidR="0015758F" w:rsidRPr="00BF60BC">
        <w:rPr>
          <w:rFonts w:ascii="Calibri" w:eastAsia="Times New Roman" w:hAnsi="Calibri" w:cs="Calibri"/>
          <w:i/>
          <w:iCs/>
          <w:color w:val="000000"/>
          <w:sz w:val="24"/>
          <w:szCs w:val="24"/>
        </w:rPr>
        <w:t>eight-</w:t>
      </w:r>
      <w:r w:rsidR="008E4408" w:rsidRPr="00BF60BC">
        <w:rPr>
          <w:rFonts w:ascii="Calibri" w:eastAsia="Times New Roman" w:hAnsi="Calibri" w:cs="Calibri"/>
          <w:i/>
          <w:iCs/>
          <w:color w:val="000000"/>
          <w:sz w:val="24"/>
          <w:szCs w:val="24"/>
        </w:rPr>
        <w:t>control</w:t>
      </w:r>
      <w:r w:rsidR="0015758F" w:rsidRPr="00BF60BC">
        <w:rPr>
          <w:rFonts w:ascii="Calibri" w:eastAsia="Times New Roman" w:hAnsi="Calibri" w:cs="Calibri"/>
          <w:i/>
          <w:iCs/>
          <w:color w:val="000000"/>
          <w:sz w:val="24"/>
          <w:szCs w:val="24"/>
        </w:rPr>
        <w:t xml:space="preserve"> </w:t>
      </w:r>
      <w:proofErr w:type="spellStart"/>
      <w:r w:rsidR="00DA210E" w:rsidRPr="00BF60BC">
        <w:rPr>
          <w:rFonts w:ascii="Calibri" w:eastAsia="Times New Roman" w:hAnsi="Calibri" w:cs="Calibri"/>
          <w:i/>
          <w:iCs/>
          <w:color w:val="000000"/>
          <w:sz w:val="24"/>
          <w:szCs w:val="24"/>
        </w:rPr>
        <w:t>behaviors</w:t>
      </w:r>
      <w:proofErr w:type="spellEnd"/>
      <w:r w:rsidR="0015758F" w:rsidRPr="00BF60BC">
        <w:rPr>
          <w:rFonts w:ascii="Calibri" w:eastAsia="Times New Roman" w:hAnsi="Calibri" w:cs="Calibri"/>
          <w:i/>
          <w:iCs/>
          <w:color w:val="000000"/>
          <w:sz w:val="24"/>
          <w:szCs w:val="24"/>
        </w:rPr>
        <w:t xml:space="preserve"> and weight perception</w:t>
      </w:r>
    </w:p>
    <w:p w14:paraId="416333A2" w14:textId="49A74A27" w:rsidR="0097636A" w:rsidRPr="00BF60BC" w:rsidRDefault="0097636A" w:rsidP="00655F22">
      <w:pPr>
        <w:spacing w:after="0" w:line="360" w:lineRule="auto"/>
        <w:jc w:val="both"/>
        <w:rPr>
          <w:rFonts w:ascii="Times New Roman" w:eastAsia="Times New Roman" w:hAnsi="Times New Roman" w:cs="Times New Roman"/>
          <w:sz w:val="24"/>
          <w:szCs w:val="24"/>
        </w:rPr>
      </w:pPr>
      <w:r w:rsidRPr="00BF60BC">
        <w:rPr>
          <w:rFonts w:ascii="Calibri" w:eastAsia="Times New Roman" w:hAnsi="Calibri" w:cs="Calibri"/>
          <w:color w:val="000000"/>
          <w:sz w:val="24"/>
          <w:szCs w:val="24"/>
        </w:rPr>
        <w:t xml:space="preserve">ALSPAC and MCS </w:t>
      </w:r>
      <w:r w:rsidR="00063C24">
        <w:rPr>
          <w:rFonts w:ascii="Calibri" w:eastAsia="Times New Roman" w:hAnsi="Calibri" w:cs="Calibri"/>
          <w:color w:val="000000"/>
          <w:sz w:val="24"/>
          <w:szCs w:val="24"/>
        </w:rPr>
        <w:t>asked</w:t>
      </w:r>
      <w:r w:rsidRPr="00BF60BC">
        <w:rPr>
          <w:rFonts w:ascii="Calibri" w:eastAsia="Times New Roman" w:hAnsi="Calibri" w:cs="Calibri"/>
          <w:color w:val="000000"/>
          <w:sz w:val="24"/>
          <w:szCs w:val="24"/>
        </w:rPr>
        <w:t xml:space="preserve"> what the adolescent was trying to do about their weight </w:t>
      </w:r>
      <w:r w:rsidR="00A764DE" w:rsidRPr="00BF60BC">
        <w:rPr>
          <w:rFonts w:ascii="Calibri" w:eastAsia="Times New Roman" w:hAnsi="Calibri" w:cs="Calibri"/>
          <w:color w:val="000000"/>
          <w:sz w:val="24"/>
          <w:szCs w:val="24"/>
        </w:rPr>
        <w:t>(</w:t>
      </w:r>
      <w:r w:rsidRPr="00BF60BC">
        <w:rPr>
          <w:rFonts w:ascii="Calibri" w:eastAsia="Times New Roman" w:hAnsi="Calibri" w:cs="Calibri"/>
          <w:color w:val="000000"/>
          <w:sz w:val="24"/>
          <w:szCs w:val="24"/>
        </w:rPr>
        <w:t xml:space="preserve">not doing anything, stay the same, lose weight, gain </w:t>
      </w:r>
      <w:r w:rsidR="009D175F" w:rsidRPr="00BF60BC">
        <w:rPr>
          <w:rFonts w:ascii="Calibri" w:eastAsia="Times New Roman" w:hAnsi="Calibri" w:cs="Calibri"/>
          <w:color w:val="000000"/>
          <w:sz w:val="24"/>
          <w:szCs w:val="24"/>
        </w:rPr>
        <w:t>weight</w:t>
      </w:r>
      <w:r w:rsidR="00A764DE" w:rsidRPr="00BF60BC">
        <w:rPr>
          <w:rFonts w:ascii="Calibri" w:eastAsia="Times New Roman" w:hAnsi="Calibri" w:cs="Calibri"/>
          <w:color w:val="000000"/>
          <w:sz w:val="24"/>
          <w:szCs w:val="24"/>
        </w:rPr>
        <w:t>)</w:t>
      </w:r>
      <w:r w:rsidR="00063C24">
        <w:rPr>
          <w:rFonts w:ascii="Calibri" w:eastAsia="Times New Roman" w:hAnsi="Calibri" w:cs="Calibri"/>
          <w:color w:val="000000"/>
          <w:sz w:val="24"/>
          <w:szCs w:val="24"/>
        </w:rPr>
        <w:t>. W</w:t>
      </w:r>
      <w:r w:rsidR="005A29F4">
        <w:rPr>
          <w:rFonts w:ascii="Calibri" w:eastAsia="Times New Roman" w:hAnsi="Calibri" w:cs="Calibri"/>
          <w:color w:val="000000"/>
          <w:sz w:val="24"/>
          <w:szCs w:val="24"/>
        </w:rPr>
        <w:t>e</w:t>
      </w:r>
      <w:r w:rsidR="00063C24">
        <w:rPr>
          <w:rFonts w:ascii="Calibri" w:eastAsia="Times New Roman" w:hAnsi="Calibri" w:cs="Calibri"/>
          <w:color w:val="000000"/>
          <w:sz w:val="24"/>
          <w:szCs w:val="24"/>
        </w:rPr>
        <w:t xml:space="preserve"> harmoni</w:t>
      </w:r>
      <w:r w:rsidR="006068CA">
        <w:rPr>
          <w:rFonts w:ascii="Calibri" w:eastAsia="Times New Roman" w:hAnsi="Calibri" w:cs="Calibri"/>
          <w:color w:val="000000"/>
          <w:sz w:val="24"/>
          <w:szCs w:val="24"/>
        </w:rPr>
        <w:t>z</w:t>
      </w:r>
      <w:r w:rsidR="00063C24">
        <w:rPr>
          <w:rFonts w:ascii="Calibri" w:eastAsia="Times New Roman" w:hAnsi="Calibri" w:cs="Calibri"/>
          <w:color w:val="000000"/>
          <w:sz w:val="24"/>
          <w:szCs w:val="24"/>
        </w:rPr>
        <w:t xml:space="preserve">ed questions on </w:t>
      </w:r>
      <w:r w:rsidR="00EE7145" w:rsidRPr="00BF60BC">
        <w:rPr>
          <w:rFonts w:ascii="Calibri" w:eastAsia="Times New Roman" w:hAnsi="Calibri" w:cs="Calibri"/>
          <w:color w:val="000000"/>
          <w:sz w:val="24"/>
          <w:szCs w:val="24"/>
        </w:rPr>
        <w:t>l</w:t>
      </w:r>
      <w:r w:rsidRPr="00BF60BC">
        <w:rPr>
          <w:rFonts w:ascii="Calibri" w:eastAsia="Times New Roman" w:hAnsi="Calibri" w:cs="Calibri"/>
          <w:color w:val="000000"/>
          <w:sz w:val="24"/>
          <w:szCs w:val="24"/>
        </w:rPr>
        <w:t>ifetime exercising</w:t>
      </w:r>
      <w:r w:rsidR="00F467BD" w:rsidRPr="00BF60BC">
        <w:rPr>
          <w:rFonts w:ascii="Calibri" w:eastAsia="Times New Roman" w:hAnsi="Calibri" w:cs="Calibri"/>
          <w:color w:val="000000"/>
          <w:sz w:val="24"/>
          <w:szCs w:val="24"/>
        </w:rPr>
        <w:t xml:space="preserve"> for weight loss</w:t>
      </w:r>
      <w:r w:rsidRPr="00BF60BC">
        <w:rPr>
          <w:rFonts w:ascii="Calibri" w:eastAsia="Times New Roman" w:hAnsi="Calibri" w:cs="Calibri"/>
          <w:color w:val="000000"/>
          <w:sz w:val="24"/>
          <w:szCs w:val="24"/>
        </w:rPr>
        <w:t xml:space="preserve"> and </w:t>
      </w:r>
      <w:proofErr w:type="gramStart"/>
      <w:r w:rsidRPr="00BF60BC">
        <w:rPr>
          <w:rFonts w:ascii="Calibri" w:eastAsia="Times New Roman" w:hAnsi="Calibri" w:cs="Calibri"/>
          <w:color w:val="000000"/>
          <w:sz w:val="24"/>
          <w:szCs w:val="24"/>
        </w:rPr>
        <w:t>dieting</w:t>
      </w:r>
      <w:r w:rsidR="00A764DE" w:rsidRPr="00BF60BC">
        <w:rPr>
          <w:rFonts w:ascii="Calibri" w:eastAsia="Times New Roman" w:hAnsi="Calibri" w:cs="Calibri"/>
          <w:color w:val="000000"/>
          <w:sz w:val="24"/>
          <w:szCs w:val="24"/>
        </w:rPr>
        <w:t>(</w:t>
      </w:r>
      <w:proofErr w:type="gramEnd"/>
      <w:r w:rsidR="00A764DE" w:rsidRPr="00BF60BC">
        <w:rPr>
          <w:rFonts w:ascii="Calibri" w:eastAsia="Times New Roman" w:hAnsi="Calibri" w:cs="Calibri"/>
          <w:color w:val="000000"/>
          <w:sz w:val="24"/>
          <w:szCs w:val="24"/>
        </w:rPr>
        <w:t>responses yes/no) in BCS and MCS</w:t>
      </w:r>
      <w:r w:rsidR="00A764DE" w:rsidRPr="00BF60BC">
        <w:rPr>
          <w:rFonts w:ascii="Calibri" w:eastAsia="Times New Roman" w:hAnsi="Calibri" w:cs="Calibri"/>
          <w:b/>
          <w:color w:val="000000"/>
          <w:sz w:val="24"/>
          <w:szCs w:val="24"/>
        </w:rPr>
        <w:t>(</w:t>
      </w:r>
      <w:r w:rsidR="00850243">
        <w:rPr>
          <w:rFonts w:ascii="Calibri" w:eastAsia="Times New Roman" w:hAnsi="Calibri" w:cs="Calibri"/>
          <w:b/>
          <w:color w:val="000000"/>
          <w:sz w:val="24"/>
          <w:szCs w:val="24"/>
        </w:rPr>
        <w:t>e</w:t>
      </w:r>
      <w:r w:rsidR="00173961">
        <w:rPr>
          <w:rFonts w:ascii="Calibri" w:eastAsia="Times New Roman" w:hAnsi="Calibri" w:cs="Calibri"/>
          <w:b/>
          <w:color w:val="000000"/>
          <w:sz w:val="24"/>
          <w:szCs w:val="24"/>
        </w:rPr>
        <w:t>Table</w:t>
      </w:r>
      <w:r w:rsidRPr="00BF60BC">
        <w:rPr>
          <w:rFonts w:ascii="Calibri" w:eastAsia="Times New Roman" w:hAnsi="Calibri" w:cs="Calibri"/>
          <w:b/>
          <w:color w:val="000000"/>
          <w:sz w:val="24"/>
          <w:szCs w:val="24"/>
        </w:rPr>
        <w:t>1</w:t>
      </w:r>
      <w:r w:rsidRPr="00BF60BC">
        <w:rPr>
          <w:rFonts w:ascii="Calibri" w:eastAsia="Times New Roman" w:hAnsi="Calibri" w:cs="Calibri"/>
          <w:color w:val="000000"/>
          <w:sz w:val="24"/>
          <w:szCs w:val="24"/>
        </w:rPr>
        <w:t xml:space="preserve">). </w:t>
      </w:r>
      <w:r w:rsidR="00717CC5" w:rsidRPr="00BF60BC">
        <w:rPr>
          <w:rFonts w:ascii="Calibri" w:eastAsia="Times New Roman" w:hAnsi="Calibri" w:cs="Calibri"/>
          <w:color w:val="000000"/>
          <w:sz w:val="24"/>
          <w:szCs w:val="24"/>
        </w:rPr>
        <w:t>We also used a harmoni</w:t>
      </w:r>
      <w:r w:rsidR="006068CA">
        <w:rPr>
          <w:rFonts w:ascii="Calibri" w:eastAsia="Times New Roman" w:hAnsi="Calibri" w:cs="Calibri"/>
          <w:color w:val="000000"/>
          <w:sz w:val="24"/>
          <w:szCs w:val="24"/>
        </w:rPr>
        <w:t>z</w:t>
      </w:r>
      <w:r w:rsidR="00717CC5" w:rsidRPr="00BF60BC">
        <w:rPr>
          <w:rFonts w:ascii="Calibri" w:eastAsia="Times New Roman" w:hAnsi="Calibri" w:cs="Calibri"/>
          <w:color w:val="000000"/>
          <w:sz w:val="24"/>
          <w:szCs w:val="24"/>
        </w:rPr>
        <w:t xml:space="preserve">ed </w:t>
      </w:r>
      <w:proofErr w:type="gramStart"/>
      <w:r w:rsidR="00717CC5" w:rsidRPr="00BF60BC">
        <w:rPr>
          <w:rFonts w:ascii="Calibri" w:eastAsia="Times New Roman" w:hAnsi="Calibri" w:cs="Calibri"/>
          <w:color w:val="000000"/>
          <w:sz w:val="24"/>
          <w:szCs w:val="24"/>
        </w:rPr>
        <w:t>variable</w:t>
      </w:r>
      <w:r w:rsidR="00063C24">
        <w:rPr>
          <w:rFonts w:ascii="Calibri" w:eastAsia="Times New Roman" w:hAnsi="Calibri" w:cs="Calibri"/>
          <w:color w:val="000000"/>
          <w:sz w:val="24"/>
          <w:szCs w:val="24"/>
        </w:rPr>
        <w:t>(</w:t>
      </w:r>
      <w:proofErr w:type="gramEnd"/>
      <w:r w:rsidR="00063C24">
        <w:rPr>
          <w:rFonts w:ascii="Calibri" w:eastAsia="Times New Roman" w:hAnsi="Calibri" w:cs="Calibri"/>
          <w:color w:val="000000"/>
          <w:sz w:val="24"/>
          <w:szCs w:val="24"/>
        </w:rPr>
        <w:t>in ALSPAC,MCS,BCS)</w:t>
      </w:r>
      <w:r w:rsidR="00717CC5" w:rsidRPr="00BF60BC">
        <w:rPr>
          <w:rFonts w:ascii="Calibri" w:eastAsia="Times New Roman" w:hAnsi="Calibri" w:cs="Calibri"/>
          <w:color w:val="000000"/>
          <w:sz w:val="24"/>
          <w:szCs w:val="24"/>
        </w:rPr>
        <w:t xml:space="preserve"> indicating whether adolescents perceived themselves as underweight, about the right weight, or overweight(</w:t>
      </w:r>
      <w:r w:rsidR="00850243">
        <w:rPr>
          <w:rFonts w:ascii="Calibri" w:eastAsia="Times New Roman" w:hAnsi="Calibri" w:cs="Calibri"/>
          <w:b/>
          <w:color w:val="000000"/>
          <w:sz w:val="24"/>
          <w:szCs w:val="24"/>
        </w:rPr>
        <w:t>e</w:t>
      </w:r>
      <w:r w:rsidR="00173961">
        <w:rPr>
          <w:rFonts w:ascii="Calibri" w:eastAsia="Times New Roman" w:hAnsi="Calibri" w:cs="Calibri"/>
          <w:b/>
          <w:color w:val="000000"/>
          <w:sz w:val="24"/>
          <w:szCs w:val="24"/>
        </w:rPr>
        <w:t>Table</w:t>
      </w:r>
      <w:r w:rsidR="00717CC5" w:rsidRPr="00BF60BC">
        <w:rPr>
          <w:rFonts w:ascii="Calibri" w:eastAsia="Times New Roman" w:hAnsi="Calibri" w:cs="Calibri"/>
          <w:b/>
          <w:color w:val="000000"/>
          <w:sz w:val="24"/>
          <w:szCs w:val="24"/>
        </w:rPr>
        <w:t>1</w:t>
      </w:r>
      <w:r w:rsidR="00717CC5" w:rsidRPr="00BF60BC">
        <w:rPr>
          <w:rFonts w:ascii="Calibri" w:eastAsia="Times New Roman" w:hAnsi="Calibri" w:cs="Calibri"/>
          <w:color w:val="000000"/>
          <w:sz w:val="24"/>
          <w:szCs w:val="24"/>
        </w:rPr>
        <w:t>).</w:t>
      </w:r>
    </w:p>
    <w:p w14:paraId="15C096FC" w14:textId="5D289DFE" w:rsidR="0097636A" w:rsidRPr="00BF60BC" w:rsidRDefault="0097636A" w:rsidP="00655F22">
      <w:pPr>
        <w:spacing w:after="0" w:line="360" w:lineRule="auto"/>
        <w:jc w:val="both"/>
        <w:rPr>
          <w:rFonts w:ascii="Times New Roman" w:eastAsia="Times New Roman" w:hAnsi="Times New Roman" w:cs="Times New Roman"/>
          <w:sz w:val="24"/>
          <w:szCs w:val="24"/>
        </w:rPr>
      </w:pPr>
    </w:p>
    <w:p w14:paraId="3CDD6112" w14:textId="77777777" w:rsidR="003B2605" w:rsidRDefault="003B2605" w:rsidP="00655F22">
      <w:pPr>
        <w:spacing w:after="0" w:line="360" w:lineRule="auto"/>
        <w:jc w:val="both"/>
        <w:rPr>
          <w:rFonts w:ascii="Calibri" w:eastAsia="Times New Roman" w:hAnsi="Calibri" w:cs="Calibri"/>
          <w:i/>
          <w:sz w:val="24"/>
          <w:szCs w:val="24"/>
        </w:rPr>
      </w:pPr>
    </w:p>
    <w:p w14:paraId="7A4201B8" w14:textId="5053E0A1" w:rsidR="009D175F" w:rsidRPr="00BF60BC" w:rsidRDefault="009D175F" w:rsidP="00655F22">
      <w:pPr>
        <w:spacing w:after="0" w:line="360" w:lineRule="auto"/>
        <w:jc w:val="both"/>
        <w:rPr>
          <w:rFonts w:ascii="Calibri" w:eastAsia="Times New Roman" w:hAnsi="Calibri" w:cs="Calibri"/>
          <w:i/>
          <w:sz w:val="24"/>
          <w:szCs w:val="24"/>
        </w:rPr>
      </w:pPr>
      <w:r w:rsidRPr="00BF60BC">
        <w:rPr>
          <w:rFonts w:ascii="Calibri" w:eastAsia="Times New Roman" w:hAnsi="Calibri" w:cs="Calibri"/>
          <w:i/>
          <w:sz w:val="24"/>
          <w:szCs w:val="24"/>
        </w:rPr>
        <w:lastRenderedPageBreak/>
        <w:t>Depressive symptoms</w:t>
      </w:r>
    </w:p>
    <w:p w14:paraId="289EA63B" w14:textId="4E56A46B" w:rsidR="0097636A" w:rsidRPr="00BF60BC" w:rsidRDefault="009D175F" w:rsidP="00655F22">
      <w:pPr>
        <w:spacing w:after="0" w:line="360" w:lineRule="auto"/>
        <w:jc w:val="both"/>
        <w:rPr>
          <w:rFonts w:ascii="Calibri" w:eastAsia="Times New Roman" w:hAnsi="Calibri" w:cs="Calibri"/>
          <w:color w:val="000000"/>
          <w:sz w:val="24"/>
          <w:szCs w:val="24"/>
        </w:rPr>
      </w:pPr>
      <w:r w:rsidRPr="00BF60BC">
        <w:rPr>
          <w:rFonts w:ascii="Calibri" w:eastAsia="Times New Roman" w:hAnsi="Calibri" w:cs="Calibri"/>
          <w:color w:val="000000"/>
          <w:sz w:val="24"/>
          <w:szCs w:val="24"/>
        </w:rPr>
        <w:t>In</w:t>
      </w:r>
      <w:r w:rsidR="0097636A" w:rsidRPr="00BF60BC">
        <w:rPr>
          <w:rFonts w:ascii="Calibri" w:eastAsia="Times New Roman" w:hAnsi="Calibri" w:cs="Calibri"/>
          <w:color w:val="000000"/>
          <w:sz w:val="24"/>
          <w:szCs w:val="24"/>
        </w:rPr>
        <w:t xml:space="preserve"> ALSPAC and MCS</w:t>
      </w:r>
      <w:r w:rsidRPr="00BF60BC">
        <w:rPr>
          <w:rFonts w:ascii="Calibri" w:eastAsia="Times New Roman" w:hAnsi="Calibri" w:cs="Calibri"/>
          <w:color w:val="000000"/>
          <w:sz w:val="24"/>
          <w:szCs w:val="24"/>
        </w:rPr>
        <w:t xml:space="preserve">, </w:t>
      </w:r>
      <w:r w:rsidR="007C33EB" w:rsidRPr="00BF60BC">
        <w:rPr>
          <w:rFonts w:ascii="Calibri" w:eastAsia="Times New Roman" w:hAnsi="Calibri" w:cs="Calibri"/>
          <w:color w:val="000000"/>
          <w:sz w:val="24"/>
          <w:szCs w:val="24"/>
        </w:rPr>
        <w:t xml:space="preserve">depressive symptoms were assessed using the </w:t>
      </w:r>
      <w:r w:rsidR="00B96BFE" w:rsidRPr="00BF60BC">
        <w:rPr>
          <w:rFonts w:ascii="Calibri" w:eastAsia="Times New Roman" w:hAnsi="Calibri" w:cs="Calibri"/>
          <w:color w:val="000000"/>
          <w:sz w:val="24"/>
          <w:szCs w:val="24"/>
        </w:rPr>
        <w:t xml:space="preserve">12-item </w:t>
      </w:r>
      <w:r w:rsidR="0097636A" w:rsidRPr="00BF60BC">
        <w:rPr>
          <w:rFonts w:ascii="Calibri" w:eastAsia="Times New Roman" w:hAnsi="Calibri" w:cs="Calibri"/>
          <w:color w:val="000000"/>
          <w:sz w:val="24"/>
          <w:szCs w:val="24"/>
        </w:rPr>
        <w:t>Short Moods and Feelings Questionnaire(SMFQ)</w:t>
      </w:r>
      <w:r w:rsidR="00515046" w:rsidRPr="00BF60BC">
        <w:rPr>
          <w:rFonts w:ascii="Calibri" w:eastAsia="Times New Roman" w:hAnsi="Calibri" w:cs="Calibri"/>
          <w:color w:val="000000"/>
          <w:sz w:val="24"/>
          <w:szCs w:val="24"/>
        </w:rPr>
        <w:fldChar w:fldCharType="begin" w:fldLock="1"/>
      </w:r>
      <w:r w:rsidR="00C5774B">
        <w:rPr>
          <w:rFonts w:ascii="Calibri" w:eastAsia="Times New Roman" w:hAnsi="Calibri" w:cs="Calibri"/>
          <w:color w:val="000000"/>
          <w:sz w:val="24"/>
          <w:szCs w:val="24"/>
        </w:rPr>
        <w:instrText>ADDIN CSL_CITATION {"citationItems":[{"id":"ITEM-1","itemData":{"author":[{"dropping-particle":"","family":"Angold","given":"A","non-dropping-particle":"","parse-names":false,"suffix":""},{"dropping-particle":"","family":"Costello","given":"E J","non-dropping-particle":"","parse-names":false,"suffix":""},{"dropping-particle":"","family":"Messer","given":"S C","non-dropping-particle":"","parse-names":false,"suffix":""},{"dropping-particle":"","family":"Pickles","given":"A","non-dropping-particle":"","parse-names":false,"suffix":""},{"dropping-particle":"","family":"Winder","given":"F","non-dropping-particle":"","parse-names":false,"suffix":""},{"dropping-particle":"","family":"Silver","given":"D","non-dropping-particle":"","parse-names":false,"suffix":""}],"container-title":"International Journal of Methods in Psychiatric Research","id":"ITEM-1","issued":{"date-parts":[["1995"]]},"page":"237 - 249","title":"Development of a short questionnaire for use in epidemiological studies of depression in children and adolescents","type":"article-journal","volume":"5"},"uris":["http://www.mendeley.com/documents/?uuid=8cdbdabd-522d-4105-9a9f-1f0d8e985dda"]}],"mendeley":{"formattedCitation":"&lt;sup&gt;22&lt;/sup&gt;","plainTextFormattedCitation":"22","previouslyFormattedCitation":"&lt;sup&gt;22&lt;/sup&gt;"},"properties":{"noteIndex":0},"schema":"https://github.com/citation-style-language/schema/raw/master/csl-citation.json"}</w:instrText>
      </w:r>
      <w:r w:rsidR="00515046" w:rsidRPr="00BF60BC">
        <w:rPr>
          <w:rFonts w:ascii="Calibri" w:eastAsia="Times New Roman" w:hAnsi="Calibri" w:cs="Calibri"/>
          <w:color w:val="000000"/>
          <w:sz w:val="24"/>
          <w:szCs w:val="24"/>
        </w:rPr>
        <w:fldChar w:fldCharType="separate"/>
      </w:r>
      <w:r w:rsidR="00C5774B" w:rsidRPr="00C5774B">
        <w:rPr>
          <w:rFonts w:ascii="Calibri" w:eastAsia="Times New Roman" w:hAnsi="Calibri" w:cs="Calibri"/>
          <w:noProof/>
          <w:color w:val="000000"/>
          <w:sz w:val="24"/>
          <w:szCs w:val="24"/>
          <w:vertAlign w:val="superscript"/>
        </w:rPr>
        <w:t>22</w:t>
      </w:r>
      <w:r w:rsidR="00515046" w:rsidRPr="00BF60BC">
        <w:rPr>
          <w:rFonts w:ascii="Calibri" w:eastAsia="Times New Roman" w:hAnsi="Calibri" w:cs="Calibri"/>
          <w:color w:val="000000"/>
          <w:sz w:val="24"/>
          <w:szCs w:val="24"/>
        </w:rPr>
        <w:fldChar w:fldCharType="end"/>
      </w:r>
      <w:r w:rsidR="00515046" w:rsidRPr="00BF60BC">
        <w:rPr>
          <w:rFonts w:ascii="Calibri" w:eastAsia="Times New Roman" w:hAnsi="Calibri" w:cs="Calibri"/>
          <w:color w:val="000000"/>
          <w:sz w:val="24"/>
          <w:szCs w:val="24"/>
        </w:rPr>
        <w:t xml:space="preserve"> </w:t>
      </w:r>
      <w:r w:rsidR="00B96BFE" w:rsidRPr="00BF60BC">
        <w:rPr>
          <w:rFonts w:ascii="Calibri" w:eastAsia="Times New Roman" w:hAnsi="Calibri" w:cs="Calibri"/>
          <w:color w:val="000000"/>
          <w:sz w:val="24"/>
          <w:szCs w:val="24"/>
        </w:rPr>
        <w:t>and in</w:t>
      </w:r>
      <w:r w:rsidR="0097636A" w:rsidRPr="00BF60BC">
        <w:rPr>
          <w:rFonts w:ascii="Calibri" w:eastAsia="Times New Roman" w:hAnsi="Calibri" w:cs="Calibri"/>
          <w:color w:val="000000"/>
          <w:sz w:val="24"/>
          <w:szCs w:val="24"/>
        </w:rPr>
        <w:t xml:space="preserve"> BCS, </w:t>
      </w:r>
      <w:r w:rsidR="00242BC2" w:rsidRPr="00BF60BC">
        <w:rPr>
          <w:rFonts w:ascii="Calibri" w:eastAsia="Times New Roman" w:hAnsi="Calibri" w:cs="Calibri"/>
          <w:color w:val="000000"/>
          <w:sz w:val="24"/>
          <w:szCs w:val="24"/>
        </w:rPr>
        <w:t>using the nine</w:t>
      </w:r>
      <w:r w:rsidR="007C33EB" w:rsidRPr="00BF60BC">
        <w:rPr>
          <w:rFonts w:ascii="Calibri" w:eastAsia="Times New Roman" w:hAnsi="Calibri" w:cs="Calibri"/>
          <w:color w:val="000000"/>
          <w:sz w:val="24"/>
          <w:szCs w:val="24"/>
        </w:rPr>
        <w:t>-item</w:t>
      </w:r>
      <w:r w:rsidR="0097636A" w:rsidRPr="00BF60BC">
        <w:rPr>
          <w:rFonts w:ascii="Calibri" w:eastAsia="Times New Roman" w:hAnsi="Calibri" w:cs="Calibri"/>
          <w:color w:val="000000"/>
          <w:sz w:val="24"/>
          <w:szCs w:val="24"/>
        </w:rPr>
        <w:t xml:space="preserve"> Malaise Inventory</w:t>
      </w:r>
      <w:r w:rsidRPr="00BF60BC">
        <w:rPr>
          <w:rFonts w:ascii="Calibri" w:eastAsia="Times New Roman" w:hAnsi="Calibri" w:cs="Calibri"/>
          <w:color w:val="000000"/>
          <w:sz w:val="24"/>
          <w:szCs w:val="24"/>
        </w:rPr>
        <w:fldChar w:fldCharType="begin" w:fldLock="1"/>
      </w:r>
      <w:r w:rsidR="00C5774B">
        <w:rPr>
          <w:rFonts w:ascii="Calibri" w:eastAsia="Times New Roman" w:hAnsi="Calibri" w:cs="Calibri"/>
          <w:color w:val="000000"/>
          <w:sz w:val="24"/>
          <w:szCs w:val="24"/>
        </w:rPr>
        <w:instrText>ADDIN CSL_CITATION {"citationItems":[{"id":"ITEM-1","itemData":{"author":[{"dropping-particle":"","family":"Rutter","given":"ML","non-dropping-particle":"","parse-names":false,"suffix":""}],"id":"ITEM-1","issued":{"date-parts":[["1970"]]},"publisher":"Longman","publisher-place":"Harlow","title":"Education, health and behaviour","type":"book"},"uris":["http://www.mendeley.com/documents/?uuid=421b4d28-c3ad-4b9a-9c89-cce3dcc075ea","http://www.mendeley.com/documents/?uuid=b803f560-0b0a-48ef-a882-ee22305b9b0c"]}],"mendeley":{"formattedCitation":"&lt;sup&gt;23&lt;/sup&gt;","plainTextFormattedCitation":"23","previouslyFormattedCitation":"&lt;sup&gt;23&lt;/sup&gt;"},"properties":{"noteIndex":0},"schema":"https://github.com/citation-style-language/schema/raw/master/csl-citation.json"}</w:instrText>
      </w:r>
      <w:r w:rsidRPr="00BF60BC">
        <w:rPr>
          <w:rFonts w:ascii="Calibri" w:eastAsia="Times New Roman" w:hAnsi="Calibri" w:cs="Calibri"/>
          <w:color w:val="000000"/>
          <w:sz w:val="24"/>
          <w:szCs w:val="24"/>
        </w:rPr>
        <w:fldChar w:fldCharType="separate"/>
      </w:r>
      <w:r w:rsidR="00C5774B" w:rsidRPr="00C5774B">
        <w:rPr>
          <w:rFonts w:ascii="Calibri" w:eastAsia="Times New Roman" w:hAnsi="Calibri" w:cs="Calibri"/>
          <w:noProof/>
          <w:color w:val="000000"/>
          <w:sz w:val="24"/>
          <w:szCs w:val="24"/>
          <w:vertAlign w:val="superscript"/>
        </w:rPr>
        <w:t>23</w:t>
      </w:r>
      <w:r w:rsidRPr="00BF60BC">
        <w:rPr>
          <w:rFonts w:ascii="Calibri" w:eastAsia="Times New Roman" w:hAnsi="Calibri" w:cs="Calibri"/>
          <w:color w:val="000000"/>
          <w:sz w:val="24"/>
          <w:szCs w:val="24"/>
        </w:rPr>
        <w:fldChar w:fldCharType="end"/>
      </w:r>
      <w:r w:rsidR="0097636A" w:rsidRPr="00BF60BC">
        <w:rPr>
          <w:rFonts w:ascii="Calibri" w:eastAsia="Times New Roman" w:hAnsi="Calibri" w:cs="Calibri"/>
          <w:color w:val="000000"/>
          <w:sz w:val="24"/>
          <w:szCs w:val="24"/>
        </w:rPr>
        <w:t xml:space="preserve"> </w:t>
      </w:r>
      <w:r w:rsidR="00F467BD" w:rsidRPr="00BF60BC">
        <w:rPr>
          <w:rFonts w:ascii="Calibri" w:eastAsia="Times New Roman" w:hAnsi="Calibri" w:cs="Calibri"/>
          <w:color w:val="000000"/>
          <w:sz w:val="24"/>
          <w:szCs w:val="24"/>
        </w:rPr>
        <w:t>(</w:t>
      </w:r>
      <w:r w:rsidR="00B57F70">
        <w:rPr>
          <w:rFonts w:ascii="Calibri" w:eastAsia="Times New Roman" w:hAnsi="Calibri" w:cs="Calibri"/>
          <w:b/>
          <w:bCs/>
          <w:color w:val="000000"/>
          <w:sz w:val="24"/>
          <w:szCs w:val="24"/>
        </w:rPr>
        <w:t>eMethod2</w:t>
      </w:r>
      <w:r w:rsidR="00F467BD" w:rsidRPr="00BF60BC">
        <w:rPr>
          <w:rFonts w:ascii="Calibri" w:eastAsia="Times New Roman" w:hAnsi="Calibri" w:cs="Calibri"/>
          <w:color w:val="000000"/>
          <w:sz w:val="24"/>
          <w:szCs w:val="24"/>
        </w:rPr>
        <w:t xml:space="preserve">). </w:t>
      </w:r>
      <w:r w:rsidR="0097636A" w:rsidRPr="00BF60BC">
        <w:rPr>
          <w:rFonts w:ascii="Calibri" w:eastAsia="Times New Roman" w:hAnsi="Calibri" w:cs="Calibri"/>
          <w:color w:val="000000"/>
          <w:sz w:val="24"/>
          <w:szCs w:val="24"/>
        </w:rPr>
        <w:t>We</w:t>
      </w:r>
      <w:r w:rsidR="006324F8" w:rsidRPr="00BF60BC">
        <w:rPr>
          <w:rFonts w:ascii="Calibri" w:eastAsia="Times New Roman" w:hAnsi="Calibri" w:cs="Calibri"/>
          <w:color w:val="000000"/>
          <w:sz w:val="24"/>
          <w:szCs w:val="24"/>
        </w:rPr>
        <w:t xml:space="preserve"> use</w:t>
      </w:r>
      <w:r w:rsidR="00EA5E83" w:rsidRPr="00BF60BC">
        <w:rPr>
          <w:rFonts w:ascii="Calibri" w:eastAsia="Times New Roman" w:hAnsi="Calibri" w:cs="Calibri"/>
          <w:color w:val="000000"/>
          <w:sz w:val="24"/>
          <w:szCs w:val="24"/>
        </w:rPr>
        <w:t>d</w:t>
      </w:r>
      <w:r w:rsidR="0097636A" w:rsidRPr="00BF60BC">
        <w:rPr>
          <w:rFonts w:ascii="Calibri" w:eastAsia="Times New Roman" w:hAnsi="Calibri" w:cs="Calibri"/>
          <w:color w:val="000000"/>
          <w:sz w:val="24"/>
          <w:szCs w:val="24"/>
        </w:rPr>
        <w:t xml:space="preserve"> </w:t>
      </w:r>
      <w:r w:rsidR="006324F8" w:rsidRPr="00BF60BC">
        <w:rPr>
          <w:rFonts w:ascii="Calibri" w:eastAsia="Times New Roman" w:hAnsi="Calibri" w:cs="Calibri"/>
          <w:color w:val="000000"/>
          <w:sz w:val="24"/>
          <w:szCs w:val="24"/>
        </w:rPr>
        <w:t>cohort</w:t>
      </w:r>
      <w:r w:rsidR="00B41995" w:rsidRPr="00BF60BC">
        <w:rPr>
          <w:rFonts w:ascii="Calibri" w:eastAsia="Times New Roman" w:hAnsi="Calibri" w:cs="Calibri"/>
          <w:color w:val="000000"/>
          <w:sz w:val="24"/>
          <w:szCs w:val="24"/>
        </w:rPr>
        <w:t>-</w:t>
      </w:r>
      <w:r w:rsidR="0097636A" w:rsidRPr="00BF60BC">
        <w:rPr>
          <w:rFonts w:ascii="Calibri" w:eastAsia="Times New Roman" w:hAnsi="Calibri" w:cs="Calibri"/>
          <w:color w:val="000000"/>
          <w:sz w:val="24"/>
          <w:szCs w:val="24"/>
        </w:rPr>
        <w:t>standardi</w:t>
      </w:r>
      <w:r w:rsidR="005A29F4">
        <w:rPr>
          <w:rFonts w:ascii="Calibri" w:eastAsia="Times New Roman" w:hAnsi="Calibri" w:cs="Calibri"/>
          <w:color w:val="000000"/>
          <w:sz w:val="24"/>
          <w:szCs w:val="24"/>
        </w:rPr>
        <w:t>z</w:t>
      </w:r>
      <w:r w:rsidR="0097636A" w:rsidRPr="00BF60BC">
        <w:rPr>
          <w:rFonts w:ascii="Calibri" w:eastAsia="Times New Roman" w:hAnsi="Calibri" w:cs="Calibri"/>
          <w:color w:val="000000"/>
          <w:sz w:val="24"/>
          <w:szCs w:val="24"/>
        </w:rPr>
        <w:t>e</w:t>
      </w:r>
      <w:r w:rsidR="00DB1C8D" w:rsidRPr="00BF60BC">
        <w:rPr>
          <w:rFonts w:ascii="Calibri" w:eastAsia="Times New Roman" w:hAnsi="Calibri" w:cs="Calibri"/>
          <w:color w:val="000000"/>
          <w:sz w:val="24"/>
          <w:szCs w:val="24"/>
        </w:rPr>
        <w:t>d</w:t>
      </w:r>
      <w:r w:rsidR="0097636A" w:rsidRPr="00BF60BC">
        <w:rPr>
          <w:rFonts w:ascii="Calibri" w:eastAsia="Times New Roman" w:hAnsi="Calibri" w:cs="Calibri"/>
          <w:color w:val="000000"/>
          <w:sz w:val="24"/>
          <w:szCs w:val="24"/>
        </w:rPr>
        <w:t xml:space="preserve"> </w:t>
      </w:r>
      <w:r w:rsidR="00EC5245" w:rsidRPr="00BF60BC">
        <w:rPr>
          <w:rFonts w:ascii="Calibri" w:eastAsia="Times New Roman" w:hAnsi="Calibri" w:cs="Calibri"/>
          <w:color w:val="000000"/>
          <w:sz w:val="24"/>
          <w:szCs w:val="24"/>
        </w:rPr>
        <w:t>scores</w:t>
      </w:r>
      <w:r w:rsidR="0097636A" w:rsidRPr="00BF60BC">
        <w:rPr>
          <w:rFonts w:ascii="Calibri" w:eastAsia="Times New Roman" w:hAnsi="Calibri" w:cs="Calibri"/>
          <w:color w:val="000000"/>
          <w:sz w:val="24"/>
          <w:szCs w:val="24"/>
        </w:rPr>
        <w:t xml:space="preserve"> from the</w:t>
      </w:r>
      <w:r w:rsidR="00EC5245" w:rsidRPr="00BF60BC">
        <w:rPr>
          <w:rFonts w:ascii="Calibri" w:eastAsia="Times New Roman" w:hAnsi="Calibri" w:cs="Calibri"/>
          <w:color w:val="000000"/>
          <w:sz w:val="24"/>
          <w:szCs w:val="24"/>
        </w:rPr>
        <w:t xml:space="preserve">se </w:t>
      </w:r>
      <w:r w:rsidR="006324F8" w:rsidRPr="00BF60BC">
        <w:rPr>
          <w:rFonts w:ascii="Calibri" w:eastAsia="Times New Roman" w:hAnsi="Calibri" w:cs="Calibri"/>
          <w:color w:val="000000"/>
          <w:sz w:val="24"/>
          <w:szCs w:val="24"/>
        </w:rPr>
        <w:t>scales as a measure of the sample distribution of depressive symptoms in each cohort.</w:t>
      </w:r>
    </w:p>
    <w:p w14:paraId="5BE68E5C" w14:textId="77777777" w:rsidR="00E81393" w:rsidRPr="00BF60BC" w:rsidRDefault="00E81393" w:rsidP="00655F22">
      <w:pPr>
        <w:spacing w:after="0" w:line="360" w:lineRule="auto"/>
        <w:jc w:val="both"/>
        <w:rPr>
          <w:rFonts w:ascii="Calibri" w:eastAsia="Times New Roman" w:hAnsi="Calibri" w:cs="Calibri"/>
          <w:i/>
          <w:iCs/>
          <w:color w:val="000000"/>
          <w:sz w:val="24"/>
          <w:szCs w:val="24"/>
        </w:rPr>
      </w:pPr>
    </w:p>
    <w:p w14:paraId="695BECD7" w14:textId="74C1B3B2" w:rsidR="0097636A" w:rsidRPr="00BF60BC" w:rsidRDefault="009D175F" w:rsidP="00655F22">
      <w:pPr>
        <w:spacing w:after="0" w:line="360" w:lineRule="auto"/>
        <w:jc w:val="both"/>
        <w:rPr>
          <w:rFonts w:ascii="Times New Roman" w:eastAsia="Times New Roman" w:hAnsi="Times New Roman" w:cs="Times New Roman"/>
          <w:sz w:val="24"/>
          <w:szCs w:val="24"/>
        </w:rPr>
      </w:pPr>
      <w:r w:rsidRPr="00BF60BC">
        <w:rPr>
          <w:rFonts w:ascii="Calibri" w:eastAsia="Times New Roman" w:hAnsi="Calibri" w:cs="Calibri"/>
          <w:i/>
          <w:iCs/>
          <w:color w:val="000000"/>
          <w:sz w:val="24"/>
          <w:szCs w:val="24"/>
        </w:rPr>
        <w:t>Other variables</w:t>
      </w:r>
    </w:p>
    <w:p w14:paraId="0699D1EB" w14:textId="7E68AC00" w:rsidR="0097636A" w:rsidRPr="00BF60BC" w:rsidRDefault="00F467BD" w:rsidP="00655F22">
      <w:pPr>
        <w:spacing w:after="0" w:line="360" w:lineRule="auto"/>
        <w:jc w:val="both"/>
        <w:rPr>
          <w:rFonts w:ascii="Calibri" w:eastAsia="Times New Roman" w:hAnsi="Calibri" w:cs="Calibri"/>
          <w:color w:val="000000"/>
          <w:sz w:val="24"/>
          <w:szCs w:val="24"/>
        </w:rPr>
      </w:pPr>
      <w:r w:rsidRPr="00BF60BC">
        <w:rPr>
          <w:rFonts w:ascii="Calibri" w:eastAsia="Times New Roman" w:hAnsi="Calibri" w:cs="Calibri"/>
          <w:color w:val="000000"/>
          <w:sz w:val="24"/>
          <w:szCs w:val="24"/>
        </w:rPr>
        <w:t>Given geographical and socio-demographic differences between cohorts</w:t>
      </w:r>
      <w:r w:rsidRPr="00BF60BC">
        <w:rPr>
          <w:rFonts w:ascii="Calibri" w:eastAsia="Times New Roman" w:hAnsi="Calibri" w:cs="Calibri"/>
          <w:color w:val="000000"/>
          <w:sz w:val="24"/>
          <w:szCs w:val="24"/>
        </w:rPr>
        <w:fldChar w:fldCharType="begin" w:fldLock="1"/>
      </w:r>
      <w:r w:rsidR="00C5774B">
        <w:rPr>
          <w:rFonts w:ascii="Calibri" w:eastAsia="Times New Roman" w:hAnsi="Calibri" w:cs="Calibri"/>
          <w:color w:val="000000"/>
          <w:sz w:val="24"/>
          <w:szCs w:val="24"/>
        </w:rPr>
        <w:instrText>ADDIN CSL_CITATION {"citationItems":[{"id":"ITEM-1","itemData":{"DOI":"10.1093/ije/dyz006","ISSN":"0300-5771","author":[{"dropping-particle":"","family":"Patalay","given":"Praveetha","non-dropping-particle":"","parse-names":false,"suffix":""},{"dropping-particle":"","family":"Gage","given":"Suzanne H","non-dropping-particle":"","parse-names":false,"suffix":""}],"container-title":"International Journal of Epidemiology","id":"ITEM-1","issued":{"date-parts":[["2019","2","27"]]},"title":"Changes in millennial adolescent mental health and health-related behaviours over 10 years: a population cohort comparison study","type":"article-journal"},"uris":["http://www.mendeley.com/documents/?uuid=a2b1d381-18e6-3a24-a488-dd739a9cab62"]}],"mendeley":{"formattedCitation":"&lt;sup&gt;24&lt;/sup&gt;","plainTextFormattedCitation":"24","previouslyFormattedCitation":"&lt;sup&gt;24&lt;/sup&gt;"},"properties":{"noteIndex":0},"schema":"https://github.com/citation-style-language/schema/raw/master/csl-citation.json"}</w:instrText>
      </w:r>
      <w:r w:rsidRPr="00BF60BC">
        <w:rPr>
          <w:rFonts w:ascii="Calibri" w:eastAsia="Times New Roman" w:hAnsi="Calibri" w:cs="Calibri"/>
          <w:color w:val="000000"/>
          <w:sz w:val="24"/>
          <w:szCs w:val="24"/>
        </w:rPr>
        <w:fldChar w:fldCharType="separate"/>
      </w:r>
      <w:r w:rsidR="00C5774B" w:rsidRPr="00C5774B">
        <w:rPr>
          <w:rFonts w:ascii="Calibri" w:eastAsia="Times New Roman" w:hAnsi="Calibri" w:cs="Calibri"/>
          <w:noProof/>
          <w:color w:val="000000"/>
          <w:sz w:val="24"/>
          <w:szCs w:val="24"/>
          <w:vertAlign w:val="superscript"/>
        </w:rPr>
        <w:t>24</w:t>
      </w:r>
      <w:r w:rsidRPr="00BF60BC">
        <w:rPr>
          <w:rFonts w:ascii="Calibri" w:eastAsia="Times New Roman" w:hAnsi="Calibri" w:cs="Calibri"/>
          <w:color w:val="000000"/>
          <w:sz w:val="24"/>
          <w:szCs w:val="24"/>
        </w:rPr>
        <w:fldChar w:fldCharType="end"/>
      </w:r>
      <w:r w:rsidRPr="00BF60BC">
        <w:rPr>
          <w:rFonts w:ascii="Calibri" w:eastAsia="Times New Roman" w:hAnsi="Calibri" w:cs="Calibri"/>
          <w:color w:val="000000"/>
          <w:sz w:val="24"/>
          <w:szCs w:val="24"/>
        </w:rPr>
        <w:t>, w</w:t>
      </w:r>
      <w:r w:rsidR="0097636A" w:rsidRPr="00BF60BC">
        <w:rPr>
          <w:rFonts w:ascii="Calibri" w:eastAsia="Times New Roman" w:hAnsi="Calibri" w:cs="Calibri"/>
          <w:color w:val="000000"/>
          <w:sz w:val="24"/>
          <w:szCs w:val="24"/>
        </w:rPr>
        <w:t>e control</w:t>
      </w:r>
      <w:r w:rsidR="00DB1C8D" w:rsidRPr="00BF60BC">
        <w:rPr>
          <w:rFonts w:ascii="Calibri" w:eastAsia="Times New Roman" w:hAnsi="Calibri" w:cs="Calibri"/>
          <w:color w:val="000000"/>
          <w:sz w:val="24"/>
          <w:szCs w:val="24"/>
        </w:rPr>
        <w:t>led</w:t>
      </w:r>
      <w:r w:rsidR="009B5389" w:rsidRPr="00BF60BC">
        <w:rPr>
          <w:rFonts w:ascii="Calibri" w:eastAsia="Times New Roman" w:hAnsi="Calibri" w:cs="Calibri"/>
          <w:color w:val="000000"/>
          <w:sz w:val="24"/>
          <w:szCs w:val="24"/>
        </w:rPr>
        <w:t xml:space="preserve"> </w:t>
      </w:r>
      <w:r w:rsidR="0097636A" w:rsidRPr="00BF60BC">
        <w:rPr>
          <w:rFonts w:ascii="Calibri" w:eastAsia="Times New Roman" w:hAnsi="Calibri" w:cs="Calibri"/>
          <w:color w:val="000000"/>
          <w:sz w:val="24"/>
          <w:szCs w:val="24"/>
        </w:rPr>
        <w:t xml:space="preserve">our analyses </w:t>
      </w:r>
      <w:r w:rsidR="000C32A5" w:rsidRPr="00BF60BC">
        <w:rPr>
          <w:rFonts w:ascii="Calibri" w:eastAsia="Times New Roman" w:hAnsi="Calibri" w:cs="Calibri"/>
          <w:color w:val="000000"/>
          <w:sz w:val="24"/>
          <w:szCs w:val="24"/>
        </w:rPr>
        <w:t xml:space="preserve">for </w:t>
      </w:r>
      <w:r w:rsidR="004A05BB" w:rsidRPr="00BF60BC">
        <w:rPr>
          <w:rFonts w:ascii="Calibri" w:eastAsia="Times New Roman" w:hAnsi="Calibri" w:cs="Calibri"/>
          <w:color w:val="000000"/>
          <w:sz w:val="24"/>
          <w:szCs w:val="24"/>
        </w:rPr>
        <w:t>key socio-demographic characteristics</w:t>
      </w:r>
      <w:r w:rsidR="00717CC5" w:rsidRPr="00BF60BC">
        <w:rPr>
          <w:rFonts w:ascii="Calibri" w:eastAsia="Times New Roman" w:hAnsi="Calibri" w:cs="Calibri"/>
          <w:color w:val="000000"/>
          <w:sz w:val="24"/>
          <w:szCs w:val="24"/>
        </w:rPr>
        <w:t>, including</w:t>
      </w:r>
      <w:r w:rsidR="0097636A" w:rsidRPr="00BF60BC">
        <w:rPr>
          <w:rFonts w:ascii="Calibri" w:eastAsia="Times New Roman" w:hAnsi="Calibri" w:cs="Calibri"/>
          <w:color w:val="000000"/>
          <w:sz w:val="24"/>
          <w:szCs w:val="24"/>
        </w:rPr>
        <w:t xml:space="preserve">: </w:t>
      </w:r>
      <w:r w:rsidR="00515046" w:rsidRPr="00BF60BC">
        <w:rPr>
          <w:rFonts w:ascii="Calibri" w:eastAsia="Times New Roman" w:hAnsi="Calibri" w:cs="Calibri"/>
          <w:color w:val="000000"/>
          <w:sz w:val="24"/>
          <w:szCs w:val="24"/>
        </w:rPr>
        <w:t>age,</w:t>
      </w:r>
      <w:r w:rsidR="0097636A" w:rsidRPr="00BF60BC">
        <w:rPr>
          <w:rFonts w:ascii="Calibri" w:eastAsia="Times New Roman" w:hAnsi="Calibri" w:cs="Calibri"/>
          <w:color w:val="000000"/>
          <w:sz w:val="24"/>
          <w:szCs w:val="24"/>
        </w:rPr>
        <w:t xml:space="preserve"> sex and ethnic group(white</w:t>
      </w:r>
      <w:r w:rsidR="00515046" w:rsidRPr="00BF60BC">
        <w:rPr>
          <w:rFonts w:ascii="Calibri" w:eastAsia="Times New Roman" w:hAnsi="Calibri" w:cs="Calibri"/>
          <w:color w:val="000000"/>
          <w:sz w:val="24"/>
          <w:szCs w:val="24"/>
        </w:rPr>
        <w:t xml:space="preserve"> British or European</w:t>
      </w:r>
      <w:r w:rsidR="0097636A" w:rsidRPr="00BF60BC">
        <w:rPr>
          <w:rFonts w:ascii="Calibri" w:eastAsia="Times New Roman" w:hAnsi="Calibri" w:cs="Calibri"/>
          <w:color w:val="000000"/>
          <w:sz w:val="24"/>
          <w:szCs w:val="24"/>
        </w:rPr>
        <w:t>/</w:t>
      </w:r>
      <w:r w:rsidR="00487ABF" w:rsidRPr="00BF60BC">
        <w:rPr>
          <w:rFonts w:ascii="Calibri" w:eastAsia="Times New Roman" w:hAnsi="Calibri" w:cs="Calibri"/>
          <w:color w:val="000000"/>
          <w:sz w:val="24"/>
          <w:szCs w:val="24"/>
        </w:rPr>
        <w:t xml:space="preserve">ethnic </w:t>
      </w:r>
      <w:r w:rsidR="00EB45A9" w:rsidRPr="00BF60BC">
        <w:rPr>
          <w:rFonts w:ascii="Calibri" w:eastAsia="Times New Roman" w:hAnsi="Calibri" w:cs="Calibri"/>
          <w:color w:val="000000"/>
          <w:sz w:val="24"/>
          <w:szCs w:val="24"/>
        </w:rPr>
        <w:t>minority</w:t>
      </w:r>
      <w:r w:rsidR="0097636A" w:rsidRPr="00BF60BC">
        <w:rPr>
          <w:rFonts w:ascii="Calibri" w:eastAsia="Times New Roman" w:hAnsi="Calibri" w:cs="Calibri"/>
          <w:color w:val="000000"/>
          <w:sz w:val="24"/>
          <w:szCs w:val="24"/>
        </w:rPr>
        <w:t>), maternal age at birth, maternal education(compulsory vs. non-compulsory</w:t>
      </w:r>
      <w:r w:rsidR="001847D9" w:rsidRPr="00BF60BC">
        <w:rPr>
          <w:rFonts w:ascii="Calibri" w:eastAsia="Times New Roman" w:hAnsi="Calibri" w:cs="Calibri"/>
          <w:color w:val="000000"/>
          <w:sz w:val="24"/>
          <w:szCs w:val="24"/>
        </w:rPr>
        <w:t>) and paternal(where missing maternal)</w:t>
      </w:r>
      <w:r w:rsidR="004A05BB" w:rsidRPr="00BF60BC">
        <w:rPr>
          <w:rFonts w:ascii="Calibri" w:eastAsia="Times New Roman" w:hAnsi="Calibri" w:cs="Calibri"/>
          <w:color w:val="000000"/>
          <w:sz w:val="24"/>
          <w:szCs w:val="24"/>
        </w:rPr>
        <w:t xml:space="preserve"> </w:t>
      </w:r>
      <w:r w:rsidR="0097636A" w:rsidRPr="00BF60BC">
        <w:rPr>
          <w:rFonts w:ascii="Calibri" w:eastAsia="Times New Roman" w:hAnsi="Calibri" w:cs="Calibri"/>
          <w:color w:val="000000"/>
          <w:sz w:val="24"/>
          <w:szCs w:val="24"/>
        </w:rPr>
        <w:t>social class(manual vs non-manual profession)</w:t>
      </w:r>
      <w:r w:rsidR="004A05BB" w:rsidRPr="00BF60BC">
        <w:rPr>
          <w:rFonts w:ascii="Calibri" w:eastAsia="Times New Roman" w:hAnsi="Calibri" w:cs="Calibri"/>
          <w:color w:val="000000"/>
          <w:sz w:val="24"/>
          <w:szCs w:val="24"/>
        </w:rPr>
        <w:t>.</w:t>
      </w:r>
    </w:p>
    <w:p w14:paraId="5616E7BB" w14:textId="0F5AD73C" w:rsidR="0097636A" w:rsidRPr="00BF60BC" w:rsidRDefault="0097636A" w:rsidP="00655F22">
      <w:pPr>
        <w:spacing w:after="0" w:line="360" w:lineRule="auto"/>
        <w:jc w:val="both"/>
        <w:rPr>
          <w:rFonts w:ascii="Calibri" w:eastAsia="Times New Roman" w:hAnsi="Calibri" w:cs="Calibri"/>
          <w:color w:val="000000"/>
          <w:sz w:val="24"/>
          <w:szCs w:val="24"/>
        </w:rPr>
      </w:pPr>
    </w:p>
    <w:p w14:paraId="47C4D616" w14:textId="36B6B71F" w:rsidR="0097636A" w:rsidRPr="00BF60BC" w:rsidRDefault="00482218" w:rsidP="00655F22">
      <w:pPr>
        <w:spacing w:after="0" w:line="360" w:lineRule="auto"/>
        <w:jc w:val="both"/>
        <w:rPr>
          <w:rFonts w:ascii="Calibri" w:eastAsia="Times New Roman" w:hAnsi="Calibri" w:cs="Calibri"/>
          <w:color w:val="000000"/>
          <w:sz w:val="24"/>
          <w:szCs w:val="24"/>
          <w:lang w:eastAsia="ja-JP"/>
        </w:rPr>
      </w:pPr>
      <w:r w:rsidRPr="00BF60BC">
        <w:rPr>
          <w:rFonts w:ascii="Calibri" w:eastAsia="Times New Roman" w:hAnsi="Calibri" w:cs="Calibri"/>
          <w:color w:val="000000"/>
          <w:sz w:val="24"/>
          <w:szCs w:val="24"/>
        </w:rPr>
        <w:t>Some of our analyses</w:t>
      </w:r>
      <w:r w:rsidR="00487ABF" w:rsidRPr="00BF60BC">
        <w:rPr>
          <w:rFonts w:ascii="Calibri" w:eastAsia="Times New Roman" w:hAnsi="Calibri" w:cs="Calibri"/>
          <w:color w:val="000000"/>
          <w:sz w:val="24"/>
          <w:szCs w:val="24"/>
        </w:rPr>
        <w:t xml:space="preserve"> </w:t>
      </w:r>
      <w:r w:rsidRPr="00BF60BC">
        <w:rPr>
          <w:rFonts w:ascii="Calibri" w:eastAsia="Times New Roman" w:hAnsi="Calibri" w:cs="Calibri"/>
          <w:color w:val="000000"/>
          <w:sz w:val="24"/>
          <w:szCs w:val="24"/>
        </w:rPr>
        <w:t xml:space="preserve">were adjusted for </w:t>
      </w:r>
      <w:r w:rsidR="00487ABF" w:rsidRPr="00BF60BC">
        <w:rPr>
          <w:rFonts w:ascii="Calibri" w:eastAsia="Times New Roman" w:hAnsi="Calibri" w:cs="Calibri"/>
          <w:color w:val="000000"/>
          <w:sz w:val="24"/>
          <w:szCs w:val="24"/>
        </w:rPr>
        <w:t>age and sex-standardi</w:t>
      </w:r>
      <w:r w:rsidR="006068CA">
        <w:rPr>
          <w:rFonts w:ascii="Calibri" w:eastAsia="Times New Roman" w:hAnsi="Calibri" w:cs="Calibri"/>
          <w:color w:val="000000"/>
          <w:sz w:val="24"/>
          <w:szCs w:val="24"/>
        </w:rPr>
        <w:t>z</w:t>
      </w:r>
      <w:r w:rsidR="00487ABF" w:rsidRPr="00BF60BC">
        <w:rPr>
          <w:rFonts w:ascii="Calibri" w:eastAsia="Times New Roman" w:hAnsi="Calibri" w:cs="Calibri"/>
          <w:color w:val="000000"/>
          <w:sz w:val="24"/>
          <w:szCs w:val="24"/>
        </w:rPr>
        <w:t>ed BMI</w:t>
      </w:r>
      <w:r w:rsidRPr="00BF60BC">
        <w:rPr>
          <w:rFonts w:ascii="Calibri" w:eastAsia="Times New Roman" w:hAnsi="Calibri" w:cs="Calibri"/>
          <w:color w:val="000000"/>
          <w:sz w:val="24"/>
          <w:szCs w:val="24"/>
        </w:rPr>
        <w:t>(</w:t>
      </w:r>
      <w:r w:rsidR="00B57F70">
        <w:rPr>
          <w:rFonts w:ascii="Calibri" w:eastAsia="Times New Roman" w:hAnsi="Calibri" w:cs="Calibri"/>
          <w:b/>
          <w:color w:val="000000"/>
          <w:sz w:val="24"/>
          <w:szCs w:val="24"/>
        </w:rPr>
        <w:t>eMethod3</w:t>
      </w:r>
      <w:r w:rsidRPr="00BF60BC">
        <w:rPr>
          <w:rFonts w:ascii="Calibri" w:eastAsia="Times New Roman" w:hAnsi="Calibri" w:cs="Calibri"/>
          <w:color w:val="000000"/>
          <w:sz w:val="24"/>
          <w:szCs w:val="24"/>
        </w:rPr>
        <w:t>)</w:t>
      </w:r>
      <w:r w:rsidR="00EC5245" w:rsidRPr="00BF60BC">
        <w:rPr>
          <w:rFonts w:ascii="Calibri" w:eastAsia="Times New Roman" w:hAnsi="Calibri" w:cs="Calibri"/>
          <w:color w:val="000000"/>
          <w:sz w:val="24"/>
          <w:szCs w:val="24"/>
        </w:rPr>
        <w:t>.</w:t>
      </w:r>
      <w:r w:rsidR="00487ABF" w:rsidRPr="00BF60BC">
        <w:rPr>
          <w:rFonts w:eastAsia="Times New Roman" w:cstheme="minorHAnsi"/>
          <w:color w:val="000000"/>
          <w:sz w:val="24"/>
          <w:szCs w:val="24"/>
        </w:rPr>
        <w:fldChar w:fldCharType="begin" w:fldLock="1"/>
      </w:r>
      <w:r w:rsidR="00C5774B">
        <w:rPr>
          <w:rFonts w:eastAsia="Times New Roman" w:cstheme="minorHAnsi"/>
          <w:color w:val="000000"/>
          <w:sz w:val="24"/>
          <w:szCs w:val="24"/>
        </w:rPr>
        <w:instrText>ADDIN CSL_CITATION {"citationItems":[{"id":"ITEM-1","itemData":{"ISBN":"9796964600","ISSN":"1536867X","abstract":"In this article, we describe an extension to the egen functions zanthro() and zbmicat() (Vidmar et al., 2004, Stata Journal 4: 50\\endash55). All functionality of the original version remains unchanged. In the 2004 version of zanthro(), z scores could be generated using the 2000 U.S. Centers for Disease Control and Prevention Growth Reference and the British 1990 Growth Reference. More recent growth references are now available. For measurement\\endashfor\\endashage charts, age can now be adjusted for gestational age. The zbmicat() function previously categorized children according to body mass index (weight/height^2) as normal weight, overweight, or obese. Normal weight is now split into normal weight and three grades of thinness. Finally, this updated version uses cubic rather than linear interpolation to calculate the values of L, M, and S for the childs decimal age between successive ages (or length/height for weight\\endashfor\\endashlength/height charts).","author":[{"dropping-particle":"","family":"Vidmar","given":"Suzanna I.","non-dropping-particle":"","parse-names":false,"suffix":""},{"dropping-particle":"","family":"Cole","given":"Tim J.","non-dropping-particle":"","parse-names":false,"suffix":""},{"dropping-particle":"","family":"Pan","given":"Huiqi","non-dropping-particle":"","parse-names":false,"suffix":""}],"container-title":"Stata Journal","id":"ITEM-1","issue":"2","issued":{"date-parts":[["2013"]]},"page":"366-378","title":"Standardizing anthropometric measures in children and adolescents with functions for egen: Update","type":"article-journal","volume":"13"},"uris":["http://www.mendeley.com/documents/?uuid=b4c47339-f679-48e8-a6d4-f94f01ad715e"]},{"id":"ITEM-2","itemData":{"author":[{"dropping-particle":"","family":"Cole","given":"Tim J","non-dropping-particle":"","parse-names":false,"suffix":""},{"dropping-particle":"","family":"Flegal","given":"Katherine M","non-dropping-particle":"","parse-names":false,"suffix":""},{"dropping-particle":"","family":"Nicholls","given":"Dasha","non-dropping-particle":"","parse-names":false,"suffix":""},{"dropping-particle":"","family":"Jackson","given":"Alan A","non-dropping-particle":"","parse-names":false,"suffix":""}],"container-title":"BMJ","id":"ITEM-2","issue":"7612","issued":{"date-parts":[["2007"]]},"title":"Body mass index cut offs to define thinness in children and adolescents: international survey","type":"article-journal","volume":"335"},"uris":["http://www.mendeley.com/documents/?uuid=82a63f60-0971-3092-a15b-5d339430a3ee"]},{"id":"ITEM-3","itemData":{"author":[{"dropping-particle":"","family":"Cole","given":"Tim J","non-dropping-particle":"","parse-names":false,"suffix":""},{"dropping-particle":"","family":"Bellizzi","given":"Mary C","non-dropping-particle":"","parse-names":false,"suffix":""},{"dropping-particle":"","family":"Flegal","given":"Katherine M","non-dropping-particle":"","parse-names":false,"suffix":""},{"dropping-particle":"","family":"Dietz","given":"William H","non-dropping-particle":"","parse-names":false,"suffix":""}],"container-title":"BMJ","id":"ITEM-3","issue":"7244","issued":{"date-parts":[["2000"]]},"title":"Establishing a standard definition for child overweight and obesity worldwide: international survey","type":"article-journal","volume":"320"},"uris":["http://www.mendeley.com/documents/?uuid=1c416e9c-a7c0-3532-8203-f2eb8d2f61d5"]}],"mendeley":{"formattedCitation":"&lt;sup&gt;25–27&lt;/sup&gt;","plainTextFormattedCitation":"25–27","previouslyFormattedCitation":"&lt;sup&gt;25–27&lt;/sup&gt;"},"properties":{"noteIndex":0},"schema":"https://github.com/citation-style-language/schema/raw/master/csl-citation.json"}</w:instrText>
      </w:r>
      <w:r w:rsidR="00487ABF" w:rsidRPr="00BF60BC">
        <w:rPr>
          <w:rFonts w:eastAsia="Times New Roman" w:cstheme="minorHAnsi"/>
          <w:color w:val="000000"/>
          <w:sz w:val="24"/>
          <w:szCs w:val="24"/>
        </w:rPr>
        <w:fldChar w:fldCharType="separate"/>
      </w:r>
      <w:r w:rsidR="00C5774B" w:rsidRPr="00C5774B">
        <w:rPr>
          <w:rFonts w:eastAsia="Times New Roman" w:cstheme="minorHAnsi"/>
          <w:noProof/>
          <w:color w:val="000000"/>
          <w:sz w:val="24"/>
          <w:szCs w:val="24"/>
          <w:vertAlign w:val="superscript"/>
          <w:lang w:eastAsia="ja-JP"/>
        </w:rPr>
        <w:t>25–27</w:t>
      </w:r>
      <w:r w:rsidR="00487ABF" w:rsidRPr="00BF60BC">
        <w:rPr>
          <w:rFonts w:eastAsia="Times New Roman" w:cstheme="minorHAnsi"/>
          <w:color w:val="000000"/>
          <w:sz w:val="24"/>
          <w:szCs w:val="24"/>
        </w:rPr>
        <w:fldChar w:fldCharType="end"/>
      </w:r>
    </w:p>
    <w:p w14:paraId="451CF487" w14:textId="77777777" w:rsidR="00EC5245" w:rsidRPr="00BF60BC" w:rsidRDefault="00EC5245" w:rsidP="00655F22">
      <w:pPr>
        <w:spacing w:after="0" w:line="360" w:lineRule="auto"/>
        <w:jc w:val="both"/>
        <w:rPr>
          <w:rFonts w:ascii="Calibri" w:eastAsia="Times New Roman" w:hAnsi="Calibri" w:cs="Calibri"/>
          <w:i/>
          <w:iCs/>
          <w:color w:val="000000"/>
          <w:sz w:val="24"/>
          <w:szCs w:val="24"/>
          <w:lang w:eastAsia="ja-JP"/>
        </w:rPr>
      </w:pPr>
    </w:p>
    <w:p w14:paraId="2C4E65D4" w14:textId="2AFFDC9C" w:rsidR="0097636A" w:rsidRPr="00BF60BC" w:rsidRDefault="0097636A" w:rsidP="00655F22">
      <w:pPr>
        <w:spacing w:after="0" w:line="360" w:lineRule="auto"/>
        <w:jc w:val="both"/>
        <w:rPr>
          <w:rFonts w:ascii="Times New Roman" w:eastAsia="Times New Roman" w:hAnsi="Times New Roman" w:cs="Times New Roman"/>
          <w:sz w:val="24"/>
          <w:szCs w:val="24"/>
          <w:lang w:eastAsia="ja-JP"/>
        </w:rPr>
      </w:pPr>
      <w:r w:rsidRPr="00BF60BC">
        <w:rPr>
          <w:rFonts w:ascii="Calibri" w:eastAsia="Times New Roman" w:hAnsi="Calibri" w:cs="Calibri"/>
          <w:i/>
          <w:iCs/>
          <w:color w:val="000000"/>
          <w:sz w:val="24"/>
          <w:szCs w:val="24"/>
          <w:lang w:eastAsia="ja-JP"/>
        </w:rPr>
        <w:t>Data analysis</w:t>
      </w:r>
    </w:p>
    <w:p w14:paraId="205376B7" w14:textId="1A9C01D2" w:rsidR="003F3DDE" w:rsidRPr="00BF60BC" w:rsidRDefault="0084693A" w:rsidP="00655F22">
      <w:pPr>
        <w:spacing w:after="0" w:line="360" w:lineRule="auto"/>
        <w:jc w:val="both"/>
        <w:rPr>
          <w:rFonts w:ascii="Calibri" w:eastAsia="Times New Roman" w:hAnsi="Calibri" w:cs="Calibri"/>
          <w:color w:val="000000"/>
          <w:sz w:val="24"/>
          <w:szCs w:val="24"/>
          <w:lang w:eastAsia="ja-JP"/>
        </w:rPr>
      </w:pPr>
      <w:r w:rsidRPr="00BF60BC">
        <w:rPr>
          <w:rFonts w:ascii="Calibri" w:eastAsia="Times New Roman" w:hAnsi="Calibri" w:cs="Calibri"/>
          <w:color w:val="000000"/>
          <w:sz w:val="24"/>
          <w:szCs w:val="24"/>
          <w:lang w:eastAsia="ja-JP"/>
        </w:rPr>
        <w:t>We imputed missing data for participant</w:t>
      </w:r>
      <w:r w:rsidR="006A07A7" w:rsidRPr="00BF60BC">
        <w:rPr>
          <w:rFonts w:ascii="Calibri" w:eastAsia="Times New Roman" w:hAnsi="Calibri" w:cs="Calibri"/>
          <w:color w:val="000000"/>
          <w:sz w:val="24"/>
          <w:szCs w:val="24"/>
          <w:lang w:eastAsia="ja-JP"/>
        </w:rPr>
        <w:t>s</w:t>
      </w:r>
      <w:r w:rsidRPr="00BF60BC">
        <w:rPr>
          <w:rFonts w:ascii="Calibri" w:eastAsia="Times New Roman" w:hAnsi="Calibri" w:cs="Calibri"/>
          <w:color w:val="000000"/>
          <w:sz w:val="24"/>
          <w:szCs w:val="24"/>
          <w:lang w:eastAsia="ja-JP"/>
        </w:rPr>
        <w:t xml:space="preserve"> with at least one </w:t>
      </w:r>
      <w:r w:rsidR="00F52EF0" w:rsidRPr="00BF60BC">
        <w:rPr>
          <w:rFonts w:ascii="Calibri" w:eastAsia="Times New Roman" w:hAnsi="Calibri" w:cs="Calibri"/>
          <w:color w:val="000000"/>
          <w:sz w:val="24"/>
          <w:szCs w:val="24"/>
          <w:lang w:eastAsia="ja-JP"/>
        </w:rPr>
        <w:t xml:space="preserve">outcome variable </w:t>
      </w:r>
      <w:r w:rsidR="006A07A7" w:rsidRPr="00BF60BC">
        <w:rPr>
          <w:rFonts w:ascii="Calibri" w:eastAsia="Times New Roman" w:hAnsi="Calibri" w:cs="Calibri"/>
          <w:color w:val="000000"/>
          <w:sz w:val="24"/>
          <w:szCs w:val="24"/>
          <w:lang w:eastAsia="ja-JP"/>
        </w:rPr>
        <w:t xml:space="preserve">available using </w:t>
      </w:r>
      <w:r w:rsidRPr="00BF60BC">
        <w:rPr>
          <w:rFonts w:ascii="Calibri" w:eastAsia="Times New Roman" w:hAnsi="Calibri" w:cs="Calibri"/>
          <w:color w:val="000000"/>
          <w:sz w:val="24"/>
          <w:szCs w:val="24"/>
          <w:lang w:eastAsia="ja-JP"/>
        </w:rPr>
        <w:t>multiple imputation by chained equations</w:t>
      </w:r>
      <w:r w:rsidR="00063C24">
        <w:rPr>
          <w:rFonts w:ascii="Calibri" w:eastAsia="Times New Roman" w:hAnsi="Calibri" w:cs="Calibri"/>
          <w:color w:val="000000"/>
          <w:sz w:val="24"/>
          <w:szCs w:val="24"/>
          <w:lang w:eastAsia="ja-JP"/>
        </w:rPr>
        <w:t>,</w:t>
      </w:r>
      <w:r w:rsidR="006A07A7" w:rsidRPr="00BF60BC">
        <w:rPr>
          <w:rFonts w:ascii="Calibri" w:eastAsia="Times New Roman" w:hAnsi="Calibri" w:cs="Calibri"/>
          <w:color w:val="000000"/>
          <w:sz w:val="24"/>
          <w:szCs w:val="24"/>
          <w:lang w:eastAsia="ja-JP"/>
        </w:rPr>
        <w:t xml:space="preserve"> imputing 50 datasets.</w:t>
      </w:r>
      <w:r w:rsidR="00E545B7" w:rsidRPr="00BF60BC">
        <w:rPr>
          <w:rFonts w:ascii="Calibri" w:eastAsia="Times New Roman" w:hAnsi="Calibri" w:cs="Calibri"/>
          <w:color w:val="000000"/>
          <w:sz w:val="24"/>
          <w:szCs w:val="24"/>
          <w:lang w:eastAsia="ja-JP"/>
        </w:rPr>
        <w:fldChar w:fldCharType="begin" w:fldLock="1"/>
      </w:r>
      <w:r w:rsidR="00C5774B">
        <w:rPr>
          <w:rFonts w:ascii="Calibri" w:eastAsia="Times New Roman" w:hAnsi="Calibri" w:cs="Calibri"/>
          <w:color w:val="000000"/>
          <w:sz w:val="24"/>
          <w:szCs w:val="24"/>
          <w:lang w:eastAsia="ja-JP"/>
        </w:rPr>
        <w:instrText>ADDIN CSL_CITATION {"citationItems":[{"id":"ITEM-1","itemData":{"DOI":"10.1002/sim.4067","ISSN":"1097-0258","PMID":"21225900","abstract":"Multiple imputation by chained equations is a flexible and practical approach to handling missing data. We describe the principles of the method and show how to impute categorical and quantitative variables, including skewed variables. We give guidance on how to specify the imputation model and how many imputations are needed. We describe the practical analysis of multiply imputed data, including model building and model checking. We stress the limitations of the method and discuss the possible pitfalls. We illustrate the ideas using a data set in mental health, giving Stata code fragments.","author":[{"dropping-particle":"","family":"White","given":"Ian R","non-dropping-particle":"","parse-names":false,"suffix":""},{"dropping-particle":"","family":"Royston","given":"Patrick","non-dropping-particle":"","parse-names":false,"suffix":""},{"dropping-particle":"","family":"Wood","given":"Angela M","non-dropping-particle":"","parse-names":false,"suffix":""}],"container-title":"Statistics in medicine","id":"ITEM-1","issue":"4","issued":{"date-parts":[["2011","2"]]},"page":"377-99","title":"Multiple imputation using chained equations: Issues and guidance for practice.","type":"article-journal","volume":"30"},"uris":["http://www.mendeley.com/documents/?uuid=4fe43d48-0e54-4cda-9106-cf5fbef3b557"]}],"mendeley":{"formattedCitation":"&lt;sup&gt;28&lt;/sup&gt;","plainTextFormattedCitation":"28","previouslyFormattedCitation":"&lt;sup&gt;28&lt;/sup&gt;"},"properties":{"noteIndex":0},"schema":"https://github.com/citation-style-language/schema/raw/master/csl-citation.json"}</w:instrText>
      </w:r>
      <w:r w:rsidR="00E545B7" w:rsidRPr="00BF60BC">
        <w:rPr>
          <w:rFonts w:ascii="Calibri" w:eastAsia="Times New Roman" w:hAnsi="Calibri" w:cs="Calibri"/>
          <w:color w:val="000000"/>
          <w:sz w:val="24"/>
          <w:szCs w:val="24"/>
          <w:lang w:eastAsia="ja-JP"/>
        </w:rPr>
        <w:fldChar w:fldCharType="separate"/>
      </w:r>
      <w:r w:rsidR="00C5774B" w:rsidRPr="00C5774B">
        <w:rPr>
          <w:rFonts w:ascii="Calibri" w:eastAsia="Times New Roman" w:hAnsi="Calibri" w:cs="Calibri"/>
          <w:noProof/>
          <w:color w:val="000000"/>
          <w:sz w:val="24"/>
          <w:szCs w:val="24"/>
          <w:vertAlign w:val="superscript"/>
          <w:lang w:eastAsia="ja-JP"/>
        </w:rPr>
        <w:t>28</w:t>
      </w:r>
      <w:r w:rsidR="00E545B7" w:rsidRPr="00BF60BC">
        <w:rPr>
          <w:rFonts w:ascii="Calibri" w:eastAsia="Times New Roman" w:hAnsi="Calibri" w:cs="Calibri"/>
          <w:color w:val="000000"/>
          <w:sz w:val="24"/>
          <w:szCs w:val="24"/>
          <w:lang w:eastAsia="ja-JP"/>
        </w:rPr>
        <w:fldChar w:fldCharType="end"/>
      </w:r>
      <w:r w:rsidR="00E545B7" w:rsidRPr="00BF60BC">
        <w:rPr>
          <w:rFonts w:ascii="Calibri" w:eastAsia="Times New Roman" w:hAnsi="Calibri" w:cs="Calibri"/>
          <w:color w:val="000000"/>
          <w:sz w:val="24"/>
          <w:szCs w:val="24"/>
          <w:vertAlign w:val="superscript"/>
          <w:lang w:eastAsia="ja-JP"/>
        </w:rPr>
        <w:t xml:space="preserve"> </w:t>
      </w:r>
      <w:r w:rsidR="003F3DDE" w:rsidRPr="00BF60BC">
        <w:rPr>
          <w:rFonts w:ascii="Calibri" w:eastAsia="Times New Roman" w:hAnsi="Calibri" w:cs="Calibri"/>
          <w:color w:val="000000"/>
          <w:sz w:val="24"/>
          <w:szCs w:val="24"/>
          <w:lang w:eastAsia="ja-JP"/>
        </w:rPr>
        <w:t xml:space="preserve">We additionally created attrition weights as the inverse of the probability of having taken part in the sweep of interest to account </w:t>
      </w:r>
      <w:r w:rsidR="00E971AE">
        <w:rPr>
          <w:rFonts w:ascii="Calibri" w:eastAsia="Times New Roman" w:hAnsi="Calibri" w:cs="Calibri"/>
          <w:color w:val="000000"/>
          <w:sz w:val="24"/>
          <w:szCs w:val="24"/>
          <w:lang w:eastAsia="ja-JP"/>
        </w:rPr>
        <w:t>for</w:t>
      </w:r>
      <w:r w:rsidR="00E971AE" w:rsidRPr="00BF60BC">
        <w:rPr>
          <w:rFonts w:ascii="Calibri" w:eastAsia="Times New Roman" w:hAnsi="Calibri" w:cs="Calibri"/>
          <w:color w:val="000000"/>
          <w:sz w:val="24"/>
          <w:szCs w:val="24"/>
          <w:lang w:eastAsia="ja-JP"/>
        </w:rPr>
        <w:t xml:space="preserve"> </w:t>
      </w:r>
      <w:r w:rsidR="003F3DDE" w:rsidRPr="00BF60BC">
        <w:rPr>
          <w:rFonts w:ascii="Calibri" w:eastAsia="Times New Roman" w:hAnsi="Calibri" w:cs="Calibri"/>
          <w:color w:val="000000"/>
          <w:sz w:val="24"/>
          <w:szCs w:val="24"/>
          <w:lang w:eastAsia="ja-JP"/>
        </w:rPr>
        <w:t>attrition from baseline. We ran all analyses in imputed datasets using attrition weights(</w:t>
      </w:r>
      <w:r w:rsidR="00B57F70">
        <w:rPr>
          <w:rFonts w:ascii="Calibri" w:eastAsia="Times New Roman" w:hAnsi="Calibri" w:cs="Calibri"/>
          <w:b/>
          <w:color w:val="000000"/>
          <w:sz w:val="24"/>
          <w:szCs w:val="24"/>
          <w:lang w:eastAsia="ja-JP"/>
        </w:rPr>
        <w:t>eMethod4</w:t>
      </w:r>
      <w:r w:rsidR="003F3DDE" w:rsidRPr="00BF60BC">
        <w:rPr>
          <w:rFonts w:ascii="Calibri" w:eastAsia="Times New Roman" w:hAnsi="Calibri" w:cs="Calibri"/>
          <w:color w:val="000000"/>
          <w:sz w:val="24"/>
          <w:szCs w:val="24"/>
          <w:lang w:eastAsia="ja-JP"/>
        </w:rPr>
        <w:t>)</w:t>
      </w:r>
      <w:r w:rsidR="00534B09" w:rsidRPr="00BF60BC">
        <w:rPr>
          <w:rFonts w:ascii="Calibri" w:eastAsia="Times New Roman" w:hAnsi="Calibri" w:cs="Calibri"/>
          <w:color w:val="000000"/>
          <w:sz w:val="24"/>
          <w:szCs w:val="24"/>
          <w:lang w:eastAsia="ja-JP"/>
        </w:rPr>
        <w:t xml:space="preserve">. </w:t>
      </w:r>
      <w:r w:rsidR="00CA3D67" w:rsidRPr="00BF60BC">
        <w:rPr>
          <w:rFonts w:ascii="Calibri" w:eastAsia="Times New Roman" w:hAnsi="Calibri" w:cs="Calibri"/>
          <w:color w:val="000000"/>
          <w:sz w:val="24"/>
          <w:szCs w:val="24"/>
          <w:lang w:eastAsia="ja-JP"/>
        </w:rPr>
        <w:t xml:space="preserve"> </w:t>
      </w:r>
      <w:bookmarkStart w:id="9" w:name="_Hlk37855907"/>
      <w:bookmarkStart w:id="10" w:name="_Hlk38538636"/>
      <w:r w:rsidR="00534B09" w:rsidRPr="00BF60BC">
        <w:rPr>
          <w:rFonts w:ascii="Calibri" w:eastAsia="Times New Roman" w:hAnsi="Calibri" w:cs="Calibri"/>
          <w:color w:val="000000"/>
          <w:sz w:val="24"/>
          <w:szCs w:val="24"/>
          <w:lang w:eastAsia="ja-JP"/>
        </w:rPr>
        <w:t>Given aggregated cross-cohort analyses, we could not account for the</w:t>
      </w:r>
      <w:r w:rsidR="000801D4" w:rsidRPr="00BF60BC">
        <w:rPr>
          <w:rFonts w:ascii="Calibri" w:eastAsia="Times New Roman" w:hAnsi="Calibri" w:cs="Calibri"/>
          <w:color w:val="000000"/>
          <w:sz w:val="24"/>
          <w:szCs w:val="24"/>
          <w:lang w:eastAsia="ja-JP"/>
        </w:rPr>
        <w:t xml:space="preserve"> stratified sampling of the MCS</w:t>
      </w:r>
      <w:r w:rsidR="00063C24">
        <w:rPr>
          <w:rFonts w:ascii="Calibri" w:eastAsia="Times New Roman" w:hAnsi="Calibri" w:cs="Calibri"/>
          <w:color w:val="000000"/>
          <w:sz w:val="24"/>
          <w:szCs w:val="24"/>
          <w:lang w:eastAsia="ja-JP"/>
        </w:rPr>
        <w:t>. A</w:t>
      </w:r>
      <w:r w:rsidR="00CA3D67" w:rsidRPr="00BF60BC">
        <w:rPr>
          <w:rFonts w:ascii="Calibri" w:eastAsia="Times New Roman" w:hAnsi="Calibri" w:cs="Calibri"/>
          <w:color w:val="000000"/>
          <w:sz w:val="24"/>
          <w:szCs w:val="24"/>
          <w:lang w:eastAsia="ja-JP"/>
        </w:rPr>
        <w:t xml:space="preserve">s sensitivity </w:t>
      </w:r>
      <w:r w:rsidR="00306D78" w:rsidRPr="00BF60BC">
        <w:rPr>
          <w:rFonts w:ascii="Calibri" w:eastAsia="Times New Roman" w:hAnsi="Calibri" w:cs="Calibri"/>
          <w:color w:val="000000"/>
          <w:sz w:val="24"/>
          <w:szCs w:val="24"/>
          <w:lang w:eastAsia="ja-JP"/>
        </w:rPr>
        <w:t>check</w:t>
      </w:r>
      <w:r w:rsidR="00CA3D67" w:rsidRPr="00BF60BC">
        <w:rPr>
          <w:rFonts w:ascii="Calibri" w:eastAsia="Times New Roman" w:hAnsi="Calibri" w:cs="Calibri"/>
          <w:color w:val="000000"/>
          <w:sz w:val="24"/>
          <w:szCs w:val="24"/>
          <w:lang w:eastAsia="ja-JP"/>
        </w:rPr>
        <w:t xml:space="preserve"> we </w:t>
      </w:r>
      <w:r w:rsidR="000801D4" w:rsidRPr="00BF60BC">
        <w:rPr>
          <w:rFonts w:ascii="Calibri" w:eastAsia="Times New Roman" w:hAnsi="Calibri" w:cs="Calibri"/>
          <w:color w:val="000000"/>
          <w:sz w:val="24"/>
          <w:szCs w:val="24"/>
          <w:lang w:eastAsia="ja-JP"/>
        </w:rPr>
        <w:t>calculated overall and sex-stratified prevalence of weight-related behaviours</w:t>
      </w:r>
      <w:r w:rsidR="00862613" w:rsidRPr="00BF60BC">
        <w:rPr>
          <w:rFonts w:ascii="Calibri" w:eastAsia="Times New Roman" w:hAnsi="Calibri" w:cs="Calibri"/>
          <w:color w:val="000000"/>
          <w:sz w:val="24"/>
          <w:szCs w:val="24"/>
          <w:lang w:eastAsia="ja-JP"/>
        </w:rPr>
        <w:t xml:space="preserve"> and regressions</w:t>
      </w:r>
      <w:r w:rsidR="000801D4" w:rsidRPr="00BF60BC">
        <w:rPr>
          <w:rFonts w:ascii="Calibri" w:eastAsia="Times New Roman" w:hAnsi="Calibri" w:cs="Calibri"/>
          <w:color w:val="000000"/>
          <w:sz w:val="24"/>
          <w:szCs w:val="24"/>
          <w:lang w:eastAsia="ja-JP"/>
        </w:rPr>
        <w:t xml:space="preserve"> accounting for stratified sampling for this cohort</w:t>
      </w:r>
      <w:r w:rsidR="00862613" w:rsidRPr="00BF60BC">
        <w:rPr>
          <w:rFonts w:ascii="Calibri" w:eastAsia="Times New Roman" w:hAnsi="Calibri" w:cs="Calibri"/>
          <w:color w:val="000000"/>
          <w:sz w:val="24"/>
          <w:szCs w:val="24"/>
          <w:lang w:eastAsia="ja-JP"/>
        </w:rPr>
        <w:t xml:space="preserve"> (and f</w:t>
      </w:r>
      <w:r w:rsidR="00B60B99" w:rsidRPr="00BF60BC">
        <w:rPr>
          <w:rFonts w:ascii="Calibri" w:eastAsia="Times New Roman" w:hAnsi="Calibri" w:cs="Calibri"/>
          <w:color w:val="000000"/>
          <w:sz w:val="24"/>
          <w:szCs w:val="24"/>
          <w:lang w:eastAsia="ja-JP"/>
        </w:rPr>
        <w:t>ou</w:t>
      </w:r>
      <w:r w:rsidR="00862613" w:rsidRPr="00BF60BC">
        <w:rPr>
          <w:rFonts w:ascii="Calibri" w:eastAsia="Times New Roman" w:hAnsi="Calibri" w:cs="Calibri"/>
          <w:color w:val="000000"/>
          <w:sz w:val="24"/>
          <w:szCs w:val="24"/>
          <w:lang w:eastAsia="ja-JP"/>
        </w:rPr>
        <w:t>nd identical results)</w:t>
      </w:r>
      <w:r w:rsidR="000801D4" w:rsidRPr="00BF60BC">
        <w:rPr>
          <w:rFonts w:ascii="Calibri" w:eastAsia="Times New Roman" w:hAnsi="Calibri" w:cs="Calibri"/>
          <w:color w:val="000000"/>
          <w:sz w:val="24"/>
          <w:szCs w:val="24"/>
          <w:lang w:eastAsia="ja-JP"/>
        </w:rPr>
        <w:t>.</w:t>
      </w:r>
      <w:bookmarkEnd w:id="9"/>
    </w:p>
    <w:bookmarkEnd w:id="10"/>
    <w:p w14:paraId="3E945F2C" w14:textId="37652760" w:rsidR="003F3DDE" w:rsidRPr="00BF60BC" w:rsidRDefault="003F3DDE" w:rsidP="00655F22">
      <w:pPr>
        <w:spacing w:after="0" w:line="360" w:lineRule="auto"/>
        <w:jc w:val="both"/>
        <w:rPr>
          <w:rFonts w:ascii="Calibri" w:eastAsia="Times New Roman" w:hAnsi="Calibri" w:cs="Calibri"/>
          <w:color w:val="000000"/>
          <w:sz w:val="24"/>
          <w:szCs w:val="24"/>
          <w:lang w:eastAsia="ja-JP"/>
        </w:rPr>
      </w:pPr>
    </w:p>
    <w:p w14:paraId="3D9BA762" w14:textId="5BABB806" w:rsidR="005A3F23" w:rsidRPr="00BF60BC" w:rsidRDefault="00B41995" w:rsidP="00655F22">
      <w:pPr>
        <w:spacing w:after="0" w:line="360" w:lineRule="auto"/>
        <w:jc w:val="both"/>
        <w:rPr>
          <w:rFonts w:ascii="Calibri" w:eastAsia="Times New Roman" w:hAnsi="Calibri" w:cs="Calibri"/>
          <w:color w:val="000000"/>
          <w:sz w:val="24"/>
          <w:szCs w:val="24"/>
          <w:lang w:eastAsia="ja-JP"/>
        </w:rPr>
      </w:pPr>
      <w:r w:rsidRPr="00BF60BC">
        <w:rPr>
          <w:rFonts w:ascii="Calibri" w:eastAsia="Times New Roman" w:hAnsi="Calibri" w:cs="Calibri"/>
          <w:color w:val="000000"/>
          <w:sz w:val="24"/>
          <w:szCs w:val="24"/>
          <w:lang w:eastAsia="ja-JP"/>
        </w:rPr>
        <w:t>To</w:t>
      </w:r>
      <w:r w:rsidR="001847ED" w:rsidRPr="00BF60BC">
        <w:rPr>
          <w:rFonts w:ascii="Calibri" w:eastAsia="Times New Roman" w:hAnsi="Calibri" w:cs="Calibri"/>
          <w:color w:val="000000"/>
          <w:sz w:val="24"/>
          <w:szCs w:val="24"/>
          <w:lang w:eastAsia="ja-JP"/>
        </w:rPr>
        <w:t xml:space="preserve"> investigate</w:t>
      </w:r>
      <w:r w:rsidR="0097636A" w:rsidRPr="00BF60BC">
        <w:rPr>
          <w:rFonts w:ascii="Calibri" w:eastAsia="Times New Roman" w:hAnsi="Calibri" w:cs="Calibri"/>
          <w:color w:val="000000"/>
          <w:sz w:val="24"/>
          <w:szCs w:val="24"/>
          <w:lang w:eastAsia="ja-JP"/>
        </w:rPr>
        <w:t xml:space="preserve"> the presence of cohort effects</w:t>
      </w:r>
      <w:r w:rsidR="00DB1C8D" w:rsidRPr="00BF60BC">
        <w:rPr>
          <w:rFonts w:ascii="Calibri" w:eastAsia="Times New Roman" w:hAnsi="Calibri" w:cs="Calibri"/>
          <w:color w:val="000000"/>
          <w:sz w:val="24"/>
          <w:szCs w:val="24"/>
          <w:lang w:eastAsia="ja-JP"/>
        </w:rPr>
        <w:t xml:space="preserve"> in outcome prevalence</w:t>
      </w:r>
      <w:r w:rsidR="001847ED" w:rsidRPr="00BF60BC">
        <w:rPr>
          <w:rFonts w:ascii="Calibri" w:eastAsia="Times New Roman" w:hAnsi="Calibri" w:cs="Calibri"/>
          <w:color w:val="000000"/>
          <w:sz w:val="24"/>
          <w:szCs w:val="24"/>
          <w:lang w:eastAsia="ja-JP"/>
        </w:rPr>
        <w:t>, we used</w:t>
      </w:r>
      <w:r w:rsidR="0097636A" w:rsidRPr="00BF60BC">
        <w:rPr>
          <w:rFonts w:ascii="Calibri" w:eastAsia="Times New Roman" w:hAnsi="Calibri" w:cs="Calibri"/>
          <w:color w:val="000000"/>
          <w:sz w:val="24"/>
          <w:szCs w:val="24"/>
          <w:lang w:eastAsia="ja-JP"/>
        </w:rPr>
        <w:t xml:space="preserve"> multinomial logistic or logistic regression </w:t>
      </w:r>
      <w:proofErr w:type="gramStart"/>
      <w:r w:rsidR="0097636A" w:rsidRPr="00BF60BC">
        <w:rPr>
          <w:rFonts w:ascii="Calibri" w:eastAsia="Times New Roman" w:hAnsi="Calibri" w:cs="Calibri"/>
          <w:color w:val="000000"/>
          <w:sz w:val="24"/>
          <w:szCs w:val="24"/>
          <w:lang w:eastAsia="ja-JP"/>
        </w:rPr>
        <w:t>models(</w:t>
      </w:r>
      <w:proofErr w:type="gramEnd"/>
      <w:r w:rsidR="0097636A" w:rsidRPr="00BF60BC">
        <w:rPr>
          <w:rFonts w:ascii="Calibri" w:eastAsia="Times New Roman" w:hAnsi="Calibri" w:cs="Calibri"/>
          <w:color w:val="000000"/>
          <w:sz w:val="24"/>
          <w:szCs w:val="24"/>
          <w:lang w:eastAsia="ja-JP"/>
        </w:rPr>
        <w:t xml:space="preserve">depending on </w:t>
      </w:r>
      <w:r w:rsidR="0084693A" w:rsidRPr="00BF60BC">
        <w:rPr>
          <w:rFonts w:ascii="Calibri" w:eastAsia="Times New Roman" w:hAnsi="Calibri" w:cs="Calibri"/>
          <w:color w:val="000000"/>
          <w:sz w:val="24"/>
          <w:szCs w:val="24"/>
          <w:lang w:eastAsia="ja-JP"/>
        </w:rPr>
        <w:t xml:space="preserve">the </w:t>
      </w:r>
      <w:r w:rsidR="0097636A" w:rsidRPr="00BF60BC">
        <w:rPr>
          <w:rFonts w:ascii="Calibri" w:eastAsia="Times New Roman" w:hAnsi="Calibri" w:cs="Calibri"/>
          <w:color w:val="000000"/>
          <w:sz w:val="24"/>
          <w:szCs w:val="24"/>
          <w:lang w:eastAsia="ja-JP"/>
        </w:rPr>
        <w:t>outcome</w:t>
      </w:r>
      <w:r w:rsidR="0084693A" w:rsidRPr="00BF60BC">
        <w:rPr>
          <w:rFonts w:ascii="Calibri" w:eastAsia="Times New Roman" w:hAnsi="Calibri" w:cs="Calibri"/>
          <w:color w:val="000000"/>
          <w:sz w:val="24"/>
          <w:szCs w:val="24"/>
          <w:lang w:eastAsia="ja-JP"/>
        </w:rPr>
        <w:t xml:space="preserve"> variable</w:t>
      </w:r>
      <w:r w:rsidR="0097636A" w:rsidRPr="00BF60BC">
        <w:rPr>
          <w:rFonts w:ascii="Calibri" w:eastAsia="Times New Roman" w:hAnsi="Calibri" w:cs="Calibri"/>
          <w:color w:val="000000"/>
          <w:sz w:val="24"/>
          <w:szCs w:val="24"/>
          <w:lang w:eastAsia="ja-JP"/>
        </w:rPr>
        <w:t xml:space="preserve">) </w:t>
      </w:r>
      <w:r w:rsidR="001847ED" w:rsidRPr="00BF60BC">
        <w:rPr>
          <w:rFonts w:ascii="Calibri" w:eastAsia="Times New Roman" w:hAnsi="Calibri" w:cs="Calibri"/>
          <w:color w:val="000000"/>
          <w:sz w:val="24"/>
          <w:szCs w:val="24"/>
          <w:lang w:eastAsia="ja-JP"/>
        </w:rPr>
        <w:t xml:space="preserve">including </w:t>
      </w:r>
      <w:r w:rsidR="0097636A" w:rsidRPr="00BF60BC">
        <w:rPr>
          <w:rFonts w:ascii="Calibri" w:eastAsia="Times New Roman" w:hAnsi="Calibri" w:cs="Calibri"/>
          <w:color w:val="000000"/>
          <w:sz w:val="24"/>
          <w:szCs w:val="24"/>
          <w:lang w:eastAsia="ja-JP"/>
        </w:rPr>
        <w:t>a categorical exposure indicating</w:t>
      </w:r>
      <w:r w:rsidR="00353D23" w:rsidRPr="00BF60BC">
        <w:rPr>
          <w:rFonts w:ascii="Calibri" w:eastAsia="Times New Roman" w:hAnsi="Calibri" w:cs="Calibri"/>
          <w:color w:val="000000"/>
          <w:sz w:val="24"/>
          <w:szCs w:val="24"/>
          <w:lang w:eastAsia="ja-JP"/>
        </w:rPr>
        <w:t xml:space="preserve"> to</w:t>
      </w:r>
      <w:r w:rsidR="0097636A" w:rsidRPr="00BF60BC">
        <w:rPr>
          <w:rFonts w:ascii="Calibri" w:eastAsia="Times New Roman" w:hAnsi="Calibri" w:cs="Calibri"/>
          <w:color w:val="000000"/>
          <w:sz w:val="24"/>
          <w:szCs w:val="24"/>
          <w:lang w:eastAsia="ja-JP"/>
        </w:rPr>
        <w:t xml:space="preserve"> which cohort the participant belong</w:t>
      </w:r>
      <w:r w:rsidR="0084693A" w:rsidRPr="00BF60BC">
        <w:rPr>
          <w:rFonts w:ascii="Calibri" w:eastAsia="Times New Roman" w:hAnsi="Calibri" w:cs="Calibri"/>
          <w:color w:val="000000"/>
          <w:sz w:val="24"/>
          <w:szCs w:val="24"/>
          <w:lang w:eastAsia="ja-JP"/>
        </w:rPr>
        <w:t>ed(BCS</w:t>
      </w:r>
      <w:r w:rsidR="0097636A" w:rsidRPr="00BF60BC">
        <w:rPr>
          <w:rFonts w:ascii="Calibri" w:eastAsia="Times New Roman" w:hAnsi="Calibri" w:cs="Calibri"/>
          <w:color w:val="000000"/>
          <w:sz w:val="24"/>
          <w:szCs w:val="24"/>
          <w:lang w:eastAsia="ja-JP"/>
        </w:rPr>
        <w:t>,</w:t>
      </w:r>
      <w:r w:rsidR="00DB1C8D" w:rsidRPr="00BF60BC">
        <w:rPr>
          <w:rFonts w:ascii="Calibri" w:eastAsia="Times New Roman" w:hAnsi="Calibri" w:cs="Calibri"/>
          <w:color w:val="000000"/>
          <w:sz w:val="24"/>
          <w:szCs w:val="24"/>
          <w:lang w:eastAsia="ja-JP"/>
        </w:rPr>
        <w:t>ALS</w:t>
      </w:r>
      <w:r w:rsidR="0084693A" w:rsidRPr="00BF60BC">
        <w:rPr>
          <w:rFonts w:ascii="Calibri" w:eastAsia="Times New Roman" w:hAnsi="Calibri" w:cs="Calibri"/>
          <w:color w:val="000000"/>
          <w:sz w:val="24"/>
          <w:szCs w:val="24"/>
          <w:lang w:eastAsia="ja-JP"/>
        </w:rPr>
        <w:t xml:space="preserve">PAC,MCS). </w:t>
      </w:r>
      <w:r w:rsidR="00271BC4" w:rsidRPr="00BF60BC">
        <w:rPr>
          <w:rFonts w:ascii="Calibri" w:eastAsia="Times New Roman" w:hAnsi="Calibri" w:cs="Calibri"/>
          <w:color w:val="000000"/>
          <w:sz w:val="24"/>
          <w:szCs w:val="24"/>
          <w:lang w:eastAsia="ja-JP"/>
        </w:rPr>
        <w:t xml:space="preserve">To account for </w:t>
      </w:r>
      <w:r w:rsidR="00FA1288" w:rsidRPr="00BF60BC">
        <w:rPr>
          <w:rFonts w:ascii="Calibri" w:eastAsia="Times New Roman" w:hAnsi="Calibri" w:cs="Calibri"/>
          <w:color w:val="000000"/>
          <w:sz w:val="24"/>
          <w:szCs w:val="24"/>
          <w:lang w:eastAsia="ja-JP"/>
        </w:rPr>
        <w:t xml:space="preserve">socio-demographic </w:t>
      </w:r>
      <w:r w:rsidR="00271BC4" w:rsidRPr="00BF60BC">
        <w:rPr>
          <w:rFonts w:ascii="Calibri" w:eastAsia="Times New Roman" w:hAnsi="Calibri" w:cs="Calibri"/>
          <w:color w:val="000000"/>
          <w:sz w:val="24"/>
          <w:szCs w:val="24"/>
          <w:lang w:eastAsia="ja-JP"/>
        </w:rPr>
        <w:t xml:space="preserve">differences </w:t>
      </w:r>
      <w:r w:rsidR="009F7862" w:rsidRPr="00BF60BC">
        <w:rPr>
          <w:rFonts w:ascii="Calibri" w:eastAsia="Times New Roman" w:hAnsi="Calibri" w:cs="Calibri"/>
          <w:color w:val="000000"/>
          <w:sz w:val="24"/>
          <w:szCs w:val="24"/>
          <w:lang w:eastAsia="ja-JP"/>
        </w:rPr>
        <w:t>between</w:t>
      </w:r>
      <w:r w:rsidR="00271BC4" w:rsidRPr="00BF60BC">
        <w:rPr>
          <w:rFonts w:ascii="Calibri" w:eastAsia="Times New Roman" w:hAnsi="Calibri" w:cs="Calibri"/>
          <w:color w:val="000000"/>
          <w:sz w:val="24"/>
          <w:szCs w:val="24"/>
          <w:lang w:eastAsia="ja-JP"/>
        </w:rPr>
        <w:t xml:space="preserve"> cohort</w:t>
      </w:r>
      <w:r w:rsidR="009F7862" w:rsidRPr="00BF60BC">
        <w:rPr>
          <w:rFonts w:ascii="Calibri" w:eastAsia="Times New Roman" w:hAnsi="Calibri" w:cs="Calibri"/>
          <w:color w:val="000000"/>
          <w:sz w:val="24"/>
          <w:szCs w:val="24"/>
          <w:lang w:eastAsia="ja-JP"/>
        </w:rPr>
        <w:t>s</w:t>
      </w:r>
      <w:r w:rsidR="0084693A" w:rsidRPr="00BF60BC">
        <w:rPr>
          <w:rFonts w:ascii="Calibri" w:eastAsia="Times New Roman" w:hAnsi="Calibri" w:cs="Calibri"/>
          <w:color w:val="000000"/>
          <w:sz w:val="24"/>
          <w:szCs w:val="24"/>
          <w:lang w:eastAsia="ja-JP"/>
        </w:rPr>
        <w:t xml:space="preserve"> w</w:t>
      </w:r>
      <w:r w:rsidR="00DB1C8D" w:rsidRPr="00BF60BC">
        <w:rPr>
          <w:rFonts w:ascii="Calibri" w:eastAsia="Times New Roman" w:hAnsi="Calibri" w:cs="Calibri"/>
          <w:color w:val="000000"/>
          <w:sz w:val="24"/>
          <w:szCs w:val="24"/>
          <w:lang w:eastAsia="ja-JP"/>
        </w:rPr>
        <w:t xml:space="preserve">e </w:t>
      </w:r>
      <w:r w:rsidR="00557458" w:rsidRPr="00BF60BC">
        <w:rPr>
          <w:rFonts w:ascii="Calibri" w:eastAsia="Times New Roman" w:hAnsi="Calibri" w:cs="Calibri"/>
          <w:color w:val="000000"/>
          <w:sz w:val="24"/>
          <w:szCs w:val="24"/>
          <w:lang w:eastAsia="ja-JP"/>
        </w:rPr>
        <w:t>then</w:t>
      </w:r>
      <w:r w:rsidR="00B96BFE" w:rsidRPr="00BF60BC">
        <w:rPr>
          <w:rFonts w:ascii="Calibri" w:eastAsia="Times New Roman" w:hAnsi="Calibri" w:cs="Calibri"/>
          <w:color w:val="000000"/>
          <w:sz w:val="24"/>
          <w:szCs w:val="24"/>
          <w:lang w:eastAsia="ja-JP"/>
        </w:rPr>
        <w:t xml:space="preserve"> ran</w:t>
      </w:r>
      <w:r w:rsidR="0097636A" w:rsidRPr="00BF60BC">
        <w:rPr>
          <w:rFonts w:ascii="Calibri" w:eastAsia="Times New Roman" w:hAnsi="Calibri" w:cs="Calibri"/>
          <w:color w:val="000000"/>
          <w:sz w:val="24"/>
          <w:szCs w:val="24"/>
          <w:lang w:eastAsia="ja-JP"/>
        </w:rPr>
        <w:t xml:space="preserve"> a multivariable</w:t>
      </w:r>
      <w:r w:rsidR="00B96BFE" w:rsidRPr="00BF60BC">
        <w:rPr>
          <w:rFonts w:ascii="Calibri" w:eastAsia="Times New Roman" w:hAnsi="Calibri" w:cs="Calibri"/>
          <w:color w:val="000000"/>
          <w:sz w:val="24"/>
          <w:szCs w:val="24"/>
          <w:lang w:eastAsia="ja-JP"/>
        </w:rPr>
        <w:t xml:space="preserve"> model</w:t>
      </w:r>
      <w:r w:rsidR="0097636A" w:rsidRPr="00BF60BC">
        <w:rPr>
          <w:rFonts w:ascii="Calibri" w:eastAsia="Times New Roman" w:hAnsi="Calibri" w:cs="Calibri"/>
          <w:color w:val="000000"/>
          <w:sz w:val="24"/>
          <w:szCs w:val="24"/>
          <w:lang w:eastAsia="ja-JP"/>
        </w:rPr>
        <w:t xml:space="preserve"> adjusting for child’s sex</w:t>
      </w:r>
      <w:r w:rsidR="0084693A" w:rsidRPr="00BF60BC">
        <w:rPr>
          <w:rFonts w:ascii="Calibri" w:eastAsia="Times New Roman" w:hAnsi="Calibri" w:cs="Calibri"/>
          <w:color w:val="000000"/>
          <w:sz w:val="24"/>
          <w:szCs w:val="24"/>
          <w:lang w:eastAsia="ja-JP"/>
        </w:rPr>
        <w:t>, age,</w:t>
      </w:r>
      <w:r w:rsidR="0097636A" w:rsidRPr="00BF60BC">
        <w:rPr>
          <w:rFonts w:ascii="Calibri" w:eastAsia="Times New Roman" w:hAnsi="Calibri" w:cs="Calibri"/>
          <w:color w:val="000000"/>
          <w:sz w:val="24"/>
          <w:szCs w:val="24"/>
          <w:lang w:eastAsia="ja-JP"/>
        </w:rPr>
        <w:t xml:space="preserve"> and ethnicity, maternal age and education, paternal social class</w:t>
      </w:r>
      <w:r w:rsidR="00271BC4" w:rsidRPr="00BF60BC">
        <w:rPr>
          <w:rFonts w:ascii="Calibri" w:eastAsia="Times New Roman" w:hAnsi="Calibri" w:cs="Calibri"/>
          <w:color w:val="000000"/>
          <w:sz w:val="24"/>
          <w:szCs w:val="24"/>
          <w:lang w:eastAsia="ja-JP"/>
        </w:rPr>
        <w:t>.</w:t>
      </w:r>
      <w:r w:rsidR="008D5B98">
        <w:rPr>
          <w:rFonts w:ascii="Calibri" w:eastAsia="Times New Roman" w:hAnsi="Calibri" w:cs="Calibri"/>
          <w:color w:val="000000"/>
          <w:sz w:val="24"/>
          <w:szCs w:val="24"/>
          <w:lang w:eastAsia="ja-JP"/>
        </w:rPr>
        <w:t xml:space="preserve"> We also tested for sex differences </w:t>
      </w:r>
      <w:r w:rsidR="008D5B98" w:rsidRPr="00BF60BC">
        <w:rPr>
          <w:rFonts w:ascii="Calibri" w:eastAsia="Times New Roman" w:hAnsi="Calibri" w:cs="Calibri"/>
          <w:color w:val="000000"/>
          <w:sz w:val="24"/>
          <w:szCs w:val="24"/>
          <w:lang w:eastAsia="en-GB"/>
        </w:rPr>
        <w:t>with interaction terms between sex and cohort</w:t>
      </w:r>
      <w:r w:rsidR="008D5B98">
        <w:rPr>
          <w:rFonts w:ascii="Calibri" w:eastAsia="Times New Roman" w:hAnsi="Calibri" w:cs="Calibri"/>
          <w:color w:val="000000"/>
          <w:sz w:val="24"/>
          <w:szCs w:val="24"/>
          <w:lang w:eastAsia="ja-JP"/>
        </w:rPr>
        <w:t xml:space="preserve">. </w:t>
      </w:r>
    </w:p>
    <w:p w14:paraId="73D5CD0F" w14:textId="77777777" w:rsidR="005A3F23" w:rsidRPr="00BF60BC" w:rsidRDefault="005A3F23" w:rsidP="00655F22">
      <w:pPr>
        <w:spacing w:after="0" w:line="360" w:lineRule="auto"/>
        <w:jc w:val="both"/>
        <w:rPr>
          <w:rFonts w:ascii="Calibri" w:eastAsia="Times New Roman" w:hAnsi="Calibri" w:cs="Calibri"/>
          <w:color w:val="000000"/>
          <w:sz w:val="24"/>
          <w:szCs w:val="24"/>
          <w:lang w:eastAsia="ja-JP"/>
        </w:rPr>
      </w:pPr>
    </w:p>
    <w:p w14:paraId="19428325" w14:textId="229BEB22" w:rsidR="0097636A" w:rsidRPr="00BF60BC" w:rsidRDefault="002614D5" w:rsidP="00655F22">
      <w:pPr>
        <w:spacing w:after="0" w:line="360" w:lineRule="auto"/>
        <w:jc w:val="both"/>
        <w:rPr>
          <w:rFonts w:ascii="Calibri" w:eastAsia="Times New Roman" w:hAnsi="Calibri" w:cs="Calibri"/>
          <w:color w:val="000000"/>
          <w:sz w:val="24"/>
          <w:szCs w:val="24"/>
          <w:lang w:eastAsia="en-GB"/>
        </w:rPr>
      </w:pPr>
      <w:r w:rsidRPr="00BF60BC">
        <w:rPr>
          <w:rFonts w:ascii="Calibri" w:eastAsia="Times New Roman" w:hAnsi="Calibri" w:cs="Calibri"/>
          <w:color w:val="000000"/>
          <w:sz w:val="24"/>
          <w:szCs w:val="24"/>
          <w:lang w:eastAsia="ja-JP"/>
        </w:rPr>
        <w:lastRenderedPageBreak/>
        <w:t xml:space="preserve">We adjusted analyses of weight perception for BMI as we were interested in </w:t>
      </w:r>
      <w:r w:rsidR="002D6384" w:rsidRPr="00BF60BC">
        <w:rPr>
          <w:rFonts w:ascii="Calibri" w:eastAsia="Times New Roman" w:hAnsi="Calibri" w:cs="Calibri"/>
          <w:color w:val="000000"/>
          <w:sz w:val="24"/>
          <w:szCs w:val="24"/>
          <w:lang w:eastAsia="ja-JP"/>
        </w:rPr>
        <w:t>exploring changes in</w:t>
      </w:r>
      <w:r w:rsidRPr="00BF60BC">
        <w:rPr>
          <w:rFonts w:ascii="Calibri" w:eastAsia="Times New Roman" w:hAnsi="Calibri" w:cs="Calibri"/>
          <w:color w:val="000000"/>
          <w:sz w:val="24"/>
          <w:szCs w:val="24"/>
          <w:lang w:eastAsia="ja-JP"/>
        </w:rPr>
        <w:t xml:space="preserve"> perception</w:t>
      </w:r>
      <w:r w:rsidR="001B7752" w:rsidRPr="00BF60BC">
        <w:rPr>
          <w:rFonts w:ascii="Calibri" w:eastAsia="Times New Roman" w:hAnsi="Calibri" w:cs="Calibri"/>
          <w:color w:val="000000"/>
          <w:sz w:val="24"/>
          <w:szCs w:val="24"/>
          <w:lang w:eastAsia="ja-JP"/>
        </w:rPr>
        <w:t xml:space="preserve"> </w:t>
      </w:r>
      <w:r w:rsidR="002D6384" w:rsidRPr="00BF60BC">
        <w:rPr>
          <w:rFonts w:ascii="Calibri" w:eastAsia="Times New Roman" w:hAnsi="Calibri" w:cs="Calibri"/>
          <w:color w:val="000000"/>
          <w:sz w:val="24"/>
          <w:szCs w:val="24"/>
          <w:lang w:eastAsia="ja-JP"/>
        </w:rPr>
        <w:t>given</w:t>
      </w:r>
      <w:r w:rsidR="001B7752" w:rsidRPr="00BF60BC">
        <w:rPr>
          <w:rFonts w:ascii="Calibri" w:eastAsia="Times New Roman" w:hAnsi="Calibri" w:cs="Calibri"/>
          <w:color w:val="000000"/>
          <w:sz w:val="24"/>
          <w:szCs w:val="24"/>
          <w:lang w:eastAsia="ja-JP"/>
        </w:rPr>
        <w:t xml:space="preserve"> known cohort-</w:t>
      </w:r>
      <w:r w:rsidR="00B96BFE" w:rsidRPr="00BF60BC">
        <w:rPr>
          <w:rFonts w:ascii="Calibri" w:eastAsia="Times New Roman" w:hAnsi="Calibri" w:cs="Calibri"/>
          <w:color w:val="000000"/>
          <w:sz w:val="24"/>
          <w:szCs w:val="24"/>
          <w:lang w:eastAsia="ja-JP"/>
        </w:rPr>
        <w:t>differences in</w:t>
      </w:r>
      <w:r w:rsidR="001B7752" w:rsidRPr="00BF60BC">
        <w:rPr>
          <w:rFonts w:ascii="Calibri" w:eastAsia="Times New Roman" w:hAnsi="Calibri" w:cs="Calibri"/>
          <w:color w:val="000000"/>
          <w:sz w:val="24"/>
          <w:szCs w:val="24"/>
          <w:lang w:eastAsia="ja-JP"/>
        </w:rPr>
        <w:t xml:space="preserve"> BMI</w:t>
      </w:r>
      <w:r w:rsidRPr="00BF60BC">
        <w:rPr>
          <w:rFonts w:ascii="Calibri" w:eastAsia="Times New Roman" w:hAnsi="Calibri" w:cs="Calibri"/>
          <w:color w:val="000000"/>
          <w:sz w:val="24"/>
          <w:szCs w:val="24"/>
          <w:lang w:eastAsia="ja-JP"/>
        </w:rPr>
        <w:t>.</w:t>
      </w:r>
      <w:r w:rsidR="001B7752" w:rsidRPr="00BF60BC">
        <w:rPr>
          <w:rFonts w:ascii="Calibri" w:eastAsia="Times New Roman" w:hAnsi="Calibri" w:cs="Calibri"/>
          <w:color w:val="000000"/>
          <w:sz w:val="24"/>
          <w:szCs w:val="24"/>
          <w:lang w:eastAsia="en-GB"/>
        </w:rPr>
        <w:fldChar w:fldCharType="begin" w:fldLock="1"/>
      </w:r>
      <w:r w:rsidR="00C5774B">
        <w:rPr>
          <w:rFonts w:ascii="Calibri" w:eastAsia="Times New Roman" w:hAnsi="Calibri" w:cs="Calibri"/>
          <w:color w:val="000000"/>
          <w:sz w:val="24"/>
          <w:szCs w:val="24"/>
          <w:lang w:eastAsia="en-GB"/>
        </w:rPr>
        <w:instrText>ADDIN CSL_CITATION {"citationItems":[{"id":"ITEM-1","itemData":{"DOI":"10.1093/ije/dyz006","ISSN":"0300-5771","author":[{"dropping-particle":"","family":"Patalay","given":"Praveetha","non-dropping-particle":"","parse-names":false,"suffix":""},{"dropping-particle":"","family":"Gage","given":"Suzanne H","non-dropping-particle":"","parse-names":false,"suffix":""}],"container-title":"International Journal of Epidemiology","id":"ITEM-1","issued":{"date-parts":[["2019","2","27"]]},"title":"Changes in millennial adolescent mental health and health-related behaviours over 10 years: a population cohort comparison study","type":"article-journal"},"uris":["http://www.mendeley.com/documents/?uuid=a2b1d381-18e6-3a24-a488-dd739a9cab62"]}],"mendeley":{"formattedCitation":"&lt;sup&gt;24&lt;/sup&gt;","plainTextFormattedCitation":"24","previouslyFormattedCitation":"&lt;sup&gt;24&lt;/sup&gt;"},"properties":{"noteIndex":0},"schema":"https://github.com/citation-style-language/schema/raw/master/csl-citation.json"}</w:instrText>
      </w:r>
      <w:r w:rsidR="001B7752" w:rsidRPr="00BF60BC">
        <w:rPr>
          <w:rFonts w:ascii="Calibri" w:eastAsia="Times New Roman" w:hAnsi="Calibri" w:cs="Calibri"/>
          <w:color w:val="000000"/>
          <w:sz w:val="24"/>
          <w:szCs w:val="24"/>
          <w:lang w:eastAsia="en-GB"/>
        </w:rPr>
        <w:fldChar w:fldCharType="separate"/>
      </w:r>
      <w:r w:rsidR="00C5774B" w:rsidRPr="00C5774B">
        <w:rPr>
          <w:rFonts w:ascii="Calibri" w:eastAsia="Times New Roman" w:hAnsi="Calibri" w:cs="Calibri"/>
          <w:noProof/>
          <w:color w:val="000000"/>
          <w:sz w:val="24"/>
          <w:szCs w:val="24"/>
          <w:vertAlign w:val="superscript"/>
          <w:lang w:eastAsia="en-GB"/>
        </w:rPr>
        <w:t>24</w:t>
      </w:r>
      <w:r w:rsidR="001B7752" w:rsidRPr="00BF60BC">
        <w:rPr>
          <w:rFonts w:ascii="Calibri" w:eastAsia="Times New Roman" w:hAnsi="Calibri" w:cs="Calibri"/>
          <w:color w:val="000000"/>
          <w:sz w:val="24"/>
          <w:szCs w:val="24"/>
          <w:lang w:eastAsia="en-GB"/>
        </w:rPr>
        <w:fldChar w:fldCharType="end"/>
      </w:r>
      <w:r w:rsidR="005A3F23" w:rsidRPr="00BF60BC">
        <w:rPr>
          <w:rFonts w:ascii="Calibri" w:eastAsia="Times New Roman" w:hAnsi="Calibri" w:cs="Calibri"/>
          <w:color w:val="000000"/>
          <w:sz w:val="24"/>
          <w:szCs w:val="24"/>
          <w:lang w:eastAsia="ja-JP"/>
        </w:rPr>
        <w:t xml:space="preserve"> </w:t>
      </w:r>
      <w:r w:rsidR="001B7752" w:rsidRPr="00BF60BC">
        <w:rPr>
          <w:rFonts w:ascii="Calibri" w:eastAsia="Times New Roman" w:hAnsi="Calibri" w:cs="Calibri"/>
          <w:color w:val="000000"/>
          <w:sz w:val="24"/>
          <w:szCs w:val="24"/>
          <w:lang w:eastAsia="en-GB"/>
        </w:rPr>
        <w:t>Controlling</w:t>
      </w:r>
      <w:r w:rsidR="00D91234" w:rsidRPr="00BF60BC">
        <w:rPr>
          <w:rFonts w:ascii="Calibri" w:eastAsia="Times New Roman" w:hAnsi="Calibri" w:cs="Calibri"/>
          <w:color w:val="000000"/>
          <w:sz w:val="24"/>
          <w:szCs w:val="24"/>
          <w:lang w:eastAsia="en-GB"/>
        </w:rPr>
        <w:t xml:space="preserve"> for BMI can </w:t>
      </w:r>
      <w:r w:rsidR="005A3F23" w:rsidRPr="00BF60BC">
        <w:rPr>
          <w:rFonts w:ascii="Calibri" w:eastAsia="Times New Roman" w:hAnsi="Calibri" w:cs="Calibri"/>
          <w:color w:val="000000"/>
          <w:sz w:val="24"/>
          <w:szCs w:val="24"/>
          <w:lang w:eastAsia="en-GB"/>
        </w:rPr>
        <w:t xml:space="preserve">indicate whether the prevalence of attempts at weight-loss/gain has changed independently </w:t>
      </w:r>
      <w:r w:rsidR="004E2E1A" w:rsidRPr="00BF60BC">
        <w:rPr>
          <w:rFonts w:ascii="Calibri" w:eastAsia="Times New Roman" w:hAnsi="Calibri" w:cs="Calibri"/>
          <w:color w:val="000000"/>
          <w:sz w:val="24"/>
          <w:szCs w:val="24"/>
          <w:lang w:eastAsia="en-GB"/>
        </w:rPr>
        <w:t>of</w:t>
      </w:r>
      <w:r w:rsidR="005A3F23" w:rsidRPr="00BF60BC">
        <w:rPr>
          <w:rFonts w:ascii="Calibri" w:eastAsia="Times New Roman" w:hAnsi="Calibri" w:cs="Calibri"/>
          <w:color w:val="000000"/>
          <w:sz w:val="24"/>
          <w:szCs w:val="24"/>
          <w:lang w:eastAsia="en-GB"/>
        </w:rPr>
        <w:t xml:space="preserve"> BMI.  </w:t>
      </w:r>
      <w:r w:rsidR="001847D9" w:rsidRPr="00BF60BC">
        <w:rPr>
          <w:rFonts w:ascii="Calibri" w:eastAsia="Times New Roman" w:hAnsi="Calibri" w:cs="Calibri"/>
          <w:color w:val="000000"/>
          <w:sz w:val="24"/>
          <w:szCs w:val="24"/>
          <w:lang w:eastAsia="ja-JP"/>
        </w:rPr>
        <w:t>We</w:t>
      </w:r>
      <w:r w:rsidR="009F7862" w:rsidRPr="00BF60BC">
        <w:rPr>
          <w:rFonts w:ascii="Calibri" w:eastAsia="Times New Roman" w:hAnsi="Calibri" w:cs="Calibri"/>
          <w:color w:val="000000"/>
          <w:sz w:val="24"/>
          <w:szCs w:val="24"/>
          <w:lang w:eastAsia="ja-JP"/>
        </w:rPr>
        <w:t xml:space="preserve"> also adjusted analyses of current </w:t>
      </w:r>
      <w:proofErr w:type="spellStart"/>
      <w:r w:rsidR="00DA210E" w:rsidRPr="00BF60BC">
        <w:rPr>
          <w:rFonts w:ascii="Calibri" w:eastAsia="Times New Roman" w:hAnsi="Calibri" w:cs="Calibri"/>
          <w:color w:val="000000"/>
          <w:sz w:val="24"/>
          <w:szCs w:val="24"/>
          <w:lang w:eastAsia="ja-JP"/>
        </w:rPr>
        <w:t>behaviors</w:t>
      </w:r>
      <w:proofErr w:type="spellEnd"/>
      <w:r w:rsidR="009F7862" w:rsidRPr="00BF60BC">
        <w:rPr>
          <w:rFonts w:ascii="Calibri" w:eastAsia="Times New Roman" w:hAnsi="Calibri" w:cs="Calibri"/>
          <w:color w:val="000000"/>
          <w:sz w:val="24"/>
          <w:szCs w:val="24"/>
          <w:lang w:eastAsia="ja-JP"/>
        </w:rPr>
        <w:t xml:space="preserve"> (‘what are you trying to do about weight?’) for BMI in a separate model</w:t>
      </w:r>
      <w:r w:rsidR="001847D9" w:rsidRPr="00BF60BC">
        <w:rPr>
          <w:rFonts w:ascii="Calibri" w:eastAsia="Times New Roman" w:hAnsi="Calibri" w:cs="Calibri"/>
          <w:color w:val="000000"/>
          <w:sz w:val="24"/>
          <w:szCs w:val="24"/>
          <w:lang w:eastAsia="ja-JP"/>
        </w:rPr>
        <w:t>(</w:t>
      </w:r>
      <w:r w:rsidR="00850243">
        <w:rPr>
          <w:rFonts w:ascii="Calibri" w:eastAsia="Times New Roman" w:hAnsi="Calibri" w:cs="Calibri"/>
          <w:b/>
          <w:color w:val="000000"/>
          <w:sz w:val="24"/>
          <w:szCs w:val="24"/>
          <w:lang w:eastAsia="ja-JP"/>
        </w:rPr>
        <w:t>e</w:t>
      </w:r>
      <w:r w:rsidR="00173961">
        <w:rPr>
          <w:rFonts w:ascii="Calibri" w:eastAsia="Times New Roman" w:hAnsi="Calibri" w:cs="Calibri"/>
          <w:b/>
          <w:color w:val="000000"/>
          <w:sz w:val="24"/>
          <w:szCs w:val="24"/>
          <w:lang w:eastAsia="ja-JP"/>
        </w:rPr>
        <w:t>Table</w:t>
      </w:r>
      <w:r w:rsidR="00994296" w:rsidRPr="00BF60BC">
        <w:rPr>
          <w:rFonts w:ascii="Calibri" w:eastAsia="Times New Roman" w:hAnsi="Calibri" w:cs="Calibri"/>
          <w:b/>
          <w:color w:val="000000"/>
          <w:sz w:val="24"/>
          <w:szCs w:val="24"/>
          <w:lang w:eastAsia="ja-JP"/>
        </w:rPr>
        <w:t>5</w:t>
      </w:r>
      <w:r w:rsidR="001847D9" w:rsidRPr="00BF60BC">
        <w:rPr>
          <w:rFonts w:ascii="Calibri" w:eastAsia="Times New Roman" w:hAnsi="Calibri" w:cs="Calibri"/>
          <w:color w:val="000000"/>
          <w:sz w:val="24"/>
          <w:szCs w:val="24"/>
          <w:lang w:eastAsia="ja-JP"/>
        </w:rPr>
        <w:t>)</w:t>
      </w:r>
      <w:r w:rsidR="009F7862" w:rsidRPr="00BF60BC">
        <w:rPr>
          <w:rFonts w:ascii="Calibri" w:eastAsia="Times New Roman" w:hAnsi="Calibri" w:cs="Calibri"/>
          <w:color w:val="000000"/>
          <w:sz w:val="24"/>
          <w:szCs w:val="24"/>
          <w:lang w:eastAsia="ja-JP"/>
        </w:rPr>
        <w:t xml:space="preserve">. </w:t>
      </w:r>
      <w:r w:rsidR="0084693A" w:rsidRPr="00BF60BC">
        <w:rPr>
          <w:rFonts w:ascii="Calibri" w:eastAsia="Times New Roman" w:hAnsi="Calibri" w:cs="Calibri"/>
          <w:color w:val="000000"/>
          <w:sz w:val="24"/>
          <w:szCs w:val="24"/>
          <w:lang w:eastAsia="ja-JP"/>
        </w:rPr>
        <w:t>We did not adjust analyses</w:t>
      </w:r>
      <w:r w:rsidRPr="00BF60BC">
        <w:rPr>
          <w:rFonts w:ascii="Calibri" w:eastAsia="Times New Roman" w:hAnsi="Calibri" w:cs="Calibri"/>
          <w:color w:val="000000"/>
          <w:sz w:val="24"/>
          <w:szCs w:val="24"/>
          <w:lang w:eastAsia="ja-JP"/>
        </w:rPr>
        <w:t xml:space="preserve"> of</w:t>
      </w:r>
      <w:r w:rsidR="0084693A" w:rsidRPr="00BF60BC">
        <w:rPr>
          <w:rFonts w:ascii="Calibri" w:eastAsia="Times New Roman" w:hAnsi="Calibri" w:cs="Calibri"/>
          <w:color w:val="000000"/>
          <w:sz w:val="24"/>
          <w:szCs w:val="24"/>
          <w:lang w:eastAsia="ja-JP"/>
        </w:rPr>
        <w:t xml:space="preserve"> </w:t>
      </w:r>
      <w:r w:rsidR="00FA1288" w:rsidRPr="00BF60BC">
        <w:rPr>
          <w:rFonts w:ascii="Calibri" w:eastAsia="Times New Roman" w:hAnsi="Calibri" w:cs="Calibri"/>
          <w:color w:val="000000"/>
          <w:sz w:val="24"/>
          <w:szCs w:val="24"/>
          <w:lang w:eastAsia="ja-JP"/>
        </w:rPr>
        <w:t xml:space="preserve">lifetime </w:t>
      </w:r>
      <w:r w:rsidR="0084693A" w:rsidRPr="00BF60BC">
        <w:rPr>
          <w:rFonts w:ascii="Calibri" w:eastAsia="Times New Roman" w:hAnsi="Calibri" w:cs="Calibri"/>
          <w:color w:val="000000"/>
          <w:sz w:val="24"/>
          <w:szCs w:val="24"/>
          <w:lang w:eastAsia="ja-JP"/>
        </w:rPr>
        <w:t>dieting and exercising</w:t>
      </w:r>
      <w:r w:rsidR="001847D9" w:rsidRPr="00BF60BC">
        <w:rPr>
          <w:rFonts w:ascii="Calibri" w:eastAsia="Times New Roman" w:hAnsi="Calibri" w:cs="Calibri"/>
          <w:color w:val="000000"/>
          <w:sz w:val="24"/>
          <w:szCs w:val="24"/>
          <w:lang w:eastAsia="ja-JP"/>
        </w:rPr>
        <w:t xml:space="preserve"> for BMI</w:t>
      </w:r>
      <w:r w:rsidR="00FA1288" w:rsidRPr="00BF60BC">
        <w:rPr>
          <w:rFonts w:ascii="Calibri" w:eastAsia="Times New Roman" w:hAnsi="Calibri" w:cs="Calibri"/>
          <w:color w:val="000000"/>
          <w:sz w:val="24"/>
          <w:szCs w:val="24"/>
          <w:lang w:eastAsia="ja-JP"/>
        </w:rPr>
        <w:t>,</w:t>
      </w:r>
      <w:r w:rsidR="004E2E1A" w:rsidRPr="00BF60BC">
        <w:rPr>
          <w:rFonts w:ascii="Calibri" w:eastAsia="Times New Roman" w:hAnsi="Calibri" w:cs="Calibri"/>
          <w:color w:val="000000"/>
          <w:sz w:val="24"/>
          <w:szCs w:val="24"/>
          <w:lang w:eastAsia="ja-JP"/>
        </w:rPr>
        <w:t xml:space="preserve"> because</w:t>
      </w:r>
      <w:r w:rsidR="0084693A" w:rsidRPr="00BF60BC">
        <w:rPr>
          <w:rFonts w:ascii="Calibri" w:eastAsia="Times New Roman" w:hAnsi="Calibri" w:cs="Calibri"/>
          <w:color w:val="000000"/>
          <w:sz w:val="24"/>
          <w:szCs w:val="24"/>
          <w:lang w:eastAsia="ja-JP"/>
        </w:rPr>
        <w:t xml:space="preserve"> we could not </w:t>
      </w:r>
      <w:r w:rsidR="00271BC4" w:rsidRPr="00BF60BC">
        <w:rPr>
          <w:rFonts w:ascii="Calibri" w:eastAsia="Times New Roman" w:hAnsi="Calibri" w:cs="Calibri"/>
          <w:color w:val="000000"/>
          <w:sz w:val="24"/>
          <w:szCs w:val="24"/>
          <w:lang w:eastAsia="ja-JP"/>
        </w:rPr>
        <w:t>know</w:t>
      </w:r>
      <w:r w:rsidR="0084693A" w:rsidRPr="00BF60BC">
        <w:rPr>
          <w:rFonts w:ascii="Calibri" w:eastAsia="Times New Roman" w:hAnsi="Calibri" w:cs="Calibri"/>
          <w:color w:val="000000"/>
          <w:sz w:val="24"/>
          <w:szCs w:val="24"/>
          <w:lang w:eastAsia="ja-JP"/>
        </w:rPr>
        <w:t xml:space="preserve"> whether BMI at assessment was a </w:t>
      </w:r>
      <w:r w:rsidR="001847D9" w:rsidRPr="00BF60BC">
        <w:rPr>
          <w:rFonts w:ascii="Calibri" w:eastAsia="Times New Roman" w:hAnsi="Calibri" w:cs="Calibri"/>
          <w:color w:val="000000"/>
          <w:sz w:val="24"/>
          <w:szCs w:val="24"/>
          <w:lang w:eastAsia="ja-JP"/>
        </w:rPr>
        <w:t xml:space="preserve">risk factor for or a </w:t>
      </w:r>
      <w:r w:rsidR="0084693A" w:rsidRPr="00BF60BC">
        <w:rPr>
          <w:rFonts w:ascii="Calibri" w:eastAsia="Times New Roman" w:hAnsi="Calibri" w:cs="Calibri"/>
          <w:color w:val="000000"/>
          <w:sz w:val="24"/>
          <w:szCs w:val="24"/>
          <w:lang w:eastAsia="ja-JP"/>
        </w:rPr>
        <w:t xml:space="preserve">consequence </w:t>
      </w:r>
      <w:r w:rsidR="001847D9" w:rsidRPr="00BF60BC">
        <w:rPr>
          <w:rFonts w:ascii="Calibri" w:eastAsia="Times New Roman" w:hAnsi="Calibri" w:cs="Calibri"/>
          <w:color w:val="000000"/>
          <w:sz w:val="24"/>
          <w:szCs w:val="24"/>
          <w:lang w:eastAsia="ja-JP"/>
        </w:rPr>
        <w:t>of these behaviours.</w:t>
      </w:r>
      <w:r w:rsidR="00CA3D67" w:rsidRPr="00BF60BC">
        <w:rPr>
          <w:rFonts w:ascii="Calibri" w:eastAsia="Times New Roman" w:hAnsi="Calibri" w:cs="Calibri"/>
          <w:color w:val="000000"/>
          <w:sz w:val="24"/>
          <w:szCs w:val="24"/>
          <w:lang w:eastAsia="en-GB"/>
        </w:rPr>
        <w:t xml:space="preserve"> </w:t>
      </w:r>
      <w:r w:rsidR="00BF7B8E" w:rsidRPr="00BF60BC">
        <w:rPr>
          <w:rFonts w:ascii="Calibri" w:eastAsia="Times New Roman" w:hAnsi="Calibri" w:cs="Calibri"/>
          <w:color w:val="000000"/>
          <w:sz w:val="24"/>
          <w:szCs w:val="24"/>
          <w:lang w:eastAsia="en-GB"/>
        </w:rPr>
        <w:t>Our second aim was to</w:t>
      </w:r>
      <w:r w:rsidR="005A3F23" w:rsidRPr="00BF60BC">
        <w:rPr>
          <w:rFonts w:ascii="Calibri" w:eastAsia="Times New Roman" w:hAnsi="Calibri" w:cs="Calibri"/>
          <w:color w:val="000000"/>
          <w:sz w:val="24"/>
          <w:szCs w:val="24"/>
          <w:lang w:eastAsia="en-GB"/>
        </w:rPr>
        <w:t xml:space="preserve"> investigate </w:t>
      </w:r>
      <w:r w:rsidR="003D34A9" w:rsidRPr="00BF60BC">
        <w:rPr>
          <w:rFonts w:ascii="Calibri" w:eastAsia="Times New Roman" w:hAnsi="Calibri" w:cs="Calibri"/>
          <w:color w:val="000000"/>
          <w:sz w:val="24"/>
          <w:szCs w:val="24"/>
          <w:lang w:eastAsia="en-GB"/>
        </w:rPr>
        <w:t>whether the magnitude of the cross-sectional association</w:t>
      </w:r>
      <w:r w:rsidR="006C77A2" w:rsidRPr="00BF60BC">
        <w:rPr>
          <w:rFonts w:ascii="Calibri" w:eastAsia="Times New Roman" w:hAnsi="Calibri" w:cs="Calibri"/>
          <w:color w:val="000000"/>
          <w:sz w:val="24"/>
          <w:szCs w:val="24"/>
          <w:lang w:eastAsia="en-GB"/>
        </w:rPr>
        <w:t>s</w:t>
      </w:r>
      <w:r w:rsidR="005A3F23" w:rsidRPr="00BF60BC">
        <w:rPr>
          <w:rFonts w:ascii="Calibri" w:eastAsia="Times New Roman" w:hAnsi="Calibri" w:cs="Calibri"/>
          <w:color w:val="000000"/>
          <w:sz w:val="24"/>
          <w:szCs w:val="24"/>
          <w:lang w:eastAsia="en-GB"/>
        </w:rPr>
        <w:t xml:space="preserve"> between </w:t>
      </w:r>
      <w:r w:rsidR="003D34A9" w:rsidRPr="00BF60BC">
        <w:rPr>
          <w:rFonts w:ascii="Calibri" w:eastAsia="Times New Roman" w:hAnsi="Calibri" w:cs="Calibri"/>
          <w:color w:val="000000"/>
          <w:sz w:val="24"/>
          <w:szCs w:val="24"/>
          <w:lang w:eastAsia="en-GB"/>
        </w:rPr>
        <w:t xml:space="preserve">weight-change </w:t>
      </w:r>
      <w:proofErr w:type="spellStart"/>
      <w:r w:rsidR="00DA210E" w:rsidRPr="00BF60BC">
        <w:rPr>
          <w:rFonts w:ascii="Calibri" w:eastAsia="Times New Roman" w:hAnsi="Calibri" w:cs="Calibri"/>
          <w:color w:val="000000"/>
          <w:sz w:val="24"/>
          <w:szCs w:val="24"/>
          <w:lang w:eastAsia="en-GB"/>
        </w:rPr>
        <w:t>behaviors</w:t>
      </w:r>
      <w:proofErr w:type="spellEnd"/>
      <w:r w:rsidR="005A3F23" w:rsidRPr="00BF60BC">
        <w:rPr>
          <w:rFonts w:ascii="Calibri" w:eastAsia="Times New Roman" w:hAnsi="Calibri" w:cs="Calibri"/>
          <w:color w:val="000000"/>
          <w:sz w:val="24"/>
          <w:szCs w:val="24"/>
          <w:lang w:eastAsia="en-GB"/>
        </w:rPr>
        <w:t xml:space="preserve"> and weight perception, and depressive symptoms</w:t>
      </w:r>
      <w:r w:rsidR="003D34A9" w:rsidRPr="00BF60BC">
        <w:rPr>
          <w:rFonts w:ascii="Calibri" w:eastAsia="Times New Roman" w:hAnsi="Calibri" w:cs="Calibri"/>
          <w:color w:val="000000"/>
          <w:sz w:val="24"/>
          <w:szCs w:val="24"/>
          <w:lang w:eastAsia="en-GB"/>
        </w:rPr>
        <w:t xml:space="preserve"> ha</w:t>
      </w:r>
      <w:r w:rsidR="00063C24">
        <w:rPr>
          <w:rFonts w:ascii="Calibri" w:eastAsia="Times New Roman" w:hAnsi="Calibri" w:cs="Calibri"/>
          <w:color w:val="000000"/>
          <w:sz w:val="24"/>
          <w:szCs w:val="24"/>
          <w:lang w:eastAsia="en-GB"/>
        </w:rPr>
        <w:t>d</w:t>
      </w:r>
      <w:r w:rsidR="003D34A9" w:rsidRPr="00BF60BC">
        <w:rPr>
          <w:rFonts w:ascii="Calibri" w:eastAsia="Times New Roman" w:hAnsi="Calibri" w:cs="Calibri"/>
          <w:color w:val="000000"/>
          <w:sz w:val="24"/>
          <w:szCs w:val="24"/>
          <w:lang w:eastAsia="en-GB"/>
        </w:rPr>
        <w:t xml:space="preserve"> changed over</w:t>
      </w:r>
      <w:r w:rsidR="001607A4" w:rsidRPr="00BF60BC">
        <w:rPr>
          <w:rFonts w:ascii="Calibri" w:eastAsia="Times New Roman" w:hAnsi="Calibri" w:cs="Calibri"/>
          <w:color w:val="000000"/>
          <w:sz w:val="24"/>
          <w:szCs w:val="24"/>
          <w:lang w:eastAsia="en-GB"/>
        </w:rPr>
        <w:t xml:space="preserve"> </w:t>
      </w:r>
      <w:r w:rsidR="003D34A9" w:rsidRPr="00BF60BC">
        <w:rPr>
          <w:rFonts w:ascii="Calibri" w:eastAsia="Times New Roman" w:hAnsi="Calibri" w:cs="Calibri"/>
          <w:color w:val="000000"/>
          <w:sz w:val="24"/>
          <w:szCs w:val="24"/>
          <w:lang w:eastAsia="en-GB"/>
        </w:rPr>
        <w:t>time</w:t>
      </w:r>
      <w:r w:rsidR="00BF7B8E" w:rsidRPr="00BF60BC">
        <w:rPr>
          <w:rFonts w:ascii="Calibri" w:eastAsia="Times New Roman" w:hAnsi="Calibri" w:cs="Calibri"/>
          <w:color w:val="000000"/>
          <w:sz w:val="24"/>
          <w:szCs w:val="24"/>
          <w:lang w:eastAsia="en-GB"/>
        </w:rPr>
        <w:t xml:space="preserve">. </w:t>
      </w:r>
      <w:r w:rsidR="00994296" w:rsidRPr="00BF60BC">
        <w:rPr>
          <w:rFonts w:ascii="Calibri" w:eastAsia="Times New Roman" w:hAnsi="Calibri" w:cs="Calibri"/>
          <w:color w:val="000000"/>
          <w:sz w:val="24"/>
          <w:szCs w:val="24"/>
          <w:lang w:eastAsia="en-GB"/>
        </w:rPr>
        <w:t>We</w:t>
      </w:r>
      <w:r w:rsidR="003D34A9" w:rsidRPr="00BF60BC">
        <w:rPr>
          <w:rFonts w:ascii="Calibri" w:eastAsia="Times New Roman" w:hAnsi="Calibri" w:cs="Calibri"/>
          <w:color w:val="000000"/>
          <w:sz w:val="24"/>
          <w:szCs w:val="24"/>
          <w:lang w:eastAsia="en-GB"/>
        </w:rPr>
        <w:t xml:space="preserve"> first ran </w:t>
      </w:r>
      <w:r w:rsidR="0097636A" w:rsidRPr="00BF60BC">
        <w:rPr>
          <w:rFonts w:ascii="Calibri" w:eastAsia="Times New Roman" w:hAnsi="Calibri" w:cs="Calibri"/>
          <w:color w:val="000000"/>
          <w:sz w:val="24"/>
          <w:szCs w:val="24"/>
          <w:lang w:eastAsia="en-GB"/>
        </w:rPr>
        <w:t>univariable and multivariable linear regression models </w:t>
      </w:r>
      <w:r w:rsidR="003D34A9" w:rsidRPr="00BF60BC">
        <w:rPr>
          <w:rFonts w:ascii="Calibri" w:eastAsia="Times New Roman" w:hAnsi="Calibri" w:cs="Calibri"/>
          <w:color w:val="000000"/>
          <w:sz w:val="24"/>
          <w:szCs w:val="24"/>
          <w:lang w:eastAsia="en-GB"/>
        </w:rPr>
        <w:t>adjusting for all covariates plus BMI.</w:t>
      </w:r>
      <w:r w:rsidR="008D5B98">
        <w:rPr>
          <w:rFonts w:ascii="Calibri" w:eastAsia="Times New Roman" w:hAnsi="Calibri" w:cs="Calibri"/>
          <w:color w:val="000000"/>
          <w:sz w:val="24"/>
          <w:szCs w:val="24"/>
          <w:lang w:eastAsia="en-GB"/>
        </w:rPr>
        <w:t xml:space="preserve"> We then </w:t>
      </w:r>
      <w:r w:rsidR="00CA3D67" w:rsidRPr="00BF60BC">
        <w:rPr>
          <w:rFonts w:ascii="Calibri" w:eastAsia="Times New Roman" w:hAnsi="Calibri" w:cs="Calibri"/>
          <w:color w:val="000000"/>
          <w:sz w:val="24"/>
          <w:szCs w:val="24"/>
          <w:lang w:eastAsia="en-GB"/>
        </w:rPr>
        <w:t>investigated the presence of sex-</w:t>
      </w:r>
      <w:r w:rsidR="008D5B98">
        <w:rPr>
          <w:rFonts w:ascii="Calibri" w:eastAsia="Times New Roman" w:hAnsi="Calibri" w:cs="Calibri"/>
          <w:color w:val="000000"/>
          <w:sz w:val="24"/>
          <w:szCs w:val="24"/>
          <w:lang w:eastAsia="en-GB"/>
        </w:rPr>
        <w:t xml:space="preserve"> and cohort- </w:t>
      </w:r>
      <w:r w:rsidR="00CA3D67" w:rsidRPr="00BF60BC">
        <w:rPr>
          <w:rFonts w:ascii="Calibri" w:eastAsia="Times New Roman" w:hAnsi="Calibri" w:cs="Calibri"/>
          <w:color w:val="000000"/>
          <w:sz w:val="24"/>
          <w:szCs w:val="24"/>
          <w:lang w:eastAsia="en-GB"/>
        </w:rPr>
        <w:t>specific changes over time with interaction terms between sex and cohort</w:t>
      </w:r>
      <w:r w:rsidR="008D5B98">
        <w:rPr>
          <w:rFonts w:ascii="Calibri" w:eastAsia="Times New Roman" w:hAnsi="Calibri" w:cs="Calibri"/>
          <w:color w:val="000000"/>
          <w:sz w:val="24"/>
          <w:szCs w:val="24"/>
          <w:lang w:eastAsia="en-GB"/>
        </w:rPr>
        <w:t xml:space="preserve"> and weight-related behaviours</w:t>
      </w:r>
      <w:r w:rsidR="00CA3D67" w:rsidRPr="00BF60BC">
        <w:rPr>
          <w:rFonts w:ascii="Calibri" w:eastAsia="Times New Roman" w:hAnsi="Calibri" w:cs="Calibri"/>
          <w:color w:val="000000"/>
          <w:sz w:val="24"/>
          <w:szCs w:val="24"/>
          <w:lang w:eastAsia="en-GB"/>
        </w:rPr>
        <w:t>.</w:t>
      </w:r>
      <w:r w:rsidR="008D5B98">
        <w:rPr>
          <w:rFonts w:ascii="Calibri" w:eastAsia="Times New Roman" w:hAnsi="Calibri" w:cs="Calibri"/>
          <w:color w:val="000000"/>
          <w:sz w:val="24"/>
          <w:szCs w:val="24"/>
          <w:lang w:eastAsia="en-GB"/>
        </w:rPr>
        <w:t xml:space="preserve">  In all analyses, i</w:t>
      </w:r>
      <w:r w:rsidR="00CA3D67" w:rsidRPr="00BF60BC">
        <w:rPr>
          <w:rFonts w:ascii="Calibri" w:eastAsia="Times New Roman" w:hAnsi="Calibri" w:cs="Calibri"/>
          <w:color w:val="000000"/>
          <w:sz w:val="24"/>
          <w:szCs w:val="24"/>
          <w:lang w:eastAsia="en-GB"/>
        </w:rPr>
        <w:t xml:space="preserve">f there was evidence of an interaction, we presented all subsequent analyses stratified by sex. </w:t>
      </w:r>
      <w:r w:rsidR="006C32FF" w:rsidRPr="00BF60BC">
        <w:rPr>
          <w:rFonts w:ascii="Calibri" w:eastAsia="Times New Roman" w:hAnsi="Calibri" w:cs="Calibri"/>
          <w:color w:val="000000"/>
          <w:sz w:val="24"/>
          <w:szCs w:val="24"/>
          <w:lang w:eastAsia="en-GB"/>
        </w:rPr>
        <w:t>We performed a</w:t>
      </w:r>
      <w:r w:rsidR="00F94859" w:rsidRPr="00BF60BC">
        <w:rPr>
          <w:rFonts w:ascii="Calibri" w:eastAsia="Times New Roman" w:hAnsi="Calibri" w:cs="Calibri"/>
          <w:color w:val="000000"/>
          <w:sz w:val="24"/>
          <w:szCs w:val="24"/>
          <w:lang w:eastAsia="en-GB"/>
        </w:rPr>
        <w:t xml:space="preserve">ll analyses </w:t>
      </w:r>
      <w:r w:rsidR="006C32FF" w:rsidRPr="00BF60BC">
        <w:rPr>
          <w:rFonts w:ascii="Calibri" w:eastAsia="Times New Roman" w:hAnsi="Calibri" w:cs="Calibri"/>
          <w:color w:val="000000"/>
          <w:sz w:val="24"/>
          <w:szCs w:val="24"/>
          <w:lang w:eastAsia="en-GB"/>
        </w:rPr>
        <w:t>in</w:t>
      </w:r>
      <w:r w:rsidR="00F94859" w:rsidRPr="00BF60BC">
        <w:rPr>
          <w:rFonts w:ascii="Calibri" w:eastAsia="Times New Roman" w:hAnsi="Calibri" w:cs="Calibri"/>
          <w:color w:val="000000"/>
          <w:sz w:val="24"/>
          <w:szCs w:val="24"/>
          <w:lang w:eastAsia="en-GB"/>
        </w:rPr>
        <w:t xml:space="preserve"> Stata15.</w:t>
      </w:r>
      <w:r w:rsidR="00F94859" w:rsidRPr="00BF60BC">
        <w:rPr>
          <w:rFonts w:ascii="Calibri" w:eastAsia="Times New Roman" w:hAnsi="Calibri" w:cs="Calibri"/>
          <w:color w:val="000000"/>
          <w:sz w:val="24"/>
          <w:szCs w:val="24"/>
          <w:lang w:eastAsia="en-GB"/>
        </w:rPr>
        <w:fldChar w:fldCharType="begin" w:fldLock="1"/>
      </w:r>
      <w:r w:rsidR="00C5774B">
        <w:rPr>
          <w:rFonts w:ascii="Calibri" w:eastAsia="Times New Roman" w:hAnsi="Calibri" w:cs="Calibri"/>
          <w:color w:val="000000"/>
          <w:sz w:val="24"/>
          <w:szCs w:val="24"/>
          <w:lang w:eastAsia="en-GB"/>
        </w:rPr>
        <w:instrText>ADDIN CSL_CITATION {"citationItems":[{"id":"ITEM-1","itemData":{"author":[{"dropping-particle":"","family":"StataCorp","given":"","non-dropping-particle":"","parse-names":false,"suffix":""}],"id":"ITEM-1","issued":{"date-parts":[["2017"]]},"publisher":"StataCorp LLC","publisher-place":"College Station, TX","title":"Stata Statistical Software: Release 15","type":"article"},"uris":["http://www.mendeley.com/documents/?uuid=f43b3cb3-1c10-4804-a4dc-bc0be2afaecd"]}],"mendeley":{"formattedCitation":"&lt;sup&gt;29&lt;/sup&gt;","plainTextFormattedCitation":"29","previouslyFormattedCitation":"&lt;sup&gt;29&lt;/sup&gt;"},"properties":{"noteIndex":0},"schema":"https://github.com/citation-style-language/schema/raw/master/csl-citation.json"}</w:instrText>
      </w:r>
      <w:r w:rsidR="00F94859" w:rsidRPr="00BF60BC">
        <w:rPr>
          <w:rFonts w:ascii="Calibri" w:eastAsia="Times New Roman" w:hAnsi="Calibri" w:cs="Calibri"/>
          <w:color w:val="000000"/>
          <w:sz w:val="24"/>
          <w:szCs w:val="24"/>
          <w:lang w:eastAsia="en-GB"/>
        </w:rPr>
        <w:fldChar w:fldCharType="separate"/>
      </w:r>
      <w:r w:rsidR="00C5774B" w:rsidRPr="00C5774B">
        <w:rPr>
          <w:rFonts w:ascii="Calibri" w:eastAsia="Times New Roman" w:hAnsi="Calibri" w:cs="Calibri"/>
          <w:noProof/>
          <w:color w:val="000000"/>
          <w:sz w:val="24"/>
          <w:szCs w:val="24"/>
          <w:vertAlign w:val="superscript"/>
          <w:lang w:eastAsia="en-GB"/>
        </w:rPr>
        <w:t>29</w:t>
      </w:r>
      <w:r w:rsidR="00F94859" w:rsidRPr="00BF60BC">
        <w:rPr>
          <w:rFonts w:ascii="Calibri" w:eastAsia="Times New Roman" w:hAnsi="Calibri" w:cs="Calibri"/>
          <w:color w:val="000000"/>
          <w:sz w:val="24"/>
          <w:szCs w:val="24"/>
          <w:lang w:eastAsia="en-GB"/>
        </w:rPr>
        <w:fldChar w:fldCharType="end"/>
      </w:r>
    </w:p>
    <w:p w14:paraId="264E4FA8" w14:textId="77777777" w:rsidR="009564D7" w:rsidRPr="00BF60BC" w:rsidRDefault="009564D7" w:rsidP="00655F22">
      <w:pPr>
        <w:spacing w:line="360" w:lineRule="auto"/>
        <w:jc w:val="both"/>
        <w:rPr>
          <w:rFonts w:ascii="Times New Roman" w:eastAsia="Times New Roman" w:hAnsi="Times New Roman" w:cs="Times New Roman"/>
          <w:sz w:val="24"/>
          <w:szCs w:val="24"/>
          <w:lang w:eastAsia="en-GB"/>
        </w:rPr>
      </w:pPr>
    </w:p>
    <w:p w14:paraId="753D17D9" w14:textId="65BFB2FE" w:rsidR="00B757C5" w:rsidRPr="00BF60BC" w:rsidRDefault="00B757C5" w:rsidP="00655F22">
      <w:pPr>
        <w:spacing w:after="0" w:line="360" w:lineRule="auto"/>
        <w:jc w:val="both"/>
        <w:rPr>
          <w:rFonts w:ascii="Calibri" w:eastAsia="Times New Roman" w:hAnsi="Calibri" w:cs="Calibri"/>
          <w:color w:val="000000"/>
          <w:sz w:val="24"/>
          <w:szCs w:val="24"/>
          <w:lang w:eastAsia="en-GB"/>
        </w:rPr>
      </w:pPr>
      <w:r w:rsidRPr="00BF60BC">
        <w:rPr>
          <w:rFonts w:ascii="Calibri" w:eastAsia="Times New Roman" w:hAnsi="Calibri" w:cs="Calibri"/>
          <w:color w:val="000000"/>
          <w:sz w:val="24"/>
          <w:szCs w:val="24"/>
          <w:lang w:eastAsia="en-GB"/>
        </w:rPr>
        <w:t xml:space="preserve">We </w:t>
      </w:r>
      <w:r w:rsidR="00DE4280" w:rsidRPr="00BF60BC">
        <w:rPr>
          <w:rFonts w:ascii="Calibri" w:eastAsia="Times New Roman" w:hAnsi="Calibri" w:cs="Calibri"/>
          <w:color w:val="000000"/>
          <w:sz w:val="24"/>
          <w:szCs w:val="24"/>
          <w:lang w:eastAsia="en-GB"/>
        </w:rPr>
        <w:t>pre-</w:t>
      </w:r>
      <w:r w:rsidRPr="00BF60BC">
        <w:rPr>
          <w:rFonts w:ascii="Calibri" w:eastAsia="Times New Roman" w:hAnsi="Calibri" w:cs="Calibri"/>
          <w:color w:val="000000"/>
          <w:sz w:val="24"/>
          <w:szCs w:val="24"/>
          <w:lang w:eastAsia="en-GB"/>
        </w:rPr>
        <w:t xml:space="preserve">registered </w:t>
      </w:r>
      <w:r w:rsidR="00E971AE">
        <w:rPr>
          <w:rFonts w:ascii="Calibri" w:eastAsia="Times New Roman" w:hAnsi="Calibri" w:cs="Calibri"/>
          <w:color w:val="000000"/>
          <w:sz w:val="24"/>
          <w:szCs w:val="24"/>
          <w:lang w:eastAsia="en-GB"/>
        </w:rPr>
        <w:t xml:space="preserve">the </w:t>
      </w:r>
      <w:r w:rsidR="00A00D09" w:rsidRPr="00BF60BC">
        <w:rPr>
          <w:rFonts w:ascii="Calibri" w:eastAsia="Times New Roman" w:hAnsi="Calibri" w:cs="Calibri"/>
          <w:color w:val="000000"/>
          <w:sz w:val="24"/>
          <w:szCs w:val="24"/>
          <w:lang w:eastAsia="en-GB"/>
        </w:rPr>
        <w:t>analytical plan</w:t>
      </w:r>
      <w:r w:rsidRPr="00BF60BC">
        <w:rPr>
          <w:rFonts w:ascii="Calibri" w:eastAsia="Times New Roman" w:hAnsi="Calibri" w:cs="Calibri"/>
          <w:color w:val="000000"/>
          <w:sz w:val="24"/>
          <w:szCs w:val="24"/>
          <w:lang w:eastAsia="en-GB"/>
        </w:rPr>
        <w:t xml:space="preserve"> of the study </w:t>
      </w:r>
      <w:r w:rsidR="0066438C" w:rsidRPr="00BF60BC">
        <w:rPr>
          <w:rFonts w:ascii="Calibri" w:eastAsia="Times New Roman" w:hAnsi="Calibri" w:cs="Calibri"/>
          <w:color w:val="000000"/>
          <w:sz w:val="24"/>
          <w:szCs w:val="24"/>
          <w:lang w:eastAsia="en-GB"/>
        </w:rPr>
        <w:t>on the Open Science F</w:t>
      </w:r>
      <w:r w:rsidRPr="00BF60BC">
        <w:rPr>
          <w:rFonts w:ascii="Calibri" w:eastAsia="Times New Roman" w:hAnsi="Calibri" w:cs="Calibri"/>
          <w:color w:val="000000"/>
          <w:sz w:val="24"/>
          <w:szCs w:val="24"/>
          <w:lang w:eastAsia="en-GB"/>
        </w:rPr>
        <w:t xml:space="preserve">ramework </w:t>
      </w:r>
      <w:proofErr w:type="gramStart"/>
      <w:r w:rsidRPr="00BF60BC">
        <w:rPr>
          <w:rFonts w:ascii="Calibri" w:eastAsia="Times New Roman" w:hAnsi="Calibri" w:cs="Calibri"/>
          <w:color w:val="000000"/>
          <w:sz w:val="24"/>
          <w:szCs w:val="24"/>
          <w:lang w:eastAsia="en-GB"/>
        </w:rPr>
        <w:t>website(</w:t>
      </w:r>
      <w:proofErr w:type="gramEnd"/>
      <w:r w:rsidRPr="00BF60BC">
        <w:rPr>
          <w:rFonts w:ascii="Calibri" w:eastAsia="Times New Roman" w:hAnsi="Calibri" w:cs="Calibri"/>
          <w:color w:val="000000"/>
          <w:sz w:val="24"/>
          <w:szCs w:val="24"/>
          <w:lang w:eastAsia="en-GB"/>
        </w:rPr>
        <w:t xml:space="preserve">link: </w:t>
      </w:r>
      <w:hyperlink r:id="rId9" w:history="1">
        <w:r w:rsidRPr="00BF60BC">
          <w:rPr>
            <w:rStyle w:val="Hyperlink"/>
            <w:rFonts w:ascii="Calibri" w:eastAsia="Times New Roman" w:hAnsi="Calibri" w:cs="Calibri"/>
            <w:sz w:val="24"/>
            <w:szCs w:val="24"/>
            <w:lang w:eastAsia="en-GB"/>
          </w:rPr>
          <w:t>https://osf.io/7ghca</w:t>
        </w:r>
      </w:hyperlink>
      <w:r w:rsidRPr="00BF60BC">
        <w:rPr>
          <w:rFonts w:ascii="Calibri" w:eastAsia="Times New Roman" w:hAnsi="Calibri" w:cs="Calibri"/>
          <w:color w:val="000000"/>
          <w:sz w:val="24"/>
          <w:szCs w:val="24"/>
          <w:lang w:eastAsia="en-GB"/>
        </w:rPr>
        <w:t xml:space="preserve">) on 25th July 2019. </w:t>
      </w:r>
      <w:r w:rsidR="00F94859" w:rsidRPr="00BF60BC">
        <w:rPr>
          <w:rFonts w:ascii="Calibri" w:eastAsia="Times New Roman" w:hAnsi="Calibri" w:cs="Calibri"/>
          <w:color w:val="000000"/>
          <w:sz w:val="24"/>
          <w:szCs w:val="24"/>
          <w:lang w:eastAsia="en-GB"/>
        </w:rPr>
        <w:t>We report minor</w:t>
      </w:r>
      <w:r w:rsidR="00C664F6" w:rsidRPr="00BF60BC">
        <w:rPr>
          <w:rFonts w:ascii="Calibri" w:eastAsia="Times New Roman" w:hAnsi="Calibri" w:cs="Calibri"/>
          <w:color w:val="000000"/>
          <w:sz w:val="24"/>
          <w:szCs w:val="24"/>
          <w:lang w:eastAsia="en-GB"/>
        </w:rPr>
        <w:t xml:space="preserve"> </w:t>
      </w:r>
      <w:r w:rsidR="009F7862" w:rsidRPr="00BF60BC">
        <w:rPr>
          <w:rFonts w:ascii="Calibri" w:eastAsia="Times New Roman" w:hAnsi="Calibri" w:cs="Calibri"/>
          <w:color w:val="000000"/>
          <w:sz w:val="24"/>
          <w:szCs w:val="24"/>
          <w:lang w:eastAsia="en-GB"/>
        </w:rPr>
        <w:t xml:space="preserve">deviations </w:t>
      </w:r>
      <w:r w:rsidR="00C664F6" w:rsidRPr="00BF60BC">
        <w:rPr>
          <w:rFonts w:ascii="Calibri" w:eastAsia="Times New Roman" w:hAnsi="Calibri" w:cs="Calibri"/>
          <w:color w:val="000000"/>
          <w:sz w:val="24"/>
          <w:szCs w:val="24"/>
          <w:lang w:eastAsia="en-GB"/>
        </w:rPr>
        <w:t xml:space="preserve">from </w:t>
      </w:r>
      <w:r w:rsidR="00551A6B" w:rsidRPr="00BF60BC">
        <w:rPr>
          <w:rFonts w:ascii="Calibri" w:eastAsia="Times New Roman" w:hAnsi="Calibri" w:cs="Calibri"/>
          <w:color w:val="000000"/>
          <w:sz w:val="24"/>
          <w:szCs w:val="24"/>
          <w:lang w:eastAsia="en-GB"/>
        </w:rPr>
        <w:t>this</w:t>
      </w:r>
      <w:r w:rsidR="00F94859" w:rsidRPr="00BF60BC">
        <w:rPr>
          <w:rFonts w:ascii="Calibri" w:eastAsia="Times New Roman" w:hAnsi="Calibri" w:cs="Calibri"/>
          <w:color w:val="000000"/>
          <w:sz w:val="24"/>
          <w:szCs w:val="24"/>
          <w:lang w:eastAsia="en-GB"/>
        </w:rPr>
        <w:t xml:space="preserve"> in </w:t>
      </w:r>
      <w:r w:rsidR="00B57F70">
        <w:rPr>
          <w:rFonts w:ascii="Calibri" w:eastAsia="Times New Roman" w:hAnsi="Calibri" w:cs="Calibri"/>
          <w:b/>
          <w:color w:val="000000"/>
          <w:sz w:val="24"/>
          <w:szCs w:val="24"/>
          <w:lang w:eastAsia="en-GB"/>
        </w:rPr>
        <w:t>eMethod5</w:t>
      </w:r>
      <w:r w:rsidR="00F94859" w:rsidRPr="00BF60BC">
        <w:rPr>
          <w:rFonts w:ascii="Calibri" w:eastAsia="Times New Roman" w:hAnsi="Calibri" w:cs="Calibri"/>
          <w:b/>
          <w:color w:val="000000"/>
          <w:sz w:val="24"/>
          <w:szCs w:val="24"/>
          <w:lang w:eastAsia="en-GB"/>
        </w:rPr>
        <w:t>.</w:t>
      </w:r>
    </w:p>
    <w:p w14:paraId="5C66704B" w14:textId="77777777" w:rsidR="006077F4" w:rsidRPr="00BF60BC" w:rsidRDefault="006077F4" w:rsidP="00655F22">
      <w:pPr>
        <w:spacing w:after="0" w:line="360" w:lineRule="auto"/>
        <w:jc w:val="both"/>
        <w:rPr>
          <w:rFonts w:ascii="Calibri" w:eastAsia="Times New Roman" w:hAnsi="Calibri" w:cs="Calibri"/>
          <w:color w:val="000000"/>
          <w:sz w:val="24"/>
          <w:szCs w:val="24"/>
          <w:lang w:eastAsia="en-GB"/>
        </w:rPr>
      </w:pPr>
    </w:p>
    <w:p w14:paraId="2AAD6A71" w14:textId="6A32A2A4" w:rsidR="00773590" w:rsidRPr="00BF60BC" w:rsidRDefault="00773590" w:rsidP="00655F22">
      <w:pPr>
        <w:jc w:val="both"/>
        <w:rPr>
          <w:rFonts w:ascii="Cambria" w:eastAsia="Times New Roman" w:hAnsi="Cambria" w:cs="Calibri"/>
          <w:b/>
          <w:color w:val="000000"/>
          <w:sz w:val="24"/>
          <w:szCs w:val="24"/>
          <w:lang w:eastAsia="en-GB"/>
        </w:rPr>
      </w:pPr>
    </w:p>
    <w:p w14:paraId="5C9387F6" w14:textId="77777777" w:rsidR="00BF73C7" w:rsidRPr="00BF60BC" w:rsidRDefault="00BF73C7" w:rsidP="00655F22">
      <w:pPr>
        <w:jc w:val="both"/>
        <w:rPr>
          <w:rFonts w:ascii="Cambria" w:eastAsia="Times New Roman" w:hAnsi="Cambria" w:cs="Calibri"/>
          <w:b/>
          <w:color w:val="000000"/>
          <w:sz w:val="24"/>
          <w:szCs w:val="24"/>
          <w:lang w:eastAsia="en-GB"/>
        </w:rPr>
      </w:pPr>
      <w:r w:rsidRPr="00BF60BC">
        <w:rPr>
          <w:rFonts w:ascii="Cambria" w:eastAsia="Times New Roman" w:hAnsi="Cambria" w:cs="Calibri"/>
          <w:b/>
          <w:color w:val="000000"/>
          <w:sz w:val="24"/>
          <w:szCs w:val="24"/>
          <w:lang w:eastAsia="en-GB"/>
        </w:rPr>
        <w:br w:type="page"/>
      </w:r>
    </w:p>
    <w:p w14:paraId="0A508194" w14:textId="0A64EAE2" w:rsidR="000D2B45" w:rsidRPr="00BF60BC" w:rsidRDefault="000D2B45" w:rsidP="00655F22">
      <w:pPr>
        <w:spacing w:after="0" w:line="360" w:lineRule="auto"/>
        <w:jc w:val="both"/>
        <w:rPr>
          <w:rFonts w:ascii="Cambria" w:eastAsia="Times New Roman" w:hAnsi="Cambria" w:cs="Calibri"/>
          <w:b/>
          <w:color w:val="000000"/>
          <w:sz w:val="24"/>
          <w:szCs w:val="24"/>
          <w:lang w:eastAsia="en-GB"/>
        </w:rPr>
      </w:pPr>
      <w:r w:rsidRPr="00BF60BC">
        <w:rPr>
          <w:rFonts w:ascii="Cambria" w:eastAsia="Times New Roman" w:hAnsi="Cambria" w:cs="Calibri"/>
          <w:b/>
          <w:color w:val="000000"/>
          <w:sz w:val="24"/>
          <w:szCs w:val="24"/>
          <w:lang w:eastAsia="en-GB"/>
        </w:rPr>
        <w:lastRenderedPageBreak/>
        <w:t>RESULTS</w:t>
      </w:r>
    </w:p>
    <w:p w14:paraId="5F072B8A" w14:textId="2C7620B7" w:rsidR="00780F7A" w:rsidRPr="00BF60BC" w:rsidRDefault="00994296" w:rsidP="00655F22">
      <w:pPr>
        <w:spacing w:after="0" w:line="360" w:lineRule="auto"/>
        <w:jc w:val="both"/>
        <w:rPr>
          <w:rFonts w:ascii="Calibri" w:eastAsia="Times New Roman" w:hAnsi="Calibri" w:cs="Calibri"/>
          <w:color w:val="000000"/>
          <w:sz w:val="24"/>
          <w:szCs w:val="24"/>
          <w:lang w:eastAsia="en-GB"/>
        </w:rPr>
      </w:pPr>
      <w:r w:rsidRPr="00BF60BC">
        <w:rPr>
          <w:rFonts w:eastAsia="Times New Roman" w:cstheme="minorHAnsi"/>
          <w:sz w:val="24"/>
          <w:szCs w:val="24"/>
          <w:lang w:eastAsia="en-GB"/>
        </w:rPr>
        <w:t>In total,</w:t>
      </w:r>
      <w:r w:rsidR="0066438C" w:rsidRPr="00BF60BC">
        <w:rPr>
          <w:rFonts w:eastAsia="Times New Roman" w:cstheme="minorHAnsi"/>
          <w:sz w:val="24"/>
          <w:szCs w:val="24"/>
          <w:lang w:eastAsia="en-GB"/>
        </w:rPr>
        <w:t xml:space="preserve"> </w:t>
      </w:r>
      <w:r w:rsidR="004C172A" w:rsidRPr="00BF60BC">
        <w:rPr>
          <w:rFonts w:eastAsia="Times New Roman" w:cstheme="minorHAnsi"/>
          <w:sz w:val="24"/>
          <w:szCs w:val="24"/>
          <w:lang w:eastAsia="en-GB"/>
        </w:rPr>
        <w:t>22,</w:t>
      </w:r>
      <w:r w:rsidR="001847ED" w:rsidRPr="00BF60BC">
        <w:rPr>
          <w:rFonts w:eastAsia="Times New Roman" w:cstheme="minorHAnsi"/>
          <w:sz w:val="24"/>
          <w:szCs w:val="24"/>
          <w:lang w:eastAsia="en-GB"/>
        </w:rPr>
        <w:t>50</w:t>
      </w:r>
      <w:r w:rsidR="004C172A" w:rsidRPr="00BF60BC">
        <w:rPr>
          <w:rFonts w:eastAsia="Times New Roman" w:cstheme="minorHAnsi"/>
          <w:sz w:val="24"/>
          <w:szCs w:val="24"/>
          <w:lang w:eastAsia="en-GB"/>
        </w:rPr>
        <w:t>3</w:t>
      </w:r>
      <w:r w:rsidR="009A3802" w:rsidRPr="00BF60BC">
        <w:rPr>
          <w:rFonts w:eastAsia="Times New Roman" w:cstheme="minorHAnsi"/>
          <w:sz w:val="24"/>
          <w:szCs w:val="24"/>
          <w:lang w:eastAsia="en-GB"/>
        </w:rPr>
        <w:t>(BCS n=</w:t>
      </w:r>
      <w:r w:rsidR="004C172A" w:rsidRPr="00BF60BC">
        <w:rPr>
          <w:rFonts w:eastAsia="Times New Roman" w:cstheme="minorHAnsi"/>
          <w:sz w:val="24"/>
          <w:szCs w:val="24"/>
          <w:lang w:eastAsia="en-GB"/>
        </w:rPr>
        <w:t>5,8</w:t>
      </w:r>
      <w:r w:rsidR="001847ED" w:rsidRPr="00BF60BC">
        <w:rPr>
          <w:rFonts w:eastAsia="Times New Roman" w:cstheme="minorHAnsi"/>
          <w:sz w:val="24"/>
          <w:szCs w:val="24"/>
          <w:lang w:eastAsia="en-GB"/>
        </w:rPr>
        <w:t>78</w:t>
      </w:r>
      <w:r w:rsidR="009A3802" w:rsidRPr="00BF60BC">
        <w:rPr>
          <w:rFonts w:eastAsia="Times New Roman" w:cstheme="minorHAnsi"/>
          <w:sz w:val="24"/>
          <w:szCs w:val="24"/>
          <w:lang w:eastAsia="en-GB"/>
        </w:rPr>
        <w:t>; ALSPAC n=</w:t>
      </w:r>
      <w:r w:rsidR="001847ED" w:rsidRPr="00BF60BC">
        <w:rPr>
          <w:rFonts w:eastAsia="Times New Roman" w:cstheme="minorHAnsi"/>
          <w:sz w:val="24"/>
          <w:szCs w:val="24"/>
          <w:lang w:eastAsia="en-GB"/>
        </w:rPr>
        <w:t>5,832</w:t>
      </w:r>
      <w:r w:rsidR="000F6F7A" w:rsidRPr="00BF60BC">
        <w:rPr>
          <w:rFonts w:eastAsia="Times New Roman" w:cstheme="minorHAnsi"/>
          <w:sz w:val="24"/>
          <w:szCs w:val="24"/>
          <w:lang w:eastAsia="en-GB"/>
        </w:rPr>
        <w:t>; MCS n=</w:t>
      </w:r>
      <w:r w:rsidR="004C172A" w:rsidRPr="00BF60BC">
        <w:rPr>
          <w:rFonts w:eastAsia="Times New Roman" w:cstheme="minorHAnsi"/>
          <w:sz w:val="24"/>
          <w:szCs w:val="24"/>
          <w:lang w:eastAsia="en-GB"/>
        </w:rPr>
        <w:t>10,</w:t>
      </w:r>
      <w:r w:rsidR="001847ED" w:rsidRPr="00BF60BC">
        <w:rPr>
          <w:rFonts w:eastAsia="Times New Roman" w:cstheme="minorHAnsi"/>
          <w:sz w:val="24"/>
          <w:szCs w:val="24"/>
          <w:lang w:eastAsia="en-GB"/>
        </w:rPr>
        <w:t>793</w:t>
      </w:r>
      <w:r w:rsidR="0057329B">
        <w:rPr>
          <w:rFonts w:eastAsia="Times New Roman" w:cstheme="minorHAnsi"/>
          <w:sz w:val="24"/>
          <w:szCs w:val="24"/>
          <w:lang w:eastAsia="en-GB"/>
        </w:rPr>
        <w:t xml:space="preserve">; </w:t>
      </w:r>
      <w:r w:rsidR="0057329B" w:rsidRPr="00063C24">
        <w:rPr>
          <w:rFonts w:eastAsia="Times New Roman" w:cstheme="minorHAnsi"/>
          <w:sz w:val="24"/>
          <w:szCs w:val="24"/>
          <w:lang w:eastAsia="en-GB"/>
        </w:rPr>
        <w:t>53.6% female</w:t>
      </w:r>
      <w:r w:rsidR="009A3802" w:rsidRPr="00BF60BC">
        <w:rPr>
          <w:rFonts w:eastAsia="Times New Roman" w:cstheme="minorHAnsi"/>
          <w:sz w:val="24"/>
          <w:szCs w:val="24"/>
          <w:lang w:eastAsia="en-GB"/>
        </w:rPr>
        <w:t xml:space="preserve">) adolescents had at least one outcome variable available and were </w:t>
      </w:r>
      <w:r w:rsidR="004C172A" w:rsidRPr="00BF60BC">
        <w:rPr>
          <w:rFonts w:eastAsia="Times New Roman" w:cstheme="minorHAnsi"/>
          <w:sz w:val="24"/>
          <w:szCs w:val="24"/>
          <w:lang w:eastAsia="en-GB"/>
        </w:rPr>
        <w:t>included in our study</w:t>
      </w:r>
      <w:r w:rsidR="001847D9" w:rsidRPr="00BF60BC">
        <w:rPr>
          <w:rFonts w:eastAsia="Times New Roman" w:cstheme="minorHAnsi"/>
          <w:sz w:val="24"/>
          <w:szCs w:val="24"/>
          <w:lang w:eastAsia="en-GB"/>
        </w:rPr>
        <w:t>(</w:t>
      </w:r>
      <w:r w:rsidR="00850243">
        <w:rPr>
          <w:rFonts w:eastAsia="Times New Roman" w:cstheme="minorHAnsi"/>
          <w:b/>
          <w:sz w:val="24"/>
          <w:szCs w:val="24"/>
          <w:lang w:eastAsia="en-GB"/>
        </w:rPr>
        <w:t>e</w:t>
      </w:r>
      <w:r w:rsidR="00173961">
        <w:rPr>
          <w:rFonts w:eastAsia="Times New Roman" w:cstheme="minorHAnsi"/>
          <w:b/>
          <w:sz w:val="24"/>
          <w:szCs w:val="24"/>
          <w:lang w:eastAsia="en-GB"/>
        </w:rPr>
        <w:t>Table</w:t>
      </w:r>
      <w:r w:rsidR="001847D9" w:rsidRPr="00BF60BC">
        <w:rPr>
          <w:rFonts w:eastAsia="Times New Roman" w:cstheme="minorHAnsi"/>
          <w:b/>
          <w:sz w:val="24"/>
          <w:szCs w:val="24"/>
          <w:lang w:eastAsia="en-GB"/>
        </w:rPr>
        <w:t>2</w:t>
      </w:r>
      <w:r w:rsidR="001847D9" w:rsidRPr="00BF60BC">
        <w:rPr>
          <w:rFonts w:eastAsia="Times New Roman" w:cstheme="minorHAnsi"/>
          <w:sz w:val="24"/>
          <w:szCs w:val="24"/>
          <w:lang w:eastAsia="en-GB"/>
        </w:rPr>
        <w:t>)</w:t>
      </w:r>
      <w:r w:rsidR="004C172A" w:rsidRPr="00BF60BC">
        <w:rPr>
          <w:rFonts w:eastAsia="Times New Roman" w:cstheme="minorHAnsi"/>
          <w:sz w:val="24"/>
          <w:szCs w:val="24"/>
          <w:lang w:eastAsia="en-GB"/>
        </w:rPr>
        <w:t xml:space="preserve">. </w:t>
      </w:r>
      <w:r w:rsidR="00F954C7" w:rsidRPr="00BF60BC">
        <w:rPr>
          <w:rFonts w:ascii="Calibri" w:eastAsia="Times New Roman" w:hAnsi="Calibri" w:cs="Calibri"/>
          <w:color w:val="000000"/>
          <w:sz w:val="24"/>
          <w:szCs w:val="24"/>
          <w:lang w:eastAsia="en-GB"/>
        </w:rPr>
        <w:t>By the mid-adolescence</w:t>
      </w:r>
      <w:r w:rsidR="006C32FF" w:rsidRPr="00BF60BC">
        <w:rPr>
          <w:rFonts w:ascii="Calibri" w:eastAsia="Times New Roman" w:hAnsi="Calibri" w:cs="Calibri"/>
          <w:color w:val="000000"/>
          <w:sz w:val="24"/>
          <w:szCs w:val="24"/>
          <w:lang w:eastAsia="en-GB"/>
        </w:rPr>
        <w:t xml:space="preserve"> assessment</w:t>
      </w:r>
      <w:r w:rsidR="008D5B98">
        <w:rPr>
          <w:rFonts w:ascii="Calibri" w:eastAsia="Times New Roman" w:hAnsi="Calibri" w:cs="Calibri"/>
          <w:color w:val="000000"/>
          <w:sz w:val="24"/>
          <w:szCs w:val="24"/>
          <w:lang w:eastAsia="en-GB"/>
        </w:rPr>
        <w:t>,</w:t>
      </w:r>
      <w:r w:rsidR="00664EAF" w:rsidRPr="00BF60BC">
        <w:rPr>
          <w:rFonts w:ascii="Calibri" w:eastAsia="Times New Roman" w:hAnsi="Calibri" w:cs="Calibri"/>
          <w:color w:val="000000"/>
          <w:sz w:val="24"/>
          <w:szCs w:val="24"/>
          <w:lang w:eastAsia="en-GB"/>
        </w:rPr>
        <w:t xml:space="preserve"> </w:t>
      </w:r>
      <w:r w:rsidR="00D17F3B" w:rsidRPr="00BF60BC">
        <w:rPr>
          <w:rFonts w:ascii="Calibri" w:eastAsia="Times New Roman" w:hAnsi="Calibri" w:cs="Calibri"/>
          <w:color w:val="000000"/>
          <w:sz w:val="24"/>
          <w:szCs w:val="24"/>
          <w:lang w:eastAsia="en-GB"/>
        </w:rPr>
        <w:t>loss to follow-up was</w:t>
      </w:r>
      <w:r w:rsidR="00664EAF" w:rsidRPr="00BF60BC">
        <w:rPr>
          <w:rFonts w:ascii="Calibri" w:eastAsia="Times New Roman" w:hAnsi="Calibri" w:cs="Calibri"/>
          <w:color w:val="000000"/>
          <w:sz w:val="24"/>
          <w:szCs w:val="24"/>
          <w:lang w:eastAsia="en-GB"/>
        </w:rPr>
        <w:t xml:space="preserve"> </w:t>
      </w:r>
      <w:r w:rsidR="008416EC" w:rsidRPr="00BF60BC">
        <w:rPr>
          <w:rFonts w:ascii="Calibri" w:eastAsia="Times New Roman" w:hAnsi="Calibri" w:cs="Calibri"/>
          <w:color w:val="000000"/>
          <w:sz w:val="24"/>
          <w:szCs w:val="24"/>
          <w:lang w:eastAsia="en-GB"/>
        </w:rPr>
        <w:t>41.8%</w:t>
      </w:r>
      <w:r w:rsidR="008D5B98">
        <w:rPr>
          <w:rFonts w:ascii="Calibri" w:eastAsia="Times New Roman" w:hAnsi="Calibri" w:cs="Calibri"/>
          <w:color w:val="000000"/>
          <w:sz w:val="24"/>
          <w:szCs w:val="24"/>
          <w:lang w:eastAsia="en-GB"/>
        </w:rPr>
        <w:t xml:space="preserve"> (MCS</w:t>
      </w:r>
      <w:r w:rsidR="008416EC" w:rsidRPr="00BF60BC">
        <w:rPr>
          <w:rFonts w:ascii="Calibri" w:eastAsia="Times New Roman" w:hAnsi="Calibri" w:cs="Calibri"/>
          <w:color w:val="000000"/>
          <w:sz w:val="24"/>
          <w:szCs w:val="24"/>
          <w:lang w:eastAsia="en-GB"/>
        </w:rPr>
        <w:t xml:space="preserve">), </w:t>
      </w:r>
      <w:r w:rsidR="008D5B98">
        <w:rPr>
          <w:rFonts w:ascii="Calibri" w:eastAsia="Times New Roman" w:hAnsi="Calibri" w:cs="Calibri"/>
          <w:color w:val="000000"/>
          <w:sz w:val="24"/>
          <w:szCs w:val="24"/>
          <w:lang w:eastAsia="en-GB"/>
        </w:rPr>
        <w:t>57.7%(ALSPAC)</w:t>
      </w:r>
      <w:r w:rsidR="008416EC" w:rsidRPr="00BF60BC">
        <w:rPr>
          <w:rFonts w:ascii="Calibri" w:eastAsia="Times New Roman" w:hAnsi="Calibri" w:cs="Calibri"/>
          <w:color w:val="000000"/>
          <w:sz w:val="24"/>
          <w:szCs w:val="24"/>
          <w:lang w:eastAsia="en-GB"/>
        </w:rPr>
        <w:t xml:space="preserve">and </w:t>
      </w:r>
      <w:r w:rsidR="008D5B98">
        <w:rPr>
          <w:rFonts w:ascii="Calibri" w:eastAsia="Times New Roman" w:hAnsi="Calibri" w:cs="Calibri"/>
          <w:color w:val="000000"/>
          <w:sz w:val="24"/>
          <w:szCs w:val="24"/>
          <w:lang w:eastAsia="en-GB"/>
        </w:rPr>
        <w:t>6</w:t>
      </w:r>
      <w:r w:rsidR="008416EC" w:rsidRPr="00BF60BC">
        <w:rPr>
          <w:rFonts w:ascii="Calibri" w:eastAsia="Times New Roman" w:hAnsi="Calibri" w:cs="Calibri"/>
          <w:color w:val="000000"/>
          <w:sz w:val="24"/>
          <w:szCs w:val="24"/>
          <w:lang w:eastAsia="en-GB"/>
        </w:rPr>
        <w:t>5.4</w:t>
      </w:r>
      <w:proofErr w:type="gramStart"/>
      <w:r w:rsidR="008416EC" w:rsidRPr="00BF60BC">
        <w:rPr>
          <w:rFonts w:ascii="Calibri" w:eastAsia="Times New Roman" w:hAnsi="Calibri" w:cs="Calibri"/>
          <w:color w:val="000000"/>
          <w:sz w:val="24"/>
          <w:szCs w:val="24"/>
          <w:lang w:eastAsia="en-GB"/>
        </w:rPr>
        <w:t>%</w:t>
      </w:r>
      <w:r w:rsidR="008D5B98">
        <w:rPr>
          <w:rFonts w:ascii="Calibri" w:eastAsia="Times New Roman" w:hAnsi="Calibri" w:cs="Calibri"/>
          <w:color w:val="000000"/>
          <w:sz w:val="24"/>
          <w:szCs w:val="24"/>
          <w:lang w:eastAsia="en-GB"/>
        </w:rPr>
        <w:t>(</w:t>
      </w:r>
      <w:proofErr w:type="gramEnd"/>
      <w:r w:rsidR="008D5B98">
        <w:rPr>
          <w:rFonts w:ascii="Calibri" w:eastAsia="Times New Roman" w:hAnsi="Calibri" w:cs="Calibri"/>
          <w:color w:val="000000"/>
          <w:sz w:val="24"/>
          <w:szCs w:val="24"/>
          <w:lang w:eastAsia="en-GB"/>
        </w:rPr>
        <w:t>BCS</w:t>
      </w:r>
      <w:r w:rsidR="00063C24">
        <w:rPr>
          <w:rFonts w:ascii="Calibri" w:eastAsia="Times New Roman" w:hAnsi="Calibri" w:cs="Calibri"/>
          <w:color w:val="000000"/>
          <w:sz w:val="24"/>
          <w:szCs w:val="24"/>
          <w:lang w:eastAsia="en-GB"/>
        </w:rPr>
        <w:t>,</w:t>
      </w:r>
      <w:r w:rsidR="008D5B98">
        <w:rPr>
          <w:rFonts w:ascii="Calibri" w:eastAsia="Times New Roman" w:hAnsi="Calibri" w:cs="Calibri"/>
          <w:color w:val="000000"/>
          <w:sz w:val="24"/>
          <w:szCs w:val="24"/>
          <w:lang w:eastAsia="en-GB"/>
        </w:rPr>
        <w:t xml:space="preserve"> factors associated with missingness in</w:t>
      </w:r>
      <w:r w:rsidR="00063C24">
        <w:rPr>
          <w:rFonts w:ascii="Calibri" w:eastAsia="Times New Roman" w:hAnsi="Calibri" w:cs="Calibri"/>
          <w:color w:val="000000"/>
          <w:sz w:val="24"/>
          <w:szCs w:val="24"/>
          <w:lang w:eastAsia="en-GB"/>
        </w:rPr>
        <w:t xml:space="preserve"> </w:t>
      </w:r>
      <w:r w:rsidR="00850243">
        <w:rPr>
          <w:rFonts w:ascii="Calibri" w:eastAsia="Times New Roman" w:hAnsi="Calibri" w:cs="Calibri"/>
          <w:b/>
          <w:color w:val="000000"/>
          <w:sz w:val="24"/>
          <w:szCs w:val="24"/>
          <w:lang w:eastAsia="en-GB"/>
        </w:rPr>
        <w:t>e</w:t>
      </w:r>
      <w:r w:rsidR="00173961">
        <w:rPr>
          <w:rFonts w:ascii="Calibri" w:eastAsia="Times New Roman" w:hAnsi="Calibri" w:cs="Calibri"/>
          <w:b/>
          <w:color w:val="000000"/>
          <w:sz w:val="24"/>
          <w:szCs w:val="24"/>
          <w:lang w:eastAsia="en-GB"/>
        </w:rPr>
        <w:t>Table</w:t>
      </w:r>
      <w:r w:rsidR="00437CEE" w:rsidRPr="00BF60BC">
        <w:rPr>
          <w:rFonts w:ascii="Calibri" w:eastAsia="Times New Roman" w:hAnsi="Calibri" w:cs="Calibri"/>
          <w:b/>
          <w:color w:val="000000"/>
          <w:sz w:val="24"/>
          <w:szCs w:val="24"/>
          <w:lang w:eastAsia="en-GB"/>
        </w:rPr>
        <w:t>3</w:t>
      </w:r>
      <w:r w:rsidR="00437CEE" w:rsidRPr="00BF60BC">
        <w:rPr>
          <w:rFonts w:ascii="Calibri" w:eastAsia="Times New Roman" w:hAnsi="Calibri" w:cs="Calibri"/>
          <w:color w:val="000000"/>
          <w:sz w:val="24"/>
          <w:szCs w:val="24"/>
          <w:lang w:eastAsia="en-GB"/>
        </w:rPr>
        <w:t>).</w:t>
      </w:r>
    </w:p>
    <w:p w14:paraId="311E29BF" w14:textId="77777777" w:rsidR="009E363A" w:rsidRPr="00BF60BC" w:rsidRDefault="009E363A" w:rsidP="00655F22">
      <w:pPr>
        <w:jc w:val="both"/>
        <w:rPr>
          <w:rFonts w:ascii="Calibri" w:eastAsia="Times New Roman" w:hAnsi="Calibri" w:cs="Calibri"/>
          <w:color w:val="000000"/>
          <w:sz w:val="24"/>
          <w:szCs w:val="24"/>
          <w:lang w:eastAsia="en-GB"/>
        </w:rPr>
      </w:pPr>
    </w:p>
    <w:p w14:paraId="6D344B57" w14:textId="05B144DE" w:rsidR="009E363A" w:rsidRPr="00BF60BC" w:rsidRDefault="009E363A" w:rsidP="00655F22">
      <w:pPr>
        <w:spacing w:after="0" w:line="360" w:lineRule="auto"/>
        <w:jc w:val="both"/>
        <w:rPr>
          <w:rFonts w:ascii="Calibri" w:eastAsia="Times New Roman" w:hAnsi="Calibri" w:cs="Calibri"/>
          <w:i/>
          <w:color w:val="000000"/>
          <w:sz w:val="24"/>
          <w:szCs w:val="24"/>
          <w:lang w:eastAsia="en-GB"/>
        </w:rPr>
      </w:pPr>
      <w:r w:rsidRPr="00BF60BC">
        <w:rPr>
          <w:rFonts w:ascii="Calibri" w:eastAsia="Times New Roman" w:hAnsi="Calibri" w:cs="Calibri"/>
          <w:i/>
          <w:color w:val="000000"/>
          <w:sz w:val="24"/>
          <w:szCs w:val="24"/>
          <w:lang w:eastAsia="en-GB"/>
        </w:rPr>
        <w:t>Lifetime dieting and exercising for weight loss</w:t>
      </w:r>
    </w:p>
    <w:p w14:paraId="1ACD2E0F" w14:textId="46665C70" w:rsidR="003D17AF" w:rsidRPr="00BF60BC" w:rsidRDefault="00EF523D" w:rsidP="00655F22">
      <w:pPr>
        <w:spacing w:after="0" w:line="360" w:lineRule="auto"/>
        <w:jc w:val="both"/>
        <w:rPr>
          <w:rFonts w:ascii="Calibri" w:eastAsia="Times New Roman" w:hAnsi="Calibri" w:cs="Calibri"/>
          <w:color w:val="000000"/>
          <w:sz w:val="24"/>
          <w:szCs w:val="24"/>
          <w:lang w:eastAsia="en-GB"/>
        </w:rPr>
      </w:pPr>
      <w:r w:rsidRPr="00BF60BC">
        <w:rPr>
          <w:rFonts w:ascii="Calibri" w:eastAsia="Times New Roman" w:hAnsi="Calibri" w:cs="Calibri"/>
          <w:color w:val="000000"/>
          <w:sz w:val="24"/>
          <w:szCs w:val="24"/>
          <w:lang w:eastAsia="en-GB"/>
        </w:rPr>
        <w:t>In 1986</w:t>
      </w:r>
      <w:r w:rsidR="00637EEF" w:rsidRPr="00BF60BC">
        <w:rPr>
          <w:rFonts w:ascii="Calibri" w:eastAsia="Times New Roman" w:hAnsi="Calibri" w:cs="Calibri"/>
          <w:color w:val="000000"/>
          <w:sz w:val="24"/>
          <w:szCs w:val="24"/>
          <w:lang w:eastAsia="en-GB"/>
        </w:rPr>
        <w:t xml:space="preserve">, </w:t>
      </w:r>
      <w:r w:rsidR="002550E9" w:rsidRPr="00BF60BC">
        <w:rPr>
          <w:rFonts w:ascii="Calibri" w:eastAsia="Times New Roman" w:hAnsi="Calibri" w:cs="Calibri"/>
          <w:color w:val="000000"/>
          <w:sz w:val="24"/>
          <w:szCs w:val="24"/>
          <w:lang w:eastAsia="en-GB"/>
        </w:rPr>
        <w:t>37.7</w:t>
      </w:r>
      <w:r w:rsidRPr="00BF60BC">
        <w:rPr>
          <w:rFonts w:ascii="Calibri" w:eastAsia="Times New Roman" w:hAnsi="Calibri" w:cs="Calibri"/>
          <w:color w:val="000000"/>
          <w:sz w:val="24"/>
          <w:szCs w:val="24"/>
          <w:lang w:eastAsia="en-GB"/>
        </w:rPr>
        <w:t xml:space="preserve">% of adolescents reported having dieted and </w:t>
      </w:r>
      <w:r w:rsidR="002550E9" w:rsidRPr="00BF60BC">
        <w:rPr>
          <w:rFonts w:ascii="Calibri" w:eastAsia="Times New Roman" w:hAnsi="Calibri" w:cs="Calibri"/>
          <w:color w:val="000000"/>
          <w:sz w:val="24"/>
          <w:szCs w:val="24"/>
          <w:lang w:eastAsia="en-GB"/>
        </w:rPr>
        <w:t>6.8</w:t>
      </w:r>
      <w:r w:rsidRPr="00BF60BC">
        <w:rPr>
          <w:rFonts w:ascii="Calibri" w:eastAsia="Times New Roman" w:hAnsi="Calibri" w:cs="Calibri"/>
          <w:color w:val="000000"/>
          <w:sz w:val="24"/>
          <w:szCs w:val="24"/>
          <w:lang w:eastAsia="en-GB"/>
        </w:rPr>
        <w:t>% exercised for weight loss, compared to 44.</w:t>
      </w:r>
      <w:r w:rsidR="002550E9" w:rsidRPr="00BF60BC">
        <w:rPr>
          <w:rFonts w:ascii="Calibri" w:eastAsia="Times New Roman" w:hAnsi="Calibri" w:cs="Calibri"/>
          <w:color w:val="000000"/>
          <w:sz w:val="24"/>
          <w:szCs w:val="24"/>
          <w:lang w:eastAsia="en-GB"/>
        </w:rPr>
        <w:t>4</w:t>
      </w:r>
      <w:r w:rsidRPr="00BF60BC">
        <w:rPr>
          <w:rFonts w:ascii="Calibri" w:eastAsia="Times New Roman" w:hAnsi="Calibri" w:cs="Calibri"/>
          <w:color w:val="000000"/>
          <w:sz w:val="24"/>
          <w:szCs w:val="24"/>
          <w:lang w:eastAsia="en-GB"/>
        </w:rPr>
        <w:t>% and 60.</w:t>
      </w:r>
      <w:r w:rsidR="002550E9" w:rsidRPr="00BF60BC">
        <w:rPr>
          <w:rFonts w:ascii="Calibri" w:eastAsia="Times New Roman" w:hAnsi="Calibri" w:cs="Calibri"/>
          <w:color w:val="000000"/>
          <w:sz w:val="24"/>
          <w:szCs w:val="24"/>
          <w:lang w:eastAsia="en-GB"/>
        </w:rPr>
        <w:t>5</w:t>
      </w:r>
      <w:r w:rsidRPr="00BF60BC">
        <w:rPr>
          <w:rFonts w:ascii="Calibri" w:eastAsia="Times New Roman" w:hAnsi="Calibri" w:cs="Calibri"/>
          <w:color w:val="000000"/>
          <w:sz w:val="24"/>
          <w:szCs w:val="24"/>
          <w:lang w:eastAsia="en-GB"/>
        </w:rPr>
        <w:t>%in 2015(</w:t>
      </w:r>
      <w:r w:rsidR="00850243">
        <w:rPr>
          <w:rFonts w:ascii="Calibri" w:eastAsia="Times New Roman" w:hAnsi="Calibri" w:cs="Calibri"/>
          <w:b/>
          <w:color w:val="000000"/>
          <w:sz w:val="24"/>
          <w:szCs w:val="24"/>
          <w:lang w:eastAsia="en-GB"/>
        </w:rPr>
        <w:t>e</w:t>
      </w:r>
      <w:r w:rsidR="00173961">
        <w:rPr>
          <w:rFonts w:ascii="Calibri" w:eastAsia="Times New Roman" w:hAnsi="Calibri" w:cs="Calibri"/>
          <w:b/>
          <w:color w:val="000000"/>
          <w:sz w:val="24"/>
          <w:szCs w:val="24"/>
          <w:lang w:eastAsia="en-GB"/>
        </w:rPr>
        <w:t>Table</w:t>
      </w:r>
      <w:r w:rsidR="00BE63F0" w:rsidRPr="00BF60BC">
        <w:rPr>
          <w:rFonts w:ascii="Calibri" w:eastAsia="Times New Roman" w:hAnsi="Calibri" w:cs="Calibri"/>
          <w:b/>
          <w:color w:val="000000"/>
          <w:sz w:val="24"/>
          <w:szCs w:val="24"/>
          <w:lang w:eastAsia="en-GB"/>
        </w:rPr>
        <w:t>4</w:t>
      </w:r>
      <w:r w:rsidRPr="00BF60BC">
        <w:rPr>
          <w:rFonts w:ascii="Calibri" w:eastAsia="Times New Roman" w:hAnsi="Calibri" w:cs="Calibri"/>
          <w:color w:val="000000"/>
          <w:sz w:val="24"/>
          <w:szCs w:val="24"/>
          <w:lang w:eastAsia="en-GB"/>
        </w:rPr>
        <w:t>). At both time</w:t>
      </w:r>
      <w:r w:rsidR="001847D9" w:rsidRPr="00BF60BC">
        <w:rPr>
          <w:rFonts w:ascii="Calibri" w:eastAsia="Times New Roman" w:hAnsi="Calibri" w:cs="Calibri"/>
          <w:color w:val="000000"/>
          <w:sz w:val="24"/>
          <w:szCs w:val="24"/>
          <w:lang w:eastAsia="en-GB"/>
        </w:rPr>
        <w:t>-</w:t>
      </w:r>
      <w:r w:rsidRPr="00BF60BC">
        <w:rPr>
          <w:rFonts w:ascii="Calibri" w:eastAsia="Times New Roman" w:hAnsi="Calibri" w:cs="Calibri"/>
          <w:color w:val="000000"/>
          <w:sz w:val="24"/>
          <w:szCs w:val="24"/>
          <w:lang w:eastAsia="en-GB"/>
        </w:rPr>
        <w:t xml:space="preserve">points more girls than boys reported </w:t>
      </w:r>
      <w:r w:rsidR="008D5B98">
        <w:rPr>
          <w:rFonts w:ascii="Calibri" w:eastAsia="Times New Roman" w:hAnsi="Calibri" w:cs="Calibri"/>
          <w:color w:val="000000"/>
          <w:sz w:val="24"/>
          <w:szCs w:val="24"/>
          <w:lang w:eastAsia="en-GB"/>
        </w:rPr>
        <w:t xml:space="preserve">these </w:t>
      </w:r>
      <w:proofErr w:type="spellStart"/>
      <w:proofErr w:type="gramStart"/>
      <w:r w:rsidR="008D5B98">
        <w:rPr>
          <w:rFonts w:ascii="Calibri" w:eastAsia="Times New Roman" w:hAnsi="Calibri" w:cs="Calibri"/>
          <w:color w:val="000000"/>
          <w:sz w:val="24"/>
          <w:szCs w:val="24"/>
          <w:lang w:eastAsia="en-GB"/>
        </w:rPr>
        <w:t>behaviors</w:t>
      </w:r>
      <w:proofErr w:type="spellEnd"/>
      <w:r w:rsidRPr="00BF60BC">
        <w:rPr>
          <w:rFonts w:ascii="Calibri" w:eastAsia="Times New Roman" w:hAnsi="Calibri" w:cs="Calibri"/>
          <w:color w:val="000000"/>
          <w:sz w:val="24"/>
          <w:szCs w:val="24"/>
          <w:lang w:eastAsia="en-GB"/>
        </w:rPr>
        <w:t>(</w:t>
      </w:r>
      <w:proofErr w:type="gramEnd"/>
      <w:r w:rsidR="00173961">
        <w:rPr>
          <w:rFonts w:ascii="Calibri" w:eastAsia="Times New Roman" w:hAnsi="Calibri" w:cs="Calibri"/>
          <w:b/>
          <w:color w:val="000000"/>
          <w:sz w:val="24"/>
          <w:szCs w:val="24"/>
          <w:lang w:eastAsia="en-GB"/>
        </w:rPr>
        <w:t>Table</w:t>
      </w:r>
      <w:r w:rsidR="00605A60" w:rsidRPr="00BF60BC">
        <w:rPr>
          <w:rFonts w:ascii="Calibri" w:eastAsia="Times New Roman" w:hAnsi="Calibri" w:cs="Calibri"/>
          <w:b/>
          <w:color w:val="000000"/>
          <w:sz w:val="24"/>
          <w:szCs w:val="24"/>
          <w:lang w:eastAsia="en-GB"/>
        </w:rPr>
        <w:t>1</w:t>
      </w:r>
      <w:r w:rsidRPr="00BF60BC">
        <w:rPr>
          <w:rFonts w:ascii="Calibri" w:eastAsia="Times New Roman" w:hAnsi="Calibri" w:cs="Calibri"/>
          <w:color w:val="000000"/>
          <w:sz w:val="24"/>
          <w:szCs w:val="24"/>
          <w:lang w:eastAsia="en-GB"/>
        </w:rPr>
        <w:t xml:space="preserve">). </w:t>
      </w:r>
      <w:r w:rsidR="001847D9" w:rsidRPr="00BF60BC">
        <w:rPr>
          <w:rFonts w:ascii="Calibri" w:eastAsia="Times New Roman" w:hAnsi="Calibri" w:cs="Calibri"/>
          <w:color w:val="000000"/>
          <w:sz w:val="24"/>
          <w:szCs w:val="24"/>
          <w:lang w:eastAsia="en-GB"/>
        </w:rPr>
        <w:t>T</w:t>
      </w:r>
      <w:r w:rsidR="00CE0717" w:rsidRPr="00BF60BC">
        <w:rPr>
          <w:rFonts w:ascii="Calibri" w:eastAsia="Times New Roman" w:hAnsi="Calibri" w:cs="Calibri"/>
          <w:color w:val="000000"/>
          <w:sz w:val="24"/>
          <w:szCs w:val="24"/>
          <w:lang w:eastAsia="en-GB"/>
        </w:rPr>
        <w:t xml:space="preserve">here was an overall </w:t>
      </w:r>
      <w:r w:rsidR="008D5B98">
        <w:rPr>
          <w:rFonts w:ascii="Calibri" w:eastAsia="Times New Roman" w:hAnsi="Calibri" w:cs="Calibri"/>
          <w:color w:val="000000"/>
          <w:sz w:val="24"/>
          <w:szCs w:val="24"/>
          <w:lang w:eastAsia="en-GB"/>
        </w:rPr>
        <w:t>rise</w:t>
      </w:r>
      <w:r w:rsidR="00CE0717" w:rsidRPr="00BF60BC">
        <w:rPr>
          <w:rFonts w:ascii="Calibri" w:eastAsia="Times New Roman" w:hAnsi="Calibri" w:cs="Calibri"/>
          <w:color w:val="000000"/>
          <w:sz w:val="24"/>
          <w:szCs w:val="24"/>
          <w:lang w:eastAsia="en-GB"/>
        </w:rPr>
        <w:t xml:space="preserve"> in dieting in 2015 compared to 1986</w:t>
      </w:r>
      <w:r w:rsidR="008D5B98">
        <w:rPr>
          <w:rFonts w:ascii="Calibri" w:eastAsia="Times New Roman" w:hAnsi="Calibri" w:cs="Calibri"/>
          <w:color w:val="000000"/>
          <w:sz w:val="24"/>
          <w:szCs w:val="24"/>
          <w:lang w:eastAsia="en-GB"/>
        </w:rPr>
        <w:t xml:space="preserve">, which </w:t>
      </w:r>
      <w:r w:rsidR="00AB047B" w:rsidRPr="00BF60BC">
        <w:rPr>
          <w:rFonts w:ascii="Calibri" w:eastAsia="Times New Roman" w:hAnsi="Calibri" w:cs="Calibri"/>
          <w:color w:val="000000"/>
          <w:sz w:val="24"/>
          <w:szCs w:val="24"/>
          <w:lang w:eastAsia="en-GB"/>
        </w:rPr>
        <w:t>differed by sex</w:t>
      </w:r>
      <w:r w:rsidR="008D5B98">
        <w:rPr>
          <w:rFonts w:ascii="Calibri" w:eastAsia="Times New Roman" w:hAnsi="Calibri" w:cs="Calibri"/>
          <w:color w:val="000000"/>
          <w:sz w:val="24"/>
          <w:szCs w:val="24"/>
          <w:lang w:eastAsia="en-GB"/>
        </w:rPr>
        <w:t>;</w:t>
      </w:r>
      <w:r w:rsidR="00CE0717" w:rsidRPr="00BF60BC">
        <w:rPr>
          <w:rFonts w:ascii="Calibri" w:eastAsia="Times New Roman" w:hAnsi="Calibri" w:cs="Calibri"/>
          <w:color w:val="000000"/>
          <w:sz w:val="24"/>
          <w:szCs w:val="24"/>
          <w:lang w:eastAsia="en-GB"/>
        </w:rPr>
        <w:t xml:space="preserve"> boys show</w:t>
      </w:r>
      <w:r w:rsidR="008D5B98">
        <w:rPr>
          <w:rFonts w:ascii="Calibri" w:eastAsia="Times New Roman" w:hAnsi="Calibri" w:cs="Calibri"/>
          <w:color w:val="000000"/>
          <w:sz w:val="24"/>
          <w:szCs w:val="24"/>
          <w:lang w:eastAsia="en-GB"/>
        </w:rPr>
        <w:t>ed</w:t>
      </w:r>
      <w:r w:rsidR="00CE0717" w:rsidRPr="00BF60BC">
        <w:rPr>
          <w:rFonts w:ascii="Calibri" w:eastAsia="Times New Roman" w:hAnsi="Calibri" w:cs="Calibri"/>
          <w:color w:val="000000"/>
          <w:sz w:val="24"/>
          <w:szCs w:val="24"/>
          <w:lang w:eastAsia="en-GB"/>
        </w:rPr>
        <w:t xml:space="preserve"> a larger increase in dieting</w:t>
      </w:r>
      <w:r w:rsidR="002550E9" w:rsidRPr="00BF60BC">
        <w:rPr>
          <w:rFonts w:ascii="Calibri" w:eastAsia="Times New Roman" w:hAnsi="Calibri" w:cs="Calibri"/>
          <w:color w:val="000000"/>
          <w:sz w:val="24"/>
          <w:szCs w:val="24"/>
          <w:lang w:eastAsia="en-GB"/>
        </w:rPr>
        <w:t xml:space="preserve"> </w:t>
      </w:r>
      <w:r w:rsidR="00CE0717" w:rsidRPr="00BF60BC">
        <w:rPr>
          <w:rFonts w:ascii="Calibri" w:eastAsia="Times New Roman" w:hAnsi="Calibri" w:cs="Calibri"/>
          <w:color w:val="000000"/>
          <w:sz w:val="24"/>
          <w:szCs w:val="24"/>
          <w:lang w:eastAsia="en-GB"/>
        </w:rPr>
        <w:t xml:space="preserve">than </w:t>
      </w:r>
      <w:proofErr w:type="gramStart"/>
      <w:r w:rsidR="00CE0717" w:rsidRPr="00BF60BC">
        <w:rPr>
          <w:rFonts w:ascii="Calibri" w:eastAsia="Times New Roman" w:hAnsi="Calibri" w:cs="Calibri"/>
          <w:color w:val="000000"/>
          <w:sz w:val="24"/>
          <w:szCs w:val="24"/>
          <w:lang w:eastAsia="en-GB"/>
        </w:rPr>
        <w:t>girls</w:t>
      </w:r>
      <w:r w:rsidR="00662667" w:rsidRPr="00BF60BC">
        <w:rPr>
          <w:rFonts w:ascii="Calibri" w:eastAsia="Times New Roman" w:hAnsi="Calibri" w:cs="Calibri"/>
          <w:color w:val="000000"/>
          <w:sz w:val="24"/>
          <w:szCs w:val="24"/>
          <w:lang w:eastAsia="en-GB"/>
        </w:rPr>
        <w:t>(</w:t>
      </w:r>
      <w:proofErr w:type="gramEnd"/>
      <w:r w:rsidR="00173961">
        <w:rPr>
          <w:rFonts w:ascii="Calibri" w:eastAsia="Times New Roman" w:hAnsi="Calibri" w:cs="Calibri"/>
          <w:b/>
          <w:color w:val="000000"/>
          <w:sz w:val="24"/>
          <w:szCs w:val="24"/>
          <w:lang w:eastAsia="en-GB"/>
        </w:rPr>
        <w:t>Table</w:t>
      </w:r>
      <w:r w:rsidR="00605A60" w:rsidRPr="00BF60BC">
        <w:rPr>
          <w:rFonts w:ascii="Calibri" w:eastAsia="Times New Roman" w:hAnsi="Calibri" w:cs="Calibri"/>
          <w:b/>
          <w:bCs/>
          <w:color w:val="000000"/>
          <w:sz w:val="24"/>
          <w:szCs w:val="24"/>
          <w:lang w:eastAsia="en-GB"/>
        </w:rPr>
        <w:t>2</w:t>
      </w:r>
      <w:r w:rsidR="00662667" w:rsidRPr="00BF60BC">
        <w:rPr>
          <w:rFonts w:ascii="Calibri" w:eastAsia="Times New Roman" w:hAnsi="Calibri" w:cs="Calibri"/>
          <w:color w:val="000000"/>
          <w:sz w:val="24"/>
          <w:szCs w:val="24"/>
          <w:lang w:eastAsia="en-GB"/>
        </w:rPr>
        <w:t>)</w:t>
      </w:r>
      <w:r w:rsidR="00CE0717" w:rsidRPr="00BF60BC">
        <w:rPr>
          <w:rFonts w:ascii="Calibri" w:eastAsia="Times New Roman" w:hAnsi="Calibri" w:cs="Calibri"/>
          <w:color w:val="000000"/>
          <w:sz w:val="24"/>
          <w:szCs w:val="24"/>
          <w:lang w:eastAsia="en-GB"/>
        </w:rPr>
        <w:t xml:space="preserve">. There was also evidence of a large increase in the prevalence of exercising </w:t>
      </w:r>
      <w:r w:rsidR="006A3E9A" w:rsidRPr="00BF60BC">
        <w:rPr>
          <w:rFonts w:ascii="Calibri" w:eastAsia="Times New Roman" w:hAnsi="Calibri" w:cs="Calibri"/>
          <w:color w:val="000000"/>
          <w:sz w:val="24"/>
          <w:szCs w:val="24"/>
          <w:lang w:eastAsia="en-GB"/>
        </w:rPr>
        <w:t xml:space="preserve">to lose weight </w:t>
      </w:r>
      <w:r w:rsidR="00CE0717" w:rsidRPr="00BF60BC">
        <w:rPr>
          <w:rFonts w:ascii="Calibri" w:eastAsia="Times New Roman" w:hAnsi="Calibri" w:cs="Calibri"/>
          <w:color w:val="000000"/>
          <w:sz w:val="24"/>
          <w:szCs w:val="24"/>
          <w:lang w:eastAsia="en-GB"/>
        </w:rPr>
        <w:t>in 2015 compared to 1986</w:t>
      </w:r>
      <w:r w:rsidR="00AB047B" w:rsidRPr="00BF60BC">
        <w:rPr>
          <w:rFonts w:ascii="Calibri" w:eastAsia="Times New Roman" w:hAnsi="Calibri" w:cs="Calibri"/>
          <w:color w:val="000000"/>
          <w:sz w:val="24"/>
          <w:szCs w:val="24"/>
          <w:lang w:eastAsia="en-GB"/>
        </w:rPr>
        <w:t xml:space="preserve"> which</w:t>
      </w:r>
      <w:r w:rsidR="00CE0717" w:rsidRPr="00BF60BC">
        <w:rPr>
          <w:rFonts w:ascii="Calibri" w:eastAsia="Times New Roman" w:hAnsi="Calibri" w:cs="Calibri"/>
          <w:color w:val="000000"/>
          <w:sz w:val="24"/>
          <w:szCs w:val="24"/>
          <w:lang w:eastAsia="en-GB"/>
        </w:rPr>
        <w:t xml:space="preserve"> did not vary by sex.</w:t>
      </w:r>
    </w:p>
    <w:p w14:paraId="69C8B91E" w14:textId="77777777" w:rsidR="00131A80" w:rsidRPr="00BF60BC" w:rsidRDefault="00131A80" w:rsidP="00655F22">
      <w:pPr>
        <w:spacing w:after="0" w:line="360" w:lineRule="auto"/>
        <w:jc w:val="both"/>
        <w:rPr>
          <w:rFonts w:ascii="Calibri" w:eastAsia="Times New Roman" w:hAnsi="Calibri" w:cs="Calibri"/>
          <w:color w:val="000000"/>
          <w:sz w:val="24"/>
          <w:szCs w:val="24"/>
          <w:lang w:eastAsia="en-GB"/>
        </w:rPr>
      </w:pPr>
    </w:p>
    <w:p w14:paraId="0CAE1B6F" w14:textId="017B019C" w:rsidR="003E1B81" w:rsidRPr="00BF60BC" w:rsidRDefault="00CE0717" w:rsidP="00655F22">
      <w:pPr>
        <w:spacing w:after="0" w:line="360" w:lineRule="auto"/>
        <w:jc w:val="both"/>
        <w:rPr>
          <w:rFonts w:ascii="Calibri" w:eastAsia="Times New Roman" w:hAnsi="Calibri" w:cs="Calibri"/>
          <w:i/>
          <w:color w:val="000000"/>
          <w:sz w:val="24"/>
          <w:szCs w:val="24"/>
          <w:lang w:eastAsia="en-GB"/>
        </w:rPr>
      </w:pPr>
      <w:r w:rsidRPr="00BF60BC">
        <w:rPr>
          <w:rFonts w:ascii="Calibri" w:eastAsia="Times New Roman" w:hAnsi="Calibri" w:cs="Calibri"/>
          <w:i/>
          <w:color w:val="000000"/>
          <w:sz w:val="24"/>
          <w:szCs w:val="24"/>
          <w:lang w:eastAsia="en-GB"/>
        </w:rPr>
        <w:t>Weight-loss &amp; weight-gain attempts</w:t>
      </w:r>
    </w:p>
    <w:p w14:paraId="50BFE6C4" w14:textId="64672EFB" w:rsidR="003636C1" w:rsidRPr="00BF60BC" w:rsidRDefault="00A33D42" w:rsidP="00655F22">
      <w:pPr>
        <w:spacing w:after="0" w:line="360" w:lineRule="auto"/>
        <w:jc w:val="both"/>
        <w:rPr>
          <w:rFonts w:eastAsia="Times New Roman" w:cstheme="minorHAnsi"/>
          <w:sz w:val="24"/>
          <w:szCs w:val="24"/>
        </w:rPr>
      </w:pPr>
      <w:r>
        <w:rPr>
          <w:rFonts w:eastAsia="Times New Roman" w:cstheme="minorHAnsi"/>
          <w:sz w:val="24"/>
          <w:szCs w:val="24"/>
        </w:rPr>
        <w:t>In 2015,</w:t>
      </w:r>
      <w:r w:rsidR="00DC4363" w:rsidRPr="00BF60BC">
        <w:rPr>
          <w:rFonts w:eastAsia="Times New Roman" w:cstheme="minorHAnsi"/>
          <w:sz w:val="24"/>
          <w:szCs w:val="24"/>
        </w:rPr>
        <w:t xml:space="preserve"> a greater proportion of adolescents said that they were trying to </w:t>
      </w:r>
      <w:proofErr w:type="gramStart"/>
      <w:r w:rsidR="00DC4363" w:rsidRPr="00BF60BC">
        <w:rPr>
          <w:rFonts w:eastAsia="Times New Roman" w:cstheme="minorHAnsi"/>
          <w:sz w:val="24"/>
          <w:szCs w:val="24"/>
        </w:rPr>
        <w:t>lose(</w:t>
      </w:r>
      <w:proofErr w:type="gramEnd"/>
      <w:r w:rsidR="00DC4363" w:rsidRPr="00BF60BC">
        <w:rPr>
          <w:rFonts w:eastAsia="Times New Roman" w:cstheme="minorHAnsi"/>
          <w:sz w:val="24"/>
          <w:szCs w:val="24"/>
        </w:rPr>
        <w:t>42.</w:t>
      </w:r>
      <w:r w:rsidR="00CD59B1" w:rsidRPr="00BF60BC">
        <w:rPr>
          <w:rFonts w:eastAsia="Times New Roman" w:cstheme="minorHAnsi"/>
          <w:sz w:val="24"/>
          <w:szCs w:val="24"/>
        </w:rPr>
        <w:t>2</w:t>
      </w:r>
      <w:r w:rsidR="00DC4363" w:rsidRPr="00BF60BC">
        <w:rPr>
          <w:rFonts w:eastAsia="Times New Roman" w:cstheme="minorHAnsi"/>
          <w:sz w:val="24"/>
          <w:szCs w:val="24"/>
        </w:rPr>
        <w:t>%) or gain(8.</w:t>
      </w:r>
      <w:r w:rsidR="00CD59B1" w:rsidRPr="00BF60BC">
        <w:rPr>
          <w:rFonts w:eastAsia="Times New Roman" w:cstheme="minorHAnsi"/>
          <w:sz w:val="24"/>
          <w:szCs w:val="24"/>
        </w:rPr>
        <w:t>5</w:t>
      </w:r>
      <w:r w:rsidR="00DC4363" w:rsidRPr="00BF60BC">
        <w:rPr>
          <w:rFonts w:eastAsia="Times New Roman" w:cstheme="minorHAnsi"/>
          <w:sz w:val="24"/>
          <w:szCs w:val="24"/>
        </w:rPr>
        <w:t>%) weight</w:t>
      </w:r>
      <w:r w:rsidR="00060E77" w:rsidRPr="00BF60BC">
        <w:rPr>
          <w:rFonts w:eastAsia="Times New Roman" w:cstheme="minorHAnsi"/>
          <w:sz w:val="24"/>
          <w:szCs w:val="24"/>
        </w:rPr>
        <w:t xml:space="preserve"> </w:t>
      </w:r>
      <w:r w:rsidR="00DC4363" w:rsidRPr="00BF60BC">
        <w:rPr>
          <w:rFonts w:eastAsia="Times New Roman" w:cstheme="minorHAnsi"/>
          <w:sz w:val="24"/>
          <w:szCs w:val="24"/>
        </w:rPr>
        <w:t xml:space="preserve">compared to </w:t>
      </w:r>
      <w:r w:rsidR="00CD59B1" w:rsidRPr="00BF60BC">
        <w:rPr>
          <w:rFonts w:eastAsia="Times New Roman" w:cstheme="minorHAnsi"/>
          <w:sz w:val="24"/>
          <w:szCs w:val="24"/>
        </w:rPr>
        <w:t>2005</w:t>
      </w:r>
      <w:r w:rsidR="00DC4363" w:rsidRPr="00BF60BC">
        <w:rPr>
          <w:rFonts w:eastAsia="Times New Roman" w:cstheme="minorHAnsi"/>
          <w:sz w:val="24"/>
          <w:szCs w:val="24"/>
        </w:rPr>
        <w:t>(</w:t>
      </w:r>
      <w:r w:rsidR="00CD59B1" w:rsidRPr="00BF60BC">
        <w:rPr>
          <w:rFonts w:eastAsia="Times New Roman" w:cstheme="minorHAnsi"/>
          <w:sz w:val="24"/>
          <w:szCs w:val="24"/>
        </w:rPr>
        <w:t>28.6</w:t>
      </w:r>
      <w:r w:rsidR="00DC4363" w:rsidRPr="00BF60BC">
        <w:rPr>
          <w:rFonts w:eastAsia="Times New Roman" w:cstheme="minorHAnsi"/>
          <w:sz w:val="24"/>
          <w:szCs w:val="24"/>
        </w:rPr>
        <w:t>% and 5.</w:t>
      </w:r>
      <w:r w:rsidR="00CD59B1" w:rsidRPr="00BF60BC">
        <w:rPr>
          <w:rFonts w:eastAsia="Times New Roman" w:cstheme="minorHAnsi"/>
          <w:sz w:val="24"/>
          <w:szCs w:val="24"/>
        </w:rPr>
        <w:t>2</w:t>
      </w:r>
      <w:r w:rsidR="00DC4363" w:rsidRPr="00BF60BC">
        <w:rPr>
          <w:rFonts w:eastAsia="Times New Roman" w:cstheme="minorHAnsi"/>
          <w:sz w:val="24"/>
          <w:szCs w:val="24"/>
        </w:rPr>
        <w:t>%, respectively</w:t>
      </w:r>
      <w:r w:rsidR="005358F7" w:rsidRPr="00BF60BC">
        <w:rPr>
          <w:rFonts w:eastAsia="Times New Roman" w:cstheme="minorHAnsi"/>
          <w:sz w:val="24"/>
          <w:szCs w:val="24"/>
        </w:rPr>
        <w:t xml:space="preserve">. </w:t>
      </w:r>
      <w:r w:rsidR="00850243">
        <w:rPr>
          <w:rFonts w:eastAsia="Times New Roman" w:cstheme="minorHAnsi"/>
          <w:b/>
          <w:sz w:val="24"/>
          <w:szCs w:val="24"/>
        </w:rPr>
        <w:t>e</w:t>
      </w:r>
      <w:r w:rsidR="00173961">
        <w:rPr>
          <w:rFonts w:eastAsia="Times New Roman" w:cstheme="minorHAnsi"/>
          <w:b/>
          <w:sz w:val="24"/>
          <w:szCs w:val="24"/>
        </w:rPr>
        <w:t>Table</w:t>
      </w:r>
      <w:r w:rsidR="005358F7" w:rsidRPr="00BF60BC">
        <w:rPr>
          <w:rFonts w:eastAsia="Times New Roman" w:cstheme="minorHAnsi"/>
          <w:b/>
          <w:sz w:val="24"/>
          <w:szCs w:val="24"/>
        </w:rPr>
        <w:t>4</w:t>
      </w:r>
      <w:r w:rsidR="00DC4363" w:rsidRPr="00BF60BC">
        <w:rPr>
          <w:rFonts w:eastAsia="Times New Roman" w:cstheme="minorHAnsi"/>
          <w:sz w:val="24"/>
          <w:szCs w:val="24"/>
        </w:rPr>
        <w:t xml:space="preserve">). At both time points more girls said they were trying to lose weight compared to boys, </w:t>
      </w:r>
      <w:r w:rsidR="00ED45F4" w:rsidRPr="00BF60BC">
        <w:rPr>
          <w:rFonts w:eastAsia="Times New Roman" w:cstheme="minorHAnsi"/>
          <w:sz w:val="24"/>
          <w:szCs w:val="24"/>
        </w:rPr>
        <w:t>while</w:t>
      </w:r>
      <w:r w:rsidR="00DC4363" w:rsidRPr="00BF60BC">
        <w:rPr>
          <w:rFonts w:eastAsia="Times New Roman" w:cstheme="minorHAnsi"/>
          <w:sz w:val="24"/>
          <w:szCs w:val="24"/>
        </w:rPr>
        <w:t xml:space="preserve"> more boys</w:t>
      </w:r>
      <w:r w:rsidR="00306D78" w:rsidRPr="00BF60BC">
        <w:rPr>
          <w:rFonts w:eastAsia="Times New Roman" w:cstheme="minorHAnsi"/>
          <w:sz w:val="24"/>
          <w:szCs w:val="24"/>
        </w:rPr>
        <w:t xml:space="preserve"> </w:t>
      </w:r>
      <w:r w:rsidR="00DC4363" w:rsidRPr="00BF60BC">
        <w:rPr>
          <w:rFonts w:eastAsia="Times New Roman" w:cstheme="minorHAnsi"/>
          <w:sz w:val="24"/>
          <w:szCs w:val="24"/>
        </w:rPr>
        <w:t>than girls</w:t>
      </w:r>
      <w:r w:rsidR="00306D78" w:rsidRPr="00BF60BC">
        <w:rPr>
          <w:rFonts w:eastAsia="Times New Roman" w:cstheme="minorHAnsi"/>
          <w:sz w:val="24"/>
          <w:szCs w:val="24"/>
        </w:rPr>
        <w:t xml:space="preserve"> </w:t>
      </w:r>
      <w:r w:rsidR="00DC4363" w:rsidRPr="00BF60BC">
        <w:rPr>
          <w:rFonts w:eastAsia="Times New Roman" w:cstheme="minorHAnsi"/>
          <w:sz w:val="24"/>
          <w:szCs w:val="24"/>
        </w:rPr>
        <w:t xml:space="preserve">said that they were trying to gain </w:t>
      </w:r>
      <w:proofErr w:type="gramStart"/>
      <w:r w:rsidR="00DC4363" w:rsidRPr="00BF60BC">
        <w:rPr>
          <w:rFonts w:eastAsia="Times New Roman" w:cstheme="minorHAnsi"/>
          <w:sz w:val="24"/>
          <w:szCs w:val="24"/>
        </w:rPr>
        <w:t>weight</w:t>
      </w:r>
      <w:r w:rsidR="00060E77" w:rsidRPr="00BF60BC">
        <w:rPr>
          <w:rFonts w:eastAsia="Times New Roman" w:cstheme="minorHAnsi"/>
          <w:sz w:val="24"/>
          <w:szCs w:val="24"/>
        </w:rPr>
        <w:t>(</w:t>
      </w:r>
      <w:proofErr w:type="gramEnd"/>
      <w:r w:rsidR="00173961">
        <w:rPr>
          <w:rFonts w:ascii="Calibri" w:eastAsia="Times New Roman" w:hAnsi="Calibri" w:cs="Calibri"/>
          <w:b/>
          <w:color w:val="000000"/>
          <w:sz w:val="24"/>
          <w:szCs w:val="24"/>
          <w:lang w:eastAsia="en-GB"/>
        </w:rPr>
        <w:t>Table</w:t>
      </w:r>
      <w:r w:rsidR="00060E77" w:rsidRPr="00BF60BC">
        <w:rPr>
          <w:rFonts w:ascii="Calibri" w:eastAsia="Times New Roman" w:hAnsi="Calibri" w:cs="Calibri"/>
          <w:b/>
          <w:color w:val="000000"/>
          <w:sz w:val="24"/>
          <w:szCs w:val="24"/>
          <w:lang w:eastAsia="en-GB"/>
        </w:rPr>
        <w:t xml:space="preserve"> </w:t>
      </w:r>
      <w:r w:rsidR="00605A60" w:rsidRPr="00BF60BC">
        <w:rPr>
          <w:rFonts w:ascii="Calibri" w:eastAsia="Times New Roman" w:hAnsi="Calibri" w:cs="Calibri"/>
          <w:b/>
          <w:color w:val="000000"/>
          <w:sz w:val="24"/>
          <w:szCs w:val="24"/>
          <w:lang w:eastAsia="en-GB"/>
        </w:rPr>
        <w:t>1</w:t>
      </w:r>
      <w:r w:rsidR="00060E77" w:rsidRPr="00BF60BC">
        <w:rPr>
          <w:rFonts w:ascii="Calibri" w:eastAsia="Times New Roman" w:hAnsi="Calibri" w:cs="Calibri"/>
          <w:bCs/>
          <w:color w:val="000000"/>
          <w:sz w:val="24"/>
          <w:szCs w:val="24"/>
          <w:lang w:eastAsia="en-GB"/>
        </w:rPr>
        <w:t>)</w:t>
      </w:r>
      <w:r w:rsidR="00DC4363" w:rsidRPr="00BF60BC">
        <w:rPr>
          <w:rFonts w:eastAsia="Times New Roman" w:cstheme="minorHAnsi"/>
          <w:sz w:val="24"/>
          <w:szCs w:val="24"/>
        </w:rPr>
        <w:t xml:space="preserve">.  </w:t>
      </w:r>
      <w:r>
        <w:rPr>
          <w:rFonts w:eastAsia="Times New Roman" w:cstheme="minorHAnsi"/>
          <w:sz w:val="24"/>
          <w:szCs w:val="24"/>
        </w:rPr>
        <w:t xml:space="preserve">In regression </w:t>
      </w:r>
      <w:r w:rsidR="00DC113C">
        <w:rPr>
          <w:rFonts w:eastAsia="Times New Roman" w:cstheme="minorHAnsi"/>
          <w:sz w:val="24"/>
          <w:szCs w:val="24"/>
        </w:rPr>
        <w:t>analyses</w:t>
      </w:r>
      <w:r>
        <w:rPr>
          <w:rFonts w:eastAsia="Times New Roman" w:cstheme="minorHAnsi"/>
          <w:sz w:val="24"/>
          <w:szCs w:val="24"/>
        </w:rPr>
        <w:t xml:space="preserve"> accounting for confounders, c</w:t>
      </w:r>
      <w:r w:rsidR="00B25055" w:rsidRPr="00BF60BC">
        <w:rPr>
          <w:rFonts w:eastAsia="Times New Roman" w:cstheme="minorHAnsi"/>
          <w:sz w:val="24"/>
          <w:szCs w:val="24"/>
        </w:rPr>
        <w:t xml:space="preserve">ompared to 2005, </w:t>
      </w:r>
      <w:r w:rsidR="003636C1" w:rsidRPr="00BF60BC">
        <w:rPr>
          <w:rFonts w:eastAsia="Times New Roman" w:cstheme="minorHAnsi"/>
          <w:sz w:val="24"/>
          <w:szCs w:val="24"/>
        </w:rPr>
        <w:t>in 2015</w:t>
      </w:r>
      <w:r w:rsidR="00BB6EE1" w:rsidRPr="00BF60BC">
        <w:rPr>
          <w:rFonts w:eastAsia="Times New Roman" w:cstheme="minorHAnsi"/>
          <w:sz w:val="24"/>
          <w:szCs w:val="24"/>
        </w:rPr>
        <w:t xml:space="preserve"> </w:t>
      </w:r>
      <w:r w:rsidR="003636C1" w:rsidRPr="00BF60BC">
        <w:rPr>
          <w:rFonts w:eastAsia="Times New Roman" w:cstheme="minorHAnsi"/>
          <w:sz w:val="24"/>
          <w:szCs w:val="24"/>
        </w:rPr>
        <w:t xml:space="preserve">adolescents </w:t>
      </w:r>
      <w:r w:rsidR="00C664F6" w:rsidRPr="00BF60BC">
        <w:rPr>
          <w:rFonts w:eastAsia="Times New Roman" w:cstheme="minorHAnsi"/>
          <w:sz w:val="24"/>
          <w:szCs w:val="24"/>
        </w:rPr>
        <w:t>were more likely to say that</w:t>
      </w:r>
      <w:r w:rsidR="003636C1" w:rsidRPr="00BF60BC">
        <w:rPr>
          <w:rFonts w:eastAsia="Times New Roman" w:cstheme="minorHAnsi"/>
          <w:sz w:val="24"/>
          <w:szCs w:val="24"/>
        </w:rPr>
        <w:t xml:space="preserve"> they </w:t>
      </w:r>
      <w:r w:rsidR="002559FA" w:rsidRPr="00BF60BC">
        <w:rPr>
          <w:rFonts w:eastAsia="Times New Roman" w:cstheme="minorHAnsi"/>
          <w:sz w:val="24"/>
          <w:szCs w:val="24"/>
        </w:rPr>
        <w:t>were trying</w:t>
      </w:r>
      <w:r w:rsidR="003636C1" w:rsidRPr="00BF60BC">
        <w:rPr>
          <w:rFonts w:eastAsia="Times New Roman" w:cstheme="minorHAnsi"/>
          <w:sz w:val="24"/>
          <w:szCs w:val="24"/>
        </w:rPr>
        <w:t xml:space="preserve"> to lose</w:t>
      </w:r>
      <w:r w:rsidR="002559FA" w:rsidRPr="00BF60BC">
        <w:rPr>
          <w:rFonts w:eastAsia="Times New Roman" w:cstheme="minorHAnsi"/>
          <w:sz w:val="24"/>
          <w:szCs w:val="24"/>
        </w:rPr>
        <w:t xml:space="preserve"> weight, to gain weight</w:t>
      </w:r>
      <w:r w:rsidR="003636C1" w:rsidRPr="00BF60BC">
        <w:rPr>
          <w:rFonts w:eastAsia="Times New Roman" w:cstheme="minorHAnsi"/>
          <w:sz w:val="24"/>
          <w:szCs w:val="24"/>
        </w:rPr>
        <w:t xml:space="preserve">, or </w:t>
      </w:r>
      <w:r w:rsidR="00B25055" w:rsidRPr="00BF60BC">
        <w:rPr>
          <w:rFonts w:eastAsia="Times New Roman" w:cstheme="minorHAnsi"/>
          <w:sz w:val="24"/>
          <w:szCs w:val="24"/>
        </w:rPr>
        <w:t xml:space="preserve">to </w:t>
      </w:r>
      <w:r w:rsidR="002559FA" w:rsidRPr="00BF60BC">
        <w:rPr>
          <w:rFonts w:eastAsia="Times New Roman" w:cstheme="minorHAnsi"/>
          <w:sz w:val="24"/>
          <w:szCs w:val="24"/>
        </w:rPr>
        <w:t>stay the same weight</w:t>
      </w:r>
      <w:r w:rsidR="00F97ECF" w:rsidRPr="00BF60BC">
        <w:rPr>
          <w:rFonts w:eastAsia="Times New Roman" w:cstheme="minorHAnsi"/>
          <w:sz w:val="24"/>
          <w:szCs w:val="24"/>
        </w:rPr>
        <w:t xml:space="preserve"> </w:t>
      </w:r>
      <w:r w:rsidR="003636C1" w:rsidRPr="00BF60BC">
        <w:rPr>
          <w:rFonts w:eastAsia="Times New Roman" w:cstheme="minorHAnsi"/>
          <w:sz w:val="24"/>
          <w:szCs w:val="24"/>
        </w:rPr>
        <w:t>than to say that they were doing nothing about their wei</w:t>
      </w:r>
      <w:r w:rsidR="00B25055" w:rsidRPr="00BF60BC">
        <w:rPr>
          <w:rFonts w:eastAsia="Times New Roman" w:cstheme="minorHAnsi"/>
          <w:sz w:val="24"/>
          <w:szCs w:val="24"/>
        </w:rPr>
        <w:t xml:space="preserve">ght. </w:t>
      </w:r>
      <w:r>
        <w:rPr>
          <w:rFonts w:eastAsia="Times New Roman" w:cstheme="minorHAnsi"/>
          <w:sz w:val="24"/>
          <w:szCs w:val="24"/>
        </w:rPr>
        <w:t>These</w:t>
      </w:r>
      <w:r w:rsidR="003636C1" w:rsidRPr="00BF60BC">
        <w:rPr>
          <w:rFonts w:eastAsia="Times New Roman" w:cstheme="minorHAnsi"/>
          <w:sz w:val="24"/>
          <w:szCs w:val="24"/>
        </w:rPr>
        <w:t xml:space="preserve"> difference</w:t>
      </w:r>
      <w:r w:rsidR="00B25055" w:rsidRPr="00BF60BC">
        <w:rPr>
          <w:rFonts w:eastAsia="Times New Roman" w:cstheme="minorHAnsi"/>
          <w:sz w:val="24"/>
          <w:szCs w:val="24"/>
        </w:rPr>
        <w:t>s were</w:t>
      </w:r>
      <w:r w:rsidR="003636C1" w:rsidRPr="00BF60BC">
        <w:rPr>
          <w:rFonts w:eastAsia="Times New Roman" w:cstheme="minorHAnsi"/>
          <w:sz w:val="24"/>
          <w:szCs w:val="24"/>
        </w:rPr>
        <w:t xml:space="preserve"> greater for boys than girls across all three </w:t>
      </w:r>
      <w:proofErr w:type="gramStart"/>
      <w:r w:rsidR="003636C1" w:rsidRPr="00BF60BC">
        <w:rPr>
          <w:rFonts w:eastAsia="Times New Roman" w:cstheme="minorHAnsi"/>
          <w:sz w:val="24"/>
          <w:szCs w:val="24"/>
        </w:rPr>
        <w:t>outcome</w:t>
      </w:r>
      <w:r w:rsidR="00B25055" w:rsidRPr="00BF60BC">
        <w:rPr>
          <w:rFonts w:eastAsia="Times New Roman" w:cstheme="minorHAnsi"/>
          <w:sz w:val="24"/>
          <w:szCs w:val="24"/>
        </w:rPr>
        <w:t>s(</w:t>
      </w:r>
      <w:proofErr w:type="gramEnd"/>
      <w:r w:rsidR="00173961">
        <w:rPr>
          <w:rFonts w:eastAsia="Times New Roman" w:cstheme="minorHAnsi"/>
          <w:b/>
          <w:sz w:val="24"/>
          <w:szCs w:val="24"/>
        </w:rPr>
        <w:t>Table</w:t>
      </w:r>
      <w:r w:rsidR="003636C1" w:rsidRPr="00BF60BC">
        <w:rPr>
          <w:rFonts w:eastAsia="Times New Roman" w:cstheme="minorHAnsi"/>
          <w:b/>
          <w:sz w:val="24"/>
          <w:szCs w:val="24"/>
        </w:rPr>
        <w:t xml:space="preserve"> </w:t>
      </w:r>
      <w:r w:rsidR="00605A60" w:rsidRPr="00BF60BC">
        <w:rPr>
          <w:rFonts w:eastAsia="Times New Roman" w:cstheme="minorHAnsi"/>
          <w:b/>
          <w:sz w:val="24"/>
          <w:szCs w:val="24"/>
        </w:rPr>
        <w:t>2</w:t>
      </w:r>
      <w:r w:rsidR="003636C1" w:rsidRPr="00BF60BC">
        <w:rPr>
          <w:rFonts w:eastAsia="Times New Roman" w:cstheme="minorHAnsi"/>
          <w:sz w:val="24"/>
          <w:szCs w:val="24"/>
        </w:rPr>
        <w:t xml:space="preserve">). </w:t>
      </w:r>
      <w:r w:rsidR="00D84C65" w:rsidRPr="00BF60BC">
        <w:rPr>
          <w:rFonts w:eastAsia="Times New Roman" w:cstheme="minorHAnsi"/>
          <w:sz w:val="24"/>
          <w:szCs w:val="24"/>
        </w:rPr>
        <w:t>When we additionally adjusted for BMI, results did not change substantially(</w:t>
      </w:r>
      <w:r w:rsidR="00850243">
        <w:rPr>
          <w:rFonts w:eastAsia="Times New Roman" w:cstheme="minorHAnsi"/>
          <w:b/>
          <w:sz w:val="24"/>
          <w:szCs w:val="24"/>
        </w:rPr>
        <w:t>e</w:t>
      </w:r>
      <w:r w:rsidR="00173961">
        <w:rPr>
          <w:rFonts w:eastAsia="Times New Roman" w:cstheme="minorHAnsi"/>
          <w:b/>
          <w:sz w:val="24"/>
          <w:szCs w:val="24"/>
        </w:rPr>
        <w:t>Table</w:t>
      </w:r>
      <w:r w:rsidR="00D81403" w:rsidRPr="00BF60BC">
        <w:rPr>
          <w:rFonts w:eastAsia="Times New Roman" w:cstheme="minorHAnsi"/>
          <w:b/>
          <w:sz w:val="24"/>
          <w:szCs w:val="24"/>
        </w:rPr>
        <w:t>5</w:t>
      </w:r>
      <w:r w:rsidR="00D84C65" w:rsidRPr="00BF60BC">
        <w:rPr>
          <w:rFonts w:eastAsia="Times New Roman" w:cstheme="minorHAnsi"/>
          <w:sz w:val="24"/>
          <w:szCs w:val="24"/>
        </w:rPr>
        <w:t>).</w:t>
      </w:r>
    </w:p>
    <w:p w14:paraId="6D546BA5" w14:textId="5EFFD180" w:rsidR="00B25055" w:rsidRPr="00BF60BC" w:rsidRDefault="00B25055" w:rsidP="00655F22">
      <w:pPr>
        <w:spacing w:after="0" w:line="360" w:lineRule="auto"/>
        <w:jc w:val="both"/>
        <w:rPr>
          <w:rFonts w:eastAsia="Times New Roman" w:cstheme="minorHAnsi"/>
          <w:sz w:val="24"/>
          <w:szCs w:val="24"/>
        </w:rPr>
      </w:pPr>
    </w:p>
    <w:p w14:paraId="26CF3D6D" w14:textId="3619CF71" w:rsidR="00B25055" w:rsidRPr="00BF60BC" w:rsidRDefault="00B25055" w:rsidP="00655F22">
      <w:pPr>
        <w:spacing w:after="0" w:line="360" w:lineRule="auto"/>
        <w:jc w:val="both"/>
        <w:rPr>
          <w:rFonts w:eastAsia="Times New Roman" w:cstheme="minorHAnsi"/>
          <w:i/>
          <w:sz w:val="24"/>
          <w:szCs w:val="24"/>
        </w:rPr>
      </w:pPr>
      <w:r w:rsidRPr="00BF60BC">
        <w:rPr>
          <w:rFonts w:eastAsia="Times New Roman" w:cstheme="minorHAnsi"/>
          <w:i/>
          <w:sz w:val="24"/>
          <w:szCs w:val="24"/>
        </w:rPr>
        <w:t>Weight perception</w:t>
      </w:r>
    </w:p>
    <w:p w14:paraId="49622A3A" w14:textId="443E8270" w:rsidR="00945F48" w:rsidRPr="00BF60BC" w:rsidRDefault="005358F7" w:rsidP="00655F22">
      <w:pPr>
        <w:spacing w:after="0" w:line="360" w:lineRule="auto"/>
        <w:jc w:val="both"/>
        <w:rPr>
          <w:rFonts w:eastAsia="Times New Roman" w:cstheme="minorHAnsi"/>
          <w:sz w:val="24"/>
          <w:szCs w:val="24"/>
        </w:rPr>
      </w:pPr>
      <w:r w:rsidRPr="00BF60BC">
        <w:rPr>
          <w:rFonts w:eastAsia="Times New Roman" w:cstheme="minorHAnsi"/>
          <w:sz w:val="24"/>
          <w:szCs w:val="24"/>
        </w:rPr>
        <w:t>I</w:t>
      </w:r>
      <w:r w:rsidR="00BC33A2" w:rsidRPr="00BF60BC">
        <w:rPr>
          <w:rFonts w:eastAsia="Times New Roman" w:cstheme="minorHAnsi"/>
          <w:sz w:val="24"/>
          <w:szCs w:val="24"/>
        </w:rPr>
        <w:t>n 2005(</w:t>
      </w:r>
      <w:r w:rsidR="00F02D87" w:rsidRPr="00BF60BC">
        <w:rPr>
          <w:rFonts w:eastAsia="Times New Roman" w:cstheme="minorHAnsi"/>
          <w:sz w:val="24"/>
          <w:szCs w:val="24"/>
        </w:rPr>
        <w:t>27.</w:t>
      </w:r>
      <w:r w:rsidR="00592EE3" w:rsidRPr="00BF60BC">
        <w:rPr>
          <w:rFonts w:eastAsia="Times New Roman" w:cstheme="minorHAnsi"/>
          <w:sz w:val="24"/>
          <w:szCs w:val="24"/>
        </w:rPr>
        <w:t>0</w:t>
      </w:r>
      <w:r w:rsidR="00F02D87" w:rsidRPr="00BF60BC">
        <w:rPr>
          <w:rFonts w:eastAsia="Times New Roman" w:cstheme="minorHAnsi"/>
          <w:sz w:val="24"/>
          <w:szCs w:val="24"/>
        </w:rPr>
        <w:t>%) and 2015(33.</w:t>
      </w:r>
      <w:r w:rsidR="00592EE3" w:rsidRPr="00BF60BC">
        <w:rPr>
          <w:rFonts w:eastAsia="Times New Roman" w:cstheme="minorHAnsi"/>
          <w:sz w:val="24"/>
          <w:szCs w:val="24"/>
        </w:rPr>
        <w:t>4</w:t>
      </w:r>
      <w:r w:rsidR="00F02D87" w:rsidRPr="00BF60BC">
        <w:rPr>
          <w:rFonts w:eastAsia="Times New Roman" w:cstheme="minorHAnsi"/>
          <w:sz w:val="24"/>
          <w:szCs w:val="24"/>
        </w:rPr>
        <w:t>%) more adolescents said that they thought they were overweight</w:t>
      </w:r>
      <w:r w:rsidRPr="00BF60BC">
        <w:rPr>
          <w:rFonts w:eastAsia="Times New Roman" w:cstheme="minorHAnsi"/>
          <w:sz w:val="24"/>
          <w:szCs w:val="24"/>
        </w:rPr>
        <w:t xml:space="preserve"> than in 1986(22.2%</w:t>
      </w:r>
      <w:r w:rsidR="00173961">
        <w:rPr>
          <w:rFonts w:eastAsia="Times New Roman" w:cstheme="minorHAnsi"/>
          <w:sz w:val="24"/>
          <w:szCs w:val="24"/>
        </w:rPr>
        <w:t xml:space="preserve">, </w:t>
      </w:r>
      <w:r w:rsidR="00850243">
        <w:rPr>
          <w:rFonts w:eastAsia="Times New Roman" w:cstheme="minorHAnsi"/>
          <w:b/>
          <w:sz w:val="24"/>
          <w:szCs w:val="24"/>
        </w:rPr>
        <w:t>e</w:t>
      </w:r>
      <w:r w:rsidR="00173961">
        <w:rPr>
          <w:rFonts w:eastAsia="Times New Roman" w:cstheme="minorHAnsi"/>
          <w:b/>
          <w:sz w:val="24"/>
          <w:szCs w:val="24"/>
        </w:rPr>
        <w:t>Table</w:t>
      </w:r>
      <w:r w:rsidR="00605A60" w:rsidRPr="00BF60BC">
        <w:rPr>
          <w:rFonts w:eastAsia="Times New Roman" w:cstheme="minorHAnsi"/>
          <w:b/>
          <w:sz w:val="24"/>
          <w:szCs w:val="24"/>
        </w:rPr>
        <w:t>4</w:t>
      </w:r>
      <w:r w:rsidR="00F02D87" w:rsidRPr="00BF60BC">
        <w:rPr>
          <w:rFonts w:eastAsia="Times New Roman" w:cstheme="minorHAnsi"/>
          <w:sz w:val="24"/>
          <w:szCs w:val="24"/>
        </w:rPr>
        <w:t>). Compared to 1986</w:t>
      </w:r>
      <w:r w:rsidR="00592EE3" w:rsidRPr="00BF60BC">
        <w:rPr>
          <w:rFonts w:eastAsia="Times New Roman" w:cstheme="minorHAnsi"/>
          <w:sz w:val="24"/>
          <w:szCs w:val="24"/>
        </w:rPr>
        <w:t xml:space="preserve"> and 2005</w:t>
      </w:r>
      <w:r w:rsidR="00F02D87" w:rsidRPr="00BF60BC">
        <w:rPr>
          <w:rFonts w:eastAsia="Times New Roman" w:cstheme="minorHAnsi"/>
          <w:sz w:val="24"/>
          <w:szCs w:val="24"/>
        </w:rPr>
        <w:t>, in 2015 more girls with underweight BMI thought their weight was ‘about right’, whereas more boys – both in 2005 and 2015 – in the normal BMI range thought they were overweight compared to 1986</w:t>
      </w:r>
      <w:r w:rsidRPr="00BF60BC">
        <w:rPr>
          <w:rFonts w:eastAsia="Times New Roman" w:cstheme="minorHAnsi"/>
          <w:sz w:val="24"/>
          <w:szCs w:val="24"/>
        </w:rPr>
        <w:t>(</w:t>
      </w:r>
      <w:r w:rsidR="00850243">
        <w:rPr>
          <w:rFonts w:eastAsia="Times New Roman" w:cstheme="minorHAnsi"/>
          <w:b/>
          <w:sz w:val="24"/>
          <w:szCs w:val="24"/>
        </w:rPr>
        <w:t>e</w:t>
      </w:r>
      <w:r w:rsidR="00173961">
        <w:rPr>
          <w:rFonts w:eastAsia="Times New Roman" w:cstheme="minorHAnsi"/>
          <w:b/>
          <w:sz w:val="24"/>
          <w:szCs w:val="24"/>
        </w:rPr>
        <w:t>Table</w:t>
      </w:r>
      <w:r w:rsidRPr="00BF60BC">
        <w:rPr>
          <w:rFonts w:eastAsia="Times New Roman" w:cstheme="minorHAnsi"/>
          <w:b/>
          <w:sz w:val="24"/>
          <w:szCs w:val="24"/>
        </w:rPr>
        <w:t>6</w:t>
      </w:r>
      <w:r w:rsidRPr="00BF60BC">
        <w:rPr>
          <w:rFonts w:eastAsia="Times New Roman" w:cstheme="minorHAnsi"/>
          <w:sz w:val="24"/>
          <w:szCs w:val="24"/>
        </w:rPr>
        <w:t>)</w:t>
      </w:r>
      <w:r w:rsidR="00F02D87" w:rsidRPr="00BF60BC">
        <w:rPr>
          <w:rFonts w:eastAsia="Times New Roman" w:cstheme="minorHAnsi"/>
          <w:sz w:val="24"/>
          <w:szCs w:val="24"/>
        </w:rPr>
        <w:t>. Similarly, the proportion of boys</w:t>
      </w:r>
      <w:r w:rsidR="00BB6EE1" w:rsidRPr="00BF60BC">
        <w:rPr>
          <w:rFonts w:eastAsia="Times New Roman" w:cstheme="minorHAnsi"/>
          <w:sz w:val="24"/>
          <w:szCs w:val="24"/>
        </w:rPr>
        <w:t>, but not girls,</w:t>
      </w:r>
      <w:r w:rsidR="00F02D87" w:rsidRPr="00BF60BC">
        <w:rPr>
          <w:rFonts w:eastAsia="Times New Roman" w:cstheme="minorHAnsi"/>
          <w:sz w:val="24"/>
          <w:szCs w:val="24"/>
        </w:rPr>
        <w:t xml:space="preserve"> </w:t>
      </w:r>
      <w:r w:rsidR="006C2C9E" w:rsidRPr="00BF60BC">
        <w:rPr>
          <w:rFonts w:eastAsia="Times New Roman" w:cstheme="minorHAnsi"/>
          <w:sz w:val="24"/>
          <w:szCs w:val="24"/>
        </w:rPr>
        <w:t>with</w:t>
      </w:r>
      <w:r w:rsidR="00F02D87" w:rsidRPr="00BF60BC">
        <w:rPr>
          <w:rFonts w:eastAsia="Times New Roman" w:cstheme="minorHAnsi"/>
          <w:sz w:val="24"/>
          <w:szCs w:val="24"/>
        </w:rPr>
        <w:t xml:space="preserve"> overweight</w:t>
      </w:r>
      <w:r w:rsidR="00592EE3" w:rsidRPr="00BF60BC">
        <w:rPr>
          <w:rFonts w:eastAsia="Times New Roman" w:cstheme="minorHAnsi"/>
          <w:sz w:val="24"/>
          <w:szCs w:val="24"/>
        </w:rPr>
        <w:t xml:space="preserve"> BMI</w:t>
      </w:r>
      <w:r w:rsidR="00F02D87" w:rsidRPr="00BF60BC">
        <w:rPr>
          <w:rFonts w:eastAsia="Times New Roman" w:cstheme="minorHAnsi"/>
          <w:sz w:val="24"/>
          <w:szCs w:val="24"/>
        </w:rPr>
        <w:t xml:space="preserve"> who thought they were overweight increased in 2005, compared to 1986, and remained s</w:t>
      </w:r>
      <w:r w:rsidR="00762F1D">
        <w:rPr>
          <w:rFonts w:eastAsia="Times New Roman" w:cstheme="minorHAnsi"/>
          <w:sz w:val="24"/>
          <w:szCs w:val="24"/>
        </w:rPr>
        <w:t>t</w:t>
      </w:r>
      <w:r w:rsidR="00173961">
        <w:rPr>
          <w:rFonts w:eastAsia="Times New Roman" w:cstheme="minorHAnsi"/>
          <w:sz w:val="24"/>
          <w:szCs w:val="24"/>
        </w:rPr>
        <w:t>able</w:t>
      </w:r>
      <w:r w:rsidR="00F02D87" w:rsidRPr="00BF60BC">
        <w:rPr>
          <w:rFonts w:eastAsia="Times New Roman" w:cstheme="minorHAnsi"/>
          <w:sz w:val="24"/>
          <w:szCs w:val="24"/>
        </w:rPr>
        <w:t xml:space="preserve"> in </w:t>
      </w:r>
      <w:r w:rsidR="00F02D87" w:rsidRPr="00BF60BC">
        <w:rPr>
          <w:rFonts w:eastAsia="Times New Roman" w:cstheme="minorHAnsi"/>
          <w:sz w:val="24"/>
          <w:szCs w:val="24"/>
        </w:rPr>
        <w:lastRenderedPageBreak/>
        <w:t xml:space="preserve">2015. </w:t>
      </w:r>
      <w:r w:rsidR="00D00BEA" w:rsidRPr="00BF60BC">
        <w:rPr>
          <w:rFonts w:eastAsia="Times New Roman" w:cstheme="minorHAnsi"/>
          <w:sz w:val="24"/>
          <w:szCs w:val="24"/>
        </w:rPr>
        <w:t>A</w:t>
      </w:r>
      <w:r w:rsidR="00945F48" w:rsidRPr="00BF60BC">
        <w:rPr>
          <w:rFonts w:eastAsia="Times New Roman" w:cstheme="minorHAnsi"/>
          <w:sz w:val="24"/>
          <w:szCs w:val="24"/>
        </w:rPr>
        <w:t xml:space="preserve">fter adjusting for </w:t>
      </w:r>
      <w:r w:rsidR="005304C3" w:rsidRPr="00BF60BC">
        <w:rPr>
          <w:rFonts w:eastAsia="Times New Roman" w:cstheme="minorHAnsi"/>
          <w:sz w:val="24"/>
          <w:szCs w:val="24"/>
        </w:rPr>
        <w:t>BMI</w:t>
      </w:r>
      <w:r w:rsidR="00BB6EE1" w:rsidRPr="00BF60BC">
        <w:rPr>
          <w:rFonts w:eastAsia="Times New Roman" w:cstheme="minorHAnsi"/>
          <w:sz w:val="24"/>
          <w:szCs w:val="24"/>
        </w:rPr>
        <w:t xml:space="preserve"> and other confounders</w:t>
      </w:r>
      <w:r w:rsidR="005304C3" w:rsidRPr="00BF60BC">
        <w:rPr>
          <w:rFonts w:eastAsia="Times New Roman" w:cstheme="minorHAnsi"/>
          <w:sz w:val="24"/>
          <w:szCs w:val="24"/>
        </w:rPr>
        <w:t xml:space="preserve">, compared to 1986 adolescents were more likely to think they were overweight and less likely to think they were </w:t>
      </w:r>
      <w:proofErr w:type="gramStart"/>
      <w:r w:rsidR="005304C3" w:rsidRPr="00BF60BC">
        <w:rPr>
          <w:rFonts w:eastAsia="Times New Roman" w:cstheme="minorHAnsi"/>
          <w:sz w:val="24"/>
          <w:szCs w:val="24"/>
        </w:rPr>
        <w:t>underweight</w:t>
      </w:r>
      <w:proofErr w:type="gramEnd"/>
      <w:r w:rsidR="009203E7" w:rsidRPr="00BF60BC">
        <w:rPr>
          <w:rFonts w:eastAsia="Times New Roman" w:cstheme="minorHAnsi"/>
          <w:sz w:val="24"/>
          <w:szCs w:val="24"/>
        </w:rPr>
        <w:t xml:space="preserve"> in 2015</w:t>
      </w:r>
      <w:r w:rsidR="00592EE3" w:rsidRPr="00BF60BC">
        <w:rPr>
          <w:rFonts w:eastAsia="Times New Roman" w:cstheme="minorHAnsi"/>
          <w:sz w:val="24"/>
          <w:szCs w:val="24"/>
        </w:rPr>
        <w:t>(</w:t>
      </w:r>
      <w:r w:rsidR="00173961">
        <w:rPr>
          <w:rFonts w:eastAsia="Times New Roman" w:cstheme="minorHAnsi"/>
          <w:b/>
          <w:sz w:val="24"/>
          <w:szCs w:val="24"/>
        </w:rPr>
        <w:t>Table</w:t>
      </w:r>
      <w:r w:rsidR="00605A60" w:rsidRPr="00BF60BC">
        <w:rPr>
          <w:rFonts w:eastAsia="Times New Roman" w:cstheme="minorHAnsi"/>
          <w:b/>
          <w:sz w:val="24"/>
          <w:szCs w:val="24"/>
        </w:rPr>
        <w:t>2</w:t>
      </w:r>
      <w:r w:rsidR="002E3A60" w:rsidRPr="00BF60BC">
        <w:rPr>
          <w:rFonts w:eastAsia="Times New Roman" w:cstheme="minorHAnsi"/>
          <w:sz w:val="24"/>
          <w:szCs w:val="24"/>
        </w:rPr>
        <w:t>)</w:t>
      </w:r>
      <w:r w:rsidR="005304C3" w:rsidRPr="00BF60BC">
        <w:rPr>
          <w:rFonts w:eastAsia="Times New Roman" w:cstheme="minorHAnsi"/>
          <w:sz w:val="24"/>
          <w:szCs w:val="24"/>
        </w:rPr>
        <w:t xml:space="preserve">. </w:t>
      </w:r>
      <w:r w:rsidR="00057F18" w:rsidRPr="00BF60BC">
        <w:rPr>
          <w:rFonts w:eastAsia="Times New Roman" w:cstheme="minorHAnsi"/>
          <w:sz w:val="24"/>
          <w:szCs w:val="24"/>
        </w:rPr>
        <w:t>A</w:t>
      </w:r>
      <w:r w:rsidR="005304C3" w:rsidRPr="00BF60BC">
        <w:rPr>
          <w:rFonts w:eastAsia="Times New Roman" w:cstheme="minorHAnsi"/>
          <w:sz w:val="24"/>
          <w:szCs w:val="24"/>
        </w:rPr>
        <w:t xml:space="preserve">t any level of BMI boys, but not girls, were more likely to think they were </w:t>
      </w:r>
      <w:proofErr w:type="gramStart"/>
      <w:r w:rsidR="005304C3" w:rsidRPr="00BF60BC">
        <w:rPr>
          <w:rFonts w:eastAsia="Times New Roman" w:cstheme="minorHAnsi"/>
          <w:sz w:val="24"/>
          <w:szCs w:val="24"/>
        </w:rPr>
        <w:t>overweight(</w:t>
      </w:r>
      <w:proofErr w:type="gramEnd"/>
      <w:r w:rsidR="005304C3" w:rsidRPr="00BF60BC">
        <w:rPr>
          <w:rFonts w:eastAsia="Times New Roman" w:cstheme="minorHAnsi"/>
          <w:sz w:val="24"/>
          <w:szCs w:val="24"/>
        </w:rPr>
        <w:t xml:space="preserve">vs the right weight) in 2005 and 2015 compared to 1986. They were also more likely to think they were </w:t>
      </w:r>
      <w:proofErr w:type="gramStart"/>
      <w:r w:rsidR="005304C3" w:rsidRPr="00BF60BC">
        <w:rPr>
          <w:rFonts w:eastAsia="Times New Roman" w:cstheme="minorHAnsi"/>
          <w:sz w:val="24"/>
          <w:szCs w:val="24"/>
        </w:rPr>
        <w:t>underweight(</w:t>
      </w:r>
      <w:proofErr w:type="gramEnd"/>
      <w:r w:rsidR="005304C3" w:rsidRPr="00BF60BC">
        <w:rPr>
          <w:rFonts w:eastAsia="Times New Roman" w:cstheme="minorHAnsi"/>
          <w:sz w:val="24"/>
          <w:szCs w:val="24"/>
        </w:rPr>
        <w:t>vs the right weight) in 2005 compared to 1986, but no longer in 2015. By contrast, girls in 2015 became less likely to think they were underweight compared to 1986</w:t>
      </w:r>
      <w:r w:rsidR="009C2346" w:rsidRPr="00BF60BC">
        <w:rPr>
          <w:rFonts w:eastAsia="Times New Roman" w:cstheme="minorHAnsi"/>
          <w:sz w:val="24"/>
          <w:szCs w:val="24"/>
        </w:rPr>
        <w:t xml:space="preserve"> and 2005</w:t>
      </w:r>
      <w:r w:rsidR="005304C3" w:rsidRPr="00BF60BC">
        <w:rPr>
          <w:rFonts w:eastAsia="Times New Roman" w:cstheme="minorHAnsi"/>
          <w:sz w:val="24"/>
          <w:szCs w:val="24"/>
        </w:rPr>
        <w:t>, meaning that even at low BMI values they</w:t>
      </w:r>
      <w:r w:rsidRPr="00BF60BC">
        <w:rPr>
          <w:rFonts w:eastAsia="Times New Roman" w:cstheme="minorHAnsi"/>
          <w:sz w:val="24"/>
          <w:szCs w:val="24"/>
        </w:rPr>
        <w:t xml:space="preserve"> thought they</w:t>
      </w:r>
      <w:r w:rsidR="005304C3" w:rsidRPr="00BF60BC">
        <w:rPr>
          <w:rFonts w:eastAsia="Times New Roman" w:cstheme="minorHAnsi"/>
          <w:sz w:val="24"/>
          <w:szCs w:val="24"/>
        </w:rPr>
        <w:t xml:space="preserve"> were ‘about the right weight’.</w:t>
      </w:r>
    </w:p>
    <w:p w14:paraId="3C280D32" w14:textId="77777777" w:rsidR="000F6F7A" w:rsidRPr="00BF60BC" w:rsidRDefault="000F6F7A" w:rsidP="00655F22">
      <w:pPr>
        <w:spacing w:after="0" w:line="360" w:lineRule="auto"/>
        <w:jc w:val="both"/>
        <w:rPr>
          <w:rFonts w:eastAsia="Times New Roman" w:cstheme="minorHAnsi"/>
          <w:sz w:val="24"/>
          <w:szCs w:val="24"/>
        </w:rPr>
      </w:pPr>
    </w:p>
    <w:p w14:paraId="45E940A6" w14:textId="15F5FB83" w:rsidR="00410A3C" w:rsidRPr="00BF60BC" w:rsidRDefault="00551A6B" w:rsidP="00655F22">
      <w:pPr>
        <w:spacing w:after="0" w:line="360" w:lineRule="auto"/>
        <w:jc w:val="both"/>
        <w:rPr>
          <w:rFonts w:eastAsia="Times New Roman" w:cstheme="minorHAnsi"/>
          <w:i/>
          <w:iCs/>
          <w:sz w:val="24"/>
          <w:szCs w:val="24"/>
        </w:rPr>
      </w:pPr>
      <w:r w:rsidRPr="00BF60BC">
        <w:rPr>
          <w:rFonts w:eastAsia="Times New Roman" w:cstheme="minorHAnsi"/>
          <w:i/>
          <w:iCs/>
          <w:sz w:val="24"/>
          <w:szCs w:val="24"/>
        </w:rPr>
        <w:t>A</w:t>
      </w:r>
      <w:r w:rsidR="00D73913" w:rsidRPr="00BF60BC">
        <w:rPr>
          <w:rFonts w:eastAsia="Times New Roman" w:cstheme="minorHAnsi"/>
          <w:i/>
          <w:iCs/>
          <w:sz w:val="24"/>
          <w:szCs w:val="24"/>
        </w:rPr>
        <w:t>ssociation</w:t>
      </w:r>
      <w:r w:rsidRPr="00BF60BC">
        <w:rPr>
          <w:rFonts w:eastAsia="Times New Roman" w:cstheme="minorHAnsi"/>
          <w:i/>
          <w:iCs/>
          <w:sz w:val="24"/>
          <w:szCs w:val="24"/>
        </w:rPr>
        <w:t>s</w:t>
      </w:r>
      <w:r w:rsidR="00D73913" w:rsidRPr="00BF60BC">
        <w:rPr>
          <w:rFonts w:eastAsia="Times New Roman" w:cstheme="minorHAnsi"/>
          <w:i/>
          <w:iCs/>
          <w:sz w:val="24"/>
          <w:szCs w:val="24"/>
        </w:rPr>
        <w:t xml:space="preserve"> of w</w:t>
      </w:r>
      <w:r w:rsidR="005304C3" w:rsidRPr="00BF60BC">
        <w:rPr>
          <w:rFonts w:eastAsia="Times New Roman" w:cstheme="minorHAnsi"/>
          <w:i/>
          <w:iCs/>
          <w:sz w:val="24"/>
          <w:szCs w:val="24"/>
        </w:rPr>
        <w:t xml:space="preserve">eight-change </w:t>
      </w:r>
      <w:proofErr w:type="spellStart"/>
      <w:r w:rsidR="00DA210E" w:rsidRPr="00BF60BC">
        <w:rPr>
          <w:rFonts w:eastAsia="Times New Roman" w:cstheme="minorHAnsi"/>
          <w:i/>
          <w:iCs/>
          <w:sz w:val="24"/>
          <w:szCs w:val="24"/>
        </w:rPr>
        <w:t>behaviors</w:t>
      </w:r>
      <w:proofErr w:type="spellEnd"/>
      <w:r w:rsidR="005304C3" w:rsidRPr="00BF60BC">
        <w:rPr>
          <w:rFonts w:eastAsia="Times New Roman" w:cstheme="minorHAnsi"/>
          <w:i/>
          <w:iCs/>
          <w:sz w:val="24"/>
          <w:szCs w:val="24"/>
        </w:rPr>
        <w:t xml:space="preserve"> and weight perception</w:t>
      </w:r>
      <w:r w:rsidR="00D73913" w:rsidRPr="00BF60BC">
        <w:rPr>
          <w:rFonts w:eastAsia="Times New Roman" w:cstheme="minorHAnsi"/>
          <w:i/>
          <w:iCs/>
          <w:sz w:val="24"/>
          <w:szCs w:val="24"/>
        </w:rPr>
        <w:t xml:space="preserve"> with</w:t>
      </w:r>
      <w:r w:rsidR="00410A3C" w:rsidRPr="00BF60BC">
        <w:rPr>
          <w:rFonts w:eastAsia="Times New Roman" w:cstheme="minorHAnsi"/>
          <w:i/>
          <w:iCs/>
          <w:sz w:val="24"/>
          <w:szCs w:val="24"/>
        </w:rPr>
        <w:t xml:space="preserve"> depressive symptoms</w:t>
      </w:r>
    </w:p>
    <w:p w14:paraId="62CA807A" w14:textId="04683F96" w:rsidR="00410A3C" w:rsidRPr="00BF60BC" w:rsidRDefault="00057F18" w:rsidP="00655F22">
      <w:pPr>
        <w:spacing w:after="0" w:line="360" w:lineRule="auto"/>
        <w:jc w:val="both"/>
        <w:rPr>
          <w:rFonts w:eastAsia="Times New Roman" w:cstheme="minorHAnsi"/>
          <w:sz w:val="24"/>
          <w:szCs w:val="24"/>
        </w:rPr>
      </w:pPr>
      <w:r w:rsidRPr="00BF60BC">
        <w:rPr>
          <w:rFonts w:eastAsia="Times New Roman" w:cstheme="minorHAnsi"/>
          <w:sz w:val="24"/>
          <w:szCs w:val="24"/>
        </w:rPr>
        <w:t>A</w:t>
      </w:r>
      <w:r w:rsidR="00410A3C" w:rsidRPr="00BF60BC">
        <w:rPr>
          <w:rFonts w:eastAsia="Times New Roman" w:cstheme="minorHAnsi"/>
          <w:sz w:val="24"/>
          <w:szCs w:val="24"/>
        </w:rPr>
        <w:t xml:space="preserve">dolescents who dieted </w:t>
      </w:r>
      <w:r w:rsidR="005358F7" w:rsidRPr="00BF60BC">
        <w:rPr>
          <w:rFonts w:eastAsia="Times New Roman" w:cstheme="minorHAnsi"/>
          <w:sz w:val="24"/>
          <w:szCs w:val="24"/>
        </w:rPr>
        <w:t xml:space="preserve">or </w:t>
      </w:r>
      <w:r w:rsidR="00410A3C" w:rsidRPr="00BF60BC">
        <w:rPr>
          <w:rFonts w:eastAsia="Times New Roman" w:cstheme="minorHAnsi"/>
          <w:sz w:val="24"/>
          <w:szCs w:val="24"/>
        </w:rPr>
        <w:t>exercised for weight loss</w:t>
      </w:r>
      <w:r w:rsidR="005358F7" w:rsidRPr="00BF60BC">
        <w:rPr>
          <w:rFonts w:eastAsia="Times New Roman" w:cstheme="minorHAnsi"/>
          <w:sz w:val="24"/>
          <w:szCs w:val="24"/>
        </w:rPr>
        <w:t xml:space="preserve"> and </w:t>
      </w:r>
      <w:r w:rsidR="00A00D09" w:rsidRPr="00BF60BC">
        <w:rPr>
          <w:rFonts w:eastAsia="Times New Roman" w:cstheme="minorHAnsi"/>
          <w:sz w:val="24"/>
          <w:szCs w:val="24"/>
        </w:rPr>
        <w:t xml:space="preserve">those who </w:t>
      </w:r>
      <w:r w:rsidR="005358F7" w:rsidRPr="00BF60BC">
        <w:rPr>
          <w:rFonts w:eastAsia="Times New Roman" w:cstheme="minorHAnsi"/>
          <w:sz w:val="24"/>
          <w:szCs w:val="24"/>
        </w:rPr>
        <w:t xml:space="preserve">were trying to lose weight had greater depressive </w:t>
      </w:r>
      <w:proofErr w:type="gramStart"/>
      <w:r w:rsidR="005358F7" w:rsidRPr="00BF60BC">
        <w:rPr>
          <w:rFonts w:eastAsia="Times New Roman" w:cstheme="minorHAnsi"/>
          <w:sz w:val="24"/>
          <w:szCs w:val="24"/>
        </w:rPr>
        <w:t>symptoms</w:t>
      </w:r>
      <w:r w:rsidRPr="00BF60BC">
        <w:rPr>
          <w:rFonts w:eastAsia="Times New Roman" w:cstheme="minorHAnsi"/>
          <w:sz w:val="24"/>
          <w:szCs w:val="24"/>
        </w:rPr>
        <w:t>(</w:t>
      </w:r>
      <w:proofErr w:type="gramEnd"/>
      <w:r w:rsidR="00173961">
        <w:rPr>
          <w:rFonts w:eastAsia="Times New Roman" w:cstheme="minorHAnsi"/>
          <w:b/>
          <w:sz w:val="24"/>
          <w:szCs w:val="24"/>
        </w:rPr>
        <w:t>Table</w:t>
      </w:r>
      <w:r w:rsidR="00605A60" w:rsidRPr="00BF60BC">
        <w:rPr>
          <w:rFonts w:eastAsia="Times New Roman" w:cstheme="minorHAnsi"/>
          <w:b/>
          <w:sz w:val="24"/>
          <w:szCs w:val="24"/>
        </w:rPr>
        <w:t>3</w:t>
      </w:r>
      <w:r w:rsidRPr="00BF60BC">
        <w:rPr>
          <w:rFonts w:eastAsia="Times New Roman" w:cstheme="minorHAnsi"/>
          <w:sz w:val="24"/>
          <w:szCs w:val="24"/>
        </w:rPr>
        <w:t>)</w:t>
      </w:r>
      <w:r w:rsidR="00410A3C" w:rsidRPr="00BF60BC">
        <w:rPr>
          <w:rFonts w:eastAsia="Times New Roman" w:cstheme="minorHAnsi"/>
          <w:sz w:val="24"/>
          <w:szCs w:val="24"/>
        </w:rPr>
        <w:t>. T</w:t>
      </w:r>
      <w:r w:rsidR="00910661" w:rsidRPr="00BF60BC">
        <w:rPr>
          <w:rFonts w:eastAsia="Times New Roman" w:cstheme="minorHAnsi"/>
          <w:sz w:val="24"/>
          <w:szCs w:val="24"/>
        </w:rPr>
        <w:t>he</w:t>
      </w:r>
      <w:r w:rsidR="00410A3C" w:rsidRPr="00BF60BC">
        <w:rPr>
          <w:rFonts w:eastAsia="Times New Roman" w:cstheme="minorHAnsi"/>
          <w:sz w:val="24"/>
          <w:szCs w:val="24"/>
        </w:rPr>
        <w:t xml:space="preserve"> magnitude of th</w:t>
      </w:r>
      <w:r w:rsidR="005358F7" w:rsidRPr="00BF60BC">
        <w:rPr>
          <w:rFonts w:eastAsia="Times New Roman" w:cstheme="minorHAnsi"/>
          <w:sz w:val="24"/>
          <w:szCs w:val="24"/>
        </w:rPr>
        <w:t>ese</w:t>
      </w:r>
      <w:r w:rsidR="00410A3C" w:rsidRPr="00BF60BC">
        <w:rPr>
          <w:rFonts w:eastAsia="Times New Roman" w:cstheme="minorHAnsi"/>
          <w:sz w:val="24"/>
          <w:szCs w:val="24"/>
        </w:rPr>
        <w:t xml:space="preserve"> association</w:t>
      </w:r>
      <w:r w:rsidR="005358F7" w:rsidRPr="00BF60BC">
        <w:rPr>
          <w:rFonts w:eastAsia="Times New Roman" w:cstheme="minorHAnsi"/>
          <w:sz w:val="24"/>
          <w:szCs w:val="24"/>
        </w:rPr>
        <w:t>s</w:t>
      </w:r>
      <w:r w:rsidR="00410A3C" w:rsidRPr="00BF60BC">
        <w:rPr>
          <w:rFonts w:eastAsia="Times New Roman" w:cstheme="minorHAnsi"/>
          <w:sz w:val="24"/>
          <w:szCs w:val="24"/>
        </w:rPr>
        <w:t xml:space="preserve"> differed by sex, with girls engaging in these </w:t>
      </w:r>
      <w:proofErr w:type="spellStart"/>
      <w:r w:rsidR="00DA210E" w:rsidRPr="00BF60BC">
        <w:rPr>
          <w:rFonts w:eastAsia="Times New Roman" w:cstheme="minorHAnsi"/>
          <w:sz w:val="24"/>
          <w:szCs w:val="24"/>
        </w:rPr>
        <w:t>behaviors</w:t>
      </w:r>
      <w:proofErr w:type="spellEnd"/>
      <w:r w:rsidR="00365C9A" w:rsidRPr="00BF60BC">
        <w:rPr>
          <w:rFonts w:eastAsia="Times New Roman" w:cstheme="minorHAnsi"/>
          <w:sz w:val="24"/>
          <w:szCs w:val="24"/>
        </w:rPr>
        <w:t xml:space="preserve"> </w:t>
      </w:r>
      <w:r w:rsidR="00410A3C" w:rsidRPr="00BF60BC">
        <w:rPr>
          <w:rFonts w:eastAsia="Times New Roman" w:cstheme="minorHAnsi"/>
          <w:sz w:val="24"/>
          <w:szCs w:val="24"/>
        </w:rPr>
        <w:t>reporting greater levels of depression</w:t>
      </w:r>
      <w:r w:rsidR="00910661" w:rsidRPr="00BF60BC">
        <w:rPr>
          <w:rFonts w:eastAsia="Times New Roman" w:cstheme="minorHAnsi"/>
          <w:sz w:val="24"/>
          <w:szCs w:val="24"/>
        </w:rPr>
        <w:t xml:space="preserve"> than boys</w:t>
      </w:r>
      <w:r w:rsidR="00410A3C" w:rsidRPr="00BF60BC">
        <w:rPr>
          <w:rFonts w:eastAsia="Times New Roman" w:cstheme="minorHAnsi"/>
          <w:sz w:val="24"/>
          <w:szCs w:val="24"/>
        </w:rPr>
        <w:t>. There was also evid</w:t>
      </w:r>
      <w:r w:rsidR="00166ABE" w:rsidRPr="00BF60BC">
        <w:rPr>
          <w:rFonts w:eastAsia="Times New Roman" w:cstheme="minorHAnsi"/>
          <w:sz w:val="24"/>
          <w:szCs w:val="24"/>
        </w:rPr>
        <w:t>ence that girls who had dieted</w:t>
      </w:r>
      <w:r w:rsidR="00D84C65" w:rsidRPr="00BF60BC">
        <w:rPr>
          <w:rFonts w:eastAsia="Times New Roman" w:cstheme="minorHAnsi"/>
          <w:sz w:val="24"/>
          <w:szCs w:val="24"/>
        </w:rPr>
        <w:t xml:space="preserve"> </w:t>
      </w:r>
      <w:r w:rsidR="00410A3C" w:rsidRPr="00BF60BC">
        <w:rPr>
          <w:rFonts w:eastAsia="Times New Roman" w:cstheme="minorHAnsi"/>
          <w:sz w:val="24"/>
          <w:szCs w:val="24"/>
        </w:rPr>
        <w:t xml:space="preserve">or exercised for weight loss in 2015 had greater depressive symptoms than those who </w:t>
      </w:r>
      <w:r w:rsidR="00A0639C" w:rsidRPr="00BF60BC">
        <w:rPr>
          <w:rFonts w:eastAsia="Times New Roman" w:cstheme="minorHAnsi"/>
          <w:sz w:val="24"/>
          <w:szCs w:val="24"/>
        </w:rPr>
        <w:t xml:space="preserve">engaged in these </w:t>
      </w:r>
      <w:proofErr w:type="spellStart"/>
      <w:r w:rsidR="00DA210E" w:rsidRPr="00BF60BC">
        <w:rPr>
          <w:rFonts w:eastAsia="Times New Roman" w:cstheme="minorHAnsi"/>
          <w:sz w:val="24"/>
          <w:szCs w:val="24"/>
        </w:rPr>
        <w:t>behaviors</w:t>
      </w:r>
      <w:proofErr w:type="spellEnd"/>
      <w:r w:rsidR="00410A3C" w:rsidRPr="00BF60BC">
        <w:rPr>
          <w:rFonts w:eastAsia="Times New Roman" w:cstheme="minorHAnsi"/>
          <w:sz w:val="24"/>
          <w:szCs w:val="24"/>
        </w:rPr>
        <w:t xml:space="preserve"> in 1986, </w:t>
      </w:r>
      <w:r w:rsidR="005358F7" w:rsidRPr="00BF60BC">
        <w:rPr>
          <w:rFonts w:eastAsia="Times New Roman" w:cstheme="minorHAnsi"/>
          <w:sz w:val="24"/>
          <w:szCs w:val="24"/>
        </w:rPr>
        <w:t xml:space="preserve">with weaker evidence </w:t>
      </w:r>
      <w:r w:rsidR="006C2C9E" w:rsidRPr="00BF60BC">
        <w:rPr>
          <w:rFonts w:eastAsia="Times New Roman" w:cstheme="minorHAnsi"/>
          <w:sz w:val="24"/>
          <w:szCs w:val="24"/>
        </w:rPr>
        <w:t xml:space="preserve">of difference </w:t>
      </w:r>
      <w:r w:rsidR="005358F7" w:rsidRPr="00BF60BC">
        <w:rPr>
          <w:rFonts w:eastAsia="Times New Roman" w:cstheme="minorHAnsi"/>
          <w:sz w:val="24"/>
          <w:szCs w:val="24"/>
        </w:rPr>
        <w:t>observed for those who were currently trying to lose weight in 2015 compared to 2005. There</w:t>
      </w:r>
      <w:r w:rsidR="00410A3C" w:rsidRPr="00BF60BC">
        <w:rPr>
          <w:rFonts w:eastAsia="Times New Roman" w:cstheme="minorHAnsi"/>
          <w:sz w:val="24"/>
          <w:szCs w:val="24"/>
        </w:rPr>
        <w:t xml:space="preserve"> was no evidence </w:t>
      </w:r>
      <w:r w:rsidR="002443B9" w:rsidRPr="00BF60BC">
        <w:rPr>
          <w:rFonts w:eastAsia="Times New Roman" w:cstheme="minorHAnsi"/>
          <w:sz w:val="24"/>
          <w:szCs w:val="24"/>
        </w:rPr>
        <w:t xml:space="preserve">of </w:t>
      </w:r>
      <w:r w:rsidR="00410A3C" w:rsidRPr="00BF60BC">
        <w:rPr>
          <w:rFonts w:eastAsia="Times New Roman" w:cstheme="minorHAnsi"/>
          <w:sz w:val="24"/>
          <w:szCs w:val="24"/>
        </w:rPr>
        <w:t>such difference</w:t>
      </w:r>
      <w:r w:rsidR="00E75EC3" w:rsidRPr="00BF60BC">
        <w:rPr>
          <w:rFonts w:eastAsia="Times New Roman" w:cstheme="minorHAnsi"/>
          <w:sz w:val="24"/>
          <w:szCs w:val="24"/>
        </w:rPr>
        <w:t>s</w:t>
      </w:r>
      <w:r w:rsidR="002443B9" w:rsidRPr="00BF60BC">
        <w:rPr>
          <w:rFonts w:eastAsia="Times New Roman" w:cstheme="minorHAnsi"/>
          <w:sz w:val="24"/>
          <w:szCs w:val="24"/>
        </w:rPr>
        <w:t xml:space="preserve"> </w:t>
      </w:r>
      <w:r w:rsidR="00410A3C" w:rsidRPr="00BF60BC">
        <w:rPr>
          <w:rFonts w:eastAsia="Times New Roman" w:cstheme="minorHAnsi"/>
          <w:sz w:val="24"/>
          <w:szCs w:val="24"/>
        </w:rPr>
        <w:t xml:space="preserve">in </w:t>
      </w:r>
      <w:proofErr w:type="gramStart"/>
      <w:r w:rsidR="00410A3C" w:rsidRPr="00BF60BC">
        <w:rPr>
          <w:rFonts w:eastAsia="Times New Roman" w:cstheme="minorHAnsi"/>
          <w:sz w:val="24"/>
          <w:szCs w:val="24"/>
        </w:rPr>
        <w:t>boys</w:t>
      </w:r>
      <w:r w:rsidR="00E75EC3" w:rsidRPr="00BF60BC">
        <w:rPr>
          <w:rFonts w:eastAsia="Times New Roman" w:cstheme="minorHAnsi"/>
          <w:sz w:val="24"/>
          <w:szCs w:val="24"/>
        </w:rPr>
        <w:t>(</w:t>
      </w:r>
      <w:proofErr w:type="gramEnd"/>
      <w:r w:rsidR="00E622C4" w:rsidRPr="00BF60BC">
        <w:rPr>
          <w:rFonts w:eastAsia="Times New Roman" w:cstheme="minorHAnsi"/>
          <w:b/>
          <w:sz w:val="24"/>
          <w:szCs w:val="24"/>
        </w:rPr>
        <w:t>Figure</w:t>
      </w:r>
      <w:r w:rsidR="00605A60" w:rsidRPr="00BF60BC">
        <w:rPr>
          <w:rFonts w:eastAsia="Times New Roman" w:cstheme="minorHAnsi"/>
          <w:b/>
          <w:sz w:val="24"/>
          <w:szCs w:val="24"/>
        </w:rPr>
        <w:t>1</w:t>
      </w:r>
      <w:r w:rsidR="00E622C4" w:rsidRPr="00BF60BC">
        <w:rPr>
          <w:rFonts w:eastAsia="Times New Roman" w:cstheme="minorHAnsi"/>
          <w:sz w:val="24"/>
          <w:szCs w:val="24"/>
        </w:rPr>
        <w:t xml:space="preserve">, </w:t>
      </w:r>
      <w:r w:rsidR="00850243">
        <w:rPr>
          <w:rFonts w:eastAsia="Times New Roman" w:cstheme="minorHAnsi"/>
          <w:b/>
          <w:sz w:val="24"/>
          <w:szCs w:val="24"/>
        </w:rPr>
        <w:t>e</w:t>
      </w:r>
      <w:r w:rsidR="00173961">
        <w:rPr>
          <w:rFonts w:eastAsia="Times New Roman" w:cstheme="minorHAnsi"/>
          <w:b/>
          <w:sz w:val="24"/>
          <w:szCs w:val="24"/>
        </w:rPr>
        <w:t>Table</w:t>
      </w:r>
      <w:r w:rsidR="00D81403" w:rsidRPr="00BF60BC">
        <w:rPr>
          <w:rFonts w:eastAsia="Times New Roman" w:cstheme="minorHAnsi"/>
          <w:b/>
          <w:sz w:val="24"/>
          <w:szCs w:val="24"/>
        </w:rPr>
        <w:t>7</w:t>
      </w:r>
      <w:r w:rsidR="00E75EC3" w:rsidRPr="00BF60BC">
        <w:rPr>
          <w:rFonts w:eastAsia="Times New Roman" w:cstheme="minorHAnsi"/>
          <w:sz w:val="24"/>
          <w:szCs w:val="24"/>
        </w:rPr>
        <w:t>).</w:t>
      </w:r>
    </w:p>
    <w:p w14:paraId="271D82DC" w14:textId="77777777" w:rsidR="00410A3C" w:rsidRPr="00BF60BC" w:rsidRDefault="00410A3C" w:rsidP="00655F22">
      <w:pPr>
        <w:spacing w:after="0" w:line="360" w:lineRule="auto"/>
        <w:jc w:val="both"/>
        <w:rPr>
          <w:rFonts w:eastAsia="Times New Roman" w:cstheme="minorHAnsi"/>
          <w:sz w:val="24"/>
          <w:szCs w:val="24"/>
        </w:rPr>
      </w:pPr>
    </w:p>
    <w:p w14:paraId="26C64635" w14:textId="1635BE09" w:rsidR="0085398C" w:rsidRPr="00BF60BC" w:rsidRDefault="00E47ABB" w:rsidP="00655F22">
      <w:pPr>
        <w:spacing w:after="0" w:line="360" w:lineRule="auto"/>
        <w:jc w:val="both"/>
        <w:rPr>
          <w:rFonts w:eastAsia="Times New Roman" w:cstheme="minorHAnsi"/>
          <w:sz w:val="24"/>
          <w:szCs w:val="24"/>
        </w:rPr>
      </w:pPr>
      <w:r w:rsidRPr="00BF60BC">
        <w:rPr>
          <w:rFonts w:eastAsia="Times New Roman" w:cstheme="minorHAnsi"/>
          <w:sz w:val="24"/>
          <w:szCs w:val="24"/>
        </w:rPr>
        <w:t>A</w:t>
      </w:r>
      <w:r w:rsidR="00354946" w:rsidRPr="00BF60BC">
        <w:rPr>
          <w:rFonts w:eastAsia="Times New Roman" w:cstheme="minorHAnsi"/>
          <w:sz w:val="24"/>
          <w:szCs w:val="24"/>
        </w:rPr>
        <w:t xml:space="preserve">dolescents who thought they were underweight and those who </w:t>
      </w:r>
      <w:r w:rsidR="0094283A" w:rsidRPr="00BF60BC">
        <w:rPr>
          <w:rFonts w:eastAsia="Times New Roman" w:cstheme="minorHAnsi"/>
          <w:sz w:val="24"/>
          <w:szCs w:val="24"/>
        </w:rPr>
        <w:t>thought</w:t>
      </w:r>
      <w:r w:rsidR="00354946" w:rsidRPr="00BF60BC">
        <w:rPr>
          <w:rFonts w:eastAsia="Times New Roman" w:cstheme="minorHAnsi"/>
          <w:sz w:val="24"/>
          <w:szCs w:val="24"/>
        </w:rPr>
        <w:t xml:space="preserve"> they were overweight </w:t>
      </w:r>
      <w:r w:rsidR="00F176E1" w:rsidRPr="00BF60BC">
        <w:rPr>
          <w:rFonts w:eastAsia="Times New Roman" w:cstheme="minorHAnsi"/>
          <w:sz w:val="24"/>
          <w:szCs w:val="24"/>
        </w:rPr>
        <w:t>had greater depressive symptoms</w:t>
      </w:r>
      <w:r w:rsidR="00354946" w:rsidRPr="00BF60BC">
        <w:rPr>
          <w:rFonts w:eastAsia="Times New Roman" w:cstheme="minorHAnsi"/>
          <w:sz w:val="24"/>
          <w:szCs w:val="24"/>
        </w:rPr>
        <w:t xml:space="preserve">. There was evidence of </w:t>
      </w:r>
      <w:r w:rsidR="00A34FE0" w:rsidRPr="00BF60BC">
        <w:rPr>
          <w:rFonts w:eastAsia="Times New Roman" w:cstheme="minorHAnsi"/>
          <w:sz w:val="24"/>
          <w:szCs w:val="24"/>
        </w:rPr>
        <w:t>a</w:t>
      </w:r>
      <w:r w:rsidR="00354946" w:rsidRPr="00BF60BC">
        <w:rPr>
          <w:rFonts w:eastAsia="Times New Roman" w:cstheme="minorHAnsi"/>
          <w:sz w:val="24"/>
          <w:szCs w:val="24"/>
        </w:rPr>
        <w:t xml:space="preserve"> </w:t>
      </w:r>
      <w:r w:rsidR="00A34FE0" w:rsidRPr="00BF60BC">
        <w:rPr>
          <w:rFonts w:eastAsia="Times New Roman" w:cstheme="minorHAnsi"/>
          <w:sz w:val="24"/>
          <w:szCs w:val="24"/>
        </w:rPr>
        <w:t>weight perception</w:t>
      </w:r>
      <w:r w:rsidR="00354946" w:rsidRPr="00BF60BC">
        <w:rPr>
          <w:rFonts w:eastAsia="Times New Roman" w:cstheme="minorHAnsi"/>
          <w:sz w:val="24"/>
          <w:szCs w:val="24"/>
        </w:rPr>
        <w:t xml:space="preserve">-by-sex interaction only among adolescents who said they were overweight, with girls </w:t>
      </w:r>
      <w:r w:rsidR="00A34FE0" w:rsidRPr="00BF60BC">
        <w:rPr>
          <w:rFonts w:eastAsia="Times New Roman" w:cstheme="minorHAnsi"/>
          <w:sz w:val="24"/>
          <w:szCs w:val="24"/>
        </w:rPr>
        <w:t>who thought they were overweight</w:t>
      </w:r>
      <w:r w:rsidR="00354946" w:rsidRPr="00BF60BC">
        <w:rPr>
          <w:rFonts w:eastAsia="Times New Roman" w:cstheme="minorHAnsi"/>
          <w:sz w:val="24"/>
          <w:szCs w:val="24"/>
        </w:rPr>
        <w:t xml:space="preserve"> reporting greater depressive symptoms</w:t>
      </w:r>
      <w:r w:rsidR="00FD5859" w:rsidRPr="00BF60BC">
        <w:rPr>
          <w:rFonts w:eastAsia="Times New Roman" w:cstheme="minorHAnsi"/>
          <w:sz w:val="24"/>
          <w:szCs w:val="24"/>
        </w:rPr>
        <w:t xml:space="preserve"> than boys</w:t>
      </w:r>
      <w:r w:rsidR="00354946" w:rsidRPr="00BF60BC">
        <w:rPr>
          <w:rFonts w:eastAsia="Times New Roman" w:cstheme="minorHAnsi"/>
          <w:sz w:val="24"/>
          <w:szCs w:val="24"/>
        </w:rPr>
        <w:t>. There was also evidence that for girls the magnitude of this association progressively increased in</w:t>
      </w:r>
      <w:r w:rsidR="00F16BD7" w:rsidRPr="00BF60BC">
        <w:rPr>
          <w:rFonts w:eastAsia="Times New Roman" w:cstheme="minorHAnsi"/>
          <w:sz w:val="24"/>
          <w:szCs w:val="24"/>
        </w:rPr>
        <w:t xml:space="preserve"> 2005 and</w:t>
      </w:r>
      <w:r w:rsidR="00354946" w:rsidRPr="00BF60BC">
        <w:rPr>
          <w:rFonts w:eastAsia="Times New Roman" w:cstheme="minorHAnsi"/>
          <w:sz w:val="24"/>
          <w:szCs w:val="24"/>
        </w:rPr>
        <w:t xml:space="preserve"> 2015 compared to 1986</w:t>
      </w:r>
      <w:r w:rsidR="00A34FE0" w:rsidRPr="00BF60BC">
        <w:rPr>
          <w:rFonts w:eastAsia="Times New Roman" w:cstheme="minorHAnsi"/>
          <w:sz w:val="24"/>
          <w:szCs w:val="24"/>
        </w:rPr>
        <w:t>(</w:t>
      </w:r>
      <w:r w:rsidR="00173961">
        <w:rPr>
          <w:rFonts w:eastAsia="Times New Roman" w:cstheme="minorHAnsi"/>
          <w:b/>
          <w:sz w:val="24"/>
          <w:szCs w:val="24"/>
        </w:rPr>
        <w:t>Table</w:t>
      </w:r>
      <w:r w:rsidR="00605A60" w:rsidRPr="00BF60BC">
        <w:rPr>
          <w:rFonts w:eastAsia="Times New Roman" w:cstheme="minorHAnsi"/>
          <w:b/>
          <w:sz w:val="24"/>
          <w:szCs w:val="24"/>
        </w:rPr>
        <w:t>3</w:t>
      </w:r>
      <w:r w:rsidR="00F16BD7" w:rsidRPr="00BF60BC">
        <w:rPr>
          <w:rFonts w:eastAsia="Times New Roman" w:cstheme="minorHAnsi"/>
          <w:sz w:val="24"/>
          <w:szCs w:val="24"/>
        </w:rPr>
        <w:t xml:space="preserve">, </w:t>
      </w:r>
      <w:r w:rsidR="002E3A60" w:rsidRPr="00BF60BC">
        <w:rPr>
          <w:rFonts w:eastAsia="Times New Roman" w:cstheme="minorHAnsi"/>
          <w:b/>
          <w:sz w:val="24"/>
          <w:szCs w:val="24"/>
        </w:rPr>
        <w:t>Figure</w:t>
      </w:r>
      <w:r w:rsidR="00605A60" w:rsidRPr="00BF60BC">
        <w:rPr>
          <w:rFonts w:eastAsia="Times New Roman" w:cstheme="minorHAnsi"/>
          <w:b/>
          <w:sz w:val="24"/>
          <w:szCs w:val="24"/>
        </w:rPr>
        <w:t>2</w:t>
      </w:r>
      <w:r w:rsidR="002E3A60" w:rsidRPr="00BF60BC">
        <w:rPr>
          <w:rFonts w:eastAsia="Times New Roman" w:cstheme="minorHAnsi"/>
          <w:sz w:val="24"/>
          <w:szCs w:val="24"/>
        </w:rPr>
        <w:t xml:space="preserve">, </w:t>
      </w:r>
      <w:r w:rsidR="00850243">
        <w:rPr>
          <w:rFonts w:eastAsia="Times New Roman" w:cstheme="minorHAnsi"/>
          <w:b/>
          <w:sz w:val="24"/>
          <w:szCs w:val="24"/>
        </w:rPr>
        <w:t>e</w:t>
      </w:r>
      <w:r w:rsidR="00173961">
        <w:rPr>
          <w:rFonts w:eastAsia="Times New Roman" w:cstheme="minorHAnsi"/>
          <w:b/>
          <w:sz w:val="24"/>
          <w:szCs w:val="24"/>
        </w:rPr>
        <w:t>Table</w:t>
      </w:r>
      <w:r w:rsidR="00D81403" w:rsidRPr="00BF60BC">
        <w:rPr>
          <w:rFonts w:eastAsia="Times New Roman" w:cstheme="minorHAnsi"/>
          <w:b/>
          <w:sz w:val="24"/>
          <w:szCs w:val="24"/>
        </w:rPr>
        <w:t>7</w:t>
      </w:r>
      <w:r w:rsidR="00A34FE0" w:rsidRPr="00BF60BC">
        <w:rPr>
          <w:rFonts w:eastAsia="Times New Roman" w:cstheme="minorHAnsi"/>
          <w:sz w:val="24"/>
          <w:szCs w:val="24"/>
        </w:rPr>
        <w:t>).</w:t>
      </w:r>
    </w:p>
    <w:p w14:paraId="44D4DD4B" w14:textId="77777777" w:rsidR="00DD1D89" w:rsidRPr="00BF60BC" w:rsidRDefault="00DD1D89" w:rsidP="00655F22">
      <w:pPr>
        <w:spacing w:after="0" w:line="360" w:lineRule="auto"/>
        <w:jc w:val="both"/>
        <w:rPr>
          <w:rFonts w:eastAsia="Times New Roman" w:cstheme="minorHAnsi"/>
          <w:i/>
          <w:sz w:val="24"/>
          <w:szCs w:val="24"/>
        </w:rPr>
      </w:pPr>
    </w:p>
    <w:p w14:paraId="12AA6D71" w14:textId="47EC06FC" w:rsidR="0056612D" w:rsidRPr="00BF60BC" w:rsidRDefault="0056612D" w:rsidP="00655F22">
      <w:pPr>
        <w:spacing w:after="0" w:line="360" w:lineRule="auto"/>
        <w:jc w:val="both"/>
        <w:rPr>
          <w:rFonts w:eastAsia="Times New Roman" w:cstheme="minorHAnsi"/>
          <w:i/>
          <w:sz w:val="24"/>
          <w:szCs w:val="24"/>
        </w:rPr>
      </w:pPr>
      <w:r w:rsidRPr="00BF60BC">
        <w:rPr>
          <w:rFonts w:eastAsia="Times New Roman" w:cstheme="minorHAnsi"/>
          <w:i/>
          <w:sz w:val="24"/>
          <w:szCs w:val="24"/>
        </w:rPr>
        <w:t>Sensitivity analyses</w:t>
      </w:r>
    </w:p>
    <w:p w14:paraId="45F6745B" w14:textId="1617C378" w:rsidR="00BE22B1" w:rsidRPr="00BF60BC" w:rsidRDefault="004E5FEA" w:rsidP="00655F22">
      <w:pPr>
        <w:spacing w:after="0" w:line="360" w:lineRule="auto"/>
        <w:jc w:val="both"/>
        <w:rPr>
          <w:rFonts w:eastAsia="Times New Roman" w:cstheme="minorHAnsi"/>
          <w:sz w:val="24"/>
          <w:szCs w:val="24"/>
        </w:rPr>
      </w:pPr>
      <w:r w:rsidRPr="00BF60BC">
        <w:rPr>
          <w:rFonts w:eastAsia="Times New Roman" w:cstheme="minorHAnsi"/>
          <w:sz w:val="24"/>
          <w:szCs w:val="24"/>
        </w:rPr>
        <w:t>M</w:t>
      </w:r>
      <w:r w:rsidR="00857151" w:rsidRPr="00BF60BC">
        <w:rPr>
          <w:rFonts w:eastAsia="Times New Roman" w:cstheme="minorHAnsi"/>
          <w:sz w:val="24"/>
          <w:szCs w:val="24"/>
        </w:rPr>
        <w:t xml:space="preserve">odels </w:t>
      </w:r>
      <w:r w:rsidRPr="00BF60BC">
        <w:rPr>
          <w:rFonts w:eastAsia="Times New Roman" w:cstheme="minorHAnsi"/>
          <w:sz w:val="24"/>
          <w:szCs w:val="24"/>
        </w:rPr>
        <w:t>with</w:t>
      </w:r>
      <w:r w:rsidR="00857151" w:rsidRPr="00BF60BC">
        <w:rPr>
          <w:rFonts w:eastAsia="Times New Roman" w:cstheme="minorHAnsi"/>
          <w:sz w:val="24"/>
          <w:szCs w:val="24"/>
        </w:rPr>
        <w:t xml:space="preserve"> complete </w:t>
      </w:r>
      <w:proofErr w:type="gramStart"/>
      <w:r w:rsidR="00857151" w:rsidRPr="00BF60BC">
        <w:rPr>
          <w:rFonts w:eastAsia="Times New Roman" w:cstheme="minorHAnsi"/>
          <w:sz w:val="24"/>
          <w:szCs w:val="24"/>
        </w:rPr>
        <w:t>cases</w:t>
      </w:r>
      <w:r w:rsidR="007B6D2A" w:rsidRPr="00BF60BC">
        <w:rPr>
          <w:rFonts w:eastAsia="Times New Roman" w:cstheme="minorHAnsi"/>
          <w:sz w:val="24"/>
          <w:szCs w:val="24"/>
        </w:rPr>
        <w:t>(</w:t>
      </w:r>
      <w:proofErr w:type="gramEnd"/>
      <w:r w:rsidR="00850243">
        <w:rPr>
          <w:rFonts w:eastAsia="Times New Roman" w:cstheme="minorHAnsi"/>
          <w:b/>
          <w:sz w:val="24"/>
          <w:szCs w:val="24"/>
        </w:rPr>
        <w:t>e</w:t>
      </w:r>
      <w:r w:rsidR="00173961">
        <w:rPr>
          <w:rFonts w:eastAsia="Times New Roman" w:cstheme="minorHAnsi"/>
          <w:b/>
          <w:sz w:val="24"/>
          <w:szCs w:val="24"/>
        </w:rPr>
        <w:t>Table</w:t>
      </w:r>
      <w:r w:rsidR="00850243">
        <w:rPr>
          <w:rFonts w:eastAsia="Times New Roman" w:cstheme="minorHAnsi"/>
          <w:b/>
          <w:sz w:val="24"/>
          <w:szCs w:val="24"/>
        </w:rPr>
        <w:t>s8, 10</w:t>
      </w:r>
      <w:r w:rsidR="00857151" w:rsidRPr="00BF60BC">
        <w:rPr>
          <w:rFonts w:eastAsia="Times New Roman" w:cstheme="minorHAnsi"/>
          <w:sz w:val="24"/>
          <w:szCs w:val="24"/>
        </w:rPr>
        <w:t xml:space="preserve">) and </w:t>
      </w:r>
      <w:r w:rsidRPr="00BF60BC">
        <w:rPr>
          <w:rFonts w:eastAsia="Times New Roman" w:cstheme="minorHAnsi"/>
          <w:sz w:val="24"/>
          <w:szCs w:val="24"/>
        </w:rPr>
        <w:t>with</w:t>
      </w:r>
      <w:r w:rsidR="00857151" w:rsidRPr="00BF60BC">
        <w:rPr>
          <w:rFonts w:eastAsia="Times New Roman" w:cstheme="minorHAnsi"/>
          <w:sz w:val="24"/>
          <w:szCs w:val="24"/>
        </w:rPr>
        <w:t xml:space="preserve"> imputed da</w:t>
      </w:r>
      <w:r w:rsidR="006C32FF" w:rsidRPr="00BF60BC">
        <w:rPr>
          <w:rFonts w:eastAsia="Times New Roman" w:cstheme="minorHAnsi"/>
          <w:sz w:val="24"/>
          <w:szCs w:val="24"/>
        </w:rPr>
        <w:t xml:space="preserve">taset </w:t>
      </w:r>
      <w:r w:rsidR="00293DB7" w:rsidRPr="00BF60BC">
        <w:rPr>
          <w:rFonts w:eastAsia="Times New Roman" w:cstheme="minorHAnsi"/>
          <w:sz w:val="24"/>
          <w:szCs w:val="24"/>
        </w:rPr>
        <w:t>without attrition weights</w:t>
      </w:r>
      <w:r w:rsidR="006C32FF" w:rsidRPr="00BF60BC">
        <w:rPr>
          <w:rFonts w:eastAsia="Times New Roman" w:cstheme="minorHAnsi"/>
          <w:sz w:val="24"/>
          <w:szCs w:val="24"/>
        </w:rPr>
        <w:t>(</w:t>
      </w:r>
      <w:r w:rsidR="00850243">
        <w:rPr>
          <w:rFonts w:eastAsia="Times New Roman" w:cstheme="minorHAnsi"/>
          <w:b/>
          <w:sz w:val="24"/>
          <w:szCs w:val="24"/>
        </w:rPr>
        <w:t>e</w:t>
      </w:r>
      <w:r w:rsidR="00173961">
        <w:rPr>
          <w:rFonts w:eastAsia="Times New Roman" w:cstheme="minorHAnsi"/>
          <w:b/>
          <w:sz w:val="24"/>
          <w:szCs w:val="24"/>
        </w:rPr>
        <w:t>Table</w:t>
      </w:r>
      <w:r w:rsidR="00850243">
        <w:rPr>
          <w:rFonts w:eastAsia="Times New Roman" w:cstheme="minorHAnsi"/>
          <w:b/>
          <w:sz w:val="24"/>
          <w:szCs w:val="24"/>
        </w:rPr>
        <w:t>s9, 11</w:t>
      </w:r>
      <w:r w:rsidR="00857151" w:rsidRPr="00BF60BC">
        <w:rPr>
          <w:rFonts w:eastAsia="Times New Roman" w:cstheme="minorHAnsi"/>
          <w:sz w:val="24"/>
          <w:szCs w:val="24"/>
        </w:rPr>
        <w:t xml:space="preserve">) </w:t>
      </w:r>
      <w:r w:rsidRPr="00BF60BC">
        <w:rPr>
          <w:rFonts w:eastAsia="Times New Roman" w:cstheme="minorHAnsi"/>
          <w:sz w:val="24"/>
          <w:szCs w:val="24"/>
        </w:rPr>
        <w:t xml:space="preserve">demonstrate </w:t>
      </w:r>
      <w:r w:rsidR="00857151" w:rsidRPr="00BF60BC">
        <w:rPr>
          <w:rFonts w:eastAsia="Times New Roman" w:cstheme="minorHAnsi"/>
          <w:sz w:val="24"/>
          <w:szCs w:val="24"/>
        </w:rPr>
        <w:t xml:space="preserve">results </w:t>
      </w:r>
      <w:r w:rsidR="00293DB7" w:rsidRPr="00BF60BC">
        <w:rPr>
          <w:rFonts w:eastAsia="Times New Roman" w:cstheme="minorHAnsi"/>
          <w:sz w:val="24"/>
          <w:szCs w:val="24"/>
        </w:rPr>
        <w:t>not substantially different</w:t>
      </w:r>
      <w:r w:rsidR="007B6D2A" w:rsidRPr="00BF60BC">
        <w:rPr>
          <w:rFonts w:eastAsia="Times New Roman" w:cstheme="minorHAnsi"/>
          <w:sz w:val="24"/>
          <w:szCs w:val="24"/>
        </w:rPr>
        <w:t xml:space="preserve"> from</w:t>
      </w:r>
      <w:r w:rsidR="00857151" w:rsidRPr="00BF60BC">
        <w:rPr>
          <w:rFonts w:eastAsia="Times New Roman" w:cstheme="minorHAnsi"/>
          <w:sz w:val="24"/>
          <w:szCs w:val="24"/>
        </w:rPr>
        <w:t xml:space="preserve"> t</w:t>
      </w:r>
      <w:r w:rsidR="007B6D2A" w:rsidRPr="00BF60BC">
        <w:rPr>
          <w:rFonts w:eastAsia="Times New Roman" w:cstheme="minorHAnsi"/>
          <w:sz w:val="24"/>
          <w:szCs w:val="24"/>
        </w:rPr>
        <w:t xml:space="preserve">hose presented as main analyses. </w:t>
      </w:r>
      <w:bookmarkStart w:id="11" w:name="_Hlk37855947"/>
      <w:r w:rsidR="000801D4" w:rsidRPr="00BF60BC">
        <w:rPr>
          <w:rFonts w:eastAsia="Times New Roman" w:cstheme="minorHAnsi"/>
          <w:sz w:val="24"/>
          <w:szCs w:val="24"/>
        </w:rPr>
        <w:t>In MCS, prevalence</w:t>
      </w:r>
      <w:r w:rsidR="00862613" w:rsidRPr="00BF60BC">
        <w:rPr>
          <w:rFonts w:eastAsia="Times New Roman" w:cstheme="minorHAnsi"/>
          <w:sz w:val="24"/>
          <w:szCs w:val="24"/>
        </w:rPr>
        <w:t xml:space="preserve"> and regression</w:t>
      </w:r>
      <w:r w:rsidR="000801D4" w:rsidRPr="00BF60BC">
        <w:rPr>
          <w:rFonts w:eastAsia="Times New Roman" w:cstheme="minorHAnsi"/>
          <w:sz w:val="24"/>
          <w:szCs w:val="24"/>
        </w:rPr>
        <w:t xml:space="preserve"> estimates did not vary from those in the main analyses </w:t>
      </w:r>
      <w:r w:rsidR="00306D78" w:rsidRPr="00BF60BC">
        <w:rPr>
          <w:rFonts w:eastAsia="Times New Roman" w:cstheme="minorHAnsi"/>
          <w:sz w:val="24"/>
          <w:szCs w:val="24"/>
        </w:rPr>
        <w:t>when accounting for</w:t>
      </w:r>
      <w:r w:rsidR="000801D4" w:rsidRPr="00BF60BC">
        <w:rPr>
          <w:rFonts w:eastAsia="Times New Roman" w:cstheme="minorHAnsi"/>
          <w:sz w:val="24"/>
          <w:szCs w:val="24"/>
        </w:rPr>
        <w:t xml:space="preserve"> stratified </w:t>
      </w:r>
      <w:proofErr w:type="gramStart"/>
      <w:r w:rsidR="000801D4" w:rsidRPr="00BF60BC">
        <w:rPr>
          <w:rFonts w:eastAsia="Times New Roman" w:cstheme="minorHAnsi"/>
          <w:sz w:val="24"/>
          <w:szCs w:val="24"/>
        </w:rPr>
        <w:t>sampling(</w:t>
      </w:r>
      <w:proofErr w:type="gramEnd"/>
      <w:r w:rsidR="00850243" w:rsidRPr="00850243">
        <w:rPr>
          <w:rFonts w:eastAsia="Times New Roman" w:cstheme="minorHAnsi"/>
          <w:b/>
          <w:sz w:val="24"/>
          <w:szCs w:val="24"/>
        </w:rPr>
        <w:t>e</w:t>
      </w:r>
      <w:r w:rsidR="00173961">
        <w:rPr>
          <w:rFonts w:eastAsia="Times New Roman" w:cstheme="minorHAnsi"/>
          <w:b/>
          <w:sz w:val="24"/>
          <w:szCs w:val="24"/>
        </w:rPr>
        <w:t>Table</w:t>
      </w:r>
      <w:r w:rsidR="00850243" w:rsidRPr="00850243">
        <w:rPr>
          <w:rFonts w:eastAsia="Times New Roman" w:cstheme="minorHAnsi"/>
          <w:b/>
          <w:sz w:val="24"/>
          <w:szCs w:val="24"/>
        </w:rPr>
        <w:t>s</w:t>
      </w:r>
      <w:r w:rsidR="000801D4" w:rsidRPr="00850243">
        <w:rPr>
          <w:rFonts w:eastAsia="Times New Roman" w:cstheme="minorHAnsi"/>
          <w:b/>
          <w:sz w:val="24"/>
          <w:szCs w:val="24"/>
        </w:rPr>
        <w:t xml:space="preserve">12, </w:t>
      </w:r>
      <w:r w:rsidR="00850243">
        <w:rPr>
          <w:rFonts w:eastAsia="Times New Roman" w:cstheme="minorHAnsi"/>
          <w:b/>
          <w:sz w:val="24"/>
          <w:szCs w:val="24"/>
        </w:rPr>
        <w:t>1</w:t>
      </w:r>
      <w:r w:rsidR="000801D4" w:rsidRPr="00850243">
        <w:rPr>
          <w:rFonts w:eastAsia="Times New Roman" w:cstheme="minorHAnsi"/>
          <w:b/>
          <w:sz w:val="24"/>
          <w:szCs w:val="24"/>
        </w:rPr>
        <w:t>3</w:t>
      </w:r>
      <w:r w:rsidR="00862613" w:rsidRPr="00850243">
        <w:rPr>
          <w:rFonts w:eastAsia="Times New Roman" w:cstheme="minorHAnsi"/>
          <w:b/>
          <w:sz w:val="24"/>
          <w:szCs w:val="24"/>
        </w:rPr>
        <w:t>, 14</w:t>
      </w:r>
      <w:r w:rsidR="000801D4" w:rsidRPr="00BF60BC">
        <w:rPr>
          <w:rFonts w:eastAsia="Times New Roman" w:cstheme="minorHAnsi"/>
          <w:sz w:val="24"/>
          <w:szCs w:val="24"/>
        </w:rPr>
        <w:t>)</w:t>
      </w:r>
      <w:bookmarkEnd w:id="11"/>
      <w:r w:rsidR="008F7AD1" w:rsidRPr="00BF60BC">
        <w:rPr>
          <w:rFonts w:eastAsia="Times New Roman" w:cstheme="minorHAnsi"/>
          <w:sz w:val="24"/>
          <w:szCs w:val="24"/>
        </w:rPr>
        <w:t>.</w:t>
      </w:r>
    </w:p>
    <w:p w14:paraId="15104157" w14:textId="77777777" w:rsidR="001D263C" w:rsidRDefault="001D263C">
      <w:pPr>
        <w:rPr>
          <w:rFonts w:eastAsia="Times New Roman" w:cstheme="minorHAnsi"/>
          <w:b/>
          <w:sz w:val="24"/>
          <w:szCs w:val="24"/>
        </w:rPr>
      </w:pPr>
      <w:r>
        <w:rPr>
          <w:rFonts w:eastAsia="Times New Roman" w:cstheme="minorHAnsi"/>
          <w:b/>
          <w:sz w:val="24"/>
          <w:szCs w:val="24"/>
        </w:rPr>
        <w:br w:type="page"/>
      </w:r>
    </w:p>
    <w:p w14:paraId="1A8E934F" w14:textId="2214DA87" w:rsidR="008D2628" w:rsidRPr="00BF60BC" w:rsidRDefault="008D2628" w:rsidP="00655F22">
      <w:pPr>
        <w:jc w:val="both"/>
        <w:rPr>
          <w:rFonts w:eastAsia="Times New Roman" w:cstheme="minorHAnsi"/>
          <w:b/>
          <w:sz w:val="24"/>
          <w:szCs w:val="24"/>
        </w:rPr>
      </w:pPr>
      <w:r w:rsidRPr="00BF60BC">
        <w:rPr>
          <w:rFonts w:eastAsia="Times New Roman" w:cstheme="minorHAnsi"/>
          <w:b/>
          <w:sz w:val="24"/>
          <w:szCs w:val="24"/>
        </w:rPr>
        <w:lastRenderedPageBreak/>
        <w:t>DISCUSSION</w:t>
      </w:r>
    </w:p>
    <w:p w14:paraId="32D2DADC" w14:textId="60077A1D" w:rsidR="0079725D" w:rsidRPr="00BF60BC" w:rsidRDefault="00723E7F" w:rsidP="00655F22">
      <w:pPr>
        <w:spacing w:after="0" w:line="360" w:lineRule="auto"/>
        <w:jc w:val="both"/>
        <w:rPr>
          <w:rFonts w:eastAsia="Times New Roman" w:cstheme="minorHAnsi"/>
          <w:sz w:val="24"/>
          <w:szCs w:val="24"/>
        </w:rPr>
      </w:pPr>
      <w:r w:rsidRPr="00BF60BC">
        <w:rPr>
          <w:rFonts w:eastAsia="Times New Roman" w:cstheme="minorHAnsi"/>
          <w:sz w:val="24"/>
          <w:szCs w:val="24"/>
        </w:rPr>
        <w:t>Examining three cohorts born across 30 years</w:t>
      </w:r>
      <w:r w:rsidR="00D205FE" w:rsidRPr="00BF60BC">
        <w:rPr>
          <w:rFonts w:eastAsia="Times New Roman" w:cstheme="minorHAnsi"/>
          <w:sz w:val="24"/>
          <w:szCs w:val="24"/>
        </w:rPr>
        <w:t xml:space="preserve"> in the UK</w:t>
      </w:r>
      <w:r w:rsidRPr="00BF60BC">
        <w:rPr>
          <w:rFonts w:eastAsia="Times New Roman" w:cstheme="minorHAnsi"/>
          <w:sz w:val="24"/>
          <w:szCs w:val="24"/>
        </w:rPr>
        <w:t xml:space="preserve">, </w:t>
      </w:r>
      <w:r w:rsidR="0079725D" w:rsidRPr="00BF60BC">
        <w:rPr>
          <w:rFonts w:eastAsia="Times New Roman" w:cstheme="minorHAnsi"/>
          <w:sz w:val="24"/>
          <w:szCs w:val="24"/>
        </w:rPr>
        <w:t xml:space="preserve">our </w:t>
      </w:r>
      <w:r w:rsidR="00A80EEC" w:rsidRPr="00BF60BC">
        <w:rPr>
          <w:rFonts w:eastAsia="Times New Roman" w:cstheme="minorHAnsi"/>
          <w:sz w:val="24"/>
          <w:szCs w:val="24"/>
        </w:rPr>
        <w:t>study</w:t>
      </w:r>
      <w:r w:rsidR="0079725D" w:rsidRPr="00BF60BC">
        <w:rPr>
          <w:rFonts w:eastAsia="Times New Roman" w:cstheme="minorHAnsi"/>
          <w:sz w:val="24"/>
          <w:szCs w:val="24"/>
        </w:rPr>
        <w:t xml:space="preserve"> </w:t>
      </w:r>
      <w:r w:rsidR="00002FE4" w:rsidRPr="00BF60BC">
        <w:rPr>
          <w:rFonts w:eastAsia="Times New Roman" w:cstheme="minorHAnsi"/>
          <w:sz w:val="24"/>
          <w:szCs w:val="24"/>
        </w:rPr>
        <w:t>illustrate</w:t>
      </w:r>
      <w:r w:rsidR="00A80EEC" w:rsidRPr="00BF60BC">
        <w:rPr>
          <w:rFonts w:eastAsia="Times New Roman" w:cstheme="minorHAnsi"/>
          <w:sz w:val="24"/>
          <w:szCs w:val="24"/>
        </w:rPr>
        <w:t>s</w:t>
      </w:r>
      <w:r w:rsidR="00002FE4" w:rsidRPr="00BF60BC">
        <w:rPr>
          <w:rFonts w:eastAsia="Times New Roman" w:cstheme="minorHAnsi"/>
          <w:sz w:val="24"/>
          <w:szCs w:val="24"/>
        </w:rPr>
        <w:t xml:space="preserve"> key trends in weight-</w:t>
      </w:r>
      <w:r w:rsidR="00A15E59">
        <w:rPr>
          <w:rFonts w:eastAsia="Times New Roman" w:cstheme="minorHAnsi"/>
          <w:sz w:val="24"/>
          <w:szCs w:val="24"/>
        </w:rPr>
        <w:t>change</w:t>
      </w:r>
      <w:r w:rsidR="00946ECD">
        <w:rPr>
          <w:rFonts w:eastAsia="Times New Roman" w:cstheme="minorHAnsi"/>
          <w:sz w:val="24"/>
          <w:szCs w:val="24"/>
        </w:rPr>
        <w:t xml:space="preserve"> </w:t>
      </w:r>
      <w:r w:rsidR="0079725D" w:rsidRPr="00BF60BC">
        <w:rPr>
          <w:rFonts w:eastAsia="Times New Roman" w:cstheme="minorHAnsi"/>
          <w:sz w:val="24"/>
          <w:szCs w:val="24"/>
        </w:rPr>
        <w:t xml:space="preserve">related </w:t>
      </w:r>
      <w:proofErr w:type="spellStart"/>
      <w:r w:rsidR="00DA210E" w:rsidRPr="00BF60BC">
        <w:rPr>
          <w:rFonts w:eastAsia="Times New Roman" w:cstheme="minorHAnsi"/>
          <w:sz w:val="24"/>
          <w:szCs w:val="24"/>
        </w:rPr>
        <w:t>behaviors</w:t>
      </w:r>
      <w:proofErr w:type="spellEnd"/>
      <w:r w:rsidR="00002FE4" w:rsidRPr="00BF60BC">
        <w:rPr>
          <w:rFonts w:eastAsia="Times New Roman" w:cstheme="minorHAnsi"/>
          <w:sz w:val="24"/>
          <w:szCs w:val="24"/>
        </w:rPr>
        <w:t xml:space="preserve"> </w:t>
      </w:r>
      <w:r w:rsidR="00551A6B" w:rsidRPr="00BF60BC">
        <w:rPr>
          <w:rFonts w:eastAsia="Times New Roman" w:cstheme="minorHAnsi"/>
          <w:sz w:val="24"/>
          <w:szCs w:val="24"/>
        </w:rPr>
        <w:t>that have occurred in parallel with decades of rising child obesity</w:t>
      </w:r>
      <w:r w:rsidR="00813A70">
        <w:rPr>
          <w:rFonts w:eastAsia="Times New Roman" w:cstheme="minorHAnsi"/>
          <w:sz w:val="24"/>
          <w:szCs w:val="24"/>
        </w:rPr>
        <w:t xml:space="preserve"> </w:t>
      </w:r>
      <w:r w:rsidR="0079725D" w:rsidRPr="00BF60BC">
        <w:rPr>
          <w:rFonts w:eastAsia="Times New Roman" w:cstheme="minorHAnsi"/>
          <w:sz w:val="24"/>
          <w:szCs w:val="24"/>
        </w:rPr>
        <w:t xml:space="preserve">and </w:t>
      </w:r>
      <w:r w:rsidR="00A80EEC" w:rsidRPr="00BF60BC">
        <w:rPr>
          <w:rFonts w:eastAsia="Times New Roman" w:cstheme="minorHAnsi"/>
          <w:sz w:val="24"/>
          <w:szCs w:val="24"/>
        </w:rPr>
        <w:t>their association with depressive symptoms</w:t>
      </w:r>
      <w:r w:rsidR="00BE3CD7" w:rsidRPr="00BF60BC">
        <w:rPr>
          <w:rFonts w:eastAsia="Times New Roman" w:cstheme="minorHAnsi"/>
          <w:sz w:val="24"/>
          <w:szCs w:val="24"/>
        </w:rPr>
        <w:t xml:space="preserve"> indicating increasing psychological burden of these </w:t>
      </w:r>
      <w:proofErr w:type="spellStart"/>
      <w:r w:rsidR="00BE3CD7" w:rsidRPr="00BF60BC">
        <w:rPr>
          <w:rFonts w:eastAsia="Times New Roman" w:cstheme="minorHAnsi"/>
          <w:sz w:val="24"/>
          <w:szCs w:val="24"/>
        </w:rPr>
        <w:t>behaviors</w:t>
      </w:r>
      <w:proofErr w:type="spellEnd"/>
      <w:r w:rsidR="00551A6B" w:rsidRPr="00BF60BC">
        <w:rPr>
          <w:rFonts w:eastAsia="Times New Roman" w:cstheme="minorHAnsi"/>
          <w:sz w:val="24"/>
          <w:szCs w:val="24"/>
        </w:rPr>
        <w:t>.</w:t>
      </w:r>
    </w:p>
    <w:p w14:paraId="3FDA0296" w14:textId="77777777" w:rsidR="0079725D" w:rsidRPr="00BF60BC" w:rsidRDefault="0079725D" w:rsidP="00655F22">
      <w:pPr>
        <w:spacing w:after="0" w:line="360" w:lineRule="auto"/>
        <w:jc w:val="both"/>
        <w:rPr>
          <w:rFonts w:eastAsia="Times New Roman" w:cstheme="minorHAnsi"/>
          <w:sz w:val="24"/>
          <w:szCs w:val="24"/>
        </w:rPr>
      </w:pPr>
    </w:p>
    <w:p w14:paraId="46F82DED" w14:textId="6EAEA292" w:rsidR="002D3F95" w:rsidRPr="00BF60BC" w:rsidRDefault="0079725D" w:rsidP="00655F22">
      <w:pPr>
        <w:spacing w:after="0" w:line="360" w:lineRule="auto"/>
        <w:jc w:val="both"/>
        <w:rPr>
          <w:rFonts w:eastAsia="Times New Roman" w:cstheme="minorHAnsi"/>
          <w:sz w:val="24"/>
          <w:szCs w:val="24"/>
        </w:rPr>
      </w:pPr>
      <w:r w:rsidRPr="00BF60BC">
        <w:rPr>
          <w:rFonts w:eastAsia="Times New Roman" w:cstheme="minorHAnsi"/>
          <w:sz w:val="24"/>
          <w:szCs w:val="24"/>
        </w:rPr>
        <w:t>W</w:t>
      </w:r>
      <w:r w:rsidR="008D2628" w:rsidRPr="00BF60BC">
        <w:rPr>
          <w:rFonts w:eastAsia="Times New Roman" w:cstheme="minorHAnsi"/>
          <w:sz w:val="24"/>
          <w:szCs w:val="24"/>
        </w:rPr>
        <w:t>e found that</w:t>
      </w:r>
      <w:r w:rsidR="00026E13" w:rsidRPr="00BF60BC">
        <w:rPr>
          <w:rFonts w:eastAsia="Times New Roman" w:cstheme="minorHAnsi"/>
          <w:sz w:val="24"/>
          <w:szCs w:val="24"/>
        </w:rPr>
        <w:t xml:space="preserve"> the prevalence of</w:t>
      </w:r>
      <w:r w:rsidR="008D2628" w:rsidRPr="00BF60BC">
        <w:rPr>
          <w:rFonts w:eastAsia="Times New Roman" w:cstheme="minorHAnsi"/>
          <w:sz w:val="24"/>
          <w:szCs w:val="24"/>
        </w:rPr>
        <w:t xml:space="preserve"> </w:t>
      </w:r>
      <w:r w:rsidR="0036553F" w:rsidRPr="00BF60BC">
        <w:rPr>
          <w:rFonts w:eastAsia="Times New Roman" w:cstheme="minorHAnsi"/>
          <w:sz w:val="24"/>
          <w:szCs w:val="24"/>
        </w:rPr>
        <w:t xml:space="preserve">weight-change </w:t>
      </w:r>
      <w:proofErr w:type="spellStart"/>
      <w:r w:rsidR="00DA210E" w:rsidRPr="00BF60BC">
        <w:rPr>
          <w:rFonts w:eastAsia="Times New Roman" w:cstheme="minorHAnsi"/>
          <w:sz w:val="24"/>
          <w:szCs w:val="24"/>
        </w:rPr>
        <w:t>behaviors</w:t>
      </w:r>
      <w:proofErr w:type="spellEnd"/>
      <w:r w:rsidR="00136261" w:rsidRPr="00BF60BC">
        <w:rPr>
          <w:rFonts w:eastAsia="Times New Roman" w:cstheme="minorHAnsi"/>
          <w:sz w:val="24"/>
          <w:szCs w:val="24"/>
        </w:rPr>
        <w:t xml:space="preserve"> </w:t>
      </w:r>
      <w:r w:rsidR="00026E13" w:rsidRPr="00BF60BC">
        <w:rPr>
          <w:rFonts w:eastAsia="Times New Roman" w:cstheme="minorHAnsi"/>
          <w:sz w:val="24"/>
          <w:szCs w:val="24"/>
        </w:rPr>
        <w:t>has increased</w:t>
      </w:r>
      <w:r w:rsidR="008D2628" w:rsidRPr="00BF60BC">
        <w:rPr>
          <w:rFonts w:eastAsia="Times New Roman" w:cstheme="minorHAnsi"/>
          <w:sz w:val="24"/>
          <w:szCs w:val="24"/>
        </w:rPr>
        <w:t xml:space="preserve"> in 2</w:t>
      </w:r>
      <w:r w:rsidR="00026E13" w:rsidRPr="00BF60BC">
        <w:rPr>
          <w:rFonts w:eastAsia="Times New Roman" w:cstheme="minorHAnsi"/>
          <w:sz w:val="24"/>
          <w:szCs w:val="24"/>
        </w:rPr>
        <w:t xml:space="preserve">015 compared to </w:t>
      </w:r>
      <w:r w:rsidR="00136261" w:rsidRPr="00BF60BC">
        <w:rPr>
          <w:rFonts w:eastAsia="Times New Roman" w:cstheme="minorHAnsi"/>
          <w:sz w:val="24"/>
          <w:szCs w:val="24"/>
        </w:rPr>
        <w:t xml:space="preserve">both </w:t>
      </w:r>
      <w:r w:rsidR="00026E13" w:rsidRPr="00BF60BC">
        <w:rPr>
          <w:rFonts w:eastAsia="Times New Roman" w:cstheme="minorHAnsi"/>
          <w:sz w:val="24"/>
          <w:szCs w:val="24"/>
        </w:rPr>
        <w:t>2005 and 1986</w:t>
      </w:r>
      <w:bookmarkStart w:id="12" w:name="_Hlk38544121"/>
      <w:r w:rsidR="00B7413A" w:rsidRPr="00BF60BC">
        <w:rPr>
          <w:rFonts w:eastAsia="Times New Roman" w:cstheme="minorHAnsi"/>
          <w:sz w:val="24"/>
          <w:szCs w:val="24"/>
        </w:rPr>
        <w:t xml:space="preserve">. </w:t>
      </w:r>
      <w:r w:rsidR="002D3F95" w:rsidRPr="00BF60BC">
        <w:rPr>
          <w:rFonts w:eastAsia="Times New Roman" w:cstheme="minorHAnsi"/>
          <w:sz w:val="24"/>
          <w:szCs w:val="24"/>
        </w:rPr>
        <w:t xml:space="preserve">Although </w:t>
      </w:r>
      <w:proofErr w:type="spellStart"/>
      <w:r w:rsidR="00002B6B" w:rsidRPr="00BF60BC">
        <w:rPr>
          <w:rFonts w:eastAsia="Times New Roman" w:cstheme="minorHAnsi"/>
          <w:sz w:val="24"/>
          <w:szCs w:val="24"/>
        </w:rPr>
        <w:t>b</w:t>
      </w:r>
      <w:r w:rsidR="00DA210E" w:rsidRPr="00BF60BC">
        <w:rPr>
          <w:rFonts w:eastAsia="Times New Roman" w:cstheme="minorHAnsi"/>
          <w:sz w:val="24"/>
          <w:szCs w:val="24"/>
        </w:rPr>
        <w:t>ehaviors</w:t>
      </w:r>
      <w:proofErr w:type="spellEnd"/>
      <w:r w:rsidR="006C77A2" w:rsidRPr="00BF60BC">
        <w:rPr>
          <w:rFonts w:eastAsia="Times New Roman" w:cstheme="minorHAnsi"/>
          <w:sz w:val="24"/>
          <w:szCs w:val="24"/>
        </w:rPr>
        <w:t xml:space="preserve"> aimed at weight loss were more common in girls in all cohorts, their prevalence increased more in boys in recently-born cohorts</w:t>
      </w:r>
      <w:r w:rsidR="00BE6586" w:rsidRPr="00BF60BC">
        <w:rPr>
          <w:rFonts w:eastAsia="Times New Roman" w:cstheme="minorHAnsi"/>
          <w:sz w:val="24"/>
          <w:szCs w:val="24"/>
        </w:rPr>
        <w:t>, as also observed in other countries.</w:t>
      </w:r>
      <w:r w:rsidR="00BE6586" w:rsidRPr="00BF60BC">
        <w:rPr>
          <w:rFonts w:cstheme="minorHAnsi"/>
          <w:sz w:val="24"/>
          <w:szCs w:val="24"/>
        </w:rPr>
        <w:fldChar w:fldCharType="begin" w:fldLock="1"/>
      </w:r>
      <w:r w:rsidR="00C5774B">
        <w:rPr>
          <w:rFonts w:cstheme="minorHAnsi"/>
          <w:sz w:val="24"/>
          <w:szCs w:val="24"/>
        </w:rPr>
        <w:instrText>ADDIN CSL_CITATION {"citationItems":[{"id":"ITEM-1","itemData":{"URL":"https://www.cdc.gov/healthyyouth/data/topics/npao.htm","accessed":{"date-parts":[["2019","10","19"]]},"author":[{"dropping-particle":"","family":"Center for Disease Control and Prevention","given":"","non-dropping-particle":"","parse-names":false,"suffix":""}],"id":"ITEM-1","issued":{"date-parts":[["0"]]},"title":"Nutrition, Physical Activity, &amp; Obesity Data &amp; Statistics","type":"webpage"},"uris":["http://www.mendeley.com/documents/?uuid=dad09dd7-271b-43a0-8d74-2139996ceaa7","http://www.mendeley.com/documents/?uuid=13f10fbb-ac81-4d10-9c16-752bb47c587f"]},{"id":"ITEM-2","itemData":{"DOI":"10.1111/jpc.14196","ISSN":"14401754","abstract":"Aim: To explore secular trends of adolescent weight control concerns and behaviours, between 2007 and 2012, and determine if these vary by body size. Methods: Data were drawn from two nationally representative youth health surveys, Youth’07 and Youth’12. Multiple logistic regression models were used to determine differences in the prevalence of weight control behaviours and concerns between the two time points, controlling for socio-demographic variables. Results: Between 2007 and 2012, both boys and girls were significantly more likely to report concerns about their weight, though the prevalence of trying to lose weight increased for boys, but not girls. Trends in weight control behaviours varied by body size for boys and girls. Perhaps the most striking findings were the increases in proportions of underweight girls and healthy weight boys who were trying to lose weight. Conclusions: The current study highlights the growing concerns that young people are experiencing in relation to weight control. Given the persistently high rates of adolescent obesity in New Zealand and globally, greater support for young people with regards to healthy eating and weight management is warranted.","author":[{"dropping-particle":"","family":"Utter","given":"Jennifer","non-dropping-particle":"","parse-names":false,"suffix":""},{"dropping-particle":"","family":"Haines","given":"Jess","non-dropping-particle":"","parse-names":false,"suffix":""},{"dropping-particle":"","family":"Denny","given":"Simon","non-dropping-particle":"","parse-names":false,"suffix":""},{"dropping-particle":"","family":"Teevale","given":"Tasileta","non-dropping-particle":"","parse-names":false,"suffix":""}],"container-title":"Journal of Paediatrics and Child Health","id":"ITEM-2","issued":{"date-parts":[["2019"]]},"title":"Trends in weight-related attitudes and behaviours among New Zealand adolescents, between 2007 and 2012","type":"article-journal"},"uris":["http://www.mendeley.com/documents/?uuid=ab91c20c-8699-4f9c-8563-2ff400d67407"]}],"mendeley":{"formattedCitation":"&lt;sup&gt;15,16&lt;/sup&gt;","plainTextFormattedCitation":"15,16","previouslyFormattedCitation":"&lt;sup&gt;15,16&lt;/sup&gt;"},"properties":{"noteIndex":0},"schema":"https://github.com/citation-style-language/schema/raw/master/csl-citation.json"}</w:instrText>
      </w:r>
      <w:r w:rsidR="00BE6586" w:rsidRPr="00BF60BC">
        <w:rPr>
          <w:rFonts w:cstheme="minorHAnsi"/>
          <w:sz w:val="24"/>
          <w:szCs w:val="24"/>
        </w:rPr>
        <w:fldChar w:fldCharType="separate"/>
      </w:r>
      <w:r w:rsidR="00C5774B" w:rsidRPr="00C5774B">
        <w:rPr>
          <w:rFonts w:cstheme="minorHAnsi"/>
          <w:noProof/>
          <w:sz w:val="24"/>
          <w:szCs w:val="24"/>
          <w:vertAlign w:val="superscript"/>
        </w:rPr>
        <w:t>15,16</w:t>
      </w:r>
      <w:r w:rsidR="00BE6586" w:rsidRPr="00BF60BC">
        <w:rPr>
          <w:rFonts w:cstheme="minorHAnsi"/>
          <w:sz w:val="24"/>
          <w:szCs w:val="24"/>
        </w:rPr>
        <w:fldChar w:fldCharType="end"/>
      </w:r>
      <w:r w:rsidR="00BE6586" w:rsidRPr="00BF60BC">
        <w:rPr>
          <w:rFonts w:eastAsia="Times New Roman" w:cstheme="minorHAnsi"/>
          <w:sz w:val="24"/>
          <w:szCs w:val="24"/>
        </w:rPr>
        <w:t xml:space="preserve"> In line with</w:t>
      </w:r>
      <w:r w:rsidR="00C8017B">
        <w:rPr>
          <w:rFonts w:eastAsia="Times New Roman" w:cstheme="minorHAnsi"/>
          <w:sz w:val="24"/>
          <w:szCs w:val="24"/>
        </w:rPr>
        <w:t xml:space="preserve"> US</w:t>
      </w:r>
      <w:r w:rsidR="00BE6586" w:rsidRPr="00BF60BC">
        <w:rPr>
          <w:rFonts w:eastAsia="Times New Roman" w:cstheme="minorHAnsi"/>
          <w:sz w:val="24"/>
          <w:szCs w:val="24"/>
        </w:rPr>
        <w:t xml:space="preserve"> evidence</w:t>
      </w:r>
      <w:r w:rsidR="00BE6586" w:rsidRPr="00BF60BC">
        <w:rPr>
          <w:rFonts w:eastAsia="Times New Roman" w:cstheme="minorHAnsi"/>
          <w:sz w:val="24"/>
          <w:szCs w:val="24"/>
        </w:rPr>
        <w:fldChar w:fldCharType="begin" w:fldLock="1"/>
      </w:r>
      <w:r w:rsidR="00C5774B">
        <w:rPr>
          <w:rFonts w:eastAsia="Times New Roman" w:cstheme="minorHAnsi"/>
          <w:sz w:val="24"/>
          <w:szCs w:val="24"/>
        </w:rPr>
        <w:instrText>ADDIN CSL_CITATION {"citationItems":[{"id":"ITEM-1","itemData":{"DOI":"10.1016/j.jadohealth.2018.09.002","ISSN":"18791972","abstract":"Objective: To determine the prevalence of weight-gain attempts in adolescent boys in the United States. Methods: Participants were 15,624 high school students from the nationally representative 2015 Youth Risk Behavior Survey. Results: Overall, 29.6% of adolescent boys reported attempts to gain weight, including 39.6% of boys who were normal weight, 12.8% who were overweight, and 10.6% who were obese by body mass index (BMI). In contrast, only 6.5% of adolescent girls reported attempts to gain weight. Although only 3.3% of adolescent males are underweight by BMI, 19.3% perceive themselves to be underweight. Further, over half of adolescent males who are overweight by BMI perceive themselves to be about the right weight. Black/African-American (odds ratio [OR] 1.89; 95% confidence interval [CI] 1.50–2.38) and multiracial (OR 1.62; 95% CI 1.16–2.26) adolescent males had greater odds of weight-gain attempts than white adolescent males. Adolescent males identifying as bisexual had lower odds (OR.47; 95% CI.25–.88) of weight-gain attempts than adolescent males identifying as heterosexual. Conclusions: Weight-gain attempts are common among adolescent boys including those who are considered normal weight, overweight, or obese by BMI; African-American or multiracial; and those self-identifying as heterosexual. Consideration of the unique nature of male body image, particularly adolescent boys’ perceptions of their own weight and weight-gain attempts, should be incorporated into primary care screening for adolescent boys.","author":[{"dropping-particle":"","family":"Nagata","given":"Jason M.","non-dropping-particle":"","parse-names":false,"suffix":""},{"dropping-particle":"","family":"Bibbins-Domingo","given":"Kirsten","non-dropping-particle":"","parse-names":false,"suffix":""},{"dropping-particle":"","family":"Garber","given":"Andrea K.","non-dropping-particle":"","parse-names":false,"suffix":""},{"dropping-particle":"","family":"Griffiths","given":"Scott","non-dropping-particle":"","parse-names":false,"suffix":""},{"dropping-particle":"","family":"Vittinghoff","given":"Eric","non-dropping-particle":"","parse-names":false,"suffix":""},{"dropping-particle":"","family":"Murray","given":"Stuart B.","non-dropping-particle":"","parse-names":false,"suffix":""}],"container-title":"Journal of Adolescent Health","id":"ITEM-1","issued":{"date-parts":[["2019"]]},"title":"Boys, Bulk, and Body Ideals: Sex Differences in Weight-Gain Attempts Among Adolescents in the United States","type":"article-journal"},"uris":["http://www.mendeley.com/documents/?uuid=ab3d1313-b8d6-493a-bdf5-7e21b2fd52b5"]}],"mendeley":{"formattedCitation":"&lt;sup&gt;30&lt;/sup&gt;","plainTextFormattedCitation":"30","previouslyFormattedCitation":"&lt;sup&gt;30&lt;/sup&gt;"},"properties":{"noteIndex":0},"schema":"https://github.com/citation-style-language/schema/raw/master/csl-citation.json"}</w:instrText>
      </w:r>
      <w:r w:rsidR="00BE6586" w:rsidRPr="00BF60BC">
        <w:rPr>
          <w:rFonts w:eastAsia="Times New Roman" w:cstheme="minorHAnsi"/>
          <w:sz w:val="24"/>
          <w:szCs w:val="24"/>
        </w:rPr>
        <w:fldChar w:fldCharType="separate"/>
      </w:r>
      <w:r w:rsidR="00C5774B" w:rsidRPr="00C5774B">
        <w:rPr>
          <w:rFonts w:eastAsia="Times New Roman" w:cstheme="minorHAnsi"/>
          <w:noProof/>
          <w:sz w:val="24"/>
          <w:szCs w:val="24"/>
          <w:vertAlign w:val="superscript"/>
        </w:rPr>
        <w:t>30</w:t>
      </w:r>
      <w:r w:rsidR="00BE6586" w:rsidRPr="00BF60BC">
        <w:rPr>
          <w:rFonts w:eastAsia="Times New Roman" w:cstheme="minorHAnsi"/>
          <w:sz w:val="24"/>
          <w:szCs w:val="24"/>
        </w:rPr>
        <w:fldChar w:fldCharType="end"/>
      </w:r>
      <w:bookmarkEnd w:id="12"/>
      <w:r w:rsidR="00BE6586" w:rsidRPr="00BF60BC">
        <w:rPr>
          <w:rFonts w:eastAsia="Times New Roman" w:cstheme="minorHAnsi"/>
          <w:sz w:val="24"/>
          <w:szCs w:val="24"/>
        </w:rPr>
        <w:t xml:space="preserve">, </w:t>
      </w:r>
      <w:bookmarkStart w:id="13" w:name="_Hlk38546189"/>
      <w:r w:rsidR="00862721" w:rsidRPr="00BF60BC">
        <w:rPr>
          <w:rFonts w:eastAsia="Times New Roman" w:cstheme="minorHAnsi"/>
          <w:sz w:val="24"/>
          <w:szCs w:val="24"/>
        </w:rPr>
        <w:t>in our sample</w:t>
      </w:r>
      <w:r w:rsidR="00460649" w:rsidRPr="00BF60BC">
        <w:rPr>
          <w:rFonts w:eastAsia="Times New Roman" w:cstheme="minorHAnsi"/>
          <w:sz w:val="24"/>
          <w:szCs w:val="24"/>
        </w:rPr>
        <w:t>,</w:t>
      </w:r>
      <w:r w:rsidR="00862721" w:rsidRPr="00BF60BC">
        <w:rPr>
          <w:rFonts w:eastAsia="Times New Roman" w:cstheme="minorHAnsi"/>
          <w:sz w:val="24"/>
          <w:szCs w:val="24"/>
        </w:rPr>
        <w:t xml:space="preserve"> </w:t>
      </w:r>
      <w:r w:rsidR="006C77A2" w:rsidRPr="00BF60BC">
        <w:rPr>
          <w:rFonts w:eastAsia="Times New Roman" w:cstheme="minorHAnsi"/>
          <w:sz w:val="24"/>
          <w:szCs w:val="24"/>
        </w:rPr>
        <w:t>weight</w:t>
      </w:r>
      <w:r w:rsidR="00C8017B">
        <w:rPr>
          <w:rFonts w:eastAsia="Times New Roman" w:cstheme="minorHAnsi"/>
          <w:sz w:val="24"/>
          <w:szCs w:val="24"/>
        </w:rPr>
        <w:t xml:space="preserve">-gain </w:t>
      </w:r>
      <w:r w:rsidR="00C8017B" w:rsidRPr="00BF60BC">
        <w:rPr>
          <w:rFonts w:eastAsia="Times New Roman" w:cstheme="minorHAnsi"/>
          <w:sz w:val="24"/>
          <w:szCs w:val="24"/>
        </w:rPr>
        <w:t>attempts</w:t>
      </w:r>
      <w:r w:rsidR="006C77A2" w:rsidRPr="00BF60BC">
        <w:rPr>
          <w:rFonts w:eastAsia="Times New Roman" w:cstheme="minorHAnsi"/>
          <w:sz w:val="24"/>
          <w:szCs w:val="24"/>
        </w:rPr>
        <w:t xml:space="preserve"> were more </w:t>
      </w:r>
      <w:r w:rsidR="00862721" w:rsidRPr="00BF60BC">
        <w:rPr>
          <w:rFonts w:eastAsia="Times New Roman" w:cstheme="minorHAnsi"/>
          <w:sz w:val="24"/>
          <w:szCs w:val="24"/>
        </w:rPr>
        <w:t>common</w:t>
      </w:r>
      <w:r w:rsidR="006C77A2" w:rsidRPr="00BF60BC">
        <w:rPr>
          <w:rFonts w:eastAsia="Times New Roman" w:cstheme="minorHAnsi"/>
          <w:sz w:val="24"/>
          <w:szCs w:val="24"/>
        </w:rPr>
        <w:t xml:space="preserve"> in boys</w:t>
      </w:r>
      <w:r w:rsidR="00862721" w:rsidRPr="00BF60BC">
        <w:rPr>
          <w:rFonts w:eastAsia="Times New Roman" w:cstheme="minorHAnsi"/>
          <w:sz w:val="24"/>
          <w:szCs w:val="24"/>
        </w:rPr>
        <w:t xml:space="preserve"> and became increasingly prevalent in this group over 15 years</w:t>
      </w:r>
      <w:r w:rsidR="006C77A2" w:rsidRPr="00BF60BC">
        <w:rPr>
          <w:rFonts w:eastAsia="Times New Roman" w:cstheme="minorHAnsi"/>
          <w:sz w:val="24"/>
          <w:szCs w:val="24"/>
        </w:rPr>
        <w:t xml:space="preserve">. </w:t>
      </w:r>
      <w:bookmarkEnd w:id="13"/>
      <w:r w:rsidR="006A57EB" w:rsidRPr="00BF60BC">
        <w:rPr>
          <w:rFonts w:eastAsia="Times New Roman" w:cstheme="minorHAnsi"/>
          <w:sz w:val="24"/>
          <w:szCs w:val="24"/>
        </w:rPr>
        <w:t>Recent evidence suggests that over the past couple of decades there has been a shift in media representation of male beauty ideals with lean muscular bodies increasingly being normali</w:t>
      </w:r>
      <w:r w:rsidR="006068CA">
        <w:rPr>
          <w:rFonts w:eastAsia="Times New Roman" w:cstheme="minorHAnsi"/>
          <w:sz w:val="24"/>
          <w:szCs w:val="24"/>
        </w:rPr>
        <w:t>z</w:t>
      </w:r>
      <w:r w:rsidR="006A57EB" w:rsidRPr="00BF60BC">
        <w:rPr>
          <w:rFonts w:eastAsia="Times New Roman" w:cstheme="minorHAnsi"/>
          <w:sz w:val="24"/>
          <w:szCs w:val="24"/>
        </w:rPr>
        <w:t>ed</w:t>
      </w:r>
      <w:r w:rsidR="00C8017B">
        <w:rPr>
          <w:rFonts w:eastAsia="Times New Roman" w:cstheme="minorHAnsi"/>
          <w:sz w:val="24"/>
          <w:szCs w:val="24"/>
        </w:rPr>
        <w:t>, which could explain our findings</w:t>
      </w:r>
      <w:r w:rsidR="006A57EB" w:rsidRPr="00BF60BC">
        <w:rPr>
          <w:rFonts w:eastAsia="Times New Roman" w:cstheme="minorHAnsi"/>
          <w:sz w:val="24"/>
          <w:szCs w:val="24"/>
        </w:rPr>
        <w:t>.</w:t>
      </w:r>
      <w:r w:rsidR="006A57EB" w:rsidRPr="00BF60BC">
        <w:rPr>
          <w:rFonts w:eastAsia="Times New Roman" w:cstheme="minorHAnsi"/>
          <w:sz w:val="24"/>
          <w:szCs w:val="24"/>
        </w:rPr>
        <w:fldChar w:fldCharType="begin" w:fldLock="1"/>
      </w:r>
      <w:r w:rsidR="00C5774B">
        <w:rPr>
          <w:rFonts w:eastAsia="Times New Roman" w:cstheme="minorHAnsi"/>
          <w:sz w:val="24"/>
          <w:szCs w:val="24"/>
        </w:rPr>
        <w:instrText>ADDIN CSL_CITATION {"citationItems":[{"id":"ITEM-1","itemData":{"DOI":"10.1001/jama.2016.17441","ISSN":"0098-7484","author":[{"dropping-particle":"","family":"Pope","given":"Harrison G.","non-dropping-particle":"","parse-names":false,"suffix":""},{"dropping-particle":"","family":"Khalsa","given":"Jag H.","non-dropping-particle":"","parse-names":false,"suffix":""},{"dropping-particle":"","family":"Bhasin","given":"Shalender","non-dropping-particle":"","parse-names":false,"suffix":""},{"dropping-particle":"","family":"G","given":"Cafri","non-dropping-particle":"","parse-names":false,"suffix":""},{"dropping-particle":"","family":"KA","given":"Phillips","non-dropping-particle":"","parse-names":false,"suffix":""},{"dropping-particle":"","family":"R","given":"Olivardia","non-dropping-particle":"","parse-names":false,"suffix":""},{"dropping-particle":"","family":"HG","given":"Pope","non-dropping-particle":"","parse-names":false,"suffix":""},{"dropping-particle":"","family":"EJ","given":"Ip","non-dropping-particle":"","parse-names":false,"suffix":""},{"dropping-particle":"","family":"EJ","given":"Ip","non-dropping-particle":"","parse-names":false,"suffix":""},{"dropping-particle":"","family":"ML","given":"Givens","non-dropping-particle":"","parse-names":false,"suffix":""},{"dropping-particle":"","family":"I","given":"Thiblin","non-dropping-particle":"","parse-names":false,"suffix":""},{"dropping-particle":"","family":"AL","given":"Baggish","non-dropping-particle":"","parse-names":false,"suffix":""},{"dropping-particle":"","family":"JJ","given":"Rasmussen","non-dropping-particle":"","parse-names":false,"suffix":""}],"container-title":"JAMA","id":"ITEM-1","issue":"1","issued":{"date-parts":[["2017","1","3"]]},"page":"23","publisher":"American Medical Association","title":"Body Image Disorders and Abuse of Anabolic-Androgenic Steroids Among Men","type":"article-journal","volume":"317"},"uris":["http://www.mendeley.com/documents/?uuid=a3cb3941-e2e3-3aaf-a53a-fe5fd681ffa7"]},{"id":"ITEM-2","itemData":{"DOI":"10.1002/(SICI)1098-108X(199907)26:1&lt;65::AID-EAT8&gt;3.0.CO;2-D","ISSN":"02763478","abstract":"Objective: We hypothesized that the physiques of male action toys - small plastic figures used by children in play - would provide some index of evolving American cultural ideals of male body image. Method: We obtained examples of the most popular American action toys manufactured over the last 30 years. We then measured the waist, chest, and bicep circumference of each figure and scaled these measurements using classical allometry to the height of an actual man (1.78 m). Results: We found that the figures have grown much more muscular over time, with many contemporary figures far exceeding the muscularity of even the largest human bodybuilders. Discussion: Our observations appear to represent a \"male analog\" of earlier studies examining female dolls, such as Barbie. Together, these studies of children's toys suggest that cultural expectations may contribute to body image disorders in both sexes. (C) 1999 by John Wiley &amp; Sons, Inc.","author":[{"dropping-particle":"","family":"Pope","given":"Harrison G.","non-dropping-particle":"","parse-names":false,"suffix":""},{"dropping-particle":"","family":"Olivardia","given":"Roberto","non-dropping-particle":"","parse-names":false,"suffix":""},{"dropping-particle":"","family":"Gruber","given":"Amanda","non-dropping-particle":"","parse-names":false,"suffix":""},{"dropping-particle":"","family":"Borowiecki","given":"John","non-dropping-particle":"","parse-names":false,"suffix":""}],"container-title":"International Journal of Eating Disorders","id":"ITEM-2","issued":{"date-parts":[["1999"]]},"title":"Evolving ideals of male body image as seen through action toys","type":"article-journal"},"uris":["http://www.mendeley.com/documents/?uuid=28c41ebb-c985-46b4-95dd-b6ad692bd3f0","http://www.mendeley.com/documents/?uuid=88efb54f-77b1-4c51-8b2c-bdd29e5436ff"]},{"id":"ITEM-3","itemData":{"DOI":"10.1007/s11920-017-0787-5","ISSN":"15351645","abstract":"Purpose of Review There is growing recognition that eating disorder (ED) symptoms, particularly those of a muscularity-oriented nature, are more common in men than previously understood. The purpose of the current review is to describe contemporary directions and implications of research on traditional and muscularity-oriented ED symptoms among males. Recent Findings Evidence indicates that ED symptoms occur in a substantial minority of men. Importantly, recent research has focused on muscularity-oriented body image and disordered eating in males, demonstrating the prevalence, correlates, and consequences of maladaptive muscularity-oriented attitudes and behaviors. A growing number of assessments are available to measure these constructs in males, and preliminary treatment considerations have begun to be addressed in the literature. Summary Research on male EDs and body image is increasingly focusing on muscularity-oriented manifestations. Continued empirical work will be critical to improve our understanding of the onset, maintenance, and treatment of muscularity-oriented disordered eating in males.","author":[{"dropping-particle":"","family":"Lavender","given":"Jason M.","non-dropping-particle":"","parse-names":false,"suffix":""},{"dropping-particle":"","family":"Brown","given":"Tiffany A.","non-dropping-particle":"","parse-names":false,"suffix":""},{"dropping-particle":"","family":"Murray","given":"Stuart B.","non-dropping-particle":"","parse-names":false,"suffix":""}],"container-title":"Current Psychiatry Reports","id":"ITEM-3","issue":"6","issued":{"date-parts":[["2017"]]},"title":"Men, Muscles, and Eating Disorders: an Overview of Traditional and Muscularity-Oriented Disordered Eating","type":"article","volume":"19"},"uris":["http://www.mendeley.com/documents/?uuid=8a67e63c-8076-4e95-bd32-c0bfdf493532"]}],"mendeley":{"formattedCitation":"&lt;sup&gt;31–33&lt;/sup&gt;","plainTextFormattedCitation":"31–33","previouslyFormattedCitation":"&lt;sup&gt;31–33&lt;/sup&gt;"},"properties":{"noteIndex":0},"schema":"https://github.com/citation-style-language/schema/raw/master/csl-citation.json"}</w:instrText>
      </w:r>
      <w:r w:rsidR="006A57EB" w:rsidRPr="00BF60BC">
        <w:rPr>
          <w:rFonts w:eastAsia="Times New Roman" w:cstheme="minorHAnsi"/>
          <w:sz w:val="24"/>
          <w:szCs w:val="24"/>
        </w:rPr>
        <w:fldChar w:fldCharType="separate"/>
      </w:r>
      <w:r w:rsidR="00C5774B" w:rsidRPr="00C5774B">
        <w:rPr>
          <w:rFonts w:eastAsia="Times New Roman" w:cstheme="minorHAnsi"/>
          <w:noProof/>
          <w:sz w:val="24"/>
          <w:szCs w:val="24"/>
          <w:vertAlign w:val="superscript"/>
        </w:rPr>
        <w:t>31–33</w:t>
      </w:r>
      <w:r w:rsidR="006A57EB" w:rsidRPr="00BF60BC">
        <w:rPr>
          <w:rFonts w:eastAsia="Times New Roman" w:cstheme="minorHAnsi"/>
          <w:sz w:val="24"/>
          <w:szCs w:val="24"/>
        </w:rPr>
        <w:fldChar w:fldCharType="end"/>
      </w:r>
      <w:r w:rsidR="006A57EB" w:rsidRPr="00BF60BC">
        <w:rPr>
          <w:rFonts w:eastAsia="Times New Roman" w:cstheme="minorHAnsi"/>
          <w:sz w:val="24"/>
          <w:szCs w:val="24"/>
        </w:rPr>
        <w:t xml:space="preserve"> By contrast, pressures on women to be thin have been present for longer in society with increases in dieting ads </w:t>
      </w:r>
      <w:r w:rsidR="00D61304" w:rsidRPr="00BF60BC">
        <w:rPr>
          <w:rFonts w:eastAsia="Times New Roman" w:cstheme="minorHAnsi"/>
          <w:sz w:val="24"/>
          <w:szCs w:val="24"/>
        </w:rPr>
        <w:t xml:space="preserve">already </w:t>
      </w:r>
      <w:r w:rsidR="006A57EB" w:rsidRPr="00BF60BC">
        <w:rPr>
          <w:rFonts w:eastAsia="Times New Roman" w:cstheme="minorHAnsi"/>
          <w:sz w:val="24"/>
          <w:szCs w:val="24"/>
        </w:rPr>
        <w:t>documented since the 1960s and 1970s</w:t>
      </w:r>
      <w:r w:rsidR="00D61304" w:rsidRPr="00BF60BC">
        <w:rPr>
          <w:rFonts w:eastAsia="Times New Roman" w:cstheme="minorHAnsi"/>
          <w:sz w:val="24"/>
          <w:szCs w:val="24"/>
        </w:rPr>
        <w:t xml:space="preserve"> in the US</w:t>
      </w:r>
      <w:r w:rsidR="006A57EB" w:rsidRPr="00BF60BC">
        <w:rPr>
          <w:rFonts w:eastAsia="Times New Roman" w:cstheme="minorHAnsi"/>
          <w:sz w:val="24"/>
          <w:szCs w:val="24"/>
        </w:rPr>
        <w:fldChar w:fldCharType="begin" w:fldLock="1"/>
      </w:r>
      <w:r w:rsidR="00C5774B">
        <w:rPr>
          <w:rFonts w:eastAsia="Times New Roman" w:cstheme="minorHAnsi"/>
          <w:sz w:val="24"/>
          <w:szCs w:val="24"/>
        </w:rPr>
        <w:instrText>ADDIN CSL_CITATION {"citationItems":[{"id":"ITEM-1","itemData":{"DOI":"10.2466/pr0.1980.47.2.483","ISSN":"00332941","abstract":"The present study examined the ideal woman's figure among Chinese people in Hong Kong over the past three decades by analyzing the data from the Miss Hong Kong Beauty Pageant from 1975-2000. Results indicate that Miss Hong Kong Pageant winners and Miss Photogenic winners have always been taller and thinner than average women in Hong Kong. The data also suggest that a curvaceous body shape with a narrow waist set against full hips appears to be an important component of feminine beauty among the Chinese. This ideal matches closely to what has been depicted in classical Chinese literature and challenges the commonly held belief that Chinese feminine beauty standards value plumpness.","author":[{"dropping-particle":"","family":"Garner","given":"D. M.","non-dropping-particle":"","parse-names":false,"suffix":""},{"dropping-particle":"","family":"Garfinkel","given":"P. E.","non-dropping-particle":"","parse-names":false,"suffix":""},{"dropping-particle":"","family":"Schwartz","given":"D.","non-dropping-particle":"","parse-names":false,"suffix":""},{"dropping-particle":"","family":"Thompson","given":"M.","non-dropping-particle":"","parse-names":false,"suffix":""}],"container-title":"Psychological reports","id":"ITEM-1","issued":{"date-parts":[["1980"]]},"title":"Cultural expectations of thinness in women.","type":"article-journal"},"uris":["http://www.mendeley.com/documents/?uuid=c7e3bbb8-c714-4016-a467-a77e1079ea1f"]},{"id":"ITEM-2","itemData":{"DOI":"10.1002/1098-108X(199201)11:1&lt;85::AID-EAT2260110112&gt;3.0.CO;2-T","ISSN":"1098108X","abstract":"An investigation of current American society's depiction of the ideal female body was performed. Body measurements of Playboy magazine centerfolds and Miss America contestants for 1979–1988 indicated body weight 13–19% below expected weight for women in that age group. Miss America contestants showed a significant decrease in expected weight between 1979 and 1988. Comparisons were made with an earlier study which had demonstrated that body measurements of both groups had decreased during the period 1959–1978. Diet‐for‐weight‐loss and exercise articles in six women's magazines were tabulated for 1959–1988. A significant increase in both diet articles and exercise articles occurred during this period. These findings suggest that the overvaluation of thinness continues and thinness is now sought through both dieting and exercise. Copyright © 1992 Wiley Periodicals, Inc., A Wiley Company","author":[{"dropping-particle":"V.","family":"Wiseman","given":"Claire","non-dropping-particle":"","parse-names":false,"suffix":""},{"dropping-particle":"","family":"Gray","given":"James J.","non-dropping-particle":"","parse-names":false,"suffix":""},{"dropping-particle":"","family":"Mosimann","given":"James E.","non-dropping-particle":"","parse-names":false,"suffix":""},{"dropping-particle":"","family":"Ahrens","given":"Anthony H.","non-dropping-particle":"","parse-names":false,"suffix":""}],"container-title":"International Journal of Eating Disorders","id":"ITEM-2","issued":{"date-parts":[["1992"]]},"title":"Cultural expectations of thinness in women: An update","type":"article-journal"},"uris":["http://www.mendeley.com/documents/?uuid=cc750818-bd7f-4c35-ab48-ada8be7c6638"]},{"id":"ITEM-3","itemData":{"DOI":"10.1080/10640269308248266","ISSN":"1532530X","abstract":"Abstract The number of television commercials for diet foods and diet products shown on the three major American networks was tabulated for the years 1973?1991. A significant increase in both diet food commercials and diet product commercials was found during this period, and during the different time periods throughout the day. The findings index the pressure placed upon Americans to purchase diet food and diet products. The significance of these findings with respect to eating disorders is discussed. Abstract The number of television commercials for diet foods and diet products shown on the three major American networks was tabulated for the years 1973?1991. A significant increase in both diet food commercials and diet product commercials was found during this period, and during the different time periods throughout the day. The findings index the pressure placed upon Americans to purchase diet food and diet products. The significance of these findings with respect to eating disorders is discussed.","author":[{"dropping-particle":"V.","family":"Wiseman","given":"Claire","non-dropping-particle":"","parse-names":false,"suffix":""},{"dropping-particle":"","family":"Gunning","given":"Faith M.","non-dropping-particle":"","parse-names":false,"suffix":""},{"dropping-particle":"","family":"Gray","given":"James J.","non-dropping-particle":"","parse-names":false,"suffix":""}],"container-title":"Eating Disorders","id":"ITEM-3","issued":{"date-parts":[["1993"]]},"title":"Increasing pressure to be thin: 19 years of diet products in television commercials","type":"article-journal"},"uris":["http://www.mendeley.com/documents/?uuid=9b38662b-c5b7-410b-ba56-1a55caf592a3"]},{"id":"ITEM-4","itemData":{"DOI":"10.1521/jscp.1990.9.2.230","ISSN":"0736-7236","abstract":"Used a social comparison theory paradigm to examine the impact of exposure to slides of thin, average, and oversize models on the self-evaluations of 162 university women exhibiting various levels of self-reported bulimic symptoms. Self-esteem was measured using the Bipolar Adjective Test of W. J. Ickes et al (1973) and the Body-Esteem Scale of S. L. Franzoi and S. A. Shields (see record 1984-22179-001). Contrary to expectations, exposure to thin models was related to lower self-evaluations regardless of level of bulimic symptoms. Ss reporting high levels of bulimic symptoms did, however, report a greater amount of pressure to be thin coming from media, peers, and family than did Ss reporting lower levels of symptoms.","author":[{"dropping-particle":"","family":"Irving","given":"Lori M.","non-dropping-particle":"","parse-names":false,"suffix":""}],"container-title":"Journal of Social and Clinical Psychology","id":"ITEM-4","issued":{"date-parts":[["1990"]]},"title":"Mirror Images: Effects of the Standard of Beauty on the Self- and Body-Esteem of Women Exhibiting Varying Levels of Bulimic Symptoms","type":"article-journal"},"uris":["http://www.mendeley.com/documents/?uuid=df24a8d8-c299-4b83-a60f-d39f16fc3b84"]}],"mendeley":{"formattedCitation":"&lt;sup&gt;34–37&lt;/sup&gt;","plainTextFormattedCitation":"34–37","previouslyFormattedCitation":"&lt;sup&gt;34–37&lt;/sup&gt;"},"properties":{"noteIndex":0},"schema":"https://github.com/citation-style-language/schema/raw/master/csl-citation.json"}</w:instrText>
      </w:r>
      <w:r w:rsidR="006A57EB" w:rsidRPr="00BF60BC">
        <w:rPr>
          <w:rFonts w:eastAsia="Times New Roman" w:cstheme="minorHAnsi"/>
          <w:sz w:val="24"/>
          <w:szCs w:val="24"/>
        </w:rPr>
        <w:fldChar w:fldCharType="separate"/>
      </w:r>
      <w:r w:rsidR="00C5774B" w:rsidRPr="00C5774B">
        <w:rPr>
          <w:rFonts w:eastAsia="Times New Roman" w:cstheme="minorHAnsi"/>
          <w:noProof/>
          <w:sz w:val="24"/>
          <w:szCs w:val="24"/>
          <w:vertAlign w:val="superscript"/>
        </w:rPr>
        <w:t>34–37</w:t>
      </w:r>
      <w:r w:rsidR="006A57EB" w:rsidRPr="00BF60BC">
        <w:rPr>
          <w:rFonts w:eastAsia="Times New Roman" w:cstheme="minorHAnsi"/>
          <w:sz w:val="24"/>
          <w:szCs w:val="24"/>
        </w:rPr>
        <w:fldChar w:fldCharType="end"/>
      </w:r>
      <w:r w:rsidR="00D61304" w:rsidRPr="00BF60BC">
        <w:rPr>
          <w:rFonts w:eastAsia="Times New Roman" w:cstheme="minorHAnsi"/>
          <w:sz w:val="24"/>
          <w:szCs w:val="24"/>
        </w:rPr>
        <w:t>, and becoming more common in the UK in the 1980s and 1990s.</w:t>
      </w:r>
      <w:r w:rsidR="00D61304" w:rsidRPr="00BF60BC">
        <w:rPr>
          <w:rFonts w:eastAsia="Times New Roman" w:cstheme="minorHAnsi"/>
          <w:sz w:val="24"/>
          <w:szCs w:val="24"/>
        </w:rPr>
        <w:fldChar w:fldCharType="begin" w:fldLock="1"/>
      </w:r>
      <w:r w:rsidR="00C5774B">
        <w:rPr>
          <w:rFonts w:eastAsia="Times New Roman" w:cstheme="minorHAnsi"/>
          <w:sz w:val="24"/>
          <w:szCs w:val="24"/>
        </w:rPr>
        <w:instrText>ADDIN CSL_CITATION {"citationItems":[{"id":"ITEM-1","itemData":{"DOI":"10.1111/jhn.12076","ISSN":"09523871","abstract":"Background: The present study examined temporality in the representation of food in two popular British women's magazines between 1950 and 1998. Methods: A quantitative content analysis of (i) prevalence of cooking, slimming, nutrition advice in articles; (ii) prevalence of food advertising by food type; and (iii) likelihood of various nutrition and consumer messages in advertising was performed on a sample comprising 200 magazines, with 3045 advertisements and 88 articles. Results: The prevalence of food advertisements decreased (P &lt; 0.001), whereas food articles increased, across decades (P &lt; 0.001). Cooking tips dominated 1950s food writing (100%), contrasting with miniscule coverage in the 1990s (5%). Slimming advice was not represented in 1950s articles and was most common in 1970s articles (55% of articles). Food advertising for all food types decreased in the 1990s decade. There were greater bread and cereals (P &lt; 0.001), protein foods (P = 0.001) and dairy (P &lt; 0.001) advertising in later decades; advertising for sugar- and fat-rich foods (P &lt; 0.001), condiments and baking ingredients (P &lt; 0.001) and beverages (P &lt; 0.001) was greater in earlier decades. Odds of advertising claims for energy, easy digestion, nourishment, general health, economy, good for family (all P &lt; 0.01), pleased others (P = 0.017) and convenience (P = 0.031) were greater in the 1950s and decreased thereafter. Claims around taste and quality were highest in the 1960s (all P &lt; 0.01). Mineral, additive-free, and protein claims were most likely to be invoked in 1970s advertising (all P &lt; 0.01). Low-fat, low-calorie and fibre claims peaked in the 1980s (all P &lt; 0.01), whereas the odds of specific fat claims was greatest in the 1990s (P = 0.015). Conclusions: Representation of food resonated with prevailing food culture but was not always congruent with nutrition policy. © 2013 The British Dietetic Association Ltd.","author":[{"dropping-particle":"","family":"Barker","given":"M. E.","non-dropping-particle":"","parse-names":false,"suffix":""},{"dropping-particle":"","family":"McNeir","given":"K.","non-dropping-particle":"","parse-names":false,"suffix":""},{"dropping-particle":"","family":"Sameer","given":"S.","non-dropping-particle":"","parse-names":false,"suffix":""},{"dropping-particle":"","family":"Russell","given":"J.","non-dropping-particle":"","parse-names":false,"suffix":""}],"container-title":"Journal of Human Nutrition and Dietetics","id":"ITEM-1","issue":"SUPPL2","issued":{"date-parts":[["2014","4"]]},"page":"124-134","publisher":"Blackwell Publishing Ltd","title":"Food, nutrition and slimming messages in British women's magazines, 1950-1998","type":"article-journal","volume":"27"},"uris":["http://www.mendeley.com/documents/?uuid=14cb1bac-553b-3359-8c06-415d065cecbe"]}],"mendeley":{"formattedCitation":"&lt;sup&gt;38&lt;/sup&gt;","plainTextFormattedCitation":"38","previouslyFormattedCitation":"&lt;sup&gt;38&lt;/sup&gt;"},"properties":{"noteIndex":0},"schema":"https://github.com/citation-style-language/schema/raw/master/csl-citation.json"}</w:instrText>
      </w:r>
      <w:r w:rsidR="00D61304" w:rsidRPr="00BF60BC">
        <w:rPr>
          <w:rFonts w:eastAsia="Times New Roman" w:cstheme="minorHAnsi"/>
          <w:sz w:val="24"/>
          <w:szCs w:val="24"/>
        </w:rPr>
        <w:fldChar w:fldCharType="separate"/>
      </w:r>
      <w:r w:rsidR="00C5774B" w:rsidRPr="00C5774B">
        <w:rPr>
          <w:rFonts w:eastAsia="Times New Roman" w:cstheme="minorHAnsi"/>
          <w:noProof/>
          <w:sz w:val="24"/>
          <w:szCs w:val="24"/>
          <w:vertAlign w:val="superscript"/>
        </w:rPr>
        <w:t>38</w:t>
      </w:r>
      <w:r w:rsidR="00D61304" w:rsidRPr="00BF60BC">
        <w:rPr>
          <w:rFonts w:eastAsia="Times New Roman" w:cstheme="minorHAnsi"/>
          <w:sz w:val="24"/>
          <w:szCs w:val="24"/>
        </w:rPr>
        <w:fldChar w:fldCharType="end"/>
      </w:r>
      <w:r w:rsidR="00C8017B">
        <w:rPr>
          <w:rFonts w:eastAsia="Times New Roman" w:cstheme="minorHAnsi"/>
          <w:sz w:val="24"/>
          <w:szCs w:val="24"/>
        </w:rPr>
        <w:t xml:space="preserve"> </w:t>
      </w:r>
    </w:p>
    <w:p w14:paraId="7A37D7E1" w14:textId="77777777" w:rsidR="002D3F95" w:rsidRPr="00BF60BC" w:rsidRDefault="002D3F95" w:rsidP="00655F22">
      <w:pPr>
        <w:spacing w:after="0" w:line="360" w:lineRule="auto"/>
        <w:jc w:val="both"/>
        <w:rPr>
          <w:rFonts w:eastAsia="Times New Roman" w:cstheme="minorHAnsi"/>
          <w:sz w:val="24"/>
          <w:szCs w:val="24"/>
        </w:rPr>
      </w:pPr>
    </w:p>
    <w:p w14:paraId="58FE342E" w14:textId="30047F60" w:rsidR="009C6647" w:rsidRPr="00BF60BC" w:rsidRDefault="002D3F95" w:rsidP="00655F22">
      <w:pPr>
        <w:spacing w:after="0" w:line="360" w:lineRule="auto"/>
        <w:jc w:val="both"/>
        <w:rPr>
          <w:rFonts w:eastAsia="Times New Roman" w:cstheme="minorHAnsi"/>
          <w:sz w:val="24"/>
          <w:szCs w:val="24"/>
        </w:rPr>
      </w:pPr>
      <w:bookmarkStart w:id="14" w:name="_Hlk38543904"/>
      <w:r w:rsidRPr="00BF60BC">
        <w:rPr>
          <w:rFonts w:eastAsia="Times New Roman" w:cstheme="minorHAnsi"/>
          <w:sz w:val="24"/>
          <w:szCs w:val="24"/>
        </w:rPr>
        <w:t xml:space="preserve">The prevalence of exercise for weight loss, on the other hand, has </w:t>
      </w:r>
      <w:r w:rsidR="006E7883" w:rsidRPr="00BF60BC">
        <w:rPr>
          <w:rFonts w:eastAsia="Times New Roman" w:cstheme="minorHAnsi"/>
          <w:sz w:val="24"/>
          <w:szCs w:val="24"/>
        </w:rPr>
        <w:t>increased</w:t>
      </w:r>
      <w:r w:rsidRPr="00BF60BC">
        <w:rPr>
          <w:rFonts w:eastAsia="Times New Roman" w:cstheme="minorHAnsi"/>
          <w:sz w:val="24"/>
          <w:szCs w:val="24"/>
        </w:rPr>
        <w:t xml:space="preserve"> from 1986 to 2015, in both boys and girls. Interestingly, evidence suggests that the proportion of adolescents engaging in vigorous physical activity has remained relatively s</w:t>
      </w:r>
      <w:r w:rsidR="00762F1D">
        <w:rPr>
          <w:rFonts w:eastAsia="Times New Roman" w:cstheme="minorHAnsi"/>
          <w:sz w:val="24"/>
          <w:szCs w:val="24"/>
        </w:rPr>
        <w:t>t</w:t>
      </w:r>
      <w:r w:rsidR="00173961">
        <w:rPr>
          <w:rFonts w:eastAsia="Times New Roman" w:cstheme="minorHAnsi"/>
          <w:sz w:val="24"/>
          <w:szCs w:val="24"/>
        </w:rPr>
        <w:t>able</w:t>
      </w:r>
      <w:r w:rsidRPr="00BF60BC">
        <w:rPr>
          <w:rFonts w:eastAsia="Times New Roman" w:cstheme="minorHAnsi"/>
          <w:sz w:val="24"/>
          <w:szCs w:val="24"/>
        </w:rPr>
        <w:t xml:space="preserve"> over the past few decades.</w:t>
      </w:r>
      <w:r w:rsidRPr="00BF60BC">
        <w:rPr>
          <w:rFonts w:eastAsia="Times New Roman" w:cstheme="minorHAnsi"/>
          <w:sz w:val="24"/>
          <w:szCs w:val="24"/>
        </w:rPr>
        <w:fldChar w:fldCharType="begin" w:fldLock="1"/>
      </w:r>
      <w:r w:rsidR="00C5774B">
        <w:rPr>
          <w:rFonts w:eastAsia="Times New Roman" w:cstheme="minorHAnsi"/>
          <w:sz w:val="24"/>
          <w:szCs w:val="24"/>
        </w:rPr>
        <w:instrText>ADDIN CSL_CITATION {"citationItems":[{"id":"ITEM-1","itemData":{"DOI":"10.1093/eurpub/ckl245","ISSN":"11011262","abstract":"Background: The aim is to study trends in physical activity and TV viewing in seven European countries in the period 1985-2002. Methods: The data are collected through questionnaires in the survey 'Health Behaviour in School-aged Children. A WHO Cross-national study', using nationally representative samples of 11-, 13-, and 15-year-olds. Between 1985/86 and 2001/02, a standard set of items was used to measure vigorous physical activity and TV watching in the study. Austria, Finland, Hungary, Norway, Scotland, Sweden, and Wales used these measures in all surveys. Results: Between 1985/86 and 2001/02, there was a slight increase in Finland in the proportions reporting vigorous physical activity 4 or more times a week, whereas as pattern of stability was observed for the other countries. Across all surveys and countries boys were more likely to report regular vigorous physical activity than girls. No clear pattern emerges when examining trends over time in TV watching. Boys reported spending more time watching TV than girls in all countries. The correlation between the two behaviours at the 1986 and 1998 measurement points was non-significant. Conclusion: The finding that boys were more likely to report regular vigorous physical activity and TV watching confirms results of previous studies. The present study of seven European countries generally indicates stability or a small increase in physical activity of boys and girls aged 11-15 from the mid-1980s to the early 2000s. © 2006. The Author(s).","author":[{"dropping-particle":"","family":"Samdal","given":"Oddrun","non-dropping-particle":"","parse-names":false,"suffix":""},{"dropping-particle":"","family":"Tynjälä","given":"Jorma","non-dropping-particle":"","parse-names":false,"suffix":""},{"dropping-particle":"","family":"Roberts","given":"Chris","non-dropping-particle":"","parse-names":false,"suffix":""},{"dropping-particle":"","family":"Sallis","given":"James F.","non-dropping-particle":"","parse-names":false,"suffix":""},{"dropping-particle":"","family":"Villberg","given":"Jari","non-dropping-particle":"","parse-names":false,"suffix":""},{"dropping-particle":"","family":"Wold","given":"Bente","non-dropping-particle":"","parse-names":false,"suffix":""}],"container-title":"European Journal of Public Health","id":"ITEM-1","issued":{"date-parts":[["2007"]]},"title":"Trends in vigorous physical activity and TV watching of adolescents from 1986 to 2002 in seven European Countries","type":"article-journal"},"uris":["http://www.mendeley.com/documents/?uuid=afb86f93-c7d0-4d2c-a1db-b2cea54e610c"]},{"id":"ITEM-2","itemData":{"DOI":"10.1016/S2352-4642(19)30323-2","ISSN":"23524642","abstract":"&lt;h2&gt;Summary&lt;/h2&gt;&lt;h3&gt;Background&lt;/h3&gt;&lt;p&gt;Physical activity has many health benefits for young people. In 2018, WHO launched More Active People for a Healthier World, a new global action on physical activity, including new targets of a 15% relative reduction of global prevalence of insufficient physical activity by 2030 among adolescents and adults. We describe current prevalence and trends of insufficient physical activity among school-going adolescents aged 11–17 years by country, region, and globally.&lt;/p&gt;&lt;h3&gt;Methods&lt;/h3&gt;&lt;p&gt;We did a pooled analysis of cross-sectional survey data that were collected through random sampling with a sample size of at least 100 individuals, were representative of a national or defined subnational population, and reported prevalence of of insufficient physical activity by sex in adolescents. Prevalence had to be reported for at least three of the years of age within the 10–19-year age range. We estimated the prevalence of insufficient physical activity in school-going adolescents aged 11–17 years (combined and by sex) for individual countries, for four World Bank income groups, nine regions, and globally for the years 2001–16. To derive a standard definition of insufficient physical activity and to adjust for urban-only survey coverage, we used regression models. We estimated time trends using multilevel mixed-effects modelling.&lt;/p&gt;&lt;h3&gt;Findings&lt;/h3&gt;&lt;p&gt;We used data from 298 school-based surveys from 146 countries, territories, and areas including 1·6 million students aged 11–17 years. Globally, in 2016, 81·0% (95% uncertainty interval 77·8–87·7) of students aged 11–17 years were insufficiently physically active (77·6% [76·1–80·4] of boys and 84·7% [83·0–88·2] of girls). Although prevalence of insufficient physical activity significantly decreased between 2001 and 2016 for boys (from 80·1% [78·3–81·6] in 2001), there was no significant change for girls (from 85·1% [83·1–88·0] in 2001). There was no clear pattern according to country income group: insufficient activity prevalence in 2016 was 84·9% (82·6–88·2) in low-income countries, 79·3% (77·2–87·5) in lower–middle-income countries, 83·9% (79·5–89·2) in upper–middle-income countries, and 79·4% (74·0–86·2) in high-income countries. The region with the highest prevalence of insufficient activity in 2016 was high-income Asia Pacific for both boys (89·0%, 62·8–92·2) and girls (95·6%, 73·7–97·9). The regions with the lowest prevalence were high-income western countries for boys (72·1…","author":[{"dropping-particle":"","family":"Guthold","given":"Regina","non-dropping-particle":"","parse-names":false,"suffix":""},{"dropping-particle":"","family":"Stevens","given":"Gretchen A","non-dropping-particle":"","parse-names":false,"suffix":""},{"dropping-particle":"","family":"Riley","given":"Leanne M","non-dropping-particle":"","parse-names":false,"suffix":""},{"dropping-particle":"","family":"Bull","given":"Fiona C","non-dropping-particle":"","parse-names":false,"suffix":""}],"container-title":"The Lancet Child &amp; Adolescent Health","id":"ITEM-2","issue":"0","issued":{"date-parts":[["2019","11"]]},"publisher":"Elsevier","title":"Global trends in insufficient physical activity among adolescents: a pooled analysis of 298 population-based surveys with 1·6 million participants","type":"article-journal","volume":"0"},"uris":["http://www.mendeley.com/documents/?uuid=a636463b-ec8e-36c5-b1ae-3bc4e87aa118"]}],"mendeley":{"formattedCitation":"&lt;sup&gt;39,40&lt;/sup&gt;","plainTextFormattedCitation":"39,40","previouslyFormattedCitation":"&lt;sup&gt;39,40&lt;/sup&gt;"},"properties":{"noteIndex":0},"schema":"https://github.com/citation-style-language/schema/raw/master/csl-citation.json"}</w:instrText>
      </w:r>
      <w:r w:rsidRPr="00BF60BC">
        <w:rPr>
          <w:rFonts w:eastAsia="Times New Roman" w:cstheme="minorHAnsi"/>
          <w:sz w:val="24"/>
          <w:szCs w:val="24"/>
        </w:rPr>
        <w:fldChar w:fldCharType="separate"/>
      </w:r>
      <w:r w:rsidR="00C5774B" w:rsidRPr="00C5774B">
        <w:rPr>
          <w:rFonts w:eastAsia="Times New Roman" w:cstheme="minorHAnsi"/>
          <w:noProof/>
          <w:sz w:val="24"/>
          <w:szCs w:val="24"/>
          <w:vertAlign w:val="superscript"/>
        </w:rPr>
        <w:t>39,40</w:t>
      </w:r>
      <w:r w:rsidRPr="00BF60BC">
        <w:rPr>
          <w:rFonts w:eastAsia="Times New Roman" w:cstheme="minorHAnsi"/>
          <w:sz w:val="24"/>
          <w:szCs w:val="24"/>
        </w:rPr>
        <w:fldChar w:fldCharType="end"/>
      </w:r>
      <w:r w:rsidR="009C6647" w:rsidRPr="00BF60BC">
        <w:rPr>
          <w:rFonts w:eastAsia="Times New Roman" w:cstheme="minorHAnsi"/>
          <w:sz w:val="24"/>
          <w:szCs w:val="24"/>
        </w:rPr>
        <w:t xml:space="preserve"> </w:t>
      </w:r>
      <w:r w:rsidRPr="00BF60BC">
        <w:rPr>
          <w:rFonts w:eastAsia="Times New Roman" w:cstheme="minorHAnsi"/>
          <w:sz w:val="24"/>
          <w:szCs w:val="24"/>
        </w:rPr>
        <w:t>It is thus possible that the growing narrative around physical activity as a way to prevent or reduce overweight and obesity–reflected in recent controversial calls to add ‘exercise-equivalent’ labels on food packaging</w:t>
      </w:r>
      <w:r w:rsidRPr="00BF60BC">
        <w:rPr>
          <w:rFonts w:eastAsia="Times New Roman" w:cstheme="minorHAnsi"/>
          <w:sz w:val="24"/>
          <w:szCs w:val="24"/>
        </w:rPr>
        <w:fldChar w:fldCharType="begin" w:fldLock="1"/>
      </w:r>
      <w:r w:rsidR="00C5774B">
        <w:rPr>
          <w:rFonts w:eastAsia="Times New Roman" w:cstheme="minorHAnsi"/>
          <w:sz w:val="24"/>
          <w:szCs w:val="24"/>
        </w:rPr>
        <w:instrText>ADDIN CSL_CITATION {"citationItems":[{"id":"ITEM-1","itemData":{"DOI":"10.1136/jech-2019-213216","ISSN":"1470-2738","PMID":"31822568","abstract":"BACKGROUND There is limited evidence that nutritional labelling on food/drinks is changing eating behaviours. Physical activity calorie equivalent (PACE) food labelling aims to provide the public with information about the amount of physical activity required to expend the number of kilocalories in food/drinks (eg, calories in this pizza requires 45 min of running to burn), to encourage healthier food choices and reduce disease. OBJECTIVE We aimed to systematically search for randomised controlled trials and experimental studies of the effects of PACE food labelling on the selection, purchase or consumption of food/drinks. METHODS PACE food labelling was compared with any other type of food labelling or no labelling (comparator). Reports were identified by searching electronic databases, websites and social media platforms. Inverse variance meta-analysis was used to summarise evidence. Weighted mean differences (WMD) and 95% CIs were used to describe between-group differences using a random effects model. RESULTS 15 studies were eligible for inclusion. When PACE labelling was displayed on food/drinks and menus, significantly fewer calories were selected, relative to comparator labelling (WMD=-64.9 kcal, 95% CI -103.2 to -26.6, p=0.009, n=4606). Presenting participants with PACE food labelling results in the consumption of significantly fewer calories (WMD=-80.4 kcal, 95% CI-136.7 to -24.2, p=0.005, n=486) relative to comparator food labelling. CONCLUSION Based on current evidence PACE food labelling may reduce the number of kilocalories selected from menus and decrease the number of kilocalories/grams of food consumed by the public, compared with other types of food labelling/no labelling. TRIAL REGISTRATION NUMBER CRD42018088567.","author":[{"dropping-particle":"","family":"Daley","given":"Amanda J","non-dropping-particle":"","parse-names":false,"suffix":""},{"dropping-particle":"","family":"McGee","given":"Eleanor","non-dropping-particle":"","parse-names":false,"suffix":""},{"dropping-particle":"","family":"Bayliss","given":"Sue","non-dropping-particle":"","parse-names":false,"suffix":""},{"dropping-particle":"","family":"Coombe","given":"April","non-dropping-particle":"","parse-names":false,"suffix":""},{"dropping-particle":"","family":"Parretti","given":"Helen M","non-dropping-particle":"","parse-names":false,"suffix":""}],"container-title":"Journal of epidemiology and community health","id":"ITEM-1","issued":{"date-parts":[["2019","12","10"]]},"publisher":"BMJ Publishing Group Ltd","title":"Effects of physical activity calorie equivalent food labelling to reduce food selection and consumption: systematic review and meta-analysis of randomised controlled studies.","type":"article-journal"},"uris":["http://www.mendeley.com/documents/?uuid=efb916e3-35b5-3b68-887d-e0be6f79f205"]}],"mendeley":{"formattedCitation":"&lt;sup&gt;41&lt;/sup&gt;","plainTextFormattedCitation":"41","previouslyFormattedCitation":"&lt;sup&gt;41&lt;/sup&gt;"},"properties":{"noteIndex":0},"schema":"https://github.com/citation-style-language/schema/raw/master/csl-citation.json"}</w:instrText>
      </w:r>
      <w:r w:rsidRPr="00BF60BC">
        <w:rPr>
          <w:rFonts w:eastAsia="Times New Roman" w:cstheme="minorHAnsi"/>
          <w:sz w:val="24"/>
          <w:szCs w:val="24"/>
        </w:rPr>
        <w:fldChar w:fldCharType="separate"/>
      </w:r>
      <w:r w:rsidR="00C5774B" w:rsidRPr="00C5774B">
        <w:rPr>
          <w:rFonts w:eastAsia="Times New Roman" w:cstheme="minorHAnsi"/>
          <w:noProof/>
          <w:sz w:val="24"/>
          <w:szCs w:val="24"/>
          <w:vertAlign w:val="superscript"/>
        </w:rPr>
        <w:t>41</w:t>
      </w:r>
      <w:r w:rsidRPr="00BF60BC">
        <w:rPr>
          <w:rFonts w:eastAsia="Times New Roman" w:cstheme="minorHAnsi"/>
          <w:sz w:val="24"/>
          <w:szCs w:val="24"/>
        </w:rPr>
        <w:fldChar w:fldCharType="end"/>
      </w:r>
      <w:r w:rsidRPr="00BF60BC">
        <w:rPr>
          <w:rFonts w:eastAsia="Times New Roman" w:cstheme="minorHAnsi"/>
          <w:sz w:val="24"/>
          <w:szCs w:val="24"/>
        </w:rPr>
        <w:t>–might have led adolescents to think of exercise predominantly as a means to lose weight. Although exercise can be effective at reducing body weight</w:t>
      </w:r>
      <w:r w:rsidRPr="00BF60BC">
        <w:rPr>
          <w:rFonts w:eastAsia="Times New Roman" w:cstheme="minorHAnsi"/>
          <w:sz w:val="24"/>
          <w:szCs w:val="24"/>
        </w:rPr>
        <w:fldChar w:fldCharType="begin" w:fldLock="1"/>
      </w:r>
      <w:r w:rsidR="00C5774B">
        <w:rPr>
          <w:rFonts w:eastAsia="Times New Roman" w:cstheme="minorHAnsi"/>
          <w:sz w:val="24"/>
          <w:szCs w:val="24"/>
        </w:rPr>
        <w:instrText>ADDIN CSL_CITATION {"citationItems":[{"id":"ITEM-1","itemData":{"DOI":"10.1002/14651858.CD001871.pub4","ISSN":"14651858","author":[{"dropping-particle":"","family":"Brown","given":"Tamara","non-dropping-particle":"","parse-names":false,"suffix":""},{"dropping-particle":"","family":"Moore","given":"Theresa HM","non-dropping-particle":"","parse-names":false,"suffix":""},{"dropping-particle":"","family":"Hooper","given":"Lee","non-dropping-particle":"","parse-names":false,"suffix":""},{"dropping-particle":"","family":"Gao","given":"Yang","non-dropping-particle":"","parse-names":false,"suffix":""},{"dropping-particle":"","family":"Zayegh","given":"Amir","non-dropping-particle":"","parse-names":false,"suffix":""},{"dropping-particle":"","family":"Ijaz","given":"Sharea","non-dropping-particle":"","parse-names":false,"suffix":""},{"dropping-particle":"","family":"Elwenspoek","given":"Martha","non-dropping-particle":"","parse-names":false,"suffix":""},{"dropping-particle":"","family":"Foxen","given":"Sophie C","non-dropping-particle":"","parse-names":false,"suffix":""},{"dropping-particle":"","family":"Magee","given":"Lucia","non-dropping-particle":"","parse-names":false,"suffix":""},{"dropping-particle":"","family":"O'Malley","given":"Claire","non-dropping-particle":"","parse-names":false,"suffix":""},{"dropping-particle":"","family":"Waters","given":"Elizabeth","non-dropping-particle":"","parse-names":false,"suffix":""},{"dropping-particle":"","family":"Summerbell","given":"Carolyn D","non-dropping-particle":"","parse-names":false,"suffix":""}],"container-title":"Cochrane Database of Systematic Reviews","id":"ITEM-1","issue":"7","issued":{"date-parts":[["2019","7"]]},"publisher":"John Wiley &amp; Sons, Ltd","title":"Interventions for preventing obesity in children","type":"article-journal"},"uris":["http://www.mendeley.com/documents/?uuid=d91e0e30-7dee-4872-a718-634de89dcfa7","http://www.mendeley.com/documents/?uuid=7df75298-b564-3060-9e0b-24b6a8a889a1"]}],"mendeley":{"formattedCitation":"&lt;sup&gt;42&lt;/sup&gt;","plainTextFormattedCitation":"42","previouslyFormattedCitation":"&lt;sup&gt;42&lt;/sup&gt;"},"properties":{"noteIndex":0},"schema":"https://github.com/citation-style-language/schema/raw/master/csl-citation.json"}</w:instrText>
      </w:r>
      <w:r w:rsidRPr="00BF60BC">
        <w:rPr>
          <w:rFonts w:eastAsia="Times New Roman" w:cstheme="minorHAnsi"/>
          <w:sz w:val="24"/>
          <w:szCs w:val="24"/>
        </w:rPr>
        <w:fldChar w:fldCharType="separate"/>
      </w:r>
      <w:r w:rsidR="00C5774B" w:rsidRPr="00C5774B">
        <w:rPr>
          <w:rFonts w:eastAsia="Times New Roman" w:cstheme="minorHAnsi"/>
          <w:noProof/>
          <w:sz w:val="24"/>
          <w:szCs w:val="24"/>
          <w:vertAlign w:val="superscript"/>
        </w:rPr>
        <w:t>42</w:t>
      </w:r>
      <w:r w:rsidRPr="00BF60BC">
        <w:rPr>
          <w:rFonts w:eastAsia="Times New Roman" w:cstheme="minorHAnsi"/>
          <w:sz w:val="24"/>
          <w:szCs w:val="24"/>
        </w:rPr>
        <w:fldChar w:fldCharType="end"/>
      </w:r>
      <w:r w:rsidRPr="00BF60BC">
        <w:rPr>
          <w:rFonts w:eastAsia="Times New Roman" w:cstheme="minorHAnsi"/>
          <w:sz w:val="24"/>
          <w:szCs w:val="24"/>
        </w:rPr>
        <w:t xml:space="preserve">, evidence suggests that the motivation behind exercise such as wanting to lose weight and feeling guilty if not exercising </w:t>
      </w:r>
      <w:r w:rsidR="00EE568B" w:rsidRPr="00BF60BC">
        <w:rPr>
          <w:rFonts w:eastAsia="Times New Roman" w:cstheme="minorHAnsi"/>
          <w:sz w:val="24"/>
          <w:szCs w:val="24"/>
        </w:rPr>
        <w:t>are</w:t>
      </w:r>
      <w:r w:rsidRPr="00BF60BC">
        <w:rPr>
          <w:rFonts w:eastAsia="Times New Roman" w:cstheme="minorHAnsi"/>
          <w:sz w:val="24"/>
          <w:szCs w:val="24"/>
        </w:rPr>
        <w:t xml:space="preserve"> important indicator</w:t>
      </w:r>
      <w:r w:rsidR="00EE568B" w:rsidRPr="00BF60BC">
        <w:rPr>
          <w:rFonts w:eastAsia="Times New Roman" w:cstheme="minorHAnsi"/>
          <w:sz w:val="24"/>
          <w:szCs w:val="24"/>
        </w:rPr>
        <w:t>s</w:t>
      </w:r>
      <w:r w:rsidRPr="00BF60BC">
        <w:rPr>
          <w:rFonts w:eastAsia="Times New Roman" w:cstheme="minorHAnsi"/>
          <w:sz w:val="24"/>
          <w:szCs w:val="24"/>
        </w:rPr>
        <w:t xml:space="preserve"> of negative psychopathology, including depressive and eating disorder symptoms.</w:t>
      </w:r>
      <w:r w:rsidRPr="00BF60BC">
        <w:rPr>
          <w:rFonts w:eastAsia="Times New Roman" w:cstheme="minorHAnsi"/>
          <w:sz w:val="24"/>
          <w:szCs w:val="24"/>
        </w:rPr>
        <w:fldChar w:fldCharType="begin" w:fldLock="1"/>
      </w:r>
      <w:r w:rsidR="00C5774B">
        <w:rPr>
          <w:rFonts w:eastAsia="Times New Roman" w:cstheme="minorHAnsi"/>
          <w:sz w:val="24"/>
          <w:szCs w:val="24"/>
        </w:rPr>
        <w:instrText>ADDIN CSL_CITATION {"citationItems":[{"id":"ITEM-1","itemData":{"DOI":"10.1002/eat.20214","ISBN":"0276-3478 (Print)\\r0276-3478 (Linking)","ISSN":"02763478","PMID":"16231344","abstract":"OBJECTIVE: The current study informed the definition of \"excessive exercise\" by examining relations between exercise behavior, eating-disordered behavior, and quality of life (QOL) in a community sample of women. METHOD: Self-report measures of frequency of exercise, obligatory exercise and motivation for exercise, and of eating disorder psychopathology and QOL, were completed by 3,472 women aged 18-42 years who engaged in regular exercise. RESULTS: The extent to which exercise is intended to influence weight or shape and the degree to which guilt is experienced when exercise is postponed were the exercise variables most strongly associated with elevated levels of eating disorder psychopathology and reduced QOL. Subgroups of participants who reported exercising solely for weight and shape reasons (n = 322 [9.3%]), intense guilt after postponement of exercise (n = 136 [3.9%]), or both (n = 116 [3.3%]), had markedly elevated levels of eating disorder psychopathology. There was no association between excessive exercise and reduced QOL after the effects of eating disorder psychopathology were statistically controlled. CONCLUSION: The findings suggest that exercise is excessive when its postponement is accompanied by intense guilt or when it is undertaken solely to influence weight or shape. Operational definitions of excessive exercise might usefully include reference to these terms. The findings may also be of benefit in informing the content of prevention programs, which address dysfunctional exercise behavior. Excessive exercise is unlikely to be associated with impairment in psychosocial functioning in the absence of eating disorder psychopathology. It may, however, be a useful indicator of such psychopathology.","author":[{"dropping-particle":"","family":"Mond","given":"Jonathan M.","non-dropping-particle":"","parse-names":false,"suffix":""},{"dropping-particle":"","family":"Hay","given":"Phillipa J.","non-dropping-particle":"","parse-names":false,"suffix":""},{"dropping-particle":"","family":"Rodgers","given":"Bryan","non-dropping-particle":"","parse-names":false,"suffix":""},{"dropping-particle":"","family":"Owen","given":"Cathy","non-dropping-particle":"","parse-names":false,"suffix":""}],"container-title":"International Journal of Eating Disorders","id":"ITEM-1","issue":"2","issued":{"date-parts":[["2006"]]},"page":"147-153","title":"An update on the definition of \"excessive exercise\" in eating disorders research","type":"article-journal","volume":"39"},"uris":["http://www.mendeley.com/documents/?uuid=4a054080-ee19-44de-9a8f-e724643fb72b"]}],"mendeley":{"formattedCitation":"&lt;sup&gt;43&lt;/sup&gt;","plainTextFormattedCitation":"43","previouslyFormattedCitation":"&lt;sup&gt;43&lt;/sup&gt;"},"properties":{"noteIndex":0},"schema":"https://github.com/citation-style-language/schema/raw/master/csl-citation.json"}</w:instrText>
      </w:r>
      <w:r w:rsidRPr="00BF60BC">
        <w:rPr>
          <w:rFonts w:eastAsia="Times New Roman" w:cstheme="minorHAnsi"/>
          <w:sz w:val="24"/>
          <w:szCs w:val="24"/>
        </w:rPr>
        <w:fldChar w:fldCharType="separate"/>
      </w:r>
      <w:r w:rsidR="00C5774B" w:rsidRPr="00C5774B">
        <w:rPr>
          <w:rFonts w:eastAsia="Times New Roman" w:cstheme="minorHAnsi"/>
          <w:noProof/>
          <w:sz w:val="24"/>
          <w:szCs w:val="24"/>
          <w:vertAlign w:val="superscript"/>
        </w:rPr>
        <w:t>43</w:t>
      </w:r>
      <w:r w:rsidRPr="00BF60BC">
        <w:rPr>
          <w:rFonts w:eastAsia="Times New Roman" w:cstheme="minorHAnsi"/>
          <w:sz w:val="24"/>
          <w:szCs w:val="24"/>
        </w:rPr>
        <w:fldChar w:fldCharType="end"/>
      </w:r>
      <w:r w:rsidRPr="00BF60BC">
        <w:rPr>
          <w:rFonts w:eastAsia="Times New Roman" w:cstheme="minorHAnsi"/>
          <w:sz w:val="24"/>
          <w:szCs w:val="24"/>
        </w:rPr>
        <w:t xml:space="preserve"> </w:t>
      </w:r>
      <w:bookmarkStart w:id="15" w:name="_Hlk37433609"/>
      <w:r w:rsidR="009C6647" w:rsidRPr="00BF60BC">
        <w:rPr>
          <w:rFonts w:eastAsia="Times New Roman" w:cstheme="minorHAnsi"/>
          <w:sz w:val="24"/>
          <w:szCs w:val="24"/>
        </w:rPr>
        <w:t>P</w:t>
      </w:r>
      <w:r w:rsidR="009C6647" w:rsidRPr="00BF60BC" w:rsidDel="0010570A">
        <w:rPr>
          <w:rFonts w:eastAsia="Times New Roman" w:cstheme="minorHAnsi"/>
          <w:sz w:val="24"/>
          <w:szCs w:val="24"/>
        </w:rPr>
        <w:t>ublic health campaigns and clinicians</w:t>
      </w:r>
      <w:r w:rsidR="00EA5771" w:rsidRPr="00BF60BC">
        <w:rPr>
          <w:rFonts w:eastAsia="Times New Roman" w:cstheme="minorHAnsi"/>
          <w:sz w:val="24"/>
          <w:szCs w:val="24"/>
        </w:rPr>
        <w:t xml:space="preserve"> </w:t>
      </w:r>
      <w:r w:rsidR="009C6647" w:rsidRPr="00BF60BC" w:rsidDel="0010570A">
        <w:rPr>
          <w:rFonts w:eastAsia="Times New Roman" w:cstheme="minorHAnsi"/>
          <w:sz w:val="24"/>
          <w:szCs w:val="24"/>
        </w:rPr>
        <w:t xml:space="preserve">should </w:t>
      </w:r>
      <w:r w:rsidR="009C6647" w:rsidRPr="00BF60BC">
        <w:rPr>
          <w:rFonts w:eastAsia="Times New Roman" w:cstheme="minorHAnsi"/>
          <w:sz w:val="24"/>
          <w:szCs w:val="24"/>
        </w:rPr>
        <w:t xml:space="preserve">therefore </w:t>
      </w:r>
      <w:r w:rsidR="009C6647" w:rsidRPr="00BF60BC" w:rsidDel="0010570A">
        <w:rPr>
          <w:rFonts w:eastAsia="Times New Roman" w:cstheme="minorHAnsi"/>
          <w:sz w:val="24"/>
          <w:szCs w:val="24"/>
        </w:rPr>
        <w:t>consider the potential negative implications of how messages around physical activity are delivered. These should not to foster feelings of guilt or shame, but, rather highlight broader positive aspects of exercise such as improving well-being</w:t>
      </w:r>
      <w:r w:rsidR="00C5774B">
        <w:rPr>
          <w:rFonts w:eastAsia="Times New Roman" w:cstheme="minorHAnsi"/>
          <w:sz w:val="24"/>
          <w:szCs w:val="24"/>
        </w:rPr>
        <w:t xml:space="preserve"> </w:t>
      </w:r>
      <w:r w:rsidR="009C6647" w:rsidRPr="00BF60BC">
        <w:rPr>
          <w:rFonts w:eastAsia="Times New Roman" w:cstheme="minorHAnsi"/>
          <w:sz w:val="24"/>
          <w:szCs w:val="24"/>
        </w:rPr>
        <w:t>and strength</w:t>
      </w:r>
      <w:r w:rsidR="009C6647" w:rsidRPr="00BF60BC" w:rsidDel="0010570A">
        <w:rPr>
          <w:rFonts w:eastAsia="Times New Roman" w:cstheme="minorHAnsi"/>
          <w:sz w:val="24"/>
          <w:szCs w:val="24"/>
        </w:rPr>
        <w:t>,</w:t>
      </w:r>
      <w:r w:rsidR="00C5774B">
        <w:rPr>
          <w:rFonts w:eastAsia="Times New Roman" w:cstheme="minorHAnsi"/>
          <w:sz w:val="24"/>
          <w:szCs w:val="24"/>
        </w:rPr>
        <w:t xml:space="preserve"> learning new skills,</w:t>
      </w:r>
      <w:r w:rsidR="009C6647" w:rsidRPr="00BF60BC" w:rsidDel="0010570A">
        <w:rPr>
          <w:rFonts w:eastAsia="Times New Roman" w:cstheme="minorHAnsi"/>
          <w:sz w:val="24"/>
          <w:szCs w:val="24"/>
        </w:rPr>
        <w:t xml:space="preserve"> </w:t>
      </w:r>
      <w:r w:rsidR="003955CE">
        <w:rPr>
          <w:rFonts w:eastAsia="Times New Roman" w:cstheme="minorHAnsi"/>
          <w:sz w:val="24"/>
          <w:szCs w:val="24"/>
        </w:rPr>
        <w:t xml:space="preserve">and </w:t>
      </w:r>
      <w:r w:rsidR="009C6647" w:rsidRPr="00BF60BC" w:rsidDel="0010570A">
        <w:rPr>
          <w:rFonts w:eastAsia="Times New Roman" w:cstheme="minorHAnsi"/>
          <w:sz w:val="24"/>
          <w:szCs w:val="24"/>
        </w:rPr>
        <w:t>socialising with friends</w:t>
      </w:r>
      <w:r w:rsidR="003955CE">
        <w:rPr>
          <w:rFonts w:eastAsia="Times New Roman" w:cstheme="minorHAnsi"/>
          <w:sz w:val="24"/>
          <w:szCs w:val="24"/>
        </w:rPr>
        <w:t>.</w:t>
      </w:r>
    </w:p>
    <w:bookmarkEnd w:id="15"/>
    <w:p w14:paraId="65F8145D" w14:textId="77777777" w:rsidR="00D61304" w:rsidRPr="00BF60BC" w:rsidRDefault="00D61304" w:rsidP="00655F22">
      <w:pPr>
        <w:spacing w:after="0" w:line="360" w:lineRule="auto"/>
        <w:jc w:val="both"/>
        <w:rPr>
          <w:rFonts w:eastAsia="Times New Roman" w:cstheme="minorHAnsi"/>
          <w:sz w:val="24"/>
          <w:szCs w:val="24"/>
        </w:rPr>
      </w:pPr>
    </w:p>
    <w:p w14:paraId="3DE379D5" w14:textId="42FDFB26" w:rsidR="005669A0" w:rsidRPr="00C5774B" w:rsidRDefault="00B355F9" w:rsidP="00C5774B">
      <w:pPr>
        <w:spacing w:line="360" w:lineRule="auto"/>
        <w:jc w:val="both"/>
        <w:rPr>
          <w:iCs/>
          <w:sz w:val="24"/>
          <w:szCs w:val="24"/>
        </w:rPr>
      </w:pPr>
      <w:r w:rsidRPr="00BF60BC">
        <w:rPr>
          <w:rFonts w:eastAsia="Times New Roman" w:cstheme="minorHAnsi"/>
          <w:sz w:val="24"/>
          <w:szCs w:val="24"/>
        </w:rPr>
        <w:t>It is noteworthy that</w:t>
      </w:r>
      <w:r w:rsidR="0036553F" w:rsidRPr="00BF60BC">
        <w:rPr>
          <w:rFonts w:eastAsia="Times New Roman" w:cstheme="minorHAnsi"/>
          <w:sz w:val="24"/>
          <w:szCs w:val="24"/>
        </w:rPr>
        <w:t xml:space="preserve"> the </w:t>
      </w:r>
      <w:r w:rsidR="00460649" w:rsidRPr="00BF60BC">
        <w:rPr>
          <w:rFonts w:eastAsia="Times New Roman" w:cstheme="minorHAnsi"/>
          <w:sz w:val="24"/>
          <w:szCs w:val="24"/>
        </w:rPr>
        <w:t>trends</w:t>
      </w:r>
      <w:r w:rsidR="002D3F95" w:rsidRPr="00BF60BC">
        <w:rPr>
          <w:rFonts w:eastAsia="Times New Roman" w:cstheme="minorHAnsi"/>
          <w:sz w:val="24"/>
          <w:szCs w:val="24"/>
        </w:rPr>
        <w:t xml:space="preserve"> we observed were not explained by changes in BMI across cohorts</w:t>
      </w:r>
      <w:r w:rsidR="00460649" w:rsidRPr="00BF60BC">
        <w:rPr>
          <w:rFonts w:eastAsia="Times New Roman" w:cstheme="minorHAnsi"/>
          <w:sz w:val="24"/>
          <w:szCs w:val="24"/>
        </w:rPr>
        <w:t>,</w:t>
      </w:r>
      <w:r w:rsidR="00002B6B" w:rsidRPr="00BF60BC">
        <w:rPr>
          <w:rFonts w:eastAsia="Times New Roman" w:cstheme="minorHAnsi"/>
          <w:sz w:val="24"/>
          <w:szCs w:val="24"/>
        </w:rPr>
        <w:t xml:space="preserve"> and that adolescents increasingly overestimate their weight in more recent cohorts, albeit with different patterns in boys and girls.</w:t>
      </w:r>
      <w:r w:rsidR="00C8017B">
        <w:rPr>
          <w:rFonts w:eastAsia="Times New Roman" w:cstheme="minorHAnsi"/>
          <w:sz w:val="24"/>
          <w:szCs w:val="24"/>
        </w:rPr>
        <w:t xml:space="preserve"> </w:t>
      </w:r>
      <w:r w:rsidR="00C8017B" w:rsidRPr="006F5CCA">
        <w:rPr>
          <w:iCs/>
          <w:sz w:val="24"/>
          <w:szCs w:val="24"/>
        </w:rPr>
        <w:t>In 2015 and 2005 boys</w:t>
      </w:r>
      <w:r w:rsidR="00C8017B">
        <w:rPr>
          <w:iCs/>
          <w:sz w:val="24"/>
          <w:szCs w:val="24"/>
        </w:rPr>
        <w:t xml:space="preserve"> in the normal weight range became</w:t>
      </w:r>
      <w:r w:rsidR="00C8017B" w:rsidRPr="006F5CCA">
        <w:rPr>
          <w:iCs/>
          <w:sz w:val="24"/>
          <w:szCs w:val="24"/>
        </w:rPr>
        <w:t xml:space="preserve"> more likely to think they were overweight</w:t>
      </w:r>
      <w:r w:rsidR="00C8017B">
        <w:rPr>
          <w:iCs/>
          <w:sz w:val="24"/>
          <w:szCs w:val="24"/>
        </w:rPr>
        <w:t xml:space="preserve"> compared to 1986</w:t>
      </w:r>
      <w:r w:rsidR="00C8017B" w:rsidRPr="006F5CCA">
        <w:rPr>
          <w:iCs/>
          <w:sz w:val="24"/>
          <w:szCs w:val="24"/>
        </w:rPr>
        <w:t>, whereas girls became more likely to think their weight was about right when underweight in 2015 compared to 1986 and 2005.</w:t>
      </w:r>
      <w:r w:rsidR="00C74FDF" w:rsidRPr="00BF60BC">
        <w:rPr>
          <w:rFonts w:eastAsia="Times New Roman" w:cstheme="minorHAnsi"/>
          <w:sz w:val="24"/>
          <w:szCs w:val="24"/>
        </w:rPr>
        <w:t>Greater</w:t>
      </w:r>
      <w:r w:rsidR="00BA6169" w:rsidRPr="00BF60BC">
        <w:rPr>
          <w:rFonts w:eastAsia="Times New Roman" w:cstheme="minorHAnsi"/>
          <w:sz w:val="24"/>
          <w:szCs w:val="24"/>
        </w:rPr>
        <w:t xml:space="preserve"> public</w:t>
      </w:r>
      <w:r w:rsidR="00D61304" w:rsidRPr="00BF60BC">
        <w:rPr>
          <w:rFonts w:eastAsia="Times New Roman" w:cstheme="minorHAnsi"/>
          <w:sz w:val="24"/>
          <w:szCs w:val="24"/>
        </w:rPr>
        <w:t xml:space="preserve"> health </w:t>
      </w:r>
      <w:r w:rsidR="00BA6169" w:rsidRPr="00BF60BC">
        <w:rPr>
          <w:rFonts w:eastAsia="Times New Roman" w:cstheme="minorHAnsi"/>
          <w:sz w:val="24"/>
          <w:szCs w:val="24"/>
        </w:rPr>
        <w:t>focus on</w:t>
      </w:r>
      <w:r w:rsidR="00D61304" w:rsidRPr="00BF60BC">
        <w:rPr>
          <w:rFonts w:eastAsia="Times New Roman" w:cstheme="minorHAnsi"/>
          <w:sz w:val="24"/>
          <w:szCs w:val="24"/>
        </w:rPr>
        <w:t xml:space="preserve"> calori</w:t>
      </w:r>
      <w:r w:rsidR="00813A70">
        <w:rPr>
          <w:rFonts w:eastAsia="Times New Roman" w:cstheme="minorHAnsi"/>
          <w:sz w:val="24"/>
          <w:szCs w:val="24"/>
        </w:rPr>
        <w:t>e</w:t>
      </w:r>
      <w:r w:rsidR="00D61304" w:rsidRPr="00BF60BC">
        <w:rPr>
          <w:rFonts w:eastAsia="Times New Roman" w:cstheme="minorHAnsi"/>
          <w:sz w:val="24"/>
          <w:szCs w:val="24"/>
        </w:rPr>
        <w:t>-</w:t>
      </w:r>
      <w:r w:rsidR="009C6647" w:rsidRPr="00BF60BC">
        <w:rPr>
          <w:rFonts w:eastAsia="Times New Roman" w:cstheme="minorHAnsi"/>
          <w:sz w:val="24"/>
          <w:szCs w:val="24"/>
        </w:rPr>
        <w:t>r</w:t>
      </w:r>
      <w:r w:rsidR="00D61304" w:rsidRPr="00BF60BC">
        <w:rPr>
          <w:rFonts w:eastAsia="Times New Roman" w:cstheme="minorHAnsi"/>
          <w:sz w:val="24"/>
          <w:szCs w:val="24"/>
        </w:rPr>
        <w:t>estriction and exercise</w:t>
      </w:r>
      <w:r w:rsidR="00D61304" w:rsidRPr="00BF60BC">
        <w:rPr>
          <w:rFonts w:eastAsia="Times New Roman" w:cstheme="minorHAnsi"/>
          <w:sz w:val="24"/>
          <w:szCs w:val="24"/>
        </w:rPr>
        <w:fldChar w:fldCharType="begin" w:fldLock="1"/>
      </w:r>
      <w:r w:rsidR="00C5774B">
        <w:rPr>
          <w:rFonts w:eastAsia="Times New Roman" w:cstheme="minorHAnsi"/>
          <w:sz w:val="24"/>
          <w:szCs w:val="24"/>
        </w:rPr>
        <w:instrText>ADDIN CSL_CITATION {"citationItems":[{"id":"ITEM-1","itemData":{"author":[{"dropping-particle":"","family":"National Eating Disorders Collaboration","given":"","non-dropping-particle":"","parse-names":false,"suffix":""}],"id":"ITEM-1","issued":{"date-parts":[["2011"]]},"publisher-place":"Crows Nest","title":"Evaluating the Risk of Harm of Weight-Related Public Messages","type":"report"},"uris":["http://www.mendeley.com/documents/?uuid=38dd0e8d-5121-4048-b5e6-2bb45ba92b10"]},{"id":"ITEM-2","itemData":{"DOI":"10.1093/her/cyg116","ISSN":"02681153","abstract":"The prevalence of child obesity has steadily increased in Western and developing countries over the last two decades, and child obesity prevention is now firmly on the agendas of nearly all major governments. Health professionals and health educators involved in the prevention of child obesity need to understand the difference between treatment and prevention. The treatment of child obesity should only occur in a supervised clinical setting after a thorough and appropriate clinical assessment. Health and education professionals who work in the treatment and prevention of child obesity also need to be aware of the fact that their best intentions may have the potential to inadvertently do more harm than good. Health professionals may need to examine their own beliefs and attitudes towards fat people and fat children before embarking on any child obesity prevention activities, and they may need specific training in order to undertake any role in child obesity prevention. The current panic about child obesity is largely fuelled by media reports that focus on the rising prevalence of child overweight and its potential health problems. Child obesity prevention is an important contemporary health education topic that is not going to subside for a very long time.","author":[{"dropping-particle":"","family":"O'Dea","given":"Jennifer A.","non-dropping-particle":"","parse-names":false,"suffix":""}],"container-title":"Health Education Research","id":"ITEM-2","issued":{"date-parts":[["2005"]]},"title":"Prevention of child obesity: 'First, do no harm'","type":"article"},"uris":["http://www.mendeley.com/documents/?uuid=ea005f8c-4a7f-453e-9f2e-1db23c50aa46"]},{"id":"ITEM-3","itemData":{"DOI":"10.1016/j.jadohealth.2008.11.005","ISSN":"1054139X","abstract":"This article describes five research-based recommendations for health care providers to help prevent both obesity and eating disorders among adolescents that they see within clinical, school, or other settings. The recommendations are based primarily upon findings from Project EAT, a large, population-based study of eating and weight-related issues in adolescents. Recommendations include the following: 1) discourage unhealthy dieting; instead encourage and support the use of eating and physical activity behaviors that can be maintained on an ongoing basis; 2) promote a positive body image; 3) encourage more frequent, and more enjoyable, family meals; 4) Encourage families to talk less about weight and do more at home to facilitate healthy eating and physical activity; and 5) assume that overweight teens have experienced weight mistreatment and address this issue with teens and their families. These recommendations stress the importance of helping adolescents and their families focus less on weight and more on sustained behavioral change. © 2009 Society for Adolescent Medicine.","author":[{"dropping-particle":"","family":"Neumark-Sztainer","given":"Dianne","non-dropping-particle":"","parse-names":false,"suffix":""}],"container-title":"Journal of Adolescent Health","id":"ITEM-3","issued":{"date-parts":[["2009"]]},"title":"Preventing Obesity and Eating Disorders in Adolescents: What Can Health Care Providers Do?","type":"article"},"uris":["http://www.mendeley.com/documents/?uuid=46c9667a-a18a-436b-b777-8f4d94a320fd"]},{"id":"ITEM-4","itemData":{"DOI":"10.1017/S1368980012000705","ISSN":"13689800","abstract":"OBJECTIVE: The serious consequences of obesity and eating disorders (ED), difficulties encountered in treatment and the high prevalence of these conditions are important reasons to develop efforts aimed at their prevention. The implementation of integrated interventions aimed at preventing risk factors for both obesity and ED constitutes a very exciting development. In the present paper we discuss and review the main reasons for an integrated approach to the spectrum of eating- and weight-related problems, which include anorexia nervosa, bulimia nervosa, anorexic and bulimic behaviours, unhealthy dieting practices, body dissatisfaction, binge-eating disorder, overweight and obesity. Given differences between the fields with regard to current perspectives and objectives, key barriers to an integrated approach to prevention are discussed. In order to show the possibilities of development of this approach, we review the main contributions made to date in the fields of both obesity and ED prevention. In particular, environmental approaches in the prevention of obesity and ED are reviewed, given their potential for preventing a broad spectrum of eating- and weight-related problems. Furthermore, several examples of initiatives that have utilized an integrated approach to prevention are discussed.\\n\\nDESIGN: Narrative review.\\n\\nCONCLUSIONS: We recommend a scenario in which the two fields share knowledge to enhance the difficult work of preventing and treating both ED and obesity.","author":[{"dropping-particle":"","family":"Sánchez-Carracedo","given":"David","non-dropping-particle":"","parse-names":false,"suffix":""},{"dropping-particle":"","family":"Neumark-Sztainer","given":"Dianne","non-dropping-particle":"","parse-names":false,"suffix":""},{"dropping-particle":"","family":"López-Guimerà","given":"Gemma","non-dropping-particle":"","parse-names":false,"suffix":""}],"container-title":"Public Health Nutrition","id":"ITEM-4","issued":{"date-parts":[["2012"]]},"title":"Integrated prevention of obesity and eating disorders: Barriers, developments and opportunities","type":"article"},"uris":["http://www.mendeley.com/documents/?uuid=d1e7f0fe-cc27-4dfe-957e-ee4d6d3696e9","http://www.mendeley.com/documents/?uuid=b160d275-48e5-4a28-a8e0-f9807852f99a"]}],"mendeley":{"formattedCitation":"&lt;sup&gt;44–47&lt;/sup&gt;","plainTextFormattedCitation":"44–47","previouslyFormattedCitation":"&lt;sup&gt;44–47&lt;/sup&gt;"},"properties":{"noteIndex":0},"schema":"https://github.com/citation-style-language/schema/raw/master/csl-citation.json"}</w:instrText>
      </w:r>
      <w:r w:rsidR="00D61304" w:rsidRPr="00BF60BC">
        <w:rPr>
          <w:rFonts w:eastAsia="Times New Roman" w:cstheme="minorHAnsi"/>
          <w:sz w:val="24"/>
          <w:szCs w:val="24"/>
        </w:rPr>
        <w:fldChar w:fldCharType="separate"/>
      </w:r>
      <w:r w:rsidR="00C5774B" w:rsidRPr="00C5774B">
        <w:rPr>
          <w:rFonts w:eastAsia="Times New Roman" w:cstheme="minorHAnsi"/>
          <w:noProof/>
          <w:sz w:val="24"/>
          <w:szCs w:val="24"/>
          <w:vertAlign w:val="superscript"/>
        </w:rPr>
        <w:t>44–47</w:t>
      </w:r>
      <w:r w:rsidR="00D61304" w:rsidRPr="00BF60BC">
        <w:rPr>
          <w:rFonts w:eastAsia="Times New Roman" w:cstheme="minorHAnsi"/>
          <w:sz w:val="24"/>
          <w:szCs w:val="24"/>
        </w:rPr>
        <w:fldChar w:fldCharType="end"/>
      </w:r>
      <w:r w:rsidR="00C74FDF" w:rsidRPr="00BF60BC">
        <w:rPr>
          <w:rFonts w:eastAsia="Times New Roman" w:cstheme="minorHAnsi"/>
          <w:sz w:val="24"/>
          <w:szCs w:val="24"/>
        </w:rPr>
        <w:t xml:space="preserve">, the </w:t>
      </w:r>
      <w:r w:rsidR="009C6647" w:rsidRPr="00BF60BC">
        <w:rPr>
          <w:rFonts w:eastAsia="Times New Roman" w:cstheme="minorHAnsi"/>
          <w:sz w:val="24"/>
          <w:szCs w:val="24"/>
        </w:rPr>
        <w:t>proliferation</w:t>
      </w:r>
      <w:r w:rsidR="002D3F95" w:rsidRPr="00BF60BC">
        <w:rPr>
          <w:rFonts w:eastAsia="Times New Roman" w:cstheme="minorHAnsi"/>
          <w:sz w:val="24"/>
          <w:szCs w:val="24"/>
        </w:rPr>
        <w:t xml:space="preserve"> of </w:t>
      </w:r>
      <w:r w:rsidR="009C6647" w:rsidRPr="00BF60BC">
        <w:rPr>
          <w:rFonts w:eastAsia="Times New Roman" w:cstheme="minorHAnsi"/>
          <w:sz w:val="24"/>
          <w:szCs w:val="24"/>
        </w:rPr>
        <w:t>the</w:t>
      </w:r>
      <w:r w:rsidR="002D3F95" w:rsidRPr="00BF60BC">
        <w:rPr>
          <w:rFonts w:eastAsia="Times New Roman" w:cstheme="minorHAnsi"/>
          <w:sz w:val="24"/>
          <w:szCs w:val="24"/>
        </w:rPr>
        <w:t xml:space="preserve"> fitness industr</w:t>
      </w:r>
      <w:r w:rsidR="009C6647" w:rsidRPr="00BF60BC">
        <w:rPr>
          <w:rFonts w:eastAsia="Times New Roman" w:cstheme="minorHAnsi"/>
          <w:sz w:val="24"/>
          <w:szCs w:val="24"/>
        </w:rPr>
        <w:t>y</w:t>
      </w:r>
      <w:r w:rsidR="00C74FDF" w:rsidRPr="00BF60BC">
        <w:rPr>
          <w:rFonts w:eastAsia="Times New Roman" w:cstheme="minorHAnsi"/>
          <w:sz w:val="24"/>
          <w:szCs w:val="24"/>
        </w:rPr>
        <w:t>,</w:t>
      </w:r>
      <w:r w:rsidR="009C6647" w:rsidRPr="00BF60BC">
        <w:rPr>
          <w:rFonts w:eastAsia="Times New Roman" w:cstheme="minorHAnsi"/>
          <w:sz w:val="24"/>
          <w:szCs w:val="24"/>
        </w:rPr>
        <w:fldChar w:fldCharType="begin" w:fldLock="1"/>
      </w:r>
      <w:r w:rsidR="00C5774B">
        <w:rPr>
          <w:rFonts w:eastAsia="Times New Roman" w:cstheme="minorHAnsi"/>
          <w:sz w:val="24"/>
          <w:szCs w:val="24"/>
        </w:rPr>
        <w:instrText>ADDIN CSL_CITATION {"citationItems":[{"id":"ITEM-1","itemData":{"author":[{"dropping-particle":"","family":"Unlocking Potential","given":"","non-dropping-particle":"","parse-names":false,"suffix":""}],"id":"ITEM-1","issued":{"date-parts":[["2019"]]},"title":"Active Health and Wellness Report","type":"report"},"uris":["http://www.mendeley.com/documents/?uuid=1a6f14d6-a4fe-4962-ae7c-b4db60f8ec5d"]}],"mendeley":{"formattedCitation":"&lt;sup&gt;48&lt;/sup&gt;","plainTextFormattedCitation":"48","previouslyFormattedCitation":"&lt;sup&gt;48&lt;/sup&gt;"},"properties":{"noteIndex":0},"schema":"https://github.com/citation-style-language/schema/raw/master/csl-citation.json"}</w:instrText>
      </w:r>
      <w:r w:rsidR="009C6647" w:rsidRPr="00BF60BC">
        <w:rPr>
          <w:rFonts w:eastAsia="Times New Roman" w:cstheme="minorHAnsi"/>
          <w:sz w:val="24"/>
          <w:szCs w:val="24"/>
        </w:rPr>
        <w:fldChar w:fldCharType="separate"/>
      </w:r>
      <w:r w:rsidR="00C5774B" w:rsidRPr="00C5774B">
        <w:rPr>
          <w:rFonts w:eastAsia="Times New Roman" w:cstheme="minorHAnsi"/>
          <w:noProof/>
          <w:sz w:val="24"/>
          <w:szCs w:val="24"/>
          <w:vertAlign w:val="superscript"/>
        </w:rPr>
        <w:t>48</w:t>
      </w:r>
      <w:r w:rsidR="009C6647" w:rsidRPr="00BF60BC">
        <w:rPr>
          <w:rFonts w:eastAsia="Times New Roman" w:cstheme="minorHAnsi"/>
          <w:sz w:val="24"/>
          <w:szCs w:val="24"/>
        </w:rPr>
        <w:fldChar w:fldCharType="end"/>
      </w:r>
      <w:r w:rsidR="00BD7E78" w:rsidRPr="00BF60BC">
        <w:rPr>
          <w:rFonts w:eastAsia="Times New Roman" w:cstheme="minorHAnsi"/>
          <w:sz w:val="24"/>
          <w:szCs w:val="24"/>
        </w:rPr>
        <w:t xml:space="preserve"> </w:t>
      </w:r>
      <w:r w:rsidR="00C74FDF" w:rsidRPr="00BF60BC">
        <w:rPr>
          <w:rFonts w:eastAsia="Times New Roman" w:cstheme="minorHAnsi"/>
          <w:sz w:val="24"/>
          <w:szCs w:val="24"/>
        </w:rPr>
        <w:t xml:space="preserve">and growing societal and </w:t>
      </w:r>
      <w:r w:rsidR="00404BB5" w:rsidRPr="00BF60BC">
        <w:rPr>
          <w:rFonts w:eastAsia="Times New Roman" w:cstheme="minorHAnsi"/>
          <w:sz w:val="24"/>
          <w:szCs w:val="24"/>
        </w:rPr>
        <w:t>media portrayal</w:t>
      </w:r>
      <w:r w:rsidR="0075649B" w:rsidRPr="00BF60BC">
        <w:rPr>
          <w:rFonts w:eastAsia="Times New Roman" w:cstheme="minorHAnsi"/>
          <w:sz w:val="24"/>
          <w:szCs w:val="24"/>
        </w:rPr>
        <w:t>s</w:t>
      </w:r>
      <w:r w:rsidR="00404BB5" w:rsidRPr="00BF60BC">
        <w:rPr>
          <w:rFonts w:eastAsia="Times New Roman" w:cstheme="minorHAnsi"/>
          <w:sz w:val="24"/>
          <w:szCs w:val="24"/>
        </w:rPr>
        <w:t xml:space="preserve"> of </w:t>
      </w:r>
      <w:r w:rsidR="0075649B" w:rsidRPr="00BF60BC">
        <w:rPr>
          <w:rFonts w:eastAsia="Times New Roman" w:cstheme="minorHAnsi"/>
          <w:sz w:val="24"/>
          <w:szCs w:val="24"/>
        </w:rPr>
        <w:t xml:space="preserve">lean </w:t>
      </w:r>
      <w:r w:rsidR="00404BB5" w:rsidRPr="00BF60BC">
        <w:rPr>
          <w:rFonts w:eastAsia="Times New Roman" w:cstheme="minorHAnsi"/>
          <w:sz w:val="24"/>
          <w:szCs w:val="24"/>
        </w:rPr>
        <w:t>female and male bod</w:t>
      </w:r>
      <w:r w:rsidR="0075649B" w:rsidRPr="00BF60BC">
        <w:rPr>
          <w:rFonts w:eastAsia="Times New Roman" w:cstheme="minorHAnsi"/>
          <w:sz w:val="24"/>
          <w:szCs w:val="24"/>
        </w:rPr>
        <w:t>ies</w:t>
      </w:r>
      <w:r w:rsidR="0075649B" w:rsidRPr="00BF60BC">
        <w:rPr>
          <w:rFonts w:eastAsia="Times New Roman" w:cstheme="minorHAnsi"/>
          <w:sz w:val="24"/>
          <w:szCs w:val="24"/>
        </w:rPr>
        <w:fldChar w:fldCharType="begin" w:fldLock="1"/>
      </w:r>
      <w:r w:rsidR="00C5774B">
        <w:rPr>
          <w:rFonts w:eastAsia="Times New Roman" w:cstheme="minorHAnsi"/>
          <w:sz w:val="24"/>
          <w:szCs w:val="24"/>
        </w:rPr>
        <w:instrText>ADDIN CSL_CITATION {"citationItems":[{"id":"ITEM-1","itemData":{"DOI":"10.1037/1524-9220.8.3.145","ISSN":"15249220","abstract":"In the current investigation, the authors examined how men are presented in popular media and the effects of such presentations on male adolescents' self-evaluations. In a content analysis of male models in advertisements of Sports Illustrated, Study 1 showed that media ideals increasingly emphasize aesthetic versus performance attributes of men. In Study 2, male adolescents (N = 107) were randomly assigned to view either images of male ideals emphasizing aesthetic attributes, images of male ideals emphasizing performance attributes, or neutral images. Results showed that viewing media ideals that emphasize aesthetic attributes contributes to negative self-evaluations whereas viewing media ideals that emphasize performance attributes contributes to positive self-evaluations. These findings suggest that body conceptualization, and not simply body type (i.e., muscularity), plays a role in how men feel about themselves and their bodies. © 2007 American Psychological Association.","author":[{"dropping-particle":"","family":"Farquhar","given":"Jamie C.","non-dropping-particle":"","parse-names":false,"suffix":""},{"dropping-particle":"","family":"Wasylkiw","given":"Louise","non-dropping-particle":"","parse-names":false,"suffix":""}],"container-title":"Psychology of Men and Masculinity","id":"ITEM-1","issued":{"date-parts":[["2007"]]},"title":"Media Images of Men: Trends and Consequences of Body Conceptualization","type":"article-journal"},"uris":["http://www.mendeley.com/documents/?uuid=2a642561-b86b-49d0-b9a4-7e423669835b"]},{"id":"ITEM-2","itemData":{"DOI":"10.2147/ahmt.s68344","ISSN":"1179-318X","abstract":"Adolescence represents a pivotal stage in the development of positive or negative body image. Many influences exist during the teen years including transitions (eg, puberty) that affect one's body shape, weight status, and appearance. Weight status exists along a spectrum between being obese (ie, where one's body weight is in the 95th percentile for age and gender) to being underweight. Salient influences on body image include the media, which can target adolescents, and peers who help shape beliefs about the perceived body ideal. Internalization of and pressures to conform to these socially prescribed body ideals help to explain associations between weight status and body image. The concepts of fat talk and weight-related bullying during adolescence greatly contribute to an overemphasis on body weight and appearance as well as the development of negative body perceptions and dissatisfaction surrounding specific body parts. This article provides an overview of the significance of adolescent development in shaping body image, the relationship between body image and adolescent weight status, and the consequences of having a negative body image during adolescence (ie, disordered eating, eating disorders, and dysfunctional exercise). Practical implications for promoting a healthy weight status and positive body image among adolescents will be discussed.","author":[{"dropping-particle":"","family":"Reel","given":"Justine","non-dropping-particle":"","parse-names":false,"suffix":""},{"dropping-particle":"","family":"Voelker","given":"Dana","non-dropping-particle":"","parse-names":false,"suffix":""},{"dropping-particle":"","family":"Greenleaf","given":"Christy","non-dropping-particle":"","parse-names":false,"suffix":""}],"container-title":"Adolescent Health, Medicine and Therapeutics","id":"ITEM-2","issued":{"date-parts":[["2015"]]},"title":"Weight status and body image perceptions in adolescents: current perspectives","type":"article-journal"},"uris":["http://www.mendeley.com/documents/?uuid=d3552eb7-e7d9-4324-a3d8-e06c6d13b518"]},{"id":"ITEM-3","itemData":{"DOI":"10.1111/j.1460-2466.2000.tb02856.x","ISSN":"00219916","abstract":"The aim of this study was to replicate survey research demonstrating a correlation between adults' thin-ideal media exposure and eating disorders (Harrison &amp; Cantor, 1997) with a sample of 366 adolescents. Measures included interest in body-improvement media content, exposure to thin-ideal television and magazines, exposure to fat-character television, exposure to sports magazines, and eating-disorder symptomatology. Exposure to fat-character television, thin-ideal magazines, and sports magazines predicted eating-disorder symptomatology for females, especially older females. Exposure to fat-character television also predicted body dissatisfaction for younger males. Relationships remained significant when selective exposure based on interest in body-improvement content was controlled. Discussion centers on the importance of age and sex in moderating the effects of exposure to thin-ideal media on eating disorders.","author":[{"dropping-particle":"","family":"Harrison","given":"Kristen","non-dropping-particle":"","parse-names":false,"suffix":""}],"container-title":"Journal of Communication","id":"ITEM-3","issued":{"date-parts":[["2000"]]},"title":"The body electric: Thin-ideal media and eating disorders in adolescents","type":"article-journal"},"uris":["http://www.mendeley.com/documents/?uuid=1f3bf7dc-f0e7-4bc0-86be-62e60d5e7358"]},{"id":"ITEM-4","itemData":{"DOI":"10.1016/j.wsif.2006.03.007","ISSN":"02775395","abstract":"Contrasting the pervasive belief that Eating Disorders are primarily psychiatric in nature, we contend that they are also symptomatic of a social problem. Eating Disorders and disorderly eating are also culturally-induced diseases promoted partly by economic and social institutions that profit from the \"cult of thinness\" promoted by the mass media. There is a lucrative market associated with Eating Disorders, and the advertising, weight-loss, diet-food, fitness, and cosmetic surgery industries are well aware of it. Yet, not all women exposed to these influences via mass media go on to develop body dissatisfaction and Eating Disorders. To fully understand how specific women become exposed to and are impacted by the mass marketing of beauty ideals via the mass media, it is important to take a social psychological perspective on the problem. We explore four social psychological theories-cultivation theory, gratifications and uses theory, social comparison theory and objectification theory, which taken together, form a \"nexus of influence\" and provide important clues to our understanding of the pervasive influence and impact of these industries on the development of Eating Disorders in women. We also address potential solutions to the problem. We specifically discuss how to use empowerment education to integrate solutions including: a re-visioning of femininity, social activism, education, and media literacy. © 2006 Elsevier Ltd. All rights reserved.","author":[{"dropping-particle":"","family":"Hesse-Biber","given":"Sharlene","non-dropping-particle":"","parse-names":false,"suffix":""},{"dropping-particle":"","family":"Leavy","given":"Patricia","non-dropping-particle":"","parse-names":false,"suffix":""},{"dropping-particle":"","family":"Quinn","given":"Courtney E.","non-dropping-particle":"","parse-names":false,"suffix":""},{"dropping-particle":"","family":"Zoino","given":"Julia","non-dropping-particle":"","parse-names":false,"suffix":""}],"container-title":"Women's Studies International Forum","id":"ITEM-4","issued":{"date-parts":[["2006"]]},"title":"The mass marketing of disordered eating and Eating Disorders: The social psychology of women, thinness and culture","type":"article-journal"},"uris":["http://www.mendeley.com/documents/?uuid=aafef24d-6530-463b-8288-e8fab83d0ab3"]},{"id":"ITEM-5","itemData":{"DOI":"10.1111/j.1559-1816.2000.tb02506.x","ISSN":"00219029","abstract":"Thinness as an ideal of feminine beauty is nowhere more evident than in the popular media. The trend toward an increasingly thinner standard and a more tubular body shape has been documented in Playboy centerfolds from the 1960s to the 1980s. The present study provides information about body standards into the 1990s. Body measurements of two groups of models were compared: contemporary Playboy centerfolds and ready-to-wear and commercial print models advertising on the Internet. Results revealed that thinness is increasing for centerfolds, many of whom meet weight criteria for anorexia. Results also showed unhealthy levels of thinness in the Internet models. Body shape for both cohorts is curvaceous, results which do not support prior research indicating an increase in the tubular body. Discussion focuses on the role that both the media and the health industry play in contributing to Western culture's adoption of an unhealthy body ideal.","author":[{"dropping-particle":"","family":"Owen","given":"Patricia R.","non-dropping-particle":"","parse-names":false,"suffix":""},{"dropping-particle":"","family":"Laurel-Seller","given":"Erika","non-dropping-particle":"","parse-names":false,"suffix":""}],"container-title":"Journal of Applied Social Psychology","id":"ITEM-5","issued":{"date-parts":[["2000"]]},"title":"Weight and shape ideals: Thin is dangerously in","type":"article-journal"},"uris":["http://www.mendeley.com/documents/?uuid=ff261f0e-0964-419b-ac1c-17cf67850927"]}],"mendeley":{"formattedCitation":"&lt;sup&gt;49–53&lt;/sup&gt;","plainTextFormattedCitation":"49–53","previouslyFormattedCitation":"&lt;sup&gt;49–53&lt;/sup&gt;"},"properties":{"noteIndex":0},"schema":"https://github.com/citation-style-language/schema/raw/master/csl-citation.json"}</w:instrText>
      </w:r>
      <w:r w:rsidR="0075649B" w:rsidRPr="00BF60BC">
        <w:rPr>
          <w:rFonts w:eastAsia="Times New Roman" w:cstheme="minorHAnsi"/>
          <w:sz w:val="24"/>
          <w:szCs w:val="24"/>
        </w:rPr>
        <w:fldChar w:fldCharType="separate"/>
      </w:r>
      <w:r w:rsidR="00C5774B" w:rsidRPr="00C5774B">
        <w:rPr>
          <w:rFonts w:eastAsia="Times New Roman" w:cstheme="minorHAnsi"/>
          <w:noProof/>
          <w:sz w:val="24"/>
          <w:szCs w:val="24"/>
          <w:vertAlign w:val="superscript"/>
        </w:rPr>
        <w:t>49–53</w:t>
      </w:r>
      <w:r w:rsidR="0075649B" w:rsidRPr="00BF60BC">
        <w:rPr>
          <w:rFonts w:eastAsia="Times New Roman" w:cstheme="minorHAnsi"/>
          <w:sz w:val="24"/>
          <w:szCs w:val="24"/>
        </w:rPr>
        <w:fldChar w:fldCharType="end"/>
      </w:r>
      <w:r w:rsidR="0075649B" w:rsidRPr="00BF60BC">
        <w:rPr>
          <w:rFonts w:eastAsia="Times New Roman" w:cstheme="minorHAnsi"/>
          <w:sz w:val="24"/>
          <w:szCs w:val="24"/>
        </w:rPr>
        <w:t xml:space="preserve"> </w:t>
      </w:r>
      <w:r w:rsidR="00BA6169" w:rsidRPr="00BF60BC">
        <w:rPr>
          <w:rFonts w:eastAsia="Times New Roman" w:cstheme="minorHAnsi"/>
          <w:sz w:val="24"/>
          <w:szCs w:val="24"/>
        </w:rPr>
        <w:t xml:space="preserve">could have </w:t>
      </w:r>
      <w:r w:rsidR="00C74FDF" w:rsidRPr="00BF60BC">
        <w:rPr>
          <w:rFonts w:eastAsia="Times New Roman" w:cstheme="minorHAnsi"/>
          <w:sz w:val="24"/>
          <w:szCs w:val="24"/>
        </w:rPr>
        <w:t>led to</w:t>
      </w:r>
      <w:r w:rsidR="0075649B" w:rsidRPr="00BF60BC">
        <w:rPr>
          <w:rFonts w:eastAsia="Times New Roman" w:cstheme="minorHAnsi"/>
          <w:sz w:val="24"/>
          <w:szCs w:val="24"/>
        </w:rPr>
        <w:t xml:space="preserve"> adolescents’</w:t>
      </w:r>
      <w:r w:rsidR="002D3F95" w:rsidRPr="00BF60BC">
        <w:rPr>
          <w:rFonts w:eastAsia="Times New Roman" w:cstheme="minorHAnsi"/>
          <w:sz w:val="24"/>
          <w:szCs w:val="24"/>
        </w:rPr>
        <w:t xml:space="preserve"> </w:t>
      </w:r>
      <w:r w:rsidR="00C74FDF" w:rsidRPr="00BF60BC">
        <w:rPr>
          <w:rFonts w:eastAsia="Times New Roman" w:cstheme="minorHAnsi"/>
          <w:sz w:val="24"/>
          <w:szCs w:val="24"/>
        </w:rPr>
        <w:t>increasingly internalising</w:t>
      </w:r>
      <w:r w:rsidR="002D3F95" w:rsidRPr="00BF60BC">
        <w:rPr>
          <w:rFonts w:eastAsia="Times New Roman" w:cstheme="minorHAnsi"/>
          <w:sz w:val="24"/>
          <w:szCs w:val="24"/>
        </w:rPr>
        <w:t xml:space="preserve"> thin body ideals</w:t>
      </w:r>
      <w:r w:rsidR="00C74FDF" w:rsidRPr="00BF60BC">
        <w:rPr>
          <w:rFonts w:eastAsia="Times New Roman" w:cstheme="minorHAnsi"/>
          <w:sz w:val="24"/>
          <w:szCs w:val="24"/>
        </w:rPr>
        <w:fldChar w:fldCharType="begin" w:fldLock="1"/>
      </w:r>
      <w:r w:rsidR="00C5774B">
        <w:rPr>
          <w:rFonts w:eastAsia="Times New Roman" w:cstheme="minorHAnsi"/>
          <w:sz w:val="24"/>
          <w:szCs w:val="24"/>
        </w:rPr>
        <w:instrText>ADDIN CSL_CITATION {"citationItems":[{"id":"ITEM-1","itemData":{"DOI":"10.1098/rsos.171387","ISSN":"2054-5703","abstract":"Body dissatisfaction is prevalent among women and associated with subsequent obesity and eating disorders. Exposure to images of bodies of different sizes has been suggested to change the perception of ‘normal’ body size in others. We tested whether exposure to different-sized (otherwise identical) bodies changes perception of own and others’ body size, satisfaction with body size and amount of chocolate consumed. In Study 1, 90 18-25-year-old women with normal BMI were randomized into one of three groups to complete a 15 min two-back task using photographs of women either of ‘normal weight’ (Body Mass Index (BMI) 22-23 kg m−2), or altered to appear either under- or overweight. Study 2 was identical except the 96 participants had high baseline body dissatisfaction and were followed up after 24 h. We also conducted a mega-analysis combining both studies. Participants rated size of others’ bodies, own size, and satisfaction with size pre- and post-task. Post-task ratings were compared between groups, adjusting for pre-task ratings. Participants exposed to over- or normal-weight images subsequently perceived others’ bodies as smaller, in comparison to those shown underweight bodies (p &lt; 0.001). They also perceived their own bodies as smaller (Study 1, p = 0.073; Study 2, p = 0.018; mega-analysis, p = 0.001), and felt more satisfied with their size (Study 1, p = 0.046; Study 2, p = 0.004; mega-analysis, p = 0.006). There were no differences in chocolate consumption. This study suggests that a move towards using images of women with a BMI in the healthy range in the media may help to reduce body dissatisfaction, and the associated risk of eating disorders.","author":[{"dropping-particle":"","family":"Bould","given":"Helen","non-dropping-particle":"","parse-names":false,"suffix":""},{"dropping-particle":"","family":"Carnegie","given":"Rebecca","non-dropping-particle":"","parse-names":false,"suffix":""},{"dropping-particle":"","family":"Allward","given":"Heather","non-dropping-particle":"","parse-names":false,"suffix":""},{"dropping-particle":"","family":"Bacon","given":"Emily","non-dropping-particle":"","parse-names":false,"suffix":""},{"dropping-particle":"","family":"Lambe","given":"Emily","non-dropping-particle":"","parse-names":false,"suffix":""},{"dropping-particle":"","family":"Sapseid","given":"Megan","non-dropping-particle":"","parse-names":false,"suffix":""},{"dropping-particle":"","family":"Button","given":"Katherine S.","non-dropping-particle":"","parse-names":false,"suffix":""},{"dropping-particle":"","family":"Lewis","given":"Glyn","non-dropping-particle":"","parse-names":false,"suffix":""},{"dropping-particle":"","family":"Skinner","given":"Andy","non-dropping-particle":"","parse-names":false,"suffix":""},{"dropping-particle":"","family":"Broome","given":"Matthew R.","non-dropping-particle":"","parse-names":false,"suffix":""},{"dropping-particle":"","family":"Park","given":"Rebecca","non-dropping-particle":"","parse-names":false,"suffix":""},{"dropping-particle":"","family":"Harmer","given":"Catherine J.","non-dropping-particle":"","parse-names":false,"suffix":""},{"dropping-particle":"","family":"Penton-Voak","given":"Ian S.","non-dropping-particle":"","parse-names":false,"suffix":""},{"dropping-particle":"","family":"Munafò","given":"Marcus R.","non-dropping-particle":"","parse-names":false,"suffix":""}],"container-title":"Royal Society Open Science","id":"ITEM-1","issue":"5","issued":{"date-parts":[["2018","5","9"]]},"page":"171387","publisher":"Royal Society Publishing","title":"Effects of exposure to bodies of different sizes on perception of and satisfaction with own body size: two randomized studies","type":"article-journal","volume":"5"},"uris":["http://www.mendeley.com/documents/?uuid=7196a5e6-3e40-3043-91a4-8d3f208b59f3"]}],"mendeley":{"formattedCitation":"&lt;sup&gt;54&lt;/sup&gt;","plainTextFormattedCitation":"54","previouslyFormattedCitation":"&lt;sup&gt;54&lt;/sup&gt;"},"properties":{"noteIndex":0},"schema":"https://github.com/citation-style-language/schema/raw/master/csl-citation.json"}</w:instrText>
      </w:r>
      <w:r w:rsidR="00C74FDF" w:rsidRPr="00BF60BC">
        <w:rPr>
          <w:rFonts w:eastAsia="Times New Roman" w:cstheme="minorHAnsi"/>
          <w:sz w:val="24"/>
          <w:szCs w:val="24"/>
        </w:rPr>
        <w:fldChar w:fldCharType="separate"/>
      </w:r>
      <w:r w:rsidR="00C5774B" w:rsidRPr="00C5774B">
        <w:rPr>
          <w:rFonts w:eastAsia="Times New Roman" w:cstheme="minorHAnsi"/>
          <w:noProof/>
          <w:sz w:val="24"/>
          <w:szCs w:val="24"/>
          <w:vertAlign w:val="superscript"/>
        </w:rPr>
        <w:t>54</w:t>
      </w:r>
      <w:r w:rsidR="00C74FDF" w:rsidRPr="00BF60BC">
        <w:rPr>
          <w:rFonts w:eastAsia="Times New Roman" w:cstheme="minorHAnsi"/>
          <w:sz w:val="24"/>
          <w:szCs w:val="24"/>
        </w:rPr>
        <w:fldChar w:fldCharType="end"/>
      </w:r>
      <w:r w:rsidR="00C74FDF" w:rsidRPr="00BF60BC">
        <w:rPr>
          <w:rFonts w:eastAsia="Times New Roman" w:cstheme="minorHAnsi"/>
          <w:sz w:val="24"/>
          <w:szCs w:val="24"/>
        </w:rPr>
        <w:t xml:space="preserve"> and</w:t>
      </w:r>
      <w:r w:rsidR="002D3F95" w:rsidRPr="00BF60BC">
        <w:rPr>
          <w:rFonts w:eastAsia="Times New Roman" w:cstheme="minorHAnsi"/>
          <w:sz w:val="24"/>
          <w:szCs w:val="24"/>
        </w:rPr>
        <w:t xml:space="preserve"> weight stigma</w:t>
      </w:r>
      <w:r w:rsidR="00D515F3" w:rsidRPr="00BF60BC">
        <w:rPr>
          <w:rFonts w:eastAsia="Times New Roman" w:cstheme="minorHAnsi"/>
          <w:sz w:val="24"/>
          <w:szCs w:val="24"/>
        </w:rPr>
        <w:t>,</w:t>
      </w:r>
      <w:r w:rsidR="002D3F95" w:rsidRPr="00BF60BC">
        <w:rPr>
          <w:rFonts w:eastAsia="Times New Roman" w:cstheme="minorHAnsi"/>
          <w:sz w:val="24"/>
          <w:szCs w:val="24"/>
        </w:rPr>
        <w:t xml:space="preserve"> known correlates and predictors of restrictive eating </w:t>
      </w:r>
      <w:proofErr w:type="spellStart"/>
      <w:r w:rsidR="002D3F95" w:rsidRPr="00BF60BC">
        <w:rPr>
          <w:rFonts w:eastAsia="Times New Roman" w:cstheme="minorHAnsi"/>
          <w:sz w:val="24"/>
          <w:szCs w:val="24"/>
        </w:rPr>
        <w:t>behaviors</w:t>
      </w:r>
      <w:proofErr w:type="spellEnd"/>
      <w:r w:rsidR="002D3F95" w:rsidRPr="00BF60BC">
        <w:rPr>
          <w:rFonts w:eastAsia="Times New Roman" w:cstheme="minorHAnsi"/>
          <w:sz w:val="24"/>
          <w:szCs w:val="24"/>
        </w:rPr>
        <w:t>, poor self-esteem</w:t>
      </w:r>
      <w:r w:rsidR="006A605D" w:rsidRPr="00BF60BC">
        <w:rPr>
          <w:rFonts w:eastAsia="Times New Roman" w:cstheme="minorHAnsi"/>
          <w:sz w:val="24"/>
          <w:szCs w:val="24"/>
        </w:rPr>
        <w:t>,</w:t>
      </w:r>
      <w:r w:rsidR="00551A6B" w:rsidRPr="00BF60BC">
        <w:rPr>
          <w:rFonts w:eastAsia="Times New Roman" w:cstheme="minorHAnsi"/>
          <w:sz w:val="24"/>
          <w:szCs w:val="24"/>
        </w:rPr>
        <w:t xml:space="preserve"> and depression</w:t>
      </w:r>
      <w:r w:rsidR="002D3F95" w:rsidRPr="00BF60BC">
        <w:rPr>
          <w:rFonts w:eastAsia="Times New Roman" w:cstheme="minorHAnsi"/>
          <w:sz w:val="24"/>
          <w:szCs w:val="24"/>
        </w:rPr>
        <w:t>.</w:t>
      </w:r>
      <w:r w:rsidR="002D3F95" w:rsidRPr="00BF60BC">
        <w:rPr>
          <w:rFonts w:eastAsia="Times New Roman" w:cstheme="minorHAnsi"/>
          <w:sz w:val="24"/>
          <w:szCs w:val="24"/>
        </w:rPr>
        <w:fldChar w:fldCharType="begin" w:fldLock="1"/>
      </w:r>
      <w:r w:rsidR="00C5774B">
        <w:rPr>
          <w:rFonts w:eastAsia="Times New Roman" w:cstheme="minorHAnsi"/>
          <w:sz w:val="24"/>
          <w:szCs w:val="24"/>
        </w:rPr>
        <w:instrText>ADDIN CSL_CITATION {"citationItems":[{"id":"ITEM-1","itemData":{"DOI":"10.1016/j.bodyim.2011.07.007","ISSN":"17401445","abstract":"This study investigates body esteem factors (weight-esteem and appearance-esteem) as mediators of the relationship between 'internalization of the ideal body figure' and disordered eating behaviors (restrained, emotional and external eating) in a community sample of adolescent males (n = 810) and females (n = 1137) from the Ontario Research on Eating and Adolescent Lifestyles (REAL) study. Mediation models were examined using a bootstrapping approach to test indirect effects and indirect contrasts. In males, weight-esteem partially mediated the relationship between muscular ideal and restrained eating; appearance-esteem partially mediated effects in the emotional and external eating regressions. In females, both weight-esteem and appearance-esteem partially mediated the relationship between thin ideal and all three forms of disordered eating; weight-esteem was a stronger mediator for restrained eating, and appearance-esteem a stronger mediator for emotional and external eating. Body esteem is important to consider for prevention and treatment of disordered eating in both genders. © 2011 Elsevier Ltd.","author":[{"dropping-particle":"","family":"Flament","given":"Martine F.","non-dropping-particle":"","parse-names":false,"suffix":""},{"dropping-particle":"","family":"Hill","given":"Erin M.","non-dropping-particle":"","parse-names":false,"suffix":""},{"dropping-particle":"","family":"Buchholz","given":"Annick","non-dropping-particle":"","parse-names":false,"suffix":""},{"dropping-particle":"","family":"Henderson","given":"Katherine","non-dropping-particle":"","parse-names":false,"suffix":""},{"dropping-particle":"","family":"Tasca","given":"Giorgio A.","non-dropping-particle":"","parse-names":false,"suffix":""},{"dropping-particle":"","family":"Goldfield","given":"Gary","non-dropping-particle":"","parse-names":false,"suffix":""}],"container-title":"Body Image","id":"ITEM-1","issued":{"date-parts":[["2012"]]},"title":"Internalization of the thin and muscular body ideal and disordered eating in adolescence: The mediation effects of body esteem","type":"article-journal"},"uris":["http://www.mendeley.com/documents/?uuid=52115546-12c5-4bde-8849-09fb7908ac48"]},{"id":"ITEM-2","itemData":{"DOI":"10.1111/1467-8721.00144","ISSN":"09637214","abstract":"Body-image disturbance and eating disorders are a significant physical and mental health problem in Western countries. We describe emerging work on one newly identified variable that appears to be a potent risk factor for the development of these problems -internalization of societal standards of attractiveness. Work conducted independently in our labs over the past decade has included scale development, correlational studies, prospective risk-factor studies, randomized experiments, and randomized prevention trials. Finding collectively suggest that internalization is a causal risk factor for body-image and eating disturbances, and that it appears to operate in conjunction with other established risk factor for these outcomes, including dieting and negative affect. Future research is needed to examine the specific familial, peer, and media influences that promote internalization and to replicate and extend our prospective and experimental studies.","author":[{"dropping-particle":"","family":"Thompson","given":"J. Kevin","non-dropping-particle":"","parse-names":false,"suffix":""},{"dropping-particle":"","family":"Stice","given":"Eric","non-dropping-particle":"","parse-names":false,"suffix":""}],"container-title":"Current Directions in Psychological Science","id":"ITEM-2","issued":{"date-parts":[["2001"]]},"title":"Thin-ideal internalization: Mounting evidence for a new risk factor for body-image disturbance and eating pathology","type":"article-journal"},"uris":["http://www.mendeley.com/documents/?uuid=bd8e075d-6d4c-4a6a-9043-6814bc47049a"]}],"mendeley":{"formattedCitation":"&lt;sup&gt;55,56&lt;/sup&gt;","plainTextFormattedCitation":"55,56","previouslyFormattedCitation":"&lt;sup&gt;55,56&lt;/sup&gt;"},"properties":{"noteIndex":0},"schema":"https://github.com/citation-style-language/schema/raw/master/csl-citation.json"}</w:instrText>
      </w:r>
      <w:r w:rsidR="002D3F95" w:rsidRPr="00BF60BC">
        <w:rPr>
          <w:rFonts w:eastAsia="Times New Roman" w:cstheme="minorHAnsi"/>
          <w:sz w:val="24"/>
          <w:szCs w:val="24"/>
        </w:rPr>
        <w:fldChar w:fldCharType="separate"/>
      </w:r>
      <w:r w:rsidR="00C5774B" w:rsidRPr="00C5774B">
        <w:rPr>
          <w:rFonts w:eastAsia="Times New Roman" w:cstheme="minorHAnsi"/>
          <w:noProof/>
          <w:sz w:val="24"/>
          <w:szCs w:val="24"/>
          <w:vertAlign w:val="superscript"/>
        </w:rPr>
        <w:t>55,56</w:t>
      </w:r>
      <w:r w:rsidR="002D3F95" w:rsidRPr="00BF60BC">
        <w:rPr>
          <w:rFonts w:eastAsia="Times New Roman" w:cstheme="minorHAnsi"/>
          <w:sz w:val="24"/>
          <w:szCs w:val="24"/>
        </w:rPr>
        <w:fldChar w:fldCharType="end"/>
      </w:r>
      <w:r w:rsidR="005669A0">
        <w:rPr>
          <w:rFonts w:eastAsia="Times New Roman" w:cstheme="minorHAnsi"/>
          <w:sz w:val="24"/>
          <w:szCs w:val="24"/>
        </w:rPr>
        <w:t xml:space="preserve"> </w:t>
      </w:r>
    </w:p>
    <w:p w14:paraId="7701CD7A" w14:textId="77777777" w:rsidR="00460649" w:rsidRPr="00BF60BC" w:rsidRDefault="00460649" w:rsidP="00655F22">
      <w:pPr>
        <w:spacing w:after="0" w:line="360" w:lineRule="auto"/>
        <w:jc w:val="both"/>
        <w:rPr>
          <w:rFonts w:eastAsia="Times New Roman" w:cstheme="minorHAnsi"/>
          <w:sz w:val="24"/>
          <w:szCs w:val="24"/>
        </w:rPr>
      </w:pPr>
    </w:p>
    <w:p w14:paraId="047BD26D" w14:textId="2DEAA3FC" w:rsidR="00EB03B9" w:rsidRPr="00BF60BC" w:rsidRDefault="00002B6B" w:rsidP="00655F22">
      <w:pPr>
        <w:spacing w:after="0" w:line="360" w:lineRule="auto"/>
        <w:jc w:val="both"/>
        <w:rPr>
          <w:rFonts w:eastAsia="Times New Roman" w:cstheme="minorHAnsi"/>
          <w:sz w:val="24"/>
          <w:szCs w:val="24"/>
        </w:rPr>
      </w:pPr>
      <w:bookmarkStart w:id="16" w:name="_Hlk37433792"/>
      <w:r w:rsidRPr="00BF60BC">
        <w:rPr>
          <w:rFonts w:eastAsia="Times New Roman" w:cstheme="minorHAnsi"/>
          <w:sz w:val="24"/>
          <w:szCs w:val="24"/>
        </w:rPr>
        <w:t xml:space="preserve">A recent systematic review on young people’s view on body image and weight in the UK </w:t>
      </w:r>
      <w:r w:rsidR="00BD7E78" w:rsidRPr="00BF60BC">
        <w:rPr>
          <w:rFonts w:eastAsia="Times New Roman" w:cstheme="minorHAnsi"/>
          <w:sz w:val="24"/>
          <w:szCs w:val="24"/>
        </w:rPr>
        <w:t xml:space="preserve">found that larger children </w:t>
      </w:r>
      <w:r w:rsidR="00460649" w:rsidRPr="00BF60BC">
        <w:rPr>
          <w:rFonts w:eastAsia="Times New Roman" w:cstheme="minorHAnsi"/>
          <w:sz w:val="24"/>
          <w:szCs w:val="24"/>
        </w:rPr>
        <w:t xml:space="preserve">report appearance-based </w:t>
      </w:r>
      <w:r w:rsidR="00BD7E78" w:rsidRPr="00BF60BC">
        <w:rPr>
          <w:rFonts w:eastAsia="Times New Roman" w:cstheme="minorHAnsi"/>
          <w:sz w:val="24"/>
          <w:szCs w:val="24"/>
        </w:rPr>
        <w:t>bull</w:t>
      </w:r>
      <w:r w:rsidR="00460649" w:rsidRPr="00BF60BC">
        <w:rPr>
          <w:rFonts w:eastAsia="Times New Roman" w:cstheme="minorHAnsi"/>
          <w:sz w:val="24"/>
          <w:szCs w:val="24"/>
        </w:rPr>
        <w:t>ying</w:t>
      </w:r>
      <w:r w:rsidR="00BD7E78" w:rsidRPr="00BF60BC">
        <w:rPr>
          <w:rFonts w:eastAsia="Times New Roman" w:cstheme="minorHAnsi"/>
          <w:sz w:val="24"/>
          <w:szCs w:val="24"/>
        </w:rPr>
        <w:t xml:space="preserve"> resulting in social isolation</w:t>
      </w:r>
      <w:r w:rsidR="00D515F3" w:rsidRPr="00BF60BC">
        <w:rPr>
          <w:rFonts w:eastAsia="Times New Roman" w:cstheme="minorHAnsi"/>
          <w:sz w:val="24"/>
          <w:szCs w:val="24"/>
        </w:rPr>
        <w:t xml:space="preserve"> and low mood</w:t>
      </w:r>
      <w:r w:rsidR="00460649" w:rsidRPr="00BF60BC">
        <w:rPr>
          <w:rFonts w:eastAsia="Times New Roman" w:cstheme="minorHAnsi"/>
          <w:sz w:val="24"/>
          <w:szCs w:val="24"/>
        </w:rPr>
        <w:t>,</w:t>
      </w:r>
      <w:r w:rsidR="00BD7E78" w:rsidRPr="00BF60BC">
        <w:rPr>
          <w:rFonts w:eastAsia="Times New Roman" w:cstheme="minorHAnsi"/>
          <w:sz w:val="24"/>
          <w:szCs w:val="24"/>
        </w:rPr>
        <w:fldChar w:fldCharType="begin" w:fldLock="1"/>
      </w:r>
      <w:r w:rsidR="00C5774B">
        <w:rPr>
          <w:rFonts w:eastAsia="Times New Roman" w:cstheme="minorHAnsi"/>
          <w:sz w:val="24"/>
          <w:szCs w:val="24"/>
        </w:rPr>
        <w:instrText>ADDIN CSL_CITATION {"citationItems":[{"id":"ITEM-1","itemData":{"author":[{"dropping-particle":"","family":"Rees","given":"R","non-dropping-particle":"","parse-names":false,"suffix":""},{"dropping-particle":"","family":"Caird","given":"J","non-dropping-particle":"","parse-names":false,"suffix":""},{"dropping-particle":"","family":"Dickson","given":"K","non-dropping-particle":"","parse-names":false,"suffix":""},{"dropping-particle":"","family":"Vigurs","given":"C","non-dropping-particle":"","parse-names":false,"suffix":""},{"dropping-particle":"","family":"Thomas","given":"J","non-dropping-particle":"","parse-names":false,"suffix":""}],"id":"ITEM-1","issued":{"date-parts":[["2013"]]},"publisher-place":"London, UK","title":"The views of young people in the UK about obesity, body size, shape and weight","type":"report"},"uris":["http://www.mendeley.com/documents/?uuid=e44d4582-4e1d-4091-8af8-d59091d48fdf"]}],"mendeley":{"formattedCitation":"&lt;sup&gt;57&lt;/sup&gt;","plainTextFormattedCitation":"57","previouslyFormattedCitation":"&lt;sup&gt;57&lt;/sup&gt;"},"properties":{"noteIndex":0},"schema":"https://github.com/citation-style-language/schema/raw/master/csl-citation.json"}</w:instrText>
      </w:r>
      <w:r w:rsidR="00BD7E78" w:rsidRPr="00BF60BC">
        <w:rPr>
          <w:rFonts w:eastAsia="Times New Roman" w:cstheme="minorHAnsi"/>
          <w:sz w:val="24"/>
          <w:szCs w:val="24"/>
        </w:rPr>
        <w:fldChar w:fldCharType="separate"/>
      </w:r>
      <w:r w:rsidR="00C5774B" w:rsidRPr="00C5774B">
        <w:rPr>
          <w:rFonts w:eastAsia="Times New Roman" w:cstheme="minorHAnsi"/>
          <w:noProof/>
          <w:sz w:val="24"/>
          <w:szCs w:val="24"/>
          <w:vertAlign w:val="superscript"/>
        </w:rPr>
        <w:t>57</w:t>
      </w:r>
      <w:r w:rsidR="00BD7E78" w:rsidRPr="00BF60BC">
        <w:rPr>
          <w:rFonts w:eastAsia="Times New Roman" w:cstheme="minorHAnsi"/>
          <w:sz w:val="24"/>
          <w:szCs w:val="24"/>
        </w:rPr>
        <w:fldChar w:fldCharType="end"/>
      </w:r>
      <w:r w:rsidR="00BD7E78" w:rsidRPr="00BF60BC">
        <w:rPr>
          <w:rFonts w:eastAsia="Times New Roman" w:cstheme="minorHAnsi"/>
          <w:sz w:val="24"/>
          <w:szCs w:val="24"/>
        </w:rPr>
        <w:t xml:space="preserve"> </w:t>
      </w:r>
      <w:r w:rsidR="00460649" w:rsidRPr="00BF60BC">
        <w:rPr>
          <w:rFonts w:eastAsia="Times New Roman" w:cstheme="minorHAnsi"/>
          <w:sz w:val="24"/>
          <w:szCs w:val="24"/>
        </w:rPr>
        <w:t>and that young people think it is</w:t>
      </w:r>
      <w:r w:rsidR="00BD7E78" w:rsidRPr="00BF60BC">
        <w:rPr>
          <w:rFonts w:eastAsia="Times New Roman" w:cstheme="minorHAnsi"/>
          <w:sz w:val="24"/>
          <w:szCs w:val="24"/>
        </w:rPr>
        <w:t xml:space="preserve"> person’s responsibility to maintain a healthy weight</w:t>
      </w:r>
      <w:r w:rsidR="00B355F9" w:rsidRPr="00BF60BC">
        <w:rPr>
          <w:rFonts w:eastAsia="Times New Roman" w:cstheme="minorHAnsi"/>
          <w:sz w:val="24"/>
          <w:szCs w:val="24"/>
        </w:rPr>
        <w:t xml:space="preserve"> </w:t>
      </w:r>
      <w:r w:rsidR="00BD7E78" w:rsidRPr="00BF60BC">
        <w:rPr>
          <w:rFonts w:eastAsia="Times New Roman" w:cstheme="minorHAnsi"/>
          <w:sz w:val="24"/>
          <w:szCs w:val="24"/>
        </w:rPr>
        <w:t xml:space="preserve">– an idea </w:t>
      </w:r>
      <w:r w:rsidR="00B355F9" w:rsidRPr="00BF60BC">
        <w:rPr>
          <w:rFonts w:eastAsia="Times New Roman" w:cstheme="minorHAnsi"/>
          <w:sz w:val="24"/>
          <w:szCs w:val="24"/>
        </w:rPr>
        <w:t>often</w:t>
      </w:r>
      <w:r w:rsidR="00BD7E78" w:rsidRPr="00BF60BC">
        <w:rPr>
          <w:rFonts w:eastAsia="Times New Roman" w:cstheme="minorHAnsi"/>
          <w:sz w:val="24"/>
          <w:szCs w:val="24"/>
        </w:rPr>
        <w:t xml:space="preserve"> reinforced by media</w:t>
      </w:r>
      <w:r w:rsidR="00B355F9" w:rsidRPr="00BF60BC">
        <w:rPr>
          <w:rFonts w:eastAsia="Times New Roman" w:cstheme="minorHAnsi"/>
          <w:sz w:val="24"/>
          <w:szCs w:val="24"/>
        </w:rPr>
        <w:fldChar w:fldCharType="begin" w:fldLock="1"/>
      </w:r>
      <w:r w:rsidR="00C5774B">
        <w:rPr>
          <w:rFonts w:eastAsia="Times New Roman" w:cstheme="minorHAnsi"/>
          <w:sz w:val="24"/>
          <w:szCs w:val="24"/>
        </w:rPr>
        <w:instrText>ADDIN CSL_CITATION {"citationItems":[{"id":"ITEM-1","itemData":{"DOI":"10.1159/000276547","ISSN":"16624025","abstract":"Background: There is ample evidence that overweight and obese individuals are stigmatized in various forms of media. This weight bias is particularly disconcerting when it targets children and adolescents. Objective: The current review surveys the most recent 15 years of research on weight bias and stigmatization in the media and discusses some theoretical models that might help explain the negative effects of such material. Method: PsycINFO searches were conducted using weight bias- and stigmatization-related terms and phrases. Results were limited to journal articles published in English between 1994 and 2009. Results: Overall, the data indicate that a wide range of media - from television shows to books, newspapers, and the internet - portray over-weight and obese individuals in a stigmatizing manner. Conclusion: More research on this topic is needed to dis-cern a direct connection between exposure to such ma-terial and psychological or physical harm to the viewer. Additionally, virtually all of the research has been conducted in the USA; research in other countries should be a top priority. Efforts to try to educate the media to the deleterious effects of media presentations of weight bias are indicated. Copyright © 2010 S. Karger AG.","author":[{"dropping-particle":"","family":"Ata","given":"Rheanna N.","non-dropping-particle":"","parse-names":false,"suffix":""},{"dropping-particle":"","family":"Thompson","given":"J. Kevin","non-dropping-particle":"","parse-names":false,"suffix":""}],"container-title":"Obesity Facts","id":"ITEM-1","issued":{"date-parts":[["2010"]]},"title":"Weight bias in the media: A review of recent research","type":"article"},"uris":["http://www.mendeley.com/documents/?uuid=18eacc84-cbef-4ac0-8db2-46b395186a24"]}],"mendeley":{"formattedCitation":"&lt;sup&gt;58&lt;/sup&gt;","plainTextFormattedCitation":"58","previouslyFormattedCitation":"&lt;sup&gt;58&lt;/sup&gt;"},"properties":{"noteIndex":0},"schema":"https://github.com/citation-style-language/schema/raw/master/csl-citation.json"}</w:instrText>
      </w:r>
      <w:r w:rsidR="00B355F9" w:rsidRPr="00BF60BC">
        <w:rPr>
          <w:rFonts w:eastAsia="Times New Roman" w:cstheme="minorHAnsi"/>
          <w:sz w:val="24"/>
          <w:szCs w:val="24"/>
        </w:rPr>
        <w:fldChar w:fldCharType="separate"/>
      </w:r>
      <w:r w:rsidR="00C5774B" w:rsidRPr="00C5774B">
        <w:rPr>
          <w:rFonts w:eastAsia="Times New Roman" w:cstheme="minorHAnsi"/>
          <w:noProof/>
          <w:sz w:val="24"/>
          <w:szCs w:val="24"/>
          <w:vertAlign w:val="superscript"/>
        </w:rPr>
        <w:t>58</w:t>
      </w:r>
      <w:r w:rsidR="00B355F9" w:rsidRPr="00BF60BC">
        <w:rPr>
          <w:rFonts w:eastAsia="Times New Roman" w:cstheme="minorHAnsi"/>
          <w:sz w:val="24"/>
          <w:szCs w:val="24"/>
        </w:rPr>
        <w:fldChar w:fldCharType="end"/>
      </w:r>
      <w:r w:rsidR="00BD7E78" w:rsidRPr="00BF60BC">
        <w:rPr>
          <w:rFonts w:eastAsia="Times New Roman" w:cstheme="minorHAnsi"/>
          <w:sz w:val="24"/>
          <w:szCs w:val="24"/>
        </w:rPr>
        <w:t xml:space="preserve"> – leading to </w:t>
      </w:r>
      <w:r w:rsidRPr="00BF60BC">
        <w:rPr>
          <w:rFonts w:eastAsia="Times New Roman" w:cstheme="minorHAnsi"/>
          <w:sz w:val="24"/>
          <w:szCs w:val="24"/>
        </w:rPr>
        <w:t>high levels of blame placed on themselves for failing to lose weight.</w:t>
      </w:r>
      <w:r w:rsidRPr="00BF60BC">
        <w:rPr>
          <w:rFonts w:eastAsia="Times New Roman" w:cstheme="minorHAnsi"/>
          <w:sz w:val="24"/>
          <w:szCs w:val="24"/>
        </w:rPr>
        <w:fldChar w:fldCharType="begin" w:fldLock="1"/>
      </w:r>
      <w:r w:rsidR="00C5774B">
        <w:rPr>
          <w:rFonts w:eastAsia="Times New Roman" w:cstheme="minorHAnsi"/>
          <w:sz w:val="24"/>
          <w:szCs w:val="24"/>
        </w:rPr>
        <w:instrText>ADDIN CSL_CITATION {"citationItems":[{"id":"ITEM-1","itemData":{"author":[{"dropping-particle":"","family":"Rees","given":"R","non-dropping-particle":"","parse-names":false,"suffix":""},{"dropping-particle":"","family":"Caird","given":"J","non-dropping-particle":"","parse-names":false,"suffix":""},{"dropping-particle":"","family":"Dickson","given":"K","non-dropping-particle":"","parse-names":false,"suffix":""},{"dropping-particle":"","family":"Vigurs","given":"C","non-dropping-particle":"","parse-names":false,"suffix":""},{"dropping-particle":"","family":"Thomas","given":"J","non-dropping-particle":"","parse-names":false,"suffix":""}],"id":"ITEM-1","issued":{"date-parts":[["2013"]]},"publisher-place":"London, UK","title":"The views of young people in the UK about obesity, body size, shape and weight","type":"report"},"uris":["http://www.mendeley.com/documents/?uuid=e44d4582-4e1d-4091-8af8-d59091d48fdf"]}],"mendeley":{"formattedCitation":"&lt;sup&gt;57&lt;/sup&gt;","plainTextFormattedCitation":"57","previouslyFormattedCitation":"&lt;sup&gt;57&lt;/sup&gt;"},"properties":{"noteIndex":0},"schema":"https://github.com/citation-style-language/schema/raw/master/csl-citation.json"}</w:instrText>
      </w:r>
      <w:r w:rsidRPr="00BF60BC">
        <w:rPr>
          <w:rFonts w:eastAsia="Times New Roman" w:cstheme="minorHAnsi"/>
          <w:sz w:val="24"/>
          <w:szCs w:val="24"/>
        </w:rPr>
        <w:fldChar w:fldCharType="separate"/>
      </w:r>
      <w:r w:rsidR="00C5774B" w:rsidRPr="00C5774B">
        <w:rPr>
          <w:rFonts w:eastAsia="Times New Roman" w:cstheme="minorHAnsi"/>
          <w:noProof/>
          <w:sz w:val="24"/>
          <w:szCs w:val="24"/>
          <w:vertAlign w:val="superscript"/>
        </w:rPr>
        <w:t>57</w:t>
      </w:r>
      <w:r w:rsidRPr="00BF60BC">
        <w:rPr>
          <w:rFonts w:eastAsia="Times New Roman" w:cstheme="minorHAnsi"/>
          <w:sz w:val="24"/>
          <w:szCs w:val="24"/>
        </w:rPr>
        <w:fldChar w:fldCharType="end"/>
      </w:r>
      <w:r w:rsidR="00BD7E78" w:rsidRPr="00BF60BC">
        <w:rPr>
          <w:rFonts w:eastAsia="Times New Roman" w:cstheme="minorHAnsi"/>
          <w:sz w:val="24"/>
          <w:szCs w:val="24"/>
        </w:rPr>
        <w:t xml:space="preserve"> </w:t>
      </w:r>
      <w:r w:rsidR="00C74FDF" w:rsidRPr="00BF60BC">
        <w:rPr>
          <w:rFonts w:eastAsia="Times New Roman" w:cstheme="minorHAnsi"/>
          <w:sz w:val="24"/>
          <w:szCs w:val="24"/>
        </w:rPr>
        <w:t>A</w:t>
      </w:r>
      <w:r w:rsidR="00BD7E78" w:rsidRPr="00BF60BC">
        <w:rPr>
          <w:rFonts w:eastAsia="Times New Roman" w:cstheme="minorHAnsi"/>
          <w:sz w:val="24"/>
          <w:szCs w:val="24"/>
        </w:rPr>
        <w:t xml:space="preserve"> Finnish study</w:t>
      </w:r>
      <w:r w:rsidR="00C74FDF" w:rsidRPr="00BF60BC">
        <w:rPr>
          <w:rFonts w:eastAsia="Times New Roman" w:cstheme="minorHAnsi"/>
          <w:sz w:val="24"/>
          <w:szCs w:val="24"/>
        </w:rPr>
        <w:t xml:space="preserve"> observed similar patterns around blame</w:t>
      </w:r>
      <w:r w:rsidR="00910A2E" w:rsidRPr="00BF60BC">
        <w:rPr>
          <w:rFonts w:cstheme="minorHAnsi"/>
          <w:sz w:val="24"/>
          <w:szCs w:val="24"/>
        </w:rPr>
        <w:fldChar w:fldCharType="begin" w:fldLock="1"/>
      </w:r>
      <w:r w:rsidR="00C5774B">
        <w:rPr>
          <w:rFonts w:cstheme="minorHAnsi"/>
          <w:sz w:val="24"/>
          <w:szCs w:val="24"/>
        </w:rPr>
        <w:instrText>ADDIN CSL_CITATION {"citationItems":[{"id":"ITEM-1","itemData":{"DOI":"10.1080/08039488.2016.1224272","ISSN":"0803-9488","abstract":"AbstractBackground: A debate concerns whether eating disorders are increasing in prevalence. The role of socio-economic status (SES) for adolescent eating disorders (ED) is another matter of debate...","author":[{"dropping-particle":"","family":"Litmanen","given":"Jessi","non-dropping-particle":"","parse-names":false,"suffix":""},{"dropping-particle":"","family":"Fröjd","given":"Sari","non-dropping-particle":"","parse-names":false,"suffix":""},{"dropping-particle":"","family":"Marttunen","given":"Mauri","non-dropping-particle":"","parse-names":false,"suffix":""},{"dropping-particle":"","family":"Isomaa","given":"Rasmus","non-dropping-particle":"","parse-names":false,"suffix":""},{"dropping-particle":"","family":"Kaltiala-Heino","given":"Riittakerttu","non-dropping-particle":"","parse-names":false,"suffix":""}],"container-title":"Nordic Journal of Psychiatry","id":"ITEM-1","issue":"1","issued":{"date-parts":[["2017","1","2"]]},"page":"61-66","publisher":"Taylor &amp; Francis","title":"Are eating disorders and their symptoms increasing in prevalence among adolescent population?","type":"article-journal","volume":"71"},"uris":["http://www.mendeley.com/documents/?uuid=a7c6c2b2-fcbb-3db4-b94b-2be6a2b2a8ea","http://www.mendeley.com/documents/?uuid=3f832507-154e-4913-bc0a-78558340e42b"]}],"mendeley":{"formattedCitation":"&lt;sup&gt;19&lt;/sup&gt;","plainTextFormattedCitation":"19","previouslyFormattedCitation":"&lt;sup&gt;19&lt;/sup&gt;"},"properties":{"noteIndex":0},"schema":"https://github.com/citation-style-language/schema/raw/master/csl-citation.json"}</w:instrText>
      </w:r>
      <w:r w:rsidR="00910A2E" w:rsidRPr="00BF60BC">
        <w:rPr>
          <w:rFonts w:cstheme="minorHAnsi"/>
          <w:sz w:val="24"/>
          <w:szCs w:val="24"/>
        </w:rPr>
        <w:fldChar w:fldCharType="separate"/>
      </w:r>
      <w:r w:rsidR="00C5774B" w:rsidRPr="00C5774B">
        <w:rPr>
          <w:rFonts w:cstheme="minorHAnsi"/>
          <w:noProof/>
          <w:sz w:val="24"/>
          <w:szCs w:val="24"/>
          <w:vertAlign w:val="superscript"/>
        </w:rPr>
        <w:t>19</w:t>
      </w:r>
      <w:r w:rsidR="00910A2E" w:rsidRPr="00BF60BC">
        <w:rPr>
          <w:rFonts w:cstheme="minorHAnsi"/>
          <w:sz w:val="24"/>
          <w:szCs w:val="24"/>
        </w:rPr>
        <w:fldChar w:fldCharType="end"/>
      </w:r>
      <w:r w:rsidR="00BD7E78" w:rsidRPr="00BF60BC">
        <w:rPr>
          <w:rFonts w:eastAsia="Times New Roman" w:cstheme="minorHAnsi"/>
          <w:sz w:val="24"/>
          <w:szCs w:val="24"/>
        </w:rPr>
        <w:t xml:space="preserve"> </w:t>
      </w:r>
      <w:r w:rsidR="00C74FDF" w:rsidRPr="00BF60BC">
        <w:rPr>
          <w:rFonts w:eastAsia="Times New Roman" w:cstheme="minorHAnsi"/>
          <w:sz w:val="24"/>
          <w:szCs w:val="24"/>
        </w:rPr>
        <w:t>which also find</w:t>
      </w:r>
      <w:r w:rsidR="0010570A" w:rsidRPr="00BF60BC">
        <w:rPr>
          <w:rFonts w:eastAsia="Times New Roman" w:cstheme="minorHAnsi"/>
          <w:sz w:val="24"/>
          <w:szCs w:val="24"/>
        </w:rPr>
        <w:t xml:space="preserve"> correspondence </w:t>
      </w:r>
      <w:r w:rsidR="00910A2E" w:rsidRPr="00BF60BC">
        <w:rPr>
          <w:rFonts w:eastAsia="Times New Roman" w:cstheme="minorHAnsi"/>
          <w:sz w:val="24"/>
          <w:szCs w:val="24"/>
        </w:rPr>
        <w:t>in our findings of increasing depressive symptoms associated with the thought of being overweight, and weight-loss behaviours in girls</w:t>
      </w:r>
      <w:r w:rsidR="0010570A" w:rsidRPr="00BF60BC">
        <w:rPr>
          <w:rFonts w:eastAsia="Times New Roman" w:cstheme="minorHAnsi"/>
          <w:sz w:val="24"/>
          <w:szCs w:val="24"/>
        </w:rPr>
        <w:t xml:space="preserve"> over the years</w:t>
      </w:r>
      <w:r w:rsidR="00910A2E" w:rsidRPr="00BF60BC">
        <w:rPr>
          <w:rFonts w:eastAsia="Times New Roman" w:cstheme="minorHAnsi"/>
          <w:sz w:val="24"/>
          <w:szCs w:val="24"/>
        </w:rPr>
        <w:t>.</w:t>
      </w:r>
      <w:r w:rsidR="00460649" w:rsidRPr="00BF60BC">
        <w:rPr>
          <w:rFonts w:eastAsia="Times New Roman" w:cstheme="minorHAnsi"/>
          <w:sz w:val="24"/>
          <w:szCs w:val="24"/>
        </w:rPr>
        <w:t xml:space="preserve"> </w:t>
      </w:r>
      <w:bookmarkStart w:id="17" w:name="_Hlk37433660"/>
      <w:r w:rsidR="00460649" w:rsidRPr="00BF60BC">
        <w:rPr>
          <w:rFonts w:eastAsia="Times New Roman" w:cstheme="minorHAnsi"/>
          <w:sz w:val="24"/>
          <w:szCs w:val="24"/>
        </w:rPr>
        <w:t>While</w:t>
      </w:r>
      <w:r w:rsidR="007A0EF3" w:rsidRPr="00BF60BC">
        <w:rPr>
          <w:rFonts w:eastAsia="Times New Roman" w:cstheme="minorHAnsi"/>
          <w:sz w:val="24"/>
          <w:szCs w:val="24"/>
        </w:rPr>
        <w:t xml:space="preserve"> in our study</w:t>
      </w:r>
      <w:r w:rsidR="00460649" w:rsidRPr="00BF60BC">
        <w:rPr>
          <w:rFonts w:eastAsia="Times New Roman" w:cstheme="minorHAnsi"/>
          <w:sz w:val="24"/>
          <w:szCs w:val="24"/>
        </w:rPr>
        <w:t xml:space="preserve"> it was not possible to disentangle </w:t>
      </w:r>
      <w:r w:rsidR="0036553F" w:rsidRPr="00BF60BC">
        <w:rPr>
          <w:rFonts w:eastAsia="Times New Roman" w:cstheme="minorHAnsi"/>
          <w:sz w:val="24"/>
          <w:szCs w:val="24"/>
        </w:rPr>
        <w:t xml:space="preserve">the </w:t>
      </w:r>
      <w:r w:rsidR="00551A6B" w:rsidRPr="00BF60BC">
        <w:rPr>
          <w:rFonts w:eastAsia="Times New Roman" w:cstheme="minorHAnsi"/>
          <w:sz w:val="24"/>
          <w:szCs w:val="24"/>
        </w:rPr>
        <w:t>direction</w:t>
      </w:r>
      <w:r w:rsidR="0036553F" w:rsidRPr="00BF60BC">
        <w:rPr>
          <w:rFonts w:eastAsia="Times New Roman" w:cstheme="minorHAnsi"/>
          <w:sz w:val="24"/>
          <w:szCs w:val="24"/>
        </w:rPr>
        <w:t xml:space="preserve"> of association</w:t>
      </w:r>
      <w:r w:rsidR="00551A6B" w:rsidRPr="00BF60BC">
        <w:rPr>
          <w:rFonts w:eastAsia="Times New Roman" w:cstheme="minorHAnsi"/>
          <w:sz w:val="24"/>
          <w:szCs w:val="24"/>
        </w:rPr>
        <w:t>s</w:t>
      </w:r>
      <w:r w:rsidR="0036553F" w:rsidRPr="00BF60BC">
        <w:rPr>
          <w:rFonts w:eastAsia="Times New Roman" w:cstheme="minorHAnsi"/>
          <w:sz w:val="24"/>
          <w:szCs w:val="24"/>
        </w:rPr>
        <w:t xml:space="preserve"> between weight perception and weight-change behaviours and depressive symptoms </w:t>
      </w:r>
      <w:r w:rsidR="0010570A" w:rsidRPr="00BF60BC">
        <w:rPr>
          <w:rFonts w:eastAsia="Times New Roman" w:cstheme="minorHAnsi"/>
          <w:sz w:val="24"/>
          <w:szCs w:val="24"/>
        </w:rPr>
        <w:t>it is important that families, schools, and clinicians are aware of this comorbidity when interacting with adolescents</w:t>
      </w:r>
      <w:r w:rsidR="00460649" w:rsidRPr="00BF60BC">
        <w:rPr>
          <w:rFonts w:eastAsia="Times New Roman" w:cstheme="minorHAnsi"/>
          <w:sz w:val="24"/>
          <w:szCs w:val="24"/>
        </w:rPr>
        <w:t xml:space="preserve"> </w:t>
      </w:r>
      <w:r w:rsidR="0036553F" w:rsidRPr="00BF60BC">
        <w:rPr>
          <w:rFonts w:eastAsia="Times New Roman" w:cstheme="minorHAnsi"/>
          <w:sz w:val="24"/>
          <w:szCs w:val="24"/>
        </w:rPr>
        <w:t xml:space="preserve">about </w:t>
      </w:r>
      <w:r w:rsidR="00B355F9" w:rsidRPr="00BF60BC">
        <w:rPr>
          <w:rFonts w:eastAsia="Times New Roman" w:cstheme="minorHAnsi"/>
          <w:sz w:val="24"/>
          <w:szCs w:val="24"/>
        </w:rPr>
        <w:t>weight-related concerns</w:t>
      </w:r>
      <w:r w:rsidR="0010570A" w:rsidRPr="00BF60BC">
        <w:rPr>
          <w:rFonts w:eastAsia="Times New Roman" w:cstheme="minorHAnsi"/>
          <w:sz w:val="24"/>
          <w:szCs w:val="24"/>
        </w:rPr>
        <w:t>.</w:t>
      </w:r>
    </w:p>
    <w:bookmarkEnd w:id="14"/>
    <w:bookmarkEnd w:id="16"/>
    <w:bookmarkEnd w:id="17"/>
    <w:p w14:paraId="75C13C83" w14:textId="782C4703" w:rsidR="00673F93" w:rsidRPr="00BF60BC" w:rsidRDefault="00673F93" w:rsidP="00655F22">
      <w:pPr>
        <w:spacing w:after="0" w:line="360" w:lineRule="auto"/>
        <w:jc w:val="both"/>
        <w:rPr>
          <w:rFonts w:eastAsia="Times New Roman" w:cstheme="minorHAnsi"/>
          <w:sz w:val="24"/>
          <w:szCs w:val="24"/>
        </w:rPr>
      </w:pPr>
    </w:p>
    <w:p w14:paraId="72CBB1CA" w14:textId="77777777" w:rsidR="00673F93" w:rsidRPr="00BF60BC" w:rsidRDefault="00673F93" w:rsidP="00655F22">
      <w:pPr>
        <w:spacing w:after="0" w:line="360" w:lineRule="auto"/>
        <w:jc w:val="both"/>
        <w:rPr>
          <w:rFonts w:eastAsia="Times New Roman" w:cstheme="minorHAnsi"/>
          <w:i/>
          <w:iCs/>
          <w:sz w:val="24"/>
          <w:szCs w:val="24"/>
        </w:rPr>
      </w:pPr>
      <w:r w:rsidRPr="00BF60BC">
        <w:rPr>
          <w:rFonts w:eastAsia="Times New Roman" w:cstheme="minorHAnsi"/>
          <w:i/>
          <w:iCs/>
          <w:sz w:val="24"/>
          <w:szCs w:val="24"/>
        </w:rPr>
        <w:t>Limitations</w:t>
      </w:r>
    </w:p>
    <w:p w14:paraId="44163531" w14:textId="33F99443" w:rsidR="00673F93" w:rsidRPr="00BF60BC" w:rsidRDefault="00ED45F4" w:rsidP="00655F22">
      <w:pPr>
        <w:spacing w:after="0" w:line="360" w:lineRule="auto"/>
        <w:jc w:val="both"/>
        <w:rPr>
          <w:rFonts w:eastAsia="Times New Roman" w:cstheme="minorHAnsi"/>
          <w:sz w:val="24"/>
          <w:szCs w:val="24"/>
        </w:rPr>
      </w:pPr>
      <w:r w:rsidRPr="00BF60BC">
        <w:rPr>
          <w:rFonts w:eastAsia="Times New Roman" w:cstheme="minorHAnsi"/>
          <w:sz w:val="24"/>
          <w:szCs w:val="24"/>
        </w:rPr>
        <w:t>While</w:t>
      </w:r>
      <w:r w:rsidR="00673F93" w:rsidRPr="00BF60BC">
        <w:rPr>
          <w:rFonts w:eastAsia="Times New Roman" w:cstheme="minorHAnsi"/>
          <w:sz w:val="24"/>
          <w:szCs w:val="24"/>
        </w:rPr>
        <w:t xml:space="preserve"> BCS and MCS are national cohorts, the ALSPAC cohort is limited to children born in a south west region of England and might therefore not be representative of other areas of the UK. To account for observed differences in the make-up of the cohorts, we have included a number of socio-demographic and socio-economic variables in our analyses. Overall, the inclusion of covariates did not impact the results of our analyses suggesting that between-cohort sampling differences are unlikely to explain the observed cohort trends. All of these </w:t>
      </w:r>
      <w:r w:rsidR="00673F93" w:rsidRPr="00BF60BC">
        <w:rPr>
          <w:rFonts w:eastAsia="Times New Roman" w:cstheme="minorHAnsi"/>
          <w:sz w:val="24"/>
          <w:szCs w:val="24"/>
        </w:rPr>
        <w:lastRenderedPageBreak/>
        <w:t xml:space="preserve">cohorts are affected by different degrees of attrition, which could have introduced selection bias in our analyses. To address this, we have imputed missing data for any individual who had at least one outcome measurement and used attrition weights in our analyses. </w:t>
      </w:r>
      <w:bookmarkStart w:id="18" w:name="_Hlk37413718"/>
      <w:bookmarkStart w:id="19" w:name="_Hlk37856229"/>
      <w:bookmarkStart w:id="20" w:name="_Hlk38543009"/>
      <w:r w:rsidR="00637868" w:rsidRPr="00BF60BC">
        <w:rPr>
          <w:rFonts w:eastAsia="Times New Roman" w:cstheme="minorHAnsi"/>
          <w:sz w:val="24"/>
          <w:szCs w:val="24"/>
        </w:rPr>
        <w:t>The depression measure included in BCS differed from that used in ALSPAC and MCS</w:t>
      </w:r>
      <w:r w:rsidR="00551A6B" w:rsidRPr="00BF60BC">
        <w:rPr>
          <w:rFonts w:eastAsia="Times New Roman" w:cstheme="minorHAnsi"/>
          <w:sz w:val="24"/>
          <w:szCs w:val="24"/>
        </w:rPr>
        <w:t>, which</w:t>
      </w:r>
      <w:r w:rsidR="00637868" w:rsidRPr="00BF60BC">
        <w:rPr>
          <w:rFonts w:eastAsia="Times New Roman" w:cstheme="minorHAnsi"/>
          <w:sz w:val="24"/>
          <w:szCs w:val="24"/>
        </w:rPr>
        <w:t xml:space="preserve"> could have resulted in under- or overestimat</w:t>
      </w:r>
      <w:r w:rsidR="00864761" w:rsidRPr="00BF60BC">
        <w:rPr>
          <w:rFonts w:eastAsia="Times New Roman" w:cstheme="minorHAnsi"/>
          <w:sz w:val="24"/>
          <w:szCs w:val="24"/>
        </w:rPr>
        <w:t>ing</w:t>
      </w:r>
      <w:r w:rsidR="00637868" w:rsidRPr="00BF60BC">
        <w:rPr>
          <w:rFonts w:eastAsia="Times New Roman" w:cstheme="minorHAnsi"/>
          <w:sz w:val="24"/>
          <w:szCs w:val="24"/>
        </w:rPr>
        <w:t xml:space="preserve"> differences between cohorts</w:t>
      </w:r>
      <w:r w:rsidR="00864761" w:rsidRPr="00BF60BC">
        <w:rPr>
          <w:rFonts w:eastAsia="Times New Roman" w:cstheme="minorHAnsi"/>
          <w:sz w:val="24"/>
          <w:szCs w:val="24"/>
        </w:rPr>
        <w:t xml:space="preserve"> if adolescents with weight-control behaviours report their depressive symptoms differently </w:t>
      </w:r>
      <w:r w:rsidR="00551A6B" w:rsidRPr="00BF60BC">
        <w:rPr>
          <w:rFonts w:eastAsia="Times New Roman" w:cstheme="minorHAnsi"/>
          <w:sz w:val="24"/>
          <w:szCs w:val="24"/>
        </w:rPr>
        <w:t>on these two measures</w:t>
      </w:r>
      <w:r w:rsidR="00864761" w:rsidRPr="00BF60BC">
        <w:rPr>
          <w:rFonts w:eastAsia="Times New Roman" w:cstheme="minorHAnsi"/>
          <w:sz w:val="24"/>
          <w:szCs w:val="24"/>
        </w:rPr>
        <w:t xml:space="preserve">. </w:t>
      </w:r>
      <w:r w:rsidR="00487ABF" w:rsidRPr="00BF60BC">
        <w:rPr>
          <w:rFonts w:eastAsia="Times New Roman" w:cstheme="minorHAnsi"/>
          <w:sz w:val="24"/>
          <w:szCs w:val="24"/>
        </w:rPr>
        <w:t>However, w</w:t>
      </w:r>
      <w:r w:rsidR="00864761" w:rsidRPr="00BF60BC">
        <w:rPr>
          <w:rFonts w:eastAsia="Times New Roman" w:cstheme="minorHAnsi"/>
          <w:sz w:val="24"/>
          <w:szCs w:val="24"/>
        </w:rPr>
        <w:t>e believe this is unlikely</w:t>
      </w:r>
      <w:r w:rsidR="00EE568B" w:rsidRPr="00BF60BC">
        <w:rPr>
          <w:rFonts w:eastAsia="Times New Roman" w:cstheme="minorHAnsi"/>
          <w:sz w:val="24"/>
          <w:szCs w:val="24"/>
        </w:rPr>
        <w:t xml:space="preserve"> to have occurred</w:t>
      </w:r>
      <w:r w:rsidR="00D44E0B" w:rsidRPr="00BF60BC">
        <w:rPr>
          <w:rFonts w:eastAsia="Times New Roman" w:cstheme="minorHAnsi"/>
          <w:sz w:val="24"/>
          <w:szCs w:val="24"/>
        </w:rPr>
        <w:t xml:space="preserve"> </w:t>
      </w:r>
      <w:r w:rsidR="00864761" w:rsidRPr="00BF60BC">
        <w:rPr>
          <w:rFonts w:eastAsia="Times New Roman" w:cstheme="minorHAnsi"/>
          <w:sz w:val="24"/>
          <w:szCs w:val="24"/>
        </w:rPr>
        <w:t xml:space="preserve">as </w:t>
      </w:r>
      <w:r w:rsidR="00637868" w:rsidRPr="00BF60BC">
        <w:rPr>
          <w:rFonts w:eastAsia="Times New Roman" w:cstheme="minorHAnsi"/>
          <w:sz w:val="24"/>
          <w:szCs w:val="24"/>
        </w:rPr>
        <w:t>we</w:t>
      </w:r>
      <w:r w:rsidR="00864761" w:rsidRPr="00BF60BC">
        <w:rPr>
          <w:rFonts w:eastAsia="Times New Roman" w:cstheme="minorHAnsi"/>
          <w:sz w:val="24"/>
          <w:szCs w:val="24"/>
        </w:rPr>
        <w:t xml:space="preserve"> observed</w:t>
      </w:r>
      <w:r w:rsidR="00637868" w:rsidRPr="00BF60BC">
        <w:rPr>
          <w:rFonts w:eastAsia="Times New Roman" w:cstheme="minorHAnsi"/>
          <w:sz w:val="24"/>
          <w:szCs w:val="24"/>
        </w:rPr>
        <w:t xml:space="preserve"> </w:t>
      </w:r>
      <w:r w:rsidR="00864761" w:rsidRPr="00BF60BC">
        <w:rPr>
          <w:rFonts w:eastAsia="Times New Roman" w:cstheme="minorHAnsi"/>
          <w:sz w:val="24"/>
          <w:szCs w:val="24"/>
        </w:rPr>
        <w:t>increased depressive symptoms</w:t>
      </w:r>
      <w:r w:rsidR="00637868" w:rsidRPr="00BF60BC">
        <w:rPr>
          <w:rFonts w:eastAsia="Times New Roman" w:cstheme="minorHAnsi"/>
          <w:sz w:val="24"/>
          <w:szCs w:val="24"/>
        </w:rPr>
        <w:t xml:space="preserve"> in </w:t>
      </w:r>
      <w:r w:rsidR="00864761" w:rsidRPr="00BF60BC">
        <w:rPr>
          <w:rFonts w:eastAsia="Times New Roman" w:cstheme="minorHAnsi"/>
          <w:sz w:val="24"/>
          <w:szCs w:val="24"/>
        </w:rPr>
        <w:t>2015 compared to 2005 when these were measured using</w:t>
      </w:r>
      <w:r w:rsidR="00637868" w:rsidRPr="00BF60BC">
        <w:rPr>
          <w:rFonts w:eastAsia="Times New Roman" w:cstheme="minorHAnsi"/>
          <w:sz w:val="24"/>
          <w:szCs w:val="24"/>
        </w:rPr>
        <w:t xml:space="preserve"> the same </w:t>
      </w:r>
      <w:r w:rsidR="00864761" w:rsidRPr="00BF60BC">
        <w:rPr>
          <w:rFonts w:eastAsia="Times New Roman" w:cstheme="minorHAnsi"/>
          <w:sz w:val="24"/>
          <w:szCs w:val="24"/>
        </w:rPr>
        <w:t>instrument</w:t>
      </w:r>
      <w:r w:rsidR="00863BD1" w:rsidRPr="00BF60BC">
        <w:rPr>
          <w:rFonts w:eastAsia="Times New Roman" w:cstheme="minorHAnsi"/>
          <w:sz w:val="24"/>
          <w:szCs w:val="24"/>
        </w:rPr>
        <w:t xml:space="preserve"> </w:t>
      </w:r>
      <w:r w:rsidR="00EE568B" w:rsidRPr="00BF60BC">
        <w:rPr>
          <w:rFonts w:eastAsia="Times New Roman" w:cstheme="minorHAnsi"/>
          <w:sz w:val="24"/>
          <w:szCs w:val="24"/>
        </w:rPr>
        <w:t>and did not see</w:t>
      </w:r>
      <w:bookmarkEnd w:id="18"/>
      <w:r w:rsidR="00863BD1" w:rsidRPr="00BF60BC">
        <w:rPr>
          <w:rFonts w:eastAsia="Times New Roman" w:cstheme="minorHAnsi"/>
          <w:sz w:val="24"/>
          <w:szCs w:val="24"/>
        </w:rPr>
        <w:t xml:space="preserve"> changes </w:t>
      </w:r>
      <w:r w:rsidR="0036553F" w:rsidRPr="00BF60BC">
        <w:rPr>
          <w:rFonts w:eastAsia="Times New Roman" w:cstheme="minorHAnsi"/>
          <w:sz w:val="24"/>
          <w:szCs w:val="24"/>
        </w:rPr>
        <w:t>in boys</w:t>
      </w:r>
      <w:r w:rsidR="000379A8" w:rsidRPr="00BF60BC">
        <w:rPr>
          <w:rFonts w:eastAsia="Times New Roman" w:cstheme="minorHAnsi"/>
          <w:sz w:val="24"/>
          <w:szCs w:val="24"/>
        </w:rPr>
        <w:t xml:space="preserve"> (but did in girls)</w:t>
      </w:r>
      <w:r w:rsidR="0036553F" w:rsidRPr="00BF60BC">
        <w:rPr>
          <w:rFonts w:eastAsia="Times New Roman" w:cstheme="minorHAnsi"/>
          <w:sz w:val="24"/>
          <w:szCs w:val="24"/>
        </w:rPr>
        <w:t>, which we would have expected if</w:t>
      </w:r>
      <w:r w:rsidR="00863BD1" w:rsidRPr="00BF60BC">
        <w:rPr>
          <w:rFonts w:eastAsia="Times New Roman" w:cstheme="minorHAnsi"/>
          <w:sz w:val="24"/>
          <w:szCs w:val="24"/>
        </w:rPr>
        <w:t xml:space="preserve"> differences were solely due to the instrument</w:t>
      </w:r>
      <w:r w:rsidR="00EE568B" w:rsidRPr="00BF60BC">
        <w:rPr>
          <w:rFonts w:eastAsia="Times New Roman" w:cstheme="minorHAnsi"/>
          <w:sz w:val="24"/>
          <w:szCs w:val="24"/>
        </w:rPr>
        <w:t>s</w:t>
      </w:r>
      <w:r w:rsidR="00863BD1" w:rsidRPr="00BF60BC">
        <w:rPr>
          <w:rFonts w:eastAsia="Times New Roman" w:cstheme="minorHAnsi"/>
          <w:sz w:val="24"/>
          <w:szCs w:val="24"/>
        </w:rPr>
        <w:t xml:space="preserve"> used.</w:t>
      </w:r>
      <w:bookmarkEnd w:id="19"/>
      <w:r w:rsidR="00863BD1" w:rsidRPr="00BF60BC">
        <w:rPr>
          <w:rFonts w:eastAsia="Times New Roman" w:cstheme="minorHAnsi"/>
          <w:sz w:val="24"/>
          <w:szCs w:val="24"/>
        </w:rPr>
        <w:t xml:space="preserve"> </w:t>
      </w:r>
      <w:bookmarkEnd w:id="20"/>
      <w:r w:rsidR="0036553F" w:rsidRPr="00BF60BC">
        <w:rPr>
          <w:rFonts w:eastAsia="Times New Roman" w:cstheme="minorHAnsi"/>
          <w:sz w:val="24"/>
          <w:szCs w:val="24"/>
        </w:rPr>
        <w:t xml:space="preserve"> </w:t>
      </w:r>
      <w:r w:rsidR="00487ABF" w:rsidRPr="00BF60BC">
        <w:rPr>
          <w:rFonts w:eastAsia="Times New Roman" w:cstheme="minorHAnsi"/>
          <w:sz w:val="24"/>
          <w:szCs w:val="24"/>
        </w:rPr>
        <w:t xml:space="preserve"> </w:t>
      </w:r>
      <w:bookmarkStart w:id="21" w:name="_Hlk37856197"/>
      <w:r w:rsidR="00863BD1" w:rsidRPr="00BF60BC">
        <w:rPr>
          <w:rFonts w:eastAsia="Times New Roman" w:cstheme="minorHAnsi"/>
          <w:sz w:val="24"/>
          <w:szCs w:val="24"/>
        </w:rPr>
        <w:t>Future studies should collect data on anxiety, which is common in adolescence and also associated with disordered eating</w:t>
      </w:r>
      <w:r w:rsidR="00487ABF" w:rsidRPr="00BF60BC">
        <w:rPr>
          <w:rFonts w:eastAsia="Times New Roman" w:cstheme="minorHAnsi"/>
          <w:sz w:val="24"/>
          <w:szCs w:val="24"/>
        </w:rPr>
        <w:t>.</w:t>
      </w:r>
      <w:bookmarkEnd w:id="21"/>
      <w:r w:rsidR="00863BD1" w:rsidRPr="00BF60BC">
        <w:rPr>
          <w:rFonts w:eastAsia="Times New Roman" w:cstheme="minorHAnsi"/>
          <w:sz w:val="24"/>
          <w:szCs w:val="24"/>
        </w:rPr>
        <w:fldChar w:fldCharType="begin" w:fldLock="1"/>
      </w:r>
      <w:r w:rsidR="00C5774B">
        <w:rPr>
          <w:rFonts w:eastAsia="Times New Roman" w:cstheme="minorHAnsi"/>
          <w:sz w:val="24"/>
          <w:szCs w:val="24"/>
        </w:rPr>
        <w:instrText>ADDIN CSL_CITATION {"citationItems":[{"id":"ITEM-1","itemData":{"DOI":"10.1111/jcpp.12984","ISSN":"14697610","abstract":"Background: Cross-sectional associations between anxiety disorders and eating disorders (EDs) have been well documented; however, limited research has examined whether symptoms of anxiety disorders are prospectively associated with EDs. Identifying these longitudinal associations can aid in discerning relationships among eating and anxiety disorders and point toward a mechanistic understanding of developmental psychopathology. This study investigated the prospective associations between parent-reported anxiety in mid-childhood (age 10) and child-reported ED behaviors and disorders in adolescence (at ages 14 and 16 years) in a population-based sample. Methods: Participants were individuals enrolled in the Avon Longitudinal Study of Parents and Children (ALSPAC), a population-based, prospective study of women and their children; 7,767 children whose parents provided data at age 10 were included in current analyses. An exploratory factor analysis identified latent anxiety factors at age 10, followed by a path analysis that evaluated associations between these factors and eating disorder symptoms and cognitions at age 14. Results: Parent-reported anxiety symptoms at age 10 yielded 5 factors: obsessive-compulsive disorder (OCD) symptoms related to symmetry and checking (Factor 1); OCD symptoms associated with aversion to dirt and germs (Factor 2); physical anxiety symptoms (Factor 3); worries (Factor 4); and social phobia symptoms (Factor 5). Factors 3 and 4 showed the most consistent, positive associations with a range of ED symptoms at age 14. Factor 3 predicted diagnosis of bulimia nervosa by age 16 (OR = 1.11, p =.007), whereas Factor 4 predicted diagnoses of anorexia nervosa (OR = 1.10, p =.01) and disordered eating by age 16 (OR = 1.08, p =.001). Conclusions: Results indicate that symptoms of generalized anxiety in middle childhood may predict adolescent-onset ED symptoms and ED diagnoses.","author":[{"dropping-particle":"","family":"Schaumberg","given":"Katherine","non-dropping-particle":"","parse-names":false,"suffix":""},{"dropping-particle":"","family":"Zerwas","given":"Stephanie","non-dropping-particle":"","parse-names":false,"suffix":""},{"dropping-particle":"","family":"Goodman","given":"Erica","non-dropping-particle":"","parse-names":false,"suffix":""},{"dropping-particle":"","family":"Yilmaz","given":"Zeynep","non-dropping-particle":"","parse-names":false,"suffix":""},{"dropping-particle":"","family":"Bulik","given":"Cynthia M.","non-dropping-particle":"","parse-names":false,"suffix":""},{"dropping-particle":"","family":"Micali","given":"Nadia","non-dropping-particle":"","parse-names":false,"suffix":""}],"container-title":"Journal of Child Psychology and Psychiatry and Allied Disciplines","id":"ITEM-1","issued":{"date-parts":[["2019"]]},"title":"Anxiety disorder symptoms at age 10 predict eating disorder symptoms and diagnoses in adolescence","type":"article-journal"},"uris":["http://www.mendeley.com/documents/?uuid=514f169e-0ccf-4f80-8730-d82f9fa8f25a"]}],"mendeley":{"formattedCitation":"&lt;sup&gt;59&lt;/sup&gt;","plainTextFormattedCitation":"59","previouslyFormattedCitation":"&lt;sup&gt;59&lt;/sup&gt;"},"properties":{"noteIndex":0},"schema":"https://github.com/citation-style-language/schema/raw/master/csl-citation.json"}</w:instrText>
      </w:r>
      <w:r w:rsidR="00863BD1" w:rsidRPr="00BF60BC">
        <w:rPr>
          <w:rFonts w:eastAsia="Times New Roman" w:cstheme="minorHAnsi"/>
          <w:sz w:val="24"/>
          <w:szCs w:val="24"/>
        </w:rPr>
        <w:fldChar w:fldCharType="separate"/>
      </w:r>
      <w:r w:rsidR="00C5774B" w:rsidRPr="00C5774B">
        <w:rPr>
          <w:rFonts w:eastAsia="Times New Roman" w:cstheme="minorHAnsi"/>
          <w:noProof/>
          <w:sz w:val="24"/>
          <w:szCs w:val="24"/>
          <w:vertAlign w:val="superscript"/>
        </w:rPr>
        <w:t>59</w:t>
      </w:r>
      <w:r w:rsidR="00863BD1" w:rsidRPr="00BF60BC">
        <w:rPr>
          <w:rFonts w:eastAsia="Times New Roman" w:cstheme="minorHAnsi"/>
          <w:sz w:val="24"/>
          <w:szCs w:val="24"/>
        </w:rPr>
        <w:fldChar w:fldCharType="end"/>
      </w:r>
      <w:r w:rsidR="00487ABF" w:rsidRPr="00BF60BC">
        <w:rPr>
          <w:rFonts w:eastAsia="Times New Roman" w:cstheme="minorHAnsi"/>
          <w:sz w:val="24"/>
          <w:szCs w:val="24"/>
        </w:rPr>
        <w:t xml:space="preserve"> </w:t>
      </w:r>
      <w:r w:rsidR="00673F93" w:rsidRPr="00BF60BC">
        <w:rPr>
          <w:rFonts w:eastAsia="Times New Roman" w:cstheme="minorHAnsi"/>
          <w:sz w:val="24"/>
          <w:szCs w:val="24"/>
        </w:rPr>
        <w:t>The exercise question only focused on exercise for weight loss, but not weight gain and evidence suggests that exercising to increase muscularity is becoming more prevalent, particularly in boys</w:t>
      </w:r>
      <w:r w:rsidR="00673F93" w:rsidRPr="00BF60BC">
        <w:rPr>
          <w:rFonts w:eastAsia="Times New Roman" w:cstheme="minorHAnsi"/>
          <w:sz w:val="24"/>
          <w:szCs w:val="24"/>
        </w:rPr>
        <w:fldChar w:fldCharType="begin" w:fldLock="1"/>
      </w:r>
      <w:r w:rsidR="00C5774B">
        <w:rPr>
          <w:rFonts w:eastAsia="Times New Roman" w:cstheme="minorHAnsi"/>
          <w:sz w:val="24"/>
          <w:szCs w:val="24"/>
        </w:rPr>
        <w:instrText>ADDIN CSL_CITATION {"citationItems":[{"id":"ITEM-1","itemData":{"DOI":"10.1007/s11920-017-0787-5","ISSN":"15351645","abstract":"Purpose of Review There is growing recognition that eating disorder (ED) symptoms, particularly those of a muscularity-oriented nature, are more common in men than previously understood. The purpose of the current review is to describe contemporary directions and implications of research on traditional and muscularity-oriented ED symptoms among males. Recent Findings Evidence indicates that ED symptoms occur in a substantial minority of men. Importantly, recent research has focused on muscularity-oriented body image and disordered eating in males, demonstrating the prevalence, correlates, and consequences of maladaptive muscularity-oriented attitudes and behaviors. A growing number of assessments are available to measure these constructs in males, and preliminary treatment considerations have begun to be addressed in the literature. Summary Research on male EDs and body image is increasingly focusing on muscularity-oriented manifestations. Continued empirical work will be critical to improve our understanding of the onset, maintenance, and treatment of muscularity-oriented disordered eating in males.","author":[{"dropping-particle":"","family":"Lavender","given":"Jason M.","non-dropping-particle":"","parse-names":false,"suffix":""},{"dropping-particle":"","family":"Brown","given":"Tiffany A.","non-dropping-particle":"","parse-names":false,"suffix":""},{"dropping-particle":"","family":"Murray","given":"Stuart B.","non-dropping-particle":"","parse-names":false,"suffix":""}],"container-title":"Current Psychiatry Reports","id":"ITEM-1","issue":"6","issued":{"date-parts":[["2017"]]},"title":"Men, Muscles, and Eating Disorders: an Overview of Traditional and Muscularity-Oriented Disordered Eating","type":"article","volume":"19"},"uris":["http://www.mendeley.com/documents/?uuid=8a67e63c-8076-4e95-bd32-c0bfdf493532"]}],"mendeley":{"formattedCitation":"&lt;sup&gt;33&lt;/sup&gt;","plainTextFormattedCitation":"33","previouslyFormattedCitation":"&lt;sup&gt;33&lt;/sup&gt;"},"properties":{"noteIndex":0},"schema":"https://github.com/citation-style-language/schema/raw/master/csl-citation.json"}</w:instrText>
      </w:r>
      <w:r w:rsidR="00673F93" w:rsidRPr="00BF60BC">
        <w:rPr>
          <w:rFonts w:eastAsia="Times New Roman" w:cstheme="minorHAnsi"/>
          <w:sz w:val="24"/>
          <w:szCs w:val="24"/>
        </w:rPr>
        <w:fldChar w:fldCharType="separate"/>
      </w:r>
      <w:r w:rsidR="00C5774B" w:rsidRPr="00C5774B">
        <w:rPr>
          <w:rFonts w:eastAsia="Times New Roman" w:cstheme="minorHAnsi"/>
          <w:noProof/>
          <w:sz w:val="24"/>
          <w:szCs w:val="24"/>
          <w:vertAlign w:val="superscript"/>
        </w:rPr>
        <w:t>33</w:t>
      </w:r>
      <w:r w:rsidR="00673F93" w:rsidRPr="00BF60BC">
        <w:rPr>
          <w:rFonts w:eastAsia="Times New Roman" w:cstheme="minorHAnsi"/>
          <w:sz w:val="24"/>
          <w:szCs w:val="24"/>
        </w:rPr>
        <w:fldChar w:fldCharType="end"/>
      </w:r>
      <w:r w:rsidR="00673F93" w:rsidRPr="00BF60BC">
        <w:rPr>
          <w:rFonts w:eastAsia="Times New Roman" w:cstheme="minorHAnsi"/>
          <w:sz w:val="24"/>
          <w:szCs w:val="24"/>
        </w:rPr>
        <w:t>; something that studies should consider capturing in future.</w:t>
      </w:r>
    </w:p>
    <w:p w14:paraId="495AE6A7" w14:textId="77777777" w:rsidR="007A0EF3" w:rsidRPr="00BF60BC" w:rsidRDefault="007A0EF3" w:rsidP="00655F22">
      <w:pPr>
        <w:spacing w:after="0" w:line="360" w:lineRule="auto"/>
        <w:jc w:val="both"/>
        <w:rPr>
          <w:rFonts w:eastAsia="Times New Roman" w:cstheme="minorHAnsi"/>
          <w:sz w:val="24"/>
          <w:szCs w:val="24"/>
        </w:rPr>
      </w:pPr>
    </w:p>
    <w:p w14:paraId="11F4E691" w14:textId="6C69FBEE" w:rsidR="00F13276" w:rsidRPr="00BF60BC" w:rsidRDefault="00F13276" w:rsidP="00655F22">
      <w:pPr>
        <w:spacing w:after="0" w:line="360" w:lineRule="auto"/>
        <w:jc w:val="both"/>
        <w:rPr>
          <w:rFonts w:eastAsia="Times New Roman" w:cstheme="minorHAnsi"/>
          <w:i/>
          <w:iCs/>
          <w:sz w:val="24"/>
          <w:szCs w:val="24"/>
        </w:rPr>
      </w:pPr>
      <w:r w:rsidRPr="00BF60BC">
        <w:rPr>
          <w:rFonts w:eastAsia="Times New Roman" w:cstheme="minorHAnsi"/>
          <w:i/>
          <w:iCs/>
          <w:sz w:val="24"/>
          <w:szCs w:val="24"/>
        </w:rPr>
        <w:t>Conclusions</w:t>
      </w:r>
    </w:p>
    <w:p w14:paraId="330F70FA" w14:textId="6057A980" w:rsidR="005358F7" w:rsidRPr="00BF60BC" w:rsidRDefault="00DE48BE" w:rsidP="00655F22">
      <w:pPr>
        <w:spacing w:after="0" w:line="360" w:lineRule="auto"/>
        <w:jc w:val="both"/>
        <w:rPr>
          <w:rFonts w:ascii="Calibri" w:eastAsiaTheme="minorEastAsia" w:hAnsi="Calibri" w:cs="Calibri"/>
          <w:b/>
          <w:bCs/>
          <w:color w:val="000000"/>
          <w:sz w:val="24"/>
          <w:szCs w:val="24"/>
          <w:lang w:eastAsia="ja-JP"/>
        </w:rPr>
      </w:pPr>
      <w:r w:rsidRPr="00BF60BC">
        <w:rPr>
          <w:rFonts w:eastAsia="Times New Roman" w:cstheme="minorHAnsi"/>
          <w:sz w:val="24"/>
          <w:szCs w:val="24"/>
        </w:rPr>
        <w:t xml:space="preserve">The proportion of adolescents who were trying to lose weight at age 14 years has increased over the past 30 years. </w:t>
      </w:r>
      <w:r w:rsidR="00C90559" w:rsidRPr="00BF60BC">
        <w:rPr>
          <w:rFonts w:eastAsia="Times New Roman" w:cstheme="minorHAnsi"/>
          <w:sz w:val="24"/>
          <w:szCs w:val="24"/>
        </w:rPr>
        <w:t>W</w:t>
      </w:r>
      <w:r w:rsidRPr="00BF60BC">
        <w:rPr>
          <w:rFonts w:eastAsia="Times New Roman" w:cstheme="minorHAnsi"/>
          <w:sz w:val="24"/>
          <w:szCs w:val="24"/>
        </w:rPr>
        <w:t>e acknowledge that there are health c</w:t>
      </w:r>
      <w:r w:rsidR="00C90559" w:rsidRPr="00BF60BC">
        <w:rPr>
          <w:rFonts w:eastAsia="Times New Roman" w:cstheme="minorHAnsi"/>
          <w:sz w:val="24"/>
          <w:szCs w:val="24"/>
        </w:rPr>
        <w:t>oncerns associated with obesity</w:t>
      </w:r>
      <w:r w:rsidR="00DA4046" w:rsidRPr="00BF60BC">
        <w:rPr>
          <w:rFonts w:eastAsia="Times New Roman" w:cstheme="minorHAnsi"/>
          <w:sz w:val="24"/>
          <w:szCs w:val="24"/>
        </w:rPr>
        <w:t>,</w:t>
      </w:r>
      <w:r w:rsidR="00C90559" w:rsidRPr="00BF60BC">
        <w:rPr>
          <w:rFonts w:eastAsia="Times New Roman" w:cstheme="minorHAnsi"/>
          <w:sz w:val="24"/>
          <w:szCs w:val="24"/>
        </w:rPr>
        <w:t xml:space="preserve"> </w:t>
      </w:r>
      <w:r w:rsidR="00DA4046" w:rsidRPr="00BF60BC">
        <w:rPr>
          <w:rFonts w:eastAsia="Times New Roman" w:cstheme="minorHAnsi"/>
          <w:sz w:val="24"/>
          <w:szCs w:val="24"/>
        </w:rPr>
        <w:t>h</w:t>
      </w:r>
      <w:r w:rsidR="00C90559" w:rsidRPr="00BF60BC">
        <w:rPr>
          <w:rFonts w:eastAsia="Times New Roman" w:cstheme="minorHAnsi"/>
          <w:sz w:val="24"/>
          <w:szCs w:val="24"/>
        </w:rPr>
        <w:t>owever,</w:t>
      </w:r>
      <w:r w:rsidRPr="00BF60BC">
        <w:rPr>
          <w:rFonts w:eastAsia="Times New Roman" w:cstheme="minorHAnsi"/>
          <w:sz w:val="24"/>
          <w:szCs w:val="24"/>
        </w:rPr>
        <w:t xml:space="preserve"> the finding that</w:t>
      </w:r>
      <w:r w:rsidR="00C90559" w:rsidRPr="00BF60BC">
        <w:rPr>
          <w:rFonts w:eastAsia="Times New Roman" w:cstheme="minorHAnsi"/>
          <w:sz w:val="24"/>
          <w:szCs w:val="24"/>
        </w:rPr>
        <w:t xml:space="preserve"> in 2015</w:t>
      </w:r>
      <w:r w:rsidRPr="00BF60BC">
        <w:rPr>
          <w:rFonts w:eastAsia="Times New Roman" w:cstheme="minorHAnsi"/>
          <w:sz w:val="24"/>
          <w:szCs w:val="24"/>
        </w:rPr>
        <w:t xml:space="preserve"> </w:t>
      </w:r>
      <w:r w:rsidR="0013512F" w:rsidRPr="00BF60BC">
        <w:rPr>
          <w:rFonts w:eastAsia="Times New Roman" w:cstheme="minorHAnsi"/>
          <w:sz w:val="24"/>
          <w:szCs w:val="24"/>
        </w:rPr>
        <w:t>4</w:t>
      </w:r>
      <w:r w:rsidR="00DA4046" w:rsidRPr="00BF60BC">
        <w:rPr>
          <w:rFonts w:eastAsia="Times New Roman" w:cstheme="minorHAnsi"/>
          <w:sz w:val="24"/>
          <w:szCs w:val="24"/>
        </w:rPr>
        <w:t>4</w:t>
      </w:r>
      <w:r w:rsidR="0013512F" w:rsidRPr="00BF60BC">
        <w:rPr>
          <w:rFonts w:eastAsia="Times New Roman" w:cstheme="minorHAnsi"/>
          <w:sz w:val="24"/>
          <w:szCs w:val="24"/>
        </w:rPr>
        <w:t>% of</w:t>
      </w:r>
      <w:r w:rsidR="00C90559" w:rsidRPr="00BF60BC">
        <w:rPr>
          <w:rFonts w:eastAsia="Times New Roman" w:cstheme="minorHAnsi"/>
          <w:sz w:val="24"/>
          <w:szCs w:val="24"/>
        </w:rPr>
        <w:t xml:space="preserve"> 14 year-old</w:t>
      </w:r>
      <w:r w:rsidR="0013512F" w:rsidRPr="00BF60BC">
        <w:rPr>
          <w:rFonts w:eastAsia="Times New Roman" w:cstheme="minorHAnsi"/>
          <w:sz w:val="24"/>
          <w:szCs w:val="24"/>
        </w:rPr>
        <w:t xml:space="preserve"> adolescents were </w:t>
      </w:r>
      <w:r w:rsidR="00DA4046" w:rsidRPr="00BF60BC">
        <w:rPr>
          <w:rFonts w:eastAsia="Times New Roman" w:cstheme="minorHAnsi"/>
          <w:sz w:val="24"/>
          <w:szCs w:val="24"/>
        </w:rPr>
        <w:t>dieting</w:t>
      </w:r>
      <w:r w:rsidR="0013512F" w:rsidRPr="00BF60BC">
        <w:rPr>
          <w:rFonts w:eastAsia="Times New Roman" w:cstheme="minorHAnsi"/>
          <w:sz w:val="24"/>
          <w:szCs w:val="24"/>
        </w:rPr>
        <w:t xml:space="preserve"> is concerning</w:t>
      </w:r>
      <w:r w:rsidRPr="00BF60BC">
        <w:rPr>
          <w:rFonts w:eastAsia="Times New Roman" w:cstheme="minorHAnsi"/>
          <w:sz w:val="24"/>
          <w:szCs w:val="24"/>
        </w:rPr>
        <w:t xml:space="preserve"> in light of evidence that dieting</w:t>
      </w:r>
      <w:r w:rsidR="00D94AA4" w:rsidRPr="00BF60BC">
        <w:rPr>
          <w:rFonts w:eastAsia="Times New Roman" w:cstheme="minorHAnsi"/>
          <w:sz w:val="24"/>
          <w:szCs w:val="24"/>
        </w:rPr>
        <w:t xml:space="preserve"> is generally ineffective for weight loss, and</w:t>
      </w:r>
      <w:r w:rsidRPr="00BF60BC">
        <w:rPr>
          <w:rFonts w:eastAsia="Times New Roman" w:cstheme="minorHAnsi"/>
          <w:sz w:val="24"/>
          <w:szCs w:val="24"/>
        </w:rPr>
        <w:t xml:space="preserve"> is longitudinally associated with weight gain and poor mental health</w:t>
      </w:r>
      <w:r w:rsidR="00D94AA4" w:rsidRPr="00BF60BC">
        <w:rPr>
          <w:rFonts w:cstheme="minorHAnsi"/>
          <w:sz w:val="24"/>
          <w:szCs w:val="24"/>
        </w:rPr>
        <w:t>.</w:t>
      </w:r>
      <w:r w:rsidR="00D94AA4" w:rsidRPr="00BF60BC">
        <w:rPr>
          <w:rFonts w:cstheme="minorHAnsi"/>
          <w:sz w:val="24"/>
          <w:szCs w:val="24"/>
        </w:rPr>
        <w:fldChar w:fldCharType="begin" w:fldLock="1"/>
      </w:r>
      <w:r w:rsidR="00C5774B">
        <w:rPr>
          <w:rFonts w:cstheme="minorHAnsi"/>
          <w:sz w:val="24"/>
          <w:szCs w:val="24"/>
        </w:rPr>
        <w:instrText>ADDIN CSL_CITATION {"citationItems":[{"id":"ITEM-1","itemData":{"DOI":"10.1037/abn0000219","ISSN":"1939-1846","author":[{"dropping-particle":"","family":"Stice","given":"Eric","non-dropping-particle":"","parse-names":false,"suffix":""},{"dropping-particle":"","family":"Gau","given":"Jeff M.","non-dropping-particle":"","parse-names":false,"suffix":""},{"dropping-particle":"","family":"Rohde","given":"Paul","non-dropping-particle":"","parse-names":false,"suffix":""},{"dropping-particle":"","family":"Shaw","given":"Heather","non-dropping-particle":"","parse-names":false,"suffix":""}],"container-title":"Journal of Abnormal Psychology","id":"ITEM-1","issue":"1","issued":{"date-parts":[["2017","1"]]},"page":"38-51","title":"Risk factors that predict future onset of each DSM–5 eating disorder: Predictive specificity in high-risk adolescent females.","type":"article-journal","volume":"126"},"uris":["http://www.mendeley.com/documents/?uuid=3e59bbf0-c9d6-37e0-9ffb-3ad1c7d641be","http://www.mendeley.com/documents/?uuid=cb2d36e3-a5d0-45c9-ba57-ed52b953e27a"]},{"id":"ITEM-2","itemData":{"DOI":"10.1097/00004583-200112000-00014","ISSN":"0890-8567","PMID":"11765289","abstract":"This study investigates the longitudinal course of eating problems from childhood though adulthood. The following questions are answered: (1) How stable are eating disorder symptoms and diagnoses over a 17-year interval from childhood to adulthood? (2) Do early childhood eating problems predict the occurrence of eating disorders in adulthood?","author":[{"dropping-particle":"","family":"Kotler","given":"L A","non-dropping-particle":"","parse-names":false,"suffix":""},{"dropping-particle":"","family":"Cohen","given":"P","non-dropping-particle":"","parse-names":false,"suffix":""},{"dropping-particle":"","family":"Davies","given":"M","non-dropping-particle":"","parse-names":false,"suffix":""},{"dropping-particle":"","family":"Pine","given":"D S","non-dropping-particle":"","parse-names":false,"suffix":""},{"dropping-particle":"","family":"Walsh","given":"B T","non-dropping-particle":"","parse-names":false,"suffix":""}],"container-title":"Journal of the American Academy of Child and Adolescent Psychiatry","id":"ITEM-2","issue":"12","issued":{"date-parts":[["2001","12"]]},"page":"1434-40","title":"Longitudinal relationships between childhood, adolescent, and adult eating disorders.","type":"article-journal","volume":"40"},"uris":["http://www.mendeley.com/documents/?uuid=f460760b-e849-4af9-b25d-37521b240fd0"]},{"id":"ITEM-3","itemData":{"DOI":"10.1002/eat.10179","ISSN":"02763478","author":[{"dropping-particle":"","family":"Rojo","given":"Luis","non-dropping-particle":"","parse-names":false,"suffix":""},{"dropping-particle":"","family":"Livianos","given":"Lorenzo","non-dropping-particle":"","parse-names":false,"suffix":""},{"dropping-particle":"","family":"Conesa","given":"Llanos","non-dropping-particle":"","parse-names":false,"suffix":""},{"dropping-particle":"","family":"García","given":"Angeles","non-dropping-particle":"","parse-names":false,"suffix":""},{"dropping-particle":"","family":"Domínguez","given":"Alberto","non-dropping-particle":"","parse-names":false,"suffix":""},{"dropping-particle":"","family":"Rodrigo","given":"Gloria","non-dropping-particle":"","parse-names":false,"suffix":""},{"dropping-particle":"","family":"Sanjuán","given":"Lluis","non-dropping-particle":"","parse-names":false,"suffix":""},{"dropping-particle":"","family":"Vila","given":"Marisa","non-dropping-particle":"","parse-names":false,"suffix":""}],"container-title":"International Journal of Eating Disorders","id":"ITEM-3","issue":"3","issued":{"date-parts":[["2003","11","1"]]},"page":"281-291","publisher":"John Wiley &amp; Sons, Ltd","title":"Epidemiology and risk factors of eating disorders: A two-stage epidemiologic study in a Spanish population aged 12-18 years","type":"article-journal","volume":"34"},"uris":["http://www.mendeley.com/documents/?uuid=e9913bdf-f60b-3fc3-b324-b5726a8862d4"]},{"id":"ITEM-4","itemData":{"DOI":"10.1017/S0954579417001663","ISSN":"14692198","abstract":" Body dissatisfaction and depressive symptoms are commonly experienced during adolescence and increase the risk of adverse health outcomes, especially eating disorders. However, the dominant temporal associations between these two experiences (i.e., whether one is a risk factor for the other or the two are mutually reinforcing) has yet to be fully explored. We examined the associations between body dissatisfaction and depressive symptoms assessed at baseline and 5- and 10-year follow-up in younger ( M age = 12.9 years at baseline, 56% female, n = 577) and older ( M age = 15.9 years at baseline, 57% female, n = 1,325) adolescent cohorts assessed as part of Project Eating Among Teens and Young Adults. Associations between body dissatisfaction and depressive symptoms were examined using cross-lagged models. For females, the dominant directionality was for body dissatisfaction predicting later depressive symptoms. For males, the picture was more complex, with developmentally sensitive associations in which depressive symptoms predicted later body dissatisfaction in early adolescence and early adulthood, but the reverse association was dominant during middle adolescence. These findings suggest that interventions should be tailored to dynamic risk profiles that shift over adolescence and early adulthood, and that targeting body dissatisfaction at key periods during development may have downstream impacts on depressive symptoms. ","author":[{"dropping-particle":"","family":"Sharpe","given":"Helen","non-dropping-particle":"","parse-names":false,"suffix":""},{"dropping-particle":"","family":"Patalay","given":"Praveetha","non-dropping-particle":"","parse-names":false,"suffix":""},{"dropping-particle":"","family":"Choo","given":"Tse Hwei","non-dropping-particle":"","parse-names":false,"suffix":""},{"dropping-particle":"","family":"Wall","given":"Melanie","non-dropping-particle":"","parse-names":false,"suffix":""},{"dropping-particle":"","family":"Mason","given":"Susan M.","non-dropping-particle":"","parse-names":false,"suffix":""},{"dropping-particle":"","family":"Goldschmidt","given":"Andrea B.","non-dropping-particle":"","parse-names":false,"suffix":""},{"dropping-particle":"","family":"Neumark-Sztainer","given":"Dianne","non-dropping-particle":"","parse-names":false,"suffix":""}],"container-title":"Development and Psychopathology","id":"ITEM-4","issued":{"date-parts":[["2018"]]},"title":"Bidirectional associations between body dissatisfaction and depressive symptoms from adolescence through early adulthood","type":"article-journal"},"uris":["http://www.mendeley.com/documents/?uuid=65ddfb6a-7071-4a35-901e-1b8820d46fac","http://www.mendeley.com/documents/?uuid=fb267652-1dae-44ef-9bb3-0ff761177d9d"]},{"id":"ITEM-5","itemData":{"abstract":"BACKGROUND Disordered eating behaviors are prevalent in adolescence and can have harmful consequences. An important question is whether use of these behaviors in adolescence sets the pattern for continued use into young adulthood. OBJECTIVE To examine the prevalence and tracking of dieting, unhealthy and extreme weight control behaviors, and binge eating from adolescence to young adulthood. DESIGN Population-based, 10-year longitudinal study (Project EAT-III: Eating Among Teens and Young Adults, 1999-2010). PARTICIPANTS/SETTING The study population included 2,287 young adults (55% girls, 52% nonwhite). The sample included a younger group (mean age 12.8±0.7 years at baseline and 23.2±1.0 years at follow-up) and an older group (mean age 15.9±0.8 at baseline and 26.2±0.9 years at follow-up). STATISTICAL ANALYSES PERFORMED Longitudinal trends in prevalence of behaviors were tested using generalized estimating equations. Tracking of behaviors were estimated using the relative risk of behaviors at follow-up given presence at baseline. RESULTS In general, the prevalence of dieting and disordered eating was high and remained constant, or increased, from adolescence to young adulthood. Furthermore, behaviors tended to track within individuals and, in general, participants who engaged in dieting and disordered eating behaviors during adolescence were at increased risk for these behaviors 10 years later. Tracking was particularly consistent for the older girls and boys transitioning from middle adolescence to middle young adulthood. CONCLUSIONS Study findings indicate that disordered eating behaviors are not just an adolescent problem, but continue to be prevalent among young adults. The tracking of dieting and disordered eating within individuals suggests that early use is likely to set the stage for ongoing use. Findings suggest a need for both early prevention efforts before the onset of harmful behavioral patterns as well as ongoing prevention and treatment interventions to address the high prevalence of disordered eating throughout adolescence and young adulthood.","author":[{"dropping-particle":"","family":"Neumark-Sztainer","given":"D","non-dropping-particle":"","parse-names":false,"suffix":""},{"dropping-particle":"","family":"Wall","given":"M","non-dropping-particle":"","parse-names":false,"suffix":""},{"dropping-particle":"","family":"Larson","given":"N I.","non-dropping-particle":"","parse-names":false,"suffix":""},{"dropping-particle":"","family":"Eisenberg","given":"M E","non-dropping-particle":"","parse-names":false,"suffix":""},{"dropping-particle":"","family":"Loth","given":"K","non-dropping-particle":"","parse-names":false,"suffix":""}],"container-title":"Journal of the American Dietetic Association","id":"ITEM-5","issue":"7","issued":{"date-parts":[["2011"]]},"page":"1004-1011","title":"Dieting and Disordered Eating Behaviors from Adolescence to Young Adulthood: Findings from a 10-Year Longitudinal Study","type":"article-journal","volume":"111"},"uris":["http://www.mendeley.com/documents/?uuid=61832359-4756-42dc-837f-35ebdb98c8ba"]},{"id":"ITEM-6","itemData":{"DOI":"10.1016/j.jaac.2015.05.009","ISSN":"15275418 08908567","abstract":"© 2015 American Academy of Child and Adolescent Psychiatry.Objective To investigate whether anorexia nervosa (AN), bulimia nervosa (BN), binge eating disorder (BED), and other specified feeding and eating disorders (OSFED), including purging disorder (PD), subthreshold BN, and BED at ages 14 and 16 years, are prospectively associated with later depression, anxiety disorders, alcohol and substance use, and self-harm. Method Eating disorders were ascertained at ages 14 and 16 years in 6,140 youth at age 14 (58% of those eligible) and 5,069 at age 16 (52% of those eligible) as part of the prospective Avon Longitudinal Study of Parents and Children (ALSPAC). Outcomes (depression, anxiety disorders, binge drinking, drug use, deliberate self-harm, weight status) were measured using interviews and questionnaires about 2 years after predictors. Generalized estimating equation models adjusting for gender, socio-demographic variables, and prior outcome were used to examine prospective associations between eating disorders and each outcome. Results All eating disorders were predictive of later anxiety disorders. AN, BN, BED, PD, and OSFED were prospectively associated with depression (respectively AN: odds ratio [OR] = 1.39, 95% CI = 1.00-1.94; BN: OR = 3.39, 95% CI = 1.25-9.20; BED: OR = 2.00, 95% CI = 1.06-3.75; and PD: OR = 2.56, 95% CI = 1.38-4.74). All eating disorders but AN predicted drug use and deliberate self-harm (BN: OR = 5.72, 95% CI = 2.22-14.72; PD: OR = 4.88, 95% CI = 2.78-8.57; subthreshold BN: OR = 3.97, 95% CI = 1.44-10.98; and subthreshold BED: OR = 2.32, 95% CI = 1.43-3.75). Although BED and BN predicted obesity (respectively OR = 3.58, 95% CI = 1.06-12.14 and OR = 6.42, 95% CI = 1.69-24.30), AN was prospectively associated with underweight. Conclusions Adolescent eating disorders, including subthreshold presentations, predict negative outcomes, including mental health disorders, substance use, deliberate self-harm, and weight outcomes. This study highlights the high public health and clinical burden of eating disorders among adolescents.","author":[{"dropping-particle":"","family":"Micali","given":"N.","non-dropping-particle":"","parse-names":false,"suffix":""},{"dropping-particle":"","family":"Solmi","given":"F.","non-dropping-particle":"","parse-names":false,"suffix":""},{"dropping-particle":"","family":"Horton","given":"N.J.","non-dropping-particle":"","parse-names":false,"suffix":""},{"dropping-particle":"","family":"Crosby","given":"R.D.","non-dropping-particle":"","parse-names":false,"suffix":""},{"dropping-particle":"","family":"Eddy","given":"K.T.","non-dropping-particle":"","parse-names":false,"suffix":""},{"dropping-particle":"","family":"Calzo","given":"J.P.","non-dropping-particle":"","parse-names":false,"suffix":""},{"dropping-particle":"","family":"Sonneville","given":"K.R.","non-dropping-particle":"","parse-names":false,"suffix":""},{"dropping-particle":"","family":"Swanson","given":"S.A.","non-dropping-particle":"","parse-names":false,"suffix":""},{"dropping-particle":"","family":"Field","given":"A.E.","non-dropping-particle":"","parse-names":false,"suffix":""}],"container-title":"Journal of the American Academy of Child and Adolescent Psychiatry","id":"ITEM-6","issue":"8","issued":{"date-parts":[["2015"]]},"title":"Adolescent Eating Disorders Predict Psychiatric, High-Risk Behaviors and Weight Outcomes in Young Adulthood","type":"article-journal","volume":"54"},"uris":["http://www.mendeley.com/documents/?uuid=21d6ddaf-a483-32c1-ba31-6b8992987faa"]},{"id":"ITEM-7","itemData":{"DOI":"10.1002/eat.20383","ISSN":"0276-3478","PMID":"17497706","abstract":"OBJECTIVE This paper examines the association between weight overestimation and symptoms of disordered eating behaviors using a nationally representative sample of young women. METHOD We use data from Wave III of the National Longitudinal Study of Adolescent Health to compare self-reported weight (in pounds) to measure weight obtained by interviewers using a scale. Focusing on normal weight women between the ages of 18 and 24 (n = 2,805) we compare the discrepancy in self-reported and measured weight among women with and without any disordered eating behaviors. RESULTS Women who over report their weight by at least five percent are significantly more likely than those who either under report or accurately report their weights to exhibit disordered eating behaviors. These results persist despite controlling for distorted body image. CONCLUSION Our findings support both motivational and perceptual bias explanations for overestimating weight among those who exhibit disordered eating behaviors. We argue that weight over-estimation, together with other important information regarding women's nutrition, exercise, mental health, and health-related behaviors, should be treated as a potential indicator for the diagnosis of an eating disorder among young normal weight women.","author":[{"dropping-particle":"","family":"Conley","given":"Amanda","non-dropping-particle":"","parse-names":false,"suffix":""},{"dropping-particle":"","family":"Boardman","given":"Jason D","non-dropping-particle":"","parse-names":false,"suffix":""}],"container-title":"The International journal of eating disorders","id":"ITEM-7","issue":"5","issued":{"date-parts":[["2007","7"]]},"page":"441-5","publisher":"NIH Public Access","title":"Weight overestimation as an indicator of disordered eating behaviors among young women in the United States.","type":"article-journal","volume":"40"},"uris":["http://www.mendeley.com/documents/?uuid=0a78d481-427a-3a69-8604-3e6b239898c1"]}],"mendeley":{"formattedCitation":"&lt;sup&gt;7–13&lt;/sup&gt;","plainTextFormattedCitation":"7–13","previouslyFormattedCitation":"&lt;sup&gt;7–13&lt;/sup&gt;"},"properties":{"noteIndex":0},"schema":"https://github.com/citation-style-language/schema/raw/master/csl-citation.json"}</w:instrText>
      </w:r>
      <w:r w:rsidR="00D94AA4" w:rsidRPr="00BF60BC">
        <w:rPr>
          <w:rFonts w:cstheme="minorHAnsi"/>
          <w:sz w:val="24"/>
          <w:szCs w:val="24"/>
        </w:rPr>
        <w:fldChar w:fldCharType="separate"/>
      </w:r>
      <w:r w:rsidR="00C5774B" w:rsidRPr="00C5774B">
        <w:rPr>
          <w:rFonts w:cstheme="minorHAnsi"/>
          <w:noProof/>
          <w:sz w:val="24"/>
          <w:szCs w:val="24"/>
          <w:vertAlign w:val="superscript"/>
        </w:rPr>
        <w:t>7–13</w:t>
      </w:r>
      <w:r w:rsidR="00D94AA4" w:rsidRPr="00BF60BC">
        <w:rPr>
          <w:rFonts w:cstheme="minorHAnsi"/>
          <w:sz w:val="24"/>
          <w:szCs w:val="24"/>
        </w:rPr>
        <w:fldChar w:fldCharType="end"/>
      </w:r>
      <w:r w:rsidRPr="00BF60BC">
        <w:rPr>
          <w:rFonts w:eastAsia="Times New Roman" w:cstheme="minorHAnsi"/>
          <w:sz w:val="24"/>
          <w:szCs w:val="24"/>
        </w:rPr>
        <w:t xml:space="preserve"> </w:t>
      </w:r>
      <w:r w:rsidR="00D94AA4" w:rsidRPr="00BF60BC">
        <w:rPr>
          <w:rFonts w:eastAsia="Times New Roman" w:cstheme="minorHAnsi"/>
          <w:sz w:val="24"/>
          <w:szCs w:val="24"/>
        </w:rPr>
        <w:t xml:space="preserve">Importantly, we found that </w:t>
      </w:r>
      <w:r w:rsidR="0013512F" w:rsidRPr="00BF60BC">
        <w:rPr>
          <w:rFonts w:eastAsia="Times New Roman" w:cstheme="minorHAnsi"/>
          <w:sz w:val="24"/>
          <w:szCs w:val="24"/>
        </w:rPr>
        <w:t xml:space="preserve">the association between </w:t>
      </w:r>
      <w:r w:rsidR="0080466C" w:rsidRPr="00BF60BC">
        <w:rPr>
          <w:rFonts w:eastAsia="Times New Roman" w:cstheme="minorHAnsi"/>
          <w:sz w:val="24"/>
          <w:szCs w:val="24"/>
        </w:rPr>
        <w:t>dieting</w:t>
      </w:r>
      <w:r w:rsidR="0013512F" w:rsidRPr="00BF60BC">
        <w:rPr>
          <w:rFonts w:eastAsia="Times New Roman" w:cstheme="minorHAnsi"/>
          <w:sz w:val="24"/>
          <w:szCs w:val="24"/>
        </w:rPr>
        <w:t xml:space="preserve"> </w:t>
      </w:r>
      <w:proofErr w:type="spellStart"/>
      <w:r w:rsidR="00DA210E" w:rsidRPr="00BF60BC">
        <w:rPr>
          <w:rFonts w:eastAsia="Times New Roman" w:cstheme="minorHAnsi"/>
          <w:sz w:val="24"/>
          <w:szCs w:val="24"/>
        </w:rPr>
        <w:t>behaviors</w:t>
      </w:r>
      <w:proofErr w:type="spellEnd"/>
      <w:r w:rsidR="0013512F" w:rsidRPr="00BF60BC">
        <w:rPr>
          <w:rFonts w:eastAsia="Times New Roman" w:cstheme="minorHAnsi"/>
          <w:sz w:val="24"/>
          <w:szCs w:val="24"/>
        </w:rPr>
        <w:t xml:space="preserve"> and</w:t>
      </w:r>
      <w:r w:rsidR="00E37B13" w:rsidRPr="00BF60BC">
        <w:rPr>
          <w:rFonts w:eastAsia="Times New Roman" w:cstheme="minorHAnsi"/>
          <w:sz w:val="24"/>
          <w:szCs w:val="24"/>
        </w:rPr>
        <w:t xml:space="preserve"> </w:t>
      </w:r>
      <w:r w:rsidR="00050970" w:rsidRPr="00BF60BC">
        <w:rPr>
          <w:rFonts w:eastAsia="Times New Roman" w:cstheme="minorHAnsi"/>
          <w:sz w:val="24"/>
          <w:szCs w:val="24"/>
        </w:rPr>
        <w:t>overweight perception, and depressive symptoms</w:t>
      </w:r>
      <w:r w:rsidR="0013512F" w:rsidRPr="00BF60BC">
        <w:rPr>
          <w:rFonts w:eastAsia="Times New Roman" w:cstheme="minorHAnsi"/>
          <w:sz w:val="24"/>
          <w:szCs w:val="24"/>
        </w:rPr>
        <w:t xml:space="preserve"> in girls has increased in magnitude over the past 30 years</w:t>
      </w:r>
      <w:r w:rsidR="00D94AA4" w:rsidRPr="00BF60BC">
        <w:rPr>
          <w:rFonts w:eastAsia="Times New Roman" w:cstheme="minorHAnsi"/>
          <w:sz w:val="24"/>
          <w:szCs w:val="24"/>
        </w:rPr>
        <w:t xml:space="preserve">. </w:t>
      </w:r>
      <w:r w:rsidR="0010570A" w:rsidRPr="00BF60BC">
        <w:rPr>
          <w:rFonts w:eastAsia="Times New Roman" w:cstheme="minorHAnsi"/>
          <w:sz w:val="24"/>
          <w:szCs w:val="24"/>
        </w:rPr>
        <w:t xml:space="preserve">Although our study could not </w:t>
      </w:r>
      <w:r w:rsidR="00813A70">
        <w:rPr>
          <w:rFonts w:eastAsia="Times New Roman" w:cstheme="minorHAnsi"/>
          <w:sz w:val="24"/>
          <w:szCs w:val="24"/>
        </w:rPr>
        <w:t xml:space="preserve">directly </w:t>
      </w:r>
      <w:r w:rsidR="0010570A" w:rsidRPr="00BF60BC">
        <w:rPr>
          <w:rFonts w:eastAsia="Times New Roman" w:cstheme="minorHAnsi"/>
          <w:sz w:val="24"/>
          <w:szCs w:val="24"/>
        </w:rPr>
        <w:t>measure this, it is possible</w:t>
      </w:r>
      <w:r w:rsidR="00D94AA4" w:rsidRPr="00BF60BC">
        <w:rPr>
          <w:rFonts w:eastAsia="Times New Roman" w:cstheme="minorHAnsi"/>
          <w:sz w:val="24"/>
          <w:szCs w:val="24"/>
        </w:rPr>
        <w:t xml:space="preserve"> that </w:t>
      </w:r>
      <w:r w:rsidR="00C90559" w:rsidRPr="00BF60BC">
        <w:rPr>
          <w:rFonts w:eastAsia="Times New Roman" w:cstheme="minorHAnsi"/>
          <w:sz w:val="24"/>
          <w:szCs w:val="24"/>
        </w:rPr>
        <w:t>mounting</w:t>
      </w:r>
      <w:r w:rsidR="00D94AA4" w:rsidRPr="00BF60BC">
        <w:rPr>
          <w:rFonts w:eastAsia="Times New Roman" w:cstheme="minorHAnsi"/>
          <w:sz w:val="24"/>
          <w:szCs w:val="24"/>
        </w:rPr>
        <w:t xml:space="preserve"> societal pressures to lose weight could</w:t>
      </w:r>
      <w:r w:rsidR="00D14747" w:rsidRPr="00BF60BC">
        <w:rPr>
          <w:rFonts w:eastAsia="Times New Roman" w:cstheme="minorHAnsi"/>
          <w:sz w:val="24"/>
          <w:szCs w:val="24"/>
        </w:rPr>
        <w:t xml:space="preserve"> be</w:t>
      </w:r>
      <w:r w:rsidR="00D94AA4" w:rsidRPr="00BF60BC">
        <w:rPr>
          <w:rFonts w:eastAsia="Times New Roman" w:cstheme="minorHAnsi"/>
          <w:sz w:val="24"/>
          <w:szCs w:val="24"/>
        </w:rPr>
        <w:t xml:space="preserve"> becoming more detrimental for young people’s mental health</w:t>
      </w:r>
      <w:r w:rsidR="003457C0" w:rsidRPr="00BF60BC">
        <w:rPr>
          <w:rFonts w:eastAsia="Times New Roman" w:cstheme="minorHAnsi"/>
          <w:sz w:val="24"/>
          <w:szCs w:val="24"/>
        </w:rPr>
        <w:t xml:space="preserve">, and </w:t>
      </w:r>
      <w:r w:rsidR="0035660B" w:rsidRPr="00BF60BC">
        <w:rPr>
          <w:rFonts w:eastAsia="Times New Roman" w:cstheme="minorHAnsi"/>
          <w:sz w:val="24"/>
          <w:szCs w:val="24"/>
        </w:rPr>
        <w:t>that they could be</w:t>
      </w:r>
      <w:r w:rsidR="003457C0" w:rsidRPr="00BF60BC">
        <w:rPr>
          <w:rFonts w:eastAsia="Times New Roman" w:cstheme="minorHAnsi"/>
          <w:sz w:val="24"/>
          <w:szCs w:val="24"/>
        </w:rPr>
        <w:t xml:space="preserve"> a contributor to the rising </w:t>
      </w:r>
      <w:r w:rsidR="0035660B" w:rsidRPr="00BF60BC">
        <w:rPr>
          <w:rFonts w:eastAsia="Times New Roman" w:cstheme="minorHAnsi"/>
          <w:sz w:val="24"/>
          <w:szCs w:val="24"/>
        </w:rPr>
        <w:t xml:space="preserve">prevalence of </w:t>
      </w:r>
      <w:r w:rsidR="003457C0" w:rsidRPr="00BF60BC">
        <w:rPr>
          <w:rFonts w:eastAsia="Times New Roman" w:cstheme="minorHAnsi"/>
          <w:sz w:val="24"/>
          <w:szCs w:val="24"/>
        </w:rPr>
        <w:t>adolescent mental health disorder</w:t>
      </w:r>
      <w:r w:rsidR="0035660B" w:rsidRPr="00BF60BC">
        <w:rPr>
          <w:rFonts w:eastAsia="Times New Roman" w:cstheme="minorHAnsi"/>
          <w:sz w:val="24"/>
          <w:szCs w:val="24"/>
        </w:rPr>
        <w:t>s</w:t>
      </w:r>
      <w:r w:rsidR="00C90559" w:rsidRPr="00BF60BC">
        <w:rPr>
          <w:rFonts w:eastAsia="Times New Roman" w:cstheme="minorHAnsi"/>
          <w:sz w:val="24"/>
          <w:szCs w:val="24"/>
        </w:rPr>
        <w:t xml:space="preserve">. </w:t>
      </w:r>
      <w:r w:rsidR="00036CB7" w:rsidRPr="00BF60BC">
        <w:rPr>
          <w:rFonts w:eastAsia="Times New Roman" w:cstheme="minorHAnsi"/>
          <w:sz w:val="24"/>
          <w:szCs w:val="24"/>
        </w:rPr>
        <w:t xml:space="preserve">Early </w:t>
      </w:r>
      <w:r w:rsidR="00E40DE6" w:rsidRPr="00BF60BC">
        <w:rPr>
          <w:rFonts w:eastAsia="Times New Roman" w:cstheme="minorHAnsi"/>
          <w:sz w:val="24"/>
          <w:szCs w:val="24"/>
        </w:rPr>
        <w:t>adolescence is a</w:t>
      </w:r>
      <w:r w:rsidR="00050970" w:rsidRPr="00BF60BC">
        <w:rPr>
          <w:rFonts w:eastAsia="Times New Roman" w:cstheme="minorHAnsi"/>
          <w:sz w:val="24"/>
          <w:szCs w:val="24"/>
        </w:rPr>
        <w:t xml:space="preserve"> crucial </w:t>
      </w:r>
      <w:r w:rsidR="00036CB7" w:rsidRPr="00BF60BC">
        <w:rPr>
          <w:rFonts w:eastAsia="Times New Roman" w:cstheme="minorHAnsi"/>
          <w:sz w:val="24"/>
          <w:szCs w:val="24"/>
        </w:rPr>
        <w:t xml:space="preserve">developmental </w:t>
      </w:r>
      <w:r w:rsidR="00813A70">
        <w:rPr>
          <w:rFonts w:eastAsia="Times New Roman" w:cstheme="minorHAnsi"/>
          <w:sz w:val="24"/>
          <w:szCs w:val="24"/>
        </w:rPr>
        <w:t>period</w:t>
      </w:r>
      <w:r w:rsidR="00E40DE6" w:rsidRPr="00BF60BC">
        <w:rPr>
          <w:rFonts w:eastAsia="Times New Roman" w:cstheme="minorHAnsi"/>
          <w:sz w:val="24"/>
          <w:szCs w:val="24"/>
        </w:rPr>
        <w:t>, when dieting could have a range of negative outcome</w:t>
      </w:r>
      <w:r w:rsidR="004E1C26" w:rsidRPr="00BF60BC">
        <w:rPr>
          <w:rFonts w:eastAsia="Times New Roman" w:cstheme="minorHAnsi"/>
          <w:sz w:val="24"/>
          <w:szCs w:val="24"/>
        </w:rPr>
        <w:t>s</w:t>
      </w:r>
      <w:r w:rsidR="009419BB" w:rsidRPr="00BF60BC">
        <w:rPr>
          <w:rFonts w:eastAsia="Times New Roman" w:cstheme="minorHAnsi"/>
          <w:sz w:val="24"/>
          <w:szCs w:val="24"/>
        </w:rPr>
        <w:t>, from delayed growth to long</w:t>
      </w:r>
      <w:r w:rsidR="007051CE" w:rsidRPr="00BF60BC">
        <w:rPr>
          <w:rFonts w:eastAsia="Times New Roman" w:cstheme="minorHAnsi"/>
          <w:sz w:val="24"/>
          <w:szCs w:val="24"/>
        </w:rPr>
        <w:t>-</w:t>
      </w:r>
      <w:r w:rsidR="009419BB" w:rsidRPr="00BF60BC">
        <w:rPr>
          <w:rFonts w:eastAsia="Times New Roman" w:cstheme="minorHAnsi"/>
          <w:sz w:val="24"/>
          <w:szCs w:val="24"/>
        </w:rPr>
        <w:t>term weight gain and eating disorders</w:t>
      </w:r>
      <w:r w:rsidR="00E40DE6" w:rsidRPr="00BF60BC">
        <w:rPr>
          <w:rFonts w:eastAsia="Times New Roman" w:cstheme="minorHAnsi"/>
          <w:sz w:val="24"/>
          <w:szCs w:val="24"/>
        </w:rPr>
        <w:t>.</w:t>
      </w:r>
      <w:r w:rsidR="009419BB" w:rsidRPr="00BF60BC">
        <w:rPr>
          <w:rFonts w:eastAsia="Times New Roman" w:cstheme="minorHAnsi"/>
          <w:sz w:val="24"/>
          <w:szCs w:val="24"/>
        </w:rPr>
        <w:fldChar w:fldCharType="begin" w:fldLock="1"/>
      </w:r>
      <w:r w:rsidR="00C5774B">
        <w:rPr>
          <w:rFonts w:eastAsia="Times New Roman" w:cstheme="minorHAnsi"/>
          <w:sz w:val="24"/>
          <w:szCs w:val="24"/>
        </w:rPr>
        <w:instrText>ADDIN CSL_CITATION {"citationItems":[{"id":"ITEM-1","itemData":{"DOI":"10.1093/pch/9.7.487","ISSN":"1205-7088","PMID":"19657417","author":[{"dropping-particle":"","family":"Canadian Paediatric Society","given":"","non-dropping-particle":"","parse-names":false,"suffix":""}],"container-title":"Paediatrics &amp; child health","id":"ITEM-1","issue":"7","issued":{"date-parts":[["2004","9"]]},"page":"487-503","publisher":"Oxford University Press","title":"Dieting in adolescence.","type":"article-journal","volume":"9"},"uris":["http://www.mendeley.com/documents/?uuid=3ae397fd-5aa6-3080-87c5-44db8d3acdb1"]},{"id":"ITEM-2","itemData":{"ISSN":"00384348","abstract":"Obesity in adolescents has increased by 75% in the past three decades. Cross-sectional and prospective surveys have shown that a large percentage of adolescents, particularly females and even those of normal weight, diet at some time. While moderate changes in diet and exercise have been shown to be safe, significant psychologic and physiologic consequences may occur with extreme or unhealthy dieting practices. Moderate dieting has been shown to be associated with negative self-esteem in some adolescents. The very act of starting any diet increases the risk of eating disorders in adolescent girls. Extreme methods of weight loss can have adverse physiologic effects if not closely monitored. Electrolyte disturbances, cardiac dysrhythmias, and even sudden cardiac death can result from unhealthy or extreme dieting practices. Such practices are associated with other problem behavior in adolescents. We review current information on dieting in teenagers and discuss psychologic and physiologic effects of these practices.","author":[{"dropping-particle":"","family":"Daee","given":"Allison","non-dropping-particle":"","parse-names":false,"suffix":""},{"dropping-particle":"","family":"Robinson","given":"Paul","non-dropping-particle":"","parse-names":false,"suffix":""},{"dropping-particle":"","family":"Lawson","given":"Melissa","non-dropping-particle":"","parse-names":false,"suffix":""},{"dropping-particle":"","family":"Turpin","given":"Julie A.","non-dropping-particle":"","parse-names":false,"suffix":""},{"dropping-particle":"","family":"Gregory","given":"Brooke","non-dropping-particle":"","parse-names":false,"suffix":""},{"dropping-particle":"","family":"Tobias","given":"Joseph D.","non-dropping-particle":"","parse-names":false,"suffix":""}],"container-title":"Southern Medical Journal","id":"ITEM-2","issued":{"date-parts":[["2002"]]},"title":"Psychologic and physiologic effects of dieting in adolescents","type":"article"},"uris":["http://www.mendeley.com/documents/?uuid=ebd2af2c-b4f9-41ec-b5aa-f209190bbbbd"]}],"mendeley":{"formattedCitation":"&lt;sup&gt;60,61&lt;/sup&gt;","plainTextFormattedCitation":"60,61","previouslyFormattedCitation":"&lt;sup&gt;60,61&lt;/sup&gt;"},"properties":{"noteIndex":0},"schema":"https://github.com/citation-style-language/schema/raw/master/csl-citation.json"}</w:instrText>
      </w:r>
      <w:r w:rsidR="009419BB" w:rsidRPr="00BF60BC">
        <w:rPr>
          <w:rFonts w:eastAsia="Times New Roman" w:cstheme="minorHAnsi"/>
          <w:sz w:val="24"/>
          <w:szCs w:val="24"/>
        </w:rPr>
        <w:fldChar w:fldCharType="separate"/>
      </w:r>
      <w:r w:rsidR="00C5774B" w:rsidRPr="00C5774B">
        <w:rPr>
          <w:rFonts w:eastAsia="Times New Roman" w:cstheme="minorHAnsi"/>
          <w:noProof/>
          <w:sz w:val="24"/>
          <w:szCs w:val="24"/>
          <w:vertAlign w:val="superscript"/>
        </w:rPr>
        <w:t>60,61</w:t>
      </w:r>
      <w:r w:rsidR="009419BB" w:rsidRPr="00BF60BC">
        <w:rPr>
          <w:rFonts w:eastAsia="Times New Roman" w:cstheme="minorHAnsi"/>
          <w:sz w:val="24"/>
          <w:szCs w:val="24"/>
        </w:rPr>
        <w:fldChar w:fldCharType="end"/>
      </w:r>
      <w:r w:rsidR="00E40DE6" w:rsidRPr="00BF60BC">
        <w:rPr>
          <w:rFonts w:eastAsia="Times New Roman" w:cstheme="minorHAnsi"/>
          <w:sz w:val="24"/>
          <w:szCs w:val="24"/>
        </w:rPr>
        <w:t xml:space="preserve"> </w:t>
      </w:r>
      <w:r w:rsidR="00A276A6" w:rsidRPr="00BF60BC">
        <w:rPr>
          <w:rFonts w:eastAsia="Times New Roman" w:cstheme="minorHAnsi"/>
          <w:sz w:val="24"/>
          <w:szCs w:val="24"/>
        </w:rPr>
        <w:t>R</w:t>
      </w:r>
      <w:r w:rsidR="00050970" w:rsidRPr="00BF60BC">
        <w:rPr>
          <w:rFonts w:eastAsia="Times New Roman" w:cstheme="minorHAnsi"/>
          <w:sz w:val="24"/>
          <w:szCs w:val="24"/>
        </w:rPr>
        <w:t>educing the prevalence of r</w:t>
      </w:r>
      <w:r w:rsidR="00A276A6" w:rsidRPr="00BF60BC">
        <w:rPr>
          <w:rFonts w:eastAsia="Times New Roman" w:cstheme="minorHAnsi"/>
          <w:sz w:val="24"/>
          <w:szCs w:val="24"/>
        </w:rPr>
        <w:t xml:space="preserve">estrictive eating </w:t>
      </w:r>
      <w:proofErr w:type="spellStart"/>
      <w:r w:rsidR="00DA210E" w:rsidRPr="00BF60BC">
        <w:rPr>
          <w:rFonts w:eastAsia="Times New Roman" w:cstheme="minorHAnsi"/>
          <w:sz w:val="24"/>
          <w:szCs w:val="24"/>
        </w:rPr>
        <w:t>behaviors</w:t>
      </w:r>
      <w:proofErr w:type="spellEnd"/>
      <w:r w:rsidR="00A276A6" w:rsidRPr="00BF60BC">
        <w:rPr>
          <w:rFonts w:eastAsia="Times New Roman" w:cstheme="minorHAnsi"/>
          <w:sz w:val="24"/>
          <w:szCs w:val="24"/>
        </w:rPr>
        <w:t xml:space="preserve"> and weight dissatisfaction should be considered an important public</w:t>
      </w:r>
      <w:r w:rsidR="00835629" w:rsidRPr="00BF60BC">
        <w:rPr>
          <w:rFonts w:eastAsia="Times New Roman" w:cstheme="minorHAnsi"/>
          <w:sz w:val="24"/>
          <w:szCs w:val="24"/>
        </w:rPr>
        <w:t xml:space="preserve"> health priority</w:t>
      </w:r>
      <w:r w:rsidR="00A276A6" w:rsidRPr="00BF60BC">
        <w:rPr>
          <w:rFonts w:eastAsia="Times New Roman" w:cstheme="minorHAnsi"/>
          <w:sz w:val="24"/>
          <w:szCs w:val="24"/>
        </w:rPr>
        <w:t xml:space="preserve"> </w:t>
      </w:r>
      <w:r w:rsidR="00050970" w:rsidRPr="00BF60BC">
        <w:rPr>
          <w:rFonts w:eastAsia="Times New Roman" w:cstheme="minorHAnsi"/>
          <w:sz w:val="24"/>
          <w:szCs w:val="24"/>
        </w:rPr>
        <w:t xml:space="preserve">in itself </w:t>
      </w:r>
      <w:r w:rsidR="00A276A6" w:rsidRPr="00BF60BC">
        <w:rPr>
          <w:rFonts w:eastAsia="Times New Roman" w:cstheme="minorHAnsi"/>
          <w:sz w:val="24"/>
          <w:szCs w:val="24"/>
        </w:rPr>
        <w:t>and</w:t>
      </w:r>
      <w:r w:rsidR="00C90559" w:rsidRPr="00BF60BC">
        <w:rPr>
          <w:rFonts w:eastAsia="Times New Roman" w:cstheme="minorHAnsi"/>
          <w:sz w:val="24"/>
          <w:szCs w:val="24"/>
        </w:rPr>
        <w:t xml:space="preserve"> these </w:t>
      </w:r>
      <w:proofErr w:type="spellStart"/>
      <w:r w:rsidR="00DA210E" w:rsidRPr="00BF60BC">
        <w:rPr>
          <w:rFonts w:eastAsia="Times New Roman" w:cstheme="minorHAnsi"/>
          <w:sz w:val="24"/>
          <w:szCs w:val="24"/>
        </w:rPr>
        <w:t>behaviors</w:t>
      </w:r>
      <w:proofErr w:type="spellEnd"/>
      <w:r w:rsidR="00C90559" w:rsidRPr="00BF60BC">
        <w:rPr>
          <w:rFonts w:eastAsia="Times New Roman" w:cstheme="minorHAnsi"/>
          <w:sz w:val="24"/>
          <w:szCs w:val="24"/>
        </w:rPr>
        <w:t xml:space="preserve"> should</w:t>
      </w:r>
      <w:r w:rsidR="00A276A6" w:rsidRPr="00BF60BC">
        <w:rPr>
          <w:rFonts w:eastAsia="Times New Roman" w:cstheme="minorHAnsi"/>
          <w:sz w:val="24"/>
          <w:szCs w:val="24"/>
        </w:rPr>
        <w:t xml:space="preserve"> not only be viewed as problematic when occurring alongside eating disorder diagnoses or in adolescents with low BMI.</w:t>
      </w:r>
      <w:r w:rsidR="00A16153" w:rsidRPr="00BF60BC">
        <w:rPr>
          <w:rFonts w:eastAsia="Times New Roman" w:cstheme="minorHAnsi"/>
          <w:sz w:val="24"/>
          <w:szCs w:val="24"/>
        </w:rPr>
        <w:t xml:space="preserve"> </w:t>
      </w:r>
      <w:bookmarkStart w:id="22" w:name="_Hlk37587594"/>
      <w:bookmarkStart w:id="23" w:name="_Hlk37587657"/>
      <w:bookmarkStart w:id="24" w:name="_Hlk37587614"/>
      <w:r w:rsidR="00D35686" w:rsidRPr="00BF60BC">
        <w:rPr>
          <w:rFonts w:eastAsia="Times New Roman" w:cstheme="minorHAnsi"/>
          <w:sz w:val="24"/>
          <w:szCs w:val="24"/>
        </w:rPr>
        <w:t>P</w:t>
      </w:r>
      <w:r w:rsidR="00A16153" w:rsidRPr="00BF60BC">
        <w:rPr>
          <w:rFonts w:eastAsia="Times New Roman" w:cstheme="minorHAnsi"/>
          <w:sz w:val="24"/>
          <w:szCs w:val="24"/>
        </w:rPr>
        <w:t xml:space="preserve">ublic health campaigns </w:t>
      </w:r>
      <w:r w:rsidR="00D35686" w:rsidRPr="00BF60BC">
        <w:rPr>
          <w:rFonts w:eastAsia="Times New Roman" w:cstheme="minorHAnsi"/>
          <w:sz w:val="24"/>
          <w:szCs w:val="24"/>
        </w:rPr>
        <w:t>around</w:t>
      </w:r>
      <w:r w:rsidR="00A16153" w:rsidRPr="00BF60BC">
        <w:rPr>
          <w:rFonts w:eastAsia="Times New Roman" w:cstheme="minorHAnsi"/>
          <w:sz w:val="24"/>
          <w:szCs w:val="24"/>
        </w:rPr>
        <w:t xml:space="preserve"> obesity should</w:t>
      </w:r>
      <w:r w:rsidR="00DC10BE" w:rsidRPr="00BF60BC">
        <w:rPr>
          <w:rFonts w:cstheme="minorHAnsi"/>
          <w:sz w:val="24"/>
          <w:szCs w:val="24"/>
        </w:rPr>
        <w:t xml:space="preserve"> include prevention of disordered eating </w:t>
      </w:r>
      <w:proofErr w:type="spellStart"/>
      <w:r w:rsidR="00DA210E" w:rsidRPr="00BF60BC">
        <w:rPr>
          <w:rFonts w:cstheme="minorHAnsi"/>
          <w:sz w:val="24"/>
          <w:szCs w:val="24"/>
        </w:rPr>
        <w:lastRenderedPageBreak/>
        <w:t>behaviors</w:t>
      </w:r>
      <w:proofErr w:type="spellEnd"/>
      <w:r w:rsidR="00D35686" w:rsidRPr="00BF60BC">
        <w:rPr>
          <w:rFonts w:cstheme="minorHAnsi"/>
          <w:sz w:val="24"/>
          <w:szCs w:val="24"/>
        </w:rPr>
        <w:t xml:space="preserve"> by</w:t>
      </w:r>
      <w:r w:rsidR="00F03862" w:rsidRPr="00BF60BC">
        <w:rPr>
          <w:rFonts w:cstheme="minorHAnsi"/>
          <w:sz w:val="24"/>
          <w:szCs w:val="24"/>
        </w:rPr>
        <w:t>:</w:t>
      </w:r>
      <w:r w:rsidR="00D35686" w:rsidRPr="00BF60BC">
        <w:rPr>
          <w:rFonts w:cstheme="minorHAnsi"/>
          <w:sz w:val="24"/>
          <w:szCs w:val="24"/>
        </w:rPr>
        <w:t xml:space="preserve"> addressing weight stigma</w:t>
      </w:r>
      <w:r w:rsidR="00015436" w:rsidRPr="00BF60BC">
        <w:rPr>
          <w:rFonts w:cstheme="minorHAnsi"/>
          <w:sz w:val="24"/>
          <w:szCs w:val="24"/>
        </w:rPr>
        <w:t xml:space="preserve"> and avoid using body dissatisfaction as a motivator for weight change;</w:t>
      </w:r>
      <w:r w:rsidR="00D35686" w:rsidRPr="00BF60BC">
        <w:rPr>
          <w:rFonts w:cstheme="minorHAnsi"/>
          <w:sz w:val="24"/>
          <w:szCs w:val="24"/>
        </w:rPr>
        <w:t xml:space="preserve"> </w:t>
      </w:r>
      <w:r w:rsidR="005C00F7" w:rsidRPr="00BF60BC">
        <w:rPr>
          <w:rFonts w:cstheme="minorHAnsi"/>
          <w:sz w:val="24"/>
          <w:szCs w:val="24"/>
        </w:rPr>
        <w:t xml:space="preserve">advocating for </w:t>
      </w:r>
      <w:r w:rsidR="00D35686" w:rsidRPr="00BF60BC">
        <w:rPr>
          <w:rFonts w:cstheme="minorHAnsi"/>
          <w:sz w:val="24"/>
          <w:szCs w:val="24"/>
        </w:rPr>
        <w:t>health as opposed to ‘healthy weight’</w:t>
      </w:r>
      <w:r w:rsidR="00813A70">
        <w:rPr>
          <w:rFonts w:cstheme="minorHAnsi"/>
          <w:sz w:val="24"/>
          <w:szCs w:val="24"/>
        </w:rPr>
        <w:t xml:space="preserve"> or ‘thinness’</w:t>
      </w:r>
      <w:r w:rsidR="00015436" w:rsidRPr="00BF60BC">
        <w:rPr>
          <w:rFonts w:cstheme="minorHAnsi"/>
          <w:sz w:val="24"/>
          <w:szCs w:val="24"/>
        </w:rPr>
        <w:t>;</w:t>
      </w:r>
      <w:r w:rsidR="00D35686" w:rsidRPr="00BF60BC">
        <w:rPr>
          <w:rFonts w:cstheme="minorHAnsi"/>
          <w:sz w:val="24"/>
          <w:szCs w:val="24"/>
        </w:rPr>
        <w:t xml:space="preserve"> </w:t>
      </w:r>
      <w:r w:rsidR="005C00F7" w:rsidRPr="00BF60BC">
        <w:rPr>
          <w:rFonts w:cstheme="minorHAnsi"/>
          <w:sz w:val="24"/>
          <w:szCs w:val="24"/>
        </w:rPr>
        <w:t xml:space="preserve">promoting </w:t>
      </w:r>
      <w:r w:rsidR="00015436" w:rsidRPr="00BF60BC">
        <w:rPr>
          <w:rFonts w:cstheme="minorHAnsi"/>
          <w:sz w:val="24"/>
          <w:szCs w:val="24"/>
        </w:rPr>
        <w:t>family meals</w:t>
      </w:r>
      <w:r w:rsidR="005C00F7" w:rsidRPr="00BF60BC">
        <w:rPr>
          <w:rFonts w:cstheme="minorHAnsi"/>
          <w:sz w:val="24"/>
          <w:szCs w:val="24"/>
        </w:rPr>
        <w:t xml:space="preserve"> and,</w:t>
      </w:r>
      <w:r w:rsidR="00015436" w:rsidRPr="00BF60BC">
        <w:rPr>
          <w:rFonts w:cstheme="minorHAnsi"/>
          <w:sz w:val="24"/>
          <w:szCs w:val="24"/>
        </w:rPr>
        <w:t xml:space="preserve"> </w:t>
      </w:r>
      <w:r w:rsidR="00D12B14" w:rsidRPr="00BF60BC">
        <w:rPr>
          <w:rFonts w:cstheme="minorHAnsi"/>
          <w:sz w:val="24"/>
          <w:szCs w:val="24"/>
        </w:rPr>
        <w:t>encourag</w:t>
      </w:r>
      <w:r w:rsidR="005C00F7" w:rsidRPr="00BF60BC">
        <w:rPr>
          <w:rFonts w:cstheme="minorHAnsi"/>
          <w:sz w:val="24"/>
          <w:szCs w:val="24"/>
        </w:rPr>
        <w:t>ing</w:t>
      </w:r>
      <w:r w:rsidR="00D12B14" w:rsidRPr="00BF60BC">
        <w:rPr>
          <w:rFonts w:cstheme="minorHAnsi"/>
          <w:sz w:val="24"/>
          <w:szCs w:val="24"/>
        </w:rPr>
        <w:t xml:space="preserve"> adolescents to exercise</w:t>
      </w:r>
      <w:r w:rsidR="00D35686" w:rsidRPr="00BF60BC">
        <w:rPr>
          <w:rFonts w:cstheme="minorHAnsi"/>
          <w:sz w:val="24"/>
          <w:szCs w:val="24"/>
        </w:rPr>
        <w:t xml:space="preserve"> </w:t>
      </w:r>
      <w:r w:rsidR="00D12B14" w:rsidRPr="00BF60BC">
        <w:rPr>
          <w:rFonts w:cstheme="minorHAnsi"/>
          <w:sz w:val="24"/>
          <w:szCs w:val="24"/>
        </w:rPr>
        <w:t xml:space="preserve">for </w:t>
      </w:r>
      <w:r w:rsidR="00862613" w:rsidRPr="00BF60BC">
        <w:rPr>
          <w:rFonts w:cstheme="minorHAnsi"/>
          <w:sz w:val="24"/>
          <w:szCs w:val="24"/>
        </w:rPr>
        <w:t xml:space="preserve">health, </w:t>
      </w:r>
      <w:r w:rsidR="00D12B14" w:rsidRPr="00BF60BC">
        <w:rPr>
          <w:rFonts w:cstheme="minorHAnsi"/>
          <w:sz w:val="24"/>
          <w:szCs w:val="24"/>
        </w:rPr>
        <w:t>wellbeing</w:t>
      </w:r>
      <w:r w:rsidR="00F03862" w:rsidRPr="00BF60BC">
        <w:rPr>
          <w:rFonts w:cstheme="minorHAnsi"/>
          <w:sz w:val="24"/>
          <w:szCs w:val="24"/>
        </w:rPr>
        <w:t>,</w:t>
      </w:r>
      <w:r w:rsidR="00D12B14" w:rsidRPr="00BF60BC">
        <w:rPr>
          <w:rFonts w:cstheme="minorHAnsi"/>
          <w:sz w:val="24"/>
          <w:szCs w:val="24"/>
        </w:rPr>
        <w:t xml:space="preserve"> and socialisation</w:t>
      </w:r>
      <w:r w:rsidR="00D35686" w:rsidRPr="00BF60BC">
        <w:rPr>
          <w:rFonts w:cstheme="minorHAnsi"/>
          <w:sz w:val="24"/>
          <w:szCs w:val="24"/>
        </w:rPr>
        <w:t xml:space="preserve"> rather </w:t>
      </w:r>
      <w:r w:rsidR="00982F6C" w:rsidRPr="00BF60BC">
        <w:rPr>
          <w:rFonts w:cstheme="minorHAnsi"/>
          <w:sz w:val="24"/>
          <w:szCs w:val="24"/>
        </w:rPr>
        <w:t xml:space="preserve">than </w:t>
      </w:r>
      <w:r w:rsidR="00D35686" w:rsidRPr="00BF60BC">
        <w:rPr>
          <w:rFonts w:cstheme="minorHAnsi"/>
          <w:sz w:val="24"/>
          <w:szCs w:val="24"/>
        </w:rPr>
        <w:t>as a means to achieve weight loss</w:t>
      </w:r>
      <w:bookmarkEnd w:id="22"/>
      <w:r w:rsidR="00D35686" w:rsidRPr="00BF60BC">
        <w:rPr>
          <w:rFonts w:cstheme="minorHAnsi"/>
          <w:sz w:val="24"/>
          <w:szCs w:val="24"/>
        </w:rPr>
        <w:t>.</w:t>
      </w:r>
      <w:bookmarkStart w:id="25" w:name="_Hlk37587668"/>
      <w:bookmarkEnd w:id="23"/>
      <w:r w:rsidR="00D35686" w:rsidRPr="00BF60BC">
        <w:rPr>
          <w:rFonts w:cstheme="minorHAnsi"/>
          <w:sz w:val="24"/>
          <w:szCs w:val="24"/>
        </w:rPr>
        <w:fldChar w:fldCharType="begin" w:fldLock="1"/>
      </w:r>
      <w:r w:rsidR="00C5774B">
        <w:rPr>
          <w:rFonts w:cstheme="minorHAnsi"/>
          <w:sz w:val="24"/>
          <w:szCs w:val="24"/>
        </w:rPr>
        <w:instrText>ADDIN CSL_CITATION {"citationItems":[{"id":"ITEM-1","itemData":{"DOI":"10.1542/peds.2016-1649","ISSN":"10984275","abstract":"Obesity and eating disorders (EDs) are both prevalent in adolescents. There are concerns that obesity prevention efforts may lead to the development of an ED. Most adolescents who develop an ED did not have obesity previously, but some teenagers, in an attempt to lose weight, may develop an ED. This clinical report addresses the interaction between obesity prevention and EDs in teenagers, provides the pediatrician with evidence-informed tools to identify behaviors that predispose to both obesity and EDs, and provides guidance about obesity and ED prevention messages. The focus should be on a healthy lifestyle rather than on weight. Evidence suggests that obesity prevention and treatment, if conducted correctly, do not predispose to EDs.","author":[{"dropping-particle":"","family":"Golden","given":"Neville H.","non-dropping-particle":"","parse-names":false,"suffix":""},{"dropping-particle":"","family":"Schneider","given":"Marcie","non-dropping-particle":"","parse-names":false,"suffix":""},{"dropping-particle":"","family":"Wood","given":"Christine","non-dropping-particle":"","parse-names":false,"suffix":""},{"dropping-particle":"","family":"Daniels","given":"Stephen","non-dropping-particle":"","parse-names":false,"suffix":""},{"dropping-particle":"","family":"Abrams","given":"Steven","non-dropping-particle":"","parse-names":false,"suffix":""},{"dropping-particle":"","family":"Corkins","given":"Mark","non-dropping-particle":"","parse-names":false,"suffix":""},{"dropping-particle":"","family":"Ferranti","given":"Sarah","non-dropping-particle":"De","parse-names":false,"suffix":""},{"dropping-particle":"","family":"Magge","given":"Sheela N.","non-dropping-particle":"","parse-names":false,"suffix":""},{"dropping-particle":"","family":"Schwarzenberg","given":"Sarah","non-dropping-particle":"","parse-names":false,"suffix":""},{"dropping-particle":"","family":"Critch","given":"Jeff","non-dropping-particle":"","parse-names":false,"suffix":""},{"dropping-particle":"","family":"Hubbard","given":"Van","non-dropping-particle":"","parse-names":false,"suffix":""},{"dropping-particle":"","family":"Scanlon","given":"Kelley","non-dropping-particle":"","parse-names":false,"suffix":""},{"dropping-particle":"","family":"Soto","given":"Valery","non-dropping-particle":"","parse-names":false,"suffix":""},{"dropping-particle":"","family":"Burrowes","given":"Debra","non-dropping-particle":"","parse-names":false,"suffix":""},{"dropping-particle":"","family":"Haro","given":"Tamar","non-dropping-particle":"","parse-names":false,"suffix":""},{"dropping-particle":"","family":"Braverman","given":"Paula K.","non-dropping-particle":"","parse-names":false,"suffix":""},{"dropping-particle":"","family":"Adelman","given":"William","non-dropping-particle":"","parse-names":false,"suffix":""},{"dropping-particle":"","family":"Alderman","given":"Elizabeth M.","non-dropping-particle":"","parse-names":false,"suffix":""},{"dropping-particle":"","family":"Breuner","given":"Cora C.","non-dropping-particle":"","parse-names":false,"suffix":""},{"dropping-particle":"","family":"Levine","given":"David A.","non-dropping-particle":"","parse-names":false,"suffix":""},{"dropping-particle":"V.","family":"Marcell","given":"Arik","non-dropping-particle":"","parse-names":false,"suffix":""},{"dropping-particle":"","family":"O'Brien","given":"Rebecca","non-dropping-particle":"","parse-names":false,"suffix":""},{"dropping-particle":"","family":"Lane","given":"Margo","non-dropping-particle":"","parse-names":false,"suffix":""},{"dropping-particle":"","family":"Strickland","given":"Julie","non-dropping-particle":"","parse-names":false,"suffix":""},{"dropping-particle":"","family":"Shain","given":"Benjamin","non-dropping-particle":"","parse-names":false,"suffix":""},{"dropping-particle":"","family":"Smith","given":"Karen","non-dropping-particle":"","parse-names":false,"suffix":""},{"dropping-particle":"","family":"Baumberger","given":"James","non-dropping-particle":"","parse-names":false,"suffix":""},{"dropping-particle":"","family":"Pont","given":"Stephen","non-dropping-particle":"","parse-names":false,"suffix":""},{"dropping-particle":"","family":"Bolling","given":"Christopher","non-dropping-particle":"","parse-names":false,"suffix":""},{"dropping-particle":"","family":"Cook","given":"Stephen","non-dropping-particle":"","parse-names":false,"suffix":""},{"dropping-particle":"","family":"Liu","given":"Lenna","non-dropping-particle":"","parse-names":false,"suffix":""},{"dropping-particle":"","family":"Robert","given":"Schwartz","non-dropping-particle":"","parse-names":false,"suffix":""},{"dropping-particle":"","family":"Slusser","given":"Wendelin","non-dropping-particle":"","parse-names":false,"suffix":""},{"dropping-particle":"","family":"Thapar","given":"Mala","non-dropping-particle":"","parse-names":false,"suffix":""},{"dropping-particle":"","family":"Lindros","given":"Jeanne","non-dropping-particle":"","parse-names":false,"suffix":""}],"container-title":"Pediatrics","id":"ITEM-1","issued":{"date-parts":[["2016"]]},"title":"Preventing obesity and eating disorders in adolescents","type":"article-journal"},"uris":["http://www.mendeley.com/documents/?uuid=c591536f-c7c4-4de5-a61e-b4ede1e26afb"]},{"id":"ITEM-2","itemData":{"DOI":"10.1016/j.jadohealth.2008.11.005","ISSN":"1054139X","abstract":"This article describes five research-based recommendations for health care providers to help prevent both obesity and eating disorders among adolescents that they see within clinical, school, or other settings. The recommendations are based primarily upon findings from Project EAT, a large, population-based study of eating and weight-related issues in adolescents. Recommendations include the following: 1) discourage unhealthy dieting; instead encourage and support the use of eating and physical activity behaviors that can be maintained on an ongoing basis; 2) promote a positive body image; 3) encourage more frequent, and more enjoyable, family meals; 4) Encourage families to talk less about weight and do more at home to facilitate healthy eating and physical activity; and 5) assume that overweight teens have experienced weight mistreatment and address this issue with teens and their families. These recommendations stress the importance of helping adolescents and their families focus less on weight and more on sustained behavioral change. © 2009 Society for Adolescent Medicine.","author":[{"dropping-particle":"","family":"Neumark-Sztainer","given":"Dianne","non-dropping-particle":"","parse-names":false,"suffix":""}],"container-title":"Journal of Adolescent Health","id":"ITEM-2","issued":{"date-parts":[["2009"]]},"title":"Preventing Obesity and Eating Disorders in Adolescents: What Can Health Care Providers Do?","type":"article"},"uris":["http://www.mendeley.com/documents/?uuid=46c9667a-a18a-436b-b777-8f4d94a320fd"]}],"mendeley":{"formattedCitation":"&lt;sup&gt;46,62&lt;/sup&gt;","plainTextFormattedCitation":"46,62","previouslyFormattedCitation":"&lt;sup&gt;46,62&lt;/sup&gt;"},"properties":{"noteIndex":0},"schema":"https://github.com/citation-style-language/schema/raw/master/csl-citation.json"}</w:instrText>
      </w:r>
      <w:r w:rsidR="00D35686" w:rsidRPr="00BF60BC">
        <w:rPr>
          <w:rFonts w:cstheme="minorHAnsi"/>
          <w:sz w:val="24"/>
          <w:szCs w:val="24"/>
        </w:rPr>
        <w:fldChar w:fldCharType="separate"/>
      </w:r>
      <w:r w:rsidR="00C5774B" w:rsidRPr="00C5774B">
        <w:rPr>
          <w:rFonts w:cstheme="minorHAnsi"/>
          <w:noProof/>
          <w:sz w:val="24"/>
          <w:szCs w:val="24"/>
          <w:vertAlign w:val="superscript"/>
        </w:rPr>
        <w:t>46,62</w:t>
      </w:r>
      <w:r w:rsidR="00D35686" w:rsidRPr="00BF60BC">
        <w:rPr>
          <w:rFonts w:cstheme="minorHAnsi"/>
          <w:sz w:val="24"/>
          <w:szCs w:val="24"/>
        </w:rPr>
        <w:fldChar w:fldCharType="end"/>
      </w:r>
      <w:bookmarkEnd w:id="24"/>
      <w:bookmarkEnd w:id="25"/>
      <w:r w:rsidR="005358F7" w:rsidRPr="00BF60BC">
        <w:rPr>
          <w:rFonts w:ascii="Calibri" w:eastAsiaTheme="minorEastAsia" w:hAnsi="Calibri" w:cs="Calibri"/>
          <w:b/>
          <w:bCs/>
          <w:color w:val="000000"/>
          <w:sz w:val="24"/>
          <w:szCs w:val="24"/>
          <w:lang w:eastAsia="ja-JP"/>
        </w:rPr>
        <w:br w:type="page"/>
      </w:r>
    </w:p>
    <w:p w14:paraId="133F47CA" w14:textId="3B512544" w:rsidR="00B536BD" w:rsidRPr="00BF60BC" w:rsidRDefault="00B536BD" w:rsidP="00655F22">
      <w:pPr>
        <w:spacing w:after="0" w:line="360" w:lineRule="auto"/>
        <w:jc w:val="both"/>
        <w:rPr>
          <w:rFonts w:ascii="Calibri" w:eastAsiaTheme="minorEastAsia" w:hAnsi="Calibri" w:cs="Calibri"/>
          <w:b/>
          <w:bCs/>
          <w:color w:val="000000"/>
          <w:sz w:val="24"/>
          <w:szCs w:val="24"/>
          <w:lang w:eastAsia="ja-JP"/>
        </w:rPr>
      </w:pPr>
      <w:r w:rsidRPr="00BF60BC">
        <w:rPr>
          <w:rFonts w:ascii="Calibri" w:eastAsiaTheme="minorEastAsia" w:hAnsi="Calibri" w:cs="Calibri"/>
          <w:b/>
          <w:bCs/>
          <w:color w:val="000000"/>
          <w:sz w:val="24"/>
          <w:szCs w:val="24"/>
          <w:lang w:eastAsia="ja-JP"/>
        </w:rPr>
        <w:lastRenderedPageBreak/>
        <w:t>FUNDING</w:t>
      </w:r>
    </w:p>
    <w:p w14:paraId="7DB1CB46" w14:textId="38F2CFB3" w:rsidR="00B536BD" w:rsidRPr="00BF60BC" w:rsidRDefault="00B536BD" w:rsidP="00655F22">
      <w:pPr>
        <w:spacing w:after="0" w:line="360" w:lineRule="auto"/>
        <w:jc w:val="both"/>
        <w:rPr>
          <w:rFonts w:ascii="Calibri" w:eastAsiaTheme="minorEastAsia" w:hAnsi="Calibri" w:cs="Calibri"/>
          <w:bCs/>
          <w:color w:val="000000"/>
          <w:sz w:val="24"/>
          <w:szCs w:val="24"/>
          <w:lang w:eastAsia="ja-JP"/>
        </w:rPr>
      </w:pPr>
      <w:r w:rsidRPr="00BF60BC">
        <w:rPr>
          <w:rFonts w:ascii="Calibri" w:eastAsiaTheme="minorEastAsia" w:hAnsi="Calibri" w:cs="Calibri"/>
          <w:bCs/>
          <w:color w:val="000000"/>
          <w:sz w:val="24"/>
          <w:szCs w:val="24"/>
          <w:lang w:eastAsia="ja-JP"/>
        </w:rPr>
        <w:t xml:space="preserve">Dr Francesca Solmi is funded by the Wellcome Trust (Sir Henry Wellcome Fellowship; grant code: </w:t>
      </w:r>
      <w:r w:rsidRPr="00BF60BC">
        <w:rPr>
          <w:rFonts w:cstheme="minorHAnsi"/>
          <w:sz w:val="24"/>
          <w:szCs w:val="24"/>
        </w:rPr>
        <w:t>209196/Z/17/Z).</w:t>
      </w:r>
      <w:r w:rsidR="00D14747" w:rsidRPr="00BF60BC">
        <w:rPr>
          <w:rFonts w:ascii="Calibri" w:eastAsiaTheme="minorEastAsia" w:hAnsi="Calibri" w:cs="Calibri"/>
          <w:bCs/>
          <w:color w:val="000000"/>
          <w:sz w:val="24"/>
          <w:szCs w:val="24"/>
          <w:lang w:eastAsia="ja-JP"/>
        </w:rPr>
        <w:t xml:space="preserve"> </w:t>
      </w:r>
      <w:proofErr w:type="spellStart"/>
      <w:r w:rsidR="00D14747" w:rsidRPr="00BF60BC">
        <w:rPr>
          <w:rFonts w:ascii="Calibri" w:eastAsiaTheme="minorEastAsia" w:hAnsi="Calibri" w:cs="Calibri"/>
          <w:bCs/>
          <w:color w:val="000000"/>
          <w:sz w:val="24"/>
          <w:szCs w:val="24"/>
          <w:lang w:eastAsia="ja-JP"/>
        </w:rPr>
        <w:t>Dr.</w:t>
      </w:r>
      <w:proofErr w:type="spellEnd"/>
      <w:r w:rsidR="00D14747" w:rsidRPr="00BF60BC">
        <w:rPr>
          <w:rFonts w:ascii="Calibri" w:eastAsiaTheme="minorEastAsia" w:hAnsi="Calibri" w:cs="Calibri"/>
          <w:bCs/>
          <w:color w:val="000000"/>
          <w:sz w:val="24"/>
          <w:szCs w:val="24"/>
          <w:lang w:eastAsia="ja-JP"/>
        </w:rPr>
        <w:t xml:space="preserve"> Praveetha Patalay is supported by a Wellcome Trust Institutional Strategic Support Fund (ISSF3/ H17RCO/NG1). </w:t>
      </w:r>
      <w:r w:rsidR="00D14747" w:rsidRPr="00BF60BC">
        <w:rPr>
          <w:rFonts w:cstheme="minorHAnsi"/>
          <w:sz w:val="24"/>
          <w:szCs w:val="24"/>
        </w:rPr>
        <w:t>This research is also supported by the UCLH NIHR Biomedical Research Centre.</w:t>
      </w:r>
      <w:r w:rsidRPr="00BF60BC">
        <w:rPr>
          <w:rFonts w:ascii="Calibri" w:eastAsiaTheme="minorEastAsia" w:hAnsi="Calibri" w:cs="Calibri"/>
          <w:bCs/>
          <w:color w:val="000000"/>
          <w:sz w:val="24"/>
          <w:szCs w:val="24"/>
          <w:lang w:eastAsia="ja-JP"/>
        </w:rPr>
        <w:t xml:space="preserve"> </w:t>
      </w:r>
      <w:r w:rsidR="005B5E16" w:rsidRPr="00BF60BC">
        <w:rPr>
          <w:rFonts w:cstheme="minorHAnsi"/>
          <w:sz w:val="24"/>
          <w:szCs w:val="24"/>
        </w:rPr>
        <w:t xml:space="preserve">The British Cohort Study 1970 is funded by the UK Economic and Social Research Council. The Millennium Cohort Study is funded primarily by the UK Economic and Social Research Council with co-funding by a consortium of UK government departments. </w:t>
      </w:r>
      <w:r w:rsidR="004F2184" w:rsidRPr="00BF60BC">
        <w:rPr>
          <w:rFonts w:ascii="Calibri" w:eastAsiaTheme="minorEastAsia" w:hAnsi="Calibri" w:cs="Calibri"/>
          <w:bCs/>
          <w:color w:val="000000"/>
          <w:sz w:val="24"/>
          <w:szCs w:val="24"/>
          <w:lang w:eastAsia="ja-JP"/>
        </w:rPr>
        <w:t>The UK Medical Research Council and Wellcome (Grant ref: 102215/2/13/2) and the University of Bristol provide core support for ALSPAC. This publication is the work of the authors and all authors will serve as guarantors of the contents of this paper. A comprehensive list of grants funding is available on the ALSPAC website (</w:t>
      </w:r>
      <w:hyperlink r:id="rId10" w:history="1">
        <w:r w:rsidR="004F2184" w:rsidRPr="00BF60BC">
          <w:rPr>
            <w:rStyle w:val="Hyperlink"/>
            <w:rFonts w:ascii="Calibri" w:eastAsiaTheme="minorEastAsia" w:hAnsi="Calibri" w:cs="Calibri"/>
            <w:bCs/>
            <w:sz w:val="24"/>
            <w:szCs w:val="24"/>
            <w:lang w:eastAsia="ja-JP"/>
          </w:rPr>
          <w:t>http://www.bristol.ac.uk/alspac/external/documents/grant-acknowledgements.pdf</w:t>
        </w:r>
      </w:hyperlink>
      <w:r w:rsidR="004F2184" w:rsidRPr="00BF60BC">
        <w:rPr>
          <w:rFonts w:ascii="Calibri" w:eastAsiaTheme="minorEastAsia" w:hAnsi="Calibri" w:cs="Calibri"/>
          <w:bCs/>
          <w:color w:val="000000"/>
          <w:sz w:val="24"/>
          <w:szCs w:val="24"/>
          <w:lang w:eastAsia="ja-JP"/>
        </w:rPr>
        <w:t>). Outcome measures employed in this study was funded by the following grants: NIH (grant no. MH087786-01).</w:t>
      </w:r>
    </w:p>
    <w:p w14:paraId="28D033CB" w14:textId="77777777" w:rsidR="00B536BD" w:rsidRPr="00BF60BC" w:rsidRDefault="00B536BD" w:rsidP="00655F22">
      <w:pPr>
        <w:spacing w:line="360" w:lineRule="auto"/>
        <w:jc w:val="both"/>
        <w:rPr>
          <w:rFonts w:ascii="Calibri" w:eastAsiaTheme="minorEastAsia" w:hAnsi="Calibri" w:cs="Calibri"/>
          <w:bCs/>
          <w:color w:val="000000"/>
          <w:sz w:val="24"/>
          <w:szCs w:val="24"/>
          <w:lang w:eastAsia="ja-JP"/>
        </w:rPr>
      </w:pPr>
    </w:p>
    <w:p w14:paraId="565FB3DC" w14:textId="77777777" w:rsidR="00B536BD" w:rsidRPr="00BF60BC" w:rsidRDefault="00B536BD" w:rsidP="00655F22">
      <w:pPr>
        <w:spacing w:after="0" w:line="360" w:lineRule="auto"/>
        <w:jc w:val="both"/>
        <w:rPr>
          <w:rFonts w:ascii="Calibri" w:eastAsiaTheme="minorEastAsia" w:hAnsi="Calibri" w:cs="Calibri"/>
          <w:b/>
          <w:bCs/>
          <w:color w:val="000000"/>
          <w:sz w:val="24"/>
          <w:szCs w:val="24"/>
          <w:lang w:eastAsia="ja-JP"/>
        </w:rPr>
      </w:pPr>
      <w:r w:rsidRPr="00BF60BC">
        <w:rPr>
          <w:rFonts w:ascii="Calibri" w:eastAsiaTheme="minorEastAsia" w:hAnsi="Calibri" w:cs="Calibri"/>
          <w:b/>
          <w:bCs/>
          <w:color w:val="000000"/>
          <w:sz w:val="24"/>
          <w:szCs w:val="24"/>
          <w:lang w:eastAsia="ja-JP"/>
        </w:rPr>
        <w:t>ACKNOWLEDGEMENTS</w:t>
      </w:r>
    </w:p>
    <w:p w14:paraId="16B6B401" w14:textId="77777777" w:rsidR="009E33A0" w:rsidRDefault="009E33A0" w:rsidP="00655F22">
      <w:pPr>
        <w:spacing w:after="0" w:line="360" w:lineRule="auto"/>
        <w:jc w:val="both"/>
        <w:rPr>
          <w:rFonts w:ascii="Calibri" w:eastAsiaTheme="minorEastAsia" w:hAnsi="Calibri" w:cs="Calibri"/>
          <w:bCs/>
          <w:color w:val="000000"/>
          <w:sz w:val="24"/>
          <w:szCs w:val="24"/>
          <w:lang w:eastAsia="ja-JP"/>
        </w:rPr>
      </w:pPr>
      <w:r>
        <w:rPr>
          <w:rFonts w:ascii="Calibri" w:eastAsiaTheme="minorEastAsia" w:hAnsi="Calibri" w:cs="Calibri"/>
          <w:b/>
          <w:bCs/>
          <w:color w:val="000000"/>
          <w:sz w:val="24"/>
          <w:szCs w:val="24"/>
          <w:lang w:eastAsia="ja-JP"/>
        </w:rPr>
        <w:t xml:space="preserve">Role of the funder: </w:t>
      </w:r>
      <w:r>
        <w:rPr>
          <w:rFonts w:ascii="Calibri" w:eastAsiaTheme="minorEastAsia" w:hAnsi="Calibri" w:cs="Calibri"/>
          <w:bCs/>
          <w:color w:val="000000"/>
          <w:sz w:val="24"/>
          <w:szCs w:val="24"/>
          <w:lang w:eastAsia="ja-JP"/>
        </w:rPr>
        <w:t xml:space="preserve">The funder did not have any role in the </w:t>
      </w:r>
      <w:r w:rsidRPr="009E33A0">
        <w:rPr>
          <w:rFonts w:ascii="Calibri" w:eastAsiaTheme="minorEastAsia" w:hAnsi="Calibri" w:cs="Calibri"/>
          <w:bCs/>
          <w:color w:val="000000"/>
          <w:sz w:val="24"/>
          <w:szCs w:val="24"/>
          <w:lang w:eastAsia="ja-JP"/>
        </w:rPr>
        <w:t>design and conduct of the study; collection, management, analysis, and interpretation of the data; preparation, review, or approval of the manuscript; and decision to submit the manuscript for publication</w:t>
      </w:r>
      <w:r>
        <w:rPr>
          <w:rFonts w:ascii="Calibri" w:eastAsiaTheme="minorEastAsia" w:hAnsi="Calibri" w:cs="Calibri"/>
          <w:bCs/>
          <w:color w:val="000000"/>
          <w:sz w:val="24"/>
          <w:szCs w:val="24"/>
          <w:lang w:eastAsia="ja-JP"/>
        </w:rPr>
        <w:t>.</w:t>
      </w:r>
    </w:p>
    <w:p w14:paraId="2B39303A" w14:textId="5616D1C7" w:rsidR="00D14747" w:rsidRDefault="009E33A0" w:rsidP="00655F22">
      <w:pPr>
        <w:spacing w:after="0" w:line="360" w:lineRule="auto"/>
        <w:jc w:val="both"/>
        <w:rPr>
          <w:sz w:val="24"/>
          <w:szCs w:val="24"/>
        </w:rPr>
      </w:pPr>
      <w:r>
        <w:rPr>
          <w:rFonts w:ascii="Calibri" w:eastAsiaTheme="minorEastAsia" w:hAnsi="Calibri" w:cs="Calibri"/>
          <w:b/>
          <w:bCs/>
          <w:color w:val="000000"/>
          <w:sz w:val="24"/>
          <w:szCs w:val="24"/>
          <w:lang w:eastAsia="ja-JP"/>
        </w:rPr>
        <w:t xml:space="preserve">Non-author contributions: </w:t>
      </w:r>
      <w:r w:rsidR="00B536BD" w:rsidRPr="00BF60BC">
        <w:rPr>
          <w:rFonts w:ascii="Calibri" w:eastAsiaTheme="minorEastAsia" w:hAnsi="Calibri" w:cs="Calibri"/>
          <w:bCs/>
          <w:color w:val="000000"/>
          <w:sz w:val="24"/>
          <w:szCs w:val="24"/>
          <w:lang w:eastAsia="ja-JP"/>
        </w:rPr>
        <w:t xml:space="preserve">We are extremely grateful to all the families who took part in </w:t>
      </w:r>
      <w:r w:rsidR="00D14747" w:rsidRPr="00BF60BC">
        <w:rPr>
          <w:rFonts w:ascii="Calibri" w:eastAsiaTheme="minorEastAsia" w:hAnsi="Calibri" w:cs="Calibri"/>
          <w:bCs/>
          <w:color w:val="000000"/>
          <w:sz w:val="24"/>
          <w:szCs w:val="24"/>
          <w:lang w:eastAsia="ja-JP"/>
        </w:rPr>
        <w:t>ALSPAC</w:t>
      </w:r>
      <w:r w:rsidR="00B536BD" w:rsidRPr="00BF60BC">
        <w:rPr>
          <w:rFonts w:ascii="Calibri" w:eastAsiaTheme="minorEastAsia" w:hAnsi="Calibri" w:cs="Calibri"/>
          <w:bCs/>
          <w:color w:val="000000"/>
          <w:sz w:val="24"/>
          <w:szCs w:val="24"/>
          <w:lang w:eastAsia="ja-JP"/>
        </w:rPr>
        <w:t>, the midwives for their help in recruiting them, and the whole ALSPAC team, which includes interviewers, computer and laboratory technicians, clerical workers, research scientists, volunteers, managers, receptionists and nurses</w:t>
      </w:r>
      <w:r w:rsidR="00B536BD" w:rsidRPr="00BF60BC">
        <w:rPr>
          <w:rFonts w:ascii="Calibri" w:eastAsiaTheme="minorEastAsia" w:hAnsi="Calibri" w:cs="Calibri"/>
          <w:bCs/>
          <w:color w:val="000000"/>
          <w:lang w:eastAsia="ja-JP"/>
        </w:rPr>
        <w:t>.</w:t>
      </w:r>
      <w:r w:rsidR="00B536BD" w:rsidRPr="00BF60BC">
        <w:rPr>
          <w:rFonts w:ascii="Calibri" w:eastAsiaTheme="minorEastAsia" w:hAnsi="Calibri" w:cs="Calibri"/>
          <w:bCs/>
          <w:color w:val="000000"/>
          <w:sz w:val="24"/>
          <w:szCs w:val="24"/>
          <w:lang w:eastAsia="ja-JP"/>
        </w:rPr>
        <w:t xml:space="preserve"> </w:t>
      </w:r>
      <w:r w:rsidR="00D14747" w:rsidRPr="00BF60BC">
        <w:rPr>
          <w:sz w:val="24"/>
          <w:szCs w:val="24"/>
        </w:rPr>
        <w:t>We are extremely grateful for the cooperation of the Millennium Cohort Study and British Cohort Study families who voluntarily participate in the study. We would also like to thank a large number of stakeholders from academic, policy-maker and funder communities and colleagues at the Centre for Longitudinal Studies involved in data collection and management of these cohort studies.</w:t>
      </w:r>
    </w:p>
    <w:p w14:paraId="27D0A4EC" w14:textId="27715EE7" w:rsidR="009E33A0" w:rsidRPr="009E33A0" w:rsidRDefault="009E33A0" w:rsidP="00655F22">
      <w:pPr>
        <w:spacing w:after="0" w:line="360" w:lineRule="auto"/>
        <w:jc w:val="both"/>
        <w:rPr>
          <w:lang w:eastAsia="ja-JP"/>
        </w:rPr>
      </w:pPr>
      <w:r w:rsidRPr="009E33A0">
        <w:rPr>
          <w:rFonts w:ascii="Calibri" w:eastAsiaTheme="minorEastAsia" w:hAnsi="Calibri" w:cs="Calibri"/>
          <w:b/>
          <w:bCs/>
          <w:color w:val="000000"/>
          <w:sz w:val="24"/>
          <w:szCs w:val="24"/>
          <w:lang w:eastAsia="ja-JP"/>
        </w:rPr>
        <w:t>Data access</w:t>
      </w:r>
      <w:r>
        <w:rPr>
          <w:rFonts w:ascii="Calibri" w:eastAsiaTheme="minorEastAsia" w:hAnsi="Calibri" w:cs="Calibri"/>
          <w:bCs/>
          <w:color w:val="000000"/>
          <w:sz w:val="24"/>
          <w:szCs w:val="24"/>
          <w:lang w:eastAsia="ja-JP"/>
        </w:rPr>
        <w:t>: Dr Francesca Solmi</w:t>
      </w:r>
      <w:r w:rsidR="00A74954">
        <w:rPr>
          <w:rFonts w:ascii="Calibri" w:eastAsiaTheme="minorEastAsia" w:hAnsi="Calibri" w:cs="Calibri"/>
          <w:bCs/>
          <w:color w:val="000000"/>
          <w:sz w:val="24"/>
          <w:szCs w:val="24"/>
          <w:lang w:eastAsia="ja-JP"/>
        </w:rPr>
        <w:t xml:space="preserve"> (UCL Division of Psychiatry)</w:t>
      </w:r>
      <w:r w:rsidRPr="009E33A0">
        <w:rPr>
          <w:rFonts w:asciiTheme="majorHAnsi" w:eastAsiaTheme="minorEastAsia" w:hAnsiTheme="majorHAnsi" w:cstheme="majorHAnsi"/>
          <w:lang w:eastAsia="ja-JP"/>
        </w:rPr>
        <w:t xml:space="preserve"> </w:t>
      </w:r>
      <w:r w:rsidRPr="009E33A0">
        <w:rPr>
          <w:rFonts w:ascii="Calibri" w:eastAsiaTheme="minorEastAsia" w:hAnsi="Calibri" w:cs="Calibri"/>
          <w:bCs/>
          <w:color w:val="000000"/>
          <w:sz w:val="24"/>
          <w:szCs w:val="24"/>
          <w:lang w:eastAsia="ja-JP"/>
        </w:rPr>
        <w:t>had full access to all the data in the study and takes responsibility for the integrity of the data and the accuracy of the data analysis</w:t>
      </w:r>
    </w:p>
    <w:p w14:paraId="24609BC5" w14:textId="77777777" w:rsidR="00D14747" w:rsidRPr="00BF60BC" w:rsidRDefault="00D14747" w:rsidP="00655F22">
      <w:pPr>
        <w:spacing w:after="0" w:line="360" w:lineRule="auto"/>
        <w:jc w:val="both"/>
        <w:rPr>
          <w:rFonts w:ascii="Calibri" w:eastAsiaTheme="minorEastAsia" w:hAnsi="Calibri" w:cs="Calibri"/>
          <w:bCs/>
          <w:color w:val="000000"/>
          <w:sz w:val="24"/>
          <w:szCs w:val="24"/>
          <w:lang w:eastAsia="ja-JP"/>
        </w:rPr>
      </w:pPr>
    </w:p>
    <w:p w14:paraId="6C6E4A3D" w14:textId="77777777" w:rsidR="00F12228" w:rsidRPr="00BF60BC" w:rsidRDefault="00F12228" w:rsidP="00655F22">
      <w:pPr>
        <w:spacing w:after="0" w:line="360" w:lineRule="auto"/>
        <w:jc w:val="both"/>
        <w:rPr>
          <w:rFonts w:eastAsia="Times New Roman" w:cstheme="minorHAnsi"/>
          <w:b/>
          <w:iCs/>
          <w:sz w:val="24"/>
          <w:szCs w:val="24"/>
        </w:rPr>
      </w:pPr>
      <w:r w:rsidRPr="00BF60BC">
        <w:rPr>
          <w:rFonts w:eastAsia="Times New Roman" w:cstheme="minorHAnsi"/>
          <w:b/>
          <w:iCs/>
          <w:sz w:val="24"/>
          <w:szCs w:val="24"/>
        </w:rPr>
        <w:lastRenderedPageBreak/>
        <w:t>CONTRIBUTOR’S STATEMENT</w:t>
      </w:r>
    </w:p>
    <w:p w14:paraId="5C7C7C09" w14:textId="24BA773B" w:rsidR="00F12228" w:rsidRPr="00BF60BC" w:rsidRDefault="00F12228" w:rsidP="00655F22">
      <w:pPr>
        <w:spacing w:after="0" w:line="360" w:lineRule="auto"/>
        <w:jc w:val="both"/>
        <w:rPr>
          <w:rFonts w:eastAsia="Times New Roman" w:cstheme="minorHAnsi"/>
          <w:b/>
          <w:iCs/>
          <w:sz w:val="24"/>
          <w:szCs w:val="24"/>
        </w:rPr>
      </w:pPr>
      <w:r w:rsidRPr="00BF60BC">
        <w:rPr>
          <w:rFonts w:eastAsia="Times New Roman" w:cstheme="minorHAnsi"/>
          <w:iCs/>
          <w:sz w:val="24"/>
          <w:szCs w:val="24"/>
        </w:rPr>
        <w:t>FS and PP conceptuali</w:t>
      </w:r>
      <w:r w:rsidR="006068CA">
        <w:rPr>
          <w:rFonts w:eastAsia="Times New Roman" w:cstheme="minorHAnsi"/>
          <w:iCs/>
          <w:sz w:val="24"/>
          <w:szCs w:val="24"/>
        </w:rPr>
        <w:t>z</w:t>
      </w:r>
      <w:r w:rsidRPr="00BF60BC">
        <w:rPr>
          <w:rFonts w:eastAsia="Times New Roman" w:cstheme="minorHAnsi"/>
          <w:iCs/>
          <w:sz w:val="24"/>
          <w:szCs w:val="24"/>
        </w:rPr>
        <w:t>ed the study with input from all co-authors. FS conducted the analyses, interpreted results, and drafted the paper with supervision and input from PP. All authors helped with result interpretation and contributed to revising and drafting the manuscript.</w:t>
      </w:r>
    </w:p>
    <w:p w14:paraId="02063FB8" w14:textId="5F774F76" w:rsidR="00612C1E" w:rsidRPr="00BF60BC" w:rsidRDefault="00612C1E" w:rsidP="00655F22">
      <w:pPr>
        <w:spacing w:after="0" w:line="360" w:lineRule="auto"/>
        <w:jc w:val="both"/>
        <w:rPr>
          <w:rFonts w:eastAsia="Times New Roman" w:cstheme="minorHAnsi"/>
          <w:iCs/>
          <w:sz w:val="24"/>
          <w:szCs w:val="24"/>
        </w:rPr>
      </w:pPr>
    </w:p>
    <w:p w14:paraId="7F3047B1" w14:textId="77777777" w:rsidR="00131A80" w:rsidRPr="00BF60BC" w:rsidRDefault="00131A80" w:rsidP="00655F22">
      <w:pPr>
        <w:spacing w:after="0" w:line="360" w:lineRule="auto"/>
        <w:jc w:val="both"/>
        <w:rPr>
          <w:rFonts w:eastAsia="Times New Roman" w:cstheme="minorHAnsi"/>
          <w:iCs/>
          <w:sz w:val="24"/>
          <w:szCs w:val="24"/>
        </w:rPr>
      </w:pPr>
    </w:p>
    <w:p w14:paraId="5D6EEEB9" w14:textId="77777777" w:rsidR="00612C1E" w:rsidRPr="00BF60BC" w:rsidRDefault="00612C1E" w:rsidP="00655F22">
      <w:pPr>
        <w:spacing w:after="0" w:line="360" w:lineRule="auto"/>
        <w:jc w:val="both"/>
        <w:rPr>
          <w:rFonts w:eastAsia="Times New Roman" w:cstheme="minorHAnsi"/>
          <w:b/>
          <w:iCs/>
          <w:sz w:val="24"/>
          <w:szCs w:val="24"/>
        </w:rPr>
      </w:pPr>
      <w:r w:rsidRPr="00BF60BC">
        <w:rPr>
          <w:rFonts w:eastAsia="Times New Roman" w:cstheme="minorHAnsi"/>
          <w:b/>
          <w:iCs/>
          <w:sz w:val="24"/>
          <w:szCs w:val="24"/>
        </w:rPr>
        <w:t>DATA SHARING</w:t>
      </w:r>
    </w:p>
    <w:p w14:paraId="0FE6640F" w14:textId="31FD74BC" w:rsidR="00612C1E" w:rsidRPr="00BF60BC" w:rsidRDefault="00612C1E" w:rsidP="00655F22">
      <w:pPr>
        <w:spacing w:after="0" w:line="360" w:lineRule="auto"/>
        <w:jc w:val="both"/>
        <w:rPr>
          <w:rFonts w:ascii="Times New Roman" w:eastAsia="Times New Roman" w:hAnsi="Times New Roman" w:cs="Times New Roman"/>
          <w:sz w:val="24"/>
          <w:szCs w:val="24"/>
        </w:rPr>
      </w:pPr>
      <w:r w:rsidRPr="00BF60BC">
        <w:rPr>
          <w:rFonts w:eastAsia="Times New Roman" w:cstheme="minorHAnsi"/>
          <w:iCs/>
          <w:sz w:val="24"/>
          <w:szCs w:val="24"/>
        </w:rPr>
        <w:t xml:space="preserve">Data for the British Cohort Study 1970 and Millennium Cohort Study are available </w:t>
      </w:r>
      <w:r w:rsidR="00BE1A44" w:rsidRPr="00BF60BC">
        <w:rPr>
          <w:rFonts w:eastAsia="Times New Roman" w:cstheme="minorHAnsi"/>
          <w:iCs/>
          <w:sz w:val="24"/>
          <w:szCs w:val="24"/>
        </w:rPr>
        <w:t xml:space="preserve">free of cost </w:t>
      </w:r>
      <w:r w:rsidR="00DF36E1" w:rsidRPr="00BF60BC">
        <w:rPr>
          <w:rFonts w:eastAsia="Times New Roman" w:cstheme="minorHAnsi"/>
          <w:iCs/>
          <w:sz w:val="24"/>
          <w:szCs w:val="24"/>
        </w:rPr>
        <w:t xml:space="preserve">to researchers </w:t>
      </w:r>
      <w:r w:rsidRPr="00BF60BC">
        <w:rPr>
          <w:rFonts w:eastAsia="Times New Roman" w:cstheme="minorHAnsi"/>
          <w:iCs/>
          <w:sz w:val="24"/>
          <w:szCs w:val="24"/>
        </w:rPr>
        <w:t>from the UK Data Service website</w:t>
      </w:r>
      <w:r w:rsidR="0058342F" w:rsidRPr="00BF60BC">
        <w:rPr>
          <w:rFonts w:eastAsia="Times New Roman" w:cstheme="minorHAnsi"/>
          <w:iCs/>
          <w:sz w:val="24"/>
          <w:szCs w:val="24"/>
        </w:rPr>
        <w:t xml:space="preserve"> (</w:t>
      </w:r>
      <w:hyperlink r:id="rId11" w:history="1">
        <w:r w:rsidR="0058342F" w:rsidRPr="00BF60BC">
          <w:rPr>
            <w:rStyle w:val="Hyperlink"/>
          </w:rPr>
          <w:t>https://www.ukdataservice.ac.uk/</w:t>
        </w:r>
      </w:hyperlink>
      <w:r w:rsidR="0058342F" w:rsidRPr="00BF60BC">
        <w:t>)</w:t>
      </w:r>
      <w:r w:rsidRPr="00BF60BC">
        <w:rPr>
          <w:rFonts w:eastAsia="Times New Roman" w:cstheme="minorHAnsi"/>
          <w:iCs/>
          <w:sz w:val="24"/>
          <w:szCs w:val="24"/>
        </w:rPr>
        <w:t xml:space="preserve">. </w:t>
      </w:r>
      <w:r w:rsidRPr="00BF60BC">
        <w:rPr>
          <w:rFonts w:ascii="Calibri" w:eastAsia="Times New Roman" w:hAnsi="Calibri" w:cs="Calibri"/>
          <w:color w:val="000000"/>
          <w:sz w:val="24"/>
          <w:szCs w:val="24"/>
        </w:rPr>
        <w:t>The ALSPAC study website (</w:t>
      </w:r>
      <w:hyperlink r:id="rId12" w:history="1">
        <w:r w:rsidRPr="00BF60BC">
          <w:rPr>
            <w:rFonts w:ascii="Calibri" w:eastAsia="Times New Roman" w:hAnsi="Calibri" w:cs="Calibri"/>
            <w:color w:val="0563C1"/>
            <w:sz w:val="24"/>
            <w:szCs w:val="24"/>
            <w:u w:val="single"/>
          </w:rPr>
          <w:t>www.bristol.ac.uk/alspac</w:t>
        </w:r>
      </w:hyperlink>
      <w:r w:rsidRPr="00BF60BC">
        <w:rPr>
          <w:rFonts w:ascii="Calibri" w:eastAsia="Times New Roman" w:hAnsi="Calibri" w:cs="Calibri"/>
          <w:color w:val="000000"/>
          <w:sz w:val="24"/>
          <w:szCs w:val="24"/>
        </w:rPr>
        <w:t xml:space="preserve">) provides more information on the sample and contains details of all the data that is available through a fully searchable data dictionary available at: </w:t>
      </w:r>
      <w:hyperlink r:id="rId13" w:history="1">
        <w:r w:rsidRPr="00BF60BC">
          <w:rPr>
            <w:rFonts w:ascii="Calibri" w:eastAsia="Times New Roman" w:hAnsi="Calibri" w:cs="Calibri"/>
            <w:color w:val="0563C1"/>
            <w:sz w:val="24"/>
            <w:szCs w:val="24"/>
            <w:u w:val="single"/>
          </w:rPr>
          <w:t>http://www.bris.ac.uk/alspac/researchers/data-access/data-dictionary/</w:t>
        </w:r>
      </w:hyperlink>
      <w:r w:rsidRPr="00BF60BC">
        <w:rPr>
          <w:rFonts w:ascii="Calibri" w:eastAsia="Times New Roman" w:hAnsi="Calibri" w:cs="Calibri"/>
          <w:color w:val="000000"/>
          <w:sz w:val="24"/>
          <w:szCs w:val="24"/>
        </w:rPr>
        <w:t>.</w:t>
      </w:r>
    </w:p>
    <w:p w14:paraId="21BE2BE9" w14:textId="77777777" w:rsidR="00F12228" w:rsidRPr="00BF60BC" w:rsidRDefault="00F12228" w:rsidP="00655F22">
      <w:pPr>
        <w:jc w:val="both"/>
        <w:rPr>
          <w:rFonts w:eastAsia="Times New Roman" w:cstheme="minorHAnsi"/>
          <w:b/>
          <w:bCs/>
          <w:iCs/>
          <w:sz w:val="24"/>
          <w:szCs w:val="24"/>
        </w:rPr>
      </w:pPr>
      <w:r w:rsidRPr="00BF60BC">
        <w:rPr>
          <w:rFonts w:eastAsia="Times New Roman" w:cstheme="minorHAnsi"/>
          <w:b/>
          <w:bCs/>
          <w:iCs/>
          <w:sz w:val="24"/>
          <w:szCs w:val="24"/>
        </w:rPr>
        <w:br w:type="page"/>
      </w:r>
    </w:p>
    <w:p w14:paraId="28D3768E" w14:textId="294045B0" w:rsidR="00EB03B9" w:rsidRPr="00BF60BC" w:rsidRDefault="00E83591" w:rsidP="00655F22">
      <w:pPr>
        <w:spacing w:after="0" w:line="360" w:lineRule="auto"/>
        <w:jc w:val="both"/>
        <w:rPr>
          <w:rFonts w:eastAsia="Times New Roman" w:cstheme="minorHAnsi"/>
          <w:iCs/>
          <w:sz w:val="24"/>
          <w:szCs w:val="24"/>
        </w:rPr>
      </w:pPr>
      <w:r w:rsidRPr="00BF60BC">
        <w:rPr>
          <w:rFonts w:eastAsia="Times New Roman" w:cstheme="minorHAnsi"/>
          <w:b/>
          <w:bCs/>
          <w:iCs/>
          <w:sz w:val="24"/>
          <w:szCs w:val="24"/>
        </w:rPr>
        <w:lastRenderedPageBreak/>
        <w:t>Bibliography</w:t>
      </w:r>
    </w:p>
    <w:p w14:paraId="6A37BF26" w14:textId="54D4B028" w:rsidR="00C5774B" w:rsidRPr="00C5774B" w:rsidRDefault="00E83591" w:rsidP="00C5774B">
      <w:pPr>
        <w:widowControl w:val="0"/>
        <w:autoSpaceDE w:val="0"/>
        <w:autoSpaceDN w:val="0"/>
        <w:adjustRightInd w:val="0"/>
        <w:spacing w:after="0" w:line="360" w:lineRule="auto"/>
        <w:ind w:left="640" w:hanging="640"/>
        <w:rPr>
          <w:rFonts w:ascii="Calibri" w:hAnsi="Calibri" w:cs="Calibri"/>
          <w:noProof/>
          <w:sz w:val="24"/>
          <w:szCs w:val="24"/>
        </w:rPr>
      </w:pPr>
      <w:r w:rsidRPr="00BF60BC">
        <w:rPr>
          <w:rFonts w:eastAsia="Times New Roman" w:cstheme="minorHAnsi"/>
          <w:iCs/>
          <w:sz w:val="24"/>
          <w:szCs w:val="24"/>
        </w:rPr>
        <w:fldChar w:fldCharType="begin" w:fldLock="1"/>
      </w:r>
      <w:r w:rsidRPr="00BF60BC">
        <w:rPr>
          <w:rFonts w:eastAsia="Times New Roman" w:cstheme="minorHAnsi"/>
          <w:iCs/>
          <w:sz w:val="24"/>
          <w:szCs w:val="24"/>
          <w:lang w:val="fr-FR"/>
        </w:rPr>
        <w:instrText xml:space="preserve">ADDIN Mendeley Bibliography CSL_BIBLIOGRAPHY </w:instrText>
      </w:r>
      <w:r w:rsidRPr="00BF60BC">
        <w:rPr>
          <w:rFonts w:eastAsia="Times New Roman" w:cstheme="minorHAnsi"/>
          <w:iCs/>
          <w:sz w:val="24"/>
          <w:szCs w:val="24"/>
        </w:rPr>
        <w:fldChar w:fldCharType="separate"/>
      </w:r>
      <w:r w:rsidR="00C5774B" w:rsidRPr="00C5774B">
        <w:rPr>
          <w:rFonts w:ascii="Calibri" w:hAnsi="Calibri" w:cs="Calibri"/>
          <w:noProof/>
          <w:sz w:val="24"/>
          <w:szCs w:val="24"/>
        </w:rPr>
        <w:t xml:space="preserve">1. </w:t>
      </w:r>
      <w:r w:rsidR="00C5774B" w:rsidRPr="00C5774B">
        <w:rPr>
          <w:rFonts w:ascii="Calibri" w:hAnsi="Calibri" w:cs="Calibri"/>
          <w:noProof/>
          <w:sz w:val="24"/>
          <w:szCs w:val="24"/>
        </w:rPr>
        <w:tab/>
        <w:t xml:space="preserve">Johnson W, Li L, Kuh D, Hardy R. How Has the Age-Related Process of Overweight or Obesity Development Changed over Time? Co-ordinated Analyses of Individual Participant Data from Five United Kingdom Birth Cohorts. </w:t>
      </w:r>
      <w:r w:rsidR="00C5774B" w:rsidRPr="00C5774B">
        <w:rPr>
          <w:rFonts w:ascii="Calibri" w:hAnsi="Calibri" w:cs="Calibri"/>
          <w:i/>
          <w:iCs/>
          <w:noProof/>
          <w:sz w:val="24"/>
          <w:szCs w:val="24"/>
        </w:rPr>
        <w:t>PLoS Med</w:t>
      </w:r>
      <w:r w:rsidR="00C5774B" w:rsidRPr="00C5774B">
        <w:rPr>
          <w:rFonts w:ascii="Calibri" w:hAnsi="Calibri" w:cs="Calibri"/>
          <w:noProof/>
          <w:sz w:val="24"/>
          <w:szCs w:val="24"/>
        </w:rPr>
        <w:t>. 2015. doi:10.1371/journal.pmed.1001828</w:t>
      </w:r>
    </w:p>
    <w:p w14:paraId="77ACF2FD" w14:textId="77777777" w:rsidR="00C5774B" w:rsidRPr="00C5774B" w:rsidRDefault="00C5774B" w:rsidP="00C5774B">
      <w:pPr>
        <w:widowControl w:val="0"/>
        <w:autoSpaceDE w:val="0"/>
        <w:autoSpaceDN w:val="0"/>
        <w:adjustRightInd w:val="0"/>
        <w:spacing w:after="0" w:line="360" w:lineRule="auto"/>
        <w:ind w:left="640" w:hanging="640"/>
        <w:rPr>
          <w:rFonts w:ascii="Calibri" w:hAnsi="Calibri" w:cs="Calibri"/>
          <w:noProof/>
          <w:sz w:val="24"/>
          <w:szCs w:val="24"/>
        </w:rPr>
      </w:pPr>
      <w:r w:rsidRPr="00C5774B">
        <w:rPr>
          <w:rFonts w:ascii="Calibri" w:hAnsi="Calibri" w:cs="Calibri"/>
          <w:noProof/>
          <w:sz w:val="24"/>
          <w:szCs w:val="24"/>
        </w:rPr>
        <w:t xml:space="preserve">2. </w:t>
      </w:r>
      <w:r w:rsidRPr="00C5774B">
        <w:rPr>
          <w:rFonts w:ascii="Calibri" w:hAnsi="Calibri" w:cs="Calibri"/>
          <w:noProof/>
          <w:sz w:val="24"/>
          <w:szCs w:val="24"/>
        </w:rPr>
        <w:tab/>
        <w:t xml:space="preserve">NHS Digital. </w:t>
      </w:r>
      <w:r w:rsidRPr="00C5774B">
        <w:rPr>
          <w:rFonts w:ascii="Calibri" w:hAnsi="Calibri" w:cs="Calibri"/>
          <w:i/>
          <w:iCs/>
          <w:noProof/>
          <w:sz w:val="24"/>
          <w:szCs w:val="24"/>
        </w:rPr>
        <w:t>Health Survey for England 2017 Adult and Child Overweight and Obesity</w:t>
      </w:r>
      <w:r w:rsidRPr="00C5774B">
        <w:rPr>
          <w:rFonts w:ascii="Calibri" w:hAnsi="Calibri" w:cs="Calibri"/>
          <w:noProof/>
          <w:sz w:val="24"/>
          <w:szCs w:val="24"/>
        </w:rPr>
        <w:t>.; 2018.</w:t>
      </w:r>
    </w:p>
    <w:p w14:paraId="40F2BA1D" w14:textId="77777777" w:rsidR="00C5774B" w:rsidRPr="00C5774B" w:rsidRDefault="00C5774B" w:rsidP="00C5774B">
      <w:pPr>
        <w:widowControl w:val="0"/>
        <w:autoSpaceDE w:val="0"/>
        <w:autoSpaceDN w:val="0"/>
        <w:adjustRightInd w:val="0"/>
        <w:spacing w:after="0" w:line="360" w:lineRule="auto"/>
        <w:ind w:left="640" w:hanging="640"/>
        <w:rPr>
          <w:rFonts w:ascii="Calibri" w:hAnsi="Calibri" w:cs="Calibri"/>
          <w:noProof/>
          <w:sz w:val="24"/>
          <w:szCs w:val="24"/>
        </w:rPr>
      </w:pPr>
      <w:r w:rsidRPr="00C5774B">
        <w:rPr>
          <w:rFonts w:ascii="Calibri" w:hAnsi="Calibri" w:cs="Calibri"/>
          <w:noProof/>
          <w:sz w:val="24"/>
          <w:szCs w:val="24"/>
        </w:rPr>
        <w:t xml:space="preserve">3. </w:t>
      </w:r>
      <w:r w:rsidRPr="00C5774B">
        <w:rPr>
          <w:rFonts w:ascii="Calibri" w:hAnsi="Calibri" w:cs="Calibri"/>
          <w:noProof/>
          <w:sz w:val="24"/>
          <w:szCs w:val="24"/>
        </w:rPr>
        <w:tab/>
        <w:t xml:space="preserve">HM Government. </w:t>
      </w:r>
      <w:r w:rsidRPr="00C5774B">
        <w:rPr>
          <w:rFonts w:ascii="Calibri" w:hAnsi="Calibri" w:cs="Calibri"/>
          <w:i/>
          <w:iCs/>
          <w:noProof/>
          <w:sz w:val="24"/>
          <w:szCs w:val="24"/>
        </w:rPr>
        <w:t>Childhood Obesity: A Plan for Action</w:t>
      </w:r>
      <w:r w:rsidRPr="00C5774B">
        <w:rPr>
          <w:rFonts w:ascii="Calibri" w:hAnsi="Calibri" w:cs="Calibri"/>
          <w:noProof/>
          <w:sz w:val="24"/>
          <w:szCs w:val="24"/>
        </w:rPr>
        <w:t>.; 2018.</w:t>
      </w:r>
    </w:p>
    <w:p w14:paraId="3ADABB15" w14:textId="77777777" w:rsidR="00C5774B" w:rsidRPr="00C5774B" w:rsidRDefault="00C5774B" w:rsidP="00C5774B">
      <w:pPr>
        <w:widowControl w:val="0"/>
        <w:autoSpaceDE w:val="0"/>
        <w:autoSpaceDN w:val="0"/>
        <w:adjustRightInd w:val="0"/>
        <w:spacing w:after="0" w:line="360" w:lineRule="auto"/>
        <w:ind w:left="640" w:hanging="640"/>
        <w:rPr>
          <w:rFonts w:ascii="Calibri" w:hAnsi="Calibri" w:cs="Calibri"/>
          <w:noProof/>
          <w:sz w:val="24"/>
          <w:szCs w:val="24"/>
        </w:rPr>
      </w:pPr>
      <w:r w:rsidRPr="00C5774B">
        <w:rPr>
          <w:rFonts w:ascii="Calibri" w:hAnsi="Calibri" w:cs="Calibri"/>
          <w:noProof/>
          <w:sz w:val="24"/>
          <w:szCs w:val="24"/>
        </w:rPr>
        <w:t xml:space="preserve">4. </w:t>
      </w:r>
      <w:r w:rsidRPr="00C5774B">
        <w:rPr>
          <w:rFonts w:ascii="Calibri" w:hAnsi="Calibri" w:cs="Calibri"/>
          <w:noProof/>
          <w:sz w:val="24"/>
          <w:szCs w:val="24"/>
        </w:rPr>
        <w:tab/>
        <w:t xml:space="preserve">HM Government. </w:t>
      </w:r>
      <w:r w:rsidRPr="00C5774B">
        <w:rPr>
          <w:rFonts w:ascii="Calibri" w:hAnsi="Calibri" w:cs="Calibri"/>
          <w:i/>
          <w:iCs/>
          <w:noProof/>
          <w:sz w:val="24"/>
          <w:szCs w:val="24"/>
        </w:rPr>
        <w:t>Sporting Future: A New Strategy for an Active Nation</w:t>
      </w:r>
      <w:r w:rsidRPr="00C5774B">
        <w:rPr>
          <w:rFonts w:ascii="Calibri" w:hAnsi="Calibri" w:cs="Calibri"/>
          <w:noProof/>
          <w:sz w:val="24"/>
          <w:szCs w:val="24"/>
        </w:rPr>
        <w:t>.; 2015.</w:t>
      </w:r>
    </w:p>
    <w:p w14:paraId="7447F895" w14:textId="77777777" w:rsidR="00C5774B" w:rsidRPr="00C5774B" w:rsidRDefault="00C5774B" w:rsidP="00C5774B">
      <w:pPr>
        <w:widowControl w:val="0"/>
        <w:autoSpaceDE w:val="0"/>
        <w:autoSpaceDN w:val="0"/>
        <w:adjustRightInd w:val="0"/>
        <w:spacing w:after="0" w:line="360" w:lineRule="auto"/>
        <w:ind w:left="640" w:hanging="640"/>
        <w:rPr>
          <w:rFonts w:ascii="Calibri" w:hAnsi="Calibri" w:cs="Calibri"/>
          <w:noProof/>
          <w:sz w:val="24"/>
          <w:szCs w:val="24"/>
        </w:rPr>
      </w:pPr>
      <w:r w:rsidRPr="00C5774B">
        <w:rPr>
          <w:rFonts w:ascii="Calibri" w:hAnsi="Calibri" w:cs="Calibri"/>
          <w:noProof/>
          <w:sz w:val="24"/>
          <w:szCs w:val="24"/>
        </w:rPr>
        <w:t xml:space="preserve">5. </w:t>
      </w:r>
      <w:r w:rsidRPr="00C5774B">
        <w:rPr>
          <w:rFonts w:ascii="Calibri" w:hAnsi="Calibri" w:cs="Calibri"/>
          <w:noProof/>
          <w:sz w:val="24"/>
          <w:szCs w:val="24"/>
        </w:rPr>
        <w:tab/>
        <w:t xml:space="preserve">Neumark-Sztainer D, Story M, Hannan PJ, Perry CL, Irving LM. Weight-related concerns and behaviors among overweight and nonoverweight adolescents: implications for preventing weight-related disorders. </w:t>
      </w:r>
      <w:r w:rsidRPr="00C5774B">
        <w:rPr>
          <w:rFonts w:ascii="Calibri" w:hAnsi="Calibri" w:cs="Calibri"/>
          <w:i/>
          <w:iCs/>
          <w:noProof/>
          <w:sz w:val="24"/>
          <w:szCs w:val="24"/>
        </w:rPr>
        <w:t>Arch Pediatr Adolesc Med</w:t>
      </w:r>
      <w:r w:rsidRPr="00C5774B">
        <w:rPr>
          <w:rFonts w:ascii="Calibri" w:hAnsi="Calibri" w:cs="Calibri"/>
          <w:noProof/>
          <w:sz w:val="24"/>
          <w:szCs w:val="24"/>
        </w:rPr>
        <w:t>. 2002;156(2):171. doi:10.1001/archpedi.156.2.171</w:t>
      </w:r>
    </w:p>
    <w:p w14:paraId="081851CF" w14:textId="77777777" w:rsidR="00C5774B" w:rsidRPr="00C5774B" w:rsidRDefault="00C5774B" w:rsidP="00C5774B">
      <w:pPr>
        <w:widowControl w:val="0"/>
        <w:autoSpaceDE w:val="0"/>
        <w:autoSpaceDN w:val="0"/>
        <w:adjustRightInd w:val="0"/>
        <w:spacing w:after="0" w:line="360" w:lineRule="auto"/>
        <w:ind w:left="640" w:hanging="640"/>
        <w:rPr>
          <w:rFonts w:ascii="Calibri" w:hAnsi="Calibri" w:cs="Calibri"/>
          <w:noProof/>
          <w:sz w:val="24"/>
          <w:szCs w:val="24"/>
        </w:rPr>
      </w:pPr>
      <w:r w:rsidRPr="00C5774B">
        <w:rPr>
          <w:rFonts w:ascii="Calibri" w:hAnsi="Calibri" w:cs="Calibri"/>
          <w:noProof/>
          <w:sz w:val="24"/>
          <w:szCs w:val="24"/>
        </w:rPr>
        <w:t xml:space="preserve">6. </w:t>
      </w:r>
      <w:r w:rsidRPr="00C5774B">
        <w:rPr>
          <w:rFonts w:ascii="Calibri" w:hAnsi="Calibri" w:cs="Calibri"/>
          <w:noProof/>
          <w:sz w:val="24"/>
          <w:szCs w:val="24"/>
        </w:rPr>
        <w:tab/>
        <w:t xml:space="preserve">Brown T, Moore TH, Hooper L, et al. Interventions for preventing obesity in children. </w:t>
      </w:r>
      <w:r w:rsidRPr="00C5774B">
        <w:rPr>
          <w:rFonts w:ascii="Calibri" w:hAnsi="Calibri" w:cs="Calibri"/>
          <w:i/>
          <w:iCs/>
          <w:noProof/>
          <w:sz w:val="24"/>
          <w:szCs w:val="24"/>
        </w:rPr>
        <w:t>Cochrane Database Syst Rev</w:t>
      </w:r>
      <w:r w:rsidRPr="00C5774B">
        <w:rPr>
          <w:rFonts w:ascii="Calibri" w:hAnsi="Calibri" w:cs="Calibri"/>
          <w:noProof/>
          <w:sz w:val="24"/>
          <w:szCs w:val="24"/>
        </w:rPr>
        <w:t>. 2019;(7). doi:10.1002/14651858.CD001871.pub4</w:t>
      </w:r>
    </w:p>
    <w:p w14:paraId="28073869" w14:textId="77777777" w:rsidR="00C5774B" w:rsidRPr="00C5774B" w:rsidRDefault="00C5774B" w:rsidP="00C5774B">
      <w:pPr>
        <w:widowControl w:val="0"/>
        <w:autoSpaceDE w:val="0"/>
        <w:autoSpaceDN w:val="0"/>
        <w:adjustRightInd w:val="0"/>
        <w:spacing w:after="0" w:line="360" w:lineRule="auto"/>
        <w:ind w:left="640" w:hanging="640"/>
        <w:rPr>
          <w:rFonts w:ascii="Calibri" w:hAnsi="Calibri" w:cs="Calibri"/>
          <w:noProof/>
          <w:sz w:val="24"/>
          <w:szCs w:val="24"/>
        </w:rPr>
      </w:pPr>
      <w:r w:rsidRPr="00C5774B">
        <w:rPr>
          <w:rFonts w:ascii="Calibri" w:hAnsi="Calibri" w:cs="Calibri"/>
          <w:noProof/>
          <w:sz w:val="24"/>
          <w:szCs w:val="24"/>
        </w:rPr>
        <w:t xml:space="preserve">7. </w:t>
      </w:r>
      <w:r w:rsidRPr="00C5774B">
        <w:rPr>
          <w:rFonts w:ascii="Calibri" w:hAnsi="Calibri" w:cs="Calibri"/>
          <w:noProof/>
          <w:sz w:val="24"/>
          <w:szCs w:val="24"/>
        </w:rPr>
        <w:tab/>
        <w:t xml:space="preserve">Stice E, Gau JM, Rohde P, Shaw H. Risk factors that predict future onset of each DSM–5 eating disorder: Predictive specificity in high-risk adolescent females. </w:t>
      </w:r>
      <w:r w:rsidRPr="00C5774B">
        <w:rPr>
          <w:rFonts w:ascii="Calibri" w:hAnsi="Calibri" w:cs="Calibri"/>
          <w:i/>
          <w:iCs/>
          <w:noProof/>
          <w:sz w:val="24"/>
          <w:szCs w:val="24"/>
        </w:rPr>
        <w:t>J Abnorm Psychol</w:t>
      </w:r>
      <w:r w:rsidRPr="00C5774B">
        <w:rPr>
          <w:rFonts w:ascii="Calibri" w:hAnsi="Calibri" w:cs="Calibri"/>
          <w:noProof/>
          <w:sz w:val="24"/>
          <w:szCs w:val="24"/>
        </w:rPr>
        <w:t>. 2017;126(1):38-51. doi:10.1037/abn0000219</w:t>
      </w:r>
    </w:p>
    <w:p w14:paraId="380BCF30" w14:textId="77777777" w:rsidR="00C5774B" w:rsidRPr="00C5774B" w:rsidRDefault="00C5774B" w:rsidP="00C5774B">
      <w:pPr>
        <w:widowControl w:val="0"/>
        <w:autoSpaceDE w:val="0"/>
        <w:autoSpaceDN w:val="0"/>
        <w:adjustRightInd w:val="0"/>
        <w:spacing w:after="0" w:line="360" w:lineRule="auto"/>
        <w:ind w:left="640" w:hanging="640"/>
        <w:rPr>
          <w:rFonts w:ascii="Calibri" w:hAnsi="Calibri" w:cs="Calibri"/>
          <w:noProof/>
          <w:sz w:val="24"/>
          <w:szCs w:val="24"/>
        </w:rPr>
      </w:pPr>
      <w:r w:rsidRPr="00C5774B">
        <w:rPr>
          <w:rFonts w:ascii="Calibri" w:hAnsi="Calibri" w:cs="Calibri"/>
          <w:noProof/>
          <w:sz w:val="24"/>
          <w:szCs w:val="24"/>
        </w:rPr>
        <w:t xml:space="preserve">8. </w:t>
      </w:r>
      <w:r w:rsidRPr="00C5774B">
        <w:rPr>
          <w:rFonts w:ascii="Calibri" w:hAnsi="Calibri" w:cs="Calibri"/>
          <w:noProof/>
          <w:sz w:val="24"/>
          <w:szCs w:val="24"/>
        </w:rPr>
        <w:tab/>
        <w:t xml:space="preserve">Kotler LA, Cohen P, Davies M, Pine DS, Walsh BT. Longitudinal relationships between childhood, adolescent, and adult eating disorders. </w:t>
      </w:r>
      <w:r w:rsidRPr="00C5774B">
        <w:rPr>
          <w:rFonts w:ascii="Calibri" w:hAnsi="Calibri" w:cs="Calibri"/>
          <w:i/>
          <w:iCs/>
          <w:noProof/>
          <w:sz w:val="24"/>
          <w:szCs w:val="24"/>
        </w:rPr>
        <w:t>J Am Acad Child Adolesc Psychiatry</w:t>
      </w:r>
      <w:r w:rsidRPr="00C5774B">
        <w:rPr>
          <w:rFonts w:ascii="Calibri" w:hAnsi="Calibri" w:cs="Calibri"/>
          <w:noProof/>
          <w:sz w:val="24"/>
          <w:szCs w:val="24"/>
        </w:rPr>
        <w:t>. 2001;40(12):1434-1440. doi:10.1097/00004583-200112000-00014</w:t>
      </w:r>
    </w:p>
    <w:p w14:paraId="3818435F" w14:textId="77777777" w:rsidR="00C5774B" w:rsidRPr="00C5774B" w:rsidRDefault="00C5774B" w:rsidP="00C5774B">
      <w:pPr>
        <w:widowControl w:val="0"/>
        <w:autoSpaceDE w:val="0"/>
        <w:autoSpaceDN w:val="0"/>
        <w:adjustRightInd w:val="0"/>
        <w:spacing w:after="0" w:line="360" w:lineRule="auto"/>
        <w:ind w:left="640" w:hanging="640"/>
        <w:rPr>
          <w:rFonts w:ascii="Calibri" w:hAnsi="Calibri" w:cs="Calibri"/>
          <w:noProof/>
          <w:sz w:val="24"/>
          <w:szCs w:val="24"/>
        </w:rPr>
      </w:pPr>
      <w:r w:rsidRPr="00C5774B">
        <w:rPr>
          <w:rFonts w:ascii="Calibri" w:hAnsi="Calibri" w:cs="Calibri"/>
          <w:noProof/>
          <w:sz w:val="24"/>
          <w:szCs w:val="24"/>
        </w:rPr>
        <w:t xml:space="preserve">9. </w:t>
      </w:r>
      <w:r w:rsidRPr="00C5774B">
        <w:rPr>
          <w:rFonts w:ascii="Calibri" w:hAnsi="Calibri" w:cs="Calibri"/>
          <w:noProof/>
          <w:sz w:val="24"/>
          <w:szCs w:val="24"/>
        </w:rPr>
        <w:tab/>
        <w:t xml:space="preserve">Rojo L, Livianos L, Conesa L, et al. Epidemiology and risk factors of eating disorders: A two-stage epidemiologic study in a Spanish population aged 12-18 years. </w:t>
      </w:r>
      <w:r w:rsidRPr="00C5774B">
        <w:rPr>
          <w:rFonts w:ascii="Calibri" w:hAnsi="Calibri" w:cs="Calibri"/>
          <w:i/>
          <w:iCs/>
          <w:noProof/>
          <w:sz w:val="24"/>
          <w:szCs w:val="24"/>
        </w:rPr>
        <w:t>Int J Eat Disord</w:t>
      </w:r>
      <w:r w:rsidRPr="00C5774B">
        <w:rPr>
          <w:rFonts w:ascii="Calibri" w:hAnsi="Calibri" w:cs="Calibri"/>
          <w:noProof/>
          <w:sz w:val="24"/>
          <w:szCs w:val="24"/>
        </w:rPr>
        <w:t>. 2003;34(3):281-291. doi:10.1002/eat.10179</w:t>
      </w:r>
    </w:p>
    <w:p w14:paraId="15DD72AC" w14:textId="77777777" w:rsidR="00C5774B" w:rsidRPr="00C5774B" w:rsidRDefault="00C5774B" w:rsidP="00C5774B">
      <w:pPr>
        <w:widowControl w:val="0"/>
        <w:autoSpaceDE w:val="0"/>
        <w:autoSpaceDN w:val="0"/>
        <w:adjustRightInd w:val="0"/>
        <w:spacing w:after="0" w:line="360" w:lineRule="auto"/>
        <w:ind w:left="640" w:hanging="640"/>
        <w:rPr>
          <w:rFonts w:ascii="Calibri" w:hAnsi="Calibri" w:cs="Calibri"/>
          <w:noProof/>
          <w:sz w:val="24"/>
          <w:szCs w:val="24"/>
        </w:rPr>
      </w:pPr>
      <w:r w:rsidRPr="00C5774B">
        <w:rPr>
          <w:rFonts w:ascii="Calibri" w:hAnsi="Calibri" w:cs="Calibri"/>
          <w:noProof/>
          <w:sz w:val="24"/>
          <w:szCs w:val="24"/>
        </w:rPr>
        <w:t xml:space="preserve">10. </w:t>
      </w:r>
      <w:r w:rsidRPr="00C5774B">
        <w:rPr>
          <w:rFonts w:ascii="Calibri" w:hAnsi="Calibri" w:cs="Calibri"/>
          <w:noProof/>
          <w:sz w:val="24"/>
          <w:szCs w:val="24"/>
        </w:rPr>
        <w:tab/>
        <w:t xml:space="preserve">Sharpe H, Patalay P, Choo TH, et al. Bidirectional associations between body dissatisfaction and depressive symptoms from adolescence through early adulthood. </w:t>
      </w:r>
      <w:r w:rsidRPr="00C5774B">
        <w:rPr>
          <w:rFonts w:ascii="Calibri" w:hAnsi="Calibri" w:cs="Calibri"/>
          <w:i/>
          <w:iCs/>
          <w:noProof/>
          <w:sz w:val="24"/>
          <w:szCs w:val="24"/>
        </w:rPr>
        <w:t>Dev Psychopathol</w:t>
      </w:r>
      <w:r w:rsidRPr="00C5774B">
        <w:rPr>
          <w:rFonts w:ascii="Calibri" w:hAnsi="Calibri" w:cs="Calibri"/>
          <w:noProof/>
          <w:sz w:val="24"/>
          <w:szCs w:val="24"/>
        </w:rPr>
        <w:t>. 2018. doi:10.1017/S0954579417001663</w:t>
      </w:r>
    </w:p>
    <w:p w14:paraId="6B84FE2F" w14:textId="77777777" w:rsidR="00C5774B" w:rsidRPr="00C5774B" w:rsidRDefault="00C5774B" w:rsidP="00C5774B">
      <w:pPr>
        <w:widowControl w:val="0"/>
        <w:autoSpaceDE w:val="0"/>
        <w:autoSpaceDN w:val="0"/>
        <w:adjustRightInd w:val="0"/>
        <w:spacing w:after="0" w:line="360" w:lineRule="auto"/>
        <w:ind w:left="640" w:hanging="640"/>
        <w:rPr>
          <w:rFonts w:ascii="Calibri" w:hAnsi="Calibri" w:cs="Calibri"/>
          <w:noProof/>
          <w:sz w:val="24"/>
          <w:szCs w:val="24"/>
        </w:rPr>
      </w:pPr>
      <w:r w:rsidRPr="00C5774B">
        <w:rPr>
          <w:rFonts w:ascii="Calibri" w:hAnsi="Calibri" w:cs="Calibri"/>
          <w:noProof/>
          <w:sz w:val="24"/>
          <w:szCs w:val="24"/>
        </w:rPr>
        <w:t xml:space="preserve">11. </w:t>
      </w:r>
      <w:r w:rsidRPr="00C5774B">
        <w:rPr>
          <w:rFonts w:ascii="Calibri" w:hAnsi="Calibri" w:cs="Calibri"/>
          <w:noProof/>
          <w:sz w:val="24"/>
          <w:szCs w:val="24"/>
        </w:rPr>
        <w:tab/>
        <w:t xml:space="preserve">Neumark-Sztainer D, Wall M, Larson NI, Eisenberg ME, Loth K. Dieting and Disordered Eating Behaviors from Adolescence to Young Adulthood: Findings from a 10-Year Longitudinal Study. </w:t>
      </w:r>
      <w:r w:rsidRPr="00C5774B">
        <w:rPr>
          <w:rFonts w:ascii="Calibri" w:hAnsi="Calibri" w:cs="Calibri"/>
          <w:i/>
          <w:iCs/>
          <w:noProof/>
          <w:sz w:val="24"/>
          <w:szCs w:val="24"/>
        </w:rPr>
        <w:t>J Am Diet Assoc</w:t>
      </w:r>
      <w:r w:rsidRPr="00C5774B">
        <w:rPr>
          <w:rFonts w:ascii="Calibri" w:hAnsi="Calibri" w:cs="Calibri"/>
          <w:noProof/>
          <w:sz w:val="24"/>
          <w:szCs w:val="24"/>
        </w:rPr>
        <w:t>. 2011;111(7):1004-1011.</w:t>
      </w:r>
    </w:p>
    <w:p w14:paraId="681838C6" w14:textId="77777777" w:rsidR="00C5774B" w:rsidRPr="00C5774B" w:rsidRDefault="00C5774B" w:rsidP="00C5774B">
      <w:pPr>
        <w:widowControl w:val="0"/>
        <w:autoSpaceDE w:val="0"/>
        <w:autoSpaceDN w:val="0"/>
        <w:adjustRightInd w:val="0"/>
        <w:spacing w:after="0" w:line="360" w:lineRule="auto"/>
        <w:ind w:left="640" w:hanging="640"/>
        <w:rPr>
          <w:rFonts w:ascii="Calibri" w:hAnsi="Calibri" w:cs="Calibri"/>
          <w:noProof/>
          <w:sz w:val="24"/>
          <w:szCs w:val="24"/>
        </w:rPr>
      </w:pPr>
      <w:r w:rsidRPr="00C5774B">
        <w:rPr>
          <w:rFonts w:ascii="Calibri" w:hAnsi="Calibri" w:cs="Calibri"/>
          <w:noProof/>
          <w:sz w:val="24"/>
          <w:szCs w:val="24"/>
        </w:rPr>
        <w:t xml:space="preserve">12. </w:t>
      </w:r>
      <w:r w:rsidRPr="00C5774B">
        <w:rPr>
          <w:rFonts w:ascii="Calibri" w:hAnsi="Calibri" w:cs="Calibri"/>
          <w:noProof/>
          <w:sz w:val="24"/>
          <w:szCs w:val="24"/>
        </w:rPr>
        <w:tab/>
        <w:t xml:space="preserve">Micali N, Solmi F, Horton NJ, et al. Adolescent Eating Disorders Predict Psychiatric, High-Risk Behaviors and Weight Outcomes in Young Adulthood. </w:t>
      </w:r>
      <w:r w:rsidRPr="00C5774B">
        <w:rPr>
          <w:rFonts w:ascii="Calibri" w:hAnsi="Calibri" w:cs="Calibri"/>
          <w:i/>
          <w:iCs/>
          <w:noProof/>
          <w:sz w:val="24"/>
          <w:szCs w:val="24"/>
        </w:rPr>
        <w:t xml:space="preserve">J Am Acad Child </w:t>
      </w:r>
      <w:r w:rsidRPr="00C5774B">
        <w:rPr>
          <w:rFonts w:ascii="Calibri" w:hAnsi="Calibri" w:cs="Calibri"/>
          <w:i/>
          <w:iCs/>
          <w:noProof/>
          <w:sz w:val="24"/>
          <w:szCs w:val="24"/>
        </w:rPr>
        <w:lastRenderedPageBreak/>
        <w:t>Adolesc Psychiatry</w:t>
      </w:r>
      <w:r w:rsidRPr="00C5774B">
        <w:rPr>
          <w:rFonts w:ascii="Calibri" w:hAnsi="Calibri" w:cs="Calibri"/>
          <w:noProof/>
          <w:sz w:val="24"/>
          <w:szCs w:val="24"/>
        </w:rPr>
        <w:t>. 2015;54(8). doi:10.1016/j.jaac.2015.05.009</w:t>
      </w:r>
    </w:p>
    <w:p w14:paraId="0446ECC2" w14:textId="77777777" w:rsidR="00C5774B" w:rsidRPr="00C5774B" w:rsidRDefault="00C5774B" w:rsidP="00C5774B">
      <w:pPr>
        <w:widowControl w:val="0"/>
        <w:autoSpaceDE w:val="0"/>
        <w:autoSpaceDN w:val="0"/>
        <w:adjustRightInd w:val="0"/>
        <w:spacing w:after="0" w:line="360" w:lineRule="auto"/>
        <w:ind w:left="640" w:hanging="640"/>
        <w:rPr>
          <w:rFonts w:ascii="Calibri" w:hAnsi="Calibri" w:cs="Calibri"/>
          <w:noProof/>
          <w:sz w:val="24"/>
          <w:szCs w:val="24"/>
        </w:rPr>
      </w:pPr>
      <w:r w:rsidRPr="00C5774B">
        <w:rPr>
          <w:rFonts w:ascii="Calibri" w:hAnsi="Calibri" w:cs="Calibri"/>
          <w:noProof/>
          <w:sz w:val="24"/>
          <w:szCs w:val="24"/>
        </w:rPr>
        <w:t xml:space="preserve">13. </w:t>
      </w:r>
      <w:r w:rsidRPr="00C5774B">
        <w:rPr>
          <w:rFonts w:ascii="Calibri" w:hAnsi="Calibri" w:cs="Calibri"/>
          <w:noProof/>
          <w:sz w:val="24"/>
          <w:szCs w:val="24"/>
        </w:rPr>
        <w:tab/>
        <w:t xml:space="preserve">Conley A, Boardman JD. Weight overestimation as an indicator of disordered eating behaviors among young women in the United States. </w:t>
      </w:r>
      <w:r w:rsidRPr="00C5774B">
        <w:rPr>
          <w:rFonts w:ascii="Calibri" w:hAnsi="Calibri" w:cs="Calibri"/>
          <w:i/>
          <w:iCs/>
          <w:noProof/>
          <w:sz w:val="24"/>
          <w:szCs w:val="24"/>
        </w:rPr>
        <w:t>Int J Eat Disord</w:t>
      </w:r>
      <w:r w:rsidRPr="00C5774B">
        <w:rPr>
          <w:rFonts w:ascii="Calibri" w:hAnsi="Calibri" w:cs="Calibri"/>
          <w:noProof/>
          <w:sz w:val="24"/>
          <w:szCs w:val="24"/>
        </w:rPr>
        <w:t>. 2007;40(5):441-445. doi:10.1002/eat.20383</w:t>
      </w:r>
    </w:p>
    <w:p w14:paraId="2FF58660" w14:textId="77777777" w:rsidR="00C5774B" w:rsidRPr="00C5774B" w:rsidRDefault="00C5774B" w:rsidP="00C5774B">
      <w:pPr>
        <w:widowControl w:val="0"/>
        <w:autoSpaceDE w:val="0"/>
        <w:autoSpaceDN w:val="0"/>
        <w:adjustRightInd w:val="0"/>
        <w:spacing w:after="0" w:line="360" w:lineRule="auto"/>
        <w:ind w:left="640" w:hanging="640"/>
        <w:rPr>
          <w:rFonts w:ascii="Calibri" w:hAnsi="Calibri" w:cs="Calibri"/>
          <w:noProof/>
          <w:sz w:val="24"/>
          <w:szCs w:val="24"/>
        </w:rPr>
      </w:pPr>
      <w:r w:rsidRPr="00C5774B">
        <w:rPr>
          <w:rFonts w:ascii="Calibri" w:hAnsi="Calibri" w:cs="Calibri"/>
          <w:noProof/>
          <w:sz w:val="24"/>
          <w:szCs w:val="24"/>
        </w:rPr>
        <w:t xml:space="preserve">14. </w:t>
      </w:r>
      <w:r w:rsidRPr="00C5774B">
        <w:rPr>
          <w:rFonts w:ascii="Calibri" w:hAnsi="Calibri" w:cs="Calibri"/>
          <w:noProof/>
          <w:sz w:val="24"/>
          <w:szCs w:val="24"/>
        </w:rPr>
        <w:tab/>
        <w:t>UK Parliament. Call for evidence Changing the perfect picture: an inquiry into body image. https://committees.parliament.uk/call-for-evidence/93/changing-the-perfect-picture-an-inquiry-into-body-image/. Published 2020. Accessed April 10, 2020.</w:t>
      </w:r>
    </w:p>
    <w:p w14:paraId="7930D7AE" w14:textId="77777777" w:rsidR="00C5774B" w:rsidRPr="00C5774B" w:rsidRDefault="00C5774B" w:rsidP="00C5774B">
      <w:pPr>
        <w:widowControl w:val="0"/>
        <w:autoSpaceDE w:val="0"/>
        <w:autoSpaceDN w:val="0"/>
        <w:adjustRightInd w:val="0"/>
        <w:spacing w:after="0" w:line="360" w:lineRule="auto"/>
        <w:ind w:left="640" w:hanging="640"/>
        <w:rPr>
          <w:rFonts w:ascii="Calibri" w:hAnsi="Calibri" w:cs="Calibri"/>
          <w:noProof/>
          <w:sz w:val="24"/>
          <w:szCs w:val="24"/>
        </w:rPr>
      </w:pPr>
      <w:r w:rsidRPr="00C5774B">
        <w:rPr>
          <w:rFonts w:ascii="Calibri" w:hAnsi="Calibri" w:cs="Calibri"/>
          <w:noProof/>
          <w:sz w:val="24"/>
          <w:szCs w:val="24"/>
        </w:rPr>
        <w:t xml:space="preserve">15. </w:t>
      </w:r>
      <w:r w:rsidRPr="00C5774B">
        <w:rPr>
          <w:rFonts w:ascii="Calibri" w:hAnsi="Calibri" w:cs="Calibri"/>
          <w:noProof/>
          <w:sz w:val="24"/>
          <w:szCs w:val="24"/>
        </w:rPr>
        <w:tab/>
        <w:t>Center for Disease Control and Prevention. Nutrition, Physical Activity, &amp; Obesity Data &amp; Statistics. https://www.cdc.gov/healthyyouth/data/topics/npao.htm. Accessed October 19, 2019.</w:t>
      </w:r>
    </w:p>
    <w:p w14:paraId="61CF2100" w14:textId="77777777" w:rsidR="00C5774B" w:rsidRPr="00C5774B" w:rsidRDefault="00C5774B" w:rsidP="00C5774B">
      <w:pPr>
        <w:widowControl w:val="0"/>
        <w:autoSpaceDE w:val="0"/>
        <w:autoSpaceDN w:val="0"/>
        <w:adjustRightInd w:val="0"/>
        <w:spacing w:after="0" w:line="360" w:lineRule="auto"/>
        <w:ind w:left="640" w:hanging="640"/>
        <w:rPr>
          <w:rFonts w:ascii="Calibri" w:hAnsi="Calibri" w:cs="Calibri"/>
          <w:noProof/>
          <w:sz w:val="24"/>
          <w:szCs w:val="24"/>
        </w:rPr>
      </w:pPr>
      <w:r w:rsidRPr="00C5774B">
        <w:rPr>
          <w:rFonts w:ascii="Calibri" w:hAnsi="Calibri" w:cs="Calibri"/>
          <w:noProof/>
          <w:sz w:val="24"/>
          <w:szCs w:val="24"/>
        </w:rPr>
        <w:t xml:space="preserve">16. </w:t>
      </w:r>
      <w:r w:rsidRPr="00C5774B">
        <w:rPr>
          <w:rFonts w:ascii="Calibri" w:hAnsi="Calibri" w:cs="Calibri"/>
          <w:noProof/>
          <w:sz w:val="24"/>
          <w:szCs w:val="24"/>
        </w:rPr>
        <w:tab/>
        <w:t xml:space="preserve">Utter J, Haines J, Denny S, Teevale T. Trends in weight-related attitudes and behaviours among New Zealand adolescents, between 2007 and 2012. </w:t>
      </w:r>
      <w:r w:rsidRPr="00C5774B">
        <w:rPr>
          <w:rFonts w:ascii="Calibri" w:hAnsi="Calibri" w:cs="Calibri"/>
          <w:i/>
          <w:iCs/>
          <w:noProof/>
          <w:sz w:val="24"/>
          <w:szCs w:val="24"/>
        </w:rPr>
        <w:t>J Paediatr Child Health</w:t>
      </w:r>
      <w:r w:rsidRPr="00C5774B">
        <w:rPr>
          <w:rFonts w:ascii="Calibri" w:hAnsi="Calibri" w:cs="Calibri"/>
          <w:noProof/>
          <w:sz w:val="24"/>
          <w:szCs w:val="24"/>
        </w:rPr>
        <w:t>. 2019. doi:10.1111/jpc.14196</w:t>
      </w:r>
    </w:p>
    <w:p w14:paraId="6231E154" w14:textId="77777777" w:rsidR="00C5774B" w:rsidRPr="00C5774B" w:rsidRDefault="00C5774B" w:rsidP="00C5774B">
      <w:pPr>
        <w:widowControl w:val="0"/>
        <w:autoSpaceDE w:val="0"/>
        <w:autoSpaceDN w:val="0"/>
        <w:adjustRightInd w:val="0"/>
        <w:spacing w:after="0" w:line="360" w:lineRule="auto"/>
        <w:ind w:left="640" w:hanging="640"/>
        <w:rPr>
          <w:rFonts w:ascii="Calibri" w:hAnsi="Calibri" w:cs="Calibri"/>
          <w:noProof/>
          <w:sz w:val="24"/>
          <w:szCs w:val="24"/>
        </w:rPr>
      </w:pPr>
      <w:r w:rsidRPr="00C5774B">
        <w:rPr>
          <w:rFonts w:ascii="Calibri" w:hAnsi="Calibri" w:cs="Calibri"/>
          <w:noProof/>
          <w:sz w:val="24"/>
          <w:szCs w:val="24"/>
        </w:rPr>
        <w:t xml:space="preserve">17. </w:t>
      </w:r>
      <w:r w:rsidRPr="00C5774B">
        <w:rPr>
          <w:rFonts w:ascii="Calibri" w:hAnsi="Calibri" w:cs="Calibri"/>
          <w:noProof/>
          <w:sz w:val="24"/>
          <w:szCs w:val="24"/>
        </w:rPr>
        <w:tab/>
        <w:t xml:space="preserve">Berg C, Larsson C. Dieting, body weight concerns and health: trends and associations in Swedish schoolchildren. </w:t>
      </w:r>
      <w:r w:rsidRPr="00C5774B">
        <w:rPr>
          <w:rFonts w:ascii="Calibri" w:hAnsi="Calibri" w:cs="Calibri"/>
          <w:i/>
          <w:iCs/>
          <w:noProof/>
          <w:sz w:val="24"/>
          <w:szCs w:val="24"/>
        </w:rPr>
        <w:t>BMC Public Health</w:t>
      </w:r>
      <w:r w:rsidRPr="00C5774B">
        <w:rPr>
          <w:rFonts w:ascii="Calibri" w:hAnsi="Calibri" w:cs="Calibri"/>
          <w:noProof/>
          <w:sz w:val="24"/>
          <w:szCs w:val="24"/>
        </w:rPr>
        <w:t>. 2020;20(1):187. doi:10.1186/s12889-020-8295-7</w:t>
      </w:r>
    </w:p>
    <w:p w14:paraId="2E9E35AC" w14:textId="77777777" w:rsidR="00C5774B" w:rsidRPr="00C5774B" w:rsidRDefault="00C5774B" w:rsidP="00C5774B">
      <w:pPr>
        <w:widowControl w:val="0"/>
        <w:autoSpaceDE w:val="0"/>
        <w:autoSpaceDN w:val="0"/>
        <w:adjustRightInd w:val="0"/>
        <w:spacing w:after="0" w:line="360" w:lineRule="auto"/>
        <w:ind w:left="640" w:hanging="640"/>
        <w:rPr>
          <w:rFonts w:ascii="Calibri" w:hAnsi="Calibri" w:cs="Calibri"/>
          <w:noProof/>
          <w:sz w:val="24"/>
          <w:szCs w:val="24"/>
        </w:rPr>
      </w:pPr>
      <w:r w:rsidRPr="00C5774B">
        <w:rPr>
          <w:rFonts w:ascii="Calibri" w:hAnsi="Calibri" w:cs="Calibri"/>
          <w:noProof/>
          <w:sz w:val="24"/>
          <w:szCs w:val="24"/>
        </w:rPr>
        <w:t xml:space="preserve">18. </w:t>
      </w:r>
      <w:r w:rsidRPr="00C5774B">
        <w:rPr>
          <w:rFonts w:ascii="Calibri" w:hAnsi="Calibri" w:cs="Calibri"/>
          <w:noProof/>
          <w:sz w:val="24"/>
          <w:szCs w:val="24"/>
        </w:rPr>
        <w:tab/>
        <w:t xml:space="preserve">Von Soest T, Wichstrøm L. Secular trends in eating problems among norwegian adolescents from 1992 to 2010. </w:t>
      </w:r>
      <w:r w:rsidRPr="00C5774B">
        <w:rPr>
          <w:rFonts w:ascii="Calibri" w:hAnsi="Calibri" w:cs="Calibri"/>
          <w:i/>
          <w:iCs/>
          <w:noProof/>
          <w:sz w:val="24"/>
          <w:szCs w:val="24"/>
        </w:rPr>
        <w:t>Int J Eat Disord</w:t>
      </w:r>
      <w:r w:rsidRPr="00C5774B">
        <w:rPr>
          <w:rFonts w:ascii="Calibri" w:hAnsi="Calibri" w:cs="Calibri"/>
          <w:noProof/>
          <w:sz w:val="24"/>
          <w:szCs w:val="24"/>
        </w:rPr>
        <w:t>. 2014. doi:10.1002/eat.22271</w:t>
      </w:r>
    </w:p>
    <w:p w14:paraId="067DDF61" w14:textId="77777777" w:rsidR="00C5774B" w:rsidRPr="00C5774B" w:rsidRDefault="00C5774B" w:rsidP="00C5774B">
      <w:pPr>
        <w:widowControl w:val="0"/>
        <w:autoSpaceDE w:val="0"/>
        <w:autoSpaceDN w:val="0"/>
        <w:adjustRightInd w:val="0"/>
        <w:spacing w:after="0" w:line="360" w:lineRule="auto"/>
        <w:ind w:left="640" w:hanging="640"/>
        <w:rPr>
          <w:rFonts w:ascii="Calibri" w:hAnsi="Calibri" w:cs="Calibri"/>
          <w:noProof/>
          <w:sz w:val="24"/>
          <w:szCs w:val="24"/>
        </w:rPr>
      </w:pPr>
      <w:r w:rsidRPr="00C5774B">
        <w:rPr>
          <w:rFonts w:ascii="Calibri" w:hAnsi="Calibri" w:cs="Calibri"/>
          <w:noProof/>
          <w:sz w:val="24"/>
          <w:szCs w:val="24"/>
        </w:rPr>
        <w:t xml:space="preserve">19. </w:t>
      </w:r>
      <w:r w:rsidRPr="00C5774B">
        <w:rPr>
          <w:rFonts w:ascii="Calibri" w:hAnsi="Calibri" w:cs="Calibri"/>
          <w:noProof/>
          <w:sz w:val="24"/>
          <w:szCs w:val="24"/>
        </w:rPr>
        <w:tab/>
        <w:t xml:space="preserve">Litmanen J, Fröjd S, Marttunen M, Isomaa R, Kaltiala-Heino R. Are eating disorders and their symptoms increasing in prevalence among adolescent population? </w:t>
      </w:r>
      <w:r w:rsidRPr="00C5774B">
        <w:rPr>
          <w:rFonts w:ascii="Calibri" w:hAnsi="Calibri" w:cs="Calibri"/>
          <w:i/>
          <w:iCs/>
          <w:noProof/>
          <w:sz w:val="24"/>
          <w:szCs w:val="24"/>
        </w:rPr>
        <w:t>Nord J Psychiatry</w:t>
      </w:r>
      <w:r w:rsidRPr="00C5774B">
        <w:rPr>
          <w:rFonts w:ascii="Calibri" w:hAnsi="Calibri" w:cs="Calibri"/>
          <w:noProof/>
          <w:sz w:val="24"/>
          <w:szCs w:val="24"/>
        </w:rPr>
        <w:t>. 2017;71(1):61-66. doi:10.1080/08039488.2016.1224272</w:t>
      </w:r>
    </w:p>
    <w:p w14:paraId="25EF4230" w14:textId="77777777" w:rsidR="00C5774B" w:rsidRPr="00C5774B" w:rsidRDefault="00C5774B" w:rsidP="00C5774B">
      <w:pPr>
        <w:widowControl w:val="0"/>
        <w:autoSpaceDE w:val="0"/>
        <w:autoSpaceDN w:val="0"/>
        <w:adjustRightInd w:val="0"/>
        <w:spacing w:after="0" w:line="360" w:lineRule="auto"/>
        <w:ind w:left="640" w:hanging="640"/>
        <w:rPr>
          <w:rFonts w:ascii="Calibri" w:hAnsi="Calibri" w:cs="Calibri"/>
          <w:noProof/>
          <w:sz w:val="24"/>
          <w:szCs w:val="24"/>
        </w:rPr>
      </w:pPr>
      <w:r w:rsidRPr="00C5774B">
        <w:rPr>
          <w:rFonts w:ascii="Calibri" w:hAnsi="Calibri" w:cs="Calibri"/>
          <w:noProof/>
          <w:sz w:val="24"/>
          <w:szCs w:val="24"/>
        </w:rPr>
        <w:t xml:space="preserve">20. </w:t>
      </w:r>
      <w:r w:rsidRPr="00C5774B">
        <w:rPr>
          <w:rFonts w:ascii="Calibri" w:hAnsi="Calibri" w:cs="Calibri"/>
          <w:noProof/>
          <w:sz w:val="24"/>
          <w:szCs w:val="24"/>
        </w:rPr>
        <w:tab/>
        <w:t xml:space="preserve">Loth K, Wall M, Larson N, Neumark-Sztainer D. Disordered eating and psychological well-being in overweight and nonoverweight adolescents: Secular trends from 1999 to 2010. </w:t>
      </w:r>
      <w:r w:rsidRPr="00C5774B">
        <w:rPr>
          <w:rFonts w:ascii="Calibri" w:hAnsi="Calibri" w:cs="Calibri"/>
          <w:i/>
          <w:iCs/>
          <w:noProof/>
          <w:sz w:val="24"/>
          <w:szCs w:val="24"/>
        </w:rPr>
        <w:t>Int J Eat Disord</w:t>
      </w:r>
      <w:r w:rsidRPr="00C5774B">
        <w:rPr>
          <w:rFonts w:ascii="Calibri" w:hAnsi="Calibri" w:cs="Calibri"/>
          <w:noProof/>
          <w:sz w:val="24"/>
          <w:szCs w:val="24"/>
        </w:rPr>
        <w:t>. 2015. doi:10.1002/eat.22382</w:t>
      </w:r>
    </w:p>
    <w:p w14:paraId="66CAFCE2" w14:textId="77777777" w:rsidR="00C5774B" w:rsidRPr="00C5774B" w:rsidRDefault="00C5774B" w:rsidP="00C5774B">
      <w:pPr>
        <w:widowControl w:val="0"/>
        <w:autoSpaceDE w:val="0"/>
        <w:autoSpaceDN w:val="0"/>
        <w:adjustRightInd w:val="0"/>
        <w:spacing w:after="0" w:line="360" w:lineRule="auto"/>
        <w:ind w:left="640" w:hanging="640"/>
        <w:rPr>
          <w:rFonts w:ascii="Calibri" w:hAnsi="Calibri" w:cs="Calibri"/>
          <w:noProof/>
          <w:sz w:val="24"/>
          <w:szCs w:val="24"/>
        </w:rPr>
      </w:pPr>
      <w:r w:rsidRPr="00C5774B">
        <w:rPr>
          <w:rFonts w:ascii="Calibri" w:hAnsi="Calibri" w:cs="Calibri"/>
          <w:noProof/>
          <w:sz w:val="24"/>
          <w:szCs w:val="24"/>
        </w:rPr>
        <w:t xml:space="preserve">21. </w:t>
      </w:r>
      <w:r w:rsidRPr="00C5774B">
        <w:rPr>
          <w:rFonts w:ascii="Calibri" w:hAnsi="Calibri" w:cs="Calibri"/>
          <w:noProof/>
          <w:sz w:val="24"/>
          <w:szCs w:val="24"/>
        </w:rPr>
        <w:tab/>
        <w:t xml:space="preserve">Shepherd P. </w:t>
      </w:r>
      <w:r w:rsidRPr="00C5774B">
        <w:rPr>
          <w:rFonts w:ascii="Calibri" w:hAnsi="Calibri" w:cs="Calibri"/>
          <w:i/>
          <w:iCs/>
          <w:noProof/>
          <w:sz w:val="24"/>
          <w:szCs w:val="24"/>
        </w:rPr>
        <w:t>1970 British Cohort Study Ethical Review and Consent</w:t>
      </w:r>
      <w:r w:rsidRPr="00C5774B">
        <w:rPr>
          <w:rFonts w:ascii="Calibri" w:hAnsi="Calibri" w:cs="Calibri"/>
          <w:noProof/>
          <w:sz w:val="24"/>
          <w:szCs w:val="24"/>
        </w:rPr>
        <w:t>.; 2012.</w:t>
      </w:r>
    </w:p>
    <w:p w14:paraId="145454F4" w14:textId="77777777" w:rsidR="00C5774B" w:rsidRPr="00C5774B" w:rsidRDefault="00C5774B" w:rsidP="00C5774B">
      <w:pPr>
        <w:widowControl w:val="0"/>
        <w:autoSpaceDE w:val="0"/>
        <w:autoSpaceDN w:val="0"/>
        <w:adjustRightInd w:val="0"/>
        <w:spacing w:after="0" w:line="360" w:lineRule="auto"/>
        <w:ind w:left="640" w:hanging="640"/>
        <w:rPr>
          <w:rFonts w:ascii="Calibri" w:hAnsi="Calibri" w:cs="Calibri"/>
          <w:noProof/>
          <w:sz w:val="24"/>
          <w:szCs w:val="24"/>
        </w:rPr>
      </w:pPr>
      <w:r w:rsidRPr="00C5774B">
        <w:rPr>
          <w:rFonts w:ascii="Calibri" w:hAnsi="Calibri" w:cs="Calibri"/>
          <w:noProof/>
          <w:sz w:val="24"/>
          <w:szCs w:val="24"/>
        </w:rPr>
        <w:t xml:space="preserve">22. </w:t>
      </w:r>
      <w:r w:rsidRPr="00C5774B">
        <w:rPr>
          <w:rFonts w:ascii="Calibri" w:hAnsi="Calibri" w:cs="Calibri"/>
          <w:noProof/>
          <w:sz w:val="24"/>
          <w:szCs w:val="24"/>
        </w:rPr>
        <w:tab/>
        <w:t xml:space="preserve">Angold A, Costello EJ, Messer SC, Pickles A, Winder F, Silver D. Development of a short questionnaire for use in epidemiological studies of depression in children and adolescents. </w:t>
      </w:r>
      <w:r w:rsidRPr="00C5774B">
        <w:rPr>
          <w:rFonts w:ascii="Calibri" w:hAnsi="Calibri" w:cs="Calibri"/>
          <w:i/>
          <w:iCs/>
          <w:noProof/>
          <w:sz w:val="24"/>
          <w:szCs w:val="24"/>
        </w:rPr>
        <w:t>Int J Methods Psychiatr Res</w:t>
      </w:r>
      <w:r w:rsidRPr="00C5774B">
        <w:rPr>
          <w:rFonts w:ascii="Calibri" w:hAnsi="Calibri" w:cs="Calibri"/>
          <w:noProof/>
          <w:sz w:val="24"/>
          <w:szCs w:val="24"/>
        </w:rPr>
        <w:t>. 1995;5:237-249.</w:t>
      </w:r>
    </w:p>
    <w:p w14:paraId="024BC8DF" w14:textId="77777777" w:rsidR="00C5774B" w:rsidRPr="00C5774B" w:rsidRDefault="00C5774B" w:rsidP="00C5774B">
      <w:pPr>
        <w:widowControl w:val="0"/>
        <w:autoSpaceDE w:val="0"/>
        <w:autoSpaceDN w:val="0"/>
        <w:adjustRightInd w:val="0"/>
        <w:spacing w:after="0" w:line="360" w:lineRule="auto"/>
        <w:ind w:left="640" w:hanging="640"/>
        <w:rPr>
          <w:rFonts w:ascii="Calibri" w:hAnsi="Calibri" w:cs="Calibri"/>
          <w:noProof/>
          <w:sz w:val="24"/>
          <w:szCs w:val="24"/>
        </w:rPr>
      </w:pPr>
      <w:r w:rsidRPr="00C5774B">
        <w:rPr>
          <w:rFonts w:ascii="Calibri" w:hAnsi="Calibri" w:cs="Calibri"/>
          <w:noProof/>
          <w:sz w:val="24"/>
          <w:szCs w:val="24"/>
        </w:rPr>
        <w:t xml:space="preserve">23. </w:t>
      </w:r>
      <w:r w:rsidRPr="00C5774B">
        <w:rPr>
          <w:rFonts w:ascii="Calibri" w:hAnsi="Calibri" w:cs="Calibri"/>
          <w:noProof/>
          <w:sz w:val="24"/>
          <w:szCs w:val="24"/>
        </w:rPr>
        <w:tab/>
        <w:t xml:space="preserve">Rutter M. </w:t>
      </w:r>
      <w:r w:rsidRPr="00C5774B">
        <w:rPr>
          <w:rFonts w:ascii="Calibri" w:hAnsi="Calibri" w:cs="Calibri"/>
          <w:i/>
          <w:iCs/>
          <w:noProof/>
          <w:sz w:val="24"/>
          <w:szCs w:val="24"/>
        </w:rPr>
        <w:t>Education, Health and Behaviour</w:t>
      </w:r>
      <w:r w:rsidRPr="00C5774B">
        <w:rPr>
          <w:rFonts w:ascii="Calibri" w:hAnsi="Calibri" w:cs="Calibri"/>
          <w:noProof/>
          <w:sz w:val="24"/>
          <w:szCs w:val="24"/>
        </w:rPr>
        <w:t>. Harlow: Longman; 1970.</w:t>
      </w:r>
    </w:p>
    <w:p w14:paraId="3065B747" w14:textId="77777777" w:rsidR="00C5774B" w:rsidRPr="00C5774B" w:rsidRDefault="00C5774B" w:rsidP="00C5774B">
      <w:pPr>
        <w:widowControl w:val="0"/>
        <w:autoSpaceDE w:val="0"/>
        <w:autoSpaceDN w:val="0"/>
        <w:adjustRightInd w:val="0"/>
        <w:spacing w:after="0" w:line="360" w:lineRule="auto"/>
        <w:ind w:left="640" w:hanging="640"/>
        <w:rPr>
          <w:rFonts w:ascii="Calibri" w:hAnsi="Calibri" w:cs="Calibri"/>
          <w:noProof/>
          <w:sz w:val="24"/>
          <w:szCs w:val="24"/>
        </w:rPr>
      </w:pPr>
      <w:r w:rsidRPr="00C5774B">
        <w:rPr>
          <w:rFonts w:ascii="Calibri" w:hAnsi="Calibri" w:cs="Calibri"/>
          <w:noProof/>
          <w:sz w:val="24"/>
          <w:szCs w:val="24"/>
        </w:rPr>
        <w:t xml:space="preserve">24. </w:t>
      </w:r>
      <w:r w:rsidRPr="00C5774B">
        <w:rPr>
          <w:rFonts w:ascii="Calibri" w:hAnsi="Calibri" w:cs="Calibri"/>
          <w:noProof/>
          <w:sz w:val="24"/>
          <w:szCs w:val="24"/>
        </w:rPr>
        <w:tab/>
        <w:t xml:space="preserve">Patalay P, Gage SH. Changes in millennial adolescent mental health and health-related behaviours over 10 years: a population cohort comparison study. </w:t>
      </w:r>
      <w:r w:rsidRPr="00C5774B">
        <w:rPr>
          <w:rFonts w:ascii="Calibri" w:hAnsi="Calibri" w:cs="Calibri"/>
          <w:i/>
          <w:iCs/>
          <w:noProof/>
          <w:sz w:val="24"/>
          <w:szCs w:val="24"/>
        </w:rPr>
        <w:t>Int J Epidemiol</w:t>
      </w:r>
      <w:r w:rsidRPr="00C5774B">
        <w:rPr>
          <w:rFonts w:ascii="Calibri" w:hAnsi="Calibri" w:cs="Calibri"/>
          <w:noProof/>
          <w:sz w:val="24"/>
          <w:szCs w:val="24"/>
        </w:rPr>
        <w:t>. February 2019. doi:10.1093/ije/dyz006</w:t>
      </w:r>
    </w:p>
    <w:p w14:paraId="4934F556" w14:textId="77777777" w:rsidR="00C5774B" w:rsidRPr="00C5774B" w:rsidRDefault="00C5774B" w:rsidP="00C5774B">
      <w:pPr>
        <w:widowControl w:val="0"/>
        <w:autoSpaceDE w:val="0"/>
        <w:autoSpaceDN w:val="0"/>
        <w:adjustRightInd w:val="0"/>
        <w:spacing w:after="0" w:line="360" w:lineRule="auto"/>
        <w:ind w:left="640" w:hanging="640"/>
        <w:rPr>
          <w:rFonts w:ascii="Calibri" w:hAnsi="Calibri" w:cs="Calibri"/>
          <w:noProof/>
          <w:sz w:val="24"/>
          <w:szCs w:val="24"/>
        </w:rPr>
      </w:pPr>
      <w:r w:rsidRPr="00C5774B">
        <w:rPr>
          <w:rFonts w:ascii="Calibri" w:hAnsi="Calibri" w:cs="Calibri"/>
          <w:noProof/>
          <w:sz w:val="24"/>
          <w:szCs w:val="24"/>
        </w:rPr>
        <w:lastRenderedPageBreak/>
        <w:t xml:space="preserve">25. </w:t>
      </w:r>
      <w:r w:rsidRPr="00C5774B">
        <w:rPr>
          <w:rFonts w:ascii="Calibri" w:hAnsi="Calibri" w:cs="Calibri"/>
          <w:noProof/>
          <w:sz w:val="24"/>
          <w:szCs w:val="24"/>
        </w:rPr>
        <w:tab/>
        <w:t xml:space="preserve">Vidmar SI, Cole TJ, Pan H. Standardizing anthropometric measures in children and adolescents with functions for egen: Update. </w:t>
      </w:r>
      <w:r w:rsidRPr="00C5774B">
        <w:rPr>
          <w:rFonts w:ascii="Calibri" w:hAnsi="Calibri" w:cs="Calibri"/>
          <w:i/>
          <w:iCs/>
          <w:noProof/>
          <w:sz w:val="24"/>
          <w:szCs w:val="24"/>
        </w:rPr>
        <w:t>Stata J</w:t>
      </w:r>
      <w:r w:rsidRPr="00C5774B">
        <w:rPr>
          <w:rFonts w:ascii="Calibri" w:hAnsi="Calibri" w:cs="Calibri"/>
          <w:noProof/>
          <w:sz w:val="24"/>
          <w:szCs w:val="24"/>
        </w:rPr>
        <w:t>. 2013;13(2):366-378.</w:t>
      </w:r>
    </w:p>
    <w:p w14:paraId="0FB4CD38" w14:textId="77777777" w:rsidR="00C5774B" w:rsidRPr="00C5774B" w:rsidRDefault="00C5774B" w:rsidP="00C5774B">
      <w:pPr>
        <w:widowControl w:val="0"/>
        <w:autoSpaceDE w:val="0"/>
        <w:autoSpaceDN w:val="0"/>
        <w:adjustRightInd w:val="0"/>
        <w:spacing w:after="0" w:line="360" w:lineRule="auto"/>
        <w:ind w:left="640" w:hanging="640"/>
        <w:rPr>
          <w:rFonts w:ascii="Calibri" w:hAnsi="Calibri" w:cs="Calibri"/>
          <w:noProof/>
          <w:sz w:val="24"/>
          <w:szCs w:val="24"/>
        </w:rPr>
      </w:pPr>
      <w:r w:rsidRPr="00C5774B">
        <w:rPr>
          <w:rFonts w:ascii="Calibri" w:hAnsi="Calibri" w:cs="Calibri"/>
          <w:noProof/>
          <w:sz w:val="24"/>
          <w:szCs w:val="24"/>
        </w:rPr>
        <w:t xml:space="preserve">26. </w:t>
      </w:r>
      <w:r w:rsidRPr="00C5774B">
        <w:rPr>
          <w:rFonts w:ascii="Calibri" w:hAnsi="Calibri" w:cs="Calibri"/>
          <w:noProof/>
          <w:sz w:val="24"/>
          <w:szCs w:val="24"/>
        </w:rPr>
        <w:tab/>
        <w:t xml:space="preserve">Cole TJ, Flegal KM, Nicholls D, Jackson AA. Body mass index cut offs to define thinness in children and adolescents: international survey. </w:t>
      </w:r>
      <w:r w:rsidRPr="00C5774B">
        <w:rPr>
          <w:rFonts w:ascii="Calibri" w:hAnsi="Calibri" w:cs="Calibri"/>
          <w:i/>
          <w:iCs/>
          <w:noProof/>
          <w:sz w:val="24"/>
          <w:szCs w:val="24"/>
        </w:rPr>
        <w:t>BMJ</w:t>
      </w:r>
      <w:r w:rsidRPr="00C5774B">
        <w:rPr>
          <w:rFonts w:ascii="Calibri" w:hAnsi="Calibri" w:cs="Calibri"/>
          <w:noProof/>
          <w:sz w:val="24"/>
          <w:szCs w:val="24"/>
        </w:rPr>
        <w:t>. 2007;335(7612).</w:t>
      </w:r>
    </w:p>
    <w:p w14:paraId="2631A32E" w14:textId="77777777" w:rsidR="00C5774B" w:rsidRPr="00C5774B" w:rsidRDefault="00C5774B" w:rsidP="00C5774B">
      <w:pPr>
        <w:widowControl w:val="0"/>
        <w:autoSpaceDE w:val="0"/>
        <w:autoSpaceDN w:val="0"/>
        <w:adjustRightInd w:val="0"/>
        <w:spacing w:after="0" w:line="360" w:lineRule="auto"/>
        <w:ind w:left="640" w:hanging="640"/>
        <w:rPr>
          <w:rFonts w:ascii="Calibri" w:hAnsi="Calibri" w:cs="Calibri"/>
          <w:noProof/>
          <w:sz w:val="24"/>
          <w:szCs w:val="24"/>
        </w:rPr>
      </w:pPr>
      <w:r w:rsidRPr="00C5774B">
        <w:rPr>
          <w:rFonts w:ascii="Calibri" w:hAnsi="Calibri" w:cs="Calibri"/>
          <w:noProof/>
          <w:sz w:val="24"/>
          <w:szCs w:val="24"/>
        </w:rPr>
        <w:t xml:space="preserve">27. </w:t>
      </w:r>
      <w:r w:rsidRPr="00C5774B">
        <w:rPr>
          <w:rFonts w:ascii="Calibri" w:hAnsi="Calibri" w:cs="Calibri"/>
          <w:noProof/>
          <w:sz w:val="24"/>
          <w:szCs w:val="24"/>
        </w:rPr>
        <w:tab/>
        <w:t xml:space="preserve">Cole TJ, Bellizzi MC, Flegal KM, Dietz WH. Establishing a standard definition for child overweight and obesity worldwide: international survey. </w:t>
      </w:r>
      <w:r w:rsidRPr="00C5774B">
        <w:rPr>
          <w:rFonts w:ascii="Calibri" w:hAnsi="Calibri" w:cs="Calibri"/>
          <w:i/>
          <w:iCs/>
          <w:noProof/>
          <w:sz w:val="24"/>
          <w:szCs w:val="24"/>
        </w:rPr>
        <w:t>BMJ</w:t>
      </w:r>
      <w:r w:rsidRPr="00C5774B">
        <w:rPr>
          <w:rFonts w:ascii="Calibri" w:hAnsi="Calibri" w:cs="Calibri"/>
          <w:noProof/>
          <w:sz w:val="24"/>
          <w:szCs w:val="24"/>
        </w:rPr>
        <w:t>. 2000;320(7244).</w:t>
      </w:r>
    </w:p>
    <w:p w14:paraId="594DDA46" w14:textId="77777777" w:rsidR="00C5774B" w:rsidRPr="00C5774B" w:rsidRDefault="00C5774B" w:rsidP="00C5774B">
      <w:pPr>
        <w:widowControl w:val="0"/>
        <w:autoSpaceDE w:val="0"/>
        <w:autoSpaceDN w:val="0"/>
        <w:adjustRightInd w:val="0"/>
        <w:spacing w:after="0" w:line="360" w:lineRule="auto"/>
        <w:ind w:left="640" w:hanging="640"/>
        <w:rPr>
          <w:rFonts w:ascii="Calibri" w:hAnsi="Calibri" w:cs="Calibri"/>
          <w:noProof/>
          <w:sz w:val="24"/>
          <w:szCs w:val="24"/>
        </w:rPr>
      </w:pPr>
      <w:r w:rsidRPr="00C5774B">
        <w:rPr>
          <w:rFonts w:ascii="Calibri" w:hAnsi="Calibri" w:cs="Calibri"/>
          <w:noProof/>
          <w:sz w:val="24"/>
          <w:szCs w:val="24"/>
        </w:rPr>
        <w:t xml:space="preserve">28. </w:t>
      </w:r>
      <w:r w:rsidRPr="00C5774B">
        <w:rPr>
          <w:rFonts w:ascii="Calibri" w:hAnsi="Calibri" w:cs="Calibri"/>
          <w:noProof/>
          <w:sz w:val="24"/>
          <w:szCs w:val="24"/>
        </w:rPr>
        <w:tab/>
        <w:t xml:space="preserve">White IR, Royston P, Wood AM. Multiple imputation using chained equations: Issues and guidance for practice. </w:t>
      </w:r>
      <w:r w:rsidRPr="00C5774B">
        <w:rPr>
          <w:rFonts w:ascii="Calibri" w:hAnsi="Calibri" w:cs="Calibri"/>
          <w:i/>
          <w:iCs/>
          <w:noProof/>
          <w:sz w:val="24"/>
          <w:szCs w:val="24"/>
        </w:rPr>
        <w:t>Stat Med</w:t>
      </w:r>
      <w:r w:rsidRPr="00C5774B">
        <w:rPr>
          <w:rFonts w:ascii="Calibri" w:hAnsi="Calibri" w:cs="Calibri"/>
          <w:noProof/>
          <w:sz w:val="24"/>
          <w:szCs w:val="24"/>
        </w:rPr>
        <w:t>. 2011;30(4):377-399. doi:10.1002/sim.4067</w:t>
      </w:r>
    </w:p>
    <w:p w14:paraId="1ABBA2F9" w14:textId="77777777" w:rsidR="00C5774B" w:rsidRPr="00C5774B" w:rsidRDefault="00C5774B" w:rsidP="00C5774B">
      <w:pPr>
        <w:widowControl w:val="0"/>
        <w:autoSpaceDE w:val="0"/>
        <w:autoSpaceDN w:val="0"/>
        <w:adjustRightInd w:val="0"/>
        <w:spacing w:after="0" w:line="360" w:lineRule="auto"/>
        <w:ind w:left="640" w:hanging="640"/>
        <w:rPr>
          <w:rFonts w:ascii="Calibri" w:hAnsi="Calibri" w:cs="Calibri"/>
          <w:noProof/>
          <w:sz w:val="24"/>
          <w:szCs w:val="24"/>
        </w:rPr>
      </w:pPr>
      <w:r w:rsidRPr="00C5774B">
        <w:rPr>
          <w:rFonts w:ascii="Calibri" w:hAnsi="Calibri" w:cs="Calibri"/>
          <w:noProof/>
          <w:sz w:val="24"/>
          <w:szCs w:val="24"/>
        </w:rPr>
        <w:t xml:space="preserve">29. </w:t>
      </w:r>
      <w:r w:rsidRPr="00C5774B">
        <w:rPr>
          <w:rFonts w:ascii="Calibri" w:hAnsi="Calibri" w:cs="Calibri"/>
          <w:noProof/>
          <w:sz w:val="24"/>
          <w:szCs w:val="24"/>
        </w:rPr>
        <w:tab/>
        <w:t>StataCorp. Stata Statistical Software: Release 15. 2017.</w:t>
      </w:r>
    </w:p>
    <w:p w14:paraId="2B67E162" w14:textId="77777777" w:rsidR="00C5774B" w:rsidRPr="00C5774B" w:rsidRDefault="00C5774B" w:rsidP="00C5774B">
      <w:pPr>
        <w:widowControl w:val="0"/>
        <w:autoSpaceDE w:val="0"/>
        <w:autoSpaceDN w:val="0"/>
        <w:adjustRightInd w:val="0"/>
        <w:spacing w:after="0" w:line="360" w:lineRule="auto"/>
        <w:ind w:left="640" w:hanging="640"/>
        <w:rPr>
          <w:rFonts w:ascii="Calibri" w:hAnsi="Calibri" w:cs="Calibri"/>
          <w:noProof/>
          <w:sz w:val="24"/>
          <w:szCs w:val="24"/>
        </w:rPr>
      </w:pPr>
      <w:r w:rsidRPr="00C5774B">
        <w:rPr>
          <w:rFonts w:ascii="Calibri" w:hAnsi="Calibri" w:cs="Calibri"/>
          <w:noProof/>
          <w:sz w:val="24"/>
          <w:szCs w:val="24"/>
        </w:rPr>
        <w:t xml:space="preserve">30. </w:t>
      </w:r>
      <w:r w:rsidRPr="00C5774B">
        <w:rPr>
          <w:rFonts w:ascii="Calibri" w:hAnsi="Calibri" w:cs="Calibri"/>
          <w:noProof/>
          <w:sz w:val="24"/>
          <w:szCs w:val="24"/>
        </w:rPr>
        <w:tab/>
        <w:t xml:space="preserve">Nagata JM, Bibbins-Domingo K, Garber AK, Griffiths S, Vittinghoff E, Murray SB. Boys, Bulk, and Body Ideals: Sex Differences in Weight-Gain Attempts Among Adolescents in the United States. </w:t>
      </w:r>
      <w:r w:rsidRPr="00C5774B">
        <w:rPr>
          <w:rFonts w:ascii="Calibri" w:hAnsi="Calibri" w:cs="Calibri"/>
          <w:i/>
          <w:iCs/>
          <w:noProof/>
          <w:sz w:val="24"/>
          <w:szCs w:val="24"/>
        </w:rPr>
        <w:t>J Adolesc Heal</w:t>
      </w:r>
      <w:r w:rsidRPr="00C5774B">
        <w:rPr>
          <w:rFonts w:ascii="Calibri" w:hAnsi="Calibri" w:cs="Calibri"/>
          <w:noProof/>
          <w:sz w:val="24"/>
          <w:szCs w:val="24"/>
        </w:rPr>
        <w:t>. 2019. doi:10.1016/j.jadohealth.2018.09.002</w:t>
      </w:r>
    </w:p>
    <w:p w14:paraId="4B3E258C" w14:textId="77777777" w:rsidR="00C5774B" w:rsidRPr="00C5774B" w:rsidRDefault="00C5774B" w:rsidP="00C5774B">
      <w:pPr>
        <w:widowControl w:val="0"/>
        <w:autoSpaceDE w:val="0"/>
        <w:autoSpaceDN w:val="0"/>
        <w:adjustRightInd w:val="0"/>
        <w:spacing w:after="0" w:line="360" w:lineRule="auto"/>
        <w:ind w:left="640" w:hanging="640"/>
        <w:rPr>
          <w:rFonts w:ascii="Calibri" w:hAnsi="Calibri" w:cs="Calibri"/>
          <w:noProof/>
          <w:sz w:val="24"/>
          <w:szCs w:val="24"/>
        </w:rPr>
      </w:pPr>
      <w:r w:rsidRPr="00C5774B">
        <w:rPr>
          <w:rFonts w:ascii="Calibri" w:hAnsi="Calibri" w:cs="Calibri"/>
          <w:noProof/>
          <w:sz w:val="24"/>
          <w:szCs w:val="24"/>
        </w:rPr>
        <w:t xml:space="preserve">31. </w:t>
      </w:r>
      <w:r w:rsidRPr="00C5774B">
        <w:rPr>
          <w:rFonts w:ascii="Calibri" w:hAnsi="Calibri" w:cs="Calibri"/>
          <w:noProof/>
          <w:sz w:val="24"/>
          <w:szCs w:val="24"/>
        </w:rPr>
        <w:tab/>
        <w:t xml:space="preserve">Pope HG, Khalsa JH, Bhasin S, et al. Body Image Disorders and Abuse of Anabolic-Androgenic Steroids Among Men. </w:t>
      </w:r>
      <w:r w:rsidRPr="00C5774B">
        <w:rPr>
          <w:rFonts w:ascii="Calibri" w:hAnsi="Calibri" w:cs="Calibri"/>
          <w:i/>
          <w:iCs/>
          <w:noProof/>
          <w:sz w:val="24"/>
          <w:szCs w:val="24"/>
        </w:rPr>
        <w:t>JAMA</w:t>
      </w:r>
      <w:r w:rsidRPr="00C5774B">
        <w:rPr>
          <w:rFonts w:ascii="Calibri" w:hAnsi="Calibri" w:cs="Calibri"/>
          <w:noProof/>
          <w:sz w:val="24"/>
          <w:szCs w:val="24"/>
        </w:rPr>
        <w:t>. 2017;317(1):23. doi:10.1001/jama.2016.17441</w:t>
      </w:r>
    </w:p>
    <w:p w14:paraId="2A334780" w14:textId="77777777" w:rsidR="00C5774B" w:rsidRPr="00C5774B" w:rsidRDefault="00C5774B" w:rsidP="00C5774B">
      <w:pPr>
        <w:widowControl w:val="0"/>
        <w:autoSpaceDE w:val="0"/>
        <w:autoSpaceDN w:val="0"/>
        <w:adjustRightInd w:val="0"/>
        <w:spacing w:after="0" w:line="360" w:lineRule="auto"/>
        <w:ind w:left="640" w:hanging="640"/>
        <w:rPr>
          <w:rFonts w:ascii="Calibri" w:hAnsi="Calibri" w:cs="Calibri"/>
          <w:noProof/>
          <w:sz w:val="24"/>
          <w:szCs w:val="24"/>
        </w:rPr>
      </w:pPr>
      <w:r w:rsidRPr="00C5774B">
        <w:rPr>
          <w:rFonts w:ascii="Calibri" w:hAnsi="Calibri" w:cs="Calibri"/>
          <w:noProof/>
          <w:sz w:val="24"/>
          <w:szCs w:val="24"/>
        </w:rPr>
        <w:t xml:space="preserve">32. </w:t>
      </w:r>
      <w:r w:rsidRPr="00C5774B">
        <w:rPr>
          <w:rFonts w:ascii="Calibri" w:hAnsi="Calibri" w:cs="Calibri"/>
          <w:noProof/>
          <w:sz w:val="24"/>
          <w:szCs w:val="24"/>
        </w:rPr>
        <w:tab/>
        <w:t xml:space="preserve">Pope HG, Olivardia R, Gruber A, Borowiecki J. Evolving ideals of male body image as seen through action toys. </w:t>
      </w:r>
      <w:r w:rsidRPr="00C5774B">
        <w:rPr>
          <w:rFonts w:ascii="Calibri" w:hAnsi="Calibri" w:cs="Calibri"/>
          <w:i/>
          <w:iCs/>
          <w:noProof/>
          <w:sz w:val="24"/>
          <w:szCs w:val="24"/>
        </w:rPr>
        <w:t>Int J Eat Disord</w:t>
      </w:r>
      <w:r w:rsidRPr="00C5774B">
        <w:rPr>
          <w:rFonts w:ascii="Calibri" w:hAnsi="Calibri" w:cs="Calibri"/>
          <w:noProof/>
          <w:sz w:val="24"/>
          <w:szCs w:val="24"/>
        </w:rPr>
        <w:t>. 1999. doi:10.1002/(SICI)1098-108X(199907)26:1&lt;65::AID-EAT8&gt;3.0.CO;2-D</w:t>
      </w:r>
    </w:p>
    <w:p w14:paraId="0C4AB299" w14:textId="77777777" w:rsidR="00C5774B" w:rsidRPr="00C5774B" w:rsidRDefault="00C5774B" w:rsidP="00C5774B">
      <w:pPr>
        <w:widowControl w:val="0"/>
        <w:autoSpaceDE w:val="0"/>
        <w:autoSpaceDN w:val="0"/>
        <w:adjustRightInd w:val="0"/>
        <w:spacing w:after="0" w:line="360" w:lineRule="auto"/>
        <w:ind w:left="640" w:hanging="640"/>
        <w:rPr>
          <w:rFonts w:ascii="Calibri" w:hAnsi="Calibri" w:cs="Calibri"/>
          <w:noProof/>
          <w:sz w:val="24"/>
          <w:szCs w:val="24"/>
        </w:rPr>
      </w:pPr>
      <w:r w:rsidRPr="00C5774B">
        <w:rPr>
          <w:rFonts w:ascii="Calibri" w:hAnsi="Calibri" w:cs="Calibri"/>
          <w:noProof/>
          <w:sz w:val="24"/>
          <w:szCs w:val="24"/>
        </w:rPr>
        <w:t xml:space="preserve">33. </w:t>
      </w:r>
      <w:r w:rsidRPr="00C5774B">
        <w:rPr>
          <w:rFonts w:ascii="Calibri" w:hAnsi="Calibri" w:cs="Calibri"/>
          <w:noProof/>
          <w:sz w:val="24"/>
          <w:szCs w:val="24"/>
        </w:rPr>
        <w:tab/>
        <w:t xml:space="preserve">Lavender JM, Brown TA, Murray SB. Men, Muscles, and Eating Disorders: an Overview of Traditional and Muscularity-Oriented Disordered Eating. </w:t>
      </w:r>
      <w:r w:rsidRPr="00C5774B">
        <w:rPr>
          <w:rFonts w:ascii="Calibri" w:hAnsi="Calibri" w:cs="Calibri"/>
          <w:i/>
          <w:iCs/>
          <w:noProof/>
          <w:sz w:val="24"/>
          <w:szCs w:val="24"/>
        </w:rPr>
        <w:t>Curr Psychiatry Rep</w:t>
      </w:r>
      <w:r w:rsidRPr="00C5774B">
        <w:rPr>
          <w:rFonts w:ascii="Calibri" w:hAnsi="Calibri" w:cs="Calibri"/>
          <w:noProof/>
          <w:sz w:val="24"/>
          <w:szCs w:val="24"/>
        </w:rPr>
        <w:t>. 2017;19(6). doi:10.1007/s11920-017-0787-5</w:t>
      </w:r>
    </w:p>
    <w:p w14:paraId="28B25ACB" w14:textId="77777777" w:rsidR="00C5774B" w:rsidRPr="00C5774B" w:rsidRDefault="00C5774B" w:rsidP="00C5774B">
      <w:pPr>
        <w:widowControl w:val="0"/>
        <w:autoSpaceDE w:val="0"/>
        <w:autoSpaceDN w:val="0"/>
        <w:adjustRightInd w:val="0"/>
        <w:spacing w:after="0" w:line="360" w:lineRule="auto"/>
        <w:ind w:left="640" w:hanging="640"/>
        <w:rPr>
          <w:rFonts w:ascii="Calibri" w:hAnsi="Calibri" w:cs="Calibri"/>
          <w:noProof/>
          <w:sz w:val="24"/>
          <w:szCs w:val="24"/>
        </w:rPr>
      </w:pPr>
      <w:r w:rsidRPr="00C5774B">
        <w:rPr>
          <w:rFonts w:ascii="Calibri" w:hAnsi="Calibri" w:cs="Calibri"/>
          <w:noProof/>
          <w:sz w:val="24"/>
          <w:szCs w:val="24"/>
        </w:rPr>
        <w:t xml:space="preserve">34. </w:t>
      </w:r>
      <w:r w:rsidRPr="00C5774B">
        <w:rPr>
          <w:rFonts w:ascii="Calibri" w:hAnsi="Calibri" w:cs="Calibri"/>
          <w:noProof/>
          <w:sz w:val="24"/>
          <w:szCs w:val="24"/>
        </w:rPr>
        <w:tab/>
        <w:t xml:space="preserve">Garner DM, Garfinkel PE, Schwartz D, Thompson M. Cultural expectations of thinness in women. </w:t>
      </w:r>
      <w:r w:rsidRPr="00C5774B">
        <w:rPr>
          <w:rFonts w:ascii="Calibri" w:hAnsi="Calibri" w:cs="Calibri"/>
          <w:i/>
          <w:iCs/>
          <w:noProof/>
          <w:sz w:val="24"/>
          <w:szCs w:val="24"/>
        </w:rPr>
        <w:t>Psychol Rep</w:t>
      </w:r>
      <w:r w:rsidRPr="00C5774B">
        <w:rPr>
          <w:rFonts w:ascii="Calibri" w:hAnsi="Calibri" w:cs="Calibri"/>
          <w:noProof/>
          <w:sz w:val="24"/>
          <w:szCs w:val="24"/>
        </w:rPr>
        <w:t>. 1980. doi:10.2466/pr0.1980.47.2.483</w:t>
      </w:r>
    </w:p>
    <w:p w14:paraId="5D51F4F6" w14:textId="77777777" w:rsidR="00C5774B" w:rsidRPr="00C5774B" w:rsidRDefault="00C5774B" w:rsidP="00C5774B">
      <w:pPr>
        <w:widowControl w:val="0"/>
        <w:autoSpaceDE w:val="0"/>
        <w:autoSpaceDN w:val="0"/>
        <w:adjustRightInd w:val="0"/>
        <w:spacing w:after="0" w:line="360" w:lineRule="auto"/>
        <w:ind w:left="640" w:hanging="640"/>
        <w:rPr>
          <w:rFonts w:ascii="Calibri" w:hAnsi="Calibri" w:cs="Calibri"/>
          <w:noProof/>
          <w:sz w:val="24"/>
          <w:szCs w:val="24"/>
        </w:rPr>
      </w:pPr>
      <w:r w:rsidRPr="00C5774B">
        <w:rPr>
          <w:rFonts w:ascii="Calibri" w:hAnsi="Calibri" w:cs="Calibri"/>
          <w:noProof/>
          <w:sz w:val="24"/>
          <w:szCs w:val="24"/>
        </w:rPr>
        <w:t xml:space="preserve">35. </w:t>
      </w:r>
      <w:r w:rsidRPr="00C5774B">
        <w:rPr>
          <w:rFonts w:ascii="Calibri" w:hAnsi="Calibri" w:cs="Calibri"/>
          <w:noProof/>
          <w:sz w:val="24"/>
          <w:szCs w:val="24"/>
        </w:rPr>
        <w:tab/>
        <w:t xml:space="preserve">Wiseman C V., Gray JJ, Mosimann JE, Ahrens AH. Cultural expectations of thinness in women: An update. </w:t>
      </w:r>
      <w:r w:rsidRPr="00C5774B">
        <w:rPr>
          <w:rFonts w:ascii="Calibri" w:hAnsi="Calibri" w:cs="Calibri"/>
          <w:i/>
          <w:iCs/>
          <w:noProof/>
          <w:sz w:val="24"/>
          <w:szCs w:val="24"/>
        </w:rPr>
        <w:t>Int J Eat Disord</w:t>
      </w:r>
      <w:r w:rsidRPr="00C5774B">
        <w:rPr>
          <w:rFonts w:ascii="Calibri" w:hAnsi="Calibri" w:cs="Calibri"/>
          <w:noProof/>
          <w:sz w:val="24"/>
          <w:szCs w:val="24"/>
        </w:rPr>
        <w:t>. 1992. doi:10.1002/1098-108X(199201)11:1&lt;85::AID-EAT2260110112&gt;3.0.CO;2-T</w:t>
      </w:r>
    </w:p>
    <w:p w14:paraId="2C2F6BB1" w14:textId="77777777" w:rsidR="00C5774B" w:rsidRPr="00C5774B" w:rsidRDefault="00C5774B" w:rsidP="00C5774B">
      <w:pPr>
        <w:widowControl w:val="0"/>
        <w:autoSpaceDE w:val="0"/>
        <w:autoSpaceDN w:val="0"/>
        <w:adjustRightInd w:val="0"/>
        <w:spacing w:after="0" w:line="360" w:lineRule="auto"/>
        <w:ind w:left="640" w:hanging="640"/>
        <w:rPr>
          <w:rFonts w:ascii="Calibri" w:hAnsi="Calibri" w:cs="Calibri"/>
          <w:noProof/>
          <w:sz w:val="24"/>
          <w:szCs w:val="24"/>
        </w:rPr>
      </w:pPr>
      <w:r w:rsidRPr="00C5774B">
        <w:rPr>
          <w:rFonts w:ascii="Calibri" w:hAnsi="Calibri" w:cs="Calibri"/>
          <w:noProof/>
          <w:sz w:val="24"/>
          <w:szCs w:val="24"/>
        </w:rPr>
        <w:t xml:space="preserve">36. </w:t>
      </w:r>
      <w:r w:rsidRPr="00C5774B">
        <w:rPr>
          <w:rFonts w:ascii="Calibri" w:hAnsi="Calibri" w:cs="Calibri"/>
          <w:noProof/>
          <w:sz w:val="24"/>
          <w:szCs w:val="24"/>
        </w:rPr>
        <w:tab/>
        <w:t xml:space="preserve">Wiseman C V., Gunning FM, Gray JJ. Increasing pressure to be thin: 19 years of diet products in television commercials. </w:t>
      </w:r>
      <w:r w:rsidRPr="00C5774B">
        <w:rPr>
          <w:rFonts w:ascii="Calibri" w:hAnsi="Calibri" w:cs="Calibri"/>
          <w:i/>
          <w:iCs/>
          <w:noProof/>
          <w:sz w:val="24"/>
          <w:szCs w:val="24"/>
        </w:rPr>
        <w:t>Eat Disord</w:t>
      </w:r>
      <w:r w:rsidRPr="00C5774B">
        <w:rPr>
          <w:rFonts w:ascii="Calibri" w:hAnsi="Calibri" w:cs="Calibri"/>
          <w:noProof/>
          <w:sz w:val="24"/>
          <w:szCs w:val="24"/>
        </w:rPr>
        <w:t>. 1993. doi:10.1080/10640269308248266</w:t>
      </w:r>
    </w:p>
    <w:p w14:paraId="3243357A" w14:textId="77777777" w:rsidR="00C5774B" w:rsidRPr="00C5774B" w:rsidRDefault="00C5774B" w:rsidP="00C5774B">
      <w:pPr>
        <w:widowControl w:val="0"/>
        <w:autoSpaceDE w:val="0"/>
        <w:autoSpaceDN w:val="0"/>
        <w:adjustRightInd w:val="0"/>
        <w:spacing w:after="0" w:line="360" w:lineRule="auto"/>
        <w:ind w:left="640" w:hanging="640"/>
        <w:rPr>
          <w:rFonts w:ascii="Calibri" w:hAnsi="Calibri" w:cs="Calibri"/>
          <w:noProof/>
          <w:sz w:val="24"/>
          <w:szCs w:val="24"/>
        </w:rPr>
      </w:pPr>
      <w:r w:rsidRPr="00C5774B">
        <w:rPr>
          <w:rFonts w:ascii="Calibri" w:hAnsi="Calibri" w:cs="Calibri"/>
          <w:noProof/>
          <w:sz w:val="24"/>
          <w:szCs w:val="24"/>
        </w:rPr>
        <w:t xml:space="preserve">37. </w:t>
      </w:r>
      <w:r w:rsidRPr="00C5774B">
        <w:rPr>
          <w:rFonts w:ascii="Calibri" w:hAnsi="Calibri" w:cs="Calibri"/>
          <w:noProof/>
          <w:sz w:val="24"/>
          <w:szCs w:val="24"/>
        </w:rPr>
        <w:tab/>
        <w:t xml:space="preserve">Irving LM. Mirror Images: Effects of the Standard of Beauty on the Self- and Body-Esteem of Women Exhibiting Varying Levels of Bulimic Symptoms. </w:t>
      </w:r>
      <w:r w:rsidRPr="00C5774B">
        <w:rPr>
          <w:rFonts w:ascii="Calibri" w:hAnsi="Calibri" w:cs="Calibri"/>
          <w:i/>
          <w:iCs/>
          <w:noProof/>
          <w:sz w:val="24"/>
          <w:szCs w:val="24"/>
        </w:rPr>
        <w:t>J Soc Clin Psychol</w:t>
      </w:r>
      <w:r w:rsidRPr="00C5774B">
        <w:rPr>
          <w:rFonts w:ascii="Calibri" w:hAnsi="Calibri" w:cs="Calibri"/>
          <w:noProof/>
          <w:sz w:val="24"/>
          <w:szCs w:val="24"/>
        </w:rPr>
        <w:t>. 1990. doi:10.1521/jscp.1990.9.2.230</w:t>
      </w:r>
    </w:p>
    <w:p w14:paraId="57674A6F" w14:textId="77777777" w:rsidR="00C5774B" w:rsidRPr="00C5774B" w:rsidRDefault="00C5774B" w:rsidP="00C5774B">
      <w:pPr>
        <w:widowControl w:val="0"/>
        <w:autoSpaceDE w:val="0"/>
        <w:autoSpaceDN w:val="0"/>
        <w:adjustRightInd w:val="0"/>
        <w:spacing w:after="0" w:line="360" w:lineRule="auto"/>
        <w:ind w:left="640" w:hanging="640"/>
        <w:rPr>
          <w:rFonts w:ascii="Calibri" w:hAnsi="Calibri" w:cs="Calibri"/>
          <w:noProof/>
          <w:sz w:val="24"/>
          <w:szCs w:val="24"/>
        </w:rPr>
      </w:pPr>
      <w:r w:rsidRPr="00C5774B">
        <w:rPr>
          <w:rFonts w:ascii="Calibri" w:hAnsi="Calibri" w:cs="Calibri"/>
          <w:noProof/>
          <w:sz w:val="24"/>
          <w:szCs w:val="24"/>
        </w:rPr>
        <w:lastRenderedPageBreak/>
        <w:t xml:space="preserve">38. </w:t>
      </w:r>
      <w:r w:rsidRPr="00C5774B">
        <w:rPr>
          <w:rFonts w:ascii="Calibri" w:hAnsi="Calibri" w:cs="Calibri"/>
          <w:noProof/>
          <w:sz w:val="24"/>
          <w:szCs w:val="24"/>
        </w:rPr>
        <w:tab/>
        <w:t xml:space="preserve">Barker ME, McNeir K, Sameer S, Russell J. Food, nutrition and slimming messages in British women’s magazines, 1950-1998. </w:t>
      </w:r>
      <w:r w:rsidRPr="00C5774B">
        <w:rPr>
          <w:rFonts w:ascii="Calibri" w:hAnsi="Calibri" w:cs="Calibri"/>
          <w:i/>
          <w:iCs/>
          <w:noProof/>
          <w:sz w:val="24"/>
          <w:szCs w:val="24"/>
        </w:rPr>
        <w:t>J Hum Nutr Diet</w:t>
      </w:r>
      <w:r w:rsidRPr="00C5774B">
        <w:rPr>
          <w:rFonts w:ascii="Calibri" w:hAnsi="Calibri" w:cs="Calibri"/>
          <w:noProof/>
          <w:sz w:val="24"/>
          <w:szCs w:val="24"/>
        </w:rPr>
        <w:t>. 2014;27(SUPPL2):124-134. doi:10.1111/jhn.12076</w:t>
      </w:r>
    </w:p>
    <w:p w14:paraId="309F583F" w14:textId="77777777" w:rsidR="00C5774B" w:rsidRPr="00C5774B" w:rsidRDefault="00C5774B" w:rsidP="00C5774B">
      <w:pPr>
        <w:widowControl w:val="0"/>
        <w:autoSpaceDE w:val="0"/>
        <w:autoSpaceDN w:val="0"/>
        <w:adjustRightInd w:val="0"/>
        <w:spacing w:after="0" w:line="360" w:lineRule="auto"/>
        <w:ind w:left="640" w:hanging="640"/>
        <w:rPr>
          <w:rFonts w:ascii="Calibri" w:hAnsi="Calibri" w:cs="Calibri"/>
          <w:noProof/>
          <w:sz w:val="24"/>
          <w:szCs w:val="24"/>
        </w:rPr>
      </w:pPr>
      <w:r w:rsidRPr="00C5774B">
        <w:rPr>
          <w:rFonts w:ascii="Calibri" w:hAnsi="Calibri" w:cs="Calibri"/>
          <w:noProof/>
          <w:sz w:val="24"/>
          <w:szCs w:val="24"/>
        </w:rPr>
        <w:t xml:space="preserve">39. </w:t>
      </w:r>
      <w:r w:rsidRPr="00C5774B">
        <w:rPr>
          <w:rFonts w:ascii="Calibri" w:hAnsi="Calibri" w:cs="Calibri"/>
          <w:noProof/>
          <w:sz w:val="24"/>
          <w:szCs w:val="24"/>
        </w:rPr>
        <w:tab/>
        <w:t xml:space="preserve">Samdal O, Tynjälä J, Roberts C, Sallis JF, Villberg J, Wold B. Trends in vigorous physical activity and TV watching of adolescents from 1986 to 2002 in seven European Countries. </w:t>
      </w:r>
      <w:r w:rsidRPr="00C5774B">
        <w:rPr>
          <w:rFonts w:ascii="Calibri" w:hAnsi="Calibri" w:cs="Calibri"/>
          <w:i/>
          <w:iCs/>
          <w:noProof/>
          <w:sz w:val="24"/>
          <w:szCs w:val="24"/>
        </w:rPr>
        <w:t>Eur J Public Health</w:t>
      </w:r>
      <w:r w:rsidRPr="00C5774B">
        <w:rPr>
          <w:rFonts w:ascii="Calibri" w:hAnsi="Calibri" w:cs="Calibri"/>
          <w:noProof/>
          <w:sz w:val="24"/>
          <w:szCs w:val="24"/>
        </w:rPr>
        <w:t>. 2007. doi:10.1093/eurpub/ckl245</w:t>
      </w:r>
    </w:p>
    <w:p w14:paraId="6C092D25" w14:textId="77777777" w:rsidR="00C5774B" w:rsidRPr="00C5774B" w:rsidRDefault="00C5774B" w:rsidP="00C5774B">
      <w:pPr>
        <w:widowControl w:val="0"/>
        <w:autoSpaceDE w:val="0"/>
        <w:autoSpaceDN w:val="0"/>
        <w:adjustRightInd w:val="0"/>
        <w:spacing w:after="0" w:line="360" w:lineRule="auto"/>
        <w:ind w:left="640" w:hanging="640"/>
        <w:rPr>
          <w:rFonts w:ascii="Calibri" w:hAnsi="Calibri" w:cs="Calibri"/>
          <w:noProof/>
          <w:sz w:val="24"/>
          <w:szCs w:val="24"/>
        </w:rPr>
      </w:pPr>
      <w:r w:rsidRPr="00C5774B">
        <w:rPr>
          <w:rFonts w:ascii="Calibri" w:hAnsi="Calibri" w:cs="Calibri"/>
          <w:noProof/>
          <w:sz w:val="24"/>
          <w:szCs w:val="24"/>
        </w:rPr>
        <w:t xml:space="preserve">40. </w:t>
      </w:r>
      <w:r w:rsidRPr="00C5774B">
        <w:rPr>
          <w:rFonts w:ascii="Calibri" w:hAnsi="Calibri" w:cs="Calibri"/>
          <w:noProof/>
          <w:sz w:val="24"/>
          <w:szCs w:val="24"/>
        </w:rPr>
        <w:tab/>
        <w:t xml:space="preserve">Guthold R, Stevens GA, Riley LM, Bull FC. Global trends in insufficient physical activity among adolescents: a pooled analysis of 298 population-based surveys with 1·6 million participants. </w:t>
      </w:r>
      <w:r w:rsidRPr="00C5774B">
        <w:rPr>
          <w:rFonts w:ascii="Calibri" w:hAnsi="Calibri" w:cs="Calibri"/>
          <w:i/>
          <w:iCs/>
          <w:noProof/>
          <w:sz w:val="24"/>
          <w:szCs w:val="24"/>
        </w:rPr>
        <w:t>Lancet Child Adolesc Heal</w:t>
      </w:r>
      <w:r w:rsidRPr="00C5774B">
        <w:rPr>
          <w:rFonts w:ascii="Calibri" w:hAnsi="Calibri" w:cs="Calibri"/>
          <w:noProof/>
          <w:sz w:val="24"/>
          <w:szCs w:val="24"/>
        </w:rPr>
        <w:t>. 2019;0(0). doi:10.1016/S2352-4642(19)30323-2</w:t>
      </w:r>
    </w:p>
    <w:p w14:paraId="3715D07D" w14:textId="77777777" w:rsidR="00C5774B" w:rsidRPr="00C5774B" w:rsidRDefault="00C5774B" w:rsidP="00C5774B">
      <w:pPr>
        <w:widowControl w:val="0"/>
        <w:autoSpaceDE w:val="0"/>
        <w:autoSpaceDN w:val="0"/>
        <w:adjustRightInd w:val="0"/>
        <w:spacing w:after="0" w:line="360" w:lineRule="auto"/>
        <w:ind w:left="640" w:hanging="640"/>
        <w:rPr>
          <w:rFonts w:ascii="Calibri" w:hAnsi="Calibri" w:cs="Calibri"/>
          <w:noProof/>
          <w:sz w:val="24"/>
          <w:szCs w:val="24"/>
        </w:rPr>
      </w:pPr>
      <w:r w:rsidRPr="00C5774B">
        <w:rPr>
          <w:rFonts w:ascii="Calibri" w:hAnsi="Calibri" w:cs="Calibri"/>
          <w:noProof/>
          <w:sz w:val="24"/>
          <w:szCs w:val="24"/>
        </w:rPr>
        <w:t xml:space="preserve">41. </w:t>
      </w:r>
      <w:r w:rsidRPr="00C5774B">
        <w:rPr>
          <w:rFonts w:ascii="Calibri" w:hAnsi="Calibri" w:cs="Calibri"/>
          <w:noProof/>
          <w:sz w:val="24"/>
          <w:szCs w:val="24"/>
        </w:rPr>
        <w:tab/>
        <w:t xml:space="preserve">Daley AJ, McGee E, Bayliss S, Coombe A, Parretti HM. Effects of physical activity calorie equivalent food labelling to reduce food selection and consumption: systematic review and meta-analysis of randomised controlled studies. </w:t>
      </w:r>
      <w:r w:rsidRPr="00C5774B">
        <w:rPr>
          <w:rFonts w:ascii="Calibri" w:hAnsi="Calibri" w:cs="Calibri"/>
          <w:i/>
          <w:iCs/>
          <w:noProof/>
          <w:sz w:val="24"/>
          <w:szCs w:val="24"/>
        </w:rPr>
        <w:t>J Epidemiol Community Health</w:t>
      </w:r>
      <w:r w:rsidRPr="00C5774B">
        <w:rPr>
          <w:rFonts w:ascii="Calibri" w:hAnsi="Calibri" w:cs="Calibri"/>
          <w:noProof/>
          <w:sz w:val="24"/>
          <w:szCs w:val="24"/>
        </w:rPr>
        <w:t>. December 2019. doi:10.1136/jech-2019-213216</w:t>
      </w:r>
    </w:p>
    <w:p w14:paraId="5AEC228D" w14:textId="77777777" w:rsidR="00C5774B" w:rsidRPr="00C5774B" w:rsidRDefault="00C5774B" w:rsidP="00C5774B">
      <w:pPr>
        <w:widowControl w:val="0"/>
        <w:autoSpaceDE w:val="0"/>
        <w:autoSpaceDN w:val="0"/>
        <w:adjustRightInd w:val="0"/>
        <w:spacing w:after="0" w:line="360" w:lineRule="auto"/>
        <w:ind w:left="640" w:hanging="640"/>
        <w:rPr>
          <w:rFonts w:ascii="Calibri" w:hAnsi="Calibri" w:cs="Calibri"/>
          <w:noProof/>
          <w:sz w:val="24"/>
          <w:szCs w:val="24"/>
        </w:rPr>
      </w:pPr>
      <w:r w:rsidRPr="00C5774B">
        <w:rPr>
          <w:rFonts w:ascii="Calibri" w:hAnsi="Calibri" w:cs="Calibri"/>
          <w:noProof/>
          <w:sz w:val="24"/>
          <w:szCs w:val="24"/>
        </w:rPr>
        <w:t xml:space="preserve">42. </w:t>
      </w:r>
      <w:r w:rsidRPr="00C5774B">
        <w:rPr>
          <w:rFonts w:ascii="Calibri" w:hAnsi="Calibri" w:cs="Calibri"/>
          <w:noProof/>
          <w:sz w:val="24"/>
          <w:szCs w:val="24"/>
        </w:rPr>
        <w:tab/>
        <w:t xml:space="preserve">Brown T, Moore TH, Hooper L, et al. Interventions for preventing obesity in children. </w:t>
      </w:r>
      <w:r w:rsidRPr="00C5774B">
        <w:rPr>
          <w:rFonts w:ascii="Calibri" w:hAnsi="Calibri" w:cs="Calibri"/>
          <w:i/>
          <w:iCs/>
          <w:noProof/>
          <w:sz w:val="24"/>
          <w:szCs w:val="24"/>
        </w:rPr>
        <w:t>Cochrane Database Syst Rev</w:t>
      </w:r>
      <w:r w:rsidRPr="00C5774B">
        <w:rPr>
          <w:rFonts w:ascii="Calibri" w:hAnsi="Calibri" w:cs="Calibri"/>
          <w:noProof/>
          <w:sz w:val="24"/>
          <w:szCs w:val="24"/>
        </w:rPr>
        <w:t>. 2019;(7). doi:10.1002/14651858.CD001871.pub4</w:t>
      </w:r>
    </w:p>
    <w:p w14:paraId="2FF65E94" w14:textId="77777777" w:rsidR="00C5774B" w:rsidRPr="00C5774B" w:rsidRDefault="00C5774B" w:rsidP="00C5774B">
      <w:pPr>
        <w:widowControl w:val="0"/>
        <w:autoSpaceDE w:val="0"/>
        <w:autoSpaceDN w:val="0"/>
        <w:adjustRightInd w:val="0"/>
        <w:spacing w:after="0" w:line="360" w:lineRule="auto"/>
        <w:ind w:left="640" w:hanging="640"/>
        <w:rPr>
          <w:rFonts w:ascii="Calibri" w:hAnsi="Calibri" w:cs="Calibri"/>
          <w:noProof/>
          <w:sz w:val="24"/>
          <w:szCs w:val="24"/>
        </w:rPr>
      </w:pPr>
      <w:r w:rsidRPr="00C5774B">
        <w:rPr>
          <w:rFonts w:ascii="Calibri" w:hAnsi="Calibri" w:cs="Calibri"/>
          <w:noProof/>
          <w:sz w:val="24"/>
          <w:szCs w:val="24"/>
        </w:rPr>
        <w:t xml:space="preserve">43. </w:t>
      </w:r>
      <w:r w:rsidRPr="00C5774B">
        <w:rPr>
          <w:rFonts w:ascii="Calibri" w:hAnsi="Calibri" w:cs="Calibri"/>
          <w:noProof/>
          <w:sz w:val="24"/>
          <w:szCs w:val="24"/>
        </w:rPr>
        <w:tab/>
        <w:t xml:space="preserve">Mond JM, Hay PJ, Rodgers B, Owen C. An update on the definition of “excessive exercise” in eating disorders research. </w:t>
      </w:r>
      <w:r w:rsidRPr="00C5774B">
        <w:rPr>
          <w:rFonts w:ascii="Calibri" w:hAnsi="Calibri" w:cs="Calibri"/>
          <w:i/>
          <w:iCs/>
          <w:noProof/>
          <w:sz w:val="24"/>
          <w:szCs w:val="24"/>
        </w:rPr>
        <w:t>Int J Eat Disord</w:t>
      </w:r>
      <w:r w:rsidRPr="00C5774B">
        <w:rPr>
          <w:rFonts w:ascii="Calibri" w:hAnsi="Calibri" w:cs="Calibri"/>
          <w:noProof/>
          <w:sz w:val="24"/>
          <w:szCs w:val="24"/>
        </w:rPr>
        <w:t>. 2006;39(2):147-153. doi:10.1002/eat.20214</w:t>
      </w:r>
    </w:p>
    <w:p w14:paraId="19972810" w14:textId="77777777" w:rsidR="00C5774B" w:rsidRPr="00C5774B" w:rsidRDefault="00C5774B" w:rsidP="00C5774B">
      <w:pPr>
        <w:widowControl w:val="0"/>
        <w:autoSpaceDE w:val="0"/>
        <w:autoSpaceDN w:val="0"/>
        <w:adjustRightInd w:val="0"/>
        <w:spacing w:after="0" w:line="360" w:lineRule="auto"/>
        <w:ind w:left="640" w:hanging="640"/>
        <w:rPr>
          <w:rFonts w:ascii="Calibri" w:hAnsi="Calibri" w:cs="Calibri"/>
          <w:noProof/>
          <w:sz w:val="24"/>
          <w:szCs w:val="24"/>
        </w:rPr>
      </w:pPr>
      <w:r w:rsidRPr="00C5774B">
        <w:rPr>
          <w:rFonts w:ascii="Calibri" w:hAnsi="Calibri" w:cs="Calibri"/>
          <w:noProof/>
          <w:sz w:val="24"/>
          <w:szCs w:val="24"/>
        </w:rPr>
        <w:t xml:space="preserve">44. </w:t>
      </w:r>
      <w:r w:rsidRPr="00C5774B">
        <w:rPr>
          <w:rFonts w:ascii="Calibri" w:hAnsi="Calibri" w:cs="Calibri"/>
          <w:noProof/>
          <w:sz w:val="24"/>
          <w:szCs w:val="24"/>
        </w:rPr>
        <w:tab/>
        <w:t xml:space="preserve">National Eating Disorders Collaboration. </w:t>
      </w:r>
      <w:r w:rsidRPr="00C5774B">
        <w:rPr>
          <w:rFonts w:ascii="Calibri" w:hAnsi="Calibri" w:cs="Calibri"/>
          <w:i/>
          <w:iCs/>
          <w:noProof/>
          <w:sz w:val="24"/>
          <w:szCs w:val="24"/>
        </w:rPr>
        <w:t>Evaluating the Risk of Harm of Weight-Related Public Messages</w:t>
      </w:r>
      <w:r w:rsidRPr="00C5774B">
        <w:rPr>
          <w:rFonts w:ascii="Calibri" w:hAnsi="Calibri" w:cs="Calibri"/>
          <w:noProof/>
          <w:sz w:val="24"/>
          <w:szCs w:val="24"/>
        </w:rPr>
        <w:t>. Crows Nest; 2011.</w:t>
      </w:r>
    </w:p>
    <w:p w14:paraId="56E8AE8D" w14:textId="77777777" w:rsidR="00C5774B" w:rsidRPr="00C5774B" w:rsidRDefault="00C5774B" w:rsidP="00C5774B">
      <w:pPr>
        <w:widowControl w:val="0"/>
        <w:autoSpaceDE w:val="0"/>
        <w:autoSpaceDN w:val="0"/>
        <w:adjustRightInd w:val="0"/>
        <w:spacing w:after="0" w:line="360" w:lineRule="auto"/>
        <w:ind w:left="640" w:hanging="640"/>
        <w:rPr>
          <w:rFonts w:ascii="Calibri" w:hAnsi="Calibri" w:cs="Calibri"/>
          <w:noProof/>
          <w:sz w:val="24"/>
          <w:szCs w:val="24"/>
        </w:rPr>
      </w:pPr>
      <w:r w:rsidRPr="00C5774B">
        <w:rPr>
          <w:rFonts w:ascii="Calibri" w:hAnsi="Calibri" w:cs="Calibri"/>
          <w:noProof/>
          <w:sz w:val="24"/>
          <w:szCs w:val="24"/>
        </w:rPr>
        <w:t xml:space="preserve">45. </w:t>
      </w:r>
      <w:r w:rsidRPr="00C5774B">
        <w:rPr>
          <w:rFonts w:ascii="Calibri" w:hAnsi="Calibri" w:cs="Calibri"/>
          <w:noProof/>
          <w:sz w:val="24"/>
          <w:szCs w:val="24"/>
        </w:rPr>
        <w:tab/>
        <w:t xml:space="preserve">O’Dea JA. Prevention of child obesity: “First, do no harm.” </w:t>
      </w:r>
      <w:r w:rsidRPr="00C5774B">
        <w:rPr>
          <w:rFonts w:ascii="Calibri" w:hAnsi="Calibri" w:cs="Calibri"/>
          <w:i/>
          <w:iCs/>
          <w:noProof/>
          <w:sz w:val="24"/>
          <w:szCs w:val="24"/>
        </w:rPr>
        <w:t>Health Educ Res</w:t>
      </w:r>
      <w:r w:rsidRPr="00C5774B">
        <w:rPr>
          <w:rFonts w:ascii="Calibri" w:hAnsi="Calibri" w:cs="Calibri"/>
          <w:noProof/>
          <w:sz w:val="24"/>
          <w:szCs w:val="24"/>
        </w:rPr>
        <w:t>. 2005. doi:10.1093/her/cyg116</w:t>
      </w:r>
    </w:p>
    <w:p w14:paraId="377D2EAA" w14:textId="77777777" w:rsidR="00C5774B" w:rsidRPr="00C5774B" w:rsidRDefault="00C5774B" w:rsidP="00C5774B">
      <w:pPr>
        <w:widowControl w:val="0"/>
        <w:autoSpaceDE w:val="0"/>
        <w:autoSpaceDN w:val="0"/>
        <w:adjustRightInd w:val="0"/>
        <w:spacing w:after="0" w:line="360" w:lineRule="auto"/>
        <w:ind w:left="640" w:hanging="640"/>
        <w:rPr>
          <w:rFonts w:ascii="Calibri" w:hAnsi="Calibri" w:cs="Calibri"/>
          <w:noProof/>
          <w:sz w:val="24"/>
          <w:szCs w:val="24"/>
        </w:rPr>
      </w:pPr>
      <w:r w:rsidRPr="00C5774B">
        <w:rPr>
          <w:rFonts w:ascii="Calibri" w:hAnsi="Calibri" w:cs="Calibri"/>
          <w:noProof/>
          <w:sz w:val="24"/>
          <w:szCs w:val="24"/>
        </w:rPr>
        <w:t xml:space="preserve">46. </w:t>
      </w:r>
      <w:r w:rsidRPr="00C5774B">
        <w:rPr>
          <w:rFonts w:ascii="Calibri" w:hAnsi="Calibri" w:cs="Calibri"/>
          <w:noProof/>
          <w:sz w:val="24"/>
          <w:szCs w:val="24"/>
        </w:rPr>
        <w:tab/>
        <w:t xml:space="preserve">Neumark-Sztainer D. Preventing Obesity and Eating Disorders in Adolescents: What Can Health Care Providers Do? </w:t>
      </w:r>
      <w:r w:rsidRPr="00C5774B">
        <w:rPr>
          <w:rFonts w:ascii="Calibri" w:hAnsi="Calibri" w:cs="Calibri"/>
          <w:i/>
          <w:iCs/>
          <w:noProof/>
          <w:sz w:val="24"/>
          <w:szCs w:val="24"/>
        </w:rPr>
        <w:t>J Adolesc Heal</w:t>
      </w:r>
      <w:r w:rsidRPr="00C5774B">
        <w:rPr>
          <w:rFonts w:ascii="Calibri" w:hAnsi="Calibri" w:cs="Calibri"/>
          <w:noProof/>
          <w:sz w:val="24"/>
          <w:szCs w:val="24"/>
        </w:rPr>
        <w:t>. 2009. doi:10.1016/j.jadohealth.2008.11.005</w:t>
      </w:r>
    </w:p>
    <w:p w14:paraId="5874089F" w14:textId="77777777" w:rsidR="00C5774B" w:rsidRPr="00C5774B" w:rsidRDefault="00C5774B" w:rsidP="00C5774B">
      <w:pPr>
        <w:widowControl w:val="0"/>
        <w:autoSpaceDE w:val="0"/>
        <w:autoSpaceDN w:val="0"/>
        <w:adjustRightInd w:val="0"/>
        <w:spacing w:after="0" w:line="360" w:lineRule="auto"/>
        <w:ind w:left="640" w:hanging="640"/>
        <w:rPr>
          <w:rFonts w:ascii="Calibri" w:hAnsi="Calibri" w:cs="Calibri"/>
          <w:noProof/>
          <w:sz w:val="24"/>
          <w:szCs w:val="24"/>
        </w:rPr>
      </w:pPr>
      <w:r w:rsidRPr="00C5774B">
        <w:rPr>
          <w:rFonts w:ascii="Calibri" w:hAnsi="Calibri" w:cs="Calibri"/>
          <w:noProof/>
          <w:sz w:val="24"/>
          <w:szCs w:val="24"/>
        </w:rPr>
        <w:t xml:space="preserve">47. </w:t>
      </w:r>
      <w:r w:rsidRPr="00C5774B">
        <w:rPr>
          <w:rFonts w:ascii="Calibri" w:hAnsi="Calibri" w:cs="Calibri"/>
          <w:noProof/>
          <w:sz w:val="24"/>
          <w:szCs w:val="24"/>
        </w:rPr>
        <w:tab/>
        <w:t xml:space="preserve">Sánchez-Carracedo D, Neumark-Sztainer D, López-Guimerà G. Integrated prevention of obesity and eating disorders: Barriers, developments and opportunities. </w:t>
      </w:r>
      <w:r w:rsidRPr="00C5774B">
        <w:rPr>
          <w:rFonts w:ascii="Calibri" w:hAnsi="Calibri" w:cs="Calibri"/>
          <w:i/>
          <w:iCs/>
          <w:noProof/>
          <w:sz w:val="24"/>
          <w:szCs w:val="24"/>
        </w:rPr>
        <w:t>Public Health Nutr</w:t>
      </w:r>
      <w:r w:rsidRPr="00C5774B">
        <w:rPr>
          <w:rFonts w:ascii="Calibri" w:hAnsi="Calibri" w:cs="Calibri"/>
          <w:noProof/>
          <w:sz w:val="24"/>
          <w:szCs w:val="24"/>
        </w:rPr>
        <w:t>. 2012. doi:10.1017/S1368980012000705</w:t>
      </w:r>
    </w:p>
    <w:p w14:paraId="767BA5EF" w14:textId="77777777" w:rsidR="00C5774B" w:rsidRPr="00C5774B" w:rsidRDefault="00C5774B" w:rsidP="00C5774B">
      <w:pPr>
        <w:widowControl w:val="0"/>
        <w:autoSpaceDE w:val="0"/>
        <w:autoSpaceDN w:val="0"/>
        <w:adjustRightInd w:val="0"/>
        <w:spacing w:after="0" w:line="360" w:lineRule="auto"/>
        <w:ind w:left="640" w:hanging="640"/>
        <w:rPr>
          <w:rFonts w:ascii="Calibri" w:hAnsi="Calibri" w:cs="Calibri"/>
          <w:noProof/>
          <w:sz w:val="24"/>
          <w:szCs w:val="24"/>
        </w:rPr>
      </w:pPr>
      <w:r w:rsidRPr="00C5774B">
        <w:rPr>
          <w:rFonts w:ascii="Calibri" w:hAnsi="Calibri" w:cs="Calibri"/>
          <w:noProof/>
          <w:sz w:val="24"/>
          <w:szCs w:val="24"/>
        </w:rPr>
        <w:t xml:space="preserve">48. </w:t>
      </w:r>
      <w:r w:rsidRPr="00C5774B">
        <w:rPr>
          <w:rFonts w:ascii="Calibri" w:hAnsi="Calibri" w:cs="Calibri"/>
          <w:noProof/>
          <w:sz w:val="24"/>
          <w:szCs w:val="24"/>
        </w:rPr>
        <w:tab/>
        <w:t xml:space="preserve">Unlocking Potential. </w:t>
      </w:r>
      <w:r w:rsidRPr="00C5774B">
        <w:rPr>
          <w:rFonts w:ascii="Calibri" w:hAnsi="Calibri" w:cs="Calibri"/>
          <w:i/>
          <w:iCs/>
          <w:noProof/>
          <w:sz w:val="24"/>
          <w:szCs w:val="24"/>
        </w:rPr>
        <w:t>Active Health and Wellness Report</w:t>
      </w:r>
      <w:r w:rsidRPr="00C5774B">
        <w:rPr>
          <w:rFonts w:ascii="Calibri" w:hAnsi="Calibri" w:cs="Calibri"/>
          <w:noProof/>
          <w:sz w:val="24"/>
          <w:szCs w:val="24"/>
        </w:rPr>
        <w:t>.; 2019.</w:t>
      </w:r>
    </w:p>
    <w:p w14:paraId="0099AA6E" w14:textId="77777777" w:rsidR="00C5774B" w:rsidRPr="00C5774B" w:rsidRDefault="00C5774B" w:rsidP="00C5774B">
      <w:pPr>
        <w:widowControl w:val="0"/>
        <w:autoSpaceDE w:val="0"/>
        <w:autoSpaceDN w:val="0"/>
        <w:adjustRightInd w:val="0"/>
        <w:spacing w:after="0" w:line="360" w:lineRule="auto"/>
        <w:ind w:left="640" w:hanging="640"/>
        <w:rPr>
          <w:rFonts w:ascii="Calibri" w:hAnsi="Calibri" w:cs="Calibri"/>
          <w:noProof/>
          <w:sz w:val="24"/>
          <w:szCs w:val="24"/>
        </w:rPr>
      </w:pPr>
      <w:r w:rsidRPr="00C5774B">
        <w:rPr>
          <w:rFonts w:ascii="Calibri" w:hAnsi="Calibri" w:cs="Calibri"/>
          <w:noProof/>
          <w:sz w:val="24"/>
          <w:szCs w:val="24"/>
        </w:rPr>
        <w:t xml:space="preserve">49. </w:t>
      </w:r>
      <w:r w:rsidRPr="00C5774B">
        <w:rPr>
          <w:rFonts w:ascii="Calibri" w:hAnsi="Calibri" w:cs="Calibri"/>
          <w:noProof/>
          <w:sz w:val="24"/>
          <w:szCs w:val="24"/>
        </w:rPr>
        <w:tab/>
        <w:t xml:space="preserve">Farquhar JC, Wasylkiw L. Media Images of Men: Trends and Consequences of Body Conceptualization. </w:t>
      </w:r>
      <w:r w:rsidRPr="00C5774B">
        <w:rPr>
          <w:rFonts w:ascii="Calibri" w:hAnsi="Calibri" w:cs="Calibri"/>
          <w:i/>
          <w:iCs/>
          <w:noProof/>
          <w:sz w:val="24"/>
          <w:szCs w:val="24"/>
        </w:rPr>
        <w:t>Psychol Men Masculinity</w:t>
      </w:r>
      <w:r w:rsidRPr="00C5774B">
        <w:rPr>
          <w:rFonts w:ascii="Calibri" w:hAnsi="Calibri" w:cs="Calibri"/>
          <w:noProof/>
          <w:sz w:val="24"/>
          <w:szCs w:val="24"/>
        </w:rPr>
        <w:t>. 2007. doi:10.1037/1524-9220.8.3.145</w:t>
      </w:r>
    </w:p>
    <w:p w14:paraId="222BE0F4" w14:textId="77777777" w:rsidR="00C5774B" w:rsidRPr="00C5774B" w:rsidRDefault="00C5774B" w:rsidP="00C5774B">
      <w:pPr>
        <w:widowControl w:val="0"/>
        <w:autoSpaceDE w:val="0"/>
        <w:autoSpaceDN w:val="0"/>
        <w:adjustRightInd w:val="0"/>
        <w:spacing w:after="0" w:line="360" w:lineRule="auto"/>
        <w:ind w:left="640" w:hanging="640"/>
        <w:rPr>
          <w:rFonts w:ascii="Calibri" w:hAnsi="Calibri" w:cs="Calibri"/>
          <w:noProof/>
          <w:sz w:val="24"/>
          <w:szCs w:val="24"/>
        </w:rPr>
      </w:pPr>
      <w:r w:rsidRPr="00C5774B">
        <w:rPr>
          <w:rFonts w:ascii="Calibri" w:hAnsi="Calibri" w:cs="Calibri"/>
          <w:noProof/>
          <w:sz w:val="24"/>
          <w:szCs w:val="24"/>
        </w:rPr>
        <w:lastRenderedPageBreak/>
        <w:t xml:space="preserve">50. </w:t>
      </w:r>
      <w:r w:rsidRPr="00C5774B">
        <w:rPr>
          <w:rFonts w:ascii="Calibri" w:hAnsi="Calibri" w:cs="Calibri"/>
          <w:noProof/>
          <w:sz w:val="24"/>
          <w:szCs w:val="24"/>
        </w:rPr>
        <w:tab/>
        <w:t xml:space="preserve">Reel J, Voelker D, Greenleaf C. Weight status and body image perceptions in adolescents: current perspectives. </w:t>
      </w:r>
      <w:r w:rsidRPr="00C5774B">
        <w:rPr>
          <w:rFonts w:ascii="Calibri" w:hAnsi="Calibri" w:cs="Calibri"/>
          <w:i/>
          <w:iCs/>
          <w:noProof/>
          <w:sz w:val="24"/>
          <w:szCs w:val="24"/>
        </w:rPr>
        <w:t>Adolesc Health Med Ther</w:t>
      </w:r>
      <w:r w:rsidRPr="00C5774B">
        <w:rPr>
          <w:rFonts w:ascii="Calibri" w:hAnsi="Calibri" w:cs="Calibri"/>
          <w:noProof/>
          <w:sz w:val="24"/>
          <w:szCs w:val="24"/>
        </w:rPr>
        <w:t>. 2015. doi:10.2147/ahmt.s68344</w:t>
      </w:r>
    </w:p>
    <w:p w14:paraId="0861C3D1" w14:textId="77777777" w:rsidR="00C5774B" w:rsidRPr="00C5774B" w:rsidRDefault="00C5774B" w:rsidP="00C5774B">
      <w:pPr>
        <w:widowControl w:val="0"/>
        <w:autoSpaceDE w:val="0"/>
        <w:autoSpaceDN w:val="0"/>
        <w:adjustRightInd w:val="0"/>
        <w:spacing w:after="0" w:line="360" w:lineRule="auto"/>
        <w:ind w:left="640" w:hanging="640"/>
        <w:rPr>
          <w:rFonts w:ascii="Calibri" w:hAnsi="Calibri" w:cs="Calibri"/>
          <w:noProof/>
          <w:sz w:val="24"/>
          <w:szCs w:val="24"/>
        </w:rPr>
      </w:pPr>
      <w:r w:rsidRPr="00C5774B">
        <w:rPr>
          <w:rFonts w:ascii="Calibri" w:hAnsi="Calibri" w:cs="Calibri"/>
          <w:noProof/>
          <w:sz w:val="24"/>
          <w:szCs w:val="24"/>
        </w:rPr>
        <w:t xml:space="preserve">51. </w:t>
      </w:r>
      <w:r w:rsidRPr="00C5774B">
        <w:rPr>
          <w:rFonts w:ascii="Calibri" w:hAnsi="Calibri" w:cs="Calibri"/>
          <w:noProof/>
          <w:sz w:val="24"/>
          <w:szCs w:val="24"/>
        </w:rPr>
        <w:tab/>
        <w:t xml:space="preserve">Harrison K. The body electric: Thin-ideal media and eating disorders in adolescents. </w:t>
      </w:r>
      <w:r w:rsidRPr="00C5774B">
        <w:rPr>
          <w:rFonts w:ascii="Calibri" w:hAnsi="Calibri" w:cs="Calibri"/>
          <w:i/>
          <w:iCs/>
          <w:noProof/>
          <w:sz w:val="24"/>
          <w:szCs w:val="24"/>
        </w:rPr>
        <w:t>J Commun</w:t>
      </w:r>
      <w:r w:rsidRPr="00C5774B">
        <w:rPr>
          <w:rFonts w:ascii="Calibri" w:hAnsi="Calibri" w:cs="Calibri"/>
          <w:noProof/>
          <w:sz w:val="24"/>
          <w:szCs w:val="24"/>
        </w:rPr>
        <w:t>. 2000. doi:10.1111/j.1460-2466.2000.tb02856.x</w:t>
      </w:r>
    </w:p>
    <w:p w14:paraId="29A1D95E" w14:textId="77777777" w:rsidR="00C5774B" w:rsidRPr="00C5774B" w:rsidRDefault="00C5774B" w:rsidP="00C5774B">
      <w:pPr>
        <w:widowControl w:val="0"/>
        <w:autoSpaceDE w:val="0"/>
        <w:autoSpaceDN w:val="0"/>
        <w:adjustRightInd w:val="0"/>
        <w:spacing w:after="0" w:line="360" w:lineRule="auto"/>
        <w:ind w:left="640" w:hanging="640"/>
        <w:rPr>
          <w:rFonts w:ascii="Calibri" w:hAnsi="Calibri" w:cs="Calibri"/>
          <w:noProof/>
          <w:sz w:val="24"/>
          <w:szCs w:val="24"/>
        </w:rPr>
      </w:pPr>
      <w:r w:rsidRPr="00C5774B">
        <w:rPr>
          <w:rFonts w:ascii="Calibri" w:hAnsi="Calibri" w:cs="Calibri"/>
          <w:noProof/>
          <w:sz w:val="24"/>
          <w:szCs w:val="24"/>
        </w:rPr>
        <w:t xml:space="preserve">52. </w:t>
      </w:r>
      <w:r w:rsidRPr="00C5774B">
        <w:rPr>
          <w:rFonts w:ascii="Calibri" w:hAnsi="Calibri" w:cs="Calibri"/>
          <w:noProof/>
          <w:sz w:val="24"/>
          <w:szCs w:val="24"/>
        </w:rPr>
        <w:tab/>
        <w:t xml:space="preserve">Hesse-Biber S, Leavy P, Quinn CE, Zoino J. The mass marketing of disordered eating and Eating Disorders: The social psychology of women, thinness and culture. </w:t>
      </w:r>
      <w:r w:rsidRPr="00C5774B">
        <w:rPr>
          <w:rFonts w:ascii="Calibri" w:hAnsi="Calibri" w:cs="Calibri"/>
          <w:i/>
          <w:iCs/>
          <w:noProof/>
          <w:sz w:val="24"/>
          <w:szCs w:val="24"/>
        </w:rPr>
        <w:t>Womens Stud Int Forum</w:t>
      </w:r>
      <w:r w:rsidRPr="00C5774B">
        <w:rPr>
          <w:rFonts w:ascii="Calibri" w:hAnsi="Calibri" w:cs="Calibri"/>
          <w:noProof/>
          <w:sz w:val="24"/>
          <w:szCs w:val="24"/>
        </w:rPr>
        <w:t>. 2006. doi:10.1016/j.wsif.2006.03.007</w:t>
      </w:r>
    </w:p>
    <w:p w14:paraId="411CC254" w14:textId="77777777" w:rsidR="00C5774B" w:rsidRPr="00C5774B" w:rsidRDefault="00C5774B" w:rsidP="00C5774B">
      <w:pPr>
        <w:widowControl w:val="0"/>
        <w:autoSpaceDE w:val="0"/>
        <w:autoSpaceDN w:val="0"/>
        <w:adjustRightInd w:val="0"/>
        <w:spacing w:after="0" w:line="360" w:lineRule="auto"/>
        <w:ind w:left="640" w:hanging="640"/>
        <w:rPr>
          <w:rFonts w:ascii="Calibri" w:hAnsi="Calibri" w:cs="Calibri"/>
          <w:noProof/>
          <w:sz w:val="24"/>
          <w:szCs w:val="24"/>
        </w:rPr>
      </w:pPr>
      <w:r w:rsidRPr="00C5774B">
        <w:rPr>
          <w:rFonts w:ascii="Calibri" w:hAnsi="Calibri" w:cs="Calibri"/>
          <w:noProof/>
          <w:sz w:val="24"/>
          <w:szCs w:val="24"/>
        </w:rPr>
        <w:t xml:space="preserve">53. </w:t>
      </w:r>
      <w:r w:rsidRPr="00C5774B">
        <w:rPr>
          <w:rFonts w:ascii="Calibri" w:hAnsi="Calibri" w:cs="Calibri"/>
          <w:noProof/>
          <w:sz w:val="24"/>
          <w:szCs w:val="24"/>
        </w:rPr>
        <w:tab/>
        <w:t xml:space="preserve">Owen PR, Laurel-Seller E. Weight and shape ideals: Thin is dangerously in. </w:t>
      </w:r>
      <w:r w:rsidRPr="00C5774B">
        <w:rPr>
          <w:rFonts w:ascii="Calibri" w:hAnsi="Calibri" w:cs="Calibri"/>
          <w:i/>
          <w:iCs/>
          <w:noProof/>
          <w:sz w:val="24"/>
          <w:szCs w:val="24"/>
        </w:rPr>
        <w:t>J Appl Soc Psychol</w:t>
      </w:r>
      <w:r w:rsidRPr="00C5774B">
        <w:rPr>
          <w:rFonts w:ascii="Calibri" w:hAnsi="Calibri" w:cs="Calibri"/>
          <w:noProof/>
          <w:sz w:val="24"/>
          <w:szCs w:val="24"/>
        </w:rPr>
        <w:t>. 2000. doi:10.1111/j.1559-1816.2000.tb02506.x</w:t>
      </w:r>
    </w:p>
    <w:p w14:paraId="0757E42D" w14:textId="77777777" w:rsidR="00C5774B" w:rsidRPr="00C5774B" w:rsidRDefault="00C5774B" w:rsidP="00C5774B">
      <w:pPr>
        <w:widowControl w:val="0"/>
        <w:autoSpaceDE w:val="0"/>
        <w:autoSpaceDN w:val="0"/>
        <w:adjustRightInd w:val="0"/>
        <w:spacing w:after="0" w:line="360" w:lineRule="auto"/>
        <w:ind w:left="640" w:hanging="640"/>
        <w:rPr>
          <w:rFonts w:ascii="Calibri" w:hAnsi="Calibri" w:cs="Calibri"/>
          <w:noProof/>
          <w:sz w:val="24"/>
          <w:szCs w:val="24"/>
        </w:rPr>
      </w:pPr>
      <w:r w:rsidRPr="00C5774B">
        <w:rPr>
          <w:rFonts w:ascii="Calibri" w:hAnsi="Calibri" w:cs="Calibri"/>
          <w:noProof/>
          <w:sz w:val="24"/>
          <w:szCs w:val="24"/>
        </w:rPr>
        <w:t xml:space="preserve">54. </w:t>
      </w:r>
      <w:r w:rsidRPr="00C5774B">
        <w:rPr>
          <w:rFonts w:ascii="Calibri" w:hAnsi="Calibri" w:cs="Calibri"/>
          <w:noProof/>
          <w:sz w:val="24"/>
          <w:szCs w:val="24"/>
        </w:rPr>
        <w:tab/>
        <w:t xml:space="preserve">Bould H, Carnegie R, Allward H, et al. Effects of exposure to bodies of different sizes on perception of and satisfaction with own body size: two randomized studies. </w:t>
      </w:r>
      <w:r w:rsidRPr="00C5774B">
        <w:rPr>
          <w:rFonts w:ascii="Calibri" w:hAnsi="Calibri" w:cs="Calibri"/>
          <w:i/>
          <w:iCs/>
          <w:noProof/>
          <w:sz w:val="24"/>
          <w:szCs w:val="24"/>
        </w:rPr>
        <w:t>R Soc Open Sci</w:t>
      </w:r>
      <w:r w:rsidRPr="00C5774B">
        <w:rPr>
          <w:rFonts w:ascii="Calibri" w:hAnsi="Calibri" w:cs="Calibri"/>
          <w:noProof/>
          <w:sz w:val="24"/>
          <w:szCs w:val="24"/>
        </w:rPr>
        <w:t>. 2018;5(5):171387. doi:10.1098/rsos.171387</w:t>
      </w:r>
    </w:p>
    <w:p w14:paraId="51D95170" w14:textId="77777777" w:rsidR="00C5774B" w:rsidRPr="00C5774B" w:rsidRDefault="00C5774B" w:rsidP="00C5774B">
      <w:pPr>
        <w:widowControl w:val="0"/>
        <w:autoSpaceDE w:val="0"/>
        <w:autoSpaceDN w:val="0"/>
        <w:adjustRightInd w:val="0"/>
        <w:spacing w:after="0" w:line="360" w:lineRule="auto"/>
        <w:ind w:left="640" w:hanging="640"/>
        <w:rPr>
          <w:rFonts w:ascii="Calibri" w:hAnsi="Calibri" w:cs="Calibri"/>
          <w:noProof/>
          <w:sz w:val="24"/>
          <w:szCs w:val="24"/>
        </w:rPr>
      </w:pPr>
      <w:r w:rsidRPr="00C5774B">
        <w:rPr>
          <w:rFonts w:ascii="Calibri" w:hAnsi="Calibri" w:cs="Calibri"/>
          <w:noProof/>
          <w:sz w:val="24"/>
          <w:szCs w:val="24"/>
        </w:rPr>
        <w:t xml:space="preserve">55. </w:t>
      </w:r>
      <w:r w:rsidRPr="00C5774B">
        <w:rPr>
          <w:rFonts w:ascii="Calibri" w:hAnsi="Calibri" w:cs="Calibri"/>
          <w:noProof/>
          <w:sz w:val="24"/>
          <w:szCs w:val="24"/>
        </w:rPr>
        <w:tab/>
        <w:t xml:space="preserve">Flament MF, Hill EM, Buchholz A, Henderson K, Tasca GA, Goldfield G. Internalization of the thin and muscular body ideal and disordered eating in adolescence: The mediation effects of body esteem. </w:t>
      </w:r>
      <w:r w:rsidRPr="00C5774B">
        <w:rPr>
          <w:rFonts w:ascii="Calibri" w:hAnsi="Calibri" w:cs="Calibri"/>
          <w:i/>
          <w:iCs/>
          <w:noProof/>
          <w:sz w:val="24"/>
          <w:szCs w:val="24"/>
        </w:rPr>
        <w:t>Body Image</w:t>
      </w:r>
      <w:r w:rsidRPr="00C5774B">
        <w:rPr>
          <w:rFonts w:ascii="Calibri" w:hAnsi="Calibri" w:cs="Calibri"/>
          <w:noProof/>
          <w:sz w:val="24"/>
          <w:szCs w:val="24"/>
        </w:rPr>
        <w:t>. 2012. doi:10.1016/j.bodyim.2011.07.007</w:t>
      </w:r>
    </w:p>
    <w:p w14:paraId="19160D48" w14:textId="77777777" w:rsidR="00C5774B" w:rsidRPr="00C5774B" w:rsidRDefault="00C5774B" w:rsidP="00C5774B">
      <w:pPr>
        <w:widowControl w:val="0"/>
        <w:autoSpaceDE w:val="0"/>
        <w:autoSpaceDN w:val="0"/>
        <w:adjustRightInd w:val="0"/>
        <w:spacing w:after="0" w:line="360" w:lineRule="auto"/>
        <w:ind w:left="640" w:hanging="640"/>
        <w:rPr>
          <w:rFonts w:ascii="Calibri" w:hAnsi="Calibri" w:cs="Calibri"/>
          <w:noProof/>
          <w:sz w:val="24"/>
          <w:szCs w:val="24"/>
        </w:rPr>
      </w:pPr>
      <w:r w:rsidRPr="00C5774B">
        <w:rPr>
          <w:rFonts w:ascii="Calibri" w:hAnsi="Calibri" w:cs="Calibri"/>
          <w:noProof/>
          <w:sz w:val="24"/>
          <w:szCs w:val="24"/>
        </w:rPr>
        <w:t xml:space="preserve">56. </w:t>
      </w:r>
      <w:r w:rsidRPr="00C5774B">
        <w:rPr>
          <w:rFonts w:ascii="Calibri" w:hAnsi="Calibri" w:cs="Calibri"/>
          <w:noProof/>
          <w:sz w:val="24"/>
          <w:szCs w:val="24"/>
        </w:rPr>
        <w:tab/>
        <w:t xml:space="preserve">Thompson JK, Stice E. Thin-ideal internalization: Mounting evidence for a new risk factor for body-image disturbance and eating pathology. </w:t>
      </w:r>
      <w:r w:rsidRPr="00C5774B">
        <w:rPr>
          <w:rFonts w:ascii="Calibri" w:hAnsi="Calibri" w:cs="Calibri"/>
          <w:i/>
          <w:iCs/>
          <w:noProof/>
          <w:sz w:val="24"/>
          <w:szCs w:val="24"/>
        </w:rPr>
        <w:t>Curr Dir Psychol Sci</w:t>
      </w:r>
      <w:r w:rsidRPr="00C5774B">
        <w:rPr>
          <w:rFonts w:ascii="Calibri" w:hAnsi="Calibri" w:cs="Calibri"/>
          <w:noProof/>
          <w:sz w:val="24"/>
          <w:szCs w:val="24"/>
        </w:rPr>
        <w:t>. 2001. doi:10.1111/1467-8721.00144</w:t>
      </w:r>
    </w:p>
    <w:p w14:paraId="7E084397" w14:textId="77777777" w:rsidR="00C5774B" w:rsidRPr="00C5774B" w:rsidRDefault="00C5774B" w:rsidP="00C5774B">
      <w:pPr>
        <w:widowControl w:val="0"/>
        <w:autoSpaceDE w:val="0"/>
        <w:autoSpaceDN w:val="0"/>
        <w:adjustRightInd w:val="0"/>
        <w:spacing w:after="0" w:line="360" w:lineRule="auto"/>
        <w:ind w:left="640" w:hanging="640"/>
        <w:rPr>
          <w:rFonts w:ascii="Calibri" w:hAnsi="Calibri" w:cs="Calibri"/>
          <w:noProof/>
          <w:sz w:val="24"/>
          <w:szCs w:val="24"/>
        </w:rPr>
      </w:pPr>
      <w:r w:rsidRPr="00C5774B">
        <w:rPr>
          <w:rFonts w:ascii="Calibri" w:hAnsi="Calibri" w:cs="Calibri"/>
          <w:noProof/>
          <w:sz w:val="24"/>
          <w:szCs w:val="24"/>
        </w:rPr>
        <w:t xml:space="preserve">57. </w:t>
      </w:r>
      <w:r w:rsidRPr="00C5774B">
        <w:rPr>
          <w:rFonts w:ascii="Calibri" w:hAnsi="Calibri" w:cs="Calibri"/>
          <w:noProof/>
          <w:sz w:val="24"/>
          <w:szCs w:val="24"/>
        </w:rPr>
        <w:tab/>
        <w:t xml:space="preserve">Rees R, Caird J, Dickson K, Vigurs C, Thomas J. </w:t>
      </w:r>
      <w:r w:rsidRPr="00C5774B">
        <w:rPr>
          <w:rFonts w:ascii="Calibri" w:hAnsi="Calibri" w:cs="Calibri"/>
          <w:i/>
          <w:iCs/>
          <w:noProof/>
          <w:sz w:val="24"/>
          <w:szCs w:val="24"/>
        </w:rPr>
        <w:t>The Views of Young People in the UK about Obesity, Body Size, Shape and Weight</w:t>
      </w:r>
      <w:r w:rsidRPr="00C5774B">
        <w:rPr>
          <w:rFonts w:ascii="Calibri" w:hAnsi="Calibri" w:cs="Calibri"/>
          <w:noProof/>
          <w:sz w:val="24"/>
          <w:szCs w:val="24"/>
        </w:rPr>
        <w:t>. London, UK; 2013.</w:t>
      </w:r>
    </w:p>
    <w:p w14:paraId="1E160027" w14:textId="77777777" w:rsidR="00C5774B" w:rsidRPr="00C5774B" w:rsidRDefault="00C5774B" w:rsidP="00C5774B">
      <w:pPr>
        <w:widowControl w:val="0"/>
        <w:autoSpaceDE w:val="0"/>
        <w:autoSpaceDN w:val="0"/>
        <w:adjustRightInd w:val="0"/>
        <w:spacing w:after="0" w:line="360" w:lineRule="auto"/>
        <w:ind w:left="640" w:hanging="640"/>
        <w:rPr>
          <w:rFonts w:ascii="Calibri" w:hAnsi="Calibri" w:cs="Calibri"/>
          <w:noProof/>
          <w:sz w:val="24"/>
          <w:szCs w:val="24"/>
        </w:rPr>
      </w:pPr>
      <w:r w:rsidRPr="00C5774B">
        <w:rPr>
          <w:rFonts w:ascii="Calibri" w:hAnsi="Calibri" w:cs="Calibri"/>
          <w:noProof/>
          <w:sz w:val="24"/>
          <w:szCs w:val="24"/>
        </w:rPr>
        <w:t xml:space="preserve">58. </w:t>
      </w:r>
      <w:r w:rsidRPr="00C5774B">
        <w:rPr>
          <w:rFonts w:ascii="Calibri" w:hAnsi="Calibri" w:cs="Calibri"/>
          <w:noProof/>
          <w:sz w:val="24"/>
          <w:szCs w:val="24"/>
        </w:rPr>
        <w:tab/>
        <w:t xml:space="preserve">Ata RN, Thompson JK. Weight bias in the media: A review of recent research. </w:t>
      </w:r>
      <w:r w:rsidRPr="00C5774B">
        <w:rPr>
          <w:rFonts w:ascii="Calibri" w:hAnsi="Calibri" w:cs="Calibri"/>
          <w:i/>
          <w:iCs/>
          <w:noProof/>
          <w:sz w:val="24"/>
          <w:szCs w:val="24"/>
        </w:rPr>
        <w:t>Obes Facts</w:t>
      </w:r>
      <w:r w:rsidRPr="00C5774B">
        <w:rPr>
          <w:rFonts w:ascii="Calibri" w:hAnsi="Calibri" w:cs="Calibri"/>
          <w:noProof/>
          <w:sz w:val="24"/>
          <w:szCs w:val="24"/>
        </w:rPr>
        <w:t>. 2010. doi:10.1159/000276547</w:t>
      </w:r>
    </w:p>
    <w:p w14:paraId="4D109B3A" w14:textId="77777777" w:rsidR="00C5774B" w:rsidRPr="00C5774B" w:rsidRDefault="00C5774B" w:rsidP="00C5774B">
      <w:pPr>
        <w:widowControl w:val="0"/>
        <w:autoSpaceDE w:val="0"/>
        <w:autoSpaceDN w:val="0"/>
        <w:adjustRightInd w:val="0"/>
        <w:spacing w:after="0" w:line="360" w:lineRule="auto"/>
        <w:ind w:left="640" w:hanging="640"/>
        <w:rPr>
          <w:rFonts w:ascii="Calibri" w:hAnsi="Calibri" w:cs="Calibri"/>
          <w:noProof/>
          <w:sz w:val="24"/>
          <w:szCs w:val="24"/>
        </w:rPr>
      </w:pPr>
      <w:r w:rsidRPr="00C5774B">
        <w:rPr>
          <w:rFonts w:ascii="Calibri" w:hAnsi="Calibri" w:cs="Calibri"/>
          <w:noProof/>
          <w:sz w:val="24"/>
          <w:szCs w:val="24"/>
        </w:rPr>
        <w:t xml:space="preserve">59. </w:t>
      </w:r>
      <w:r w:rsidRPr="00C5774B">
        <w:rPr>
          <w:rFonts w:ascii="Calibri" w:hAnsi="Calibri" w:cs="Calibri"/>
          <w:noProof/>
          <w:sz w:val="24"/>
          <w:szCs w:val="24"/>
        </w:rPr>
        <w:tab/>
        <w:t xml:space="preserve">Schaumberg K, Zerwas S, Goodman E, Yilmaz Z, Bulik CM, Micali N. Anxiety disorder symptoms at age 10 predict eating disorder symptoms and diagnoses in adolescence. </w:t>
      </w:r>
      <w:r w:rsidRPr="00C5774B">
        <w:rPr>
          <w:rFonts w:ascii="Calibri" w:hAnsi="Calibri" w:cs="Calibri"/>
          <w:i/>
          <w:iCs/>
          <w:noProof/>
          <w:sz w:val="24"/>
          <w:szCs w:val="24"/>
        </w:rPr>
        <w:t>J Child Psychol Psychiatry Allied Discip</w:t>
      </w:r>
      <w:r w:rsidRPr="00C5774B">
        <w:rPr>
          <w:rFonts w:ascii="Calibri" w:hAnsi="Calibri" w:cs="Calibri"/>
          <w:noProof/>
          <w:sz w:val="24"/>
          <w:szCs w:val="24"/>
        </w:rPr>
        <w:t>. 2019. doi:10.1111/jcpp.12984</w:t>
      </w:r>
    </w:p>
    <w:p w14:paraId="111FEFB7" w14:textId="77777777" w:rsidR="00C5774B" w:rsidRPr="00C5774B" w:rsidRDefault="00C5774B" w:rsidP="00C5774B">
      <w:pPr>
        <w:widowControl w:val="0"/>
        <w:autoSpaceDE w:val="0"/>
        <w:autoSpaceDN w:val="0"/>
        <w:adjustRightInd w:val="0"/>
        <w:spacing w:after="0" w:line="360" w:lineRule="auto"/>
        <w:ind w:left="640" w:hanging="640"/>
        <w:rPr>
          <w:rFonts w:ascii="Calibri" w:hAnsi="Calibri" w:cs="Calibri"/>
          <w:noProof/>
          <w:sz w:val="24"/>
          <w:szCs w:val="24"/>
        </w:rPr>
      </w:pPr>
      <w:r w:rsidRPr="00C5774B">
        <w:rPr>
          <w:rFonts w:ascii="Calibri" w:hAnsi="Calibri" w:cs="Calibri"/>
          <w:noProof/>
          <w:sz w:val="24"/>
          <w:szCs w:val="24"/>
        </w:rPr>
        <w:t xml:space="preserve">60. </w:t>
      </w:r>
      <w:r w:rsidRPr="00C5774B">
        <w:rPr>
          <w:rFonts w:ascii="Calibri" w:hAnsi="Calibri" w:cs="Calibri"/>
          <w:noProof/>
          <w:sz w:val="24"/>
          <w:szCs w:val="24"/>
        </w:rPr>
        <w:tab/>
        <w:t xml:space="preserve">Canadian Paediatric Society. Dieting in adolescence. </w:t>
      </w:r>
      <w:r w:rsidRPr="00C5774B">
        <w:rPr>
          <w:rFonts w:ascii="Calibri" w:hAnsi="Calibri" w:cs="Calibri"/>
          <w:i/>
          <w:iCs/>
          <w:noProof/>
          <w:sz w:val="24"/>
          <w:szCs w:val="24"/>
        </w:rPr>
        <w:t>Paediatr Child Health</w:t>
      </w:r>
      <w:r w:rsidRPr="00C5774B">
        <w:rPr>
          <w:rFonts w:ascii="Calibri" w:hAnsi="Calibri" w:cs="Calibri"/>
          <w:noProof/>
          <w:sz w:val="24"/>
          <w:szCs w:val="24"/>
        </w:rPr>
        <w:t>. 2004;9(7):487-503. doi:10.1093/pch/9.7.487</w:t>
      </w:r>
    </w:p>
    <w:p w14:paraId="113C0BB0" w14:textId="77777777" w:rsidR="00C5774B" w:rsidRPr="00C5774B" w:rsidRDefault="00C5774B" w:rsidP="00C5774B">
      <w:pPr>
        <w:widowControl w:val="0"/>
        <w:autoSpaceDE w:val="0"/>
        <w:autoSpaceDN w:val="0"/>
        <w:adjustRightInd w:val="0"/>
        <w:spacing w:after="0" w:line="360" w:lineRule="auto"/>
        <w:ind w:left="640" w:hanging="640"/>
        <w:rPr>
          <w:rFonts w:ascii="Calibri" w:hAnsi="Calibri" w:cs="Calibri"/>
          <w:noProof/>
          <w:sz w:val="24"/>
          <w:szCs w:val="24"/>
        </w:rPr>
      </w:pPr>
      <w:r w:rsidRPr="00C5774B">
        <w:rPr>
          <w:rFonts w:ascii="Calibri" w:hAnsi="Calibri" w:cs="Calibri"/>
          <w:noProof/>
          <w:sz w:val="24"/>
          <w:szCs w:val="24"/>
        </w:rPr>
        <w:t xml:space="preserve">61. </w:t>
      </w:r>
      <w:r w:rsidRPr="00C5774B">
        <w:rPr>
          <w:rFonts w:ascii="Calibri" w:hAnsi="Calibri" w:cs="Calibri"/>
          <w:noProof/>
          <w:sz w:val="24"/>
          <w:szCs w:val="24"/>
        </w:rPr>
        <w:tab/>
        <w:t xml:space="preserve">Daee A, Robinson P, Lawson M, Turpin JA, Gregory B, Tobias JD. Psychologic and physiologic effects of dieting in adolescents. </w:t>
      </w:r>
      <w:r w:rsidRPr="00C5774B">
        <w:rPr>
          <w:rFonts w:ascii="Calibri" w:hAnsi="Calibri" w:cs="Calibri"/>
          <w:i/>
          <w:iCs/>
          <w:noProof/>
          <w:sz w:val="24"/>
          <w:szCs w:val="24"/>
        </w:rPr>
        <w:t>South Med J</w:t>
      </w:r>
      <w:r w:rsidRPr="00C5774B">
        <w:rPr>
          <w:rFonts w:ascii="Calibri" w:hAnsi="Calibri" w:cs="Calibri"/>
          <w:noProof/>
          <w:sz w:val="24"/>
          <w:szCs w:val="24"/>
        </w:rPr>
        <w:t>. 2002.</w:t>
      </w:r>
    </w:p>
    <w:p w14:paraId="47990800" w14:textId="77777777" w:rsidR="00C5774B" w:rsidRPr="00C5774B" w:rsidRDefault="00C5774B" w:rsidP="00C5774B">
      <w:pPr>
        <w:widowControl w:val="0"/>
        <w:autoSpaceDE w:val="0"/>
        <w:autoSpaceDN w:val="0"/>
        <w:adjustRightInd w:val="0"/>
        <w:spacing w:after="0" w:line="360" w:lineRule="auto"/>
        <w:ind w:left="640" w:hanging="640"/>
        <w:rPr>
          <w:rFonts w:ascii="Calibri" w:hAnsi="Calibri" w:cs="Calibri"/>
          <w:noProof/>
          <w:sz w:val="24"/>
        </w:rPr>
      </w:pPr>
      <w:r w:rsidRPr="00C5774B">
        <w:rPr>
          <w:rFonts w:ascii="Calibri" w:hAnsi="Calibri" w:cs="Calibri"/>
          <w:noProof/>
          <w:sz w:val="24"/>
          <w:szCs w:val="24"/>
        </w:rPr>
        <w:t xml:space="preserve">62. </w:t>
      </w:r>
      <w:r w:rsidRPr="00C5774B">
        <w:rPr>
          <w:rFonts w:ascii="Calibri" w:hAnsi="Calibri" w:cs="Calibri"/>
          <w:noProof/>
          <w:sz w:val="24"/>
          <w:szCs w:val="24"/>
        </w:rPr>
        <w:tab/>
        <w:t xml:space="preserve">Golden NH, Schneider M, Wood C, et al. Preventing obesity and eating disorders in </w:t>
      </w:r>
      <w:r w:rsidRPr="00C5774B">
        <w:rPr>
          <w:rFonts w:ascii="Calibri" w:hAnsi="Calibri" w:cs="Calibri"/>
          <w:noProof/>
          <w:sz w:val="24"/>
          <w:szCs w:val="24"/>
        </w:rPr>
        <w:lastRenderedPageBreak/>
        <w:t xml:space="preserve">adolescents. </w:t>
      </w:r>
      <w:r w:rsidRPr="00C5774B">
        <w:rPr>
          <w:rFonts w:ascii="Calibri" w:hAnsi="Calibri" w:cs="Calibri"/>
          <w:i/>
          <w:iCs/>
          <w:noProof/>
          <w:sz w:val="24"/>
          <w:szCs w:val="24"/>
        </w:rPr>
        <w:t>Pediatrics</w:t>
      </w:r>
      <w:r w:rsidRPr="00C5774B">
        <w:rPr>
          <w:rFonts w:ascii="Calibri" w:hAnsi="Calibri" w:cs="Calibri"/>
          <w:noProof/>
          <w:sz w:val="24"/>
          <w:szCs w:val="24"/>
        </w:rPr>
        <w:t>. 2016. doi:10.1542/peds.2016-1649</w:t>
      </w:r>
    </w:p>
    <w:p w14:paraId="0FE1C0FF" w14:textId="680CD253" w:rsidR="00E83591" w:rsidRPr="00BF60BC" w:rsidRDefault="00E83591" w:rsidP="00655F22">
      <w:pPr>
        <w:widowControl w:val="0"/>
        <w:autoSpaceDE w:val="0"/>
        <w:autoSpaceDN w:val="0"/>
        <w:adjustRightInd w:val="0"/>
        <w:spacing w:after="0" w:line="360" w:lineRule="auto"/>
        <w:ind w:left="640" w:hanging="640"/>
        <w:jc w:val="both"/>
        <w:rPr>
          <w:rFonts w:eastAsia="Times New Roman" w:cstheme="minorHAnsi"/>
          <w:iCs/>
          <w:sz w:val="24"/>
          <w:szCs w:val="24"/>
        </w:rPr>
      </w:pPr>
      <w:r w:rsidRPr="00BF60BC">
        <w:rPr>
          <w:rFonts w:eastAsia="Times New Roman" w:cstheme="minorHAnsi"/>
          <w:iCs/>
          <w:sz w:val="24"/>
          <w:szCs w:val="24"/>
        </w:rPr>
        <w:fldChar w:fldCharType="end"/>
      </w:r>
    </w:p>
    <w:p w14:paraId="41DB68A4" w14:textId="194A2D7A" w:rsidR="00C53ACC" w:rsidRPr="00BF60BC" w:rsidRDefault="00C53ACC" w:rsidP="00655F22">
      <w:pPr>
        <w:spacing w:after="0" w:line="360" w:lineRule="auto"/>
        <w:jc w:val="both"/>
        <w:rPr>
          <w:rFonts w:eastAsia="Times New Roman" w:cstheme="minorHAnsi"/>
          <w:iCs/>
          <w:sz w:val="24"/>
          <w:szCs w:val="24"/>
        </w:rPr>
      </w:pPr>
    </w:p>
    <w:p w14:paraId="4DBF6940" w14:textId="77777777" w:rsidR="00C53ACC" w:rsidRPr="00BF60BC" w:rsidRDefault="00C53ACC" w:rsidP="00655F22">
      <w:pPr>
        <w:spacing w:after="0" w:line="360" w:lineRule="auto"/>
        <w:jc w:val="both"/>
        <w:rPr>
          <w:rFonts w:eastAsia="Times New Roman" w:cstheme="minorHAnsi"/>
          <w:i/>
          <w:sz w:val="24"/>
          <w:szCs w:val="24"/>
        </w:rPr>
      </w:pPr>
    </w:p>
    <w:p w14:paraId="1188599B" w14:textId="64A42AD3" w:rsidR="00854B69" w:rsidRPr="00BF60BC" w:rsidRDefault="00854B69" w:rsidP="00655F22">
      <w:pPr>
        <w:spacing w:after="0" w:line="240" w:lineRule="auto"/>
        <w:jc w:val="both"/>
        <w:rPr>
          <w:rFonts w:eastAsia="Times New Roman" w:cstheme="minorHAnsi"/>
          <w:b/>
          <w:sz w:val="24"/>
          <w:szCs w:val="24"/>
          <w:u w:val="single"/>
        </w:rPr>
        <w:sectPr w:rsidR="00854B69" w:rsidRPr="00BF60BC" w:rsidSect="00D16967">
          <w:footerReference w:type="default" r:id="rId14"/>
          <w:pgSz w:w="11906" w:h="16838"/>
          <w:pgMar w:top="1440" w:right="1440" w:bottom="1440" w:left="1440" w:header="708" w:footer="708" w:gutter="0"/>
          <w:lnNumType w:countBy="1" w:restart="continuous"/>
          <w:cols w:space="708"/>
          <w:docGrid w:linePitch="360"/>
        </w:sectPr>
      </w:pPr>
    </w:p>
    <w:p w14:paraId="1C95BA51" w14:textId="05ECAC58" w:rsidR="00F954C7" w:rsidRPr="00BF60BC" w:rsidRDefault="00173961" w:rsidP="00655F22">
      <w:pPr>
        <w:spacing w:after="0" w:line="240" w:lineRule="auto"/>
        <w:jc w:val="both"/>
        <w:rPr>
          <w:rFonts w:eastAsia="Times New Roman" w:cstheme="minorHAnsi"/>
          <w:b/>
          <w:sz w:val="24"/>
          <w:szCs w:val="24"/>
        </w:rPr>
      </w:pPr>
      <w:r>
        <w:rPr>
          <w:rFonts w:eastAsia="Times New Roman" w:cstheme="minorHAnsi"/>
          <w:b/>
          <w:sz w:val="24"/>
          <w:szCs w:val="24"/>
        </w:rPr>
        <w:lastRenderedPageBreak/>
        <w:t>TABLE</w:t>
      </w:r>
      <w:r w:rsidR="0067673E" w:rsidRPr="00BF60BC">
        <w:rPr>
          <w:rFonts w:eastAsia="Times New Roman" w:cstheme="minorHAnsi"/>
          <w:b/>
          <w:sz w:val="24"/>
          <w:szCs w:val="24"/>
        </w:rPr>
        <w:t>S AND FIGURES</w:t>
      </w:r>
    </w:p>
    <w:p w14:paraId="37197F15" w14:textId="77777777" w:rsidR="00F954C7" w:rsidRPr="00BF60BC" w:rsidRDefault="00F954C7" w:rsidP="00655F22">
      <w:pPr>
        <w:spacing w:after="0" w:line="240" w:lineRule="auto"/>
        <w:jc w:val="both"/>
        <w:rPr>
          <w:rFonts w:cstheme="minorHAnsi"/>
          <w:b/>
        </w:rPr>
      </w:pPr>
    </w:p>
    <w:p w14:paraId="42EE2271" w14:textId="5441D8E4" w:rsidR="0042473A" w:rsidRPr="00BF60BC" w:rsidRDefault="0042473A" w:rsidP="00655F22">
      <w:pPr>
        <w:spacing w:after="0" w:line="240" w:lineRule="auto"/>
        <w:jc w:val="both"/>
        <w:rPr>
          <w:rFonts w:cstheme="minorHAnsi"/>
          <w:sz w:val="24"/>
          <w:szCs w:val="24"/>
        </w:rPr>
      </w:pPr>
    </w:p>
    <w:p w14:paraId="196AD4DA" w14:textId="012328CC" w:rsidR="00EE7145" w:rsidRPr="00BF60BC" w:rsidRDefault="00173961" w:rsidP="00655F22">
      <w:pPr>
        <w:spacing w:after="0" w:line="240" w:lineRule="auto"/>
        <w:jc w:val="both"/>
        <w:rPr>
          <w:rFonts w:cstheme="minorHAnsi"/>
          <w:sz w:val="24"/>
          <w:szCs w:val="24"/>
        </w:rPr>
      </w:pPr>
      <w:r>
        <w:rPr>
          <w:rFonts w:cstheme="minorHAnsi"/>
          <w:b/>
          <w:sz w:val="24"/>
          <w:szCs w:val="24"/>
        </w:rPr>
        <w:t>Table</w:t>
      </w:r>
      <w:r w:rsidR="00EE7145" w:rsidRPr="00BF60BC">
        <w:rPr>
          <w:rFonts w:cstheme="minorHAnsi"/>
          <w:b/>
          <w:sz w:val="24"/>
          <w:szCs w:val="24"/>
        </w:rPr>
        <w:t xml:space="preserve"> 1:  </w:t>
      </w:r>
      <w:r w:rsidR="00EE7145" w:rsidRPr="00BF60BC">
        <w:rPr>
          <w:rFonts w:cstheme="minorHAnsi"/>
          <w:sz w:val="24"/>
          <w:szCs w:val="24"/>
        </w:rPr>
        <w:t>Prevalence</w:t>
      </w:r>
      <w:r w:rsidR="00EE7145" w:rsidRPr="00BF60BC">
        <w:rPr>
          <w:rFonts w:cstheme="minorHAnsi"/>
          <w:b/>
          <w:sz w:val="24"/>
          <w:szCs w:val="24"/>
        </w:rPr>
        <w:t xml:space="preserve"> </w:t>
      </w:r>
      <w:r w:rsidR="00EE7145" w:rsidRPr="00BF60BC">
        <w:rPr>
          <w:rFonts w:cstheme="minorHAnsi"/>
          <w:sz w:val="24"/>
          <w:szCs w:val="24"/>
        </w:rPr>
        <w:t>of dieting, exercising for weight loss, and intention to lose or gain weight by participant’s sex and cohort (based on imputed dataset with attrition weights.)</w:t>
      </w:r>
    </w:p>
    <w:p w14:paraId="327464C5" w14:textId="79B53B91" w:rsidR="00EE7145" w:rsidRPr="00BF60BC" w:rsidRDefault="00EE7145" w:rsidP="00655F22">
      <w:pPr>
        <w:spacing w:after="0" w:line="240" w:lineRule="auto"/>
        <w:jc w:val="both"/>
        <w:rPr>
          <w:rFonts w:cstheme="minorHAnsi"/>
          <w:sz w:val="24"/>
          <w:szCs w:val="24"/>
        </w:rPr>
      </w:pPr>
    </w:p>
    <w:tbl>
      <w:tblPr>
        <w:tblStyle w:val="TableGrid"/>
        <w:tblW w:w="12900" w:type="dxa"/>
        <w:tblLook w:val="04A0" w:firstRow="1" w:lastRow="0" w:firstColumn="1" w:lastColumn="0" w:noHBand="0" w:noVBand="1"/>
      </w:tblPr>
      <w:tblGrid>
        <w:gridCol w:w="1985"/>
        <w:gridCol w:w="1701"/>
        <w:gridCol w:w="1559"/>
        <w:gridCol w:w="1985"/>
        <w:gridCol w:w="1842"/>
        <w:gridCol w:w="1843"/>
        <w:gridCol w:w="1985"/>
      </w:tblGrid>
      <w:tr w:rsidR="00EE7145" w:rsidRPr="00BF60BC" w14:paraId="0364EF51" w14:textId="77777777" w:rsidTr="00BE6586">
        <w:trPr>
          <w:trHeight w:val="699"/>
        </w:trPr>
        <w:tc>
          <w:tcPr>
            <w:tcW w:w="1985" w:type="dxa"/>
            <w:tcBorders>
              <w:left w:val="nil"/>
              <w:bottom w:val="single" w:sz="4" w:space="0" w:color="auto"/>
            </w:tcBorders>
          </w:tcPr>
          <w:p w14:paraId="364AAE89" w14:textId="77777777" w:rsidR="00EE7145" w:rsidRPr="00BF60BC" w:rsidRDefault="00EE7145" w:rsidP="00655F22">
            <w:pPr>
              <w:jc w:val="both"/>
              <w:rPr>
                <w:rFonts w:cstheme="minorHAnsi"/>
              </w:rPr>
            </w:pPr>
          </w:p>
        </w:tc>
        <w:tc>
          <w:tcPr>
            <w:tcW w:w="1701" w:type="dxa"/>
            <w:tcBorders>
              <w:bottom w:val="single" w:sz="4" w:space="0" w:color="auto"/>
            </w:tcBorders>
            <w:vAlign w:val="center"/>
          </w:tcPr>
          <w:p w14:paraId="6A1696DB" w14:textId="77777777" w:rsidR="00EE7145" w:rsidRPr="00BF60BC" w:rsidRDefault="00EE7145" w:rsidP="00655F22">
            <w:pPr>
              <w:jc w:val="both"/>
              <w:rPr>
                <w:rFonts w:cstheme="minorHAnsi"/>
                <w:b/>
                <w:bCs/>
              </w:rPr>
            </w:pPr>
            <w:r w:rsidRPr="00BF60BC">
              <w:rPr>
                <w:rFonts w:cstheme="minorHAnsi"/>
                <w:b/>
                <w:bCs/>
              </w:rPr>
              <w:t>1986</w:t>
            </w:r>
          </w:p>
          <w:p w14:paraId="7FA64EA2" w14:textId="77777777" w:rsidR="00EE7145" w:rsidRPr="00BF60BC" w:rsidRDefault="00EE7145" w:rsidP="00655F22">
            <w:pPr>
              <w:jc w:val="both"/>
              <w:rPr>
                <w:rFonts w:cstheme="minorHAnsi"/>
                <w:b/>
                <w:bCs/>
              </w:rPr>
            </w:pPr>
            <w:r w:rsidRPr="00BF60BC">
              <w:rPr>
                <w:rFonts w:cstheme="minorHAnsi"/>
                <w:b/>
                <w:bCs/>
              </w:rPr>
              <w:t>% (95%CI)</w:t>
            </w:r>
          </w:p>
        </w:tc>
        <w:tc>
          <w:tcPr>
            <w:tcW w:w="1559" w:type="dxa"/>
            <w:tcBorders>
              <w:bottom w:val="single" w:sz="4" w:space="0" w:color="auto"/>
            </w:tcBorders>
            <w:vAlign w:val="center"/>
          </w:tcPr>
          <w:p w14:paraId="2A239F74" w14:textId="77777777" w:rsidR="00EE7145" w:rsidRPr="00BF60BC" w:rsidRDefault="00EE7145" w:rsidP="00655F22">
            <w:pPr>
              <w:jc w:val="both"/>
              <w:rPr>
                <w:rFonts w:cstheme="minorHAnsi"/>
                <w:b/>
                <w:bCs/>
              </w:rPr>
            </w:pPr>
            <w:r w:rsidRPr="00BF60BC">
              <w:rPr>
                <w:rFonts w:cstheme="minorHAnsi"/>
                <w:b/>
                <w:bCs/>
              </w:rPr>
              <w:t>2005</w:t>
            </w:r>
          </w:p>
          <w:p w14:paraId="33A8EFB2" w14:textId="77777777" w:rsidR="00EE7145" w:rsidRPr="00BF60BC" w:rsidRDefault="00EE7145" w:rsidP="00655F22">
            <w:pPr>
              <w:jc w:val="both"/>
              <w:rPr>
                <w:rFonts w:cstheme="minorHAnsi"/>
                <w:b/>
                <w:bCs/>
              </w:rPr>
            </w:pPr>
            <w:r w:rsidRPr="00BF60BC">
              <w:rPr>
                <w:rFonts w:cstheme="minorHAnsi"/>
                <w:b/>
                <w:bCs/>
              </w:rPr>
              <w:t>% (95%CI)</w:t>
            </w:r>
          </w:p>
        </w:tc>
        <w:tc>
          <w:tcPr>
            <w:tcW w:w="1985" w:type="dxa"/>
            <w:tcBorders>
              <w:bottom w:val="single" w:sz="4" w:space="0" w:color="auto"/>
            </w:tcBorders>
            <w:vAlign w:val="center"/>
          </w:tcPr>
          <w:p w14:paraId="73004F3C" w14:textId="77777777" w:rsidR="00EE7145" w:rsidRPr="00BF60BC" w:rsidRDefault="00EE7145" w:rsidP="00655F22">
            <w:pPr>
              <w:jc w:val="both"/>
              <w:rPr>
                <w:rFonts w:cstheme="minorHAnsi"/>
                <w:b/>
                <w:bCs/>
              </w:rPr>
            </w:pPr>
            <w:r w:rsidRPr="00BF60BC">
              <w:rPr>
                <w:rFonts w:cstheme="minorHAnsi"/>
                <w:b/>
                <w:bCs/>
              </w:rPr>
              <w:t>2015</w:t>
            </w:r>
          </w:p>
          <w:p w14:paraId="6DECAD40" w14:textId="77777777" w:rsidR="00EE7145" w:rsidRPr="00BF60BC" w:rsidRDefault="00EE7145" w:rsidP="00655F22">
            <w:pPr>
              <w:jc w:val="both"/>
              <w:rPr>
                <w:rFonts w:cstheme="minorHAnsi"/>
                <w:b/>
                <w:bCs/>
              </w:rPr>
            </w:pPr>
            <w:r w:rsidRPr="00BF60BC">
              <w:rPr>
                <w:rFonts w:cstheme="minorHAnsi"/>
                <w:b/>
                <w:bCs/>
              </w:rPr>
              <w:t>% (95%CI)</w:t>
            </w:r>
          </w:p>
        </w:tc>
        <w:tc>
          <w:tcPr>
            <w:tcW w:w="1842" w:type="dxa"/>
            <w:tcBorders>
              <w:bottom w:val="single" w:sz="4" w:space="0" w:color="auto"/>
            </w:tcBorders>
            <w:vAlign w:val="center"/>
          </w:tcPr>
          <w:p w14:paraId="2BBF6537" w14:textId="77777777" w:rsidR="00EE7145" w:rsidRPr="00BF60BC" w:rsidRDefault="00EE7145" w:rsidP="00655F22">
            <w:pPr>
              <w:jc w:val="both"/>
              <w:rPr>
                <w:rFonts w:cstheme="minorHAnsi"/>
                <w:b/>
                <w:bCs/>
              </w:rPr>
            </w:pPr>
            <w:r w:rsidRPr="00BF60BC">
              <w:rPr>
                <w:rFonts w:cstheme="minorHAnsi"/>
                <w:b/>
                <w:bCs/>
              </w:rPr>
              <w:t>1986</w:t>
            </w:r>
          </w:p>
          <w:p w14:paraId="689AB749" w14:textId="77777777" w:rsidR="00EE7145" w:rsidRPr="00BF60BC" w:rsidRDefault="00EE7145" w:rsidP="00655F22">
            <w:pPr>
              <w:jc w:val="both"/>
              <w:rPr>
                <w:rFonts w:cstheme="minorHAnsi"/>
                <w:b/>
                <w:bCs/>
              </w:rPr>
            </w:pPr>
            <w:r w:rsidRPr="00BF60BC">
              <w:rPr>
                <w:rFonts w:cstheme="minorHAnsi"/>
                <w:b/>
                <w:bCs/>
              </w:rPr>
              <w:t>% (95%CI)</w:t>
            </w:r>
          </w:p>
        </w:tc>
        <w:tc>
          <w:tcPr>
            <w:tcW w:w="1843" w:type="dxa"/>
            <w:tcBorders>
              <w:bottom w:val="single" w:sz="4" w:space="0" w:color="auto"/>
            </w:tcBorders>
            <w:vAlign w:val="center"/>
          </w:tcPr>
          <w:p w14:paraId="1276503A" w14:textId="77777777" w:rsidR="00EE7145" w:rsidRPr="00BF60BC" w:rsidRDefault="00EE7145" w:rsidP="00655F22">
            <w:pPr>
              <w:jc w:val="both"/>
              <w:rPr>
                <w:rFonts w:cstheme="minorHAnsi"/>
                <w:b/>
                <w:bCs/>
              </w:rPr>
            </w:pPr>
            <w:r w:rsidRPr="00BF60BC">
              <w:rPr>
                <w:rFonts w:cstheme="minorHAnsi"/>
                <w:b/>
                <w:bCs/>
              </w:rPr>
              <w:t>2005</w:t>
            </w:r>
          </w:p>
          <w:p w14:paraId="5FF07957" w14:textId="77777777" w:rsidR="00EE7145" w:rsidRPr="00BF60BC" w:rsidRDefault="00EE7145" w:rsidP="00655F22">
            <w:pPr>
              <w:jc w:val="both"/>
              <w:rPr>
                <w:rFonts w:cstheme="minorHAnsi"/>
                <w:b/>
                <w:bCs/>
              </w:rPr>
            </w:pPr>
            <w:r w:rsidRPr="00BF60BC">
              <w:rPr>
                <w:rFonts w:cstheme="minorHAnsi"/>
                <w:b/>
                <w:bCs/>
              </w:rPr>
              <w:t>% (95%CI)</w:t>
            </w:r>
          </w:p>
        </w:tc>
        <w:tc>
          <w:tcPr>
            <w:tcW w:w="1985" w:type="dxa"/>
            <w:tcBorders>
              <w:bottom w:val="single" w:sz="4" w:space="0" w:color="auto"/>
              <w:right w:val="nil"/>
            </w:tcBorders>
            <w:vAlign w:val="center"/>
          </w:tcPr>
          <w:p w14:paraId="276BE842" w14:textId="77777777" w:rsidR="00EE7145" w:rsidRPr="00BF60BC" w:rsidRDefault="00EE7145" w:rsidP="00655F22">
            <w:pPr>
              <w:jc w:val="both"/>
              <w:rPr>
                <w:rFonts w:cstheme="minorHAnsi"/>
                <w:b/>
                <w:bCs/>
              </w:rPr>
            </w:pPr>
            <w:r w:rsidRPr="00BF60BC">
              <w:rPr>
                <w:rFonts w:cstheme="minorHAnsi"/>
                <w:b/>
                <w:bCs/>
              </w:rPr>
              <w:t>2015</w:t>
            </w:r>
          </w:p>
          <w:p w14:paraId="71B9E3CC" w14:textId="77777777" w:rsidR="00EE7145" w:rsidRPr="00BF60BC" w:rsidRDefault="00EE7145" w:rsidP="00655F22">
            <w:pPr>
              <w:jc w:val="both"/>
              <w:rPr>
                <w:rFonts w:cstheme="minorHAnsi"/>
                <w:b/>
                <w:bCs/>
              </w:rPr>
            </w:pPr>
            <w:r w:rsidRPr="00BF60BC">
              <w:rPr>
                <w:rFonts w:cstheme="minorHAnsi"/>
                <w:b/>
                <w:bCs/>
              </w:rPr>
              <w:t>% (95%CI)</w:t>
            </w:r>
          </w:p>
        </w:tc>
      </w:tr>
      <w:tr w:rsidR="00EE7145" w:rsidRPr="00BF60BC" w14:paraId="628C2BF8" w14:textId="77777777" w:rsidTr="00BE6586">
        <w:trPr>
          <w:trHeight w:val="292"/>
        </w:trPr>
        <w:tc>
          <w:tcPr>
            <w:tcW w:w="1985" w:type="dxa"/>
            <w:tcBorders>
              <w:left w:val="nil"/>
              <w:bottom w:val="dotted" w:sz="4" w:space="0" w:color="auto"/>
            </w:tcBorders>
          </w:tcPr>
          <w:p w14:paraId="523DA09C" w14:textId="38BB1B1E" w:rsidR="00EE7145" w:rsidRPr="00BF60BC" w:rsidRDefault="00EE7145" w:rsidP="00655F22">
            <w:pPr>
              <w:jc w:val="both"/>
              <w:rPr>
                <w:rFonts w:cstheme="minorHAnsi"/>
                <w:b/>
                <w:bCs/>
              </w:rPr>
            </w:pPr>
            <w:r w:rsidRPr="00BF60BC">
              <w:rPr>
                <w:rFonts w:cstheme="minorHAnsi"/>
                <w:b/>
                <w:bCs/>
              </w:rPr>
              <w:t>Lifetime dieting</w:t>
            </w:r>
          </w:p>
        </w:tc>
        <w:tc>
          <w:tcPr>
            <w:tcW w:w="5245" w:type="dxa"/>
            <w:gridSpan w:val="3"/>
            <w:tcBorders>
              <w:bottom w:val="dotted" w:sz="4" w:space="0" w:color="auto"/>
            </w:tcBorders>
          </w:tcPr>
          <w:p w14:paraId="214764A1" w14:textId="77777777" w:rsidR="00EE7145" w:rsidRPr="00BF60BC" w:rsidRDefault="00EE7145" w:rsidP="00655F22">
            <w:pPr>
              <w:jc w:val="both"/>
              <w:rPr>
                <w:rFonts w:cstheme="minorHAnsi"/>
                <w:b/>
              </w:rPr>
            </w:pPr>
            <w:r w:rsidRPr="00BF60BC">
              <w:rPr>
                <w:rFonts w:cstheme="minorHAnsi"/>
                <w:b/>
              </w:rPr>
              <w:t>Males, n= 7,850</w:t>
            </w:r>
          </w:p>
        </w:tc>
        <w:tc>
          <w:tcPr>
            <w:tcW w:w="5670" w:type="dxa"/>
            <w:gridSpan w:val="3"/>
            <w:tcBorders>
              <w:bottom w:val="dotted" w:sz="4" w:space="0" w:color="auto"/>
              <w:right w:val="nil"/>
            </w:tcBorders>
          </w:tcPr>
          <w:p w14:paraId="4AEC33CD" w14:textId="77777777" w:rsidR="00EE7145" w:rsidRPr="00BF60BC" w:rsidRDefault="00EE7145" w:rsidP="00655F22">
            <w:pPr>
              <w:jc w:val="both"/>
              <w:rPr>
                <w:rFonts w:cstheme="minorHAnsi"/>
                <w:b/>
              </w:rPr>
            </w:pPr>
            <w:r w:rsidRPr="00BF60BC">
              <w:rPr>
                <w:rFonts w:cstheme="minorHAnsi"/>
                <w:b/>
              </w:rPr>
              <w:t>Females n=8,835</w:t>
            </w:r>
          </w:p>
        </w:tc>
      </w:tr>
      <w:tr w:rsidR="00EE7145" w:rsidRPr="00BF60BC" w14:paraId="5ABD3D3E" w14:textId="77777777" w:rsidTr="00BE6586">
        <w:trPr>
          <w:trHeight w:val="238"/>
        </w:trPr>
        <w:tc>
          <w:tcPr>
            <w:tcW w:w="1985" w:type="dxa"/>
            <w:tcBorders>
              <w:top w:val="dotted" w:sz="4" w:space="0" w:color="auto"/>
              <w:left w:val="nil"/>
              <w:bottom w:val="nil"/>
            </w:tcBorders>
          </w:tcPr>
          <w:p w14:paraId="367FA388" w14:textId="7D0C2809" w:rsidR="00EE7145" w:rsidRPr="00BF60BC" w:rsidRDefault="00EE7145" w:rsidP="00655F22">
            <w:pPr>
              <w:jc w:val="both"/>
              <w:rPr>
                <w:rFonts w:cstheme="minorHAnsi"/>
                <w:i/>
                <w:iCs/>
              </w:rPr>
            </w:pPr>
            <w:r w:rsidRPr="00BF60BC">
              <w:rPr>
                <w:rFonts w:cstheme="minorHAnsi"/>
                <w:i/>
                <w:iCs/>
              </w:rPr>
              <w:t>No</w:t>
            </w:r>
          </w:p>
        </w:tc>
        <w:tc>
          <w:tcPr>
            <w:tcW w:w="1701" w:type="dxa"/>
            <w:tcBorders>
              <w:top w:val="dotted" w:sz="4" w:space="0" w:color="auto"/>
              <w:bottom w:val="nil"/>
              <w:right w:val="nil"/>
            </w:tcBorders>
            <w:vAlign w:val="center"/>
          </w:tcPr>
          <w:p w14:paraId="59B17B76" w14:textId="5668CED0" w:rsidR="00EE7145" w:rsidRPr="00BF60BC" w:rsidRDefault="00EE7145" w:rsidP="00655F22">
            <w:pPr>
              <w:jc w:val="both"/>
              <w:rPr>
                <w:rFonts w:cstheme="minorHAnsi"/>
              </w:rPr>
            </w:pPr>
            <w:r w:rsidRPr="00BF60BC">
              <w:rPr>
                <w:rFonts w:cstheme="minorHAnsi"/>
              </w:rPr>
              <w:t>82.5%</w:t>
            </w:r>
          </w:p>
          <w:p w14:paraId="08DA3CA8" w14:textId="77777777" w:rsidR="00EE7145" w:rsidRPr="00BF60BC" w:rsidRDefault="00EE7145" w:rsidP="00655F22">
            <w:pPr>
              <w:jc w:val="both"/>
              <w:rPr>
                <w:rFonts w:cstheme="minorHAnsi"/>
              </w:rPr>
            </w:pPr>
            <w:r w:rsidRPr="00BF60BC">
              <w:rPr>
                <w:rFonts w:cstheme="minorHAnsi"/>
              </w:rPr>
              <w:t>(80.8%- 84.1%)</w:t>
            </w:r>
          </w:p>
        </w:tc>
        <w:tc>
          <w:tcPr>
            <w:tcW w:w="1559" w:type="dxa"/>
            <w:tcBorders>
              <w:top w:val="dotted" w:sz="4" w:space="0" w:color="auto"/>
              <w:left w:val="nil"/>
              <w:bottom w:val="nil"/>
              <w:right w:val="nil"/>
            </w:tcBorders>
            <w:vAlign w:val="center"/>
          </w:tcPr>
          <w:p w14:paraId="3755A3E4" w14:textId="77777777" w:rsidR="00EE7145" w:rsidRPr="00BF60BC" w:rsidRDefault="00EE7145" w:rsidP="00655F22">
            <w:pPr>
              <w:jc w:val="both"/>
              <w:rPr>
                <w:rFonts w:cstheme="minorHAnsi"/>
              </w:rPr>
            </w:pPr>
            <w:r w:rsidRPr="00BF60BC">
              <w:rPr>
                <w:rFonts w:cstheme="minorHAnsi"/>
              </w:rPr>
              <w:t>N/A</w:t>
            </w:r>
          </w:p>
        </w:tc>
        <w:tc>
          <w:tcPr>
            <w:tcW w:w="1985" w:type="dxa"/>
            <w:tcBorders>
              <w:top w:val="dotted" w:sz="4" w:space="0" w:color="auto"/>
              <w:left w:val="nil"/>
              <w:bottom w:val="nil"/>
            </w:tcBorders>
            <w:vAlign w:val="center"/>
          </w:tcPr>
          <w:p w14:paraId="6B7D37C5" w14:textId="0DD2F0FC" w:rsidR="00EE7145" w:rsidRPr="00BF60BC" w:rsidRDefault="00EE7145" w:rsidP="00655F22">
            <w:pPr>
              <w:jc w:val="both"/>
              <w:rPr>
                <w:rFonts w:cstheme="minorHAnsi"/>
              </w:rPr>
            </w:pPr>
            <w:r w:rsidRPr="00BF60BC">
              <w:rPr>
                <w:rFonts w:cstheme="minorHAnsi"/>
              </w:rPr>
              <w:t>65.4%</w:t>
            </w:r>
          </w:p>
          <w:p w14:paraId="3DD16785" w14:textId="77777777" w:rsidR="00EE7145" w:rsidRPr="00BF60BC" w:rsidRDefault="00EE7145" w:rsidP="00655F22">
            <w:pPr>
              <w:jc w:val="both"/>
              <w:rPr>
                <w:rFonts w:cstheme="minorHAnsi"/>
              </w:rPr>
            </w:pPr>
            <w:r w:rsidRPr="00BF60BC">
              <w:rPr>
                <w:rFonts w:cstheme="minorHAnsi"/>
              </w:rPr>
              <w:t>(64.1%-66.7%)</w:t>
            </w:r>
          </w:p>
        </w:tc>
        <w:tc>
          <w:tcPr>
            <w:tcW w:w="1842" w:type="dxa"/>
            <w:tcBorders>
              <w:top w:val="dotted" w:sz="4" w:space="0" w:color="auto"/>
              <w:bottom w:val="nil"/>
              <w:right w:val="nil"/>
            </w:tcBorders>
            <w:vAlign w:val="center"/>
          </w:tcPr>
          <w:p w14:paraId="257D22F9" w14:textId="77777777" w:rsidR="00EE7145" w:rsidRPr="00BF60BC" w:rsidRDefault="00EE7145" w:rsidP="00655F22">
            <w:pPr>
              <w:jc w:val="both"/>
              <w:rPr>
                <w:rFonts w:cstheme="minorHAnsi"/>
              </w:rPr>
            </w:pPr>
            <w:r w:rsidRPr="00BF60BC">
              <w:rPr>
                <w:rFonts w:cstheme="minorHAnsi"/>
              </w:rPr>
              <w:t>40.8%</w:t>
            </w:r>
          </w:p>
          <w:p w14:paraId="4CB37323" w14:textId="7073AAD7" w:rsidR="00EE7145" w:rsidRPr="00BF60BC" w:rsidRDefault="00EE7145" w:rsidP="00655F22">
            <w:pPr>
              <w:jc w:val="both"/>
              <w:rPr>
                <w:rFonts w:cstheme="minorHAnsi"/>
              </w:rPr>
            </w:pPr>
            <w:r w:rsidRPr="00BF60BC">
              <w:rPr>
                <w:rFonts w:cstheme="minorHAnsi"/>
              </w:rPr>
              <w:t>(38.9%-42.7%)</w:t>
            </w:r>
          </w:p>
        </w:tc>
        <w:tc>
          <w:tcPr>
            <w:tcW w:w="1843" w:type="dxa"/>
            <w:tcBorders>
              <w:top w:val="dotted" w:sz="4" w:space="0" w:color="auto"/>
              <w:left w:val="nil"/>
              <w:bottom w:val="nil"/>
              <w:right w:val="nil"/>
            </w:tcBorders>
            <w:vAlign w:val="center"/>
          </w:tcPr>
          <w:p w14:paraId="1B54E6E6" w14:textId="77777777" w:rsidR="00EE7145" w:rsidRPr="00BF60BC" w:rsidRDefault="00EE7145" w:rsidP="00655F22">
            <w:pPr>
              <w:jc w:val="both"/>
              <w:rPr>
                <w:rFonts w:cstheme="minorHAnsi"/>
              </w:rPr>
            </w:pPr>
            <w:r w:rsidRPr="00BF60BC">
              <w:rPr>
                <w:rFonts w:cstheme="minorHAnsi"/>
              </w:rPr>
              <w:t>N/A</w:t>
            </w:r>
          </w:p>
        </w:tc>
        <w:tc>
          <w:tcPr>
            <w:tcW w:w="1985" w:type="dxa"/>
            <w:tcBorders>
              <w:top w:val="dotted" w:sz="4" w:space="0" w:color="auto"/>
              <w:left w:val="nil"/>
              <w:bottom w:val="nil"/>
              <w:right w:val="nil"/>
            </w:tcBorders>
            <w:vAlign w:val="center"/>
          </w:tcPr>
          <w:p w14:paraId="232ACF96" w14:textId="206DFC42" w:rsidR="00EE7145" w:rsidRPr="00BF60BC" w:rsidRDefault="00EE7145" w:rsidP="00655F22">
            <w:pPr>
              <w:jc w:val="both"/>
              <w:rPr>
                <w:rFonts w:cstheme="minorHAnsi"/>
              </w:rPr>
            </w:pPr>
            <w:r w:rsidRPr="00BF60BC">
              <w:rPr>
                <w:rFonts w:cstheme="minorHAnsi"/>
              </w:rPr>
              <w:t>44.9%</w:t>
            </w:r>
          </w:p>
          <w:p w14:paraId="3C6A72A7" w14:textId="77777777" w:rsidR="00EE7145" w:rsidRPr="00BF60BC" w:rsidRDefault="00EE7145" w:rsidP="00655F22">
            <w:pPr>
              <w:jc w:val="both"/>
              <w:rPr>
                <w:rFonts w:cstheme="minorHAnsi"/>
              </w:rPr>
            </w:pPr>
            <w:r w:rsidRPr="00BF60BC">
              <w:rPr>
                <w:rFonts w:cstheme="minorHAnsi"/>
              </w:rPr>
              <w:t>(43.6%-46.2%)</w:t>
            </w:r>
          </w:p>
        </w:tc>
      </w:tr>
      <w:tr w:rsidR="00EE7145" w:rsidRPr="00BF60BC" w14:paraId="30809E85" w14:textId="77777777" w:rsidTr="00BE6586">
        <w:trPr>
          <w:trHeight w:val="238"/>
        </w:trPr>
        <w:tc>
          <w:tcPr>
            <w:tcW w:w="1985" w:type="dxa"/>
            <w:tcBorders>
              <w:top w:val="nil"/>
              <w:left w:val="nil"/>
              <w:bottom w:val="single" w:sz="4" w:space="0" w:color="auto"/>
            </w:tcBorders>
          </w:tcPr>
          <w:p w14:paraId="28E365CA" w14:textId="77777777" w:rsidR="00EE7145" w:rsidRPr="00BF60BC" w:rsidRDefault="00EE7145" w:rsidP="00655F22">
            <w:pPr>
              <w:jc w:val="both"/>
              <w:rPr>
                <w:rFonts w:cstheme="minorHAnsi"/>
                <w:i/>
                <w:iCs/>
              </w:rPr>
            </w:pPr>
            <w:r w:rsidRPr="00BF60BC">
              <w:rPr>
                <w:rFonts w:cstheme="minorHAnsi"/>
                <w:i/>
                <w:iCs/>
              </w:rPr>
              <w:t>Yes</w:t>
            </w:r>
          </w:p>
        </w:tc>
        <w:tc>
          <w:tcPr>
            <w:tcW w:w="1701" w:type="dxa"/>
            <w:tcBorders>
              <w:top w:val="nil"/>
              <w:bottom w:val="single" w:sz="4" w:space="0" w:color="auto"/>
              <w:right w:val="nil"/>
            </w:tcBorders>
            <w:vAlign w:val="center"/>
          </w:tcPr>
          <w:p w14:paraId="36C4D04C" w14:textId="36733716" w:rsidR="00EE7145" w:rsidRPr="00BF60BC" w:rsidRDefault="00EE7145" w:rsidP="00655F22">
            <w:pPr>
              <w:jc w:val="both"/>
              <w:rPr>
                <w:rFonts w:cstheme="minorHAnsi"/>
              </w:rPr>
            </w:pPr>
            <w:r w:rsidRPr="00BF60BC">
              <w:rPr>
                <w:rFonts w:cstheme="minorHAnsi"/>
              </w:rPr>
              <w:t>17.5%</w:t>
            </w:r>
          </w:p>
          <w:p w14:paraId="3777CC40" w14:textId="77777777" w:rsidR="00EE7145" w:rsidRPr="00BF60BC" w:rsidRDefault="00EE7145" w:rsidP="00655F22">
            <w:pPr>
              <w:jc w:val="both"/>
              <w:rPr>
                <w:rFonts w:cstheme="minorHAnsi"/>
              </w:rPr>
            </w:pPr>
            <w:r w:rsidRPr="00BF60BC">
              <w:rPr>
                <w:rFonts w:cstheme="minorHAnsi"/>
              </w:rPr>
              <w:t>(15.9%-19.2%)</w:t>
            </w:r>
          </w:p>
        </w:tc>
        <w:tc>
          <w:tcPr>
            <w:tcW w:w="1559" w:type="dxa"/>
            <w:tcBorders>
              <w:top w:val="nil"/>
              <w:left w:val="nil"/>
              <w:bottom w:val="single" w:sz="4" w:space="0" w:color="auto"/>
              <w:right w:val="nil"/>
            </w:tcBorders>
            <w:vAlign w:val="center"/>
          </w:tcPr>
          <w:p w14:paraId="09E38886" w14:textId="77777777" w:rsidR="00EE7145" w:rsidRPr="00BF60BC" w:rsidRDefault="00EE7145" w:rsidP="00655F22">
            <w:pPr>
              <w:jc w:val="both"/>
              <w:rPr>
                <w:rFonts w:cstheme="minorHAnsi"/>
              </w:rPr>
            </w:pPr>
            <w:r w:rsidRPr="00BF60BC">
              <w:rPr>
                <w:rFonts w:cstheme="minorHAnsi"/>
              </w:rPr>
              <w:t>N/A</w:t>
            </w:r>
          </w:p>
        </w:tc>
        <w:tc>
          <w:tcPr>
            <w:tcW w:w="1985" w:type="dxa"/>
            <w:tcBorders>
              <w:top w:val="nil"/>
              <w:left w:val="nil"/>
              <w:bottom w:val="single" w:sz="4" w:space="0" w:color="auto"/>
            </w:tcBorders>
            <w:vAlign w:val="center"/>
          </w:tcPr>
          <w:p w14:paraId="78F924EA" w14:textId="7D1508ED" w:rsidR="00EE7145" w:rsidRPr="00BF60BC" w:rsidRDefault="00EE7145" w:rsidP="00655F22">
            <w:pPr>
              <w:jc w:val="both"/>
              <w:rPr>
                <w:rFonts w:cstheme="minorHAnsi"/>
              </w:rPr>
            </w:pPr>
            <w:r w:rsidRPr="00BF60BC">
              <w:rPr>
                <w:rFonts w:cstheme="minorHAnsi"/>
              </w:rPr>
              <w:t>34.6%</w:t>
            </w:r>
          </w:p>
          <w:p w14:paraId="090A139B" w14:textId="77777777" w:rsidR="00EE7145" w:rsidRPr="00BF60BC" w:rsidRDefault="00EE7145" w:rsidP="00655F22">
            <w:pPr>
              <w:jc w:val="both"/>
              <w:rPr>
                <w:rFonts w:cstheme="minorHAnsi"/>
              </w:rPr>
            </w:pPr>
            <w:r w:rsidRPr="00BF60BC">
              <w:rPr>
                <w:rFonts w:cstheme="minorHAnsi"/>
              </w:rPr>
              <w:t>(33.2%-35.9%)</w:t>
            </w:r>
          </w:p>
        </w:tc>
        <w:tc>
          <w:tcPr>
            <w:tcW w:w="1842" w:type="dxa"/>
            <w:tcBorders>
              <w:top w:val="nil"/>
              <w:bottom w:val="single" w:sz="4" w:space="0" w:color="auto"/>
              <w:right w:val="nil"/>
            </w:tcBorders>
            <w:vAlign w:val="center"/>
          </w:tcPr>
          <w:p w14:paraId="629ED8AE" w14:textId="77777777" w:rsidR="00EE7145" w:rsidRPr="00BF60BC" w:rsidRDefault="00EE7145" w:rsidP="00655F22">
            <w:pPr>
              <w:jc w:val="both"/>
              <w:rPr>
                <w:rFonts w:cstheme="minorHAnsi"/>
              </w:rPr>
            </w:pPr>
            <w:r w:rsidRPr="00BF60BC">
              <w:rPr>
                <w:rFonts w:cstheme="minorHAnsi"/>
              </w:rPr>
              <w:t>59.2%</w:t>
            </w:r>
          </w:p>
          <w:p w14:paraId="02EB6DF8" w14:textId="77777777" w:rsidR="00EE7145" w:rsidRPr="00BF60BC" w:rsidRDefault="00EE7145" w:rsidP="00655F22">
            <w:pPr>
              <w:jc w:val="both"/>
              <w:rPr>
                <w:rFonts w:cstheme="minorHAnsi"/>
              </w:rPr>
            </w:pPr>
            <w:r w:rsidRPr="00BF60BC">
              <w:rPr>
                <w:rFonts w:cstheme="minorHAnsi"/>
              </w:rPr>
              <w:t>(57.3% - 61.1%)</w:t>
            </w:r>
          </w:p>
        </w:tc>
        <w:tc>
          <w:tcPr>
            <w:tcW w:w="1843" w:type="dxa"/>
            <w:tcBorders>
              <w:top w:val="nil"/>
              <w:left w:val="nil"/>
              <w:bottom w:val="single" w:sz="4" w:space="0" w:color="auto"/>
              <w:right w:val="nil"/>
            </w:tcBorders>
            <w:vAlign w:val="center"/>
          </w:tcPr>
          <w:p w14:paraId="1CE68602" w14:textId="77777777" w:rsidR="00EE7145" w:rsidRPr="00BF60BC" w:rsidRDefault="00EE7145" w:rsidP="00655F22">
            <w:pPr>
              <w:jc w:val="both"/>
              <w:rPr>
                <w:rFonts w:cstheme="minorHAnsi"/>
              </w:rPr>
            </w:pPr>
            <w:r w:rsidRPr="00BF60BC">
              <w:rPr>
                <w:rFonts w:cstheme="minorHAnsi"/>
              </w:rPr>
              <w:t>N/A</w:t>
            </w:r>
          </w:p>
        </w:tc>
        <w:tc>
          <w:tcPr>
            <w:tcW w:w="1985" w:type="dxa"/>
            <w:tcBorders>
              <w:top w:val="nil"/>
              <w:left w:val="nil"/>
              <w:bottom w:val="single" w:sz="4" w:space="0" w:color="auto"/>
              <w:right w:val="nil"/>
            </w:tcBorders>
            <w:vAlign w:val="center"/>
          </w:tcPr>
          <w:p w14:paraId="52AFB612" w14:textId="77777777" w:rsidR="00EE7145" w:rsidRPr="00BF60BC" w:rsidRDefault="00EE7145" w:rsidP="00655F22">
            <w:pPr>
              <w:jc w:val="both"/>
              <w:rPr>
                <w:rFonts w:cstheme="minorHAnsi"/>
              </w:rPr>
            </w:pPr>
            <w:r w:rsidRPr="00BF60BC">
              <w:rPr>
                <w:rFonts w:cstheme="minorHAnsi"/>
              </w:rPr>
              <w:t>55.1%</w:t>
            </w:r>
          </w:p>
          <w:p w14:paraId="39E8BBFD" w14:textId="77777777" w:rsidR="00EE7145" w:rsidRPr="00BF60BC" w:rsidRDefault="00EE7145" w:rsidP="00655F22">
            <w:pPr>
              <w:jc w:val="both"/>
              <w:rPr>
                <w:rFonts w:cstheme="minorHAnsi"/>
              </w:rPr>
            </w:pPr>
            <w:r w:rsidRPr="00BF60BC">
              <w:rPr>
                <w:rFonts w:cstheme="minorHAnsi"/>
              </w:rPr>
              <w:t>(53.8%-56.4%)</w:t>
            </w:r>
          </w:p>
        </w:tc>
      </w:tr>
      <w:tr w:rsidR="00EE7145" w:rsidRPr="00BF60BC" w14:paraId="3BAE57D2" w14:textId="77777777" w:rsidTr="00BE6586">
        <w:trPr>
          <w:trHeight w:val="340"/>
        </w:trPr>
        <w:tc>
          <w:tcPr>
            <w:tcW w:w="1985" w:type="dxa"/>
            <w:tcBorders>
              <w:left w:val="nil"/>
              <w:bottom w:val="dotted" w:sz="4" w:space="0" w:color="auto"/>
            </w:tcBorders>
          </w:tcPr>
          <w:p w14:paraId="514E2457" w14:textId="77777777" w:rsidR="00EE7145" w:rsidRPr="00BF60BC" w:rsidRDefault="00EE7145" w:rsidP="00655F22">
            <w:pPr>
              <w:jc w:val="both"/>
              <w:rPr>
                <w:rFonts w:cstheme="minorHAnsi"/>
                <w:b/>
                <w:bCs/>
              </w:rPr>
            </w:pPr>
            <w:r w:rsidRPr="00BF60BC">
              <w:rPr>
                <w:rFonts w:cstheme="minorHAnsi"/>
                <w:b/>
                <w:bCs/>
              </w:rPr>
              <w:t>Lifetime Exercising for weight loss</w:t>
            </w:r>
          </w:p>
        </w:tc>
        <w:tc>
          <w:tcPr>
            <w:tcW w:w="5245" w:type="dxa"/>
            <w:gridSpan w:val="3"/>
            <w:tcBorders>
              <w:bottom w:val="dotted" w:sz="4" w:space="0" w:color="auto"/>
            </w:tcBorders>
          </w:tcPr>
          <w:p w14:paraId="3DD4F725" w14:textId="77777777" w:rsidR="00EE7145" w:rsidRPr="00BF60BC" w:rsidRDefault="00EE7145" w:rsidP="00655F22">
            <w:pPr>
              <w:jc w:val="both"/>
              <w:rPr>
                <w:rFonts w:cstheme="minorHAnsi"/>
                <w:b/>
              </w:rPr>
            </w:pPr>
            <w:r w:rsidRPr="00BF60BC">
              <w:rPr>
                <w:rFonts w:cstheme="minorHAnsi"/>
                <w:b/>
              </w:rPr>
              <w:t>Males, n= 7,850</w:t>
            </w:r>
          </w:p>
        </w:tc>
        <w:tc>
          <w:tcPr>
            <w:tcW w:w="5670" w:type="dxa"/>
            <w:gridSpan w:val="3"/>
            <w:tcBorders>
              <w:bottom w:val="dotted" w:sz="4" w:space="0" w:color="auto"/>
              <w:right w:val="nil"/>
            </w:tcBorders>
          </w:tcPr>
          <w:p w14:paraId="2E1A229B" w14:textId="77777777" w:rsidR="00EE7145" w:rsidRPr="00BF60BC" w:rsidRDefault="00EE7145" w:rsidP="00655F22">
            <w:pPr>
              <w:jc w:val="both"/>
              <w:rPr>
                <w:rFonts w:cstheme="minorHAnsi"/>
                <w:b/>
              </w:rPr>
            </w:pPr>
            <w:r w:rsidRPr="00BF60BC">
              <w:rPr>
                <w:rFonts w:cstheme="minorHAnsi"/>
                <w:b/>
              </w:rPr>
              <w:t>Females n=8,835</w:t>
            </w:r>
          </w:p>
        </w:tc>
      </w:tr>
      <w:tr w:rsidR="00EE7145" w:rsidRPr="00BF60BC" w14:paraId="0661B479" w14:textId="77777777" w:rsidTr="00BE6586">
        <w:trPr>
          <w:trHeight w:val="238"/>
        </w:trPr>
        <w:tc>
          <w:tcPr>
            <w:tcW w:w="1985" w:type="dxa"/>
            <w:tcBorders>
              <w:top w:val="dotted" w:sz="4" w:space="0" w:color="auto"/>
              <w:left w:val="nil"/>
              <w:bottom w:val="nil"/>
            </w:tcBorders>
          </w:tcPr>
          <w:p w14:paraId="2A6BE004" w14:textId="2B04664F" w:rsidR="00EE7145" w:rsidRPr="00BF60BC" w:rsidRDefault="00EE7145" w:rsidP="00655F22">
            <w:pPr>
              <w:jc w:val="both"/>
              <w:rPr>
                <w:rFonts w:cstheme="minorHAnsi"/>
                <w:i/>
                <w:iCs/>
              </w:rPr>
            </w:pPr>
            <w:r w:rsidRPr="00BF60BC">
              <w:rPr>
                <w:rFonts w:cstheme="minorHAnsi"/>
                <w:i/>
                <w:iCs/>
              </w:rPr>
              <w:t>No</w:t>
            </w:r>
          </w:p>
        </w:tc>
        <w:tc>
          <w:tcPr>
            <w:tcW w:w="1701" w:type="dxa"/>
            <w:tcBorders>
              <w:top w:val="dotted" w:sz="4" w:space="0" w:color="auto"/>
              <w:bottom w:val="nil"/>
              <w:right w:val="nil"/>
            </w:tcBorders>
            <w:vAlign w:val="center"/>
          </w:tcPr>
          <w:p w14:paraId="077DD34C" w14:textId="77777777" w:rsidR="00EE7145" w:rsidRPr="00BF60BC" w:rsidRDefault="00EE7145" w:rsidP="00655F22">
            <w:pPr>
              <w:jc w:val="both"/>
              <w:rPr>
                <w:rFonts w:cstheme="minorHAnsi"/>
              </w:rPr>
            </w:pPr>
            <w:r w:rsidRPr="00BF60BC">
              <w:rPr>
                <w:rFonts w:cstheme="minorHAnsi"/>
              </w:rPr>
              <w:t>95.1%</w:t>
            </w:r>
          </w:p>
          <w:p w14:paraId="011FB5EC" w14:textId="77777777" w:rsidR="00EE7145" w:rsidRPr="00BF60BC" w:rsidRDefault="00EE7145" w:rsidP="00655F22">
            <w:pPr>
              <w:jc w:val="both"/>
              <w:rPr>
                <w:rFonts w:cstheme="minorHAnsi"/>
              </w:rPr>
            </w:pPr>
            <w:r w:rsidRPr="00BF60BC">
              <w:rPr>
                <w:rFonts w:cstheme="minorHAnsi"/>
              </w:rPr>
              <w:t>(94.1%-96.1%)</w:t>
            </w:r>
          </w:p>
        </w:tc>
        <w:tc>
          <w:tcPr>
            <w:tcW w:w="1559" w:type="dxa"/>
            <w:tcBorders>
              <w:top w:val="dotted" w:sz="4" w:space="0" w:color="auto"/>
              <w:left w:val="nil"/>
              <w:bottom w:val="nil"/>
              <w:right w:val="nil"/>
            </w:tcBorders>
            <w:vAlign w:val="center"/>
          </w:tcPr>
          <w:p w14:paraId="3892D1C3" w14:textId="77777777" w:rsidR="00EE7145" w:rsidRPr="00BF60BC" w:rsidRDefault="00EE7145" w:rsidP="00655F22">
            <w:pPr>
              <w:jc w:val="both"/>
              <w:rPr>
                <w:rFonts w:cstheme="minorHAnsi"/>
              </w:rPr>
            </w:pPr>
            <w:r w:rsidRPr="00BF60BC">
              <w:rPr>
                <w:rFonts w:cstheme="minorHAnsi"/>
              </w:rPr>
              <w:t>N/A</w:t>
            </w:r>
          </w:p>
        </w:tc>
        <w:tc>
          <w:tcPr>
            <w:tcW w:w="1985" w:type="dxa"/>
            <w:tcBorders>
              <w:top w:val="dotted" w:sz="4" w:space="0" w:color="auto"/>
              <w:left w:val="nil"/>
              <w:bottom w:val="nil"/>
            </w:tcBorders>
            <w:vAlign w:val="center"/>
          </w:tcPr>
          <w:p w14:paraId="7385F410" w14:textId="77777777" w:rsidR="00EE7145" w:rsidRPr="00BF60BC" w:rsidRDefault="00EE7145" w:rsidP="00655F22">
            <w:pPr>
              <w:jc w:val="both"/>
              <w:rPr>
                <w:rFonts w:cstheme="minorHAnsi"/>
              </w:rPr>
            </w:pPr>
            <w:r w:rsidRPr="00BF60BC">
              <w:rPr>
                <w:rFonts w:cstheme="minorHAnsi"/>
              </w:rPr>
              <w:t>45.1%</w:t>
            </w:r>
          </w:p>
          <w:p w14:paraId="74F10764" w14:textId="77777777" w:rsidR="00EE7145" w:rsidRPr="00BF60BC" w:rsidRDefault="00EE7145" w:rsidP="00655F22">
            <w:pPr>
              <w:jc w:val="both"/>
              <w:rPr>
                <w:rFonts w:cstheme="minorHAnsi"/>
              </w:rPr>
            </w:pPr>
            <w:r w:rsidRPr="00BF60BC">
              <w:rPr>
                <w:rFonts w:cstheme="minorHAnsi"/>
              </w:rPr>
              <w:t>(43.7%-46.4%)</w:t>
            </w:r>
          </w:p>
        </w:tc>
        <w:tc>
          <w:tcPr>
            <w:tcW w:w="1842" w:type="dxa"/>
            <w:tcBorders>
              <w:top w:val="dotted" w:sz="4" w:space="0" w:color="auto"/>
              <w:bottom w:val="nil"/>
              <w:right w:val="nil"/>
            </w:tcBorders>
            <w:vAlign w:val="center"/>
          </w:tcPr>
          <w:p w14:paraId="5DB571A6" w14:textId="77777777" w:rsidR="00EE7145" w:rsidRPr="00BF60BC" w:rsidRDefault="00EE7145" w:rsidP="00655F22">
            <w:pPr>
              <w:jc w:val="both"/>
              <w:rPr>
                <w:rFonts w:cstheme="minorHAnsi"/>
              </w:rPr>
            </w:pPr>
            <w:r w:rsidRPr="00BF60BC">
              <w:rPr>
                <w:rFonts w:cstheme="minorHAnsi"/>
              </w:rPr>
              <w:t>91.2%</w:t>
            </w:r>
          </w:p>
          <w:p w14:paraId="14D5E3EB" w14:textId="77777777" w:rsidR="00EE7145" w:rsidRPr="00BF60BC" w:rsidRDefault="00EE7145" w:rsidP="00655F22">
            <w:pPr>
              <w:jc w:val="both"/>
              <w:rPr>
                <w:rFonts w:cstheme="minorHAnsi"/>
              </w:rPr>
            </w:pPr>
            <w:r w:rsidRPr="00BF60BC">
              <w:rPr>
                <w:rFonts w:cstheme="minorHAnsi"/>
              </w:rPr>
              <w:t>(90.0%-92.3%)</w:t>
            </w:r>
          </w:p>
        </w:tc>
        <w:tc>
          <w:tcPr>
            <w:tcW w:w="1843" w:type="dxa"/>
            <w:tcBorders>
              <w:top w:val="dotted" w:sz="4" w:space="0" w:color="auto"/>
              <w:left w:val="nil"/>
              <w:bottom w:val="nil"/>
              <w:right w:val="nil"/>
            </w:tcBorders>
            <w:vAlign w:val="center"/>
          </w:tcPr>
          <w:p w14:paraId="6C957673" w14:textId="77777777" w:rsidR="00EE7145" w:rsidRPr="00BF60BC" w:rsidRDefault="00EE7145" w:rsidP="00655F22">
            <w:pPr>
              <w:jc w:val="both"/>
              <w:rPr>
                <w:rFonts w:cstheme="minorHAnsi"/>
              </w:rPr>
            </w:pPr>
            <w:r w:rsidRPr="00BF60BC">
              <w:rPr>
                <w:rFonts w:cstheme="minorHAnsi"/>
              </w:rPr>
              <w:t>N/A</w:t>
            </w:r>
          </w:p>
        </w:tc>
        <w:tc>
          <w:tcPr>
            <w:tcW w:w="1985" w:type="dxa"/>
            <w:tcBorders>
              <w:top w:val="dotted" w:sz="4" w:space="0" w:color="auto"/>
              <w:left w:val="nil"/>
              <w:bottom w:val="nil"/>
              <w:right w:val="nil"/>
            </w:tcBorders>
            <w:vAlign w:val="center"/>
          </w:tcPr>
          <w:p w14:paraId="3CEE0FF1" w14:textId="77777777" w:rsidR="00EE7145" w:rsidRPr="00BF60BC" w:rsidRDefault="00EE7145" w:rsidP="00655F22">
            <w:pPr>
              <w:jc w:val="both"/>
              <w:rPr>
                <w:rFonts w:cstheme="minorHAnsi"/>
              </w:rPr>
            </w:pPr>
            <w:r w:rsidRPr="00BF60BC">
              <w:rPr>
                <w:rFonts w:cstheme="minorHAnsi"/>
              </w:rPr>
              <w:t>33.7%</w:t>
            </w:r>
          </w:p>
          <w:p w14:paraId="13E65543" w14:textId="77777777" w:rsidR="00EE7145" w:rsidRPr="00BF60BC" w:rsidRDefault="00EE7145" w:rsidP="00655F22">
            <w:pPr>
              <w:jc w:val="both"/>
              <w:rPr>
                <w:rFonts w:cstheme="minorHAnsi"/>
              </w:rPr>
            </w:pPr>
            <w:r w:rsidRPr="00BF60BC">
              <w:rPr>
                <w:rFonts w:cstheme="minorHAnsi"/>
              </w:rPr>
              <w:t>(32.4%-35.0%)</w:t>
            </w:r>
          </w:p>
        </w:tc>
      </w:tr>
      <w:tr w:rsidR="00EE7145" w:rsidRPr="00BF60BC" w14:paraId="08890A03" w14:textId="77777777" w:rsidTr="00BE6586">
        <w:trPr>
          <w:trHeight w:val="238"/>
        </w:trPr>
        <w:tc>
          <w:tcPr>
            <w:tcW w:w="1985" w:type="dxa"/>
            <w:tcBorders>
              <w:top w:val="nil"/>
              <w:left w:val="nil"/>
              <w:bottom w:val="single" w:sz="4" w:space="0" w:color="auto"/>
            </w:tcBorders>
          </w:tcPr>
          <w:p w14:paraId="6D554438" w14:textId="77777777" w:rsidR="00EE7145" w:rsidRPr="00BF60BC" w:rsidRDefault="00EE7145" w:rsidP="00655F22">
            <w:pPr>
              <w:jc w:val="both"/>
              <w:rPr>
                <w:rFonts w:cstheme="minorHAnsi"/>
                <w:i/>
                <w:iCs/>
              </w:rPr>
            </w:pPr>
            <w:r w:rsidRPr="00BF60BC">
              <w:rPr>
                <w:rFonts w:cstheme="minorHAnsi"/>
                <w:i/>
                <w:iCs/>
              </w:rPr>
              <w:t>Yes</w:t>
            </w:r>
          </w:p>
        </w:tc>
        <w:tc>
          <w:tcPr>
            <w:tcW w:w="1701" w:type="dxa"/>
            <w:tcBorders>
              <w:top w:val="nil"/>
              <w:bottom w:val="single" w:sz="4" w:space="0" w:color="auto"/>
              <w:right w:val="nil"/>
            </w:tcBorders>
            <w:vAlign w:val="center"/>
          </w:tcPr>
          <w:p w14:paraId="7B27165F" w14:textId="77777777" w:rsidR="00EE7145" w:rsidRPr="00BF60BC" w:rsidRDefault="00EE7145" w:rsidP="00655F22">
            <w:pPr>
              <w:jc w:val="both"/>
              <w:rPr>
                <w:rFonts w:cstheme="minorHAnsi"/>
              </w:rPr>
            </w:pPr>
            <w:r w:rsidRPr="00BF60BC">
              <w:rPr>
                <w:rFonts w:cstheme="minorHAnsi"/>
              </w:rPr>
              <w:t>4.9%</w:t>
            </w:r>
          </w:p>
          <w:p w14:paraId="2592286F" w14:textId="77777777" w:rsidR="00EE7145" w:rsidRPr="00BF60BC" w:rsidRDefault="00EE7145" w:rsidP="00655F22">
            <w:pPr>
              <w:jc w:val="both"/>
              <w:rPr>
                <w:rFonts w:cstheme="minorHAnsi"/>
              </w:rPr>
            </w:pPr>
            <w:r w:rsidRPr="00BF60BC">
              <w:rPr>
                <w:rFonts w:cstheme="minorHAnsi"/>
              </w:rPr>
              <w:t>(3.9%-5.9%)</w:t>
            </w:r>
          </w:p>
        </w:tc>
        <w:tc>
          <w:tcPr>
            <w:tcW w:w="1559" w:type="dxa"/>
            <w:tcBorders>
              <w:top w:val="nil"/>
              <w:left w:val="nil"/>
              <w:bottom w:val="single" w:sz="4" w:space="0" w:color="auto"/>
              <w:right w:val="nil"/>
            </w:tcBorders>
            <w:vAlign w:val="center"/>
          </w:tcPr>
          <w:p w14:paraId="7325EFC8" w14:textId="77777777" w:rsidR="00EE7145" w:rsidRPr="00BF60BC" w:rsidRDefault="00EE7145" w:rsidP="00655F22">
            <w:pPr>
              <w:jc w:val="both"/>
              <w:rPr>
                <w:rFonts w:cstheme="minorHAnsi"/>
              </w:rPr>
            </w:pPr>
            <w:r w:rsidRPr="00BF60BC">
              <w:rPr>
                <w:rFonts w:cstheme="minorHAnsi"/>
              </w:rPr>
              <w:t>N/A</w:t>
            </w:r>
          </w:p>
        </w:tc>
        <w:tc>
          <w:tcPr>
            <w:tcW w:w="1985" w:type="dxa"/>
            <w:tcBorders>
              <w:top w:val="nil"/>
              <w:left w:val="nil"/>
              <w:bottom w:val="single" w:sz="4" w:space="0" w:color="auto"/>
            </w:tcBorders>
            <w:vAlign w:val="center"/>
          </w:tcPr>
          <w:p w14:paraId="116CB41C" w14:textId="77777777" w:rsidR="00EE7145" w:rsidRPr="00BF60BC" w:rsidRDefault="00EE7145" w:rsidP="00655F22">
            <w:pPr>
              <w:jc w:val="both"/>
              <w:rPr>
                <w:rFonts w:cstheme="minorHAnsi"/>
              </w:rPr>
            </w:pPr>
            <w:r w:rsidRPr="00BF60BC">
              <w:rPr>
                <w:rFonts w:cstheme="minorHAnsi"/>
              </w:rPr>
              <w:t>54.9%</w:t>
            </w:r>
          </w:p>
          <w:p w14:paraId="124651BE" w14:textId="77777777" w:rsidR="00EE7145" w:rsidRPr="00BF60BC" w:rsidRDefault="00EE7145" w:rsidP="00655F22">
            <w:pPr>
              <w:jc w:val="both"/>
              <w:rPr>
                <w:rFonts w:cstheme="minorHAnsi"/>
              </w:rPr>
            </w:pPr>
            <w:r w:rsidRPr="00BF60BC">
              <w:rPr>
                <w:rFonts w:cstheme="minorHAnsi"/>
              </w:rPr>
              <w:t>(53.6%-56.3%)</w:t>
            </w:r>
          </w:p>
        </w:tc>
        <w:tc>
          <w:tcPr>
            <w:tcW w:w="1842" w:type="dxa"/>
            <w:tcBorders>
              <w:top w:val="nil"/>
              <w:bottom w:val="single" w:sz="4" w:space="0" w:color="auto"/>
              <w:right w:val="nil"/>
            </w:tcBorders>
            <w:vAlign w:val="center"/>
          </w:tcPr>
          <w:p w14:paraId="2EBAA903" w14:textId="77777777" w:rsidR="00EE7145" w:rsidRPr="00BF60BC" w:rsidRDefault="00EE7145" w:rsidP="00655F22">
            <w:pPr>
              <w:jc w:val="both"/>
              <w:rPr>
                <w:rFonts w:cstheme="minorHAnsi"/>
              </w:rPr>
            </w:pPr>
            <w:r w:rsidRPr="00BF60BC">
              <w:rPr>
                <w:rFonts w:cstheme="minorHAnsi"/>
              </w:rPr>
              <w:t>8.8%</w:t>
            </w:r>
          </w:p>
          <w:p w14:paraId="49F29A67" w14:textId="77777777" w:rsidR="00EE7145" w:rsidRPr="00BF60BC" w:rsidRDefault="00EE7145" w:rsidP="00655F22">
            <w:pPr>
              <w:jc w:val="both"/>
              <w:rPr>
                <w:rFonts w:cstheme="minorHAnsi"/>
              </w:rPr>
            </w:pPr>
            <w:r w:rsidRPr="00BF60BC">
              <w:rPr>
                <w:rFonts w:cstheme="minorHAnsi"/>
              </w:rPr>
              <w:t>(7.7%-10.0%)</w:t>
            </w:r>
          </w:p>
        </w:tc>
        <w:tc>
          <w:tcPr>
            <w:tcW w:w="1843" w:type="dxa"/>
            <w:tcBorders>
              <w:top w:val="nil"/>
              <w:left w:val="nil"/>
              <w:bottom w:val="single" w:sz="4" w:space="0" w:color="auto"/>
              <w:right w:val="nil"/>
            </w:tcBorders>
            <w:vAlign w:val="center"/>
          </w:tcPr>
          <w:p w14:paraId="7B1A31BD" w14:textId="77777777" w:rsidR="00EE7145" w:rsidRPr="00BF60BC" w:rsidRDefault="00EE7145" w:rsidP="00655F22">
            <w:pPr>
              <w:jc w:val="both"/>
              <w:rPr>
                <w:rFonts w:cstheme="minorHAnsi"/>
              </w:rPr>
            </w:pPr>
            <w:r w:rsidRPr="00BF60BC">
              <w:rPr>
                <w:rFonts w:cstheme="minorHAnsi"/>
              </w:rPr>
              <w:t>N/A</w:t>
            </w:r>
          </w:p>
        </w:tc>
        <w:tc>
          <w:tcPr>
            <w:tcW w:w="1985" w:type="dxa"/>
            <w:tcBorders>
              <w:top w:val="nil"/>
              <w:left w:val="nil"/>
              <w:bottom w:val="single" w:sz="4" w:space="0" w:color="auto"/>
              <w:right w:val="nil"/>
            </w:tcBorders>
            <w:vAlign w:val="center"/>
          </w:tcPr>
          <w:p w14:paraId="36F31513" w14:textId="77777777" w:rsidR="00EE7145" w:rsidRPr="00BF60BC" w:rsidRDefault="00EE7145" w:rsidP="00655F22">
            <w:pPr>
              <w:jc w:val="both"/>
              <w:rPr>
                <w:rFonts w:cstheme="minorHAnsi"/>
              </w:rPr>
            </w:pPr>
            <w:r w:rsidRPr="00BF60BC">
              <w:rPr>
                <w:rFonts w:cstheme="minorHAnsi"/>
              </w:rPr>
              <w:t>66.3%</w:t>
            </w:r>
          </w:p>
          <w:p w14:paraId="267C45A8" w14:textId="77777777" w:rsidR="00EE7145" w:rsidRPr="00BF60BC" w:rsidRDefault="00EE7145" w:rsidP="00655F22">
            <w:pPr>
              <w:jc w:val="both"/>
              <w:rPr>
                <w:rFonts w:cstheme="minorHAnsi"/>
              </w:rPr>
            </w:pPr>
            <w:r w:rsidRPr="00BF60BC">
              <w:rPr>
                <w:rFonts w:cstheme="minorHAnsi"/>
              </w:rPr>
              <w:t>(65.0%- 67.6%)</w:t>
            </w:r>
          </w:p>
        </w:tc>
      </w:tr>
      <w:tr w:rsidR="00EE7145" w:rsidRPr="00BF60BC" w14:paraId="49FFE17E" w14:textId="77777777" w:rsidTr="00BE6586">
        <w:trPr>
          <w:trHeight w:val="336"/>
        </w:trPr>
        <w:tc>
          <w:tcPr>
            <w:tcW w:w="1985" w:type="dxa"/>
            <w:tcBorders>
              <w:left w:val="nil"/>
              <w:bottom w:val="dotted" w:sz="4" w:space="0" w:color="auto"/>
            </w:tcBorders>
          </w:tcPr>
          <w:p w14:paraId="0C51CF9D" w14:textId="62D5A210" w:rsidR="00EE7145" w:rsidRPr="00BF60BC" w:rsidRDefault="00EE7145" w:rsidP="00655F22">
            <w:pPr>
              <w:jc w:val="both"/>
              <w:rPr>
                <w:rFonts w:cstheme="minorHAnsi"/>
                <w:b/>
                <w:bCs/>
              </w:rPr>
            </w:pPr>
            <w:r w:rsidRPr="00BF60BC">
              <w:rPr>
                <w:rFonts w:cstheme="minorHAnsi"/>
                <w:b/>
                <w:bCs/>
              </w:rPr>
              <w:t>What are you trying to do about weight</w:t>
            </w:r>
          </w:p>
        </w:tc>
        <w:tc>
          <w:tcPr>
            <w:tcW w:w="5245" w:type="dxa"/>
            <w:gridSpan w:val="3"/>
            <w:tcBorders>
              <w:bottom w:val="dotted" w:sz="4" w:space="0" w:color="auto"/>
            </w:tcBorders>
          </w:tcPr>
          <w:p w14:paraId="39966831" w14:textId="77777777" w:rsidR="00EE7145" w:rsidRPr="00BF60BC" w:rsidRDefault="00EE7145" w:rsidP="00655F22">
            <w:pPr>
              <w:jc w:val="both"/>
              <w:rPr>
                <w:rFonts w:cstheme="minorHAnsi"/>
                <w:b/>
              </w:rPr>
            </w:pPr>
            <w:r w:rsidRPr="00BF60BC">
              <w:rPr>
                <w:rFonts w:cstheme="minorHAnsi"/>
                <w:b/>
              </w:rPr>
              <w:t>Males, n=7,930</w:t>
            </w:r>
          </w:p>
        </w:tc>
        <w:tc>
          <w:tcPr>
            <w:tcW w:w="5670" w:type="dxa"/>
            <w:gridSpan w:val="3"/>
            <w:tcBorders>
              <w:bottom w:val="dotted" w:sz="4" w:space="0" w:color="auto"/>
              <w:right w:val="nil"/>
            </w:tcBorders>
          </w:tcPr>
          <w:p w14:paraId="5A27F571" w14:textId="77777777" w:rsidR="00EE7145" w:rsidRPr="00BF60BC" w:rsidRDefault="00EE7145" w:rsidP="00655F22">
            <w:pPr>
              <w:jc w:val="both"/>
              <w:rPr>
                <w:rFonts w:cstheme="minorHAnsi"/>
                <w:b/>
              </w:rPr>
            </w:pPr>
            <w:r w:rsidRPr="00BF60BC">
              <w:rPr>
                <w:rFonts w:cstheme="minorHAnsi"/>
                <w:b/>
              </w:rPr>
              <w:t>Females, n=8,698</w:t>
            </w:r>
          </w:p>
        </w:tc>
      </w:tr>
      <w:tr w:rsidR="00EE7145" w:rsidRPr="00BF60BC" w14:paraId="7D7D3BAC" w14:textId="77777777" w:rsidTr="00BE6586">
        <w:trPr>
          <w:trHeight w:val="238"/>
        </w:trPr>
        <w:tc>
          <w:tcPr>
            <w:tcW w:w="1985" w:type="dxa"/>
            <w:tcBorders>
              <w:top w:val="dotted" w:sz="4" w:space="0" w:color="auto"/>
              <w:left w:val="nil"/>
              <w:bottom w:val="nil"/>
            </w:tcBorders>
          </w:tcPr>
          <w:p w14:paraId="787A78C2" w14:textId="77777777" w:rsidR="00EE7145" w:rsidRPr="00BF60BC" w:rsidRDefault="00EE7145" w:rsidP="00655F22">
            <w:pPr>
              <w:jc w:val="both"/>
              <w:rPr>
                <w:rFonts w:cstheme="minorHAnsi"/>
                <w:i/>
                <w:iCs/>
              </w:rPr>
            </w:pPr>
            <w:r w:rsidRPr="00BF60BC">
              <w:rPr>
                <w:rFonts w:cstheme="minorHAnsi"/>
                <w:i/>
                <w:iCs/>
              </w:rPr>
              <w:t>Nothing</w:t>
            </w:r>
          </w:p>
        </w:tc>
        <w:tc>
          <w:tcPr>
            <w:tcW w:w="1701" w:type="dxa"/>
            <w:tcBorders>
              <w:top w:val="dotted" w:sz="4" w:space="0" w:color="auto"/>
              <w:bottom w:val="nil"/>
              <w:right w:val="nil"/>
            </w:tcBorders>
            <w:vAlign w:val="center"/>
          </w:tcPr>
          <w:p w14:paraId="0D77B074" w14:textId="77777777" w:rsidR="00EE7145" w:rsidRPr="00BF60BC" w:rsidRDefault="00EE7145" w:rsidP="00655F22">
            <w:pPr>
              <w:jc w:val="both"/>
              <w:rPr>
                <w:rFonts w:cstheme="minorHAnsi"/>
              </w:rPr>
            </w:pPr>
            <w:r w:rsidRPr="00BF60BC">
              <w:rPr>
                <w:rFonts w:cstheme="minorHAnsi"/>
              </w:rPr>
              <w:t>N/A</w:t>
            </w:r>
          </w:p>
        </w:tc>
        <w:tc>
          <w:tcPr>
            <w:tcW w:w="1559" w:type="dxa"/>
            <w:tcBorders>
              <w:top w:val="dotted" w:sz="4" w:space="0" w:color="auto"/>
              <w:left w:val="nil"/>
              <w:bottom w:val="nil"/>
              <w:right w:val="nil"/>
            </w:tcBorders>
            <w:vAlign w:val="center"/>
          </w:tcPr>
          <w:p w14:paraId="43B8FCED" w14:textId="77777777" w:rsidR="00EE7145" w:rsidRPr="00BF60BC" w:rsidRDefault="00EE7145" w:rsidP="00655F22">
            <w:pPr>
              <w:jc w:val="both"/>
              <w:rPr>
                <w:rFonts w:cstheme="minorHAnsi"/>
              </w:rPr>
            </w:pPr>
            <w:r w:rsidRPr="00BF60BC">
              <w:rPr>
                <w:rFonts w:cstheme="minorHAnsi"/>
              </w:rPr>
              <w:t>47.0%</w:t>
            </w:r>
          </w:p>
          <w:p w14:paraId="2ACBDF13" w14:textId="77777777" w:rsidR="00EE7145" w:rsidRPr="00BF60BC" w:rsidRDefault="00EE7145" w:rsidP="00655F22">
            <w:pPr>
              <w:jc w:val="both"/>
              <w:rPr>
                <w:rFonts w:cstheme="minorHAnsi"/>
              </w:rPr>
            </w:pPr>
            <w:r w:rsidRPr="00BF60BC">
              <w:rPr>
                <w:rFonts w:cstheme="minorHAnsi"/>
              </w:rPr>
              <w:t>(45.0%-49.0%)</w:t>
            </w:r>
          </w:p>
        </w:tc>
        <w:tc>
          <w:tcPr>
            <w:tcW w:w="1985" w:type="dxa"/>
            <w:tcBorders>
              <w:top w:val="dotted" w:sz="4" w:space="0" w:color="auto"/>
              <w:left w:val="nil"/>
              <w:bottom w:val="nil"/>
            </w:tcBorders>
            <w:vAlign w:val="center"/>
          </w:tcPr>
          <w:p w14:paraId="6A39A09C" w14:textId="77777777" w:rsidR="00EE7145" w:rsidRPr="00BF60BC" w:rsidRDefault="00EE7145" w:rsidP="00655F22">
            <w:pPr>
              <w:jc w:val="both"/>
              <w:rPr>
                <w:rFonts w:cstheme="minorHAnsi"/>
              </w:rPr>
            </w:pPr>
            <w:r w:rsidRPr="00BF60BC">
              <w:rPr>
                <w:rFonts w:cstheme="minorHAnsi"/>
              </w:rPr>
              <w:t>27.1%</w:t>
            </w:r>
          </w:p>
          <w:p w14:paraId="3FD3702A" w14:textId="77777777" w:rsidR="00EE7145" w:rsidRPr="00BF60BC" w:rsidRDefault="00EE7145" w:rsidP="00655F22">
            <w:pPr>
              <w:jc w:val="both"/>
              <w:rPr>
                <w:rFonts w:cstheme="minorHAnsi"/>
              </w:rPr>
            </w:pPr>
            <w:r w:rsidRPr="00BF60BC">
              <w:rPr>
                <w:rFonts w:cstheme="minorHAnsi"/>
              </w:rPr>
              <w:t>(25.9%-28.3%)</w:t>
            </w:r>
          </w:p>
        </w:tc>
        <w:tc>
          <w:tcPr>
            <w:tcW w:w="1842" w:type="dxa"/>
            <w:tcBorders>
              <w:top w:val="dotted" w:sz="4" w:space="0" w:color="auto"/>
              <w:bottom w:val="nil"/>
              <w:right w:val="nil"/>
            </w:tcBorders>
            <w:vAlign w:val="center"/>
          </w:tcPr>
          <w:p w14:paraId="2D82DFE3" w14:textId="77777777" w:rsidR="00EE7145" w:rsidRPr="00BF60BC" w:rsidRDefault="00EE7145" w:rsidP="00655F22">
            <w:pPr>
              <w:jc w:val="both"/>
              <w:rPr>
                <w:rFonts w:cstheme="minorHAnsi"/>
              </w:rPr>
            </w:pPr>
            <w:r w:rsidRPr="00BF60BC">
              <w:rPr>
                <w:rFonts w:cstheme="minorHAnsi"/>
              </w:rPr>
              <w:t>N/A</w:t>
            </w:r>
          </w:p>
        </w:tc>
        <w:tc>
          <w:tcPr>
            <w:tcW w:w="1843" w:type="dxa"/>
            <w:tcBorders>
              <w:top w:val="dotted" w:sz="4" w:space="0" w:color="auto"/>
              <w:left w:val="nil"/>
              <w:bottom w:val="nil"/>
              <w:right w:val="nil"/>
            </w:tcBorders>
            <w:vAlign w:val="center"/>
          </w:tcPr>
          <w:p w14:paraId="10D3DF22" w14:textId="77777777" w:rsidR="00EE7145" w:rsidRPr="00BF60BC" w:rsidRDefault="00EE7145" w:rsidP="00655F22">
            <w:pPr>
              <w:jc w:val="both"/>
              <w:rPr>
                <w:rFonts w:cstheme="minorHAnsi"/>
              </w:rPr>
            </w:pPr>
            <w:r w:rsidRPr="00BF60BC">
              <w:rPr>
                <w:rFonts w:cstheme="minorHAnsi"/>
              </w:rPr>
              <w:t>28.7%</w:t>
            </w:r>
          </w:p>
          <w:p w14:paraId="2B23E2C3" w14:textId="77777777" w:rsidR="00EE7145" w:rsidRPr="00BF60BC" w:rsidRDefault="00EE7145" w:rsidP="00655F22">
            <w:pPr>
              <w:jc w:val="both"/>
              <w:rPr>
                <w:rFonts w:cstheme="minorHAnsi"/>
              </w:rPr>
            </w:pPr>
            <w:r w:rsidRPr="00BF60BC">
              <w:rPr>
                <w:rFonts w:cstheme="minorHAnsi"/>
              </w:rPr>
              <w:t>(27.1%-30.3%)</w:t>
            </w:r>
          </w:p>
        </w:tc>
        <w:tc>
          <w:tcPr>
            <w:tcW w:w="1985" w:type="dxa"/>
            <w:tcBorders>
              <w:top w:val="dotted" w:sz="4" w:space="0" w:color="auto"/>
              <w:left w:val="nil"/>
              <w:bottom w:val="nil"/>
              <w:right w:val="nil"/>
            </w:tcBorders>
            <w:vAlign w:val="center"/>
          </w:tcPr>
          <w:p w14:paraId="1ABF0A4A" w14:textId="77777777" w:rsidR="00EE7145" w:rsidRPr="00BF60BC" w:rsidRDefault="00EE7145" w:rsidP="00655F22">
            <w:pPr>
              <w:jc w:val="both"/>
              <w:rPr>
                <w:rFonts w:cstheme="minorHAnsi"/>
              </w:rPr>
            </w:pPr>
            <w:r w:rsidRPr="00BF60BC">
              <w:rPr>
                <w:rFonts w:cstheme="minorHAnsi"/>
              </w:rPr>
              <w:t>20.4%</w:t>
            </w:r>
          </w:p>
          <w:p w14:paraId="2DFA7C3F" w14:textId="77777777" w:rsidR="00EE7145" w:rsidRPr="00BF60BC" w:rsidRDefault="00EE7145" w:rsidP="00655F22">
            <w:pPr>
              <w:jc w:val="both"/>
              <w:rPr>
                <w:rFonts w:cstheme="minorHAnsi"/>
              </w:rPr>
            </w:pPr>
            <w:r w:rsidRPr="00BF60BC">
              <w:rPr>
                <w:rFonts w:cstheme="minorHAnsi"/>
              </w:rPr>
              <w:t>(19.3%-21.5%)</w:t>
            </w:r>
          </w:p>
        </w:tc>
      </w:tr>
      <w:tr w:rsidR="00EE7145" w:rsidRPr="00BF60BC" w14:paraId="276A5EB8" w14:textId="77777777" w:rsidTr="00BE6586">
        <w:trPr>
          <w:trHeight w:val="238"/>
        </w:trPr>
        <w:tc>
          <w:tcPr>
            <w:tcW w:w="1985" w:type="dxa"/>
            <w:tcBorders>
              <w:top w:val="nil"/>
              <w:left w:val="nil"/>
              <w:bottom w:val="nil"/>
            </w:tcBorders>
          </w:tcPr>
          <w:p w14:paraId="48673DEE" w14:textId="77777777" w:rsidR="00EE7145" w:rsidRPr="00BF60BC" w:rsidRDefault="00EE7145" w:rsidP="00655F22">
            <w:pPr>
              <w:jc w:val="both"/>
              <w:rPr>
                <w:rFonts w:cstheme="minorHAnsi"/>
                <w:i/>
                <w:iCs/>
              </w:rPr>
            </w:pPr>
            <w:r w:rsidRPr="00BF60BC">
              <w:rPr>
                <w:rFonts w:cstheme="minorHAnsi"/>
                <w:i/>
                <w:iCs/>
              </w:rPr>
              <w:t>Lose weight</w:t>
            </w:r>
          </w:p>
        </w:tc>
        <w:tc>
          <w:tcPr>
            <w:tcW w:w="1701" w:type="dxa"/>
            <w:tcBorders>
              <w:top w:val="nil"/>
              <w:bottom w:val="nil"/>
              <w:right w:val="nil"/>
            </w:tcBorders>
            <w:vAlign w:val="center"/>
          </w:tcPr>
          <w:p w14:paraId="3BBFA476" w14:textId="77777777" w:rsidR="00EE7145" w:rsidRPr="00BF60BC" w:rsidRDefault="00EE7145" w:rsidP="00655F22">
            <w:pPr>
              <w:jc w:val="both"/>
              <w:rPr>
                <w:rFonts w:cstheme="minorHAnsi"/>
              </w:rPr>
            </w:pPr>
            <w:r w:rsidRPr="00BF60BC">
              <w:rPr>
                <w:rFonts w:cstheme="minorHAnsi"/>
              </w:rPr>
              <w:t>N/A</w:t>
            </w:r>
          </w:p>
        </w:tc>
        <w:tc>
          <w:tcPr>
            <w:tcW w:w="1559" w:type="dxa"/>
            <w:tcBorders>
              <w:top w:val="nil"/>
              <w:left w:val="nil"/>
              <w:bottom w:val="nil"/>
              <w:right w:val="nil"/>
            </w:tcBorders>
            <w:vAlign w:val="center"/>
          </w:tcPr>
          <w:p w14:paraId="421503E8" w14:textId="77777777" w:rsidR="00EE7145" w:rsidRPr="00BF60BC" w:rsidRDefault="00EE7145" w:rsidP="00655F22">
            <w:pPr>
              <w:jc w:val="both"/>
              <w:rPr>
                <w:rFonts w:cstheme="minorHAnsi"/>
              </w:rPr>
            </w:pPr>
            <w:r w:rsidRPr="00BF60BC">
              <w:rPr>
                <w:rFonts w:cstheme="minorHAnsi"/>
              </w:rPr>
              <w:t>19.4%</w:t>
            </w:r>
          </w:p>
          <w:p w14:paraId="3B43A83C" w14:textId="77777777" w:rsidR="00EE7145" w:rsidRPr="00BF60BC" w:rsidRDefault="00EE7145" w:rsidP="00655F22">
            <w:pPr>
              <w:jc w:val="both"/>
              <w:rPr>
                <w:rFonts w:cstheme="minorHAnsi"/>
              </w:rPr>
            </w:pPr>
            <w:r w:rsidRPr="00BF60BC">
              <w:rPr>
                <w:rFonts w:cstheme="minorHAnsi"/>
              </w:rPr>
              <w:t>(17.8%-21.0%)</w:t>
            </w:r>
          </w:p>
        </w:tc>
        <w:tc>
          <w:tcPr>
            <w:tcW w:w="1985" w:type="dxa"/>
            <w:tcBorders>
              <w:top w:val="nil"/>
              <w:left w:val="nil"/>
              <w:bottom w:val="nil"/>
            </w:tcBorders>
            <w:vAlign w:val="center"/>
          </w:tcPr>
          <w:p w14:paraId="2D99CE2E" w14:textId="77777777" w:rsidR="00EE7145" w:rsidRPr="00BF60BC" w:rsidRDefault="00EE7145" w:rsidP="00655F22">
            <w:pPr>
              <w:jc w:val="both"/>
              <w:rPr>
                <w:rFonts w:cstheme="minorHAnsi"/>
              </w:rPr>
            </w:pPr>
            <w:r w:rsidRPr="00BF60BC">
              <w:rPr>
                <w:rFonts w:cstheme="minorHAnsi"/>
              </w:rPr>
              <w:t>31.8%</w:t>
            </w:r>
          </w:p>
          <w:p w14:paraId="00878006" w14:textId="77777777" w:rsidR="00EE7145" w:rsidRPr="00BF60BC" w:rsidRDefault="00EE7145" w:rsidP="00655F22">
            <w:pPr>
              <w:jc w:val="both"/>
              <w:rPr>
                <w:rFonts w:cstheme="minorHAnsi"/>
              </w:rPr>
            </w:pPr>
            <w:r w:rsidRPr="00BF60BC">
              <w:rPr>
                <w:rFonts w:cstheme="minorHAnsi"/>
              </w:rPr>
              <w:t>(30.6%- 33.1%)</w:t>
            </w:r>
          </w:p>
        </w:tc>
        <w:tc>
          <w:tcPr>
            <w:tcW w:w="1842" w:type="dxa"/>
            <w:tcBorders>
              <w:top w:val="nil"/>
              <w:bottom w:val="nil"/>
              <w:right w:val="nil"/>
            </w:tcBorders>
            <w:vAlign w:val="center"/>
          </w:tcPr>
          <w:p w14:paraId="69471A54" w14:textId="77777777" w:rsidR="00EE7145" w:rsidRPr="00BF60BC" w:rsidRDefault="00EE7145" w:rsidP="00655F22">
            <w:pPr>
              <w:jc w:val="both"/>
              <w:rPr>
                <w:rFonts w:cstheme="minorHAnsi"/>
              </w:rPr>
            </w:pPr>
            <w:r w:rsidRPr="00BF60BC">
              <w:rPr>
                <w:rFonts w:cstheme="minorHAnsi"/>
              </w:rPr>
              <w:t>N/A</w:t>
            </w:r>
          </w:p>
        </w:tc>
        <w:tc>
          <w:tcPr>
            <w:tcW w:w="1843" w:type="dxa"/>
            <w:tcBorders>
              <w:top w:val="nil"/>
              <w:left w:val="nil"/>
              <w:bottom w:val="nil"/>
              <w:right w:val="nil"/>
            </w:tcBorders>
            <w:vAlign w:val="center"/>
          </w:tcPr>
          <w:p w14:paraId="67C9F28A" w14:textId="77777777" w:rsidR="00EE7145" w:rsidRPr="00BF60BC" w:rsidRDefault="00EE7145" w:rsidP="00655F22">
            <w:pPr>
              <w:jc w:val="both"/>
              <w:rPr>
                <w:rFonts w:cstheme="minorHAnsi"/>
              </w:rPr>
            </w:pPr>
            <w:r w:rsidRPr="00BF60BC">
              <w:rPr>
                <w:rFonts w:cstheme="minorHAnsi"/>
              </w:rPr>
              <w:t>40.3%</w:t>
            </w:r>
          </w:p>
          <w:p w14:paraId="496A7E43" w14:textId="77777777" w:rsidR="00EE7145" w:rsidRPr="00BF60BC" w:rsidRDefault="00EE7145" w:rsidP="00655F22">
            <w:pPr>
              <w:jc w:val="both"/>
              <w:rPr>
                <w:rFonts w:cstheme="minorHAnsi"/>
              </w:rPr>
            </w:pPr>
            <w:r w:rsidRPr="00BF60BC">
              <w:rPr>
                <w:rFonts w:cstheme="minorHAnsi"/>
              </w:rPr>
              <w:t>(38.6%-42.1%)</w:t>
            </w:r>
          </w:p>
        </w:tc>
        <w:tc>
          <w:tcPr>
            <w:tcW w:w="1985" w:type="dxa"/>
            <w:tcBorders>
              <w:top w:val="nil"/>
              <w:left w:val="nil"/>
              <w:bottom w:val="nil"/>
              <w:right w:val="nil"/>
            </w:tcBorders>
            <w:vAlign w:val="center"/>
          </w:tcPr>
          <w:p w14:paraId="157A99EC" w14:textId="77777777" w:rsidR="00EE7145" w:rsidRPr="00BF60BC" w:rsidRDefault="00EE7145" w:rsidP="00655F22">
            <w:pPr>
              <w:jc w:val="both"/>
              <w:rPr>
                <w:rFonts w:cstheme="minorHAnsi"/>
              </w:rPr>
            </w:pPr>
            <w:r w:rsidRPr="00BF60BC">
              <w:rPr>
                <w:rFonts w:cstheme="minorHAnsi"/>
              </w:rPr>
              <w:t>52.8%</w:t>
            </w:r>
          </w:p>
          <w:p w14:paraId="1B6FB473" w14:textId="77777777" w:rsidR="00EE7145" w:rsidRPr="00BF60BC" w:rsidRDefault="00EE7145" w:rsidP="00655F22">
            <w:pPr>
              <w:jc w:val="both"/>
              <w:rPr>
                <w:rFonts w:cstheme="minorHAnsi"/>
              </w:rPr>
            </w:pPr>
            <w:r w:rsidRPr="00BF60BC">
              <w:rPr>
                <w:rFonts w:cstheme="minorHAnsi"/>
              </w:rPr>
              <w:t>(51.1%-54.5%)</w:t>
            </w:r>
          </w:p>
        </w:tc>
      </w:tr>
      <w:tr w:rsidR="00EE7145" w:rsidRPr="00BF60BC" w14:paraId="07C936DC" w14:textId="77777777" w:rsidTr="00BE6586">
        <w:trPr>
          <w:trHeight w:val="238"/>
        </w:trPr>
        <w:tc>
          <w:tcPr>
            <w:tcW w:w="1985" w:type="dxa"/>
            <w:tcBorders>
              <w:top w:val="nil"/>
              <w:left w:val="nil"/>
              <w:bottom w:val="nil"/>
            </w:tcBorders>
          </w:tcPr>
          <w:p w14:paraId="36C08280" w14:textId="77777777" w:rsidR="00EE7145" w:rsidRPr="00BF60BC" w:rsidRDefault="00EE7145" w:rsidP="00655F22">
            <w:pPr>
              <w:jc w:val="both"/>
              <w:rPr>
                <w:rFonts w:cstheme="minorHAnsi"/>
                <w:i/>
                <w:iCs/>
              </w:rPr>
            </w:pPr>
            <w:r w:rsidRPr="00BF60BC">
              <w:rPr>
                <w:rFonts w:cstheme="minorHAnsi"/>
                <w:i/>
                <w:iCs/>
              </w:rPr>
              <w:t>Stay the same</w:t>
            </w:r>
          </w:p>
        </w:tc>
        <w:tc>
          <w:tcPr>
            <w:tcW w:w="1701" w:type="dxa"/>
            <w:tcBorders>
              <w:top w:val="nil"/>
              <w:bottom w:val="nil"/>
              <w:right w:val="nil"/>
            </w:tcBorders>
            <w:vAlign w:val="center"/>
          </w:tcPr>
          <w:p w14:paraId="125B312F" w14:textId="77777777" w:rsidR="00EE7145" w:rsidRPr="00BF60BC" w:rsidRDefault="00EE7145" w:rsidP="00655F22">
            <w:pPr>
              <w:jc w:val="both"/>
              <w:rPr>
                <w:rFonts w:cstheme="minorHAnsi"/>
              </w:rPr>
            </w:pPr>
            <w:r w:rsidRPr="00BF60BC">
              <w:rPr>
                <w:rFonts w:cstheme="minorHAnsi"/>
              </w:rPr>
              <w:t>N/A</w:t>
            </w:r>
          </w:p>
        </w:tc>
        <w:tc>
          <w:tcPr>
            <w:tcW w:w="1559" w:type="dxa"/>
            <w:tcBorders>
              <w:top w:val="nil"/>
              <w:left w:val="nil"/>
              <w:bottom w:val="nil"/>
              <w:right w:val="nil"/>
            </w:tcBorders>
            <w:vAlign w:val="center"/>
          </w:tcPr>
          <w:p w14:paraId="4F7A92E4" w14:textId="77777777" w:rsidR="00EE7145" w:rsidRPr="00BF60BC" w:rsidRDefault="00EE7145" w:rsidP="00655F22">
            <w:pPr>
              <w:jc w:val="both"/>
              <w:rPr>
                <w:rFonts w:cstheme="minorHAnsi"/>
              </w:rPr>
            </w:pPr>
            <w:r w:rsidRPr="00BF60BC">
              <w:rPr>
                <w:rFonts w:cstheme="minorHAnsi"/>
              </w:rPr>
              <w:t>26.2%</w:t>
            </w:r>
          </w:p>
          <w:p w14:paraId="2C622539" w14:textId="77777777" w:rsidR="00EE7145" w:rsidRPr="00BF60BC" w:rsidRDefault="00EE7145" w:rsidP="00655F22">
            <w:pPr>
              <w:jc w:val="both"/>
              <w:rPr>
                <w:rFonts w:cstheme="minorHAnsi"/>
              </w:rPr>
            </w:pPr>
            <w:r w:rsidRPr="00BF60BC">
              <w:rPr>
                <w:rFonts w:cstheme="minorHAnsi"/>
              </w:rPr>
              <w:t>(24.5%-28.0%)</w:t>
            </w:r>
          </w:p>
        </w:tc>
        <w:tc>
          <w:tcPr>
            <w:tcW w:w="1985" w:type="dxa"/>
            <w:tcBorders>
              <w:top w:val="nil"/>
              <w:left w:val="nil"/>
              <w:bottom w:val="nil"/>
            </w:tcBorders>
            <w:vAlign w:val="center"/>
          </w:tcPr>
          <w:p w14:paraId="4C3AC0DE" w14:textId="77777777" w:rsidR="00EE7145" w:rsidRPr="00BF60BC" w:rsidRDefault="00EE7145" w:rsidP="00655F22">
            <w:pPr>
              <w:jc w:val="both"/>
              <w:rPr>
                <w:rFonts w:cstheme="minorHAnsi"/>
              </w:rPr>
            </w:pPr>
            <w:r w:rsidRPr="00BF60BC">
              <w:rPr>
                <w:rFonts w:cstheme="minorHAnsi"/>
              </w:rPr>
              <w:t>28.3%</w:t>
            </w:r>
          </w:p>
          <w:p w14:paraId="0505D13B" w14:textId="77777777" w:rsidR="00EE7145" w:rsidRPr="00BF60BC" w:rsidRDefault="00EE7145" w:rsidP="00655F22">
            <w:pPr>
              <w:jc w:val="both"/>
              <w:rPr>
                <w:rFonts w:cstheme="minorHAnsi"/>
              </w:rPr>
            </w:pPr>
            <w:r w:rsidRPr="00BF60BC">
              <w:rPr>
                <w:rFonts w:cstheme="minorHAnsi"/>
              </w:rPr>
              <w:t>(27.1%-29.6%)</w:t>
            </w:r>
          </w:p>
        </w:tc>
        <w:tc>
          <w:tcPr>
            <w:tcW w:w="1842" w:type="dxa"/>
            <w:tcBorders>
              <w:top w:val="nil"/>
              <w:bottom w:val="nil"/>
              <w:right w:val="nil"/>
            </w:tcBorders>
            <w:vAlign w:val="center"/>
          </w:tcPr>
          <w:p w14:paraId="4B3869F9" w14:textId="77777777" w:rsidR="00EE7145" w:rsidRPr="00BF60BC" w:rsidRDefault="00EE7145" w:rsidP="00655F22">
            <w:pPr>
              <w:jc w:val="both"/>
              <w:rPr>
                <w:rFonts w:cstheme="minorHAnsi"/>
              </w:rPr>
            </w:pPr>
            <w:r w:rsidRPr="00BF60BC">
              <w:rPr>
                <w:rFonts w:cstheme="minorHAnsi"/>
              </w:rPr>
              <w:t>N/A</w:t>
            </w:r>
          </w:p>
        </w:tc>
        <w:tc>
          <w:tcPr>
            <w:tcW w:w="1843" w:type="dxa"/>
            <w:tcBorders>
              <w:top w:val="nil"/>
              <w:left w:val="nil"/>
              <w:bottom w:val="nil"/>
              <w:right w:val="nil"/>
            </w:tcBorders>
            <w:vAlign w:val="center"/>
          </w:tcPr>
          <w:p w14:paraId="4E464F5F" w14:textId="77777777" w:rsidR="00EE7145" w:rsidRPr="00BF60BC" w:rsidRDefault="00EE7145" w:rsidP="00655F22">
            <w:pPr>
              <w:jc w:val="both"/>
              <w:rPr>
                <w:rFonts w:cstheme="minorHAnsi"/>
              </w:rPr>
            </w:pPr>
            <w:r w:rsidRPr="00BF60BC">
              <w:rPr>
                <w:rFonts w:cstheme="minorHAnsi"/>
              </w:rPr>
              <w:t>28.0%</w:t>
            </w:r>
          </w:p>
          <w:p w14:paraId="7A5FC826" w14:textId="77777777" w:rsidR="00EE7145" w:rsidRPr="00BF60BC" w:rsidRDefault="00EE7145" w:rsidP="00655F22">
            <w:pPr>
              <w:jc w:val="both"/>
              <w:rPr>
                <w:rFonts w:cstheme="minorHAnsi"/>
              </w:rPr>
            </w:pPr>
            <w:r w:rsidRPr="00BF60BC">
              <w:rPr>
                <w:rFonts w:cstheme="minorHAnsi"/>
              </w:rPr>
              <w:t>(26.4%-29.6%)</w:t>
            </w:r>
          </w:p>
        </w:tc>
        <w:tc>
          <w:tcPr>
            <w:tcW w:w="1985" w:type="dxa"/>
            <w:tcBorders>
              <w:top w:val="nil"/>
              <w:left w:val="nil"/>
              <w:bottom w:val="nil"/>
              <w:right w:val="nil"/>
            </w:tcBorders>
            <w:vAlign w:val="center"/>
          </w:tcPr>
          <w:p w14:paraId="478E5570" w14:textId="77777777" w:rsidR="00EE7145" w:rsidRPr="00BF60BC" w:rsidRDefault="00EE7145" w:rsidP="00655F22">
            <w:pPr>
              <w:jc w:val="both"/>
              <w:rPr>
                <w:rFonts w:cstheme="minorHAnsi"/>
              </w:rPr>
            </w:pPr>
            <w:r w:rsidRPr="00BF60BC">
              <w:rPr>
                <w:rFonts w:cstheme="minorHAnsi"/>
              </w:rPr>
              <w:t>22.5%</w:t>
            </w:r>
          </w:p>
          <w:p w14:paraId="3A707870" w14:textId="77777777" w:rsidR="00EE7145" w:rsidRPr="00BF60BC" w:rsidRDefault="00EE7145" w:rsidP="00655F22">
            <w:pPr>
              <w:jc w:val="both"/>
              <w:rPr>
                <w:rFonts w:cstheme="minorHAnsi"/>
              </w:rPr>
            </w:pPr>
            <w:r w:rsidRPr="00BF60BC">
              <w:rPr>
                <w:rFonts w:cstheme="minorHAnsi"/>
              </w:rPr>
              <w:t>(21.1%-23.9%)</w:t>
            </w:r>
          </w:p>
        </w:tc>
      </w:tr>
      <w:tr w:rsidR="00EE7145" w:rsidRPr="00BF60BC" w14:paraId="2CCCB4B1" w14:textId="77777777" w:rsidTr="00BE6586">
        <w:trPr>
          <w:trHeight w:val="238"/>
        </w:trPr>
        <w:tc>
          <w:tcPr>
            <w:tcW w:w="1985" w:type="dxa"/>
            <w:tcBorders>
              <w:top w:val="nil"/>
              <w:left w:val="nil"/>
            </w:tcBorders>
          </w:tcPr>
          <w:p w14:paraId="4D4A450D" w14:textId="38B736F3" w:rsidR="00EE7145" w:rsidRPr="00BF60BC" w:rsidRDefault="00EE7145" w:rsidP="00655F22">
            <w:pPr>
              <w:jc w:val="both"/>
              <w:rPr>
                <w:rFonts w:cstheme="minorHAnsi"/>
                <w:i/>
                <w:iCs/>
              </w:rPr>
            </w:pPr>
            <w:r w:rsidRPr="00BF60BC">
              <w:rPr>
                <w:rFonts w:cstheme="minorHAnsi"/>
                <w:i/>
                <w:iCs/>
              </w:rPr>
              <w:t>Gain weight</w:t>
            </w:r>
          </w:p>
        </w:tc>
        <w:tc>
          <w:tcPr>
            <w:tcW w:w="1701" w:type="dxa"/>
            <w:tcBorders>
              <w:top w:val="nil"/>
              <w:right w:val="nil"/>
            </w:tcBorders>
            <w:vAlign w:val="center"/>
          </w:tcPr>
          <w:p w14:paraId="3547E73A" w14:textId="77777777" w:rsidR="00EE7145" w:rsidRPr="00BF60BC" w:rsidRDefault="00EE7145" w:rsidP="00655F22">
            <w:pPr>
              <w:jc w:val="both"/>
              <w:rPr>
                <w:rFonts w:cstheme="minorHAnsi"/>
              </w:rPr>
            </w:pPr>
            <w:r w:rsidRPr="00BF60BC">
              <w:rPr>
                <w:rFonts w:cstheme="minorHAnsi"/>
              </w:rPr>
              <w:t>N/A</w:t>
            </w:r>
          </w:p>
        </w:tc>
        <w:tc>
          <w:tcPr>
            <w:tcW w:w="1559" w:type="dxa"/>
            <w:tcBorders>
              <w:top w:val="nil"/>
              <w:left w:val="nil"/>
              <w:right w:val="nil"/>
            </w:tcBorders>
            <w:vAlign w:val="center"/>
          </w:tcPr>
          <w:p w14:paraId="227E7E4E" w14:textId="77777777" w:rsidR="00EE7145" w:rsidRPr="00BF60BC" w:rsidRDefault="00EE7145" w:rsidP="00655F22">
            <w:pPr>
              <w:jc w:val="both"/>
              <w:rPr>
                <w:rFonts w:cstheme="minorHAnsi"/>
              </w:rPr>
            </w:pPr>
            <w:r w:rsidRPr="00BF60BC">
              <w:rPr>
                <w:rFonts w:cstheme="minorHAnsi"/>
              </w:rPr>
              <w:t>7.3%</w:t>
            </w:r>
          </w:p>
          <w:p w14:paraId="69C02ED4" w14:textId="77777777" w:rsidR="00EE7145" w:rsidRPr="00BF60BC" w:rsidRDefault="00EE7145" w:rsidP="00655F22">
            <w:pPr>
              <w:jc w:val="both"/>
              <w:rPr>
                <w:rFonts w:cstheme="minorHAnsi"/>
              </w:rPr>
            </w:pPr>
            <w:r w:rsidRPr="00BF60BC">
              <w:rPr>
                <w:rFonts w:cstheme="minorHAnsi"/>
              </w:rPr>
              <w:t>(6.3%-8.3%)</w:t>
            </w:r>
          </w:p>
        </w:tc>
        <w:tc>
          <w:tcPr>
            <w:tcW w:w="1985" w:type="dxa"/>
            <w:tcBorders>
              <w:top w:val="nil"/>
              <w:left w:val="nil"/>
            </w:tcBorders>
            <w:vAlign w:val="center"/>
          </w:tcPr>
          <w:p w14:paraId="0CD17993" w14:textId="77777777" w:rsidR="00EE7145" w:rsidRPr="00BF60BC" w:rsidRDefault="00EE7145" w:rsidP="00655F22">
            <w:pPr>
              <w:jc w:val="both"/>
              <w:rPr>
                <w:rFonts w:cstheme="minorHAnsi"/>
              </w:rPr>
            </w:pPr>
            <w:r w:rsidRPr="00BF60BC">
              <w:rPr>
                <w:rFonts w:cstheme="minorHAnsi"/>
              </w:rPr>
              <w:t>12.7%</w:t>
            </w:r>
          </w:p>
          <w:p w14:paraId="5B31A7DC" w14:textId="77777777" w:rsidR="00EE7145" w:rsidRPr="00BF60BC" w:rsidRDefault="00EE7145" w:rsidP="00655F22">
            <w:pPr>
              <w:jc w:val="both"/>
              <w:rPr>
                <w:rFonts w:cstheme="minorHAnsi"/>
              </w:rPr>
            </w:pPr>
            <w:r w:rsidRPr="00BF60BC">
              <w:rPr>
                <w:rFonts w:cstheme="minorHAnsi"/>
              </w:rPr>
              <w:t>(11.8%- 13.6%)</w:t>
            </w:r>
          </w:p>
        </w:tc>
        <w:tc>
          <w:tcPr>
            <w:tcW w:w="1842" w:type="dxa"/>
            <w:tcBorders>
              <w:top w:val="nil"/>
              <w:right w:val="nil"/>
            </w:tcBorders>
            <w:vAlign w:val="center"/>
          </w:tcPr>
          <w:p w14:paraId="1B018A40" w14:textId="77777777" w:rsidR="00EE7145" w:rsidRPr="00BF60BC" w:rsidRDefault="00EE7145" w:rsidP="00655F22">
            <w:pPr>
              <w:jc w:val="both"/>
              <w:rPr>
                <w:rFonts w:cstheme="minorHAnsi"/>
              </w:rPr>
            </w:pPr>
            <w:r w:rsidRPr="00BF60BC">
              <w:rPr>
                <w:rFonts w:cstheme="minorHAnsi"/>
              </w:rPr>
              <w:t>N/A</w:t>
            </w:r>
          </w:p>
        </w:tc>
        <w:tc>
          <w:tcPr>
            <w:tcW w:w="1843" w:type="dxa"/>
            <w:tcBorders>
              <w:top w:val="nil"/>
              <w:left w:val="nil"/>
              <w:right w:val="nil"/>
            </w:tcBorders>
            <w:vAlign w:val="center"/>
          </w:tcPr>
          <w:p w14:paraId="25217F3C" w14:textId="77777777" w:rsidR="00EE7145" w:rsidRPr="00BF60BC" w:rsidRDefault="00EE7145" w:rsidP="00655F22">
            <w:pPr>
              <w:jc w:val="both"/>
              <w:rPr>
                <w:rFonts w:cstheme="minorHAnsi"/>
              </w:rPr>
            </w:pPr>
            <w:r w:rsidRPr="00BF60BC">
              <w:rPr>
                <w:rFonts w:cstheme="minorHAnsi"/>
              </w:rPr>
              <w:t>2.9%</w:t>
            </w:r>
          </w:p>
          <w:p w14:paraId="111AED4D" w14:textId="77777777" w:rsidR="00EE7145" w:rsidRPr="00BF60BC" w:rsidRDefault="00EE7145" w:rsidP="00655F22">
            <w:pPr>
              <w:jc w:val="both"/>
              <w:rPr>
                <w:rFonts w:cstheme="minorHAnsi"/>
              </w:rPr>
            </w:pPr>
            <w:r w:rsidRPr="00BF60BC">
              <w:rPr>
                <w:rFonts w:cstheme="minorHAnsi"/>
              </w:rPr>
              <w:t>(2.3%-3.6%)</w:t>
            </w:r>
          </w:p>
        </w:tc>
        <w:tc>
          <w:tcPr>
            <w:tcW w:w="1985" w:type="dxa"/>
            <w:tcBorders>
              <w:top w:val="nil"/>
              <w:left w:val="nil"/>
              <w:right w:val="nil"/>
            </w:tcBorders>
            <w:vAlign w:val="center"/>
          </w:tcPr>
          <w:p w14:paraId="510E67E8" w14:textId="77777777" w:rsidR="00EE7145" w:rsidRPr="00BF60BC" w:rsidRDefault="00EE7145" w:rsidP="00655F22">
            <w:pPr>
              <w:jc w:val="both"/>
              <w:rPr>
                <w:rFonts w:cstheme="minorHAnsi"/>
              </w:rPr>
            </w:pPr>
            <w:r w:rsidRPr="00BF60BC">
              <w:rPr>
                <w:rFonts w:cstheme="minorHAnsi"/>
              </w:rPr>
              <w:t>4.1%</w:t>
            </w:r>
          </w:p>
          <w:p w14:paraId="30B50D51" w14:textId="77777777" w:rsidR="00EE7145" w:rsidRPr="00BF60BC" w:rsidRDefault="00EE7145" w:rsidP="00655F22">
            <w:pPr>
              <w:jc w:val="both"/>
              <w:rPr>
                <w:rFonts w:cstheme="minorHAnsi"/>
              </w:rPr>
            </w:pPr>
            <w:r w:rsidRPr="00BF60BC">
              <w:rPr>
                <w:rFonts w:cstheme="minorHAnsi"/>
              </w:rPr>
              <w:t>(3.6%-4.6%)</w:t>
            </w:r>
          </w:p>
        </w:tc>
      </w:tr>
    </w:tbl>
    <w:p w14:paraId="1D4A1967" w14:textId="75668BBE" w:rsidR="0042473A" w:rsidRPr="00BF60BC" w:rsidRDefault="0042473A" w:rsidP="00655F22">
      <w:pPr>
        <w:spacing w:after="0" w:line="240" w:lineRule="auto"/>
        <w:jc w:val="both"/>
        <w:rPr>
          <w:rFonts w:cstheme="minorHAnsi"/>
          <w:sz w:val="24"/>
          <w:szCs w:val="24"/>
        </w:rPr>
      </w:pPr>
    </w:p>
    <w:p w14:paraId="70BB8D9E" w14:textId="04047C06" w:rsidR="00F954C7" w:rsidRPr="00BF60BC" w:rsidRDefault="00F954C7" w:rsidP="00655F22">
      <w:pPr>
        <w:spacing w:after="0" w:line="240" w:lineRule="auto"/>
        <w:jc w:val="both"/>
        <w:rPr>
          <w:rFonts w:cstheme="minorHAnsi"/>
          <w:b/>
        </w:rPr>
      </w:pPr>
      <w:r w:rsidRPr="00BF60BC">
        <w:rPr>
          <w:rFonts w:cstheme="minorHAnsi"/>
          <w:b/>
        </w:rPr>
        <w:br w:type="page"/>
      </w:r>
    </w:p>
    <w:p w14:paraId="5533151D" w14:textId="77777777" w:rsidR="00B40209" w:rsidRPr="00BF60BC" w:rsidRDefault="00B40209" w:rsidP="00655F22">
      <w:pPr>
        <w:spacing w:after="0" w:line="240" w:lineRule="auto"/>
        <w:jc w:val="both"/>
        <w:rPr>
          <w:rFonts w:cstheme="minorHAnsi"/>
          <w:b/>
        </w:rPr>
        <w:sectPr w:rsidR="00B40209" w:rsidRPr="00BF60BC" w:rsidSect="00854B69">
          <w:pgSz w:w="16838" w:h="11906" w:orient="landscape"/>
          <w:pgMar w:top="1440" w:right="1440" w:bottom="1440" w:left="1440" w:header="708" w:footer="708" w:gutter="0"/>
          <w:cols w:space="708"/>
          <w:docGrid w:linePitch="360"/>
        </w:sectPr>
      </w:pPr>
    </w:p>
    <w:p w14:paraId="78EB97AE" w14:textId="77777777" w:rsidR="00854B69" w:rsidRPr="00BF60BC" w:rsidRDefault="00854B69" w:rsidP="00655F22">
      <w:pPr>
        <w:spacing w:after="0" w:line="240" w:lineRule="auto"/>
        <w:jc w:val="both"/>
        <w:rPr>
          <w:rFonts w:cstheme="minorHAnsi"/>
          <w:b/>
          <w:sz w:val="24"/>
          <w:szCs w:val="24"/>
        </w:rPr>
        <w:sectPr w:rsidR="00854B69" w:rsidRPr="00BF60BC" w:rsidSect="00854B69">
          <w:pgSz w:w="11906" w:h="16838"/>
          <w:pgMar w:top="1440" w:right="1440" w:bottom="1440" w:left="1440" w:header="708" w:footer="708" w:gutter="0"/>
          <w:cols w:space="708"/>
          <w:docGrid w:linePitch="360"/>
        </w:sectPr>
      </w:pPr>
    </w:p>
    <w:p w14:paraId="6634EBEB" w14:textId="16BD4ADC" w:rsidR="00F954C7" w:rsidRPr="00BF60BC" w:rsidRDefault="00173961" w:rsidP="00655F22">
      <w:pPr>
        <w:spacing w:after="0" w:line="240" w:lineRule="auto"/>
        <w:jc w:val="both"/>
        <w:rPr>
          <w:rFonts w:cstheme="minorHAnsi"/>
        </w:rPr>
      </w:pPr>
      <w:r>
        <w:rPr>
          <w:rFonts w:cstheme="minorHAnsi"/>
          <w:b/>
        </w:rPr>
        <w:t>Table</w:t>
      </w:r>
      <w:r w:rsidR="00F954C7" w:rsidRPr="00BF60BC">
        <w:rPr>
          <w:rFonts w:cstheme="minorHAnsi"/>
          <w:b/>
        </w:rPr>
        <w:t xml:space="preserve"> </w:t>
      </w:r>
      <w:r w:rsidR="00EE7145" w:rsidRPr="00BF60BC">
        <w:rPr>
          <w:rFonts w:cstheme="minorHAnsi"/>
          <w:b/>
        </w:rPr>
        <w:t>2</w:t>
      </w:r>
      <w:r w:rsidR="00F954C7" w:rsidRPr="00BF60BC">
        <w:rPr>
          <w:rFonts w:cstheme="minorHAnsi"/>
        </w:rPr>
        <w:t>: Univariable and multivariable logistic regression models testing cohort effects in the prevalence of lifetime dieting and exercising for weight-loss and interactions with adolescent’s sex</w:t>
      </w:r>
    </w:p>
    <w:tbl>
      <w:tblPr>
        <w:tblStyle w:val="TableGrid"/>
        <w:tblpPr w:leftFromText="180" w:rightFromText="180" w:vertAnchor="text" w:horzAnchor="margin" w:tblpX="-293" w:tblpY="61"/>
        <w:tblW w:w="10320" w:type="dxa"/>
        <w:tblLook w:val="04A0" w:firstRow="1" w:lastRow="0" w:firstColumn="1" w:lastColumn="0" w:noHBand="0" w:noVBand="1"/>
      </w:tblPr>
      <w:tblGrid>
        <w:gridCol w:w="1597"/>
        <w:gridCol w:w="1747"/>
        <w:gridCol w:w="1756"/>
        <w:gridCol w:w="1738"/>
        <w:gridCol w:w="1747"/>
        <w:gridCol w:w="1735"/>
      </w:tblGrid>
      <w:tr w:rsidR="00F954C7" w:rsidRPr="00BF60BC" w14:paraId="47ABDF39" w14:textId="77777777" w:rsidTr="006D13FE">
        <w:trPr>
          <w:trHeight w:val="695"/>
        </w:trPr>
        <w:tc>
          <w:tcPr>
            <w:tcW w:w="1597" w:type="dxa"/>
            <w:tcBorders>
              <w:top w:val="single" w:sz="18" w:space="0" w:color="auto"/>
              <w:left w:val="nil"/>
            </w:tcBorders>
            <w:vAlign w:val="center"/>
          </w:tcPr>
          <w:p w14:paraId="174B8A96" w14:textId="77777777" w:rsidR="00F954C7" w:rsidRPr="00BF60BC" w:rsidRDefault="00F954C7" w:rsidP="00655F22">
            <w:pPr>
              <w:jc w:val="both"/>
              <w:rPr>
                <w:rFonts w:cstheme="minorHAnsi"/>
              </w:rPr>
            </w:pPr>
          </w:p>
        </w:tc>
        <w:tc>
          <w:tcPr>
            <w:tcW w:w="1747" w:type="dxa"/>
            <w:tcBorders>
              <w:top w:val="single" w:sz="18" w:space="0" w:color="auto"/>
              <w:bottom w:val="dotted" w:sz="4" w:space="0" w:color="auto"/>
              <w:right w:val="dotted" w:sz="4" w:space="0" w:color="auto"/>
            </w:tcBorders>
            <w:vAlign w:val="center"/>
          </w:tcPr>
          <w:p w14:paraId="48106BC4" w14:textId="77777777" w:rsidR="00F954C7" w:rsidRPr="00BF60BC" w:rsidRDefault="00F954C7" w:rsidP="00655F22">
            <w:pPr>
              <w:jc w:val="both"/>
              <w:rPr>
                <w:rFonts w:cstheme="minorHAnsi"/>
              </w:rPr>
            </w:pPr>
            <w:r w:rsidRPr="00BF60BC">
              <w:rPr>
                <w:rFonts w:cstheme="minorHAnsi"/>
              </w:rPr>
              <w:t>Univariable model</w:t>
            </w:r>
          </w:p>
        </w:tc>
        <w:tc>
          <w:tcPr>
            <w:tcW w:w="1756" w:type="dxa"/>
            <w:tcBorders>
              <w:top w:val="single" w:sz="18" w:space="0" w:color="auto"/>
              <w:left w:val="dotted" w:sz="4" w:space="0" w:color="auto"/>
              <w:bottom w:val="dotted" w:sz="4" w:space="0" w:color="auto"/>
            </w:tcBorders>
            <w:vAlign w:val="center"/>
          </w:tcPr>
          <w:p w14:paraId="39031EC9" w14:textId="77777777" w:rsidR="00F954C7" w:rsidRPr="00BF60BC" w:rsidRDefault="00F954C7" w:rsidP="00655F22">
            <w:pPr>
              <w:jc w:val="both"/>
              <w:rPr>
                <w:rFonts w:cstheme="minorHAnsi"/>
              </w:rPr>
            </w:pPr>
            <w:proofErr w:type="spellStart"/>
            <w:r w:rsidRPr="00BF60BC">
              <w:rPr>
                <w:rFonts w:cstheme="minorHAnsi"/>
              </w:rPr>
              <w:t>Multivariable</w:t>
            </w:r>
            <w:r w:rsidRPr="00BF60BC">
              <w:rPr>
                <w:rFonts w:cstheme="minorHAnsi"/>
                <w:vertAlign w:val="superscript"/>
              </w:rPr>
              <w:t>a</w:t>
            </w:r>
            <w:proofErr w:type="spellEnd"/>
            <w:r w:rsidRPr="00BF60BC">
              <w:rPr>
                <w:rFonts w:cstheme="minorHAnsi"/>
              </w:rPr>
              <w:t xml:space="preserve"> Model</w:t>
            </w:r>
          </w:p>
        </w:tc>
        <w:tc>
          <w:tcPr>
            <w:tcW w:w="1738" w:type="dxa"/>
            <w:tcBorders>
              <w:top w:val="single" w:sz="18" w:space="0" w:color="auto"/>
            </w:tcBorders>
            <w:vAlign w:val="center"/>
          </w:tcPr>
          <w:p w14:paraId="7FC0DA13" w14:textId="77777777" w:rsidR="00F954C7" w:rsidRPr="00BF60BC" w:rsidRDefault="00AB69DD" w:rsidP="00655F22">
            <w:pPr>
              <w:jc w:val="both"/>
              <w:rPr>
                <w:rFonts w:cstheme="minorHAnsi"/>
              </w:rPr>
            </w:pPr>
            <w:r w:rsidRPr="00BF60BC">
              <w:rPr>
                <w:rFonts w:cstheme="minorHAnsi"/>
              </w:rPr>
              <w:t>Cohort*</w:t>
            </w:r>
            <w:r w:rsidR="00E95F09" w:rsidRPr="00BF60BC">
              <w:rPr>
                <w:rFonts w:cstheme="minorHAnsi"/>
              </w:rPr>
              <w:t>sex</w:t>
            </w:r>
            <w:r w:rsidR="00F954C7" w:rsidRPr="00BF60BC">
              <w:rPr>
                <w:rFonts w:cstheme="minorHAnsi"/>
              </w:rPr>
              <w:t xml:space="preserve"> interaction</w:t>
            </w:r>
          </w:p>
          <w:p w14:paraId="47C0E407" w14:textId="1584A8F8" w:rsidR="00AB69DD" w:rsidRPr="00BF60BC" w:rsidRDefault="00AB69DD" w:rsidP="00655F22">
            <w:pPr>
              <w:jc w:val="both"/>
              <w:rPr>
                <w:rFonts w:cstheme="minorHAnsi"/>
              </w:rPr>
            </w:pPr>
            <w:r w:rsidRPr="00BF60BC">
              <w:rPr>
                <w:rFonts w:cstheme="minorHAnsi"/>
              </w:rPr>
              <w:t>p-value</w:t>
            </w:r>
          </w:p>
        </w:tc>
        <w:tc>
          <w:tcPr>
            <w:tcW w:w="1747" w:type="dxa"/>
            <w:tcBorders>
              <w:top w:val="single" w:sz="18" w:space="0" w:color="auto"/>
              <w:bottom w:val="dotted" w:sz="4" w:space="0" w:color="auto"/>
            </w:tcBorders>
            <w:vAlign w:val="center"/>
          </w:tcPr>
          <w:p w14:paraId="4DF8C6AB" w14:textId="77777777" w:rsidR="00F954C7" w:rsidRPr="00BF60BC" w:rsidRDefault="00F954C7" w:rsidP="00655F22">
            <w:pPr>
              <w:jc w:val="both"/>
              <w:rPr>
                <w:rFonts w:cstheme="minorHAnsi"/>
              </w:rPr>
            </w:pPr>
            <w:r w:rsidRPr="00BF60BC">
              <w:rPr>
                <w:rFonts w:cstheme="minorHAnsi"/>
              </w:rPr>
              <w:t>Multivariable Model</w:t>
            </w:r>
          </w:p>
          <w:p w14:paraId="5BEA7E10" w14:textId="5FACB73E" w:rsidR="00F954C7" w:rsidRPr="00BF60BC" w:rsidRDefault="00F954C7" w:rsidP="00655F22">
            <w:pPr>
              <w:jc w:val="both"/>
              <w:rPr>
                <w:rFonts w:cstheme="minorHAnsi"/>
              </w:rPr>
            </w:pPr>
            <w:r w:rsidRPr="00BF60BC">
              <w:rPr>
                <w:rFonts w:cstheme="minorHAnsi"/>
              </w:rPr>
              <w:t>males</w:t>
            </w:r>
          </w:p>
        </w:tc>
        <w:tc>
          <w:tcPr>
            <w:tcW w:w="1735" w:type="dxa"/>
            <w:tcBorders>
              <w:top w:val="single" w:sz="18" w:space="0" w:color="auto"/>
              <w:bottom w:val="dotted" w:sz="4" w:space="0" w:color="auto"/>
              <w:right w:val="nil"/>
            </w:tcBorders>
            <w:vAlign w:val="center"/>
          </w:tcPr>
          <w:p w14:paraId="4DF313E3" w14:textId="77777777" w:rsidR="00F954C7" w:rsidRPr="00BF60BC" w:rsidRDefault="00F954C7" w:rsidP="00655F22">
            <w:pPr>
              <w:jc w:val="both"/>
              <w:rPr>
                <w:rFonts w:cstheme="minorHAnsi"/>
              </w:rPr>
            </w:pPr>
            <w:r w:rsidRPr="00BF60BC">
              <w:rPr>
                <w:rFonts w:cstheme="minorHAnsi"/>
              </w:rPr>
              <w:t>Multivariable Model</w:t>
            </w:r>
          </w:p>
          <w:p w14:paraId="014ED0C6" w14:textId="7FFEB324" w:rsidR="00F954C7" w:rsidRPr="00BF60BC" w:rsidRDefault="00F954C7" w:rsidP="00655F22">
            <w:pPr>
              <w:jc w:val="both"/>
              <w:rPr>
                <w:rFonts w:cstheme="minorHAnsi"/>
              </w:rPr>
            </w:pPr>
            <w:r w:rsidRPr="00BF60BC">
              <w:rPr>
                <w:rFonts w:cstheme="minorHAnsi"/>
              </w:rPr>
              <w:t>females</w:t>
            </w:r>
          </w:p>
        </w:tc>
      </w:tr>
      <w:tr w:rsidR="00F954C7" w:rsidRPr="00BF60BC" w14:paraId="52633B1C" w14:textId="77777777" w:rsidTr="006D13FE">
        <w:trPr>
          <w:trHeight w:val="469"/>
        </w:trPr>
        <w:tc>
          <w:tcPr>
            <w:tcW w:w="1597" w:type="dxa"/>
            <w:tcBorders>
              <w:left w:val="nil"/>
              <w:bottom w:val="single" w:sz="18" w:space="0" w:color="auto"/>
            </w:tcBorders>
            <w:vAlign w:val="center"/>
          </w:tcPr>
          <w:p w14:paraId="279F5664" w14:textId="77777777" w:rsidR="00F954C7" w:rsidRPr="00BF60BC" w:rsidRDefault="00F954C7" w:rsidP="00655F22">
            <w:pPr>
              <w:widowControl w:val="0"/>
              <w:autoSpaceDE w:val="0"/>
              <w:autoSpaceDN w:val="0"/>
              <w:adjustRightInd w:val="0"/>
              <w:jc w:val="both"/>
              <w:rPr>
                <w:rFonts w:cstheme="minorHAnsi"/>
              </w:rPr>
            </w:pPr>
          </w:p>
        </w:tc>
        <w:tc>
          <w:tcPr>
            <w:tcW w:w="1747" w:type="dxa"/>
            <w:tcBorders>
              <w:top w:val="dotted" w:sz="4" w:space="0" w:color="auto"/>
              <w:bottom w:val="single" w:sz="18" w:space="0" w:color="auto"/>
              <w:right w:val="dotted" w:sz="4" w:space="0" w:color="auto"/>
            </w:tcBorders>
            <w:vAlign w:val="center"/>
          </w:tcPr>
          <w:p w14:paraId="26C2009D" w14:textId="77777777" w:rsidR="00F954C7" w:rsidRPr="00BF60BC" w:rsidRDefault="00F954C7" w:rsidP="00655F22">
            <w:pPr>
              <w:jc w:val="both"/>
              <w:rPr>
                <w:rFonts w:cstheme="minorHAnsi"/>
              </w:rPr>
            </w:pPr>
            <w:r w:rsidRPr="00BF60BC">
              <w:rPr>
                <w:rFonts w:cstheme="minorHAnsi"/>
              </w:rPr>
              <w:t>OR (95%CI)</w:t>
            </w:r>
          </w:p>
          <w:p w14:paraId="7B9E490B" w14:textId="27189F2C" w:rsidR="00F954C7" w:rsidRPr="00BF60BC" w:rsidRDefault="00F954C7" w:rsidP="00655F22">
            <w:pPr>
              <w:jc w:val="both"/>
              <w:rPr>
                <w:rFonts w:cstheme="minorHAnsi"/>
              </w:rPr>
            </w:pPr>
          </w:p>
        </w:tc>
        <w:tc>
          <w:tcPr>
            <w:tcW w:w="1756" w:type="dxa"/>
            <w:tcBorders>
              <w:top w:val="dotted" w:sz="4" w:space="0" w:color="auto"/>
              <w:left w:val="dotted" w:sz="4" w:space="0" w:color="auto"/>
              <w:bottom w:val="single" w:sz="18" w:space="0" w:color="auto"/>
            </w:tcBorders>
            <w:vAlign w:val="center"/>
          </w:tcPr>
          <w:p w14:paraId="02652C2D" w14:textId="77777777" w:rsidR="00F954C7" w:rsidRPr="00BF60BC" w:rsidRDefault="00F954C7" w:rsidP="00655F22">
            <w:pPr>
              <w:jc w:val="both"/>
              <w:rPr>
                <w:rFonts w:cstheme="minorHAnsi"/>
              </w:rPr>
            </w:pPr>
            <w:r w:rsidRPr="00BF60BC">
              <w:rPr>
                <w:rFonts w:cstheme="minorHAnsi"/>
              </w:rPr>
              <w:t>OR (95%CI)</w:t>
            </w:r>
          </w:p>
          <w:p w14:paraId="7E5C7384" w14:textId="6B6B660D" w:rsidR="00F954C7" w:rsidRPr="00BF60BC" w:rsidRDefault="00F954C7" w:rsidP="00655F22">
            <w:pPr>
              <w:jc w:val="both"/>
              <w:rPr>
                <w:rFonts w:cstheme="minorHAnsi"/>
              </w:rPr>
            </w:pPr>
          </w:p>
        </w:tc>
        <w:tc>
          <w:tcPr>
            <w:tcW w:w="1738" w:type="dxa"/>
            <w:tcBorders>
              <w:bottom w:val="single" w:sz="18" w:space="0" w:color="auto"/>
            </w:tcBorders>
            <w:vAlign w:val="center"/>
          </w:tcPr>
          <w:p w14:paraId="3BC87F80" w14:textId="77777777" w:rsidR="00F954C7" w:rsidRPr="00BF60BC" w:rsidRDefault="00F954C7" w:rsidP="00655F22">
            <w:pPr>
              <w:jc w:val="both"/>
              <w:rPr>
                <w:rFonts w:cstheme="minorHAnsi"/>
              </w:rPr>
            </w:pPr>
          </w:p>
        </w:tc>
        <w:tc>
          <w:tcPr>
            <w:tcW w:w="1747" w:type="dxa"/>
            <w:tcBorders>
              <w:top w:val="dotted" w:sz="4" w:space="0" w:color="auto"/>
              <w:bottom w:val="single" w:sz="18" w:space="0" w:color="auto"/>
            </w:tcBorders>
            <w:vAlign w:val="center"/>
          </w:tcPr>
          <w:p w14:paraId="15D01550" w14:textId="77777777" w:rsidR="00F954C7" w:rsidRPr="00BF60BC" w:rsidRDefault="00F954C7" w:rsidP="00655F22">
            <w:pPr>
              <w:jc w:val="both"/>
              <w:rPr>
                <w:rFonts w:cstheme="minorHAnsi"/>
              </w:rPr>
            </w:pPr>
            <w:r w:rsidRPr="00BF60BC">
              <w:rPr>
                <w:rFonts w:cstheme="minorHAnsi"/>
              </w:rPr>
              <w:t>OR (95%CI)</w:t>
            </w:r>
          </w:p>
          <w:p w14:paraId="6ACE604C" w14:textId="762855DB" w:rsidR="00F954C7" w:rsidRPr="00BF60BC" w:rsidRDefault="00F954C7" w:rsidP="00655F22">
            <w:pPr>
              <w:jc w:val="both"/>
              <w:rPr>
                <w:rFonts w:cstheme="minorHAnsi"/>
              </w:rPr>
            </w:pPr>
          </w:p>
        </w:tc>
        <w:tc>
          <w:tcPr>
            <w:tcW w:w="1735" w:type="dxa"/>
            <w:tcBorders>
              <w:top w:val="dotted" w:sz="4" w:space="0" w:color="auto"/>
              <w:bottom w:val="single" w:sz="18" w:space="0" w:color="auto"/>
              <w:right w:val="nil"/>
            </w:tcBorders>
            <w:vAlign w:val="center"/>
          </w:tcPr>
          <w:p w14:paraId="0A513355" w14:textId="77777777" w:rsidR="00F954C7" w:rsidRPr="00BF60BC" w:rsidRDefault="00F954C7" w:rsidP="00655F22">
            <w:pPr>
              <w:jc w:val="both"/>
              <w:rPr>
                <w:rFonts w:cstheme="minorHAnsi"/>
              </w:rPr>
            </w:pPr>
            <w:r w:rsidRPr="00BF60BC">
              <w:rPr>
                <w:rFonts w:cstheme="minorHAnsi"/>
              </w:rPr>
              <w:t>OR (95%CI)</w:t>
            </w:r>
          </w:p>
          <w:p w14:paraId="682AF0C2" w14:textId="14E8692A" w:rsidR="00F954C7" w:rsidRPr="00BF60BC" w:rsidRDefault="00F954C7" w:rsidP="00655F22">
            <w:pPr>
              <w:jc w:val="both"/>
              <w:rPr>
                <w:rFonts w:cstheme="minorHAnsi"/>
              </w:rPr>
            </w:pPr>
          </w:p>
        </w:tc>
      </w:tr>
      <w:tr w:rsidR="00F954C7" w:rsidRPr="00BF60BC" w14:paraId="72089688" w14:textId="77777777" w:rsidTr="00AD119E">
        <w:trPr>
          <w:trHeight w:val="307"/>
        </w:trPr>
        <w:tc>
          <w:tcPr>
            <w:tcW w:w="10320" w:type="dxa"/>
            <w:gridSpan w:val="6"/>
            <w:tcBorders>
              <w:top w:val="single" w:sz="18" w:space="0" w:color="auto"/>
              <w:left w:val="nil"/>
              <w:bottom w:val="single" w:sz="4" w:space="0" w:color="auto"/>
              <w:right w:val="nil"/>
            </w:tcBorders>
            <w:shd w:val="clear" w:color="auto" w:fill="E7E6E6" w:themeFill="background2"/>
            <w:vAlign w:val="center"/>
          </w:tcPr>
          <w:p w14:paraId="43DF8BF2" w14:textId="70719C5C" w:rsidR="00F954C7" w:rsidRPr="00BF60BC" w:rsidRDefault="00F954C7" w:rsidP="00655F22">
            <w:pPr>
              <w:jc w:val="both"/>
              <w:rPr>
                <w:rFonts w:cstheme="minorHAnsi"/>
                <w:b/>
              </w:rPr>
            </w:pPr>
            <w:r w:rsidRPr="00BF60BC">
              <w:rPr>
                <w:rFonts w:cstheme="minorHAnsi"/>
                <w:b/>
              </w:rPr>
              <w:t xml:space="preserve">Lifetime dieting for weight </w:t>
            </w:r>
            <w:proofErr w:type="spellStart"/>
            <w:r w:rsidRPr="00BF60BC">
              <w:rPr>
                <w:rFonts w:cstheme="minorHAnsi"/>
                <w:b/>
              </w:rPr>
              <w:t>loss</w:t>
            </w:r>
            <w:r w:rsidRPr="00BF60BC">
              <w:rPr>
                <w:rFonts w:cstheme="minorHAnsi"/>
                <w:b/>
                <w:vertAlign w:val="superscript"/>
              </w:rPr>
              <w:t>b</w:t>
            </w:r>
            <w:proofErr w:type="spellEnd"/>
            <w:r w:rsidRPr="00BF60BC">
              <w:rPr>
                <w:rFonts w:cstheme="minorHAnsi"/>
                <w:b/>
                <w:vertAlign w:val="superscript"/>
              </w:rPr>
              <w:t xml:space="preserve"> </w:t>
            </w:r>
            <w:r w:rsidR="003553B7" w:rsidRPr="00BF60BC">
              <w:rPr>
                <w:rFonts w:cstheme="minorHAnsi"/>
              </w:rPr>
              <w:t xml:space="preserve">(Comparing 2015 to </w:t>
            </w:r>
            <w:r w:rsidR="006D13FE" w:rsidRPr="00BF60BC">
              <w:rPr>
                <w:rFonts w:cstheme="minorHAnsi"/>
              </w:rPr>
              <w:t>1986</w:t>
            </w:r>
            <w:r w:rsidR="003553B7" w:rsidRPr="00BF60BC">
              <w:rPr>
                <w:rFonts w:cstheme="minorHAnsi"/>
              </w:rPr>
              <w:t>)</w:t>
            </w:r>
          </w:p>
        </w:tc>
      </w:tr>
      <w:tr w:rsidR="00F954C7" w:rsidRPr="00BF60BC" w14:paraId="66C94DD3" w14:textId="77777777" w:rsidTr="006D13FE">
        <w:trPr>
          <w:trHeight w:val="695"/>
        </w:trPr>
        <w:tc>
          <w:tcPr>
            <w:tcW w:w="1597" w:type="dxa"/>
            <w:tcBorders>
              <w:top w:val="dotted" w:sz="4" w:space="0" w:color="auto"/>
              <w:left w:val="nil"/>
              <w:bottom w:val="single" w:sz="18" w:space="0" w:color="auto"/>
              <w:right w:val="nil"/>
            </w:tcBorders>
            <w:vAlign w:val="center"/>
          </w:tcPr>
          <w:p w14:paraId="6013C0F0" w14:textId="692B6250" w:rsidR="00F954C7" w:rsidRPr="00BF60BC" w:rsidRDefault="003553B7" w:rsidP="00655F22">
            <w:pPr>
              <w:jc w:val="both"/>
              <w:rPr>
                <w:rFonts w:cstheme="minorHAnsi"/>
                <w:i/>
              </w:rPr>
            </w:pPr>
            <w:r w:rsidRPr="00BF60BC">
              <w:rPr>
                <w:rFonts w:cstheme="minorHAnsi"/>
                <w:i/>
              </w:rPr>
              <w:t>Yes (2015 vs 1986)</w:t>
            </w:r>
          </w:p>
        </w:tc>
        <w:tc>
          <w:tcPr>
            <w:tcW w:w="1747" w:type="dxa"/>
            <w:tcBorders>
              <w:top w:val="dotted" w:sz="4" w:space="0" w:color="auto"/>
              <w:left w:val="nil"/>
              <w:bottom w:val="single" w:sz="18" w:space="0" w:color="auto"/>
              <w:right w:val="nil"/>
            </w:tcBorders>
            <w:vAlign w:val="center"/>
          </w:tcPr>
          <w:p w14:paraId="70DDAFBF" w14:textId="5B1EEB17" w:rsidR="00F954C7" w:rsidRPr="00BF60BC" w:rsidRDefault="00F954C7" w:rsidP="00655F22">
            <w:pPr>
              <w:jc w:val="both"/>
              <w:rPr>
                <w:rFonts w:cstheme="minorHAnsi"/>
              </w:rPr>
            </w:pPr>
            <w:r w:rsidRPr="00BF60BC">
              <w:rPr>
                <w:rFonts w:cstheme="minorHAnsi"/>
              </w:rPr>
              <w:t>1.</w:t>
            </w:r>
            <w:r w:rsidR="00EC31C1" w:rsidRPr="00BF60BC">
              <w:rPr>
                <w:rFonts w:cstheme="minorHAnsi"/>
              </w:rPr>
              <w:t>33</w:t>
            </w:r>
            <w:r w:rsidRPr="00BF60BC">
              <w:rPr>
                <w:rFonts w:cstheme="minorHAnsi"/>
              </w:rPr>
              <w:t xml:space="preserve"> (1.</w:t>
            </w:r>
            <w:r w:rsidR="00EC31C1" w:rsidRPr="00BF60BC">
              <w:rPr>
                <w:rFonts w:cstheme="minorHAnsi"/>
              </w:rPr>
              <w:t>24</w:t>
            </w:r>
            <w:r w:rsidRPr="00BF60BC">
              <w:rPr>
                <w:rFonts w:cstheme="minorHAnsi"/>
              </w:rPr>
              <w:t>, 1.</w:t>
            </w:r>
            <w:r w:rsidR="00EC31C1" w:rsidRPr="00BF60BC">
              <w:rPr>
                <w:rFonts w:cstheme="minorHAnsi"/>
              </w:rPr>
              <w:t>4</w:t>
            </w:r>
            <w:r w:rsidR="00EA482F" w:rsidRPr="00BF60BC">
              <w:rPr>
                <w:rFonts w:cstheme="minorHAnsi"/>
              </w:rPr>
              <w:t>3</w:t>
            </w:r>
            <w:r w:rsidRPr="00BF60BC">
              <w:rPr>
                <w:rFonts w:cstheme="minorHAnsi"/>
              </w:rPr>
              <w:t>)</w:t>
            </w:r>
          </w:p>
          <w:p w14:paraId="03AC1632" w14:textId="3956E461" w:rsidR="00F954C7" w:rsidRPr="00BF60BC" w:rsidRDefault="00F954C7" w:rsidP="00655F22">
            <w:pPr>
              <w:jc w:val="both"/>
              <w:rPr>
                <w:rFonts w:cstheme="minorHAnsi"/>
              </w:rPr>
            </w:pPr>
          </w:p>
        </w:tc>
        <w:tc>
          <w:tcPr>
            <w:tcW w:w="1756" w:type="dxa"/>
            <w:tcBorders>
              <w:top w:val="dotted" w:sz="4" w:space="0" w:color="auto"/>
              <w:left w:val="nil"/>
              <w:bottom w:val="single" w:sz="18" w:space="0" w:color="auto"/>
              <w:right w:val="nil"/>
            </w:tcBorders>
            <w:vAlign w:val="center"/>
          </w:tcPr>
          <w:p w14:paraId="7BDC2D8A" w14:textId="5CA66B41" w:rsidR="00F954C7" w:rsidRPr="00BF60BC" w:rsidRDefault="00EA482F" w:rsidP="00655F22">
            <w:pPr>
              <w:jc w:val="both"/>
              <w:rPr>
                <w:rFonts w:cstheme="minorHAnsi"/>
              </w:rPr>
            </w:pPr>
            <w:r w:rsidRPr="00BF60BC">
              <w:rPr>
                <w:rFonts w:cstheme="minorHAnsi"/>
              </w:rPr>
              <w:t>1.55 (1.23, 1.95</w:t>
            </w:r>
            <w:r w:rsidR="00F954C7" w:rsidRPr="00BF60BC">
              <w:rPr>
                <w:rFonts w:cstheme="minorHAnsi"/>
              </w:rPr>
              <w:t>)</w:t>
            </w:r>
          </w:p>
          <w:p w14:paraId="48CBFBDF" w14:textId="64E6D003" w:rsidR="00F954C7" w:rsidRPr="00BF60BC" w:rsidRDefault="00F954C7" w:rsidP="00655F22">
            <w:pPr>
              <w:jc w:val="both"/>
              <w:rPr>
                <w:rFonts w:cstheme="minorHAnsi"/>
              </w:rPr>
            </w:pPr>
          </w:p>
        </w:tc>
        <w:tc>
          <w:tcPr>
            <w:tcW w:w="1738" w:type="dxa"/>
            <w:tcBorders>
              <w:top w:val="dotted" w:sz="4" w:space="0" w:color="auto"/>
              <w:left w:val="nil"/>
              <w:bottom w:val="single" w:sz="18" w:space="0" w:color="auto"/>
              <w:right w:val="nil"/>
            </w:tcBorders>
            <w:vAlign w:val="center"/>
          </w:tcPr>
          <w:p w14:paraId="6908B46D" w14:textId="1EA532EE" w:rsidR="00B534F3" w:rsidRPr="00BF60BC" w:rsidRDefault="00AB69DD" w:rsidP="00655F22">
            <w:pPr>
              <w:jc w:val="both"/>
              <w:rPr>
                <w:rFonts w:cstheme="minorHAnsi"/>
              </w:rPr>
            </w:pPr>
            <w:r w:rsidRPr="00BF60BC">
              <w:rPr>
                <w:rFonts w:cstheme="minorHAnsi"/>
              </w:rPr>
              <w:t>p&lt;0.001</w:t>
            </w:r>
          </w:p>
          <w:p w14:paraId="548A73DA" w14:textId="2FAB2382" w:rsidR="00F954C7" w:rsidRPr="00BF60BC" w:rsidRDefault="00F954C7" w:rsidP="00655F22">
            <w:pPr>
              <w:jc w:val="both"/>
              <w:rPr>
                <w:rFonts w:cstheme="minorHAnsi"/>
              </w:rPr>
            </w:pPr>
          </w:p>
        </w:tc>
        <w:tc>
          <w:tcPr>
            <w:tcW w:w="1747" w:type="dxa"/>
            <w:tcBorders>
              <w:top w:val="dotted" w:sz="4" w:space="0" w:color="auto"/>
              <w:left w:val="nil"/>
              <w:bottom w:val="single" w:sz="18" w:space="0" w:color="auto"/>
              <w:right w:val="nil"/>
            </w:tcBorders>
            <w:vAlign w:val="center"/>
          </w:tcPr>
          <w:p w14:paraId="5E8B43DE" w14:textId="074041D8" w:rsidR="00F954C7" w:rsidRPr="00BF60BC" w:rsidRDefault="00EA482F" w:rsidP="00655F22">
            <w:pPr>
              <w:jc w:val="both"/>
              <w:rPr>
                <w:rFonts w:cstheme="minorHAnsi"/>
              </w:rPr>
            </w:pPr>
            <w:r w:rsidRPr="00BF60BC">
              <w:rPr>
                <w:rFonts w:cstheme="minorHAnsi"/>
              </w:rPr>
              <w:t>1.79 (1.24, 2.59</w:t>
            </w:r>
            <w:r w:rsidR="00F954C7" w:rsidRPr="00BF60BC">
              <w:rPr>
                <w:rFonts w:cstheme="minorHAnsi"/>
              </w:rPr>
              <w:t>)</w:t>
            </w:r>
          </w:p>
          <w:p w14:paraId="1FB7750A" w14:textId="7EAB0691" w:rsidR="00F954C7" w:rsidRPr="00BF60BC" w:rsidRDefault="00F954C7" w:rsidP="00655F22">
            <w:pPr>
              <w:jc w:val="both"/>
              <w:rPr>
                <w:rFonts w:cstheme="minorHAnsi"/>
              </w:rPr>
            </w:pPr>
          </w:p>
        </w:tc>
        <w:tc>
          <w:tcPr>
            <w:tcW w:w="1735" w:type="dxa"/>
            <w:tcBorders>
              <w:top w:val="dotted" w:sz="4" w:space="0" w:color="auto"/>
              <w:left w:val="nil"/>
              <w:bottom w:val="single" w:sz="18" w:space="0" w:color="auto"/>
              <w:right w:val="nil"/>
            </w:tcBorders>
            <w:vAlign w:val="center"/>
          </w:tcPr>
          <w:p w14:paraId="5C11CEDB" w14:textId="12F13F98" w:rsidR="00F954C7" w:rsidRPr="00BF60BC" w:rsidRDefault="00EA482F" w:rsidP="00655F22">
            <w:pPr>
              <w:jc w:val="both"/>
              <w:rPr>
                <w:rFonts w:cstheme="minorHAnsi"/>
              </w:rPr>
            </w:pPr>
            <w:r w:rsidRPr="00BF60BC">
              <w:rPr>
                <w:rFonts w:cstheme="minorHAnsi"/>
              </w:rPr>
              <w:t>1.23 (0.91, 1.66</w:t>
            </w:r>
            <w:r w:rsidR="00F954C7" w:rsidRPr="00BF60BC">
              <w:rPr>
                <w:rFonts w:cstheme="minorHAnsi"/>
              </w:rPr>
              <w:t>)</w:t>
            </w:r>
          </w:p>
          <w:p w14:paraId="323999AD" w14:textId="2021406B" w:rsidR="00F954C7" w:rsidRPr="00BF60BC" w:rsidRDefault="00F954C7" w:rsidP="00655F22">
            <w:pPr>
              <w:jc w:val="both"/>
              <w:rPr>
                <w:rFonts w:cstheme="minorHAnsi"/>
              </w:rPr>
            </w:pPr>
          </w:p>
        </w:tc>
      </w:tr>
      <w:tr w:rsidR="00F954C7" w:rsidRPr="00BF60BC" w14:paraId="5A0BF44A" w14:textId="77777777" w:rsidTr="00AD119E">
        <w:trPr>
          <w:trHeight w:val="210"/>
        </w:trPr>
        <w:tc>
          <w:tcPr>
            <w:tcW w:w="10320" w:type="dxa"/>
            <w:gridSpan w:val="6"/>
            <w:tcBorders>
              <w:top w:val="single" w:sz="18" w:space="0" w:color="auto"/>
              <w:left w:val="nil"/>
              <w:bottom w:val="single" w:sz="4" w:space="0" w:color="auto"/>
              <w:right w:val="nil"/>
            </w:tcBorders>
            <w:shd w:val="clear" w:color="auto" w:fill="E7E6E6" w:themeFill="background2"/>
            <w:vAlign w:val="center"/>
          </w:tcPr>
          <w:p w14:paraId="53BB7889" w14:textId="73A893E2" w:rsidR="00F954C7" w:rsidRPr="00BF60BC" w:rsidRDefault="00F954C7" w:rsidP="00655F22">
            <w:pPr>
              <w:jc w:val="both"/>
              <w:rPr>
                <w:rFonts w:cstheme="minorHAnsi"/>
                <w:b/>
                <w:vertAlign w:val="superscript"/>
              </w:rPr>
            </w:pPr>
            <w:r w:rsidRPr="00BF60BC">
              <w:rPr>
                <w:rFonts w:cstheme="minorHAnsi"/>
                <w:b/>
              </w:rPr>
              <w:t xml:space="preserve">Lifetime exercising for weight </w:t>
            </w:r>
            <w:proofErr w:type="spellStart"/>
            <w:r w:rsidRPr="00BF60BC">
              <w:rPr>
                <w:rFonts w:cstheme="minorHAnsi"/>
                <w:b/>
              </w:rPr>
              <w:t>loss</w:t>
            </w:r>
            <w:r w:rsidRPr="00BF60BC">
              <w:rPr>
                <w:rFonts w:cstheme="minorHAnsi"/>
                <w:b/>
                <w:vertAlign w:val="superscript"/>
              </w:rPr>
              <w:t>b</w:t>
            </w:r>
            <w:proofErr w:type="spellEnd"/>
            <w:r w:rsidR="003553B7" w:rsidRPr="00BF60BC">
              <w:rPr>
                <w:rFonts w:cstheme="minorHAnsi"/>
                <w:b/>
                <w:vertAlign w:val="superscript"/>
              </w:rPr>
              <w:t xml:space="preserve"> </w:t>
            </w:r>
            <w:r w:rsidR="003553B7" w:rsidRPr="00BF60BC">
              <w:rPr>
                <w:rFonts w:cstheme="minorHAnsi"/>
              </w:rPr>
              <w:t xml:space="preserve">(Comparing </w:t>
            </w:r>
            <w:r w:rsidR="006D13FE" w:rsidRPr="00BF60BC">
              <w:rPr>
                <w:rFonts w:cstheme="minorHAnsi"/>
              </w:rPr>
              <w:t>2015</w:t>
            </w:r>
            <w:r w:rsidR="003553B7" w:rsidRPr="00BF60BC">
              <w:rPr>
                <w:rFonts w:cstheme="minorHAnsi"/>
              </w:rPr>
              <w:t xml:space="preserve"> to </w:t>
            </w:r>
            <w:r w:rsidR="006D13FE" w:rsidRPr="00BF60BC">
              <w:rPr>
                <w:rFonts w:cstheme="minorHAnsi"/>
              </w:rPr>
              <w:t>1986</w:t>
            </w:r>
            <w:r w:rsidR="003553B7" w:rsidRPr="00BF60BC">
              <w:rPr>
                <w:rFonts w:cstheme="minorHAnsi"/>
              </w:rPr>
              <w:t>)</w:t>
            </w:r>
          </w:p>
        </w:tc>
      </w:tr>
      <w:tr w:rsidR="00A44E8E" w:rsidRPr="00BF60BC" w14:paraId="38AD5DBA" w14:textId="77777777" w:rsidTr="006D13FE">
        <w:trPr>
          <w:trHeight w:val="210"/>
        </w:trPr>
        <w:tc>
          <w:tcPr>
            <w:tcW w:w="1597" w:type="dxa"/>
            <w:tcBorders>
              <w:top w:val="dotted" w:sz="4" w:space="0" w:color="auto"/>
              <w:left w:val="nil"/>
              <w:bottom w:val="nil"/>
              <w:right w:val="nil"/>
            </w:tcBorders>
            <w:vAlign w:val="center"/>
          </w:tcPr>
          <w:p w14:paraId="13A6A3E4" w14:textId="2D346F17" w:rsidR="00A44E8E" w:rsidRPr="00BF60BC" w:rsidRDefault="003553B7" w:rsidP="00655F22">
            <w:pPr>
              <w:jc w:val="both"/>
              <w:rPr>
                <w:rFonts w:cstheme="minorHAnsi"/>
                <w:i/>
                <w:vertAlign w:val="superscript"/>
              </w:rPr>
            </w:pPr>
            <w:r w:rsidRPr="00BF60BC">
              <w:rPr>
                <w:rFonts w:cstheme="minorHAnsi"/>
                <w:i/>
              </w:rPr>
              <w:t>Yes (2015 vs 1986)</w:t>
            </w:r>
          </w:p>
        </w:tc>
        <w:tc>
          <w:tcPr>
            <w:tcW w:w="1747" w:type="dxa"/>
            <w:tcBorders>
              <w:top w:val="dotted" w:sz="4" w:space="0" w:color="auto"/>
              <w:left w:val="nil"/>
              <w:bottom w:val="nil"/>
              <w:right w:val="nil"/>
            </w:tcBorders>
            <w:vAlign w:val="center"/>
          </w:tcPr>
          <w:p w14:paraId="7AEA2017" w14:textId="4067892E" w:rsidR="00A44E8E" w:rsidRPr="00BF60BC" w:rsidRDefault="00A44E8E" w:rsidP="00655F22">
            <w:pPr>
              <w:jc w:val="both"/>
              <w:rPr>
                <w:rFonts w:cstheme="minorHAnsi"/>
              </w:rPr>
            </w:pPr>
            <w:r w:rsidRPr="00BF60BC">
              <w:rPr>
                <w:rFonts w:cstheme="minorHAnsi"/>
              </w:rPr>
              <w:t>20.92</w:t>
            </w:r>
          </w:p>
          <w:p w14:paraId="02DE1064" w14:textId="1A944FDC" w:rsidR="00A44E8E" w:rsidRPr="00BF60BC" w:rsidRDefault="00A44E8E" w:rsidP="00655F22">
            <w:pPr>
              <w:jc w:val="both"/>
              <w:rPr>
                <w:rFonts w:cstheme="minorHAnsi"/>
              </w:rPr>
            </w:pPr>
            <w:r w:rsidRPr="00BF60BC">
              <w:rPr>
                <w:rFonts w:cstheme="minorHAnsi"/>
              </w:rPr>
              <w:t>(18.42, 23.75)</w:t>
            </w:r>
          </w:p>
          <w:p w14:paraId="1C276D86" w14:textId="33FBE8EB" w:rsidR="00A44E8E" w:rsidRPr="00BF60BC" w:rsidRDefault="00A44E8E" w:rsidP="00655F22">
            <w:pPr>
              <w:jc w:val="both"/>
              <w:rPr>
                <w:rFonts w:cstheme="minorHAnsi"/>
              </w:rPr>
            </w:pPr>
          </w:p>
        </w:tc>
        <w:tc>
          <w:tcPr>
            <w:tcW w:w="1756" w:type="dxa"/>
            <w:tcBorders>
              <w:top w:val="dotted" w:sz="4" w:space="0" w:color="auto"/>
              <w:left w:val="nil"/>
              <w:bottom w:val="nil"/>
              <w:right w:val="nil"/>
            </w:tcBorders>
            <w:vAlign w:val="center"/>
          </w:tcPr>
          <w:p w14:paraId="61DB86B0" w14:textId="77777777" w:rsidR="00A44E8E" w:rsidRPr="00BF60BC" w:rsidRDefault="00A44E8E" w:rsidP="00655F22">
            <w:pPr>
              <w:jc w:val="both"/>
              <w:rPr>
                <w:rFonts w:cstheme="minorHAnsi"/>
              </w:rPr>
            </w:pPr>
            <w:r w:rsidRPr="00BF60BC">
              <w:rPr>
                <w:rFonts w:cstheme="minorHAnsi"/>
              </w:rPr>
              <w:t>26.67</w:t>
            </w:r>
          </w:p>
          <w:p w14:paraId="3DCB090C" w14:textId="77777777" w:rsidR="00A44E8E" w:rsidRPr="00BF60BC" w:rsidRDefault="00A44E8E" w:rsidP="00655F22">
            <w:pPr>
              <w:jc w:val="both"/>
              <w:rPr>
                <w:rFonts w:cstheme="minorHAnsi"/>
              </w:rPr>
            </w:pPr>
            <w:r w:rsidRPr="00BF60BC">
              <w:rPr>
                <w:rFonts w:cstheme="minorHAnsi"/>
              </w:rPr>
              <w:t>(20.06, 35.40)</w:t>
            </w:r>
          </w:p>
          <w:p w14:paraId="1C4BB173" w14:textId="3A3808A1" w:rsidR="00A44E8E" w:rsidRPr="00BF60BC" w:rsidRDefault="00A44E8E" w:rsidP="00655F22">
            <w:pPr>
              <w:jc w:val="both"/>
              <w:rPr>
                <w:rFonts w:cstheme="minorHAnsi"/>
              </w:rPr>
            </w:pPr>
          </w:p>
        </w:tc>
        <w:tc>
          <w:tcPr>
            <w:tcW w:w="1738" w:type="dxa"/>
            <w:tcBorders>
              <w:top w:val="dotted" w:sz="4" w:space="0" w:color="auto"/>
              <w:left w:val="nil"/>
              <w:bottom w:val="nil"/>
              <w:right w:val="nil"/>
            </w:tcBorders>
            <w:vAlign w:val="center"/>
          </w:tcPr>
          <w:p w14:paraId="1EE33E47" w14:textId="5F0675B0" w:rsidR="00A44E8E" w:rsidRPr="00BF60BC" w:rsidRDefault="00AB69DD" w:rsidP="00655F22">
            <w:pPr>
              <w:jc w:val="both"/>
              <w:rPr>
                <w:rFonts w:cstheme="minorHAnsi"/>
              </w:rPr>
            </w:pPr>
            <w:r w:rsidRPr="00BF60BC">
              <w:rPr>
                <w:rFonts w:cstheme="minorHAnsi"/>
              </w:rPr>
              <w:t>p=0.27</w:t>
            </w:r>
          </w:p>
          <w:p w14:paraId="0ED8F7CC" w14:textId="3C593042" w:rsidR="00A44E8E" w:rsidRPr="00BF60BC" w:rsidRDefault="00A44E8E" w:rsidP="00655F22">
            <w:pPr>
              <w:jc w:val="both"/>
              <w:rPr>
                <w:rFonts w:cstheme="minorHAnsi"/>
              </w:rPr>
            </w:pPr>
          </w:p>
        </w:tc>
        <w:tc>
          <w:tcPr>
            <w:tcW w:w="1747" w:type="dxa"/>
            <w:tcBorders>
              <w:top w:val="dotted" w:sz="4" w:space="0" w:color="auto"/>
              <w:left w:val="nil"/>
              <w:bottom w:val="nil"/>
              <w:right w:val="nil"/>
            </w:tcBorders>
            <w:vAlign w:val="center"/>
          </w:tcPr>
          <w:p w14:paraId="34A703F5" w14:textId="77777777" w:rsidR="00A44E8E" w:rsidRPr="00BF60BC" w:rsidRDefault="00A44E8E" w:rsidP="00655F22">
            <w:pPr>
              <w:jc w:val="both"/>
              <w:rPr>
                <w:rFonts w:cstheme="minorHAnsi"/>
              </w:rPr>
            </w:pPr>
            <w:r w:rsidRPr="00BF60BC">
              <w:rPr>
                <w:rFonts w:cstheme="minorHAnsi"/>
              </w:rPr>
              <w:t>-</w:t>
            </w:r>
          </w:p>
        </w:tc>
        <w:tc>
          <w:tcPr>
            <w:tcW w:w="1735" w:type="dxa"/>
            <w:tcBorders>
              <w:top w:val="dotted" w:sz="4" w:space="0" w:color="auto"/>
              <w:left w:val="nil"/>
              <w:bottom w:val="nil"/>
              <w:right w:val="nil"/>
            </w:tcBorders>
            <w:vAlign w:val="center"/>
          </w:tcPr>
          <w:p w14:paraId="064FA659" w14:textId="77777777" w:rsidR="00A44E8E" w:rsidRPr="00BF60BC" w:rsidRDefault="00A44E8E" w:rsidP="00655F22">
            <w:pPr>
              <w:jc w:val="both"/>
              <w:rPr>
                <w:rFonts w:cstheme="minorHAnsi"/>
              </w:rPr>
            </w:pPr>
            <w:r w:rsidRPr="00BF60BC">
              <w:rPr>
                <w:rFonts w:cstheme="minorHAnsi"/>
              </w:rPr>
              <w:t>-</w:t>
            </w:r>
          </w:p>
        </w:tc>
      </w:tr>
      <w:tr w:rsidR="003553B7" w:rsidRPr="00BF60BC" w14:paraId="4E89D5F8" w14:textId="77777777" w:rsidTr="006D13FE">
        <w:trPr>
          <w:trHeight w:val="210"/>
        </w:trPr>
        <w:tc>
          <w:tcPr>
            <w:tcW w:w="1597" w:type="dxa"/>
            <w:tcBorders>
              <w:top w:val="nil"/>
              <w:left w:val="nil"/>
              <w:bottom w:val="single" w:sz="18" w:space="0" w:color="auto"/>
              <w:right w:val="nil"/>
            </w:tcBorders>
            <w:vAlign w:val="center"/>
          </w:tcPr>
          <w:p w14:paraId="1F4A975A" w14:textId="77777777" w:rsidR="003553B7" w:rsidRPr="00BF60BC" w:rsidRDefault="003553B7" w:rsidP="00655F22">
            <w:pPr>
              <w:jc w:val="both"/>
              <w:rPr>
                <w:rFonts w:cstheme="minorHAnsi"/>
                <w:i/>
              </w:rPr>
            </w:pPr>
          </w:p>
        </w:tc>
        <w:tc>
          <w:tcPr>
            <w:tcW w:w="1747" w:type="dxa"/>
            <w:tcBorders>
              <w:top w:val="nil"/>
              <w:left w:val="nil"/>
              <w:bottom w:val="single" w:sz="18" w:space="0" w:color="auto"/>
              <w:right w:val="nil"/>
            </w:tcBorders>
            <w:vAlign w:val="center"/>
          </w:tcPr>
          <w:p w14:paraId="0B9D1ECE" w14:textId="77777777" w:rsidR="003553B7" w:rsidRPr="00BF60BC" w:rsidRDefault="003553B7" w:rsidP="00655F22">
            <w:pPr>
              <w:jc w:val="both"/>
              <w:rPr>
                <w:rFonts w:cstheme="minorHAnsi"/>
              </w:rPr>
            </w:pPr>
          </w:p>
        </w:tc>
        <w:tc>
          <w:tcPr>
            <w:tcW w:w="1756" w:type="dxa"/>
            <w:tcBorders>
              <w:top w:val="nil"/>
              <w:left w:val="nil"/>
              <w:bottom w:val="single" w:sz="18" w:space="0" w:color="auto"/>
              <w:right w:val="nil"/>
            </w:tcBorders>
            <w:vAlign w:val="center"/>
          </w:tcPr>
          <w:p w14:paraId="25B386C6" w14:textId="77777777" w:rsidR="003553B7" w:rsidRPr="00BF60BC" w:rsidRDefault="003553B7" w:rsidP="00655F22">
            <w:pPr>
              <w:jc w:val="both"/>
              <w:rPr>
                <w:rFonts w:cstheme="minorHAnsi"/>
              </w:rPr>
            </w:pPr>
          </w:p>
        </w:tc>
        <w:tc>
          <w:tcPr>
            <w:tcW w:w="1738" w:type="dxa"/>
            <w:tcBorders>
              <w:top w:val="nil"/>
              <w:left w:val="nil"/>
              <w:bottom w:val="single" w:sz="18" w:space="0" w:color="auto"/>
              <w:right w:val="nil"/>
            </w:tcBorders>
            <w:vAlign w:val="center"/>
          </w:tcPr>
          <w:p w14:paraId="73462DC6" w14:textId="77777777" w:rsidR="003553B7" w:rsidRPr="00BF60BC" w:rsidRDefault="003553B7" w:rsidP="00655F22">
            <w:pPr>
              <w:jc w:val="both"/>
              <w:rPr>
                <w:rFonts w:cstheme="minorHAnsi"/>
              </w:rPr>
            </w:pPr>
          </w:p>
        </w:tc>
        <w:tc>
          <w:tcPr>
            <w:tcW w:w="1747" w:type="dxa"/>
            <w:tcBorders>
              <w:top w:val="nil"/>
              <w:left w:val="nil"/>
              <w:bottom w:val="single" w:sz="18" w:space="0" w:color="auto"/>
              <w:right w:val="nil"/>
            </w:tcBorders>
            <w:vAlign w:val="center"/>
          </w:tcPr>
          <w:p w14:paraId="6656E895" w14:textId="77777777" w:rsidR="003553B7" w:rsidRPr="00BF60BC" w:rsidRDefault="003553B7" w:rsidP="00655F22">
            <w:pPr>
              <w:jc w:val="both"/>
              <w:rPr>
                <w:rFonts w:cstheme="minorHAnsi"/>
              </w:rPr>
            </w:pPr>
          </w:p>
        </w:tc>
        <w:tc>
          <w:tcPr>
            <w:tcW w:w="1735" w:type="dxa"/>
            <w:tcBorders>
              <w:top w:val="nil"/>
              <w:left w:val="nil"/>
              <w:bottom w:val="single" w:sz="18" w:space="0" w:color="auto"/>
              <w:right w:val="nil"/>
            </w:tcBorders>
            <w:vAlign w:val="center"/>
          </w:tcPr>
          <w:p w14:paraId="2F258C73" w14:textId="77777777" w:rsidR="003553B7" w:rsidRPr="00BF60BC" w:rsidRDefault="003553B7" w:rsidP="00655F22">
            <w:pPr>
              <w:jc w:val="both"/>
              <w:rPr>
                <w:rFonts w:cstheme="minorHAnsi"/>
              </w:rPr>
            </w:pPr>
          </w:p>
        </w:tc>
      </w:tr>
      <w:tr w:rsidR="00A44E8E" w:rsidRPr="00BF60BC" w14:paraId="276D8C8D" w14:textId="77777777" w:rsidTr="006D13FE">
        <w:trPr>
          <w:trHeight w:val="210"/>
        </w:trPr>
        <w:tc>
          <w:tcPr>
            <w:tcW w:w="1597" w:type="dxa"/>
            <w:tcBorders>
              <w:top w:val="single" w:sz="18" w:space="0" w:color="auto"/>
              <w:left w:val="nil"/>
              <w:bottom w:val="single" w:sz="18" w:space="0" w:color="auto"/>
            </w:tcBorders>
            <w:vAlign w:val="center"/>
          </w:tcPr>
          <w:p w14:paraId="6DF187A7" w14:textId="77777777" w:rsidR="00A44E8E" w:rsidRPr="00BF60BC" w:rsidRDefault="00A44E8E" w:rsidP="00655F22">
            <w:pPr>
              <w:jc w:val="both"/>
              <w:rPr>
                <w:rFonts w:cstheme="minorHAnsi"/>
                <w:i/>
              </w:rPr>
            </w:pPr>
          </w:p>
        </w:tc>
        <w:tc>
          <w:tcPr>
            <w:tcW w:w="1747" w:type="dxa"/>
            <w:tcBorders>
              <w:top w:val="single" w:sz="18" w:space="0" w:color="auto"/>
              <w:bottom w:val="single" w:sz="18" w:space="0" w:color="auto"/>
            </w:tcBorders>
            <w:vAlign w:val="center"/>
          </w:tcPr>
          <w:p w14:paraId="65EDFEC3" w14:textId="77777777" w:rsidR="00A44E8E" w:rsidRPr="00BF60BC" w:rsidRDefault="00A44E8E" w:rsidP="00655F22">
            <w:pPr>
              <w:jc w:val="both"/>
              <w:rPr>
                <w:rFonts w:cstheme="minorHAnsi"/>
                <w:bCs/>
              </w:rPr>
            </w:pPr>
            <w:r w:rsidRPr="00BF60BC">
              <w:rPr>
                <w:rFonts w:cstheme="minorHAnsi"/>
                <w:bCs/>
              </w:rPr>
              <w:t>RRR (95%CI)</w:t>
            </w:r>
          </w:p>
          <w:p w14:paraId="76536AA9" w14:textId="204FEF4B" w:rsidR="00A44E8E" w:rsidRPr="00BF60BC" w:rsidRDefault="00A44E8E" w:rsidP="00655F22">
            <w:pPr>
              <w:jc w:val="both"/>
              <w:rPr>
                <w:rFonts w:cstheme="minorHAnsi"/>
                <w:bCs/>
              </w:rPr>
            </w:pPr>
          </w:p>
        </w:tc>
        <w:tc>
          <w:tcPr>
            <w:tcW w:w="1756" w:type="dxa"/>
            <w:tcBorders>
              <w:top w:val="single" w:sz="18" w:space="0" w:color="auto"/>
              <w:bottom w:val="single" w:sz="18" w:space="0" w:color="auto"/>
            </w:tcBorders>
            <w:vAlign w:val="center"/>
          </w:tcPr>
          <w:p w14:paraId="792FBDD7" w14:textId="77777777" w:rsidR="00A44E8E" w:rsidRPr="00BF60BC" w:rsidRDefault="00A44E8E" w:rsidP="00655F22">
            <w:pPr>
              <w:jc w:val="both"/>
              <w:rPr>
                <w:rFonts w:cstheme="minorHAnsi"/>
                <w:bCs/>
              </w:rPr>
            </w:pPr>
            <w:r w:rsidRPr="00BF60BC">
              <w:rPr>
                <w:rFonts w:cstheme="minorHAnsi"/>
                <w:bCs/>
              </w:rPr>
              <w:t>RRR (95%CI)</w:t>
            </w:r>
          </w:p>
          <w:p w14:paraId="3792E967" w14:textId="4CC09F5C" w:rsidR="00A44E8E" w:rsidRPr="00BF60BC" w:rsidRDefault="00A44E8E" w:rsidP="00655F22">
            <w:pPr>
              <w:jc w:val="both"/>
              <w:rPr>
                <w:rFonts w:cstheme="minorHAnsi"/>
                <w:bCs/>
              </w:rPr>
            </w:pPr>
          </w:p>
        </w:tc>
        <w:tc>
          <w:tcPr>
            <w:tcW w:w="1738" w:type="dxa"/>
            <w:tcBorders>
              <w:top w:val="single" w:sz="18" w:space="0" w:color="auto"/>
              <w:bottom w:val="single" w:sz="18" w:space="0" w:color="auto"/>
            </w:tcBorders>
            <w:vAlign w:val="center"/>
          </w:tcPr>
          <w:p w14:paraId="02225A05" w14:textId="77777777" w:rsidR="00A942FE" w:rsidRPr="00BF60BC" w:rsidRDefault="00A942FE" w:rsidP="00A942FE">
            <w:pPr>
              <w:jc w:val="both"/>
              <w:rPr>
                <w:rFonts w:cstheme="minorHAnsi"/>
              </w:rPr>
            </w:pPr>
            <w:r w:rsidRPr="00BF60BC">
              <w:rPr>
                <w:rFonts w:cstheme="minorHAnsi"/>
              </w:rPr>
              <w:t>Cohort*sex interaction</w:t>
            </w:r>
          </w:p>
          <w:p w14:paraId="1A10D77B" w14:textId="7AE42C42" w:rsidR="00A44E8E" w:rsidRPr="00BF60BC" w:rsidRDefault="00A942FE" w:rsidP="00A942FE">
            <w:pPr>
              <w:jc w:val="both"/>
              <w:rPr>
                <w:rFonts w:cstheme="minorHAnsi"/>
                <w:bCs/>
              </w:rPr>
            </w:pPr>
            <w:r w:rsidRPr="00BF60BC">
              <w:rPr>
                <w:rFonts w:cstheme="minorHAnsi"/>
              </w:rPr>
              <w:t>p-value</w:t>
            </w:r>
          </w:p>
        </w:tc>
        <w:tc>
          <w:tcPr>
            <w:tcW w:w="1747" w:type="dxa"/>
            <w:tcBorders>
              <w:top w:val="single" w:sz="18" w:space="0" w:color="auto"/>
              <w:bottom w:val="single" w:sz="18" w:space="0" w:color="auto"/>
            </w:tcBorders>
            <w:vAlign w:val="center"/>
          </w:tcPr>
          <w:p w14:paraId="132752F7" w14:textId="77777777" w:rsidR="00A44E8E" w:rsidRPr="00BF60BC" w:rsidRDefault="00A44E8E" w:rsidP="00655F22">
            <w:pPr>
              <w:jc w:val="both"/>
              <w:rPr>
                <w:rFonts w:cstheme="minorHAnsi"/>
                <w:bCs/>
              </w:rPr>
            </w:pPr>
            <w:r w:rsidRPr="00BF60BC">
              <w:rPr>
                <w:rFonts w:cstheme="minorHAnsi"/>
                <w:bCs/>
              </w:rPr>
              <w:t>RRR (95%CI)</w:t>
            </w:r>
          </w:p>
          <w:p w14:paraId="66A699EE" w14:textId="130144E6" w:rsidR="00A44E8E" w:rsidRPr="00BF60BC" w:rsidRDefault="00A44E8E" w:rsidP="00655F22">
            <w:pPr>
              <w:jc w:val="both"/>
              <w:rPr>
                <w:rFonts w:cstheme="minorHAnsi"/>
                <w:bCs/>
              </w:rPr>
            </w:pPr>
          </w:p>
        </w:tc>
        <w:tc>
          <w:tcPr>
            <w:tcW w:w="1735" w:type="dxa"/>
            <w:tcBorders>
              <w:top w:val="single" w:sz="18" w:space="0" w:color="auto"/>
              <w:bottom w:val="single" w:sz="18" w:space="0" w:color="auto"/>
              <w:right w:val="nil"/>
            </w:tcBorders>
            <w:vAlign w:val="center"/>
          </w:tcPr>
          <w:p w14:paraId="206C3540" w14:textId="77777777" w:rsidR="00A44E8E" w:rsidRPr="00BF60BC" w:rsidRDefault="00A44E8E" w:rsidP="00655F22">
            <w:pPr>
              <w:jc w:val="both"/>
              <w:rPr>
                <w:rFonts w:cstheme="minorHAnsi"/>
                <w:bCs/>
              </w:rPr>
            </w:pPr>
            <w:r w:rsidRPr="00BF60BC">
              <w:rPr>
                <w:rFonts w:cstheme="minorHAnsi"/>
                <w:bCs/>
              </w:rPr>
              <w:t>RRR (95%CI)</w:t>
            </w:r>
          </w:p>
          <w:p w14:paraId="7243A067" w14:textId="719BFEB4" w:rsidR="00A44E8E" w:rsidRPr="00BF60BC" w:rsidRDefault="00A44E8E" w:rsidP="00655F22">
            <w:pPr>
              <w:jc w:val="both"/>
              <w:rPr>
                <w:rFonts w:cstheme="minorHAnsi"/>
                <w:bCs/>
              </w:rPr>
            </w:pPr>
          </w:p>
        </w:tc>
      </w:tr>
      <w:tr w:rsidR="00A44E8E" w:rsidRPr="00BF60BC" w14:paraId="47427DF0" w14:textId="77777777" w:rsidTr="00AD119E">
        <w:trPr>
          <w:trHeight w:val="210"/>
        </w:trPr>
        <w:tc>
          <w:tcPr>
            <w:tcW w:w="10320" w:type="dxa"/>
            <w:gridSpan w:val="6"/>
            <w:tcBorders>
              <w:top w:val="single" w:sz="18" w:space="0" w:color="auto"/>
              <w:left w:val="nil"/>
              <w:bottom w:val="single" w:sz="4" w:space="0" w:color="auto"/>
              <w:right w:val="nil"/>
            </w:tcBorders>
            <w:shd w:val="clear" w:color="auto" w:fill="E7E6E6" w:themeFill="background2"/>
            <w:vAlign w:val="center"/>
          </w:tcPr>
          <w:p w14:paraId="30B5BDE3" w14:textId="5CCDEC16" w:rsidR="00A44E8E" w:rsidRPr="00BF60BC" w:rsidRDefault="00A44E8E" w:rsidP="00655F22">
            <w:pPr>
              <w:jc w:val="both"/>
              <w:rPr>
                <w:rFonts w:cstheme="minorHAnsi"/>
                <w:vertAlign w:val="superscript"/>
              </w:rPr>
            </w:pPr>
            <w:r w:rsidRPr="00BF60BC">
              <w:rPr>
                <w:rFonts w:cstheme="minorHAnsi"/>
                <w:b/>
              </w:rPr>
              <w:t xml:space="preserve">What are you currently trying to do about your weight?  </w:t>
            </w:r>
            <w:r w:rsidRPr="00BF60BC">
              <w:rPr>
                <w:rFonts w:cstheme="minorHAnsi"/>
              </w:rPr>
              <w:t xml:space="preserve">(Comparing </w:t>
            </w:r>
            <w:r w:rsidR="006D13FE" w:rsidRPr="00BF60BC">
              <w:rPr>
                <w:rFonts w:cstheme="minorHAnsi"/>
              </w:rPr>
              <w:t>2015</w:t>
            </w:r>
            <w:r w:rsidRPr="00BF60BC">
              <w:rPr>
                <w:rFonts w:cstheme="minorHAnsi"/>
              </w:rPr>
              <w:t xml:space="preserve"> to </w:t>
            </w:r>
            <w:proofErr w:type="gramStart"/>
            <w:r w:rsidR="006D13FE" w:rsidRPr="00BF60BC">
              <w:rPr>
                <w:rFonts w:cstheme="minorHAnsi"/>
              </w:rPr>
              <w:t>2005</w:t>
            </w:r>
            <w:r w:rsidRPr="00BF60BC">
              <w:rPr>
                <w:rFonts w:cstheme="minorHAnsi"/>
              </w:rPr>
              <w:t>)</w:t>
            </w:r>
            <w:r w:rsidRPr="00BF60BC">
              <w:rPr>
                <w:rFonts w:cstheme="minorHAnsi"/>
                <w:vertAlign w:val="superscript"/>
              </w:rPr>
              <w:t>c</w:t>
            </w:r>
            <w:proofErr w:type="gramEnd"/>
          </w:p>
        </w:tc>
      </w:tr>
      <w:tr w:rsidR="00A44E8E" w:rsidRPr="00BF60BC" w14:paraId="77CD77BF" w14:textId="77777777" w:rsidTr="00AD119E">
        <w:trPr>
          <w:trHeight w:val="210"/>
        </w:trPr>
        <w:tc>
          <w:tcPr>
            <w:tcW w:w="1597" w:type="dxa"/>
            <w:tcBorders>
              <w:left w:val="nil"/>
              <w:bottom w:val="nil"/>
              <w:right w:val="nil"/>
            </w:tcBorders>
          </w:tcPr>
          <w:p w14:paraId="5CE63D2C" w14:textId="77777777" w:rsidR="00A44E8E" w:rsidRPr="00BF60BC" w:rsidRDefault="00A44E8E" w:rsidP="00655F22">
            <w:pPr>
              <w:jc w:val="both"/>
              <w:rPr>
                <w:rFonts w:cstheme="minorHAnsi"/>
                <w:i/>
              </w:rPr>
            </w:pPr>
            <w:r w:rsidRPr="00BF60BC">
              <w:rPr>
                <w:rFonts w:cstheme="minorHAnsi"/>
                <w:i/>
              </w:rPr>
              <w:t>Doing nothing</w:t>
            </w:r>
          </w:p>
        </w:tc>
        <w:tc>
          <w:tcPr>
            <w:tcW w:w="1747" w:type="dxa"/>
            <w:tcBorders>
              <w:left w:val="nil"/>
              <w:bottom w:val="nil"/>
              <w:right w:val="nil"/>
            </w:tcBorders>
            <w:vAlign w:val="center"/>
          </w:tcPr>
          <w:p w14:paraId="07C5AAC9" w14:textId="77777777" w:rsidR="00A44E8E" w:rsidRPr="00BF60BC" w:rsidRDefault="00A44E8E" w:rsidP="00655F22">
            <w:pPr>
              <w:jc w:val="both"/>
              <w:rPr>
                <w:rFonts w:cstheme="minorHAnsi"/>
              </w:rPr>
            </w:pPr>
            <w:r w:rsidRPr="00BF60BC">
              <w:rPr>
                <w:rFonts w:cstheme="minorHAnsi"/>
              </w:rPr>
              <w:t>Reference outcome</w:t>
            </w:r>
          </w:p>
        </w:tc>
        <w:tc>
          <w:tcPr>
            <w:tcW w:w="1756" w:type="dxa"/>
            <w:tcBorders>
              <w:left w:val="nil"/>
              <w:bottom w:val="nil"/>
              <w:right w:val="nil"/>
            </w:tcBorders>
            <w:vAlign w:val="center"/>
          </w:tcPr>
          <w:p w14:paraId="4535A6C7" w14:textId="15DDC1D3" w:rsidR="00A44E8E" w:rsidRPr="00BF60BC" w:rsidRDefault="00A44E8E" w:rsidP="00655F22">
            <w:pPr>
              <w:jc w:val="both"/>
              <w:rPr>
                <w:rFonts w:cstheme="minorHAnsi"/>
              </w:rPr>
            </w:pPr>
            <w:r w:rsidRPr="00BF60BC">
              <w:rPr>
                <w:rFonts w:cstheme="minorHAnsi"/>
              </w:rPr>
              <w:t>Reference</w:t>
            </w:r>
          </w:p>
          <w:p w14:paraId="364BFE41" w14:textId="77777777" w:rsidR="00A44E8E" w:rsidRPr="00BF60BC" w:rsidRDefault="00A44E8E" w:rsidP="00655F22">
            <w:pPr>
              <w:jc w:val="both"/>
              <w:rPr>
                <w:rFonts w:cstheme="minorHAnsi"/>
              </w:rPr>
            </w:pPr>
            <w:r w:rsidRPr="00BF60BC">
              <w:rPr>
                <w:rFonts w:cstheme="minorHAnsi"/>
              </w:rPr>
              <w:t>outcome</w:t>
            </w:r>
          </w:p>
        </w:tc>
        <w:tc>
          <w:tcPr>
            <w:tcW w:w="1738" w:type="dxa"/>
            <w:tcBorders>
              <w:left w:val="nil"/>
              <w:bottom w:val="nil"/>
              <w:right w:val="nil"/>
            </w:tcBorders>
            <w:vAlign w:val="center"/>
          </w:tcPr>
          <w:p w14:paraId="1C65D4EA" w14:textId="77777777" w:rsidR="00A44E8E" w:rsidRPr="00BF60BC" w:rsidRDefault="00A44E8E" w:rsidP="00655F22">
            <w:pPr>
              <w:jc w:val="both"/>
              <w:rPr>
                <w:rFonts w:cstheme="minorHAnsi"/>
              </w:rPr>
            </w:pPr>
          </w:p>
        </w:tc>
        <w:tc>
          <w:tcPr>
            <w:tcW w:w="1747" w:type="dxa"/>
            <w:tcBorders>
              <w:left w:val="nil"/>
              <w:bottom w:val="nil"/>
              <w:right w:val="nil"/>
            </w:tcBorders>
            <w:vAlign w:val="center"/>
          </w:tcPr>
          <w:p w14:paraId="09A5CB8F" w14:textId="77777777" w:rsidR="00A44E8E" w:rsidRPr="00BF60BC" w:rsidRDefault="00A44E8E" w:rsidP="00655F22">
            <w:pPr>
              <w:jc w:val="both"/>
              <w:rPr>
                <w:rFonts w:cstheme="minorHAnsi"/>
              </w:rPr>
            </w:pPr>
            <w:r w:rsidRPr="00BF60BC">
              <w:rPr>
                <w:rFonts w:cstheme="minorHAnsi"/>
              </w:rPr>
              <w:t>Reference outcome</w:t>
            </w:r>
          </w:p>
        </w:tc>
        <w:tc>
          <w:tcPr>
            <w:tcW w:w="1735" w:type="dxa"/>
            <w:tcBorders>
              <w:left w:val="nil"/>
              <w:bottom w:val="nil"/>
              <w:right w:val="nil"/>
            </w:tcBorders>
            <w:vAlign w:val="center"/>
          </w:tcPr>
          <w:p w14:paraId="387EE96B" w14:textId="77777777" w:rsidR="00A44E8E" w:rsidRPr="00BF60BC" w:rsidRDefault="00A44E8E" w:rsidP="00655F22">
            <w:pPr>
              <w:jc w:val="both"/>
              <w:rPr>
                <w:rFonts w:cstheme="minorHAnsi"/>
              </w:rPr>
            </w:pPr>
            <w:r w:rsidRPr="00BF60BC">
              <w:rPr>
                <w:rFonts w:cstheme="minorHAnsi"/>
              </w:rPr>
              <w:t>Reference outcome</w:t>
            </w:r>
          </w:p>
        </w:tc>
      </w:tr>
      <w:tr w:rsidR="00A44E8E" w:rsidRPr="00BF60BC" w14:paraId="3D43B88E" w14:textId="77777777" w:rsidTr="00AD119E">
        <w:trPr>
          <w:trHeight w:val="210"/>
        </w:trPr>
        <w:tc>
          <w:tcPr>
            <w:tcW w:w="1597" w:type="dxa"/>
            <w:tcBorders>
              <w:top w:val="nil"/>
              <w:left w:val="nil"/>
              <w:bottom w:val="nil"/>
              <w:right w:val="nil"/>
            </w:tcBorders>
          </w:tcPr>
          <w:p w14:paraId="2077DE56" w14:textId="77777777" w:rsidR="00A44E8E" w:rsidRPr="00BF60BC" w:rsidRDefault="00A44E8E" w:rsidP="00655F22">
            <w:pPr>
              <w:jc w:val="both"/>
              <w:rPr>
                <w:rFonts w:cstheme="minorHAnsi"/>
                <w:i/>
              </w:rPr>
            </w:pPr>
            <w:r w:rsidRPr="00BF60BC">
              <w:rPr>
                <w:rFonts w:cstheme="minorHAnsi"/>
                <w:i/>
              </w:rPr>
              <w:t>Lose weight</w:t>
            </w:r>
          </w:p>
          <w:p w14:paraId="31995E23" w14:textId="5EAC8095" w:rsidR="00A44E8E" w:rsidRPr="00BF60BC" w:rsidRDefault="00A44E8E" w:rsidP="00655F22">
            <w:pPr>
              <w:jc w:val="both"/>
              <w:rPr>
                <w:rFonts w:cstheme="minorHAnsi"/>
                <w:i/>
              </w:rPr>
            </w:pPr>
            <w:r w:rsidRPr="00BF60BC">
              <w:rPr>
                <w:rFonts w:cstheme="minorHAnsi"/>
                <w:i/>
              </w:rPr>
              <w:t>(</w:t>
            </w:r>
            <w:r w:rsidR="006D13FE" w:rsidRPr="00BF60BC">
              <w:rPr>
                <w:rFonts w:cstheme="minorHAnsi"/>
                <w:i/>
              </w:rPr>
              <w:t>2015 vs 2005</w:t>
            </w:r>
            <w:r w:rsidRPr="00BF60BC">
              <w:rPr>
                <w:rFonts w:cstheme="minorHAnsi"/>
                <w:i/>
              </w:rPr>
              <w:t>)</w:t>
            </w:r>
          </w:p>
        </w:tc>
        <w:tc>
          <w:tcPr>
            <w:tcW w:w="1747" w:type="dxa"/>
            <w:tcBorders>
              <w:top w:val="nil"/>
              <w:left w:val="nil"/>
              <w:bottom w:val="nil"/>
              <w:right w:val="nil"/>
            </w:tcBorders>
            <w:vAlign w:val="center"/>
          </w:tcPr>
          <w:p w14:paraId="63BD36D6" w14:textId="1263254C" w:rsidR="00A44E8E" w:rsidRPr="00BF60BC" w:rsidRDefault="00A44E8E" w:rsidP="00655F22">
            <w:pPr>
              <w:jc w:val="both"/>
              <w:rPr>
                <w:rFonts w:cstheme="minorHAnsi"/>
              </w:rPr>
            </w:pPr>
            <w:r w:rsidRPr="00BF60BC">
              <w:rPr>
                <w:rFonts w:cstheme="minorHAnsi"/>
              </w:rPr>
              <w:t>2.29 (2.10, 2.48)</w:t>
            </w:r>
          </w:p>
          <w:p w14:paraId="6CED8C93" w14:textId="54F88F15" w:rsidR="00A44E8E" w:rsidRPr="00BF60BC" w:rsidRDefault="00A44E8E" w:rsidP="00655F22">
            <w:pPr>
              <w:jc w:val="both"/>
              <w:rPr>
                <w:rFonts w:cstheme="minorHAnsi"/>
              </w:rPr>
            </w:pPr>
          </w:p>
        </w:tc>
        <w:tc>
          <w:tcPr>
            <w:tcW w:w="1756" w:type="dxa"/>
            <w:tcBorders>
              <w:top w:val="nil"/>
              <w:left w:val="nil"/>
              <w:bottom w:val="nil"/>
              <w:right w:val="nil"/>
            </w:tcBorders>
            <w:vAlign w:val="center"/>
          </w:tcPr>
          <w:p w14:paraId="3545E6BF" w14:textId="77777777" w:rsidR="00A44E8E" w:rsidRPr="00BF60BC" w:rsidRDefault="00A44E8E" w:rsidP="00655F22">
            <w:pPr>
              <w:jc w:val="both"/>
              <w:rPr>
                <w:rFonts w:cstheme="minorHAnsi"/>
              </w:rPr>
            </w:pPr>
            <w:r w:rsidRPr="00BF60BC">
              <w:rPr>
                <w:rFonts w:cstheme="minorHAnsi"/>
              </w:rPr>
              <w:t>2.18 (1.98, 2.38)</w:t>
            </w:r>
          </w:p>
          <w:p w14:paraId="05141FA4" w14:textId="7777E717" w:rsidR="00A44E8E" w:rsidRPr="00BF60BC" w:rsidRDefault="00A44E8E" w:rsidP="00655F22">
            <w:pPr>
              <w:jc w:val="both"/>
              <w:rPr>
                <w:rFonts w:cstheme="minorHAnsi"/>
              </w:rPr>
            </w:pPr>
          </w:p>
        </w:tc>
        <w:tc>
          <w:tcPr>
            <w:tcW w:w="1738" w:type="dxa"/>
            <w:tcBorders>
              <w:top w:val="nil"/>
              <w:left w:val="nil"/>
              <w:bottom w:val="nil"/>
              <w:right w:val="nil"/>
            </w:tcBorders>
            <w:vAlign w:val="center"/>
          </w:tcPr>
          <w:p w14:paraId="6B1F622E" w14:textId="429F9D97" w:rsidR="00AB69DD" w:rsidRPr="00BF60BC" w:rsidRDefault="00AB69DD" w:rsidP="00655F22">
            <w:pPr>
              <w:jc w:val="both"/>
              <w:rPr>
                <w:rFonts w:cstheme="minorHAnsi"/>
              </w:rPr>
            </w:pPr>
            <w:r w:rsidRPr="00BF60BC">
              <w:rPr>
                <w:rFonts w:cstheme="minorHAnsi"/>
              </w:rPr>
              <w:t>p&lt;0.001</w:t>
            </w:r>
          </w:p>
          <w:p w14:paraId="700E9B6F" w14:textId="2A1E7B40" w:rsidR="00A44E8E" w:rsidRPr="00BF60BC" w:rsidRDefault="00A44E8E" w:rsidP="00655F22">
            <w:pPr>
              <w:jc w:val="both"/>
              <w:rPr>
                <w:rFonts w:cstheme="minorHAnsi"/>
              </w:rPr>
            </w:pPr>
          </w:p>
        </w:tc>
        <w:tc>
          <w:tcPr>
            <w:tcW w:w="1747" w:type="dxa"/>
            <w:tcBorders>
              <w:top w:val="nil"/>
              <w:left w:val="nil"/>
              <w:bottom w:val="nil"/>
              <w:right w:val="nil"/>
            </w:tcBorders>
            <w:vAlign w:val="center"/>
          </w:tcPr>
          <w:p w14:paraId="7B6DEEC0" w14:textId="07E4FDBD" w:rsidR="00A44E8E" w:rsidRPr="00BF60BC" w:rsidRDefault="00A44E8E" w:rsidP="00655F22">
            <w:pPr>
              <w:jc w:val="both"/>
              <w:rPr>
                <w:rFonts w:cstheme="minorHAnsi"/>
              </w:rPr>
            </w:pPr>
            <w:r w:rsidRPr="00BF60BC">
              <w:rPr>
                <w:rFonts w:cstheme="minorHAnsi"/>
              </w:rPr>
              <w:t>2.75 (2.38, 3.19)</w:t>
            </w:r>
          </w:p>
          <w:p w14:paraId="436D3EA6" w14:textId="4A37889F" w:rsidR="00A44E8E" w:rsidRPr="00BF60BC" w:rsidRDefault="00A44E8E" w:rsidP="00655F22">
            <w:pPr>
              <w:jc w:val="both"/>
              <w:rPr>
                <w:rFonts w:cstheme="minorHAnsi"/>
              </w:rPr>
            </w:pPr>
          </w:p>
        </w:tc>
        <w:tc>
          <w:tcPr>
            <w:tcW w:w="1735" w:type="dxa"/>
            <w:tcBorders>
              <w:top w:val="nil"/>
              <w:left w:val="nil"/>
              <w:bottom w:val="nil"/>
              <w:right w:val="nil"/>
            </w:tcBorders>
            <w:vAlign w:val="center"/>
          </w:tcPr>
          <w:p w14:paraId="51094CBB" w14:textId="63437D41" w:rsidR="00A44E8E" w:rsidRPr="00BF60BC" w:rsidRDefault="00A44E8E" w:rsidP="00655F22">
            <w:pPr>
              <w:jc w:val="both"/>
              <w:rPr>
                <w:rFonts w:cstheme="minorHAnsi"/>
              </w:rPr>
            </w:pPr>
            <w:bookmarkStart w:id="26" w:name="_Hlk38545390"/>
            <w:r w:rsidRPr="00BF60BC">
              <w:rPr>
                <w:rFonts w:cstheme="minorHAnsi"/>
              </w:rPr>
              <w:t>1.70 (1.50, 1.92</w:t>
            </w:r>
            <w:bookmarkEnd w:id="26"/>
            <w:r w:rsidRPr="00BF60BC">
              <w:rPr>
                <w:rFonts w:cstheme="minorHAnsi"/>
              </w:rPr>
              <w:t>)</w:t>
            </w:r>
          </w:p>
          <w:p w14:paraId="6CD18762" w14:textId="3AC2F2CA" w:rsidR="00A44E8E" w:rsidRPr="00BF60BC" w:rsidRDefault="00A44E8E" w:rsidP="00655F22">
            <w:pPr>
              <w:jc w:val="both"/>
              <w:rPr>
                <w:rFonts w:cstheme="minorHAnsi"/>
              </w:rPr>
            </w:pPr>
          </w:p>
        </w:tc>
      </w:tr>
      <w:tr w:rsidR="00A44E8E" w:rsidRPr="00BF60BC" w14:paraId="5FCB5633" w14:textId="77777777" w:rsidTr="00AD119E">
        <w:trPr>
          <w:trHeight w:val="210"/>
        </w:trPr>
        <w:tc>
          <w:tcPr>
            <w:tcW w:w="1597" w:type="dxa"/>
            <w:tcBorders>
              <w:top w:val="nil"/>
              <w:left w:val="nil"/>
              <w:bottom w:val="nil"/>
              <w:right w:val="nil"/>
            </w:tcBorders>
          </w:tcPr>
          <w:p w14:paraId="6A0C0676" w14:textId="77777777" w:rsidR="00A44E8E" w:rsidRPr="00BF60BC" w:rsidRDefault="00A44E8E" w:rsidP="00655F22">
            <w:pPr>
              <w:jc w:val="both"/>
              <w:rPr>
                <w:rFonts w:cstheme="minorHAnsi"/>
                <w:i/>
              </w:rPr>
            </w:pPr>
            <w:r w:rsidRPr="00BF60BC">
              <w:rPr>
                <w:rFonts w:cstheme="minorHAnsi"/>
                <w:i/>
              </w:rPr>
              <w:t>Stay Same</w:t>
            </w:r>
          </w:p>
          <w:p w14:paraId="6A60C5C4" w14:textId="601D3DBF" w:rsidR="00A44E8E" w:rsidRPr="00BF60BC" w:rsidRDefault="006D13FE" w:rsidP="00655F22">
            <w:pPr>
              <w:jc w:val="both"/>
              <w:rPr>
                <w:rFonts w:cstheme="minorHAnsi"/>
                <w:i/>
              </w:rPr>
            </w:pPr>
            <w:r w:rsidRPr="00BF60BC">
              <w:rPr>
                <w:rFonts w:cstheme="minorHAnsi"/>
                <w:i/>
              </w:rPr>
              <w:t>(2015 vs 2005)</w:t>
            </w:r>
          </w:p>
        </w:tc>
        <w:tc>
          <w:tcPr>
            <w:tcW w:w="1747" w:type="dxa"/>
            <w:tcBorders>
              <w:top w:val="nil"/>
              <w:left w:val="nil"/>
              <w:bottom w:val="nil"/>
              <w:right w:val="nil"/>
            </w:tcBorders>
            <w:vAlign w:val="center"/>
          </w:tcPr>
          <w:p w14:paraId="1D8FD56F" w14:textId="35A04688" w:rsidR="00A44E8E" w:rsidRPr="00BF60BC" w:rsidRDefault="00A44E8E" w:rsidP="00655F22">
            <w:pPr>
              <w:jc w:val="both"/>
              <w:rPr>
                <w:rFonts w:cstheme="minorHAnsi"/>
              </w:rPr>
            </w:pPr>
            <w:r w:rsidRPr="00BF60BC">
              <w:rPr>
                <w:rFonts w:cstheme="minorHAnsi"/>
              </w:rPr>
              <w:t>1.51 (1.38, 1.64)</w:t>
            </w:r>
          </w:p>
          <w:p w14:paraId="31FBC603" w14:textId="79817331" w:rsidR="00A44E8E" w:rsidRPr="00BF60BC" w:rsidRDefault="00A44E8E" w:rsidP="00655F22">
            <w:pPr>
              <w:jc w:val="both"/>
              <w:rPr>
                <w:rFonts w:cstheme="minorHAnsi"/>
              </w:rPr>
            </w:pPr>
          </w:p>
        </w:tc>
        <w:tc>
          <w:tcPr>
            <w:tcW w:w="1756" w:type="dxa"/>
            <w:tcBorders>
              <w:top w:val="nil"/>
              <w:left w:val="nil"/>
              <w:bottom w:val="nil"/>
              <w:right w:val="nil"/>
            </w:tcBorders>
            <w:vAlign w:val="center"/>
          </w:tcPr>
          <w:p w14:paraId="22E82DE5" w14:textId="3BA83942" w:rsidR="00A44E8E" w:rsidRPr="00BF60BC" w:rsidRDefault="00A44E8E" w:rsidP="00655F22">
            <w:pPr>
              <w:jc w:val="both"/>
              <w:rPr>
                <w:rFonts w:cstheme="minorHAnsi"/>
              </w:rPr>
            </w:pPr>
            <w:r w:rsidRPr="00BF60BC">
              <w:rPr>
                <w:rFonts w:cstheme="minorHAnsi"/>
              </w:rPr>
              <w:t>1.52 (1.38, 1.68)</w:t>
            </w:r>
          </w:p>
          <w:p w14:paraId="403564A3" w14:textId="337CBEF3" w:rsidR="00A44E8E" w:rsidRPr="00BF60BC" w:rsidRDefault="00A44E8E" w:rsidP="00655F22">
            <w:pPr>
              <w:jc w:val="both"/>
              <w:rPr>
                <w:rFonts w:cstheme="minorHAnsi"/>
              </w:rPr>
            </w:pPr>
          </w:p>
        </w:tc>
        <w:tc>
          <w:tcPr>
            <w:tcW w:w="1738" w:type="dxa"/>
            <w:tcBorders>
              <w:top w:val="nil"/>
              <w:left w:val="nil"/>
              <w:bottom w:val="nil"/>
              <w:right w:val="nil"/>
            </w:tcBorders>
            <w:vAlign w:val="center"/>
          </w:tcPr>
          <w:p w14:paraId="2E067985" w14:textId="006D8E7D" w:rsidR="00AB69DD" w:rsidRPr="00BF60BC" w:rsidRDefault="00AB69DD" w:rsidP="00655F22">
            <w:pPr>
              <w:jc w:val="both"/>
              <w:rPr>
                <w:rFonts w:cstheme="minorHAnsi"/>
              </w:rPr>
            </w:pPr>
            <w:r w:rsidRPr="00BF60BC">
              <w:rPr>
                <w:rFonts w:cstheme="minorHAnsi"/>
              </w:rPr>
              <w:t>p&lt;0.001</w:t>
            </w:r>
          </w:p>
          <w:p w14:paraId="5B628EC4" w14:textId="0A701CFB" w:rsidR="00A44E8E" w:rsidRPr="00BF60BC" w:rsidRDefault="00A44E8E" w:rsidP="00655F22">
            <w:pPr>
              <w:jc w:val="both"/>
              <w:rPr>
                <w:rFonts w:cstheme="minorHAnsi"/>
              </w:rPr>
            </w:pPr>
          </w:p>
        </w:tc>
        <w:tc>
          <w:tcPr>
            <w:tcW w:w="1747" w:type="dxa"/>
            <w:tcBorders>
              <w:top w:val="nil"/>
              <w:left w:val="nil"/>
              <w:bottom w:val="nil"/>
              <w:right w:val="nil"/>
            </w:tcBorders>
            <w:vAlign w:val="center"/>
          </w:tcPr>
          <w:p w14:paraId="6F0BCEF7" w14:textId="69CF19C7" w:rsidR="00A44E8E" w:rsidRPr="00BF60BC" w:rsidRDefault="00A44E8E" w:rsidP="00655F22">
            <w:pPr>
              <w:jc w:val="both"/>
              <w:rPr>
                <w:rFonts w:cstheme="minorHAnsi"/>
              </w:rPr>
            </w:pPr>
            <w:r w:rsidRPr="00BF60BC">
              <w:rPr>
                <w:rFonts w:cstheme="minorHAnsi"/>
              </w:rPr>
              <w:t>1.89 (1.63, 2.16)</w:t>
            </w:r>
          </w:p>
          <w:p w14:paraId="330FCACC" w14:textId="7F8BEC26" w:rsidR="00A44E8E" w:rsidRPr="00BF60BC" w:rsidRDefault="00A44E8E" w:rsidP="00655F22">
            <w:pPr>
              <w:jc w:val="both"/>
              <w:rPr>
                <w:rFonts w:cstheme="minorHAnsi"/>
              </w:rPr>
            </w:pPr>
          </w:p>
        </w:tc>
        <w:tc>
          <w:tcPr>
            <w:tcW w:w="1735" w:type="dxa"/>
            <w:tcBorders>
              <w:top w:val="nil"/>
              <w:left w:val="nil"/>
              <w:bottom w:val="nil"/>
              <w:right w:val="nil"/>
            </w:tcBorders>
            <w:vAlign w:val="center"/>
          </w:tcPr>
          <w:p w14:paraId="7FE3D1B1" w14:textId="776169CE" w:rsidR="00A44E8E" w:rsidRPr="00BF60BC" w:rsidRDefault="00A44E8E" w:rsidP="00655F22">
            <w:pPr>
              <w:jc w:val="both"/>
              <w:rPr>
                <w:rFonts w:cstheme="minorHAnsi"/>
              </w:rPr>
            </w:pPr>
            <w:r w:rsidRPr="00BF60BC">
              <w:rPr>
                <w:rFonts w:cstheme="minorHAnsi"/>
              </w:rPr>
              <w:t>1.15 (1.00, 1.32),</w:t>
            </w:r>
          </w:p>
          <w:p w14:paraId="61F06E7B" w14:textId="25A41BF1" w:rsidR="00A44E8E" w:rsidRPr="00BF60BC" w:rsidRDefault="00A44E8E" w:rsidP="00655F22">
            <w:pPr>
              <w:jc w:val="both"/>
              <w:rPr>
                <w:rFonts w:cstheme="minorHAnsi"/>
              </w:rPr>
            </w:pPr>
          </w:p>
        </w:tc>
      </w:tr>
      <w:tr w:rsidR="00A44E8E" w:rsidRPr="00BF60BC" w14:paraId="45D79489" w14:textId="77777777" w:rsidTr="00AD119E">
        <w:trPr>
          <w:trHeight w:val="210"/>
        </w:trPr>
        <w:tc>
          <w:tcPr>
            <w:tcW w:w="1597" w:type="dxa"/>
            <w:tcBorders>
              <w:top w:val="nil"/>
              <w:left w:val="nil"/>
              <w:bottom w:val="single" w:sz="18" w:space="0" w:color="auto"/>
              <w:right w:val="nil"/>
            </w:tcBorders>
          </w:tcPr>
          <w:p w14:paraId="16B6C37D" w14:textId="77777777" w:rsidR="00A44E8E" w:rsidRPr="00BF60BC" w:rsidRDefault="00A44E8E" w:rsidP="00655F22">
            <w:pPr>
              <w:jc w:val="both"/>
              <w:rPr>
                <w:rFonts w:cstheme="minorHAnsi"/>
                <w:i/>
              </w:rPr>
            </w:pPr>
            <w:r w:rsidRPr="00BF60BC">
              <w:rPr>
                <w:rFonts w:cstheme="minorHAnsi"/>
                <w:i/>
              </w:rPr>
              <w:t>Gain weight</w:t>
            </w:r>
          </w:p>
          <w:p w14:paraId="7C764788" w14:textId="7BF4B0F2" w:rsidR="00A44E8E" w:rsidRPr="00BF60BC" w:rsidRDefault="006D13FE" w:rsidP="00655F22">
            <w:pPr>
              <w:jc w:val="both"/>
              <w:rPr>
                <w:rFonts w:cstheme="minorHAnsi"/>
                <w:i/>
              </w:rPr>
            </w:pPr>
            <w:r w:rsidRPr="00BF60BC">
              <w:rPr>
                <w:rFonts w:cstheme="minorHAnsi"/>
                <w:i/>
              </w:rPr>
              <w:t>(2015 vs 2005)</w:t>
            </w:r>
          </w:p>
        </w:tc>
        <w:tc>
          <w:tcPr>
            <w:tcW w:w="1747" w:type="dxa"/>
            <w:tcBorders>
              <w:top w:val="nil"/>
              <w:left w:val="nil"/>
              <w:bottom w:val="single" w:sz="18" w:space="0" w:color="auto"/>
              <w:right w:val="nil"/>
            </w:tcBorders>
            <w:vAlign w:val="center"/>
          </w:tcPr>
          <w:p w14:paraId="60A3244A" w14:textId="3A806ECE" w:rsidR="00A44E8E" w:rsidRPr="00BF60BC" w:rsidRDefault="00A44E8E" w:rsidP="00655F22">
            <w:pPr>
              <w:jc w:val="both"/>
              <w:rPr>
                <w:rFonts w:cstheme="minorHAnsi"/>
              </w:rPr>
            </w:pPr>
            <w:r w:rsidRPr="00BF60BC">
              <w:rPr>
                <w:rFonts w:cstheme="minorHAnsi"/>
              </w:rPr>
              <w:t>2.62 (2.24, 3.05)</w:t>
            </w:r>
          </w:p>
          <w:p w14:paraId="6DB41CB2" w14:textId="0F2BA2B5" w:rsidR="00A44E8E" w:rsidRPr="00BF60BC" w:rsidRDefault="00A44E8E" w:rsidP="00655F22">
            <w:pPr>
              <w:jc w:val="both"/>
              <w:rPr>
                <w:rFonts w:cstheme="minorHAnsi"/>
              </w:rPr>
            </w:pPr>
          </w:p>
        </w:tc>
        <w:tc>
          <w:tcPr>
            <w:tcW w:w="1756" w:type="dxa"/>
            <w:tcBorders>
              <w:top w:val="nil"/>
              <w:left w:val="nil"/>
              <w:bottom w:val="single" w:sz="18" w:space="0" w:color="auto"/>
              <w:right w:val="nil"/>
            </w:tcBorders>
            <w:vAlign w:val="center"/>
          </w:tcPr>
          <w:p w14:paraId="31BDD57F" w14:textId="0217BE92" w:rsidR="00A44E8E" w:rsidRPr="00BF60BC" w:rsidRDefault="00A44E8E" w:rsidP="00655F22">
            <w:pPr>
              <w:jc w:val="both"/>
              <w:rPr>
                <w:rFonts w:cstheme="minorHAnsi"/>
              </w:rPr>
            </w:pPr>
            <w:r w:rsidRPr="00BF60BC">
              <w:rPr>
                <w:rFonts w:cstheme="minorHAnsi"/>
              </w:rPr>
              <w:t>1.99 (1.67, 2.36)</w:t>
            </w:r>
          </w:p>
          <w:p w14:paraId="5AB4344A" w14:textId="2F8A7862" w:rsidR="00A44E8E" w:rsidRPr="00BF60BC" w:rsidRDefault="00A44E8E" w:rsidP="00655F22">
            <w:pPr>
              <w:jc w:val="both"/>
              <w:rPr>
                <w:rFonts w:cstheme="minorHAnsi"/>
              </w:rPr>
            </w:pPr>
          </w:p>
        </w:tc>
        <w:tc>
          <w:tcPr>
            <w:tcW w:w="1738" w:type="dxa"/>
            <w:tcBorders>
              <w:top w:val="nil"/>
              <w:left w:val="nil"/>
              <w:bottom w:val="single" w:sz="18" w:space="0" w:color="auto"/>
              <w:right w:val="nil"/>
            </w:tcBorders>
            <w:vAlign w:val="center"/>
          </w:tcPr>
          <w:p w14:paraId="4970B211" w14:textId="7288F749" w:rsidR="00AB69DD" w:rsidRPr="00BF60BC" w:rsidRDefault="00AB69DD" w:rsidP="00655F22">
            <w:pPr>
              <w:jc w:val="both"/>
              <w:rPr>
                <w:rFonts w:cstheme="minorHAnsi"/>
              </w:rPr>
            </w:pPr>
            <w:r w:rsidRPr="00BF60BC">
              <w:rPr>
                <w:rFonts w:cstheme="minorHAnsi"/>
              </w:rPr>
              <w:t>P=0.01</w:t>
            </w:r>
          </w:p>
          <w:p w14:paraId="4E46DBD7" w14:textId="3663D34E" w:rsidR="00A44E8E" w:rsidRPr="00BF60BC" w:rsidRDefault="00A44E8E" w:rsidP="00655F22">
            <w:pPr>
              <w:jc w:val="both"/>
              <w:rPr>
                <w:rFonts w:cstheme="minorHAnsi"/>
              </w:rPr>
            </w:pPr>
          </w:p>
        </w:tc>
        <w:tc>
          <w:tcPr>
            <w:tcW w:w="1747" w:type="dxa"/>
            <w:tcBorders>
              <w:top w:val="nil"/>
              <w:left w:val="nil"/>
              <w:bottom w:val="single" w:sz="18" w:space="0" w:color="auto"/>
              <w:right w:val="nil"/>
            </w:tcBorders>
            <w:vAlign w:val="center"/>
          </w:tcPr>
          <w:p w14:paraId="0F6CA299" w14:textId="036B47EC" w:rsidR="00A44E8E" w:rsidRPr="00BF60BC" w:rsidRDefault="00A44E8E" w:rsidP="00655F22">
            <w:pPr>
              <w:jc w:val="both"/>
              <w:rPr>
                <w:rFonts w:cstheme="minorHAnsi"/>
              </w:rPr>
            </w:pPr>
            <w:r w:rsidRPr="00BF60BC">
              <w:rPr>
                <w:rFonts w:cstheme="minorHAnsi"/>
              </w:rPr>
              <w:t>2.32 (1.89, 2.85)</w:t>
            </w:r>
          </w:p>
          <w:p w14:paraId="55A672BD" w14:textId="1E41759E" w:rsidR="00A44E8E" w:rsidRPr="00BF60BC" w:rsidRDefault="00A44E8E" w:rsidP="00655F22">
            <w:pPr>
              <w:jc w:val="both"/>
              <w:rPr>
                <w:rFonts w:cstheme="minorHAnsi"/>
              </w:rPr>
            </w:pPr>
          </w:p>
        </w:tc>
        <w:tc>
          <w:tcPr>
            <w:tcW w:w="1735" w:type="dxa"/>
            <w:tcBorders>
              <w:top w:val="nil"/>
              <w:left w:val="nil"/>
              <w:bottom w:val="single" w:sz="18" w:space="0" w:color="auto"/>
              <w:right w:val="nil"/>
            </w:tcBorders>
            <w:vAlign w:val="center"/>
          </w:tcPr>
          <w:p w14:paraId="6D8CAE79" w14:textId="6F24FFD7" w:rsidR="00A44E8E" w:rsidRPr="00BF60BC" w:rsidRDefault="00A44E8E" w:rsidP="00655F22">
            <w:pPr>
              <w:jc w:val="both"/>
              <w:rPr>
                <w:rFonts w:cstheme="minorHAnsi"/>
              </w:rPr>
            </w:pPr>
            <w:r w:rsidRPr="00BF60BC">
              <w:rPr>
                <w:rFonts w:cstheme="minorHAnsi"/>
              </w:rPr>
              <w:t>1.53 (1.14, 2.07),</w:t>
            </w:r>
          </w:p>
          <w:p w14:paraId="490E54CA" w14:textId="05E819B2" w:rsidR="00A44E8E" w:rsidRPr="00BF60BC" w:rsidRDefault="00A44E8E" w:rsidP="00655F22">
            <w:pPr>
              <w:jc w:val="both"/>
              <w:rPr>
                <w:rFonts w:cstheme="minorHAnsi"/>
              </w:rPr>
            </w:pPr>
          </w:p>
        </w:tc>
      </w:tr>
      <w:tr w:rsidR="00A44E8E" w:rsidRPr="00BF60BC" w14:paraId="5642B70F" w14:textId="77777777" w:rsidTr="00AD119E">
        <w:trPr>
          <w:trHeight w:val="210"/>
        </w:trPr>
        <w:tc>
          <w:tcPr>
            <w:tcW w:w="10320" w:type="dxa"/>
            <w:gridSpan w:val="6"/>
            <w:tcBorders>
              <w:top w:val="single" w:sz="18" w:space="0" w:color="auto"/>
              <w:left w:val="nil"/>
              <w:bottom w:val="single" w:sz="4" w:space="0" w:color="auto"/>
              <w:right w:val="nil"/>
            </w:tcBorders>
            <w:shd w:val="clear" w:color="auto" w:fill="E7E6E6" w:themeFill="background2"/>
            <w:vAlign w:val="center"/>
          </w:tcPr>
          <w:p w14:paraId="7A6A2CB9" w14:textId="09B19D90" w:rsidR="00A44E8E" w:rsidRPr="00BF60BC" w:rsidRDefault="00A44E8E" w:rsidP="00655F22">
            <w:pPr>
              <w:jc w:val="both"/>
              <w:rPr>
                <w:rFonts w:cstheme="minorHAnsi"/>
                <w:vertAlign w:val="superscript"/>
              </w:rPr>
            </w:pPr>
            <w:r w:rsidRPr="00BF60BC">
              <w:rPr>
                <w:rFonts w:cstheme="minorHAnsi"/>
                <w:b/>
              </w:rPr>
              <w:t xml:space="preserve">Do you think you are: </w:t>
            </w:r>
            <w:r w:rsidRPr="00BF60BC">
              <w:rPr>
                <w:rFonts w:cstheme="minorHAnsi"/>
              </w:rPr>
              <w:t xml:space="preserve">(Comparing </w:t>
            </w:r>
            <w:r w:rsidR="006D13FE" w:rsidRPr="00BF60BC">
              <w:rPr>
                <w:rFonts w:cstheme="minorHAnsi"/>
              </w:rPr>
              <w:t>2015 and 2005</w:t>
            </w:r>
            <w:r w:rsidRPr="00BF60BC">
              <w:rPr>
                <w:rFonts w:cstheme="minorHAnsi"/>
              </w:rPr>
              <w:t xml:space="preserve"> to </w:t>
            </w:r>
            <w:proofErr w:type="gramStart"/>
            <w:r w:rsidR="006D13FE" w:rsidRPr="00BF60BC">
              <w:rPr>
                <w:rFonts w:cstheme="minorHAnsi"/>
              </w:rPr>
              <w:t>1986</w:t>
            </w:r>
            <w:r w:rsidRPr="00BF60BC">
              <w:rPr>
                <w:rFonts w:cstheme="minorHAnsi"/>
              </w:rPr>
              <w:t>)</w:t>
            </w:r>
            <w:r w:rsidRPr="00BF60BC">
              <w:rPr>
                <w:rFonts w:cstheme="minorHAnsi"/>
                <w:vertAlign w:val="superscript"/>
              </w:rPr>
              <w:t>d</w:t>
            </w:r>
            <w:proofErr w:type="gramEnd"/>
          </w:p>
        </w:tc>
      </w:tr>
      <w:tr w:rsidR="00A44E8E" w:rsidRPr="00BF60BC" w14:paraId="200EBA0D" w14:textId="77777777" w:rsidTr="00AD119E">
        <w:trPr>
          <w:trHeight w:val="210"/>
        </w:trPr>
        <w:tc>
          <w:tcPr>
            <w:tcW w:w="1597" w:type="dxa"/>
            <w:tcBorders>
              <w:top w:val="single" w:sz="4" w:space="0" w:color="auto"/>
              <w:left w:val="nil"/>
              <w:bottom w:val="nil"/>
              <w:right w:val="nil"/>
            </w:tcBorders>
            <w:vAlign w:val="center"/>
          </w:tcPr>
          <w:p w14:paraId="58758C0C" w14:textId="77777777" w:rsidR="00A44E8E" w:rsidRPr="00BF60BC" w:rsidRDefault="00A44E8E" w:rsidP="00655F22">
            <w:pPr>
              <w:jc w:val="both"/>
              <w:rPr>
                <w:rFonts w:cstheme="minorHAnsi"/>
                <w:i/>
              </w:rPr>
            </w:pPr>
            <w:r w:rsidRPr="00BF60BC">
              <w:rPr>
                <w:rFonts w:cstheme="minorHAnsi"/>
                <w:i/>
              </w:rPr>
              <w:t>Underweight</w:t>
            </w:r>
          </w:p>
          <w:p w14:paraId="308A7AC8" w14:textId="55E7A30B" w:rsidR="00A44E8E" w:rsidRPr="00BF60BC" w:rsidRDefault="00A44E8E" w:rsidP="00655F22">
            <w:pPr>
              <w:jc w:val="both"/>
              <w:rPr>
                <w:rFonts w:cstheme="minorHAnsi"/>
                <w:i/>
              </w:rPr>
            </w:pPr>
            <w:r w:rsidRPr="00BF60BC">
              <w:rPr>
                <w:rFonts w:cstheme="minorHAnsi"/>
                <w:i/>
              </w:rPr>
              <w:t>(</w:t>
            </w:r>
            <w:r w:rsidR="006D13FE" w:rsidRPr="00BF60BC">
              <w:rPr>
                <w:rFonts w:cstheme="minorHAnsi"/>
                <w:i/>
              </w:rPr>
              <w:t>2005</w:t>
            </w:r>
            <w:r w:rsidRPr="00BF60BC">
              <w:rPr>
                <w:rFonts w:cstheme="minorHAnsi"/>
                <w:i/>
              </w:rPr>
              <w:t xml:space="preserve"> vs </w:t>
            </w:r>
            <w:r w:rsidR="006D13FE" w:rsidRPr="00BF60BC">
              <w:rPr>
                <w:rFonts w:cstheme="minorHAnsi"/>
                <w:i/>
              </w:rPr>
              <w:t>1986</w:t>
            </w:r>
            <w:r w:rsidRPr="00BF60BC">
              <w:rPr>
                <w:rFonts w:cstheme="minorHAnsi"/>
                <w:i/>
              </w:rPr>
              <w:t>)</w:t>
            </w:r>
          </w:p>
        </w:tc>
        <w:tc>
          <w:tcPr>
            <w:tcW w:w="1747" w:type="dxa"/>
            <w:tcBorders>
              <w:top w:val="single" w:sz="4" w:space="0" w:color="auto"/>
              <w:left w:val="nil"/>
              <w:bottom w:val="nil"/>
              <w:right w:val="nil"/>
            </w:tcBorders>
            <w:vAlign w:val="center"/>
          </w:tcPr>
          <w:p w14:paraId="4B951D01" w14:textId="381681FC" w:rsidR="00A44E8E" w:rsidRPr="00BF60BC" w:rsidRDefault="00A44E8E" w:rsidP="00655F22">
            <w:pPr>
              <w:jc w:val="both"/>
              <w:rPr>
                <w:rFonts w:cstheme="minorHAnsi"/>
              </w:rPr>
            </w:pPr>
            <w:r w:rsidRPr="00BF60BC">
              <w:rPr>
                <w:rFonts w:cstheme="minorHAnsi"/>
              </w:rPr>
              <w:t>1.29 (1.15, 1.46)</w:t>
            </w:r>
          </w:p>
          <w:p w14:paraId="32867ABE" w14:textId="640C3453" w:rsidR="00A44E8E" w:rsidRPr="00BF60BC" w:rsidRDefault="00A44E8E" w:rsidP="00655F22">
            <w:pPr>
              <w:jc w:val="both"/>
              <w:rPr>
                <w:rFonts w:cstheme="minorHAnsi"/>
              </w:rPr>
            </w:pPr>
          </w:p>
        </w:tc>
        <w:tc>
          <w:tcPr>
            <w:tcW w:w="1756" w:type="dxa"/>
            <w:tcBorders>
              <w:top w:val="single" w:sz="4" w:space="0" w:color="auto"/>
              <w:left w:val="nil"/>
              <w:bottom w:val="nil"/>
              <w:right w:val="nil"/>
            </w:tcBorders>
            <w:vAlign w:val="center"/>
          </w:tcPr>
          <w:p w14:paraId="6C1F9A85" w14:textId="76D74C33" w:rsidR="00A44E8E" w:rsidRPr="00BF60BC" w:rsidRDefault="00A44E8E" w:rsidP="00655F22">
            <w:pPr>
              <w:jc w:val="both"/>
              <w:rPr>
                <w:rFonts w:cstheme="minorHAnsi"/>
              </w:rPr>
            </w:pPr>
            <w:r w:rsidRPr="00BF60BC">
              <w:rPr>
                <w:rFonts w:cstheme="minorHAnsi"/>
              </w:rPr>
              <w:t>1.49 (1.00, 2.21)</w:t>
            </w:r>
          </w:p>
          <w:p w14:paraId="1377D5CF" w14:textId="28AADC18" w:rsidR="00A44E8E" w:rsidRPr="00BF60BC" w:rsidRDefault="00A44E8E" w:rsidP="00655F22">
            <w:pPr>
              <w:jc w:val="both"/>
              <w:rPr>
                <w:rFonts w:cstheme="minorHAnsi"/>
              </w:rPr>
            </w:pPr>
          </w:p>
        </w:tc>
        <w:tc>
          <w:tcPr>
            <w:tcW w:w="1738" w:type="dxa"/>
            <w:tcBorders>
              <w:top w:val="single" w:sz="4" w:space="0" w:color="auto"/>
              <w:left w:val="nil"/>
              <w:bottom w:val="nil"/>
              <w:right w:val="nil"/>
            </w:tcBorders>
            <w:vAlign w:val="center"/>
          </w:tcPr>
          <w:p w14:paraId="7752127B" w14:textId="531A5C74" w:rsidR="00A44E8E" w:rsidRPr="00BF60BC" w:rsidRDefault="00AB69DD" w:rsidP="00655F22">
            <w:pPr>
              <w:jc w:val="both"/>
              <w:rPr>
                <w:rFonts w:cstheme="minorHAnsi"/>
              </w:rPr>
            </w:pPr>
            <w:r w:rsidRPr="00BF60BC">
              <w:rPr>
                <w:rFonts w:cstheme="minorHAnsi"/>
              </w:rPr>
              <w:t>p=0.73</w:t>
            </w:r>
          </w:p>
          <w:p w14:paraId="229BDFF0" w14:textId="76B13718" w:rsidR="00A44E8E" w:rsidRPr="00BF60BC" w:rsidRDefault="00A44E8E" w:rsidP="00655F22">
            <w:pPr>
              <w:jc w:val="both"/>
              <w:rPr>
                <w:rFonts w:cstheme="minorHAnsi"/>
              </w:rPr>
            </w:pPr>
          </w:p>
        </w:tc>
        <w:tc>
          <w:tcPr>
            <w:tcW w:w="1747" w:type="dxa"/>
            <w:tcBorders>
              <w:top w:val="single" w:sz="4" w:space="0" w:color="auto"/>
              <w:left w:val="nil"/>
              <w:bottom w:val="nil"/>
              <w:right w:val="nil"/>
            </w:tcBorders>
            <w:vAlign w:val="center"/>
          </w:tcPr>
          <w:p w14:paraId="50EAB95A" w14:textId="17665954" w:rsidR="00A44E8E" w:rsidRPr="00BF60BC" w:rsidRDefault="00A44E8E" w:rsidP="00655F22">
            <w:pPr>
              <w:jc w:val="both"/>
              <w:rPr>
                <w:rFonts w:cstheme="minorHAnsi"/>
              </w:rPr>
            </w:pPr>
            <w:r w:rsidRPr="00BF60BC">
              <w:rPr>
                <w:rFonts w:cstheme="minorHAnsi"/>
              </w:rPr>
              <w:t>1.89 (1.12, 3.18)</w:t>
            </w:r>
          </w:p>
          <w:p w14:paraId="57D59041" w14:textId="0022AA03" w:rsidR="00A44E8E" w:rsidRPr="00BF60BC" w:rsidRDefault="00A44E8E" w:rsidP="00655F22">
            <w:pPr>
              <w:jc w:val="both"/>
              <w:rPr>
                <w:rFonts w:cstheme="minorHAnsi"/>
              </w:rPr>
            </w:pPr>
          </w:p>
        </w:tc>
        <w:tc>
          <w:tcPr>
            <w:tcW w:w="1735" w:type="dxa"/>
            <w:tcBorders>
              <w:top w:val="single" w:sz="4" w:space="0" w:color="auto"/>
              <w:left w:val="nil"/>
              <w:bottom w:val="nil"/>
              <w:right w:val="nil"/>
            </w:tcBorders>
            <w:vAlign w:val="center"/>
          </w:tcPr>
          <w:p w14:paraId="370BF04B" w14:textId="223A9D63" w:rsidR="00A44E8E" w:rsidRPr="00BF60BC" w:rsidRDefault="00A44E8E" w:rsidP="00655F22">
            <w:pPr>
              <w:jc w:val="both"/>
              <w:rPr>
                <w:rFonts w:cstheme="minorHAnsi"/>
              </w:rPr>
            </w:pPr>
            <w:r w:rsidRPr="00BF60BC">
              <w:rPr>
                <w:rFonts w:cstheme="minorHAnsi"/>
              </w:rPr>
              <w:t>1.00 (0.54, 1.82)</w:t>
            </w:r>
          </w:p>
          <w:p w14:paraId="600E4F8D" w14:textId="56E37454" w:rsidR="00A44E8E" w:rsidRPr="00BF60BC" w:rsidRDefault="00A44E8E" w:rsidP="00655F22">
            <w:pPr>
              <w:jc w:val="both"/>
              <w:rPr>
                <w:rFonts w:cstheme="minorHAnsi"/>
              </w:rPr>
            </w:pPr>
          </w:p>
        </w:tc>
      </w:tr>
      <w:tr w:rsidR="00A44E8E" w:rsidRPr="00BF60BC" w14:paraId="413AC6A7" w14:textId="77777777" w:rsidTr="00AD119E">
        <w:trPr>
          <w:trHeight w:val="210"/>
        </w:trPr>
        <w:tc>
          <w:tcPr>
            <w:tcW w:w="1597" w:type="dxa"/>
            <w:tcBorders>
              <w:top w:val="nil"/>
              <w:left w:val="nil"/>
              <w:bottom w:val="nil"/>
              <w:right w:val="nil"/>
            </w:tcBorders>
            <w:vAlign w:val="center"/>
          </w:tcPr>
          <w:p w14:paraId="700458CA" w14:textId="77777777" w:rsidR="00A44E8E" w:rsidRPr="00BF60BC" w:rsidRDefault="00A44E8E" w:rsidP="00655F22">
            <w:pPr>
              <w:jc w:val="both"/>
              <w:rPr>
                <w:rFonts w:cstheme="minorHAnsi"/>
                <w:i/>
              </w:rPr>
            </w:pPr>
            <w:r w:rsidRPr="00BF60BC">
              <w:rPr>
                <w:rFonts w:cstheme="minorHAnsi"/>
                <w:i/>
              </w:rPr>
              <w:t>Underweight</w:t>
            </w:r>
          </w:p>
          <w:p w14:paraId="71CF35F1" w14:textId="09D4CD09" w:rsidR="00A44E8E" w:rsidRPr="00BF60BC" w:rsidRDefault="00A44E8E" w:rsidP="00655F22">
            <w:pPr>
              <w:jc w:val="both"/>
              <w:rPr>
                <w:rFonts w:cstheme="minorHAnsi"/>
                <w:i/>
              </w:rPr>
            </w:pPr>
            <w:r w:rsidRPr="00BF60BC">
              <w:rPr>
                <w:rFonts w:cstheme="minorHAnsi"/>
                <w:i/>
              </w:rPr>
              <w:t>(</w:t>
            </w:r>
            <w:r w:rsidR="006D13FE" w:rsidRPr="00BF60BC">
              <w:rPr>
                <w:rFonts w:cstheme="minorHAnsi"/>
                <w:i/>
              </w:rPr>
              <w:t>2015</w:t>
            </w:r>
            <w:r w:rsidRPr="00BF60BC">
              <w:rPr>
                <w:rFonts w:cstheme="minorHAnsi"/>
                <w:i/>
              </w:rPr>
              <w:t xml:space="preserve"> vs </w:t>
            </w:r>
            <w:r w:rsidR="006D13FE" w:rsidRPr="00BF60BC">
              <w:rPr>
                <w:rFonts w:cstheme="minorHAnsi"/>
                <w:i/>
              </w:rPr>
              <w:t>1986</w:t>
            </w:r>
            <w:r w:rsidRPr="00BF60BC">
              <w:rPr>
                <w:rFonts w:cstheme="minorHAnsi"/>
                <w:i/>
              </w:rPr>
              <w:t>)</w:t>
            </w:r>
          </w:p>
        </w:tc>
        <w:tc>
          <w:tcPr>
            <w:tcW w:w="1747" w:type="dxa"/>
            <w:tcBorders>
              <w:top w:val="nil"/>
              <w:left w:val="nil"/>
              <w:bottom w:val="nil"/>
              <w:right w:val="nil"/>
            </w:tcBorders>
            <w:vAlign w:val="center"/>
          </w:tcPr>
          <w:p w14:paraId="3555426E" w14:textId="534DD2A4" w:rsidR="00A44E8E" w:rsidRPr="00BF60BC" w:rsidRDefault="00A44E8E" w:rsidP="00655F22">
            <w:pPr>
              <w:jc w:val="both"/>
              <w:rPr>
                <w:rFonts w:cstheme="minorHAnsi"/>
              </w:rPr>
            </w:pPr>
            <w:r w:rsidRPr="00BF60BC">
              <w:rPr>
                <w:rFonts w:cstheme="minorHAnsi"/>
              </w:rPr>
              <w:t>0.64 (0.57, 0.72)</w:t>
            </w:r>
          </w:p>
          <w:p w14:paraId="22E254BF" w14:textId="40A4C8E0" w:rsidR="00A44E8E" w:rsidRPr="00BF60BC" w:rsidRDefault="00A44E8E" w:rsidP="00655F22">
            <w:pPr>
              <w:jc w:val="both"/>
              <w:rPr>
                <w:rFonts w:cstheme="minorHAnsi"/>
              </w:rPr>
            </w:pPr>
          </w:p>
        </w:tc>
        <w:tc>
          <w:tcPr>
            <w:tcW w:w="1756" w:type="dxa"/>
            <w:tcBorders>
              <w:top w:val="nil"/>
              <w:left w:val="nil"/>
              <w:bottom w:val="nil"/>
              <w:right w:val="nil"/>
            </w:tcBorders>
            <w:vAlign w:val="center"/>
          </w:tcPr>
          <w:p w14:paraId="5FD9F49B" w14:textId="530F7B3E" w:rsidR="00A44E8E" w:rsidRPr="00BF60BC" w:rsidRDefault="00A44E8E" w:rsidP="00655F22">
            <w:pPr>
              <w:jc w:val="both"/>
              <w:rPr>
                <w:rFonts w:cstheme="minorHAnsi"/>
              </w:rPr>
            </w:pPr>
            <w:r w:rsidRPr="00BF60BC">
              <w:rPr>
                <w:rFonts w:cstheme="minorHAnsi"/>
              </w:rPr>
              <w:t>0.72 (0.51, 1.03)</w:t>
            </w:r>
          </w:p>
          <w:p w14:paraId="4789DA9D" w14:textId="2BA04EED" w:rsidR="00A44E8E" w:rsidRPr="00BF60BC" w:rsidRDefault="00A44E8E" w:rsidP="00655F22">
            <w:pPr>
              <w:jc w:val="both"/>
              <w:rPr>
                <w:rFonts w:cstheme="minorHAnsi"/>
              </w:rPr>
            </w:pPr>
          </w:p>
        </w:tc>
        <w:tc>
          <w:tcPr>
            <w:tcW w:w="1738" w:type="dxa"/>
            <w:tcBorders>
              <w:top w:val="nil"/>
              <w:left w:val="nil"/>
              <w:bottom w:val="nil"/>
              <w:right w:val="nil"/>
            </w:tcBorders>
            <w:vAlign w:val="center"/>
          </w:tcPr>
          <w:p w14:paraId="0E949FFD" w14:textId="56AC301F" w:rsidR="00A44E8E" w:rsidRPr="00BF60BC" w:rsidRDefault="00AB69DD" w:rsidP="00655F22">
            <w:pPr>
              <w:jc w:val="both"/>
              <w:rPr>
                <w:rFonts w:cstheme="minorHAnsi"/>
              </w:rPr>
            </w:pPr>
            <w:r w:rsidRPr="00BF60BC">
              <w:rPr>
                <w:rFonts w:cstheme="minorHAnsi"/>
              </w:rPr>
              <w:t>p=0.22</w:t>
            </w:r>
          </w:p>
          <w:p w14:paraId="76CA7669" w14:textId="475B74F6" w:rsidR="00A44E8E" w:rsidRPr="00BF60BC" w:rsidRDefault="00A44E8E" w:rsidP="00655F22">
            <w:pPr>
              <w:jc w:val="both"/>
              <w:rPr>
                <w:rFonts w:cstheme="minorHAnsi"/>
              </w:rPr>
            </w:pPr>
          </w:p>
        </w:tc>
        <w:tc>
          <w:tcPr>
            <w:tcW w:w="1747" w:type="dxa"/>
            <w:tcBorders>
              <w:top w:val="nil"/>
              <w:left w:val="nil"/>
              <w:bottom w:val="nil"/>
              <w:right w:val="nil"/>
            </w:tcBorders>
            <w:vAlign w:val="center"/>
          </w:tcPr>
          <w:p w14:paraId="502DA19D" w14:textId="390FAB78" w:rsidR="00A44E8E" w:rsidRPr="00BF60BC" w:rsidRDefault="00A44E8E" w:rsidP="00655F22">
            <w:pPr>
              <w:jc w:val="both"/>
              <w:rPr>
                <w:rFonts w:cstheme="minorHAnsi"/>
              </w:rPr>
            </w:pPr>
            <w:r w:rsidRPr="00BF60BC">
              <w:rPr>
                <w:rFonts w:cstheme="minorHAnsi"/>
              </w:rPr>
              <w:t>0.97 (0.61, 1.53)</w:t>
            </w:r>
          </w:p>
          <w:p w14:paraId="019DED77" w14:textId="23E3EE79" w:rsidR="00A44E8E" w:rsidRPr="00BF60BC" w:rsidRDefault="00A44E8E" w:rsidP="00655F22">
            <w:pPr>
              <w:jc w:val="both"/>
              <w:rPr>
                <w:rFonts w:cstheme="minorHAnsi"/>
              </w:rPr>
            </w:pPr>
          </w:p>
        </w:tc>
        <w:tc>
          <w:tcPr>
            <w:tcW w:w="1735" w:type="dxa"/>
            <w:tcBorders>
              <w:top w:val="nil"/>
              <w:left w:val="nil"/>
              <w:bottom w:val="nil"/>
              <w:right w:val="nil"/>
            </w:tcBorders>
            <w:vAlign w:val="center"/>
          </w:tcPr>
          <w:p w14:paraId="22AB9126" w14:textId="048C4357" w:rsidR="00A44E8E" w:rsidRPr="00BF60BC" w:rsidRDefault="00A44E8E" w:rsidP="00655F22">
            <w:pPr>
              <w:jc w:val="both"/>
              <w:rPr>
                <w:rFonts w:cstheme="minorHAnsi"/>
              </w:rPr>
            </w:pPr>
            <w:r w:rsidRPr="00BF60BC">
              <w:rPr>
                <w:rFonts w:cstheme="minorHAnsi"/>
              </w:rPr>
              <w:t>0.43 (0.25, 0.76)</w:t>
            </w:r>
          </w:p>
          <w:p w14:paraId="2AEC2B02" w14:textId="4B25253A" w:rsidR="00A44E8E" w:rsidRPr="00BF60BC" w:rsidRDefault="00A44E8E" w:rsidP="00655F22">
            <w:pPr>
              <w:jc w:val="both"/>
              <w:rPr>
                <w:rFonts w:cstheme="minorHAnsi"/>
              </w:rPr>
            </w:pPr>
          </w:p>
        </w:tc>
      </w:tr>
      <w:tr w:rsidR="00A44E8E" w:rsidRPr="00BF60BC" w14:paraId="6E8A9821" w14:textId="77777777" w:rsidTr="00AD119E">
        <w:trPr>
          <w:trHeight w:val="210"/>
        </w:trPr>
        <w:tc>
          <w:tcPr>
            <w:tcW w:w="1597" w:type="dxa"/>
            <w:tcBorders>
              <w:top w:val="nil"/>
              <w:left w:val="nil"/>
              <w:bottom w:val="nil"/>
              <w:right w:val="nil"/>
            </w:tcBorders>
            <w:vAlign w:val="center"/>
          </w:tcPr>
          <w:p w14:paraId="06E3CB7A" w14:textId="77777777" w:rsidR="00A44E8E" w:rsidRPr="00BF60BC" w:rsidRDefault="00A44E8E" w:rsidP="00655F22">
            <w:pPr>
              <w:jc w:val="both"/>
              <w:rPr>
                <w:rFonts w:cstheme="minorHAnsi"/>
                <w:i/>
              </w:rPr>
            </w:pPr>
            <w:r w:rsidRPr="00BF60BC">
              <w:rPr>
                <w:rFonts w:cstheme="minorHAnsi"/>
                <w:i/>
              </w:rPr>
              <w:t>About the right weight</w:t>
            </w:r>
          </w:p>
        </w:tc>
        <w:tc>
          <w:tcPr>
            <w:tcW w:w="1747" w:type="dxa"/>
            <w:tcBorders>
              <w:top w:val="nil"/>
              <w:left w:val="nil"/>
              <w:bottom w:val="nil"/>
              <w:right w:val="nil"/>
            </w:tcBorders>
            <w:vAlign w:val="center"/>
          </w:tcPr>
          <w:p w14:paraId="6C01B82C" w14:textId="77777777" w:rsidR="00A44E8E" w:rsidRPr="00BF60BC" w:rsidRDefault="00A44E8E" w:rsidP="00655F22">
            <w:pPr>
              <w:jc w:val="both"/>
              <w:rPr>
                <w:rFonts w:cstheme="minorHAnsi"/>
              </w:rPr>
            </w:pPr>
            <w:r w:rsidRPr="00BF60BC">
              <w:rPr>
                <w:rFonts w:cstheme="minorHAnsi"/>
              </w:rPr>
              <w:t>Reference outcome</w:t>
            </w:r>
          </w:p>
        </w:tc>
        <w:tc>
          <w:tcPr>
            <w:tcW w:w="1756" w:type="dxa"/>
            <w:tcBorders>
              <w:top w:val="nil"/>
              <w:left w:val="nil"/>
              <w:bottom w:val="nil"/>
              <w:right w:val="nil"/>
            </w:tcBorders>
            <w:vAlign w:val="center"/>
          </w:tcPr>
          <w:p w14:paraId="19035A4F" w14:textId="7977CC9E" w:rsidR="00A44E8E" w:rsidRPr="00BF60BC" w:rsidRDefault="00A44E8E" w:rsidP="00655F22">
            <w:pPr>
              <w:jc w:val="both"/>
              <w:rPr>
                <w:rFonts w:cstheme="minorHAnsi"/>
              </w:rPr>
            </w:pPr>
            <w:r w:rsidRPr="00BF60BC">
              <w:rPr>
                <w:rFonts w:cstheme="minorHAnsi"/>
              </w:rPr>
              <w:t>Reference</w:t>
            </w:r>
          </w:p>
          <w:p w14:paraId="30AC58F3" w14:textId="77777777" w:rsidR="00A44E8E" w:rsidRPr="00BF60BC" w:rsidRDefault="00A44E8E" w:rsidP="00655F22">
            <w:pPr>
              <w:jc w:val="both"/>
              <w:rPr>
                <w:rFonts w:cstheme="minorHAnsi"/>
              </w:rPr>
            </w:pPr>
            <w:r w:rsidRPr="00BF60BC">
              <w:rPr>
                <w:rFonts w:cstheme="minorHAnsi"/>
              </w:rPr>
              <w:t>outcome</w:t>
            </w:r>
          </w:p>
        </w:tc>
        <w:tc>
          <w:tcPr>
            <w:tcW w:w="1738" w:type="dxa"/>
            <w:tcBorders>
              <w:top w:val="nil"/>
              <w:left w:val="nil"/>
              <w:bottom w:val="nil"/>
              <w:right w:val="nil"/>
            </w:tcBorders>
            <w:vAlign w:val="center"/>
          </w:tcPr>
          <w:p w14:paraId="5EDD2A5B" w14:textId="77777777" w:rsidR="00A44E8E" w:rsidRPr="00BF60BC" w:rsidRDefault="00A44E8E" w:rsidP="00655F22">
            <w:pPr>
              <w:jc w:val="both"/>
              <w:rPr>
                <w:rFonts w:cstheme="minorHAnsi"/>
              </w:rPr>
            </w:pPr>
            <w:r w:rsidRPr="00BF60BC">
              <w:rPr>
                <w:rFonts w:cstheme="minorHAnsi"/>
              </w:rPr>
              <w:t>Reference outcome</w:t>
            </w:r>
          </w:p>
        </w:tc>
        <w:tc>
          <w:tcPr>
            <w:tcW w:w="1747" w:type="dxa"/>
            <w:tcBorders>
              <w:top w:val="nil"/>
              <w:left w:val="nil"/>
              <w:bottom w:val="nil"/>
              <w:right w:val="nil"/>
            </w:tcBorders>
            <w:vAlign w:val="center"/>
          </w:tcPr>
          <w:p w14:paraId="65AEDB38" w14:textId="77777777" w:rsidR="00A44E8E" w:rsidRPr="00BF60BC" w:rsidRDefault="00A44E8E" w:rsidP="00655F22">
            <w:pPr>
              <w:jc w:val="both"/>
              <w:rPr>
                <w:rFonts w:cstheme="minorHAnsi"/>
              </w:rPr>
            </w:pPr>
            <w:r w:rsidRPr="00BF60BC">
              <w:rPr>
                <w:rFonts w:cstheme="minorHAnsi"/>
              </w:rPr>
              <w:t>Reference outcome</w:t>
            </w:r>
          </w:p>
        </w:tc>
        <w:tc>
          <w:tcPr>
            <w:tcW w:w="1735" w:type="dxa"/>
            <w:tcBorders>
              <w:top w:val="nil"/>
              <w:left w:val="nil"/>
              <w:bottom w:val="nil"/>
              <w:right w:val="nil"/>
            </w:tcBorders>
            <w:vAlign w:val="center"/>
          </w:tcPr>
          <w:p w14:paraId="001CDE58" w14:textId="77777777" w:rsidR="00A44E8E" w:rsidRPr="00BF60BC" w:rsidRDefault="00A44E8E" w:rsidP="00655F22">
            <w:pPr>
              <w:jc w:val="both"/>
              <w:rPr>
                <w:rFonts w:cstheme="minorHAnsi"/>
              </w:rPr>
            </w:pPr>
            <w:r w:rsidRPr="00BF60BC">
              <w:rPr>
                <w:rFonts w:cstheme="minorHAnsi"/>
              </w:rPr>
              <w:t>Reference outcome</w:t>
            </w:r>
          </w:p>
        </w:tc>
      </w:tr>
      <w:tr w:rsidR="00A44E8E" w:rsidRPr="00BF60BC" w14:paraId="10772683" w14:textId="77777777" w:rsidTr="00AD119E">
        <w:trPr>
          <w:trHeight w:val="210"/>
        </w:trPr>
        <w:tc>
          <w:tcPr>
            <w:tcW w:w="1597" w:type="dxa"/>
            <w:tcBorders>
              <w:top w:val="nil"/>
              <w:left w:val="nil"/>
              <w:bottom w:val="nil"/>
              <w:right w:val="nil"/>
            </w:tcBorders>
            <w:vAlign w:val="center"/>
          </w:tcPr>
          <w:p w14:paraId="55FB12BD" w14:textId="77777777" w:rsidR="00A44E8E" w:rsidRPr="00BF60BC" w:rsidRDefault="00A44E8E" w:rsidP="00655F22">
            <w:pPr>
              <w:jc w:val="both"/>
              <w:rPr>
                <w:rFonts w:cstheme="minorHAnsi"/>
                <w:i/>
              </w:rPr>
            </w:pPr>
            <w:r w:rsidRPr="00BF60BC">
              <w:rPr>
                <w:rFonts w:cstheme="minorHAnsi"/>
                <w:i/>
              </w:rPr>
              <w:t>Overweight</w:t>
            </w:r>
          </w:p>
          <w:p w14:paraId="1C0AC257" w14:textId="083D558C" w:rsidR="00A44E8E" w:rsidRPr="00BF60BC" w:rsidRDefault="006D13FE" w:rsidP="00655F22">
            <w:pPr>
              <w:jc w:val="both"/>
              <w:rPr>
                <w:rFonts w:cstheme="minorHAnsi"/>
                <w:i/>
              </w:rPr>
            </w:pPr>
            <w:r w:rsidRPr="00BF60BC">
              <w:rPr>
                <w:rFonts w:cstheme="minorHAnsi"/>
                <w:i/>
              </w:rPr>
              <w:t>(2005 vs 1986)</w:t>
            </w:r>
          </w:p>
        </w:tc>
        <w:tc>
          <w:tcPr>
            <w:tcW w:w="1747" w:type="dxa"/>
            <w:tcBorders>
              <w:top w:val="nil"/>
              <w:left w:val="nil"/>
              <w:bottom w:val="nil"/>
              <w:right w:val="nil"/>
            </w:tcBorders>
            <w:vAlign w:val="center"/>
          </w:tcPr>
          <w:p w14:paraId="63CE49BD" w14:textId="12950F4C" w:rsidR="00A44E8E" w:rsidRPr="00BF60BC" w:rsidRDefault="00A44E8E" w:rsidP="00655F22">
            <w:pPr>
              <w:jc w:val="both"/>
              <w:rPr>
                <w:rFonts w:cstheme="minorHAnsi"/>
              </w:rPr>
            </w:pPr>
            <w:r w:rsidRPr="00BF60BC">
              <w:rPr>
                <w:rFonts w:cstheme="minorHAnsi"/>
              </w:rPr>
              <w:t>1.36 (1.24, 1.49)</w:t>
            </w:r>
          </w:p>
          <w:p w14:paraId="7BEFB218" w14:textId="31979514" w:rsidR="00A44E8E" w:rsidRPr="00BF60BC" w:rsidRDefault="00A44E8E" w:rsidP="00655F22">
            <w:pPr>
              <w:jc w:val="both"/>
              <w:rPr>
                <w:rFonts w:cstheme="minorHAnsi"/>
              </w:rPr>
            </w:pPr>
          </w:p>
        </w:tc>
        <w:tc>
          <w:tcPr>
            <w:tcW w:w="1756" w:type="dxa"/>
            <w:tcBorders>
              <w:top w:val="nil"/>
              <w:left w:val="nil"/>
              <w:bottom w:val="nil"/>
              <w:right w:val="nil"/>
            </w:tcBorders>
            <w:vAlign w:val="center"/>
          </w:tcPr>
          <w:p w14:paraId="35904C23" w14:textId="36A001BD" w:rsidR="00A44E8E" w:rsidRPr="00BF60BC" w:rsidRDefault="00A44E8E" w:rsidP="00655F22">
            <w:pPr>
              <w:jc w:val="both"/>
              <w:rPr>
                <w:rFonts w:cstheme="minorHAnsi"/>
              </w:rPr>
            </w:pPr>
            <w:r w:rsidRPr="00BF60BC">
              <w:rPr>
                <w:rFonts w:cstheme="minorHAnsi"/>
              </w:rPr>
              <w:t>1.64 (1.22, 2.19)</w:t>
            </w:r>
          </w:p>
          <w:p w14:paraId="7BC5B9A5" w14:textId="2BC90092" w:rsidR="00A44E8E" w:rsidRPr="00BF60BC" w:rsidRDefault="00A44E8E" w:rsidP="00655F22">
            <w:pPr>
              <w:jc w:val="both"/>
              <w:rPr>
                <w:rFonts w:cstheme="minorHAnsi"/>
              </w:rPr>
            </w:pPr>
          </w:p>
        </w:tc>
        <w:tc>
          <w:tcPr>
            <w:tcW w:w="1738" w:type="dxa"/>
            <w:tcBorders>
              <w:top w:val="nil"/>
              <w:left w:val="nil"/>
              <w:bottom w:val="nil"/>
              <w:right w:val="nil"/>
            </w:tcBorders>
            <w:vAlign w:val="center"/>
          </w:tcPr>
          <w:p w14:paraId="583592D3" w14:textId="060002B8" w:rsidR="00AB69DD" w:rsidRPr="00BF60BC" w:rsidRDefault="00AB69DD" w:rsidP="00655F22">
            <w:pPr>
              <w:jc w:val="both"/>
              <w:rPr>
                <w:rFonts w:cstheme="minorHAnsi"/>
              </w:rPr>
            </w:pPr>
            <w:r w:rsidRPr="00BF60BC">
              <w:rPr>
                <w:rFonts w:cstheme="minorHAnsi"/>
              </w:rPr>
              <w:t>p&lt;0.001</w:t>
            </w:r>
          </w:p>
          <w:p w14:paraId="41024715" w14:textId="1996F465" w:rsidR="00A44E8E" w:rsidRPr="00BF60BC" w:rsidRDefault="00A44E8E" w:rsidP="00655F22">
            <w:pPr>
              <w:jc w:val="both"/>
              <w:rPr>
                <w:rFonts w:cstheme="minorHAnsi"/>
              </w:rPr>
            </w:pPr>
          </w:p>
        </w:tc>
        <w:tc>
          <w:tcPr>
            <w:tcW w:w="1747" w:type="dxa"/>
            <w:tcBorders>
              <w:top w:val="nil"/>
              <w:left w:val="nil"/>
              <w:bottom w:val="nil"/>
              <w:right w:val="nil"/>
            </w:tcBorders>
            <w:vAlign w:val="center"/>
          </w:tcPr>
          <w:p w14:paraId="0F6DBFFB" w14:textId="6EE43759" w:rsidR="00A44E8E" w:rsidRPr="00BF60BC" w:rsidRDefault="00A44E8E" w:rsidP="00655F22">
            <w:pPr>
              <w:jc w:val="both"/>
              <w:rPr>
                <w:rFonts w:cstheme="minorHAnsi"/>
              </w:rPr>
            </w:pPr>
            <w:r w:rsidRPr="00BF60BC">
              <w:rPr>
                <w:rFonts w:cstheme="minorHAnsi"/>
              </w:rPr>
              <w:t>3.07 (1.82, 5.15)</w:t>
            </w:r>
          </w:p>
          <w:p w14:paraId="006AC160" w14:textId="1679E8C9" w:rsidR="00A44E8E" w:rsidRPr="00BF60BC" w:rsidRDefault="00A44E8E" w:rsidP="00655F22">
            <w:pPr>
              <w:jc w:val="both"/>
              <w:rPr>
                <w:rFonts w:cstheme="minorHAnsi"/>
              </w:rPr>
            </w:pPr>
          </w:p>
        </w:tc>
        <w:tc>
          <w:tcPr>
            <w:tcW w:w="1735" w:type="dxa"/>
            <w:tcBorders>
              <w:top w:val="nil"/>
              <w:left w:val="nil"/>
              <w:bottom w:val="nil"/>
              <w:right w:val="nil"/>
            </w:tcBorders>
            <w:vAlign w:val="center"/>
          </w:tcPr>
          <w:p w14:paraId="1A893467" w14:textId="4DDD97F3" w:rsidR="00A44E8E" w:rsidRPr="00BF60BC" w:rsidRDefault="00A44E8E" w:rsidP="00655F22">
            <w:pPr>
              <w:jc w:val="both"/>
              <w:rPr>
                <w:rFonts w:cstheme="minorHAnsi"/>
              </w:rPr>
            </w:pPr>
            <w:r w:rsidRPr="00BF60BC">
              <w:rPr>
                <w:rFonts w:cstheme="minorHAnsi"/>
              </w:rPr>
              <w:t>1.01 (0.71, 1.44)</w:t>
            </w:r>
          </w:p>
          <w:p w14:paraId="1CAC138F" w14:textId="0BF10F46" w:rsidR="00A44E8E" w:rsidRPr="00BF60BC" w:rsidRDefault="00A44E8E" w:rsidP="00655F22">
            <w:pPr>
              <w:jc w:val="both"/>
              <w:rPr>
                <w:rFonts w:cstheme="minorHAnsi"/>
              </w:rPr>
            </w:pPr>
          </w:p>
        </w:tc>
      </w:tr>
      <w:tr w:rsidR="00A44E8E" w:rsidRPr="00BF60BC" w14:paraId="1722906D" w14:textId="77777777" w:rsidTr="00AD119E">
        <w:trPr>
          <w:trHeight w:val="210"/>
        </w:trPr>
        <w:tc>
          <w:tcPr>
            <w:tcW w:w="1597" w:type="dxa"/>
            <w:tcBorders>
              <w:top w:val="nil"/>
              <w:left w:val="nil"/>
              <w:bottom w:val="single" w:sz="18" w:space="0" w:color="auto"/>
              <w:right w:val="nil"/>
            </w:tcBorders>
            <w:vAlign w:val="center"/>
          </w:tcPr>
          <w:p w14:paraId="460D2B58" w14:textId="77777777" w:rsidR="00A44E8E" w:rsidRPr="00BF60BC" w:rsidRDefault="00A44E8E" w:rsidP="00655F22">
            <w:pPr>
              <w:jc w:val="both"/>
              <w:rPr>
                <w:rFonts w:cstheme="minorHAnsi"/>
                <w:i/>
              </w:rPr>
            </w:pPr>
            <w:r w:rsidRPr="00BF60BC">
              <w:rPr>
                <w:rFonts w:cstheme="minorHAnsi"/>
                <w:i/>
              </w:rPr>
              <w:t>Overweight</w:t>
            </w:r>
          </w:p>
          <w:p w14:paraId="0244B690" w14:textId="37A14DCA" w:rsidR="00A44E8E" w:rsidRPr="00BF60BC" w:rsidRDefault="006D13FE" w:rsidP="00655F22">
            <w:pPr>
              <w:jc w:val="both"/>
              <w:rPr>
                <w:rFonts w:cstheme="minorHAnsi"/>
                <w:i/>
              </w:rPr>
            </w:pPr>
            <w:r w:rsidRPr="00BF60BC">
              <w:rPr>
                <w:rFonts w:cstheme="minorHAnsi"/>
                <w:i/>
              </w:rPr>
              <w:t>(2015 vs 1986)</w:t>
            </w:r>
          </w:p>
        </w:tc>
        <w:tc>
          <w:tcPr>
            <w:tcW w:w="1747" w:type="dxa"/>
            <w:tcBorders>
              <w:top w:val="nil"/>
              <w:left w:val="nil"/>
              <w:bottom w:val="single" w:sz="18" w:space="0" w:color="auto"/>
              <w:right w:val="nil"/>
            </w:tcBorders>
            <w:vAlign w:val="center"/>
          </w:tcPr>
          <w:p w14:paraId="211C572E" w14:textId="7D0D70F5" w:rsidR="00A44E8E" w:rsidRPr="00BF60BC" w:rsidRDefault="00A44E8E" w:rsidP="00655F22">
            <w:pPr>
              <w:jc w:val="both"/>
              <w:rPr>
                <w:rFonts w:cstheme="minorHAnsi"/>
              </w:rPr>
            </w:pPr>
            <w:r w:rsidRPr="00BF60BC">
              <w:rPr>
                <w:rFonts w:cstheme="minorHAnsi"/>
              </w:rPr>
              <w:t>1.66 (1.54, 1.79)</w:t>
            </w:r>
          </w:p>
          <w:p w14:paraId="57494146" w14:textId="01EC56F6" w:rsidR="00A44E8E" w:rsidRPr="00BF60BC" w:rsidRDefault="00A44E8E" w:rsidP="00655F22">
            <w:pPr>
              <w:jc w:val="both"/>
              <w:rPr>
                <w:rFonts w:cstheme="minorHAnsi"/>
              </w:rPr>
            </w:pPr>
          </w:p>
        </w:tc>
        <w:tc>
          <w:tcPr>
            <w:tcW w:w="1756" w:type="dxa"/>
            <w:tcBorders>
              <w:top w:val="nil"/>
              <w:left w:val="nil"/>
              <w:bottom w:val="single" w:sz="18" w:space="0" w:color="auto"/>
              <w:right w:val="nil"/>
            </w:tcBorders>
            <w:vAlign w:val="center"/>
          </w:tcPr>
          <w:p w14:paraId="305A08CD" w14:textId="18EC0AAD" w:rsidR="00A44E8E" w:rsidRPr="00BF60BC" w:rsidRDefault="00A44E8E" w:rsidP="00655F22">
            <w:pPr>
              <w:jc w:val="both"/>
              <w:rPr>
                <w:rFonts w:cstheme="minorHAnsi"/>
              </w:rPr>
            </w:pPr>
            <w:r w:rsidRPr="00BF60BC">
              <w:rPr>
                <w:rFonts w:cstheme="minorHAnsi"/>
              </w:rPr>
              <w:t>1.47 (1.14, 1.89)</w:t>
            </w:r>
          </w:p>
          <w:p w14:paraId="0910694E" w14:textId="50E66FF3" w:rsidR="00A44E8E" w:rsidRPr="00BF60BC" w:rsidRDefault="00A44E8E" w:rsidP="00655F22">
            <w:pPr>
              <w:jc w:val="both"/>
              <w:rPr>
                <w:rFonts w:cstheme="minorHAnsi"/>
              </w:rPr>
            </w:pPr>
          </w:p>
        </w:tc>
        <w:tc>
          <w:tcPr>
            <w:tcW w:w="1738" w:type="dxa"/>
            <w:tcBorders>
              <w:top w:val="nil"/>
              <w:left w:val="nil"/>
              <w:bottom w:val="single" w:sz="18" w:space="0" w:color="auto"/>
              <w:right w:val="nil"/>
            </w:tcBorders>
            <w:vAlign w:val="center"/>
          </w:tcPr>
          <w:p w14:paraId="1A4E8E55" w14:textId="4974EDE3" w:rsidR="00AB69DD" w:rsidRPr="00BF60BC" w:rsidRDefault="00AB69DD" w:rsidP="00655F22">
            <w:pPr>
              <w:jc w:val="both"/>
              <w:rPr>
                <w:rFonts w:cstheme="minorHAnsi"/>
              </w:rPr>
            </w:pPr>
            <w:r w:rsidRPr="00BF60BC">
              <w:rPr>
                <w:rFonts w:cstheme="minorHAnsi"/>
              </w:rPr>
              <w:t>p&lt;0.001</w:t>
            </w:r>
          </w:p>
          <w:p w14:paraId="2751C082" w14:textId="43562E6E" w:rsidR="00A44E8E" w:rsidRPr="00BF60BC" w:rsidRDefault="00A44E8E" w:rsidP="00655F22">
            <w:pPr>
              <w:jc w:val="both"/>
              <w:rPr>
                <w:rFonts w:cstheme="minorHAnsi"/>
              </w:rPr>
            </w:pPr>
          </w:p>
        </w:tc>
        <w:tc>
          <w:tcPr>
            <w:tcW w:w="1747" w:type="dxa"/>
            <w:tcBorders>
              <w:top w:val="nil"/>
              <w:left w:val="nil"/>
              <w:bottom w:val="single" w:sz="18" w:space="0" w:color="auto"/>
              <w:right w:val="nil"/>
            </w:tcBorders>
            <w:vAlign w:val="center"/>
          </w:tcPr>
          <w:p w14:paraId="06530123" w14:textId="253089F1" w:rsidR="00A44E8E" w:rsidRPr="00BF60BC" w:rsidRDefault="00A44E8E" w:rsidP="00655F22">
            <w:pPr>
              <w:jc w:val="both"/>
              <w:rPr>
                <w:rFonts w:cstheme="minorHAnsi"/>
              </w:rPr>
            </w:pPr>
            <w:r w:rsidRPr="00BF60BC">
              <w:rPr>
                <w:rFonts w:cstheme="minorHAnsi"/>
              </w:rPr>
              <w:t>2.59 (1.66, 4.06)</w:t>
            </w:r>
          </w:p>
          <w:p w14:paraId="395F6140" w14:textId="5E1A591A" w:rsidR="00A44E8E" w:rsidRPr="00BF60BC" w:rsidRDefault="00A44E8E" w:rsidP="00655F22">
            <w:pPr>
              <w:jc w:val="both"/>
              <w:rPr>
                <w:rFonts w:cstheme="minorHAnsi"/>
              </w:rPr>
            </w:pPr>
          </w:p>
        </w:tc>
        <w:tc>
          <w:tcPr>
            <w:tcW w:w="1735" w:type="dxa"/>
            <w:tcBorders>
              <w:top w:val="nil"/>
              <w:left w:val="nil"/>
              <w:bottom w:val="single" w:sz="18" w:space="0" w:color="auto"/>
              <w:right w:val="nil"/>
            </w:tcBorders>
            <w:vAlign w:val="center"/>
          </w:tcPr>
          <w:p w14:paraId="1B229D4F" w14:textId="1E3A1811" w:rsidR="00A44E8E" w:rsidRPr="00BF60BC" w:rsidRDefault="00A44E8E" w:rsidP="00655F22">
            <w:pPr>
              <w:jc w:val="both"/>
              <w:rPr>
                <w:rFonts w:cstheme="minorHAnsi"/>
              </w:rPr>
            </w:pPr>
            <w:r w:rsidRPr="00BF60BC">
              <w:rPr>
                <w:rFonts w:cstheme="minorHAnsi"/>
              </w:rPr>
              <w:t>0.95 (0.69, 1.30)</w:t>
            </w:r>
          </w:p>
          <w:p w14:paraId="19F99700" w14:textId="26EDAD09" w:rsidR="00A44E8E" w:rsidRPr="00BF60BC" w:rsidRDefault="00A44E8E" w:rsidP="00655F22">
            <w:pPr>
              <w:jc w:val="both"/>
              <w:rPr>
                <w:rFonts w:cstheme="minorHAnsi"/>
              </w:rPr>
            </w:pPr>
          </w:p>
        </w:tc>
      </w:tr>
    </w:tbl>
    <w:p w14:paraId="3F73962D" w14:textId="03F1D0CC" w:rsidR="00F954C7" w:rsidRPr="00BF60BC" w:rsidRDefault="00F954C7" w:rsidP="00655F22">
      <w:pPr>
        <w:spacing w:after="0" w:line="240" w:lineRule="auto"/>
        <w:jc w:val="both"/>
        <w:rPr>
          <w:rFonts w:eastAsia="Times New Roman" w:cstheme="minorHAnsi"/>
        </w:rPr>
      </w:pPr>
      <w:proofErr w:type="spellStart"/>
      <w:proofErr w:type="gramStart"/>
      <w:r w:rsidRPr="00BF60BC">
        <w:rPr>
          <w:rFonts w:cstheme="minorHAnsi"/>
          <w:vertAlign w:val="superscript"/>
        </w:rPr>
        <w:t>a</w:t>
      </w:r>
      <w:proofErr w:type="spellEnd"/>
      <w:proofErr w:type="gramEnd"/>
      <w:r w:rsidRPr="00BF60BC">
        <w:rPr>
          <w:rFonts w:cstheme="minorHAnsi"/>
        </w:rPr>
        <w:t xml:space="preserve"> adjusted for: adolescent’s sex and ethnicity; maternal age and highest level of education; and paternal social class. (Analyses of</w:t>
      </w:r>
      <w:r w:rsidR="00B40209" w:rsidRPr="00BF60BC">
        <w:rPr>
          <w:rFonts w:cstheme="minorHAnsi"/>
        </w:rPr>
        <w:t xml:space="preserve"> question ‘do you think you are</w:t>
      </w:r>
      <w:r w:rsidRPr="00BF60BC">
        <w:rPr>
          <w:rFonts w:cstheme="minorHAnsi"/>
        </w:rPr>
        <w:t>?</w:t>
      </w:r>
      <w:r w:rsidR="00B40209" w:rsidRPr="00BF60BC">
        <w:rPr>
          <w:rFonts w:cstheme="minorHAnsi"/>
        </w:rPr>
        <w:t>’</w:t>
      </w:r>
      <w:r w:rsidRPr="00BF60BC">
        <w:rPr>
          <w:rFonts w:cstheme="minorHAnsi"/>
        </w:rPr>
        <w:t xml:space="preserve"> are additionally adjusted for BMI)</w:t>
      </w:r>
      <w:r w:rsidR="00C04F28" w:rsidRPr="00BF60BC">
        <w:rPr>
          <w:rFonts w:cstheme="minorHAnsi"/>
        </w:rPr>
        <w:t xml:space="preserve"> </w:t>
      </w:r>
      <w:r w:rsidRPr="00BF60BC">
        <w:rPr>
          <w:rFonts w:cstheme="minorHAnsi"/>
          <w:vertAlign w:val="superscript"/>
        </w:rPr>
        <w:t xml:space="preserve">b </w:t>
      </w:r>
      <w:r w:rsidR="007C0E14" w:rsidRPr="00BF60BC">
        <w:rPr>
          <w:rFonts w:cstheme="minorHAnsi"/>
        </w:rPr>
        <w:t xml:space="preserve">sample size </w:t>
      </w:r>
      <w:r w:rsidRPr="00BF60BC">
        <w:rPr>
          <w:rFonts w:cstheme="minorHAnsi"/>
        </w:rPr>
        <w:t xml:space="preserve">n= </w:t>
      </w:r>
      <w:r w:rsidR="00EA482F" w:rsidRPr="00BF60BC">
        <w:rPr>
          <w:rFonts w:cstheme="minorHAnsi"/>
        </w:rPr>
        <w:t>16,671</w:t>
      </w:r>
      <w:r w:rsidR="00C04F28" w:rsidRPr="00BF60BC">
        <w:rPr>
          <w:rFonts w:cstheme="minorHAnsi"/>
        </w:rPr>
        <w:t xml:space="preserve">, </w:t>
      </w:r>
      <w:r w:rsidRPr="00BF60BC">
        <w:rPr>
          <w:rFonts w:cstheme="minorHAnsi"/>
          <w:vertAlign w:val="superscript"/>
        </w:rPr>
        <w:t>c</w:t>
      </w:r>
      <w:r w:rsidRPr="00BF60BC">
        <w:rPr>
          <w:rFonts w:cstheme="minorHAnsi"/>
        </w:rPr>
        <w:t xml:space="preserve"> </w:t>
      </w:r>
      <w:r w:rsidR="007C0E14" w:rsidRPr="00BF60BC">
        <w:rPr>
          <w:rFonts w:cstheme="minorHAnsi"/>
        </w:rPr>
        <w:t xml:space="preserve">sample size </w:t>
      </w:r>
      <w:r w:rsidRPr="00BF60BC">
        <w:rPr>
          <w:rFonts w:cstheme="minorHAnsi"/>
        </w:rPr>
        <w:t xml:space="preserve">n= </w:t>
      </w:r>
      <w:r w:rsidR="007C0E14" w:rsidRPr="00BF60BC">
        <w:rPr>
          <w:rFonts w:cstheme="minorHAnsi"/>
        </w:rPr>
        <w:t>16,625</w:t>
      </w:r>
      <w:r w:rsidR="00C04F28" w:rsidRPr="00BF60BC">
        <w:rPr>
          <w:rFonts w:cstheme="minorHAnsi"/>
        </w:rPr>
        <w:t xml:space="preserve">, </w:t>
      </w:r>
      <w:r w:rsidRPr="00BF60BC">
        <w:rPr>
          <w:rFonts w:cstheme="minorHAnsi"/>
          <w:vertAlign w:val="superscript"/>
        </w:rPr>
        <w:t>d</w:t>
      </w:r>
      <w:r w:rsidRPr="00BF60BC">
        <w:rPr>
          <w:rFonts w:cstheme="minorHAnsi"/>
        </w:rPr>
        <w:t xml:space="preserve"> </w:t>
      </w:r>
      <w:r w:rsidR="007C0E14" w:rsidRPr="00BF60BC">
        <w:rPr>
          <w:rFonts w:cstheme="minorHAnsi"/>
        </w:rPr>
        <w:t xml:space="preserve">sample size </w:t>
      </w:r>
      <w:r w:rsidRPr="00BF60BC">
        <w:rPr>
          <w:rFonts w:cstheme="minorHAnsi"/>
        </w:rPr>
        <w:t>n =22,</w:t>
      </w:r>
      <w:r w:rsidR="007C0E14" w:rsidRPr="00BF60BC">
        <w:rPr>
          <w:rFonts w:cstheme="minorHAnsi"/>
        </w:rPr>
        <w:t>503</w:t>
      </w:r>
      <w:r w:rsidR="00C04F28" w:rsidRPr="00BF60BC">
        <w:rPr>
          <w:rFonts w:cstheme="minorHAnsi"/>
        </w:rPr>
        <w:t>.</w:t>
      </w:r>
    </w:p>
    <w:p w14:paraId="6F7CE959" w14:textId="4E3F0E7F" w:rsidR="00F954C7" w:rsidRPr="00BF60BC" w:rsidRDefault="00F954C7" w:rsidP="00655F22">
      <w:pPr>
        <w:spacing w:after="0" w:line="240" w:lineRule="auto"/>
        <w:jc w:val="both"/>
        <w:rPr>
          <w:rFonts w:eastAsia="Times New Roman" w:cstheme="minorHAnsi"/>
          <w:sz w:val="24"/>
          <w:szCs w:val="24"/>
        </w:rPr>
        <w:sectPr w:rsidR="00F954C7" w:rsidRPr="00BF60BC" w:rsidSect="00B40209">
          <w:type w:val="continuous"/>
          <w:pgSz w:w="11906" w:h="16838"/>
          <w:pgMar w:top="1440" w:right="1440" w:bottom="1440" w:left="1440" w:header="708" w:footer="708" w:gutter="0"/>
          <w:cols w:space="708"/>
          <w:docGrid w:linePitch="360"/>
        </w:sectPr>
      </w:pPr>
      <w:r w:rsidRPr="00BF60BC">
        <w:rPr>
          <w:rFonts w:eastAsia="Times New Roman" w:cstheme="minorHAnsi"/>
        </w:rPr>
        <w:t xml:space="preserve">List of abbreviations: CI= confidence interval, OR = odds </w:t>
      </w:r>
      <w:r w:rsidR="00F478AA" w:rsidRPr="00BF60BC">
        <w:rPr>
          <w:rFonts w:eastAsia="Times New Roman" w:cstheme="minorHAnsi"/>
        </w:rPr>
        <w:t>ratio, RRR = relative risk rati</w:t>
      </w:r>
      <w:r w:rsidR="00296C95" w:rsidRPr="00BF60BC">
        <w:rPr>
          <w:rFonts w:eastAsia="Times New Roman" w:cstheme="minorHAnsi"/>
        </w:rPr>
        <w:t>o</w:t>
      </w:r>
    </w:p>
    <w:p w14:paraId="05B50A84" w14:textId="77777777" w:rsidR="00B53F91" w:rsidRPr="00BF60BC" w:rsidRDefault="00B53F91" w:rsidP="00655F22">
      <w:pPr>
        <w:pStyle w:val="Heading2"/>
        <w:rPr>
          <w:rStyle w:val="Heading2Char"/>
        </w:rPr>
        <w:sectPr w:rsidR="00B53F91" w:rsidRPr="00BF60BC" w:rsidSect="00F478AA">
          <w:pgSz w:w="16838" w:h="11906" w:orient="landscape"/>
          <w:pgMar w:top="1440" w:right="1080" w:bottom="1440" w:left="1080" w:header="708" w:footer="708" w:gutter="0"/>
          <w:cols w:space="708"/>
          <w:docGrid w:linePitch="360"/>
        </w:sectPr>
      </w:pPr>
      <w:bookmarkStart w:id="27" w:name="_Toc27665505"/>
    </w:p>
    <w:p w14:paraId="67CD3732" w14:textId="2973BFE2" w:rsidR="002E3A60" w:rsidRPr="00BF60BC" w:rsidRDefault="00173961" w:rsidP="00655F22">
      <w:pPr>
        <w:pStyle w:val="Heading2"/>
        <w:rPr>
          <w:rFonts w:ascii="Calibri" w:hAnsi="Calibri" w:cs="Calibri"/>
        </w:rPr>
      </w:pPr>
      <w:r>
        <w:rPr>
          <w:rStyle w:val="Heading2Char"/>
        </w:rPr>
        <w:t>Table</w:t>
      </w:r>
      <w:r w:rsidR="002E3A60" w:rsidRPr="00BF60BC">
        <w:rPr>
          <w:rStyle w:val="Heading2Char"/>
        </w:rPr>
        <w:t xml:space="preserve"> </w:t>
      </w:r>
      <w:r w:rsidR="00EE7145" w:rsidRPr="00BF60BC">
        <w:rPr>
          <w:rStyle w:val="Heading2Char"/>
        </w:rPr>
        <w:t>3</w:t>
      </w:r>
      <w:r w:rsidR="002E3A60" w:rsidRPr="00BF60BC">
        <w:rPr>
          <w:rStyle w:val="Heading2Char"/>
        </w:rPr>
        <w:t>:</w:t>
      </w:r>
      <w:r w:rsidR="002E3A60" w:rsidRPr="00BF60BC">
        <w:rPr>
          <w:rFonts w:ascii="Calibri" w:hAnsi="Calibri" w:cs="Calibri"/>
        </w:rPr>
        <w:t xml:space="preserve"> </w:t>
      </w:r>
      <w:r w:rsidR="002E3A60" w:rsidRPr="00BF60BC">
        <w:t xml:space="preserve">Univariable and multivariable linear regression models testing the association between dieting, exercising for weight loss, weight intentions and weight perception with depressive symptoms. We additionally fit an interaction to the multivariable model to test for the presence of sex-specific associations and present sex-stratified models. In these we test for a cohort-by-exposure interaction to test for cohort effects (presented in </w:t>
      </w:r>
      <w:r>
        <w:t>Table</w:t>
      </w:r>
      <w:r w:rsidR="002E3A60" w:rsidRPr="00BF60BC">
        <w:t xml:space="preserve"> 3 of the manuscript). All analyses based on a sample of participants with at least one out</w:t>
      </w:r>
      <w:r w:rsidR="00F97B78" w:rsidRPr="00BF60BC">
        <w:t>come available at age 14 (16 in 1986</w:t>
      </w:r>
      <w:r w:rsidR="002E3A60" w:rsidRPr="00BF60BC">
        <w:t>) and imputed missing covariate; we additionally used attrition weights to account for attrition at this sweep since recruitment.</w:t>
      </w:r>
      <w:bookmarkEnd w:id="27"/>
    </w:p>
    <w:p w14:paraId="0B406382" w14:textId="77777777" w:rsidR="00607BC6" w:rsidRPr="00BF60BC" w:rsidRDefault="00607BC6" w:rsidP="00655F22">
      <w:pPr>
        <w:spacing w:after="0" w:line="240" w:lineRule="auto"/>
        <w:jc w:val="both"/>
        <w:sectPr w:rsidR="00607BC6" w:rsidRPr="00BF60BC" w:rsidSect="00AD1032">
          <w:type w:val="continuous"/>
          <w:pgSz w:w="16838" w:h="11906" w:orient="landscape"/>
          <w:pgMar w:top="1440" w:right="1440" w:bottom="1440" w:left="1440" w:header="708" w:footer="708" w:gutter="0"/>
          <w:cols w:space="708"/>
          <w:docGrid w:linePitch="360"/>
        </w:sectPr>
      </w:pPr>
    </w:p>
    <w:p w14:paraId="46CB64B0" w14:textId="5996DA45" w:rsidR="002E3A60" w:rsidRPr="00BF60BC" w:rsidRDefault="002E3A60" w:rsidP="00655F22">
      <w:pPr>
        <w:spacing w:after="0" w:line="240" w:lineRule="auto"/>
        <w:jc w:val="both"/>
      </w:pPr>
    </w:p>
    <w:p w14:paraId="236913DC" w14:textId="01344426" w:rsidR="002E3A60" w:rsidRPr="00BF60BC" w:rsidRDefault="002E3A60" w:rsidP="00655F22">
      <w:pPr>
        <w:jc w:val="both"/>
      </w:pPr>
    </w:p>
    <w:p w14:paraId="4D2717C8" w14:textId="77777777" w:rsidR="00296C95" w:rsidRPr="00BF60BC" w:rsidRDefault="00296C95" w:rsidP="00655F22">
      <w:pPr>
        <w:jc w:val="both"/>
      </w:pPr>
    </w:p>
    <w:p w14:paraId="2C1AC8E7" w14:textId="1A9A12F2" w:rsidR="00D8498A" w:rsidRPr="00BF60BC" w:rsidRDefault="00D8498A" w:rsidP="00655F22">
      <w:pPr>
        <w:jc w:val="both"/>
      </w:pPr>
    </w:p>
    <w:p w14:paraId="23D59D44" w14:textId="77777777" w:rsidR="00D8498A" w:rsidRPr="00BF60BC" w:rsidRDefault="00D8498A" w:rsidP="00655F22">
      <w:pPr>
        <w:jc w:val="both"/>
      </w:pPr>
    </w:p>
    <w:p w14:paraId="112B927A" w14:textId="77777777" w:rsidR="002E3A60" w:rsidRPr="00BF60BC" w:rsidRDefault="002E3A60" w:rsidP="00655F22">
      <w:pPr>
        <w:jc w:val="both"/>
      </w:pPr>
    </w:p>
    <w:tbl>
      <w:tblPr>
        <w:tblStyle w:val="TableGrid"/>
        <w:tblpPr w:leftFromText="180" w:rightFromText="180" w:vertAnchor="page" w:horzAnchor="margin" w:tblpXSpec="center" w:tblpY="4356"/>
        <w:tblW w:w="15877" w:type="dxa"/>
        <w:tblLook w:val="04A0" w:firstRow="1" w:lastRow="0" w:firstColumn="1" w:lastColumn="0" w:noHBand="0" w:noVBand="1"/>
      </w:tblPr>
      <w:tblGrid>
        <w:gridCol w:w="1986"/>
        <w:gridCol w:w="1778"/>
        <w:gridCol w:w="1964"/>
        <w:gridCol w:w="1817"/>
        <w:gridCol w:w="1948"/>
        <w:gridCol w:w="2132"/>
        <w:gridCol w:w="2025"/>
        <w:gridCol w:w="2227"/>
      </w:tblGrid>
      <w:tr w:rsidR="002E3A60" w:rsidRPr="00BF60BC" w14:paraId="228036DA" w14:textId="77777777" w:rsidTr="00925592">
        <w:trPr>
          <w:trHeight w:val="410"/>
        </w:trPr>
        <w:tc>
          <w:tcPr>
            <w:tcW w:w="15877" w:type="dxa"/>
            <w:gridSpan w:val="8"/>
            <w:vAlign w:val="center"/>
          </w:tcPr>
          <w:p w14:paraId="4F9F0499" w14:textId="36D31E2A" w:rsidR="002E3A60" w:rsidRPr="00BF60BC" w:rsidRDefault="002E3A60" w:rsidP="00655F22">
            <w:pPr>
              <w:jc w:val="both"/>
              <w:rPr>
                <w:rFonts w:cstheme="minorHAnsi"/>
                <w:b/>
              </w:rPr>
            </w:pPr>
            <w:r w:rsidRPr="00BF60BC">
              <w:rPr>
                <w:rFonts w:cstheme="minorHAnsi"/>
                <w:b/>
              </w:rPr>
              <w:t>Outcome: depressive symptoms</w:t>
            </w:r>
          </w:p>
        </w:tc>
      </w:tr>
      <w:tr w:rsidR="002E3A60" w:rsidRPr="00BF60BC" w14:paraId="4AD18549" w14:textId="77777777" w:rsidTr="00925592">
        <w:trPr>
          <w:trHeight w:val="821"/>
        </w:trPr>
        <w:tc>
          <w:tcPr>
            <w:tcW w:w="1986" w:type="dxa"/>
          </w:tcPr>
          <w:p w14:paraId="2BC517CC" w14:textId="77777777" w:rsidR="002E3A60" w:rsidRPr="00BF60BC" w:rsidRDefault="002E3A60" w:rsidP="00655F22">
            <w:pPr>
              <w:jc w:val="both"/>
              <w:rPr>
                <w:rFonts w:cstheme="minorHAnsi"/>
              </w:rPr>
            </w:pPr>
          </w:p>
        </w:tc>
        <w:tc>
          <w:tcPr>
            <w:tcW w:w="1778" w:type="dxa"/>
            <w:tcBorders>
              <w:bottom w:val="dotted" w:sz="4" w:space="0" w:color="auto"/>
              <w:right w:val="dotted" w:sz="4" w:space="0" w:color="auto"/>
            </w:tcBorders>
            <w:vAlign w:val="center"/>
          </w:tcPr>
          <w:p w14:paraId="432EB557" w14:textId="77777777" w:rsidR="002E3A60" w:rsidRPr="00BF60BC" w:rsidRDefault="002E3A60" w:rsidP="00655F22">
            <w:pPr>
              <w:jc w:val="both"/>
              <w:rPr>
                <w:rFonts w:cstheme="minorHAnsi"/>
                <w:b/>
              </w:rPr>
            </w:pPr>
            <w:r w:rsidRPr="00BF60BC">
              <w:rPr>
                <w:rFonts w:cstheme="minorHAnsi"/>
                <w:b/>
              </w:rPr>
              <w:t>Univariable model</w:t>
            </w:r>
          </w:p>
          <w:p w14:paraId="71EFA857" w14:textId="5C38F91D" w:rsidR="002E3A60" w:rsidRPr="00BF60BC" w:rsidRDefault="002E3A60" w:rsidP="00655F22">
            <w:pPr>
              <w:jc w:val="both"/>
              <w:rPr>
                <w:rFonts w:cstheme="minorHAnsi"/>
                <w:b/>
              </w:rPr>
            </w:pPr>
            <w:r w:rsidRPr="00BF60BC">
              <w:rPr>
                <w:rFonts w:cstheme="minorHAnsi"/>
                <w:b/>
              </w:rPr>
              <w:t>Mean difference</w:t>
            </w:r>
          </w:p>
          <w:p w14:paraId="1219F45D" w14:textId="10B9AECC" w:rsidR="002E3A60" w:rsidRPr="00BF60BC" w:rsidRDefault="002E3A60" w:rsidP="00655F22">
            <w:pPr>
              <w:jc w:val="both"/>
              <w:rPr>
                <w:rFonts w:cstheme="minorHAnsi"/>
                <w:b/>
              </w:rPr>
            </w:pPr>
            <w:r w:rsidRPr="00BF60BC">
              <w:rPr>
                <w:rFonts w:cstheme="minorHAnsi"/>
                <w:b/>
              </w:rPr>
              <w:t>(95% CI)</w:t>
            </w:r>
          </w:p>
          <w:p w14:paraId="08C056DA" w14:textId="77777777" w:rsidR="002E3A60" w:rsidRPr="00BF60BC" w:rsidRDefault="002E3A60" w:rsidP="00655F22">
            <w:pPr>
              <w:jc w:val="both"/>
              <w:rPr>
                <w:rFonts w:cstheme="minorHAnsi"/>
                <w:b/>
              </w:rPr>
            </w:pPr>
            <w:r w:rsidRPr="00BF60BC">
              <w:rPr>
                <w:rFonts w:cstheme="minorHAnsi"/>
                <w:b/>
              </w:rPr>
              <w:t>p-value</w:t>
            </w:r>
          </w:p>
        </w:tc>
        <w:tc>
          <w:tcPr>
            <w:tcW w:w="1964" w:type="dxa"/>
            <w:tcBorders>
              <w:left w:val="dotted" w:sz="4" w:space="0" w:color="auto"/>
              <w:bottom w:val="dotted" w:sz="4" w:space="0" w:color="auto"/>
            </w:tcBorders>
            <w:vAlign w:val="center"/>
          </w:tcPr>
          <w:p w14:paraId="55D08C1C" w14:textId="77777777" w:rsidR="002E3A60" w:rsidRPr="00BF60BC" w:rsidRDefault="002E3A60" w:rsidP="00655F22">
            <w:pPr>
              <w:jc w:val="both"/>
              <w:rPr>
                <w:rFonts w:cstheme="minorHAnsi"/>
                <w:b/>
              </w:rPr>
            </w:pPr>
            <w:r w:rsidRPr="00BF60BC">
              <w:rPr>
                <w:rFonts w:cstheme="minorHAnsi"/>
                <w:b/>
              </w:rPr>
              <w:t>Multivariable</w:t>
            </w:r>
            <w:r w:rsidRPr="00BF60BC">
              <w:rPr>
                <w:rFonts w:cstheme="minorHAnsi"/>
                <w:vertAlign w:val="superscript"/>
              </w:rPr>
              <w:t xml:space="preserve"> a</w:t>
            </w:r>
            <w:r w:rsidRPr="00BF60BC">
              <w:rPr>
                <w:rFonts w:cstheme="minorHAnsi"/>
                <w:b/>
              </w:rPr>
              <w:t xml:space="preserve"> Model</w:t>
            </w:r>
          </w:p>
          <w:p w14:paraId="3C9C00BD" w14:textId="3E7372BE" w:rsidR="002E3A60" w:rsidRPr="00BF60BC" w:rsidRDefault="002E3A60" w:rsidP="00655F22">
            <w:pPr>
              <w:jc w:val="both"/>
              <w:rPr>
                <w:rFonts w:cstheme="minorHAnsi"/>
                <w:b/>
              </w:rPr>
            </w:pPr>
            <w:r w:rsidRPr="00BF60BC">
              <w:rPr>
                <w:rFonts w:cstheme="minorHAnsi"/>
                <w:b/>
              </w:rPr>
              <w:t>Mean difference</w:t>
            </w:r>
          </w:p>
          <w:p w14:paraId="47D52216" w14:textId="6E05CA6C" w:rsidR="002E3A60" w:rsidRPr="00BF60BC" w:rsidRDefault="002E3A60" w:rsidP="00655F22">
            <w:pPr>
              <w:jc w:val="both"/>
              <w:rPr>
                <w:rFonts w:cstheme="minorHAnsi"/>
                <w:b/>
              </w:rPr>
            </w:pPr>
            <w:r w:rsidRPr="00BF60BC">
              <w:rPr>
                <w:rFonts w:cstheme="minorHAnsi"/>
                <w:b/>
              </w:rPr>
              <w:t>(95% CI)</w:t>
            </w:r>
          </w:p>
          <w:p w14:paraId="56896E26" w14:textId="77777777" w:rsidR="002E3A60" w:rsidRPr="00BF60BC" w:rsidRDefault="002E3A60" w:rsidP="00655F22">
            <w:pPr>
              <w:jc w:val="both"/>
              <w:rPr>
                <w:rFonts w:cstheme="minorHAnsi"/>
                <w:b/>
              </w:rPr>
            </w:pPr>
            <w:r w:rsidRPr="00BF60BC">
              <w:rPr>
                <w:rFonts w:cstheme="minorHAnsi"/>
                <w:b/>
              </w:rPr>
              <w:t>p-value</w:t>
            </w:r>
          </w:p>
        </w:tc>
        <w:tc>
          <w:tcPr>
            <w:tcW w:w="1817" w:type="dxa"/>
            <w:vAlign w:val="center"/>
          </w:tcPr>
          <w:p w14:paraId="67B7450F" w14:textId="77777777" w:rsidR="002E3A60" w:rsidRPr="00BF60BC" w:rsidRDefault="002E3A60" w:rsidP="00655F22">
            <w:pPr>
              <w:jc w:val="both"/>
              <w:rPr>
                <w:rFonts w:cstheme="minorHAnsi"/>
                <w:b/>
              </w:rPr>
            </w:pPr>
            <w:r w:rsidRPr="00BF60BC">
              <w:rPr>
                <w:rFonts w:cstheme="minorHAnsi"/>
                <w:b/>
              </w:rPr>
              <w:t>Sex* exposure interaction</w:t>
            </w:r>
          </w:p>
          <w:p w14:paraId="71537E92" w14:textId="2430D281" w:rsidR="00AB69DD" w:rsidRPr="00BF60BC" w:rsidRDefault="00AB69DD" w:rsidP="00655F22">
            <w:pPr>
              <w:jc w:val="both"/>
              <w:rPr>
                <w:rFonts w:cstheme="minorHAnsi"/>
                <w:b/>
              </w:rPr>
            </w:pPr>
            <w:r w:rsidRPr="00BF60BC">
              <w:rPr>
                <w:rFonts w:cstheme="minorHAnsi"/>
                <w:b/>
              </w:rPr>
              <w:t>p-value</w:t>
            </w:r>
          </w:p>
        </w:tc>
        <w:tc>
          <w:tcPr>
            <w:tcW w:w="1948" w:type="dxa"/>
            <w:tcBorders>
              <w:bottom w:val="dotted" w:sz="4" w:space="0" w:color="auto"/>
            </w:tcBorders>
            <w:vAlign w:val="center"/>
          </w:tcPr>
          <w:p w14:paraId="2B2B8DEB" w14:textId="77777777" w:rsidR="002E3A60" w:rsidRPr="00BF60BC" w:rsidRDefault="002E3A60" w:rsidP="00655F22">
            <w:pPr>
              <w:jc w:val="both"/>
              <w:rPr>
                <w:rFonts w:cstheme="minorHAnsi"/>
                <w:b/>
              </w:rPr>
            </w:pPr>
            <w:r w:rsidRPr="00BF60BC">
              <w:rPr>
                <w:rFonts w:cstheme="minorHAnsi"/>
                <w:b/>
              </w:rPr>
              <w:t>Males:</w:t>
            </w:r>
          </w:p>
          <w:p w14:paraId="40F032FC" w14:textId="6F33848C" w:rsidR="002E3A60" w:rsidRPr="00BF60BC" w:rsidRDefault="002E3A60" w:rsidP="00655F22">
            <w:pPr>
              <w:jc w:val="both"/>
              <w:rPr>
                <w:rFonts w:cstheme="minorHAnsi"/>
                <w:b/>
              </w:rPr>
            </w:pPr>
            <w:r w:rsidRPr="00BF60BC">
              <w:rPr>
                <w:rFonts w:cstheme="minorHAnsi"/>
                <w:b/>
              </w:rPr>
              <w:t>Multivariable</w:t>
            </w:r>
          </w:p>
          <w:p w14:paraId="59E0B361" w14:textId="2670DDAE" w:rsidR="002E3A60" w:rsidRPr="00BF60BC" w:rsidRDefault="002E3A60" w:rsidP="00655F22">
            <w:pPr>
              <w:jc w:val="both"/>
              <w:rPr>
                <w:rFonts w:cstheme="minorHAnsi"/>
                <w:b/>
              </w:rPr>
            </w:pPr>
            <w:r w:rsidRPr="00BF60BC">
              <w:rPr>
                <w:rFonts w:cstheme="minorHAnsi"/>
                <w:b/>
              </w:rPr>
              <w:t>Mean difference</w:t>
            </w:r>
          </w:p>
          <w:p w14:paraId="1C4E752B" w14:textId="52F52890" w:rsidR="002E3A60" w:rsidRPr="00BF60BC" w:rsidRDefault="002E3A60" w:rsidP="00655F22">
            <w:pPr>
              <w:jc w:val="both"/>
              <w:rPr>
                <w:rFonts w:cstheme="minorHAnsi"/>
                <w:b/>
              </w:rPr>
            </w:pPr>
            <w:r w:rsidRPr="00BF60BC">
              <w:rPr>
                <w:rFonts w:cstheme="minorHAnsi"/>
                <w:b/>
              </w:rPr>
              <w:t>(95% CI)</w:t>
            </w:r>
          </w:p>
          <w:p w14:paraId="08F1BFCD" w14:textId="2221F9AD" w:rsidR="002E3A60" w:rsidRPr="00BF60BC" w:rsidRDefault="002E3A60" w:rsidP="00655F22">
            <w:pPr>
              <w:jc w:val="both"/>
              <w:rPr>
                <w:rFonts w:cstheme="minorHAnsi"/>
                <w:b/>
              </w:rPr>
            </w:pPr>
            <w:r w:rsidRPr="00BF60BC">
              <w:rPr>
                <w:rFonts w:cstheme="minorHAnsi"/>
                <w:b/>
              </w:rPr>
              <w:t>p-value</w:t>
            </w:r>
          </w:p>
        </w:tc>
        <w:tc>
          <w:tcPr>
            <w:tcW w:w="2132" w:type="dxa"/>
            <w:vAlign w:val="center"/>
          </w:tcPr>
          <w:p w14:paraId="3D57D265" w14:textId="06A3F7F9" w:rsidR="002E3A60" w:rsidRPr="00BF60BC" w:rsidRDefault="002E3A60" w:rsidP="00655F22">
            <w:pPr>
              <w:jc w:val="both"/>
              <w:rPr>
                <w:rFonts w:cstheme="minorHAnsi"/>
                <w:b/>
              </w:rPr>
            </w:pPr>
            <w:r w:rsidRPr="00BF60BC">
              <w:rPr>
                <w:rFonts w:cstheme="minorHAnsi"/>
                <w:b/>
              </w:rPr>
              <w:t xml:space="preserve">Exposure*cohort </w:t>
            </w:r>
            <w:r w:rsidR="00853BC0" w:rsidRPr="00BF60BC">
              <w:rPr>
                <w:rFonts w:cstheme="minorHAnsi"/>
                <w:b/>
              </w:rPr>
              <w:t>interaction p-</w:t>
            </w:r>
            <w:proofErr w:type="gramStart"/>
            <w:r w:rsidR="00853BC0" w:rsidRPr="00BF60BC">
              <w:rPr>
                <w:rFonts w:cstheme="minorHAnsi"/>
                <w:b/>
              </w:rPr>
              <w:t xml:space="preserve">value </w:t>
            </w:r>
            <w:r w:rsidRPr="00BF60BC">
              <w:rPr>
                <w:rFonts w:cstheme="minorHAnsi"/>
                <w:b/>
              </w:rPr>
              <w:t xml:space="preserve"> (</w:t>
            </w:r>
            <w:proofErr w:type="gramEnd"/>
            <w:r w:rsidRPr="00BF60BC">
              <w:rPr>
                <w:rFonts w:cstheme="minorHAnsi"/>
                <w:b/>
              </w:rPr>
              <w:t>males)</w:t>
            </w:r>
          </w:p>
        </w:tc>
        <w:tc>
          <w:tcPr>
            <w:tcW w:w="2025" w:type="dxa"/>
            <w:tcBorders>
              <w:bottom w:val="dotted" w:sz="4" w:space="0" w:color="auto"/>
            </w:tcBorders>
            <w:vAlign w:val="center"/>
          </w:tcPr>
          <w:p w14:paraId="6D2F4BFF" w14:textId="77777777" w:rsidR="002E3A60" w:rsidRPr="00BF60BC" w:rsidRDefault="002E3A60" w:rsidP="00655F22">
            <w:pPr>
              <w:jc w:val="both"/>
              <w:rPr>
                <w:rFonts w:cstheme="minorHAnsi"/>
                <w:b/>
              </w:rPr>
            </w:pPr>
            <w:r w:rsidRPr="00BF60BC">
              <w:rPr>
                <w:rFonts w:cstheme="minorHAnsi"/>
                <w:b/>
              </w:rPr>
              <w:t>Females Multivariable Model</w:t>
            </w:r>
          </w:p>
          <w:p w14:paraId="4A8377A3" w14:textId="0C7421C4" w:rsidR="002E3A60" w:rsidRPr="00BF60BC" w:rsidRDefault="002E3A60" w:rsidP="00655F22">
            <w:pPr>
              <w:jc w:val="both"/>
              <w:rPr>
                <w:rFonts w:cstheme="minorHAnsi"/>
                <w:b/>
              </w:rPr>
            </w:pPr>
            <w:r w:rsidRPr="00BF60BC">
              <w:rPr>
                <w:rFonts w:cstheme="minorHAnsi"/>
                <w:b/>
              </w:rPr>
              <w:t>Mean difference</w:t>
            </w:r>
          </w:p>
          <w:p w14:paraId="309187C0" w14:textId="5E400D5B" w:rsidR="002E3A60" w:rsidRPr="00BF60BC" w:rsidRDefault="002E3A60" w:rsidP="00655F22">
            <w:pPr>
              <w:jc w:val="both"/>
              <w:rPr>
                <w:rFonts w:cstheme="minorHAnsi"/>
                <w:b/>
              </w:rPr>
            </w:pPr>
            <w:r w:rsidRPr="00BF60BC">
              <w:rPr>
                <w:rFonts w:cstheme="minorHAnsi"/>
                <w:b/>
              </w:rPr>
              <w:t>(95% CI)</w:t>
            </w:r>
          </w:p>
          <w:p w14:paraId="5A119AEE" w14:textId="5A4D3BE4" w:rsidR="002E3A60" w:rsidRPr="00BF60BC" w:rsidRDefault="002E3A60" w:rsidP="00655F22">
            <w:pPr>
              <w:jc w:val="both"/>
              <w:rPr>
                <w:rFonts w:cstheme="minorHAnsi"/>
                <w:b/>
              </w:rPr>
            </w:pPr>
            <w:r w:rsidRPr="00BF60BC">
              <w:rPr>
                <w:rFonts w:cstheme="minorHAnsi"/>
                <w:b/>
              </w:rPr>
              <w:t>p-value</w:t>
            </w:r>
          </w:p>
        </w:tc>
        <w:tc>
          <w:tcPr>
            <w:tcW w:w="2227" w:type="dxa"/>
            <w:vAlign w:val="center"/>
          </w:tcPr>
          <w:p w14:paraId="70716F8E" w14:textId="4891A748" w:rsidR="002E3A60" w:rsidRPr="00BF60BC" w:rsidRDefault="002E3A60" w:rsidP="00655F22">
            <w:pPr>
              <w:jc w:val="both"/>
              <w:rPr>
                <w:rFonts w:cstheme="minorHAnsi"/>
                <w:b/>
              </w:rPr>
            </w:pPr>
            <w:r w:rsidRPr="00BF60BC">
              <w:rPr>
                <w:rFonts w:cstheme="minorHAnsi"/>
                <w:b/>
              </w:rPr>
              <w:t>Exposure*</w:t>
            </w:r>
            <w:proofErr w:type="gramStart"/>
            <w:r w:rsidRPr="00BF60BC">
              <w:rPr>
                <w:rFonts w:cstheme="minorHAnsi"/>
                <w:b/>
              </w:rPr>
              <w:t xml:space="preserve">cohort </w:t>
            </w:r>
            <w:r w:rsidR="00853BC0" w:rsidRPr="00BF60BC">
              <w:rPr>
                <w:rFonts w:cstheme="minorHAnsi"/>
                <w:b/>
              </w:rPr>
              <w:t xml:space="preserve"> interaction</w:t>
            </w:r>
            <w:proofErr w:type="gramEnd"/>
            <w:r w:rsidR="00853BC0" w:rsidRPr="00BF60BC">
              <w:rPr>
                <w:rFonts w:cstheme="minorHAnsi"/>
                <w:b/>
              </w:rPr>
              <w:t xml:space="preserve"> p-value  </w:t>
            </w:r>
            <w:r w:rsidRPr="00BF60BC">
              <w:rPr>
                <w:rFonts w:cstheme="minorHAnsi"/>
                <w:b/>
              </w:rPr>
              <w:t>(females)</w:t>
            </w:r>
          </w:p>
        </w:tc>
      </w:tr>
      <w:tr w:rsidR="002E3A60" w:rsidRPr="00BF60BC" w14:paraId="217380DB" w14:textId="77777777" w:rsidTr="00925592">
        <w:trPr>
          <w:trHeight w:val="267"/>
        </w:trPr>
        <w:tc>
          <w:tcPr>
            <w:tcW w:w="15877" w:type="dxa"/>
            <w:gridSpan w:val="8"/>
            <w:tcBorders>
              <w:bottom w:val="single" w:sz="4" w:space="0" w:color="auto"/>
            </w:tcBorders>
            <w:shd w:val="clear" w:color="auto" w:fill="E7E6E6" w:themeFill="background2"/>
            <w:vAlign w:val="center"/>
          </w:tcPr>
          <w:p w14:paraId="62F30E2B" w14:textId="743EF575" w:rsidR="002E3A60" w:rsidRPr="00BF60BC" w:rsidRDefault="002E3A60" w:rsidP="00655F22">
            <w:pPr>
              <w:jc w:val="both"/>
              <w:rPr>
                <w:rFonts w:cstheme="minorHAnsi"/>
                <w:b/>
                <w:bCs/>
              </w:rPr>
            </w:pPr>
            <w:r w:rsidRPr="00BF60BC">
              <w:rPr>
                <w:rFonts w:cstheme="minorHAnsi"/>
                <w:b/>
                <w:bCs/>
                <w:i/>
              </w:rPr>
              <w:t>What are you currently trying to do about your weight?  (</w:t>
            </w:r>
            <w:r w:rsidR="005B20A9" w:rsidRPr="00BF60BC">
              <w:rPr>
                <w:rFonts w:cstheme="minorHAnsi"/>
                <w:b/>
                <w:bCs/>
                <w:i/>
              </w:rPr>
              <w:t xml:space="preserve">Years </w:t>
            </w:r>
            <w:r w:rsidRPr="00BF60BC">
              <w:rPr>
                <w:rFonts w:cstheme="minorHAnsi"/>
                <w:b/>
                <w:bCs/>
                <w:i/>
              </w:rPr>
              <w:t xml:space="preserve">included: </w:t>
            </w:r>
            <w:r w:rsidR="005B20A9" w:rsidRPr="00BF60BC">
              <w:rPr>
                <w:rFonts w:cstheme="minorHAnsi"/>
                <w:b/>
                <w:bCs/>
                <w:i/>
              </w:rPr>
              <w:t>2005</w:t>
            </w:r>
            <w:r w:rsidRPr="00BF60BC">
              <w:rPr>
                <w:rFonts w:cstheme="minorHAnsi"/>
                <w:b/>
                <w:bCs/>
                <w:i/>
              </w:rPr>
              <w:t xml:space="preserve">, </w:t>
            </w:r>
            <w:r w:rsidR="005B20A9" w:rsidRPr="00BF60BC">
              <w:rPr>
                <w:rFonts w:cstheme="minorHAnsi"/>
                <w:b/>
                <w:bCs/>
                <w:i/>
              </w:rPr>
              <w:t>2015</w:t>
            </w:r>
            <w:r w:rsidRPr="00BF60BC">
              <w:rPr>
                <w:rFonts w:cstheme="minorHAnsi"/>
                <w:b/>
                <w:bCs/>
                <w:i/>
              </w:rPr>
              <w:t xml:space="preserve"> (n=18,746))</w:t>
            </w:r>
          </w:p>
        </w:tc>
      </w:tr>
      <w:tr w:rsidR="002E3A60" w:rsidRPr="00BF60BC" w14:paraId="3DD05BC2" w14:textId="77777777" w:rsidTr="00925592">
        <w:trPr>
          <w:trHeight w:val="611"/>
        </w:trPr>
        <w:tc>
          <w:tcPr>
            <w:tcW w:w="1986" w:type="dxa"/>
            <w:tcBorders>
              <w:top w:val="nil"/>
              <w:right w:val="nil"/>
            </w:tcBorders>
          </w:tcPr>
          <w:p w14:paraId="7B93F3CE" w14:textId="77777777" w:rsidR="002E3A60" w:rsidRPr="00BF60BC" w:rsidRDefault="002E3A60" w:rsidP="00655F22">
            <w:pPr>
              <w:jc w:val="both"/>
              <w:rPr>
                <w:rFonts w:cstheme="minorHAnsi"/>
                <w:i/>
              </w:rPr>
            </w:pPr>
            <w:r w:rsidRPr="00BF60BC">
              <w:rPr>
                <w:rFonts w:cstheme="minorHAnsi"/>
                <w:i/>
              </w:rPr>
              <w:t>Dieting (yes vs no)</w:t>
            </w:r>
          </w:p>
          <w:p w14:paraId="75FD2356" w14:textId="77777777" w:rsidR="002E3A60" w:rsidRPr="00BF60BC" w:rsidRDefault="002E3A60" w:rsidP="00655F22">
            <w:pPr>
              <w:jc w:val="both"/>
              <w:rPr>
                <w:rFonts w:cstheme="minorHAnsi"/>
                <w:i/>
              </w:rPr>
            </w:pPr>
          </w:p>
        </w:tc>
        <w:tc>
          <w:tcPr>
            <w:tcW w:w="1778" w:type="dxa"/>
            <w:tcBorders>
              <w:top w:val="nil"/>
              <w:left w:val="nil"/>
              <w:right w:val="nil"/>
            </w:tcBorders>
            <w:vAlign w:val="center"/>
          </w:tcPr>
          <w:p w14:paraId="0B41A40A" w14:textId="5FFF7FE1" w:rsidR="002E3A60" w:rsidRPr="00BF60BC" w:rsidRDefault="002E3A60" w:rsidP="00655F22">
            <w:pPr>
              <w:jc w:val="both"/>
              <w:rPr>
                <w:rFonts w:cstheme="minorHAnsi"/>
              </w:rPr>
            </w:pPr>
            <w:r w:rsidRPr="00BF60BC">
              <w:rPr>
                <w:rFonts w:cstheme="minorHAnsi"/>
              </w:rPr>
              <w:t>0.45</w:t>
            </w:r>
          </w:p>
          <w:p w14:paraId="703EC89B" w14:textId="77777777" w:rsidR="002E3A60" w:rsidRPr="00BF60BC" w:rsidRDefault="002E3A60" w:rsidP="00655F22">
            <w:pPr>
              <w:jc w:val="both"/>
              <w:rPr>
                <w:rFonts w:cstheme="minorHAnsi"/>
              </w:rPr>
            </w:pPr>
            <w:r w:rsidRPr="00BF60BC">
              <w:rPr>
                <w:rFonts w:cstheme="minorHAnsi"/>
              </w:rPr>
              <w:t>(0.41, 0.48)</w:t>
            </w:r>
          </w:p>
          <w:p w14:paraId="33A2CC42" w14:textId="2A2906AC" w:rsidR="002E3A60" w:rsidRPr="00BF60BC" w:rsidRDefault="002E3A60" w:rsidP="00655F22">
            <w:pPr>
              <w:jc w:val="both"/>
              <w:rPr>
                <w:rFonts w:cstheme="minorHAnsi"/>
              </w:rPr>
            </w:pPr>
          </w:p>
        </w:tc>
        <w:tc>
          <w:tcPr>
            <w:tcW w:w="1964" w:type="dxa"/>
            <w:tcBorders>
              <w:top w:val="nil"/>
              <w:left w:val="nil"/>
              <w:right w:val="nil"/>
            </w:tcBorders>
            <w:vAlign w:val="center"/>
          </w:tcPr>
          <w:p w14:paraId="0782D3D3" w14:textId="67D9C3B6" w:rsidR="002E3A60" w:rsidRPr="00BF60BC" w:rsidRDefault="002E3A60" w:rsidP="00655F22">
            <w:pPr>
              <w:jc w:val="both"/>
              <w:rPr>
                <w:rFonts w:cstheme="minorHAnsi"/>
              </w:rPr>
            </w:pPr>
            <w:r w:rsidRPr="00BF60BC">
              <w:rPr>
                <w:rFonts w:cstheme="minorHAnsi"/>
              </w:rPr>
              <w:t>0.37</w:t>
            </w:r>
          </w:p>
          <w:p w14:paraId="410502F2" w14:textId="77777777" w:rsidR="002E3A60" w:rsidRPr="00BF60BC" w:rsidRDefault="002E3A60" w:rsidP="00655F22">
            <w:pPr>
              <w:jc w:val="both"/>
              <w:rPr>
                <w:rFonts w:cstheme="minorHAnsi"/>
              </w:rPr>
            </w:pPr>
            <w:r w:rsidRPr="00BF60BC">
              <w:rPr>
                <w:rFonts w:cstheme="minorHAnsi"/>
              </w:rPr>
              <w:t>(0.33, 0.41)</w:t>
            </w:r>
          </w:p>
          <w:p w14:paraId="784EC7B7" w14:textId="6A2C13C6" w:rsidR="002E3A60" w:rsidRPr="00BF60BC" w:rsidRDefault="002E3A60" w:rsidP="00655F22">
            <w:pPr>
              <w:jc w:val="both"/>
              <w:rPr>
                <w:rFonts w:cstheme="minorHAnsi"/>
              </w:rPr>
            </w:pPr>
          </w:p>
        </w:tc>
        <w:tc>
          <w:tcPr>
            <w:tcW w:w="1817" w:type="dxa"/>
            <w:tcBorders>
              <w:top w:val="nil"/>
              <w:left w:val="nil"/>
              <w:right w:val="nil"/>
            </w:tcBorders>
            <w:vAlign w:val="center"/>
          </w:tcPr>
          <w:p w14:paraId="1027EBCF" w14:textId="6D997EFE" w:rsidR="002E3A60" w:rsidRPr="00BF60BC" w:rsidRDefault="00B744C7" w:rsidP="00655F22">
            <w:pPr>
              <w:jc w:val="both"/>
              <w:rPr>
                <w:rFonts w:cstheme="minorHAnsi"/>
              </w:rPr>
            </w:pPr>
            <w:r w:rsidRPr="00BF60BC">
              <w:rPr>
                <w:rFonts w:cstheme="minorHAnsi"/>
              </w:rPr>
              <w:t>p&lt;0.001</w:t>
            </w:r>
          </w:p>
          <w:p w14:paraId="668E2EFA" w14:textId="599E34B3" w:rsidR="002E3A60" w:rsidRPr="00BF60BC" w:rsidRDefault="002E3A60" w:rsidP="00655F22">
            <w:pPr>
              <w:jc w:val="both"/>
              <w:rPr>
                <w:rFonts w:cstheme="minorHAnsi"/>
              </w:rPr>
            </w:pPr>
          </w:p>
        </w:tc>
        <w:tc>
          <w:tcPr>
            <w:tcW w:w="1948" w:type="dxa"/>
            <w:tcBorders>
              <w:top w:val="nil"/>
              <w:left w:val="nil"/>
              <w:right w:val="nil"/>
            </w:tcBorders>
            <w:vAlign w:val="center"/>
          </w:tcPr>
          <w:p w14:paraId="77AD1CCC" w14:textId="28360951" w:rsidR="002E3A60" w:rsidRPr="00BF60BC" w:rsidRDefault="002E3A60" w:rsidP="00655F22">
            <w:pPr>
              <w:jc w:val="both"/>
              <w:rPr>
                <w:rFonts w:cstheme="minorHAnsi"/>
              </w:rPr>
            </w:pPr>
            <w:r w:rsidRPr="00BF60BC">
              <w:rPr>
                <w:rFonts w:cstheme="minorHAnsi"/>
              </w:rPr>
              <w:t>0.26</w:t>
            </w:r>
          </w:p>
          <w:p w14:paraId="4736BCE3" w14:textId="77777777" w:rsidR="002E3A60" w:rsidRPr="00BF60BC" w:rsidRDefault="002E3A60" w:rsidP="00655F22">
            <w:pPr>
              <w:jc w:val="both"/>
              <w:rPr>
                <w:rFonts w:cstheme="minorHAnsi"/>
              </w:rPr>
            </w:pPr>
            <w:r w:rsidRPr="00BF60BC">
              <w:rPr>
                <w:rFonts w:cstheme="minorHAnsi"/>
              </w:rPr>
              <w:t>(0.20, 0.32)</w:t>
            </w:r>
          </w:p>
          <w:p w14:paraId="19F93732" w14:textId="54023EE6" w:rsidR="002E3A60" w:rsidRPr="00BF60BC" w:rsidRDefault="002E3A60" w:rsidP="00655F22">
            <w:pPr>
              <w:jc w:val="both"/>
              <w:rPr>
                <w:rFonts w:cstheme="minorHAnsi"/>
              </w:rPr>
            </w:pPr>
          </w:p>
        </w:tc>
        <w:tc>
          <w:tcPr>
            <w:tcW w:w="2132" w:type="dxa"/>
            <w:tcBorders>
              <w:top w:val="nil"/>
              <w:left w:val="nil"/>
              <w:right w:val="nil"/>
            </w:tcBorders>
            <w:vAlign w:val="center"/>
          </w:tcPr>
          <w:p w14:paraId="5C337F4F" w14:textId="7313512C" w:rsidR="002E3A60" w:rsidRPr="00BF60BC" w:rsidRDefault="003A5FDF" w:rsidP="00655F22">
            <w:pPr>
              <w:jc w:val="both"/>
              <w:rPr>
                <w:rFonts w:cstheme="minorHAnsi"/>
              </w:rPr>
            </w:pPr>
            <w:r w:rsidRPr="00BF60BC">
              <w:rPr>
                <w:rFonts w:cstheme="minorHAnsi"/>
              </w:rPr>
              <w:t>p=0.11</w:t>
            </w:r>
          </w:p>
          <w:p w14:paraId="3EA7E200" w14:textId="6D7DC9D9" w:rsidR="002E3A60" w:rsidRPr="00BF60BC" w:rsidRDefault="002E3A60" w:rsidP="00655F22">
            <w:pPr>
              <w:jc w:val="both"/>
              <w:rPr>
                <w:rFonts w:cstheme="minorHAnsi"/>
              </w:rPr>
            </w:pPr>
          </w:p>
        </w:tc>
        <w:tc>
          <w:tcPr>
            <w:tcW w:w="2025" w:type="dxa"/>
            <w:tcBorders>
              <w:top w:val="nil"/>
              <w:left w:val="nil"/>
              <w:right w:val="nil"/>
            </w:tcBorders>
            <w:vAlign w:val="center"/>
          </w:tcPr>
          <w:p w14:paraId="4995EDD8" w14:textId="3C1026FE" w:rsidR="002E3A60" w:rsidRPr="00BF60BC" w:rsidRDefault="002E3A60" w:rsidP="00655F22">
            <w:pPr>
              <w:jc w:val="both"/>
              <w:rPr>
                <w:rFonts w:cstheme="minorHAnsi"/>
              </w:rPr>
            </w:pPr>
            <w:r w:rsidRPr="00BF60BC">
              <w:rPr>
                <w:rFonts w:cstheme="minorHAnsi"/>
              </w:rPr>
              <w:t>0.49</w:t>
            </w:r>
          </w:p>
          <w:p w14:paraId="17D25B20" w14:textId="77777777" w:rsidR="002E3A60" w:rsidRPr="00BF60BC" w:rsidRDefault="002E3A60" w:rsidP="00655F22">
            <w:pPr>
              <w:jc w:val="both"/>
              <w:rPr>
                <w:rFonts w:cstheme="minorHAnsi"/>
              </w:rPr>
            </w:pPr>
            <w:r w:rsidRPr="00BF60BC">
              <w:rPr>
                <w:rFonts w:cstheme="minorHAnsi"/>
              </w:rPr>
              <w:t>(0.43, 0.54)</w:t>
            </w:r>
          </w:p>
          <w:p w14:paraId="7BFEA46D" w14:textId="7784CAB8" w:rsidR="002E3A60" w:rsidRPr="00BF60BC" w:rsidRDefault="002E3A60" w:rsidP="00655F22">
            <w:pPr>
              <w:jc w:val="both"/>
              <w:rPr>
                <w:rFonts w:cstheme="minorHAnsi"/>
              </w:rPr>
            </w:pPr>
          </w:p>
        </w:tc>
        <w:tc>
          <w:tcPr>
            <w:tcW w:w="2227" w:type="dxa"/>
            <w:tcBorders>
              <w:top w:val="nil"/>
              <w:left w:val="nil"/>
            </w:tcBorders>
            <w:vAlign w:val="center"/>
          </w:tcPr>
          <w:p w14:paraId="04F894B6" w14:textId="7059D1BA" w:rsidR="002E3A60" w:rsidRPr="00BF60BC" w:rsidRDefault="003A5FDF" w:rsidP="00655F22">
            <w:pPr>
              <w:jc w:val="both"/>
              <w:rPr>
                <w:rFonts w:cstheme="minorHAnsi"/>
              </w:rPr>
            </w:pPr>
            <w:r w:rsidRPr="00BF60BC">
              <w:rPr>
                <w:rFonts w:cstheme="minorHAnsi"/>
              </w:rPr>
              <w:t>p&lt;0.001</w:t>
            </w:r>
          </w:p>
          <w:p w14:paraId="4F6DAE9B" w14:textId="3220CC2A" w:rsidR="002E3A60" w:rsidRPr="00BF60BC" w:rsidRDefault="002E3A60" w:rsidP="00655F22">
            <w:pPr>
              <w:jc w:val="both"/>
              <w:rPr>
                <w:rFonts w:cstheme="minorHAnsi"/>
              </w:rPr>
            </w:pPr>
          </w:p>
        </w:tc>
      </w:tr>
      <w:tr w:rsidR="002E3A60" w:rsidRPr="00BF60BC" w14:paraId="701A0703" w14:textId="77777777" w:rsidTr="00925592">
        <w:trPr>
          <w:trHeight w:val="267"/>
        </w:trPr>
        <w:tc>
          <w:tcPr>
            <w:tcW w:w="15877" w:type="dxa"/>
            <w:gridSpan w:val="8"/>
            <w:tcBorders>
              <w:bottom w:val="single" w:sz="4" w:space="0" w:color="auto"/>
            </w:tcBorders>
            <w:shd w:val="clear" w:color="auto" w:fill="E7E6E6" w:themeFill="background2"/>
          </w:tcPr>
          <w:p w14:paraId="7D5CE715" w14:textId="74C8BEEB" w:rsidR="002E3A60" w:rsidRPr="00BF60BC" w:rsidRDefault="002E3A60" w:rsidP="00655F22">
            <w:pPr>
              <w:jc w:val="both"/>
              <w:rPr>
                <w:rFonts w:cstheme="minorHAnsi"/>
                <w:b/>
                <w:bCs/>
                <w:i/>
                <w:iCs/>
              </w:rPr>
            </w:pPr>
            <w:r w:rsidRPr="00BF60BC">
              <w:rPr>
                <w:rFonts w:cstheme="minorHAnsi"/>
                <w:b/>
                <w:bCs/>
                <w:i/>
              </w:rPr>
              <w:t xml:space="preserve">Lifetime exercise for weight loss </w:t>
            </w:r>
            <w:proofErr w:type="gramStart"/>
            <w:r w:rsidRPr="00BF60BC">
              <w:rPr>
                <w:rFonts w:cstheme="minorHAnsi"/>
                <w:b/>
                <w:bCs/>
                <w:i/>
              </w:rPr>
              <w:t>(</w:t>
            </w:r>
            <w:r w:rsidR="005B20A9" w:rsidRPr="00BF60BC">
              <w:rPr>
                <w:rFonts w:cstheme="minorHAnsi"/>
                <w:b/>
                <w:bCs/>
                <w:i/>
              </w:rPr>
              <w:t xml:space="preserve"> Years</w:t>
            </w:r>
            <w:proofErr w:type="gramEnd"/>
            <w:r w:rsidR="005B20A9" w:rsidRPr="00BF60BC">
              <w:rPr>
                <w:rFonts w:cstheme="minorHAnsi"/>
                <w:b/>
                <w:bCs/>
                <w:i/>
              </w:rPr>
              <w:t xml:space="preserve"> </w:t>
            </w:r>
            <w:r w:rsidRPr="00BF60BC">
              <w:rPr>
                <w:rFonts w:cstheme="minorHAnsi"/>
                <w:b/>
                <w:bCs/>
                <w:i/>
              </w:rPr>
              <w:t xml:space="preserve">included: </w:t>
            </w:r>
            <w:r w:rsidR="005B20A9" w:rsidRPr="00BF60BC">
              <w:rPr>
                <w:rFonts w:cstheme="minorHAnsi"/>
                <w:b/>
                <w:bCs/>
                <w:i/>
              </w:rPr>
              <w:t>1986, 2015</w:t>
            </w:r>
            <w:r w:rsidRPr="00BF60BC">
              <w:rPr>
                <w:rFonts w:cstheme="minorHAnsi"/>
                <w:b/>
                <w:bCs/>
                <w:i/>
              </w:rPr>
              <w:t xml:space="preserve"> </w:t>
            </w:r>
            <w:r w:rsidRPr="00BF60BC">
              <w:rPr>
                <w:rFonts w:cstheme="minorHAnsi"/>
                <w:b/>
                <w:i/>
              </w:rPr>
              <w:t>(n=18,913))</w:t>
            </w:r>
          </w:p>
        </w:tc>
      </w:tr>
      <w:tr w:rsidR="002E3A60" w:rsidRPr="00BF60BC" w14:paraId="53708CF5" w14:textId="77777777" w:rsidTr="00925592">
        <w:trPr>
          <w:trHeight w:val="248"/>
        </w:trPr>
        <w:tc>
          <w:tcPr>
            <w:tcW w:w="1986" w:type="dxa"/>
            <w:tcBorders>
              <w:right w:val="nil"/>
            </w:tcBorders>
          </w:tcPr>
          <w:p w14:paraId="318BFDFE" w14:textId="77777777" w:rsidR="002E3A60" w:rsidRPr="00BF60BC" w:rsidRDefault="002E3A60" w:rsidP="00655F22">
            <w:pPr>
              <w:jc w:val="both"/>
              <w:rPr>
                <w:rFonts w:cstheme="minorHAnsi"/>
                <w:i/>
              </w:rPr>
            </w:pPr>
            <w:r w:rsidRPr="00BF60BC">
              <w:rPr>
                <w:rFonts w:cstheme="minorHAnsi"/>
                <w:i/>
              </w:rPr>
              <w:t>Exercise for weight loss (yes vs no)</w:t>
            </w:r>
          </w:p>
        </w:tc>
        <w:tc>
          <w:tcPr>
            <w:tcW w:w="1778" w:type="dxa"/>
            <w:tcBorders>
              <w:left w:val="nil"/>
              <w:right w:val="nil"/>
            </w:tcBorders>
            <w:vAlign w:val="center"/>
          </w:tcPr>
          <w:p w14:paraId="629BD582" w14:textId="52B4AB73" w:rsidR="002E3A60" w:rsidRPr="00BF60BC" w:rsidRDefault="002E3A60" w:rsidP="00655F22">
            <w:pPr>
              <w:jc w:val="both"/>
              <w:rPr>
                <w:rFonts w:cstheme="minorHAnsi"/>
              </w:rPr>
            </w:pPr>
            <w:r w:rsidRPr="00BF60BC">
              <w:rPr>
                <w:rFonts w:cstheme="minorHAnsi"/>
              </w:rPr>
              <w:t>0.23</w:t>
            </w:r>
          </w:p>
          <w:p w14:paraId="0F5ACD12" w14:textId="77777777" w:rsidR="002E3A60" w:rsidRPr="00BF60BC" w:rsidRDefault="002E3A60" w:rsidP="00655F22">
            <w:pPr>
              <w:jc w:val="both"/>
              <w:rPr>
                <w:rFonts w:cstheme="minorHAnsi"/>
              </w:rPr>
            </w:pPr>
            <w:r w:rsidRPr="00BF60BC">
              <w:rPr>
                <w:rFonts w:cstheme="minorHAnsi"/>
              </w:rPr>
              <w:t>(0.20, 0.27)</w:t>
            </w:r>
          </w:p>
          <w:p w14:paraId="2979F425" w14:textId="430BED95" w:rsidR="002E3A60" w:rsidRPr="00BF60BC" w:rsidRDefault="002E3A60" w:rsidP="00655F22">
            <w:pPr>
              <w:jc w:val="both"/>
              <w:rPr>
                <w:rFonts w:cstheme="minorHAnsi"/>
              </w:rPr>
            </w:pPr>
          </w:p>
        </w:tc>
        <w:tc>
          <w:tcPr>
            <w:tcW w:w="1964" w:type="dxa"/>
            <w:tcBorders>
              <w:left w:val="nil"/>
              <w:right w:val="nil"/>
            </w:tcBorders>
            <w:vAlign w:val="center"/>
          </w:tcPr>
          <w:p w14:paraId="469809A8" w14:textId="7822380F" w:rsidR="002E3A60" w:rsidRPr="00BF60BC" w:rsidRDefault="002E3A60" w:rsidP="00655F22">
            <w:pPr>
              <w:jc w:val="both"/>
              <w:rPr>
                <w:rFonts w:cstheme="minorHAnsi"/>
              </w:rPr>
            </w:pPr>
            <w:r w:rsidRPr="00BF60BC">
              <w:rPr>
                <w:rFonts w:cstheme="minorHAnsi"/>
              </w:rPr>
              <w:t>0.26</w:t>
            </w:r>
          </w:p>
          <w:p w14:paraId="51B7402E" w14:textId="77777777" w:rsidR="002E3A60" w:rsidRPr="00BF60BC" w:rsidRDefault="002E3A60" w:rsidP="00655F22">
            <w:pPr>
              <w:jc w:val="both"/>
              <w:rPr>
                <w:rFonts w:cstheme="minorHAnsi"/>
              </w:rPr>
            </w:pPr>
            <w:r w:rsidRPr="00BF60BC">
              <w:rPr>
                <w:rFonts w:cstheme="minorHAnsi"/>
              </w:rPr>
              <w:t>(0.22, 0.30)</w:t>
            </w:r>
          </w:p>
          <w:p w14:paraId="7E260FDB" w14:textId="254BC70E" w:rsidR="002E3A60" w:rsidRPr="00BF60BC" w:rsidRDefault="002E3A60" w:rsidP="00655F22">
            <w:pPr>
              <w:jc w:val="both"/>
              <w:rPr>
                <w:rFonts w:cstheme="minorHAnsi"/>
              </w:rPr>
            </w:pPr>
          </w:p>
        </w:tc>
        <w:tc>
          <w:tcPr>
            <w:tcW w:w="1817" w:type="dxa"/>
            <w:tcBorders>
              <w:left w:val="nil"/>
              <w:right w:val="nil"/>
            </w:tcBorders>
            <w:vAlign w:val="center"/>
          </w:tcPr>
          <w:p w14:paraId="1C540F67" w14:textId="34A9C791" w:rsidR="002E3A60" w:rsidRPr="00BF60BC" w:rsidRDefault="003A5FDF" w:rsidP="00655F22">
            <w:pPr>
              <w:jc w:val="both"/>
              <w:rPr>
                <w:rFonts w:cstheme="minorHAnsi"/>
              </w:rPr>
            </w:pPr>
            <w:r w:rsidRPr="00BF60BC">
              <w:rPr>
                <w:rFonts w:cstheme="minorHAnsi"/>
              </w:rPr>
              <w:t>p&lt;0.001</w:t>
            </w:r>
          </w:p>
          <w:p w14:paraId="5FDF9B10" w14:textId="42BD80AC" w:rsidR="002E3A60" w:rsidRPr="00BF60BC" w:rsidRDefault="002E3A60" w:rsidP="00655F22">
            <w:pPr>
              <w:jc w:val="both"/>
              <w:rPr>
                <w:rFonts w:cstheme="minorHAnsi"/>
              </w:rPr>
            </w:pPr>
          </w:p>
        </w:tc>
        <w:tc>
          <w:tcPr>
            <w:tcW w:w="1948" w:type="dxa"/>
            <w:tcBorders>
              <w:left w:val="nil"/>
              <w:right w:val="nil"/>
            </w:tcBorders>
            <w:vAlign w:val="center"/>
          </w:tcPr>
          <w:p w14:paraId="204C9AF1" w14:textId="53CD9D1F" w:rsidR="002E3A60" w:rsidRPr="00BF60BC" w:rsidRDefault="002E3A60" w:rsidP="00655F22">
            <w:pPr>
              <w:jc w:val="both"/>
              <w:rPr>
                <w:rFonts w:cstheme="minorHAnsi"/>
              </w:rPr>
            </w:pPr>
            <w:r w:rsidRPr="00BF60BC">
              <w:rPr>
                <w:rFonts w:cstheme="minorHAnsi"/>
              </w:rPr>
              <w:t>0.13</w:t>
            </w:r>
          </w:p>
          <w:p w14:paraId="35E0D922" w14:textId="77777777" w:rsidR="002E3A60" w:rsidRPr="00BF60BC" w:rsidRDefault="002E3A60" w:rsidP="00655F22">
            <w:pPr>
              <w:jc w:val="both"/>
              <w:rPr>
                <w:rFonts w:cstheme="minorHAnsi"/>
              </w:rPr>
            </w:pPr>
            <w:r w:rsidRPr="00BF60BC">
              <w:rPr>
                <w:rFonts w:cstheme="minorHAnsi"/>
              </w:rPr>
              <w:t>(0.08, 0.19)</w:t>
            </w:r>
          </w:p>
          <w:p w14:paraId="0DF6AF11" w14:textId="26B3C2D5" w:rsidR="002E3A60" w:rsidRPr="00BF60BC" w:rsidRDefault="002E3A60" w:rsidP="00655F22">
            <w:pPr>
              <w:jc w:val="both"/>
              <w:rPr>
                <w:rFonts w:cstheme="minorHAnsi"/>
              </w:rPr>
            </w:pPr>
          </w:p>
        </w:tc>
        <w:tc>
          <w:tcPr>
            <w:tcW w:w="2132" w:type="dxa"/>
            <w:tcBorders>
              <w:left w:val="nil"/>
              <w:right w:val="nil"/>
            </w:tcBorders>
            <w:vAlign w:val="center"/>
          </w:tcPr>
          <w:p w14:paraId="5BA3EE8D" w14:textId="0F3FD398" w:rsidR="002E3A60" w:rsidRPr="00BF60BC" w:rsidRDefault="003A5FDF" w:rsidP="00655F22">
            <w:pPr>
              <w:jc w:val="both"/>
              <w:rPr>
                <w:rFonts w:cstheme="minorHAnsi"/>
              </w:rPr>
            </w:pPr>
            <w:r w:rsidRPr="00BF60BC">
              <w:rPr>
                <w:rFonts w:cstheme="minorHAnsi"/>
              </w:rPr>
              <w:t>p=0.30</w:t>
            </w:r>
          </w:p>
          <w:p w14:paraId="3B038644" w14:textId="0925CDD5" w:rsidR="002E3A60" w:rsidRPr="00BF60BC" w:rsidRDefault="002E3A60" w:rsidP="00655F22">
            <w:pPr>
              <w:jc w:val="both"/>
              <w:rPr>
                <w:rFonts w:cstheme="minorHAnsi"/>
              </w:rPr>
            </w:pPr>
          </w:p>
        </w:tc>
        <w:tc>
          <w:tcPr>
            <w:tcW w:w="2025" w:type="dxa"/>
            <w:tcBorders>
              <w:left w:val="nil"/>
              <w:right w:val="nil"/>
            </w:tcBorders>
            <w:vAlign w:val="center"/>
          </w:tcPr>
          <w:p w14:paraId="1142BFE3" w14:textId="121189E7" w:rsidR="002E3A60" w:rsidRPr="00BF60BC" w:rsidRDefault="002E3A60" w:rsidP="00655F22">
            <w:pPr>
              <w:jc w:val="both"/>
              <w:rPr>
                <w:rFonts w:cstheme="minorHAnsi"/>
              </w:rPr>
            </w:pPr>
            <w:r w:rsidRPr="00BF60BC">
              <w:rPr>
                <w:rFonts w:cstheme="minorHAnsi"/>
              </w:rPr>
              <w:t>0.38</w:t>
            </w:r>
          </w:p>
          <w:p w14:paraId="48C8317E" w14:textId="77777777" w:rsidR="002E3A60" w:rsidRPr="00BF60BC" w:rsidRDefault="002E3A60" w:rsidP="00655F22">
            <w:pPr>
              <w:jc w:val="both"/>
              <w:rPr>
                <w:rFonts w:cstheme="minorHAnsi"/>
              </w:rPr>
            </w:pPr>
            <w:r w:rsidRPr="00BF60BC">
              <w:rPr>
                <w:rFonts w:cstheme="minorHAnsi"/>
              </w:rPr>
              <w:t>(0.32, 0.44)</w:t>
            </w:r>
          </w:p>
          <w:p w14:paraId="431F9A4C" w14:textId="345C1626" w:rsidR="002E3A60" w:rsidRPr="00BF60BC" w:rsidRDefault="002E3A60" w:rsidP="00655F22">
            <w:pPr>
              <w:jc w:val="both"/>
              <w:rPr>
                <w:rFonts w:cstheme="minorHAnsi"/>
              </w:rPr>
            </w:pPr>
          </w:p>
        </w:tc>
        <w:tc>
          <w:tcPr>
            <w:tcW w:w="2227" w:type="dxa"/>
            <w:tcBorders>
              <w:left w:val="nil"/>
            </w:tcBorders>
            <w:vAlign w:val="center"/>
          </w:tcPr>
          <w:p w14:paraId="48467E85" w14:textId="1762DED1" w:rsidR="002E3A60" w:rsidRPr="00BF60BC" w:rsidRDefault="003A5FDF" w:rsidP="00655F22">
            <w:pPr>
              <w:jc w:val="both"/>
              <w:rPr>
                <w:rFonts w:cstheme="minorHAnsi"/>
              </w:rPr>
            </w:pPr>
            <w:r w:rsidRPr="00BF60BC">
              <w:rPr>
                <w:rFonts w:cstheme="minorHAnsi"/>
              </w:rPr>
              <w:t>p&lt;0.001</w:t>
            </w:r>
          </w:p>
        </w:tc>
      </w:tr>
    </w:tbl>
    <w:p w14:paraId="5FE465D0" w14:textId="77777777" w:rsidR="00434F21" w:rsidRPr="00BF60BC" w:rsidRDefault="00434F21" w:rsidP="00655F22">
      <w:pPr>
        <w:jc w:val="both"/>
        <w:rPr>
          <w:b/>
          <w:sz w:val="24"/>
          <w:szCs w:val="24"/>
        </w:rPr>
      </w:pPr>
    </w:p>
    <w:p w14:paraId="4A2BF784" w14:textId="77777777" w:rsidR="00434F21" w:rsidRPr="00BF60BC" w:rsidRDefault="00434F21" w:rsidP="00655F22">
      <w:pPr>
        <w:jc w:val="both"/>
        <w:rPr>
          <w:b/>
          <w:sz w:val="24"/>
          <w:szCs w:val="24"/>
        </w:rPr>
      </w:pPr>
      <w:r w:rsidRPr="00BF60BC">
        <w:rPr>
          <w:b/>
          <w:sz w:val="24"/>
          <w:szCs w:val="24"/>
        </w:rPr>
        <w:br w:type="page"/>
      </w:r>
    </w:p>
    <w:p w14:paraId="3CA23F23" w14:textId="498F321F" w:rsidR="002E3A60" w:rsidRPr="00BF60BC" w:rsidRDefault="00173961" w:rsidP="00655F22">
      <w:pPr>
        <w:jc w:val="both"/>
        <w:rPr>
          <w:sz w:val="24"/>
          <w:szCs w:val="24"/>
        </w:rPr>
      </w:pPr>
      <w:r>
        <w:rPr>
          <w:b/>
          <w:sz w:val="24"/>
          <w:szCs w:val="24"/>
        </w:rPr>
        <w:lastRenderedPageBreak/>
        <w:t>Table</w:t>
      </w:r>
      <w:r w:rsidR="002E3A60" w:rsidRPr="00BF60BC">
        <w:rPr>
          <w:b/>
          <w:sz w:val="24"/>
          <w:szCs w:val="24"/>
        </w:rPr>
        <w:t xml:space="preserve"> </w:t>
      </w:r>
      <w:r w:rsidR="00EE7145" w:rsidRPr="00BF60BC">
        <w:rPr>
          <w:b/>
          <w:sz w:val="24"/>
          <w:szCs w:val="24"/>
        </w:rPr>
        <w:t>3</w:t>
      </w:r>
      <w:r w:rsidR="002E3A60" w:rsidRPr="00BF60BC">
        <w:rPr>
          <w:b/>
          <w:sz w:val="24"/>
          <w:szCs w:val="24"/>
        </w:rPr>
        <w:t xml:space="preserve"> </w:t>
      </w:r>
      <w:r w:rsidR="002E3A60" w:rsidRPr="00BF60BC">
        <w:rPr>
          <w:sz w:val="24"/>
          <w:szCs w:val="24"/>
        </w:rPr>
        <w:t>(continued)</w:t>
      </w:r>
    </w:p>
    <w:p w14:paraId="48D99E16" w14:textId="77777777" w:rsidR="00607BC6" w:rsidRPr="00BF60BC" w:rsidRDefault="00607BC6" w:rsidP="00655F22">
      <w:pPr>
        <w:spacing w:after="0" w:line="240" w:lineRule="auto"/>
        <w:jc w:val="both"/>
        <w:sectPr w:rsidR="00607BC6" w:rsidRPr="00BF60BC" w:rsidSect="00AD1032">
          <w:type w:val="continuous"/>
          <w:pgSz w:w="16838" w:h="11906" w:orient="landscape"/>
          <w:pgMar w:top="1440" w:right="1440" w:bottom="1440" w:left="1440" w:header="708" w:footer="708" w:gutter="0"/>
          <w:cols w:space="708"/>
          <w:docGrid w:linePitch="360"/>
        </w:sectPr>
      </w:pPr>
    </w:p>
    <w:p w14:paraId="31757535" w14:textId="7CCFA567" w:rsidR="00233B47" w:rsidRPr="00BF60BC" w:rsidRDefault="00233B47" w:rsidP="00655F22">
      <w:pPr>
        <w:spacing w:after="0" w:line="240" w:lineRule="auto"/>
        <w:jc w:val="both"/>
      </w:pPr>
    </w:p>
    <w:tbl>
      <w:tblPr>
        <w:tblStyle w:val="TableGrid"/>
        <w:tblpPr w:leftFromText="180" w:rightFromText="180" w:vertAnchor="page" w:horzAnchor="margin" w:tblpXSpec="center" w:tblpY="2236"/>
        <w:tblW w:w="15877" w:type="dxa"/>
        <w:tblLook w:val="04A0" w:firstRow="1" w:lastRow="0" w:firstColumn="1" w:lastColumn="0" w:noHBand="0" w:noVBand="1"/>
      </w:tblPr>
      <w:tblGrid>
        <w:gridCol w:w="1986"/>
        <w:gridCol w:w="1778"/>
        <w:gridCol w:w="1964"/>
        <w:gridCol w:w="1817"/>
        <w:gridCol w:w="1948"/>
        <w:gridCol w:w="2132"/>
        <w:gridCol w:w="2025"/>
        <w:gridCol w:w="2227"/>
      </w:tblGrid>
      <w:tr w:rsidR="000279B8" w:rsidRPr="00BF60BC" w14:paraId="7ED1017F" w14:textId="77777777" w:rsidTr="000279B8">
        <w:trPr>
          <w:trHeight w:val="410"/>
        </w:trPr>
        <w:tc>
          <w:tcPr>
            <w:tcW w:w="15877" w:type="dxa"/>
            <w:gridSpan w:val="8"/>
            <w:vAlign w:val="center"/>
          </w:tcPr>
          <w:p w14:paraId="5171337C" w14:textId="45E41C03" w:rsidR="000279B8" w:rsidRPr="00BF60BC" w:rsidRDefault="000279B8" w:rsidP="00655F22">
            <w:pPr>
              <w:jc w:val="both"/>
              <w:rPr>
                <w:rFonts w:cstheme="minorHAnsi"/>
                <w:b/>
              </w:rPr>
            </w:pPr>
            <w:r w:rsidRPr="00BF60BC">
              <w:rPr>
                <w:rFonts w:cstheme="minorHAnsi"/>
                <w:b/>
              </w:rPr>
              <w:t>Outcome: depressive symptoms</w:t>
            </w:r>
          </w:p>
        </w:tc>
      </w:tr>
      <w:tr w:rsidR="003A5FDF" w:rsidRPr="00BF60BC" w14:paraId="6AE36888" w14:textId="77777777" w:rsidTr="003A5FDF">
        <w:trPr>
          <w:trHeight w:val="821"/>
        </w:trPr>
        <w:tc>
          <w:tcPr>
            <w:tcW w:w="1986" w:type="dxa"/>
          </w:tcPr>
          <w:p w14:paraId="33336318" w14:textId="77777777" w:rsidR="003A5FDF" w:rsidRPr="00BF60BC" w:rsidRDefault="003A5FDF" w:rsidP="00655F22">
            <w:pPr>
              <w:jc w:val="both"/>
              <w:rPr>
                <w:rFonts w:cstheme="minorHAnsi"/>
              </w:rPr>
            </w:pPr>
          </w:p>
        </w:tc>
        <w:tc>
          <w:tcPr>
            <w:tcW w:w="1778" w:type="dxa"/>
            <w:tcBorders>
              <w:bottom w:val="dotted" w:sz="4" w:space="0" w:color="auto"/>
              <w:right w:val="dotted" w:sz="4" w:space="0" w:color="auto"/>
            </w:tcBorders>
            <w:vAlign w:val="center"/>
          </w:tcPr>
          <w:p w14:paraId="556D503B" w14:textId="77777777" w:rsidR="003A5FDF" w:rsidRPr="00BF60BC" w:rsidRDefault="003A5FDF" w:rsidP="00655F22">
            <w:pPr>
              <w:jc w:val="both"/>
              <w:rPr>
                <w:rFonts w:cstheme="minorHAnsi"/>
                <w:b/>
              </w:rPr>
            </w:pPr>
            <w:r w:rsidRPr="00BF60BC">
              <w:rPr>
                <w:rFonts w:cstheme="minorHAnsi"/>
                <w:b/>
              </w:rPr>
              <w:t>Univariable model</w:t>
            </w:r>
          </w:p>
          <w:p w14:paraId="5DABD055" w14:textId="5B1388AA" w:rsidR="003A5FDF" w:rsidRPr="00BF60BC" w:rsidRDefault="003A5FDF" w:rsidP="00655F22">
            <w:pPr>
              <w:jc w:val="both"/>
              <w:rPr>
                <w:rFonts w:cstheme="minorHAnsi"/>
                <w:b/>
              </w:rPr>
            </w:pPr>
            <w:r w:rsidRPr="00BF60BC">
              <w:rPr>
                <w:rFonts w:cstheme="minorHAnsi"/>
                <w:b/>
              </w:rPr>
              <w:t>Mean difference</w:t>
            </w:r>
          </w:p>
          <w:p w14:paraId="2364321C" w14:textId="176EB8FA" w:rsidR="003A5FDF" w:rsidRPr="00BF60BC" w:rsidRDefault="003A5FDF" w:rsidP="00655F22">
            <w:pPr>
              <w:jc w:val="both"/>
              <w:rPr>
                <w:rFonts w:cstheme="minorHAnsi"/>
                <w:b/>
              </w:rPr>
            </w:pPr>
            <w:r w:rsidRPr="00BF60BC">
              <w:rPr>
                <w:rFonts w:cstheme="minorHAnsi"/>
                <w:b/>
              </w:rPr>
              <w:t>(95% CI)</w:t>
            </w:r>
          </w:p>
          <w:p w14:paraId="55E31EDB" w14:textId="77777777" w:rsidR="003A5FDF" w:rsidRPr="00BF60BC" w:rsidRDefault="003A5FDF" w:rsidP="00655F22">
            <w:pPr>
              <w:jc w:val="both"/>
              <w:rPr>
                <w:rFonts w:cstheme="minorHAnsi"/>
                <w:b/>
              </w:rPr>
            </w:pPr>
            <w:r w:rsidRPr="00BF60BC">
              <w:rPr>
                <w:rFonts w:cstheme="minorHAnsi"/>
                <w:b/>
              </w:rPr>
              <w:t>p-value</w:t>
            </w:r>
          </w:p>
        </w:tc>
        <w:tc>
          <w:tcPr>
            <w:tcW w:w="1964" w:type="dxa"/>
            <w:tcBorders>
              <w:left w:val="dotted" w:sz="4" w:space="0" w:color="auto"/>
              <w:bottom w:val="dotted" w:sz="4" w:space="0" w:color="auto"/>
            </w:tcBorders>
            <w:vAlign w:val="center"/>
          </w:tcPr>
          <w:p w14:paraId="0523AABA" w14:textId="77777777" w:rsidR="003A5FDF" w:rsidRPr="00BF60BC" w:rsidRDefault="003A5FDF" w:rsidP="00655F22">
            <w:pPr>
              <w:jc w:val="both"/>
              <w:rPr>
                <w:rFonts w:cstheme="minorHAnsi"/>
                <w:b/>
              </w:rPr>
            </w:pPr>
            <w:r w:rsidRPr="00BF60BC">
              <w:rPr>
                <w:rFonts w:cstheme="minorHAnsi"/>
                <w:b/>
              </w:rPr>
              <w:t>Multivariable</w:t>
            </w:r>
            <w:r w:rsidRPr="00BF60BC">
              <w:rPr>
                <w:rFonts w:cstheme="minorHAnsi"/>
                <w:vertAlign w:val="superscript"/>
              </w:rPr>
              <w:t xml:space="preserve"> a</w:t>
            </w:r>
            <w:r w:rsidRPr="00BF60BC">
              <w:rPr>
                <w:rFonts w:cstheme="minorHAnsi"/>
                <w:b/>
              </w:rPr>
              <w:t xml:space="preserve"> Model</w:t>
            </w:r>
          </w:p>
          <w:p w14:paraId="44595C04" w14:textId="0DBB12C9" w:rsidR="003A5FDF" w:rsidRPr="00BF60BC" w:rsidRDefault="003A5FDF" w:rsidP="00655F22">
            <w:pPr>
              <w:jc w:val="both"/>
              <w:rPr>
                <w:rFonts w:cstheme="minorHAnsi"/>
                <w:b/>
              </w:rPr>
            </w:pPr>
            <w:r w:rsidRPr="00BF60BC">
              <w:rPr>
                <w:rFonts w:cstheme="minorHAnsi"/>
                <w:b/>
              </w:rPr>
              <w:t>Mean difference</w:t>
            </w:r>
          </w:p>
          <w:p w14:paraId="332BD301" w14:textId="5CCC52D4" w:rsidR="003A5FDF" w:rsidRPr="00BF60BC" w:rsidRDefault="003A5FDF" w:rsidP="00655F22">
            <w:pPr>
              <w:jc w:val="both"/>
              <w:rPr>
                <w:rFonts w:cstheme="minorHAnsi"/>
                <w:b/>
              </w:rPr>
            </w:pPr>
            <w:r w:rsidRPr="00BF60BC">
              <w:rPr>
                <w:rFonts w:cstheme="minorHAnsi"/>
                <w:b/>
              </w:rPr>
              <w:t>(95% CI)</w:t>
            </w:r>
          </w:p>
          <w:p w14:paraId="334AA721" w14:textId="77777777" w:rsidR="003A5FDF" w:rsidRPr="00BF60BC" w:rsidRDefault="003A5FDF" w:rsidP="00655F22">
            <w:pPr>
              <w:jc w:val="both"/>
              <w:rPr>
                <w:rFonts w:cstheme="minorHAnsi"/>
                <w:b/>
              </w:rPr>
            </w:pPr>
            <w:r w:rsidRPr="00BF60BC">
              <w:rPr>
                <w:rFonts w:cstheme="minorHAnsi"/>
                <w:b/>
              </w:rPr>
              <w:t>p-value</w:t>
            </w:r>
          </w:p>
        </w:tc>
        <w:tc>
          <w:tcPr>
            <w:tcW w:w="1817" w:type="dxa"/>
            <w:vAlign w:val="center"/>
          </w:tcPr>
          <w:p w14:paraId="270D7AE3" w14:textId="77777777" w:rsidR="003A5FDF" w:rsidRPr="00BF60BC" w:rsidRDefault="003A5FDF" w:rsidP="00655F22">
            <w:pPr>
              <w:jc w:val="both"/>
              <w:rPr>
                <w:rFonts w:cstheme="minorHAnsi"/>
                <w:b/>
              </w:rPr>
            </w:pPr>
            <w:r w:rsidRPr="00BF60BC">
              <w:rPr>
                <w:rFonts w:cstheme="minorHAnsi"/>
                <w:b/>
              </w:rPr>
              <w:t>Sex* exposure interaction</w:t>
            </w:r>
          </w:p>
          <w:p w14:paraId="51FA67B1" w14:textId="4B3027D6" w:rsidR="003A5FDF" w:rsidRPr="00BF60BC" w:rsidRDefault="003A5FDF" w:rsidP="00655F22">
            <w:pPr>
              <w:jc w:val="both"/>
              <w:rPr>
                <w:rFonts w:cstheme="minorHAnsi"/>
                <w:b/>
              </w:rPr>
            </w:pPr>
            <w:r w:rsidRPr="00BF60BC">
              <w:rPr>
                <w:rFonts w:cstheme="minorHAnsi"/>
                <w:b/>
              </w:rPr>
              <w:t>p-value</w:t>
            </w:r>
          </w:p>
        </w:tc>
        <w:tc>
          <w:tcPr>
            <w:tcW w:w="1948" w:type="dxa"/>
            <w:tcBorders>
              <w:bottom w:val="dotted" w:sz="4" w:space="0" w:color="auto"/>
            </w:tcBorders>
            <w:vAlign w:val="center"/>
          </w:tcPr>
          <w:p w14:paraId="0E68CED1" w14:textId="77777777" w:rsidR="003A5FDF" w:rsidRPr="00BF60BC" w:rsidRDefault="003A5FDF" w:rsidP="00655F22">
            <w:pPr>
              <w:jc w:val="both"/>
              <w:rPr>
                <w:rFonts w:cstheme="minorHAnsi"/>
                <w:b/>
              </w:rPr>
            </w:pPr>
            <w:r w:rsidRPr="00BF60BC">
              <w:rPr>
                <w:rFonts w:cstheme="minorHAnsi"/>
                <w:b/>
              </w:rPr>
              <w:t>Males:</w:t>
            </w:r>
          </w:p>
          <w:p w14:paraId="65D2CF69" w14:textId="2592767E" w:rsidR="003A5FDF" w:rsidRPr="00BF60BC" w:rsidRDefault="003A5FDF" w:rsidP="00655F22">
            <w:pPr>
              <w:jc w:val="both"/>
              <w:rPr>
                <w:rFonts w:cstheme="minorHAnsi"/>
                <w:b/>
              </w:rPr>
            </w:pPr>
            <w:r w:rsidRPr="00BF60BC">
              <w:rPr>
                <w:rFonts w:cstheme="minorHAnsi"/>
                <w:b/>
              </w:rPr>
              <w:t>Multivariable</w:t>
            </w:r>
          </w:p>
          <w:p w14:paraId="636BE4C8" w14:textId="7ED893B1" w:rsidR="003A5FDF" w:rsidRPr="00BF60BC" w:rsidRDefault="003A5FDF" w:rsidP="00655F22">
            <w:pPr>
              <w:jc w:val="both"/>
              <w:rPr>
                <w:rFonts w:cstheme="minorHAnsi"/>
                <w:b/>
              </w:rPr>
            </w:pPr>
            <w:r w:rsidRPr="00BF60BC">
              <w:rPr>
                <w:rFonts w:cstheme="minorHAnsi"/>
                <w:b/>
              </w:rPr>
              <w:t>Mean difference</w:t>
            </w:r>
          </w:p>
          <w:p w14:paraId="3D34AD3D" w14:textId="55A6D7EC" w:rsidR="003A5FDF" w:rsidRPr="00BF60BC" w:rsidRDefault="003A5FDF" w:rsidP="00655F22">
            <w:pPr>
              <w:jc w:val="both"/>
              <w:rPr>
                <w:rFonts w:cstheme="minorHAnsi"/>
                <w:b/>
              </w:rPr>
            </w:pPr>
            <w:r w:rsidRPr="00BF60BC">
              <w:rPr>
                <w:rFonts w:cstheme="minorHAnsi"/>
                <w:b/>
              </w:rPr>
              <w:t>(95% CI)</w:t>
            </w:r>
          </w:p>
          <w:p w14:paraId="28E6DC2C" w14:textId="7CB664DA" w:rsidR="003A5FDF" w:rsidRPr="00BF60BC" w:rsidRDefault="003A5FDF" w:rsidP="00655F22">
            <w:pPr>
              <w:jc w:val="both"/>
              <w:rPr>
                <w:rFonts w:cstheme="minorHAnsi"/>
                <w:b/>
              </w:rPr>
            </w:pPr>
            <w:r w:rsidRPr="00BF60BC">
              <w:rPr>
                <w:rFonts w:cstheme="minorHAnsi"/>
                <w:b/>
              </w:rPr>
              <w:t>p-value</w:t>
            </w:r>
          </w:p>
        </w:tc>
        <w:tc>
          <w:tcPr>
            <w:tcW w:w="2132" w:type="dxa"/>
            <w:vAlign w:val="center"/>
          </w:tcPr>
          <w:p w14:paraId="3B9943C0" w14:textId="393173D4" w:rsidR="003A5FDF" w:rsidRPr="00BF60BC" w:rsidRDefault="003A5FDF" w:rsidP="00655F22">
            <w:pPr>
              <w:jc w:val="both"/>
              <w:rPr>
                <w:rFonts w:cstheme="minorHAnsi"/>
                <w:b/>
              </w:rPr>
            </w:pPr>
            <w:r w:rsidRPr="00BF60BC">
              <w:rPr>
                <w:rFonts w:cstheme="minorHAnsi"/>
                <w:b/>
              </w:rPr>
              <w:t>Exposure*cohort interaction p-</w:t>
            </w:r>
            <w:proofErr w:type="gramStart"/>
            <w:r w:rsidRPr="00BF60BC">
              <w:rPr>
                <w:rFonts w:cstheme="minorHAnsi"/>
                <w:b/>
              </w:rPr>
              <w:t>value  (</w:t>
            </w:r>
            <w:proofErr w:type="gramEnd"/>
            <w:r w:rsidRPr="00BF60BC">
              <w:rPr>
                <w:rFonts w:cstheme="minorHAnsi"/>
                <w:b/>
              </w:rPr>
              <w:t>males)</w:t>
            </w:r>
          </w:p>
        </w:tc>
        <w:tc>
          <w:tcPr>
            <w:tcW w:w="2025" w:type="dxa"/>
            <w:tcBorders>
              <w:bottom w:val="dotted" w:sz="4" w:space="0" w:color="auto"/>
            </w:tcBorders>
            <w:vAlign w:val="center"/>
          </w:tcPr>
          <w:p w14:paraId="01C8E655" w14:textId="77777777" w:rsidR="003A5FDF" w:rsidRPr="00BF60BC" w:rsidRDefault="003A5FDF" w:rsidP="00655F22">
            <w:pPr>
              <w:jc w:val="both"/>
              <w:rPr>
                <w:rFonts w:cstheme="minorHAnsi"/>
                <w:b/>
              </w:rPr>
            </w:pPr>
            <w:r w:rsidRPr="00BF60BC">
              <w:rPr>
                <w:rFonts w:cstheme="minorHAnsi"/>
                <w:b/>
              </w:rPr>
              <w:t>Females Multivariable Model</w:t>
            </w:r>
          </w:p>
          <w:p w14:paraId="13390C98" w14:textId="7C480384" w:rsidR="003A5FDF" w:rsidRPr="00BF60BC" w:rsidRDefault="003A5FDF" w:rsidP="00655F22">
            <w:pPr>
              <w:jc w:val="both"/>
              <w:rPr>
                <w:rFonts w:cstheme="minorHAnsi"/>
                <w:b/>
              </w:rPr>
            </w:pPr>
            <w:r w:rsidRPr="00BF60BC">
              <w:rPr>
                <w:rFonts w:cstheme="minorHAnsi"/>
                <w:b/>
              </w:rPr>
              <w:t>Mean difference</w:t>
            </w:r>
          </w:p>
          <w:p w14:paraId="0EA4E22A" w14:textId="71BBD6C3" w:rsidR="003A5FDF" w:rsidRPr="00BF60BC" w:rsidRDefault="003A5FDF" w:rsidP="00655F22">
            <w:pPr>
              <w:jc w:val="both"/>
              <w:rPr>
                <w:rFonts w:cstheme="minorHAnsi"/>
                <w:b/>
              </w:rPr>
            </w:pPr>
            <w:r w:rsidRPr="00BF60BC">
              <w:rPr>
                <w:rFonts w:cstheme="minorHAnsi"/>
                <w:b/>
              </w:rPr>
              <w:t>(95% CI)</w:t>
            </w:r>
          </w:p>
          <w:p w14:paraId="66851F8D" w14:textId="4E2AE1C3" w:rsidR="003A5FDF" w:rsidRPr="00BF60BC" w:rsidRDefault="003A5FDF" w:rsidP="00655F22">
            <w:pPr>
              <w:jc w:val="both"/>
              <w:rPr>
                <w:rFonts w:cstheme="minorHAnsi"/>
                <w:b/>
              </w:rPr>
            </w:pPr>
            <w:r w:rsidRPr="00BF60BC">
              <w:rPr>
                <w:rFonts w:cstheme="minorHAnsi"/>
                <w:b/>
              </w:rPr>
              <w:t>p-value</w:t>
            </w:r>
          </w:p>
        </w:tc>
        <w:tc>
          <w:tcPr>
            <w:tcW w:w="2227" w:type="dxa"/>
            <w:vAlign w:val="center"/>
          </w:tcPr>
          <w:p w14:paraId="1C184A34" w14:textId="5B10BA15" w:rsidR="003A5FDF" w:rsidRPr="00BF60BC" w:rsidRDefault="003A5FDF" w:rsidP="00655F22">
            <w:pPr>
              <w:jc w:val="both"/>
              <w:rPr>
                <w:rFonts w:cstheme="minorHAnsi"/>
                <w:b/>
              </w:rPr>
            </w:pPr>
            <w:r w:rsidRPr="00BF60BC">
              <w:rPr>
                <w:rFonts w:cstheme="minorHAnsi"/>
                <w:b/>
              </w:rPr>
              <w:t>Exposure*</w:t>
            </w:r>
            <w:proofErr w:type="gramStart"/>
            <w:r w:rsidRPr="00BF60BC">
              <w:rPr>
                <w:rFonts w:cstheme="minorHAnsi"/>
                <w:b/>
              </w:rPr>
              <w:t>cohort  interaction</w:t>
            </w:r>
            <w:proofErr w:type="gramEnd"/>
            <w:r w:rsidRPr="00BF60BC">
              <w:rPr>
                <w:rFonts w:cstheme="minorHAnsi"/>
                <w:b/>
              </w:rPr>
              <w:t xml:space="preserve"> p-value  (females)</w:t>
            </w:r>
          </w:p>
        </w:tc>
      </w:tr>
      <w:tr w:rsidR="003A5FDF" w:rsidRPr="00BF60BC" w14:paraId="509DB2D6" w14:textId="77777777" w:rsidTr="000279B8">
        <w:trPr>
          <w:trHeight w:val="267"/>
        </w:trPr>
        <w:tc>
          <w:tcPr>
            <w:tcW w:w="15877" w:type="dxa"/>
            <w:gridSpan w:val="8"/>
            <w:tcBorders>
              <w:bottom w:val="single" w:sz="4" w:space="0" w:color="auto"/>
            </w:tcBorders>
            <w:shd w:val="clear" w:color="auto" w:fill="E7E6E6" w:themeFill="background2"/>
            <w:vAlign w:val="center"/>
          </w:tcPr>
          <w:p w14:paraId="312E19BA" w14:textId="77777777" w:rsidR="003A5FDF" w:rsidRPr="00BF60BC" w:rsidRDefault="003A5FDF" w:rsidP="00655F22">
            <w:pPr>
              <w:jc w:val="both"/>
              <w:rPr>
                <w:rFonts w:cstheme="minorHAnsi"/>
                <w:b/>
                <w:bCs/>
              </w:rPr>
            </w:pPr>
            <w:r w:rsidRPr="00BF60BC">
              <w:rPr>
                <w:rFonts w:cstheme="minorHAnsi"/>
                <w:b/>
                <w:bCs/>
                <w:i/>
              </w:rPr>
              <w:t xml:space="preserve">Lifetime dieting </w:t>
            </w:r>
            <w:proofErr w:type="gramStart"/>
            <w:r w:rsidRPr="00BF60BC">
              <w:rPr>
                <w:rFonts w:cstheme="minorHAnsi"/>
                <w:b/>
                <w:bCs/>
                <w:i/>
              </w:rPr>
              <w:t>( Years</w:t>
            </w:r>
            <w:proofErr w:type="gramEnd"/>
            <w:r w:rsidRPr="00BF60BC">
              <w:rPr>
                <w:rFonts w:cstheme="minorHAnsi"/>
                <w:b/>
                <w:bCs/>
                <w:i/>
              </w:rPr>
              <w:t xml:space="preserve"> included: 1986, 2015 </w:t>
            </w:r>
            <w:r w:rsidRPr="00BF60BC">
              <w:rPr>
                <w:rFonts w:cstheme="minorHAnsi"/>
                <w:b/>
                <w:i/>
              </w:rPr>
              <w:t>(n=18,913))</w:t>
            </w:r>
          </w:p>
        </w:tc>
      </w:tr>
      <w:tr w:rsidR="003A5FDF" w:rsidRPr="00BF60BC" w14:paraId="7C3BCF95" w14:textId="77777777" w:rsidTr="000279B8">
        <w:trPr>
          <w:trHeight w:val="611"/>
        </w:trPr>
        <w:tc>
          <w:tcPr>
            <w:tcW w:w="1986" w:type="dxa"/>
            <w:tcBorders>
              <w:bottom w:val="nil"/>
              <w:right w:val="nil"/>
            </w:tcBorders>
            <w:vAlign w:val="center"/>
          </w:tcPr>
          <w:p w14:paraId="4CE29368" w14:textId="77777777" w:rsidR="003A5FDF" w:rsidRPr="00BF60BC" w:rsidRDefault="003A5FDF" w:rsidP="00655F22">
            <w:pPr>
              <w:jc w:val="both"/>
              <w:rPr>
                <w:rFonts w:cstheme="minorHAnsi"/>
                <w:i/>
              </w:rPr>
            </w:pPr>
            <w:r w:rsidRPr="00BF60BC">
              <w:rPr>
                <w:rFonts w:cstheme="minorHAnsi"/>
                <w:i/>
              </w:rPr>
              <w:t>Lose weight (vs do nothing)</w:t>
            </w:r>
          </w:p>
        </w:tc>
        <w:tc>
          <w:tcPr>
            <w:tcW w:w="1778" w:type="dxa"/>
            <w:tcBorders>
              <w:left w:val="nil"/>
              <w:bottom w:val="nil"/>
              <w:right w:val="nil"/>
            </w:tcBorders>
            <w:vAlign w:val="center"/>
          </w:tcPr>
          <w:p w14:paraId="2B3DEA8E" w14:textId="5E23D778" w:rsidR="003A5FDF" w:rsidRPr="00BF60BC" w:rsidRDefault="003A5FDF" w:rsidP="00655F22">
            <w:pPr>
              <w:jc w:val="both"/>
              <w:rPr>
                <w:rFonts w:cstheme="minorHAnsi"/>
              </w:rPr>
            </w:pPr>
            <w:r w:rsidRPr="00BF60BC">
              <w:rPr>
                <w:rFonts w:cstheme="minorHAnsi"/>
              </w:rPr>
              <w:t>0.47</w:t>
            </w:r>
          </w:p>
          <w:p w14:paraId="015C0109" w14:textId="77777777" w:rsidR="003A5FDF" w:rsidRPr="00BF60BC" w:rsidRDefault="003A5FDF" w:rsidP="00655F22">
            <w:pPr>
              <w:jc w:val="both"/>
              <w:rPr>
                <w:rFonts w:cstheme="minorHAnsi"/>
              </w:rPr>
            </w:pPr>
            <w:r w:rsidRPr="00BF60BC">
              <w:rPr>
                <w:rFonts w:cstheme="minorHAnsi"/>
              </w:rPr>
              <w:t>(0.43, 0.51)</w:t>
            </w:r>
          </w:p>
          <w:p w14:paraId="41A079A1" w14:textId="77777777" w:rsidR="003A5FDF" w:rsidRPr="00BF60BC" w:rsidRDefault="003A5FDF" w:rsidP="00655F22">
            <w:pPr>
              <w:jc w:val="both"/>
              <w:rPr>
                <w:rFonts w:cstheme="minorHAnsi"/>
              </w:rPr>
            </w:pPr>
          </w:p>
        </w:tc>
        <w:tc>
          <w:tcPr>
            <w:tcW w:w="1964" w:type="dxa"/>
            <w:tcBorders>
              <w:left w:val="nil"/>
              <w:bottom w:val="nil"/>
              <w:right w:val="nil"/>
            </w:tcBorders>
            <w:vAlign w:val="center"/>
          </w:tcPr>
          <w:p w14:paraId="4466FAA5" w14:textId="200E0A6F" w:rsidR="003A5FDF" w:rsidRPr="00BF60BC" w:rsidRDefault="003A5FDF" w:rsidP="00655F22">
            <w:pPr>
              <w:jc w:val="both"/>
              <w:rPr>
                <w:rFonts w:cstheme="minorHAnsi"/>
              </w:rPr>
            </w:pPr>
            <w:r w:rsidRPr="00BF60BC">
              <w:rPr>
                <w:rFonts w:cstheme="minorHAnsi"/>
              </w:rPr>
              <w:t>0.39</w:t>
            </w:r>
          </w:p>
          <w:p w14:paraId="3DAA5320" w14:textId="77777777" w:rsidR="003A5FDF" w:rsidRPr="00BF60BC" w:rsidRDefault="003A5FDF" w:rsidP="00655F22">
            <w:pPr>
              <w:jc w:val="both"/>
              <w:rPr>
                <w:rFonts w:cstheme="minorHAnsi"/>
              </w:rPr>
            </w:pPr>
            <w:r w:rsidRPr="00BF60BC">
              <w:rPr>
                <w:rFonts w:cstheme="minorHAnsi"/>
              </w:rPr>
              <w:t>(0.34, 0.44)</w:t>
            </w:r>
          </w:p>
          <w:p w14:paraId="4A43BB88" w14:textId="77777777" w:rsidR="003A5FDF" w:rsidRPr="00BF60BC" w:rsidRDefault="003A5FDF" w:rsidP="00655F22">
            <w:pPr>
              <w:jc w:val="both"/>
              <w:rPr>
                <w:rFonts w:cstheme="minorHAnsi"/>
              </w:rPr>
            </w:pPr>
          </w:p>
        </w:tc>
        <w:tc>
          <w:tcPr>
            <w:tcW w:w="1817" w:type="dxa"/>
            <w:tcBorders>
              <w:left w:val="nil"/>
              <w:bottom w:val="nil"/>
              <w:right w:val="nil"/>
            </w:tcBorders>
            <w:vAlign w:val="center"/>
          </w:tcPr>
          <w:p w14:paraId="71F36419" w14:textId="5D595637" w:rsidR="003A5FDF" w:rsidRPr="00BF60BC" w:rsidRDefault="003A5FDF" w:rsidP="00655F22">
            <w:pPr>
              <w:jc w:val="both"/>
              <w:rPr>
                <w:rFonts w:cstheme="minorHAnsi"/>
              </w:rPr>
            </w:pPr>
            <w:r w:rsidRPr="00BF60BC">
              <w:rPr>
                <w:rFonts w:cstheme="minorHAnsi"/>
              </w:rPr>
              <w:t>p&lt;0.001</w:t>
            </w:r>
          </w:p>
        </w:tc>
        <w:tc>
          <w:tcPr>
            <w:tcW w:w="1948" w:type="dxa"/>
            <w:tcBorders>
              <w:left w:val="nil"/>
              <w:bottom w:val="nil"/>
              <w:right w:val="nil"/>
            </w:tcBorders>
            <w:vAlign w:val="center"/>
          </w:tcPr>
          <w:p w14:paraId="2153FB76" w14:textId="55B3171E" w:rsidR="003A5FDF" w:rsidRPr="00BF60BC" w:rsidRDefault="003A5FDF" w:rsidP="00655F22">
            <w:pPr>
              <w:jc w:val="both"/>
              <w:rPr>
                <w:rFonts w:cstheme="minorHAnsi"/>
              </w:rPr>
            </w:pPr>
            <w:r w:rsidRPr="00BF60BC">
              <w:rPr>
                <w:rFonts w:cstheme="minorHAnsi"/>
              </w:rPr>
              <w:t>0.23</w:t>
            </w:r>
          </w:p>
          <w:p w14:paraId="2DE29265" w14:textId="77777777" w:rsidR="003A5FDF" w:rsidRPr="00BF60BC" w:rsidRDefault="003A5FDF" w:rsidP="00655F22">
            <w:pPr>
              <w:jc w:val="both"/>
              <w:rPr>
                <w:rFonts w:cstheme="minorHAnsi"/>
              </w:rPr>
            </w:pPr>
            <w:r w:rsidRPr="00BF60BC">
              <w:rPr>
                <w:rFonts w:cstheme="minorHAnsi"/>
              </w:rPr>
              <w:t>(0.17, 0.29)</w:t>
            </w:r>
          </w:p>
          <w:p w14:paraId="6816ECD4" w14:textId="77777777" w:rsidR="003A5FDF" w:rsidRPr="00BF60BC" w:rsidRDefault="003A5FDF" w:rsidP="00655F22">
            <w:pPr>
              <w:jc w:val="both"/>
              <w:rPr>
                <w:rFonts w:cstheme="minorHAnsi"/>
              </w:rPr>
            </w:pPr>
          </w:p>
        </w:tc>
        <w:tc>
          <w:tcPr>
            <w:tcW w:w="2132" w:type="dxa"/>
            <w:tcBorders>
              <w:left w:val="nil"/>
              <w:bottom w:val="nil"/>
              <w:right w:val="nil"/>
            </w:tcBorders>
            <w:vAlign w:val="center"/>
          </w:tcPr>
          <w:p w14:paraId="329326B5" w14:textId="2C69264C" w:rsidR="003A5FDF" w:rsidRPr="00BF60BC" w:rsidRDefault="003A5FDF" w:rsidP="00655F22">
            <w:pPr>
              <w:jc w:val="both"/>
              <w:rPr>
                <w:rFonts w:cstheme="minorHAnsi"/>
              </w:rPr>
            </w:pPr>
            <w:r w:rsidRPr="00BF60BC">
              <w:rPr>
                <w:rFonts w:cstheme="minorHAnsi"/>
              </w:rPr>
              <w:t>p=0.99</w:t>
            </w:r>
          </w:p>
        </w:tc>
        <w:tc>
          <w:tcPr>
            <w:tcW w:w="2025" w:type="dxa"/>
            <w:tcBorders>
              <w:left w:val="nil"/>
              <w:bottom w:val="nil"/>
              <w:right w:val="nil"/>
            </w:tcBorders>
            <w:vAlign w:val="center"/>
          </w:tcPr>
          <w:p w14:paraId="5240CC2A" w14:textId="528ACF16" w:rsidR="003A5FDF" w:rsidRPr="00BF60BC" w:rsidRDefault="003A5FDF" w:rsidP="00655F22">
            <w:pPr>
              <w:jc w:val="both"/>
              <w:rPr>
                <w:rFonts w:cstheme="minorHAnsi"/>
              </w:rPr>
            </w:pPr>
            <w:r w:rsidRPr="00BF60BC">
              <w:rPr>
                <w:rFonts w:cstheme="minorHAnsi"/>
              </w:rPr>
              <w:t>0.51</w:t>
            </w:r>
          </w:p>
          <w:p w14:paraId="1AE53C01" w14:textId="77777777" w:rsidR="003A5FDF" w:rsidRPr="00BF60BC" w:rsidRDefault="003A5FDF" w:rsidP="00655F22">
            <w:pPr>
              <w:jc w:val="both"/>
              <w:rPr>
                <w:rFonts w:cstheme="minorHAnsi"/>
              </w:rPr>
            </w:pPr>
            <w:r w:rsidRPr="00BF60BC">
              <w:rPr>
                <w:rFonts w:cstheme="minorHAnsi"/>
              </w:rPr>
              <w:t>(0.45, 0.58)</w:t>
            </w:r>
          </w:p>
          <w:p w14:paraId="673BB68C" w14:textId="77777777" w:rsidR="003A5FDF" w:rsidRPr="00BF60BC" w:rsidRDefault="003A5FDF" w:rsidP="00655F22">
            <w:pPr>
              <w:jc w:val="both"/>
              <w:rPr>
                <w:rFonts w:cstheme="minorHAnsi"/>
              </w:rPr>
            </w:pPr>
          </w:p>
        </w:tc>
        <w:tc>
          <w:tcPr>
            <w:tcW w:w="2227" w:type="dxa"/>
            <w:tcBorders>
              <w:left w:val="nil"/>
              <w:bottom w:val="nil"/>
            </w:tcBorders>
            <w:vAlign w:val="center"/>
          </w:tcPr>
          <w:p w14:paraId="17964E05" w14:textId="0D66C216" w:rsidR="003A5FDF" w:rsidRPr="00BF60BC" w:rsidRDefault="00FF0660" w:rsidP="00655F22">
            <w:pPr>
              <w:jc w:val="both"/>
              <w:rPr>
                <w:rFonts w:cstheme="minorHAnsi"/>
              </w:rPr>
            </w:pPr>
            <w:r w:rsidRPr="00BF60BC">
              <w:rPr>
                <w:rFonts w:cstheme="minorHAnsi"/>
              </w:rPr>
              <w:t>p=0.09</w:t>
            </w:r>
          </w:p>
        </w:tc>
      </w:tr>
      <w:tr w:rsidR="003A5FDF" w:rsidRPr="00BF60BC" w14:paraId="15F8D64A" w14:textId="77777777" w:rsidTr="000279B8">
        <w:trPr>
          <w:trHeight w:val="611"/>
        </w:trPr>
        <w:tc>
          <w:tcPr>
            <w:tcW w:w="1986" w:type="dxa"/>
            <w:tcBorders>
              <w:top w:val="nil"/>
              <w:bottom w:val="nil"/>
              <w:right w:val="nil"/>
            </w:tcBorders>
            <w:vAlign w:val="center"/>
          </w:tcPr>
          <w:p w14:paraId="1D97890F" w14:textId="77777777" w:rsidR="003A5FDF" w:rsidRPr="00BF60BC" w:rsidRDefault="003A5FDF" w:rsidP="00655F22">
            <w:pPr>
              <w:jc w:val="both"/>
              <w:rPr>
                <w:rFonts w:cstheme="minorHAnsi"/>
                <w:i/>
              </w:rPr>
            </w:pPr>
            <w:r w:rsidRPr="00BF60BC">
              <w:rPr>
                <w:rFonts w:cstheme="minorHAnsi"/>
                <w:i/>
              </w:rPr>
              <w:t>Stay same (vs do nothing)</w:t>
            </w:r>
          </w:p>
        </w:tc>
        <w:tc>
          <w:tcPr>
            <w:tcW w:w="1778" w:type="dxa"/>
            <w:tcBorders>
              <w:top w:val="nil"/>
              <w:left w:val="nil"/>
              <w:bottom w:val="nil"/>
              <w:right w:val="nil"/>
            </w:tcBorders>
            <w:vAlign w:val="center"/>
          </w:tcPr>
          <w:p w14:paraId="5971B6BA" w14:textId="32375C21" w:rsidR="003A5FDF" w:rsidRPr="00BF60BC" w:rsidRDefault="003A5FDF" w:rsidP="00655F22">
            <w:pPr>
              <w:jc w:val="both"/>
              <w:rPr>
                <w:rFonts w:cstheme="minorHAnsi"/>
              </w:rPr>
            </w:pPr>
            <w:r w:rsidRPr="00BF60BC">
              <w:rPr>
                <w:rFonts w:cstheme="minorHAnsi"/>
              </w:rPr>
              <w:t>0.01</w:t>
            </w:r>
          </w:p>
          <w:p w14:paraId="7A7BD2D6" w14:textId="77777777" w:rsidR="003A5FDF" w:rsidRPr="00BF60BC" w:rsidRDefault="003A5FDF" w:rsidP="00655F22">
            <w:pPr>
              <w:jc w:val="both"/>
              <w:rPr>
                <w:rFonts w:cstheme="minorHAnsi"/>
              </w:rPr>
            </w:pPr>
            <w:r w:rsidRPr="00BF60BC">
              <w:rPr>
                <w:rFonts w:cstheme="minorHAnsi"/>
              </w:rPr>
              <w:t>(-0.03, 0.05)</w:t>
            </w:r>
          </w:p>
          <w:p w14:paraId="7B5450B4" w14:textId="77777777" w:rsidR="003A5FDF" w:rsidRPr="00BF60BC" w:rsidRDefault="003A5FDF" w:rsidP="00655F22">
            <w:pPr>
              <w:jc w:val="both"/>
              <w:rPr>
                <w:rFonts w:cstheme="minorHAnsi"/>
              </w:rPr>
            </w:pPr>
          </w:p>
        </w:tc>
        <w:tc>
          <w:tcPr>
            <w:tcW w:w="1964" w:type="dxa"/>
            <w:tcBorders>
              <w:top w:val="nil"/>
              <w:left w:val="nil"/>
              <w:bottom w:val="nil"/>
              <w:right w:val="nil"/>
            </w:tcBorders>
            <w:vAlign w:val="center"/>
          </w:tcPr>
          <w:p w14:paraId="6CA8F80F" w14:textId="10D62F5D" w:rsidR="003A5FDF" w:rsidRPr="00BF60BC" w:rsidRDefault="003A5FDF" w:rsidP="00655F22">
            <w:pPr>
              <w:jc w:val="both"/>
              <w:rPr>
                <w:rFonts w:cstheme="minorHAnsi"/>
              </w:rPr>
            </w:pPr>
            <w:r w:rsidRPr="00BF60BC">
              <w:rPr>
                <w:rFonts w:cstheme="minorHAnsi"/>
              </w:rPr>
              <w:t>-0.01</w:t>
            </w:r>
          </w:p>
          <w:p w14:paraId="29413C3B" w14:textId="77777777" w:rsidR="003A5FDF" w:rsidRPr="00BF60BC" w:rsidRDefault="003A5FDF" w:rsidP="00655F22">
            <w:pPr>
              <w:jc w:val="both"/>
              <w:rPr>
                <w:rFonts w:cstheme="minorHAnsi"/>
              </w:rPr>
            </w:pPr>
            <w:r w:rsidRPr="00BF60BC">
              <w:rPr>
                <w:rFonts w:cstheme="minorHAnsi"/>
              </w:rPr>
              <w:t>(-0.06, 0.03)</w:t>
            </w:r>
          </w:p>
          <w:p w14:paraId="46B062BF" w14:textId="77777777" w:rsidR="003A5FDF" w:rsidRPr="00BF60BC" w:rsidRDefault="003A5FDF" w:rsidP="00655F22">
            <w:pPr>
              <w:jc w:val="both"/>
              <w:rPr>
                <w:rFonts w:cstheme="minorHAnsi"/>
              </w:rPr>
            </w:pPr>
          </w:p>
        </w:tc>
        <w:tc>
          <w:tcPr>
            <w:tcW w:w="1817" w:type="dxa"/>
            <w:tcBorders>
              <w:top w:val="nil"/>
              <w:left w:val="nil"/>
              <w:bottom w:val="nil"/>
              <w:right w:val="nil"/>
            </w:tcBorders>
            <w:vAlign w:val="center"/>
          </w:tcPr>
          <w:p w14:paraId="7ABF2989" w14:textId="5377BB01" w:rsidR="003A5FDF" w:rsidRPr="00BF60BC" w:rsidRDefault="003A5FDF" w:rsidP="00655F22">
            <w:pPr>
              <w:jc w:val="both"/>
              <w:rPr>
                <w:rFonts w:cstheme="minorHAnsi"/>
              </w:rPr>
            </w:pPr>
            <w:r w:rsidRPr="00BF60BC">
              <w:rPr>
                <w:rFonts w:cstheme="minorHAnsi"/>
              </w:rPr>
              <w:t>p=0.13</w:t>
            </w:r>
          </w:p>
          <w:p w14:paraId="12A97644" w14:textId="77777777" w:rsidR="003A5FDF" w:rsidRPr="00BF60BC" w:rsidRDefault="003A5FDF" w:rsidP="00655F22">
            <w:pPr>
              <w:jc w:val="both"/>
              <w:rPr>
                <w:rFonts w:cstheme="minorHAnsi"/>
              </w:rPr>
            </w:pPr>
          </w:p>
        </w:tc>
        <w:tc>
          <w:tcPr>
            <w:tcW w:w="1948" w:type="dxa"/>
            <w:tcBorders>
              <w:top w:val="nil"/>
              <w:left w:val="nil"/>
              <w:bottom w:val="nil"/>
              <w:right w:val="nil"/>
            </w:tcBorders>
            <w:vAlign w:val="center"/>
          </w:tcPr>
          <w:p w14:paraId="0A2ACE2C" w14:textId="03E3C04E" w:rsidR="003A5FDF" w:rsidRPr="00BF60BC" w:rsidRDefault="003A5FDF" w:rsidP="00655F22">
            <w:pPr>
              <w:jc w:val="both"/>
              <w:rPr>
                <w:rFonts w:cstheme="minorHAnsi"/>
              </w:rPr>
            </w:pPr>
            <w:r w:rsidRPr="00BF60BC">
              <w:rPr>
                <w:rFonts w:cstheme="minorHAnsi"/>
              </w:rPr>
              <w:t>0.03</w:t>
            </w:r>
          </w:p>
          <w:p w14:paraId="27341BB1" w14:textId="77777777" w:rsidR="003A5FDF" w:rsidRPr="00BF60BC" w:rsidRDefault="003A5FDF" w:rsidP="00655F22">
            <w:pPr>
              <w:jc w:val="both"/>
              <w:rPr>
                <w:rFonts w:cstheme="minorHAnsi"/>
              </w:rPr>
            </w:pPr>
            <w:r w:rsidRPr="00BF60BC">
              <w:rPr>
                <w:rFonts w:cstheme="minorHAnsi"/>
              </w:rPr>
              <w:t>(-0.02, 0.08)</w:t>
            </w:r>
          </w:p>
          <w:p w14:paraId="15172780" w14:textId="77777777" w:rsidR="003A5FDF" w:rsidRPr="00BF60BC" w:rsidRDefault="003A5FDF" w:rsidP="00655F22">
            <w:pPr>
              <w:jc w:val="both"/>
              <w:rPr>
                <w:rFonts w:cstheme="minorHAnsi"/>
              </w:rPr>
            </w:pPr>
          </w:p>
        </w:tc>
        <w:tc>
          <w:tcPr>
            <w:tcW w:w="2132" w:type="dxa"/>
            <w:tcBorders>
              <w:top w:val="nil"/>
              <w:left w:val="nil"/>
              <w:bottom w:val="nil"/>
              <w:right w:val="nil"/>
            </w:tcBorders>
            <w:vAlign w:val="center"/>
          </w:tcPr>
          <w:p w14:paraId="16B952A0" w14:textId="65606EE8" w:rsidR="003A5FDF" w:rsidRPr="00BF60BC" w:rsidRDefault="003A5FDF" w:rsidP="00655F22">
            <w:pPr>
              <w:jc w:val="both"/>
              <w:rPr>
                <w:rFonts w:cstheme="minorHAnsi"/>
              </w:rPr>
            </w:pPr>
            <w:r w:rsidRPr="00BF60BC">
              <w:rPr>
                <w:rFonts w:cstheme="minorHAnsi"/>
              </w:rPr>
              <w:t>p=0.55</w:t>
            </w:r>
          </w:p>
        </w:tc>
        <w:tc>
          <w:tcPr>
            <w:tcW w:w="2025" w:type="dxa"/>
            <w:tcBorders>
              <w:top w:val="nil"/>
              <w:left w:val="nil"/>
              <w:bottom w:val="nil"/>
              <w:right w:val="nil"/>
            </w:tcBorders>
            <w:vAlign w:val="center"/>
          </w:tcPr>
          <w:p w14:paraId="5EA37799" w14:textId="535528AE" w:rsidR="003A5FDF" w:rsidRPr="00BF60BC" w:rsidRDefault="003A5FDF" w:rsidP="00655F22">
            <w:pPr>
              <w:jc w:val="both"/>
              <w:rPr>
                <w:rFonts w:cstheme="minorHAnsi"/>
              </w:rPr>
            </w:pPr>
            <w:r w:rsidRPr="00BF60BC">
              <w:rPr>
                <w:rFonts w:cstheme="minorHAnsi"/>
              </w:rPr>
              <w:t>-0.04</w:t>
            </w:r>
          </w:p>
          <w:p w14:paraId="4030209E" w14:textId="77777777" w:rsidR="003A5FDF" w:rsidRPr="00BF60BC" w:rsidRDefault="003A5FDF" w:rsidP="00655F22">
            <w:pPr>
              <w:jc w:val="both"/>
              <w:rPr>
                <w:rFonts w:cstheme="minorHAnsi"/>
              </w:rPr>
            </w:pPr>
            <w:r w:rsidRPr="00BF60BC">
              <w:rPr>
                <w:rFonts w:cstheme="minorHAnsi"/>
              </w:rPr>
              <w:t>(-0.11, 0.02)</w:t>
            </w:r>
          </w:p>
          <w:p w14:paraId="116026CB" w14:textId="77777777" w:rsidR="003A5FDF" w:rsidRPr="00BF60BC" w:rsidRDefault="003A5FDF" w:rsidP="00655F22">
            <w:pPr>
              <w:jc w:val="both"/>
              <w:rPr>
                <w:rFonts w:cstheme="minorHAnsi"/>
              </w:rPr>
            </w:pPr>
          </w:p>
        </w:tc>
        <w:tc>
          <w:tcPr>
            <w:tcW w:w="2227" w:type="dxa"/>
            <w:tcBorders>
              <w:top w:val="nil"/>
              <w:left w:val="nil"/>
              <w:bottom w:val="nil"/>
            </w:tcBorders>
            <w:vAlign w:val="center"/>
          </w:tcPr>
          <w:p w14:paraId="6B32C693" w14:textId="22CF6782" w:rsidR="003A5FDF" w:rsidRPr="00BF60BC" w:rsidRDefault="00FF0660" w:rsidP="00655F22">
            <w:pPr>
              <w:jc w:val="both"/>
              <w:rPr>
                <w:rFonts w:cstheme="minorHAnsi"/>
              </w:rPr>
            </w:pPr>
            <w:r w:rsidRPr="00BF60BC">
              <w:rPr>
                <w:rFonts w:cstheme="minorHAnsi"/>
              </w:rPr>
              <w:t>p=0.23</w:t>
            </w:r>
          </w:p>
        </w:tc>
      </w:tr>
      <w:tr w:rsidR="003A5FDF" w:rsidRPr="00BF60BC" w14:paraId="1A0D1AD0" w14:textId="77777777" w:rsidTr="000279B8">
        <w:trPr>
          <w:trHeight w:val="611"/>
        </w:trPr>
        <w:tc>
          <w:tcPr>
            <w:tcW w:w="1986" w:type="dxa"/>
            <w:tcBorders>
              <w:top w:val="nil"/>
              <w:right w:val="nil"/>
            </w:tcBorders>
            <w:vAlign w:val="center"/>
          </w:tcPr>
          <w:p w14:paraId="0641831E" w14:textId="77777777" w:rsidR="003A5FDF" w:rsidRPr="00BF60BC" w:rsidRDefault="003A5FDF" w:rsidP="00655F22">
            <w:pPr>
              <w:jc w:val="both"/>
              <w:rPr>
                <w:rFonts w:cstheme="minorHAnsi"/>
                <w:i/>
              </w:rPr>
            </w:pPr>
            <w:r w:rsidRPr="00BF60BC">
              <w:rPr>
                <w:rFonts w:cstheme="minorHAnsi"/>
                <w:i/>
              </w:rPr>
              <w:t>Gain weight (vs do nothing)</w:t>
            </w:r>
          </w:p>
        </w:tc>
        <w:tc>
          <w:tcPr>
            <w:tcW w:w="1778" w:type="dxa"/>
            <w:tcBorders>
              <w:top w:val="nil"/>
              <w:left w:val="nil"/>
              <w:right w:val="nil"/>
            </w:tcBorders>
            <w:vAlign w:val="center"/>
          </w:tcPr>
          <w:p w14:paraId="1A4FCC26" w14:textId="05068BD5" w:rsidR="003A5FDF" w:rsidRPr="00BF60BC" w:rsidRDefault="003A5FDF" w:rsidP="00655F22">
            <w:pPr>
              <w:jc w:val="both"/>
              <w:rPr>
                <w:rFonts w:cstheme="minorHAnsi"/>
              </w:rPr>
            </w:pPr>
            <w:r w:rsidRPr="00BF60BC">
              <w:rPr>
                <w:rFonts w:cstheme="minorHAnsi"/>
              </w:rPr>
              <w:t>0.16</w:t>
            </w:r>
          </w:p>
          <w:p w14:paraId="025794C4" w14:textId="77777777" w:rsidR="003A5FDF" w:rsidRPr="00BF60BC" w:rsidRDefault="003A5FDF" w:rsidP="00655F22">
            <w:pPr>
              <w:jc w:val="both"/>
              <w:rPr>
                <w:rFonts w:cstheme="minorHAnsi"/>
              </w:rPr>
            </w:pPr>
            <w:r w:rsidRPr="00BF60BC">
              <w:rPr>
                <w:rFonts w:cstheme="minorHAnsi"/>
              </w:rPr>
              <w:t>(0.08, 0.23)</w:t>
            </w:r>
          </w:p>
          <w:p w14:paraId="74F2D733" w14:textId="77777777" w:rsidR="003A5FDF" w:rsidRPr="00BF60BC" w:rsidRDefault="003A5FDF" w:rsidP="00655F22">
            <w:pPr>
              <w:jc w:val="both"/>
              <w:rPr>
                <w:rFonts w:cstheme="minorHAnsi"/>
              </w:rPr>
            </w:pPr>
          </w:p>
        </w:tc>
        <w:tc>
          <w:tcPr>
            <w:tcW w:w="1964" w:type="dxa"/>
            <w:tcBorders>
              <w:top w:val="nil"/>
              <w:left w:val="nil"/>
              <w:right w:val="nil"/>
            </w:tcBorders>
            <w:vAlign w:val="center"/>
          </w:tcPr>
          <w:p w14:paraId="2336C1FB" w14:textId="672F1E14" w:rsidR="003A5FDF" w:rsidRPr="00BF60BC" w:rsidRDefault="003A5FDF" w:rsidP="00655F22">
            <w:pPr>
              <w:jc w:val="both"/>
              <w:rPr>
                <w:rFonts w:cstheme="minorHAnsi"/>
              </w:rPr>
            </w:pPr>
            <w:r w:rsidRPr="00BF60BC">
              <w:rPr>
                <w:rFonts w:cstheme="minorHAnsi"/>
              </w:rPr>
              <w:t>0.24</w:t>
            </w:r>
          </w:p>
          <w:p w14:paraId="06BC8DBC" w14:textId="77777777" w:rsidR="003A5FDF" w:rsidRPr="00BF60BC" w:rsidRDefault="003A5FDF" w:rsidP="00655F22">
            <w:pPr>
              <w:jc w:val="both"/>
              <w:rPr>
                <w:rFonts w:cstheme="minorHAnsi"/>
              </w:rPr>
            </w:pPr>
            <w:r w:rsidRPr="00BF60BC">
              <w:rPr>
                <w:rFonts w:cstheme="minorHAnsi"/>
              </w:rPr>
              <w:t>(0.17, 0.30)</w:t>
            </w:r>
          </w:p>
          <w:p w14:paraId="0A9606B8" w14:textId="77777777" w:rsidR="003A5FDF" w:rsidRPr="00BF60BC" w:rsidRDefault="003A5FDF" w:rsidP="00655F22">
            <w:pPr>
              <w:jc w:val="both"/>
              <w:rPr>
                <w:rFonts w:cstheme="minorHAnsi"/>
              </w:rPr>
            </w:pPr>
          </w:p>
        </w:tc>
        <w:tc>
          <w:tcPr>
            <w:tcW w:w="1817" w:type="dxa"/>
            <w:tcBorders>
              <w:top w:val="nil"/>
              <w:left w:val="nil"/>
              <w:right w:val="nil"/>
            </w:tcBorders>
            <w:vAlign w:val="center"/>
          </w:tcPr>
          <w:p w14:paraId="66D0E699" w14:textId="4F63A73A" w:rsidR="003A5FDF" w:rsidRPr="00BF60BC" w:rsidRDefault="003A5FDF" w:rsidP="00655F22">
            <w:pPr>
              <w:jc w:val="both"/>
              <w:rPr>
                <w:rFonts w:cstheme="minorHAnsi"/>
              </w:rPr>
            </w:pPr>
            <w:r w:rsidRPr="00BF60BC">
              <w:rPr>
                <w:rFonts w:cstheme="minorHAnsi"/>
              </w:rPr>
              <w:t>p=0.01</w:t>
            </w:r>
          </w:p>
        </w:tc>
        <w:tc>
          <w:tcPr>
            <w:tcW w:w="1948" w:type="dxa"/>
            <w:tcBorders>
              <w:top w:val="nil"/>
              <w:left w:val="nil"/>
              <w:right w:val="nil"/>
            </w:tcBorders>
            <w:vAlign w:val="center"/>
          </w:tcPr>
          <w:p w14:paraId="772B727D" w14:textId="15A1CBD8" w:rsidR="003A5FDF" w:rsidRPr="00BF60BC" w:rsidRDefault="003A5FDF" w:rsidP="00655F22">
            <w:pPr>
              <w:jc w:val="both"/>
              <w:rPr>
                <w:rFonts w:cstheme="minorHAnsi"/>
              </w:rPr>
            </w:pPr>
            <w:r w:rsidRPr="00BF60BC">
              <w:rPr>
                <w:rFonts w:cstheme="minorHAnsi"/>
              </w:rPr>
              <w:t>0.18</w:t>
            </w:r>
          </w:p>
          <w:p w14:paraId="58D42FBA" w14:textId="77777777" w:rsidR="003A5FDF" w:rsidRPr="00BF60BC" w:rsidRDefault="003A5FDF" w:rsidP="00655F22">
            <w:pPr>
              <w:jc w:val="both"/>
              <w:rPr>
                <w:rFonts w:cstheme="minorHAnsi"/>
              </w:rPr>
            </w:pPr>
            <w:r w:rsidRPr="00BF60BC">
              <w:rPr>
                <w:rFonts w:cstheme="minorHAnsi"/>
              </w:rPr>
              <w:t>(0.10, 0.26)</w:t>
            </w:r>
          </w:p>
          <w:p w14:paraId="5F37D865" w14:textId="77777777" w:rsidR="003A5FDF" w:rsidRPr="00BF60BC" w:rsidRDefault="003A5FDF" w:rsidP="00655F22">
            <w:pPr>
              <w:jc w:val="both"/>
              <w:rPr>
                <w:rFonts w:cstheme="minorHAnsi"/>
              </w:rPr>
            </w:pPr>
          </w:p>
        </w:tc>
        <w:tc>
          <w:tcPr>
            <w:tcW w:w="2132" w:type="dxa"/>
            <w:tcBorders>
              <w:top w:val="nil"/>
              <w:left w:val="nil"/>
              <w:right w:val="nil"/>
            </w:tcBorders>
            <w:vAlign w:val="center"/>
          </w:tcPr>
          <w:p w14:paraId="4033622B" w14:textId="68E958FE" w:rsidR="003A5FDF" w:rsidRPr="00BF60BC" w:rsidRDefault="003A5FDF" w:rsidP="00655F22">
            <w:pPr>
              <w:jc w:val="both"/>
              <w:rPr>
                <w:rFonts w:cstheme="minorHAnsi"/>
              </w:rPr>
            </w:pPr>
            <w:r w:rsidRPr="00BF60BC">
              <w:rPr>
                <w:rFonts w:cstheme="minorHAnsi"/>
              </w:rPr>
              <w:t>p=0.10</w:t>
            </w:r>
          </w:p>
        </w:tc>
        <w:tc>
          <w:tcPr>
            <w:tcW w:w="2025" w:type="dxa"/>
            <w:tcBorders>
              <w:top w:val="nil"/>
              <w:left w:val="nil"/>
              <w:right w:val="nil"/>
            </w:tcBorders>
            <w:vAlign w:val="center"/>
          </w:tcPr>
          <w:p w14:paraId="0E49EA55" w14:textId="7B15EA7E" w:rsidR="003A5FDF" w:rsidRPr="00BF60BC" w:rsidRDefault="003A5FDF" w:rsidP="00655F22">
            <w:pPr>
              <w:jc w:val="both"/>
              <w:rPr>
                <w:rFonts w:cstheme="minorHAnsi"/>
              </w:rPr>
            </w:pPr>
            <w:r w:rsidRPr="00BF60BC">
              <w:rPr>
                <w:rFonts w:cstheme="minorHAnsi"/>
              </w:rPr>
              <w:t>0.37</w:t>
            </w:r>
          </w:p>
          <w:p w14:paraId="44AF8922" w14:textId="77777777" w:rsidR="003A5FDF" w:rsidRPr="00BF60BC" w:rsidRDefault="003A5FDF" w:rsidP="00655F22">
            <w:pPr>
              <w:jc w:val="both"/>
              <w:rPr>
                <w:rFonts w:cstheme="minorHAnsi"/>
              </w:rPr>
            </w:pPr>
            <w:r w:rsidRPr="00BF60BC">
              <w:rPr>
                <w:rFonts w:cstheme="minorHAnsi"/>
              </w:rPr>
              <w:t>(0.22, 0.51)</w:t>
            </w:r>
          </w:p>
          <w:p w14:paraId="1D2CB76B" w14:textId="77777777" w:rsidR="003A5FDF" w:rsidRPr="00BF60BC" w:rsidRDefault="003A5FDF" w:rsidP="00655F22">
            <w:pPr>
              <w:jc w:val="both"/>
              <w:rPr>
                <w:rFonts w:cstheme="minorHAnsi"/>
              </w:rPr>
            </w:pPr>
          </w:p>
        </w:tc>
        <w:tc>
          <w:tcPr>
            <w:tcW w:w="2227" w:type="dxa"/>
            <w:tcBorders>
              <w:top w:val="nil"/>
              <w:left w:val="nil"/>
            </w:tcBorders>
            <w:vAlign w:val="center"/>
          </w:tcPr>
          <w:p w14:paraId="2A73082B" w14:textId="0AE8508C" w:rsidR="003A5FDF" w:rsidRPr="00BF60BC" w:rsidRDefault="00FF0660" w:rsidP="00655F22">
            <w:pPr>
              <w:jc w:val="both"/>
              <w:rPr>
                <w:rFonts w:cstheme="minorHAnsi"/>
              </w:rPr>
            </w:pPr>
            <w:r w:rsidRPr="00BF60BC">
              <w:rPr>
                <w:rFonts w:cstheme="minorHAnsi"/>
              </w:rPr>
              <w:t>p=0.77</w:t>
            </w:r>
          </w:p>
        </w:tc>
      </w:tr>
      <w:tr w:rsidR="003A5FDF" w:rsidRPr="00BF60BC" w14:paraId="03BBFC80" w14:textId="77777777" w:rsidTr="000279B8">
        <w:trPr>
          <w:trHeight w:val="267"/>
        </w:trPr>
        <w:tc>
          <w:tcPr>
            <w:tcW w:w="15877" w:type="dxa"/>
            <w:gridSpan w:val="8"/>
            <w:tcBorders>
              <w:bottom w:val="single" w:sz="4" w:space="0" w:color="auto"/>
            </w:tcBorders>
            <w:shd w:val="clear" w:color="auto" w:fill="E7E6E6" w:themeFill="background2"/>
          </w:tcPr>
          <w:p w14:paraId="03CA5217" w14:textId="77777777" w:rsidR="003A5FDF" w:rsidRPr="00BF60BC" w:rsidRDefault="003A5FDF" w:rsidP="00655F22">
            <w:pPr>
              <w:jc w:val="both"/>
              <w:rPr>
                <w:rFonts w:cstheme="minorHAnsi"/>
                <w:b/>
                <w:bCs/>
                <w:i/>
                <w:iCs/>
              </w:rPr>
            </w:pPr>
            <w:r w:rsidRPr="00BF60BC">
              <w:rPr>
                <w:rFonts w:cstheme="minorHAnsi"/>
                <w:b/>
                <w:bCs/>
                <w:i/>
              </w:rPr>
              <w:t xml:space="preserve">Lifetime exercise for weight loss </w:t>
            </w:r>
            <w:proofErr w:type="gramStart"/>
            <w:r w:rsidRPr="00BF60BC">
              <w:rPr>
                <w:rFonts w:cstheme="minorHAnsi"/>
                <w:b/>
                <w:bCs/>
                <w:i/>
              </w:rPr>
              <w:t>( Years</w:t>
            </w:r>
            <w:proofErr w:type="gramEnd"/>
            <w:r w:rsidRPr="00BF60BC">
              <w:rPr>
                <w:rFonts w:cstheme="minorHAnsi"/>
                <w:b/>
                <w:bCs/>
                <w:i/>
              </w:rPr>
              <w:t xml:space="preserve"> included: 1986, 2015 </w:t>
            </w:r>
            <w:r w:rsidRPr="00BF60BC">
              <w:rPr>
                <w:rFonts w:cstheme="minorHAnsi"/>
                <w:b/>
                <w:i/>
              </w:rPr>
              <w:t>(n=18,913))</w:t>
            </w:r>
          </w:p>
        </w:tc>
      </w:tr>
      <w:tr w:rsidR="003A5FDF" w:rsidRPr="00BF60BC" w14:paraId="040494CB" w14:textId="77777777" w:rsidTr="000279B8">
        <w:trPr>
          <w:trHeight w:val="248"/>
        </w:trPr>
        <w:tc>
          <w:tcPr>
            <w:tcW w:w="1986" w:type="dxa"/>
            <w:tcBorders>
              <w:bottom w:val="nil"/>
              <w:right w:val="nil"/>
            </w:tcBorders>
            <w:vAlign w:val="center"/>
          </w:tcPr>
          <w:p w14:paraId="5DD25A31" w14:textId="77777777" w:rsidR="003A5FDF" w:rsidRPr="00BF60BC" w:rsidRDefault="003A5FDF" w:rsidP="00655F22">
            <w:pPr>
              <w:jc w:val="both"/>
              <w:rPr>
                <w:rFonts w:cstheme="minorHAnsi"/>
                <w:i/>
              </w:rPr>
            </w:pPr>
            <w:r w:rsidRPr="00BF60BC">
              <w:rPr>
                <w:rFonts w:cstheme="minorHAnsi"/>
                <w:i/>
              </w:rPr>
              <w:t>Underweight (vs right weight)</w:t>
            </w:r>
          </w:p>
        </w:tc>
        <w:tc>
          <w:tcPr>
            <w:tcW w:w="1778" w:type="dxa"/>
            <w:tcBorders>
              <w:left w:val="nil"/>
              <w:bottom w:val="nil"/>
              <w:right w:val="nil"/>
            </w:tcBorders>
            <w:vAlign w:val="center"/>
          </w:tcPr>
          <w:p w14:paraId="69DB03A2" w14:textId="12D1D97D" w:rsidR="003A5FDF" w:rsidRPr="00BF60BC" w:rsidRDefault="003A5FDF" w:rsidP="00655F22">
            <w:pPr>
              <w:jc w:val="both"/>
              <w:rPr>
                <w:rFonts w:cstheme="minorHAnsi"/>
              </w:rPr>
            </w:pPr>
            <w:r w:rsidRPr="00BF60BC">
              <w:rPr>
                <w:rFonts w:cstheme="minorHAnsi"/>
              </w:rPr>
              <w:t>0.25</w:t>
            </w:r>
          </w:p>
          <w:p w14:paraId="12274508" w14:textId="77777777" w:rsidR="003A5FDF" w:rsidRPr="00BF60BC" w:rsidRDefault="003A5FDF" w:rsidP="00655F22">
            <w:pPr>
              <w:jc w:val="both"/>
              <w:rPr>
                <w:rFonts w:cstheme="minorHAnsi"/>
              </w:rPr>
            </w:pPr>
            <w:r w:rsidRPr="00BF60BC">
              <w:rPr>
                <w:rFonts w:cstheme="minorHAnsi"/>
              </w:rPr>
              <w:t>(0.19, 0.30)</w:t>
            </w:r>
          </w:p>
          <w:p w14:paraId="078FFBF5" w14:textId="77777777" w:rsidR="003A5FDF" w:rsidRPr="00BF60BC" w:rsidRDefault="003A5FDF" w:rsidP="00655F22">
            <w:pPr>
              <w:jc w:val="both"/>
              <w:rPr>
                <w:rFonts w:cstheme="minorHAnsi"/>
              </w:rPr>
            </w:pPr>
          </w:p>
        </w:tc>
        <w:tc>
          <w:tcPr>
            <w:tcW w:w="1964" w:type="dxa"/>
            <w:tcBorders>
              <w:left w:val="nil"/>
              <w:bottom w:val="nil"/>
              <w:right w:val="nil"/>
            </w:tcBorders>
            <w:vAlign w:val="center"/>
          </w:tcPr>
          <w:p w14:paraId="39C19463" w14:textId="179151AD" w:rsidR="003A5FDF" w:rsidRPr="00BF60BC" w:rsidRDefault="003A5FDF" w:rsidP="00655F22">
            <w:pPr>
              <w:jc w:val="both"/>
              <w:rPr>
                <w:rFonts w:cstheme="minorHAnsi"/>
              </w:rPr>
            </w:pPr>
            <w:r w:rsidRPr="00BF60BC">
              <w:rPr>
                <w:rFonts w:cstheme="minorHAnsi"/>
              </w:rPr>
              <w:t>0.27</w:t>
            </w:r>
          </w:p>
          <w:p w14:paraId="52665E26" w14:textId="77777777" w:rsidR="003A5FDF" w:rsidRPr="00BF60BC" w:rsidRDefault="003A5FDF" w:rsidP="00655F22">
            <w:pPr>
              <w:jc w:val="both"/>
              <w:rPr>
                <w:rFonts w:cstheme="minorHAnsi"/>
              </w:rPr>
            </w:pPr>
            <w:r w:rsidRPr="00BF60BC">
              <w:rPr>
                <w:rFonts w:cstheme="minorHAnsi"/>
              </w:rPr>
              <w:t>(0.21, 0.33)</w:t>
            </w:r>
          </w:p>
          <w:p w14:paraId="3C36BCE2" w14:textId="77777777" w:rsidR="003A5FDF" w:rsidRPr="00BF60BC" w:rsidRDefault="003A5FDF" w:rsidP="00655F22">
            <w:pPr>
              <w:jc w:val="both"/>
              <w:rPr>
                <w:rFonts w:cstheme="minorHAnsi"/>
              </w:rPr>
            </w:pPr>
          </w:p>
        </w:tc>
        <w:tc>
          <w:tcPr>
            <w:tcW w:w="1817" w:type="dxa"/>
            <w:tcBorders>
              <w:left w:val="nil"/>
              <w:bottom w:val="nil"/>
              <w:right w:val="nil"/>
            </w:tcBorders>
            <w:vAlign w:val="center"/>
          </w:tcPr>
          <w:p w14:paraId="53BD9A3D" w14:textId="406D13FE" w:rsidR="003A5FDF" w:rsidRPr="00BF60BC" w:rsidRDefault="000F68D6" w:rsidP="00655F22">
            <w:pPr>
              <w:jc w:val="both"/>
              <w:rPr>
                <w:rFonts w:cstheme="minorHAnsi"/>
              </w:rPr>
            </w:pPr>
            <w:r w:rsidRPr="00BF60BC">
              <w:rPr>
                <w:rFonts w:cstheme="minorHAnsi"/>
              </w:rPr>
              <w:t>p=0.89</w:t>
            </w:r>
          </w:p>
        </w:tc>
        <w:tc>
          <w:tcPr>
            <w:tcW w:w="1948" w:type="dxa"/>
            <w:tcBorders>
              <w:left w:val="nil"/>
              <w:bottom w:val="nil"/>
              <w:right w:val="nil"/>
            </w:tcBorders>
            <w:vAlign w:val="center"/>
          </w:tcPr>
          <w:p w14:paraId="2BD2EAC1" w14:textId="3CF71557" w:rsidR="003A5FDF" w:rsidRPr="00BF60BC" w:rsidRDefault="003A5FDF" w:rsidP="00655F22">
            <w:pPr>
              <w:jc w:val="both"/>
              <w:rPr>
                <w:rFonts w:cstheme="minorHAnsi"/>
              </w:rPr>
            </w:pPr>
            <w:r w:rsidRPr="00BF60BC">
              <w:rPr>
                <w:rFonts w:cstheme="minorHAnsi"/>
              </w:rPr>
              <w:t>0.26</w:t>
            </w:r>
          </w:p>
          <w:p w14:paraId="5584CAB9" w14:textId="77777777" w:rsidR="003A5FDF" w:rsidRPr="00BF60BC" w:rsidRDefault="003A5FDF" w:rsidP="00655F22">
            <w:pPr>
              <w:jc w:val="both"/>
              <w:rPr>
                <w:rFonts w:cstheme="minorHAnsi"/>
              </w:rPr>
            </w:pPr>
            <w:r w:rsidRPr="00BF60BC">
              <w:rPr>
                <w:rFonts w:cstheme="minorHAnsi"/>
              </w:rPr>
              <w:t>(0.19, 0.34)</w:t>
            </w:r>
          </w:p>
          <w:p w14:paraId="62620887" w14:textId="77777777" w:rsidR="003A5FDF" w:rsidRPr="00BF60BC" w:rsidRDefault="003A5FDF" w:rsidP="00655F22">
            <w:pPr>
              <w:jc w:val="both"/>
              <w:rPr>
                <w:rFonts w:cstheme="minorHAnsi"/>
              </w:rPr>
            </w:pPr>
          </w:p>
        </w:tc>
        <w:tc>
          <w:tcPr>
            <w:tcW w:w="2132" w:type="dxa"/>
            <w:tcBorders>
              <w:left w:val="nil"/>
              <w:bottom w:val="nil"/>
              <w:right w:val="nil"/>
            </w:tcBorders>
            <w:vAlign w:val="center"/>
          </w:tcPr>
          <w:p w14:paraId="65EDFD68" w14:textId="77777777" w:rsidR="003A5FDF" w:rsidRPr="00BF60BC" w:rsidRDefault="003A5FDF" w:rsidP="00655F22">
            <w:pPr>
              <w:jc w:val="both"/>
              <w:rPr>
                <w:rFonts w:cstheme="minorHAnsi"/>
              </w:rPr>
            </w:pPr>
            <w:r w:rsidRPr="00BF60BC">
              <w:rPr>
                <w:rFonts w:cstheme="minorHAnsi"/>
              </w:rPr>
              <w:t>a</w:t>
            </w:r>
          </w:p>
        </w:tc>
        <w:tc>
          <w:tcPr>
            <w:tcW w:w="2025" w:type="dxa"/>
            <w:tcBorders>
              <w:left w:val="nil"/>
              <w:bottom w:val="nil"/>
              <w:right w:val="nil"/>
            </w:tcBorders>
            <w:vAlign w:val="center"/>
          </w:tcPr>
          <w:p w14:paraId="761F5ADD" w14:textId="6DFA8CFC" w:rsidR="003A5FDF" w:rsidRPr="00BF60BC" w:rsidRDefault="003A5FDF" w:rsidP="00655F22">
            <w:pPr>
              <w:jc w:val="both"/>
              <w:rPr>
                <w:rFonts w:cstheme="minorHAnsi"/>
              </w:rPr>
            </w:pPr>
            <w:r w:rsidRPr="00BF60BC">
              <w:rPr>
                <w:rFonts w:cstheme="minorHAnsi"/>
              </w:rPr>
              <w:t>0.29</w:t>
            </w:r>
          </w:p>
          <w:p w14:paraId="2BEDD98E" w14:textId="3FFF8C58" w:rsidR="003A5FDF" w:rsidRPr="00BF60BC" w:rsidRDefault="003A5FDF" w:rsidP="00655F22">
            <w:pPr>
              <w:jc w:val="both"/>
              <w:rPr>
                <w:rFonts w:cstheme="minorHAnsi"/>
              </w:rPr>
            </w:pPr>
            <w:r w:rsidRPr="00BF60BC">
              <w:rPr>
                <w:rFonts w:cstheme="minorHAnsi"/>
              </w:rPr>
              <w:t>(0.20, 0.38)</w:t>
            </w:r>
          </w:p>
        </w:tc>
        <w:tc>
          <w:tcPr>
            <w:tcW w:w="2227" w:type="dxa"/>
            <w:tcBorders>
              <w:left w:val="nil"/>
              <w:bottom w:val="nil"/>
            </w:tcBorders>
            <w:vAlign w:val="center"/>
          </w:tcPr>
          <w:p w14:paraId="5EBFED6F" w14:textId="77777777" w:rsidR="003A5FDF" w:rsidRPr="00BF60BC" w:rsidRDefault="003A5FDF" w:rsidP="00655F22">
            <w:pPr>
              <w:jc w:val="both"/>
              <w:rPr>
                <w:rFonts w:cstheme="minorHAnsi"/>
              </w:rPr>
            </w:pPr>
            <w:r w:rsidRPr="00BF60BC">
              <w:rPr>
                <w:rFonts w:cstheme="minorHAnsi"/>
              </w:rPr>
              <w:t>c</w:t>
            </w:r>
          </w:p>
        </w:tc>
      </w:tr>
      <w:tr w:rsidR="003A5FDF" w:rsidRPr="00BF60BC" w14:paraId="21C1AEA3" w14:textId="77777777" w:rsidTr="000279B8">
        <w:trPr>
          <w:trHeight w:val="248"/>
        </w:trPr>
        <w:tc>
          <w:tcPr>
            <w:tcW w:w="1986" w:type="dxa"/>
            <w:tcBorders>
              <w:top w:val="nil"/>
              <w:right w:val="nil"/>
            </w:tcBorders>
            <w:vAlign w:val="center"/>
          </w:tcPr>
          <w:p w14:paraId="3ECCDE94" w14:textId="77777777" w:rsidR="003A5FDF" w:rsidRPr="00BF60BC" w:rsidRDefault="003A5FDF" w:rsidP="00655F22">
            <w:pPr>
              <w:jc w:val="both"/>
              <w:rPr>
                <w:rFonts w:cstheme="minorHAnsi"/>
                <w:i/>
              </w:rPr>
            </w:pPr>
            <w:r w:rsidRPr="00BF60BC">
              <w:rPr>
                <w:rFonts w:cstheme="minorHAnsi"/>
                <w:i/>
              </w:rPr>
              <w:t>Overweight (vs right weight)</w:t>
            </w:r>
          </w:p>
        </w:tc>
        <w:tc>
          <w:tcPr>
            <w:tcW w:w="1778" w:type="dxa"/>
            <w:tcBorders>
              <w:top w:val="nil"/>
              <w:left w:val="nil"/>
              <w:right w:val="nil"/>
            </w:tcBorders>
            <w:vAlign w:val="center"/>
          </w:tcPr>
          <w:p w14:paraId="54839B65" w14:textId="49B7DBEB" w:rsidR="003A5FDF" w:rsidRPr="00BF60BC" w:rsidRDefault="003A5FDF" w:rsidP="00655F22">
            <w:pPr>
              <w:jc w:val="both"/>
              <w:rPr>
                <w:rFonts w:cstheme="minorHAnsi"/>
              </w:rPr>
            </w:pPr>
            <w:r w:rsidRPr="00BF60BC">
              <w:rPr>
                <w:rFonts w:cstheme="minorHAnsi"/>
              </w:rPr>
              <w:t>0.42</w:t>
            </w:r>
          </w:p>
          <w:p w14:paraId="57ED6468" w14:textId="77777777" w:rsidR="003A5FDF" w:rsidRPr="00BF60BC" w:rsidRDefault="003A5FDF" w:rsidP="00655F22">
            <w:pPr>
              <w:jc w:val="both"/>
              <w:rPr>
                <w:rFonts w:cstheme="minorHAnsi"/>
              </w:rPr>
            </w:pPr>
            <w:r w:rsidRPr="00BF60BC">
              <w:rPr>
                <w:rFonts w:cstheme="minorHAnsi"/>
              </w:rPr>
              <w:t>(0.38, 0.45)</w:t>
            </w:r>
          </w:p>
          <w:p w14:paraId="4931C724" w14:textId="77777777" w:rsidR="003A5FDF" w:rsidRPr="00BF60BC" w:rsidRDefault="003A5FDF" w:rsidP="00655F22">
            <w:pPr>
              <w:jc w:val="both"/>
              <w:rPr>
                <w:rFonts w:cstheme="minorHAnsi"/>
              </w:rPr>
            </w:pPr>
          </w:p>
        </w:tc>
        <w:tc>
          <w:tcPr>
            <w:tcW w:w="1964" w:type="dxa"/>
            <w:tcBorders>
              <w:top w:val="nil"/>
              <w:left w:val="nil"/>
              <w:right w:val="nil"/>
            </w:tcBorders>
            <w:vAlign w:val="center"/>
          </w:tcPr>
          <w:p w14:paraId="15B1965C" w14:textId="2D7C98F2" w:rsidR="003A5FDF" w:rsidRPr="00BF60BC" w:rsidRDefault="003A5FDF" w:rsidP="00655F22">
            <w:pPr>
              <w:jc w:val="both"/>
              <w:rPr>
                <w:rFonts w:cstheme="minorHAnsi"/>
              </w:rPr>
            </w:pPr>
            <w:r w:rsidRPr="00BF60BC">
              <w:rPr>
                <w:rFonts w:cstheme="minorHAnsi"/>
              </w:rPr>
              <w:t>0.38</w:t>
            </w:r>
          </w:p>
          <w:p w14:paraId="58E1F893" w14:textId="77777777" w:rsidR="003A5FDF" w:rsidRPr="00BF60BC" w:rsidRDefault="003A5FDF" w:rsidP="00655F22">
            <w:pPr>
              <w:jc w:val="both"/>
              <w:rPr>
                <w:rFonts w:cstheme="minorHAnsi"/>
              </w:rPr>
            </w:pPr>
            <w:r w:rsidRPr="00BF60BC">
              <w:rPr>
                <w:rFonts w:cstheme="minorHAnsi"/>
              </w:rPr>
              <w:t>(0.36, 0.41)</w:t>
            </w:r>
          </w:p>
          <w:p w14:paraId="7009FF3C" w14:textId="77777777" w:rsidR="003A5FDF" w:rsidRPr="00BF60BC" w:rsidRDefault="003A5FDF" w:rsidP="00655F22">
            <w:pPr>
              <w:jc w:val="both"/>
              <w:rPr>
                <w:rFonts w:cstheme="minorHAnsi"/>
              </w:rPr>
            </w:pPr>
          </w:p>
        </w:tc>
        <w:tc>
          <w:tcPr>
            <w:tcW w:w="1817" w:type="dxa"/>
            <w:tcBorders>
              <w:top w:val="nil"/>
              <w:left w:val="nil"/>
              <w:right w:val="nil"/>
            </w:tcBorders>
            <w:vAlign w:val="center"/>
          </w:tcPr>
          <w:p w14:paraId="2F1059C6" w14:textId="6E792344" w:rsidR="003A5FDF" w:rsidRPr="00BF60BC" w:rsidRDefault="000F68D6" w:rsidP="00655F22">
            <w:pPr>
              <w:jc w:val="both"/>
              <w:rPr>
                <w:rFonts w:cstheme="minorHAnsi"/>
              </w:rPr>
            </w:pPr>
            <w:r w:rsidRPr="00BF60BC">
              <w:rPr>
                <w:rFonts w:cstheme="minorHAnsi"/>
              </w:rPr>
              <w:t>p=0.01</w:t>
            </w:r>
          </w:p>
        </w:tc>
        <w:tc>
          <w:tcPr>
            <w:tcW w:w="1948" w:type="dxa"/>
            <w:tcBorders>
              <w:top w:val="nil"/>
              <w:left w:val="nil"/>
              <w:right w:val="nil"/>
            </w:tcBorders>
            <w:vAlign w:val="center"/>
          </w:tcPr>
          <w:p w14:paraId="2150DD9E" w14:textId="200435D6" w:rsidR="003A5FDF" w:rsidRPr="00BF60BC" w:rsidRDefault="003A5FDF" w:rsidP="00655F22">
            <w:pPr>
              <w:jc w:val="both"/>
              <w:rPr>
                <w:rFonts w:cstheme="minorHAnsi"/>
              </w:rPr>
            </w:pPr>
            <w:r w:rsidRPr="00BF60BC">
              <w:rPr>
                <w:rFonts w:cstheme="minorHAnsi"/>
              </w:rPr>
              <w:t>0.27</w:t>
            </w:r>
          </w:p>
          <w:p w14:paraId="3652C453" w14:textId="77777777" w:rsidR="003A5FDF" w:rsidRPr="00BF60BC" w:rsidRDefault="003A5FDF" w:rsidP="00655F22">
            <w:pPr>
              <w:jc w:val="both"/>
              <w:rPr>
                <w:rFonts w:cstheme="minorHAnsi"/>
              </w:rPr>
            </w:pPr>
            <w:r w:rsidRPr="00BF60BC">
              <w:rPr>
                <w:rFonts w:cstheme="minorHAnsi"/>
              </w:rPr>
              <w:t>(0.20, 0.33)</w:t>
            </w:r>
          </w:p>
          <w:p w14:paraId="20427A66" w14:textId="77777777" w:rsidR="003A5FDF" w:rsidRPr="00BF60BC" w:rsidRDefault="003A5FDF" w:rsidP="00655F22">
            <w:pPr>
              <w:jc w:val="both"/>
              <w:rPr>
                <w:rFonts w:cstheme="minorHAnsi"/>
              </w:rPr>
            </w:pPr>
          </w:p>
        </w:tc>
        <w:tc>
          <w:tcPr>
            <w:tcW w:w="2132" w:type="dxa"/>
            <w:tcBorders>
              <w:top w:val="nil"/>
              <w:left w:val="nil"/>
              <w:right w:val="nil"/>
            </w:tcBorders>
            <w:vAlign w:val="center"/>
          </w:tcPr>
          <w:p w14:paraId="315E5127" w14:textId="77777777" w:rsidR="003A5FDF" w:rsidRPr="00BF60BC" w:rsidRDefault="003A5FDF" w:rsidP="00655F22">
            <w:pPr>
              <w:jc w:val="both"/>
              <w:rPr>
                <w:rFonts w:cstheme="minorHAnsi"/>
              </w:rPr>
            </w:pPr>
            <w:r w:rsidRPr="00BF60BC">
              <w:rPr>
                <w:rFonts w:cstheme="minorHAnsi"/>
              </w:rPr>
              <w:t>b</w:t>
            </w:r>
          </w:p>
        </w:tc>
        <w:tc>
          <w:tcPr>
            <w:tcW w:w="2025" w:type="dxa"/>
            <w:tcBorders>
              <w:top w:val="nil"/>
              <w:left w:val="nil"/>
              <w:right w:val="nil"/>
            </w:tcBorders>
            <w:vAlign w:val="center"/>
          </w:tcPr>
          <w:p w14:paraId="0A5C248E" w14:textId="77777777" w:rsidR="003A5FDF" w:rsidRPr="00BF60BC" w:rsidRDefault="003A5FDF" w:rsidP="00655F22">
            <w:pPr>
              <w:jc w:val="both"/>
              <w:rPr>
                <w:rFonts w:cstheme="minorHAnsi"/>
              </w:rPr>
            </w:pPr>
            <w:r w:rsidRPr="00BF60BC">
              <w:rPr>
                <w:rFonts w:cstheme="minorHAnsi"/>
              </w:rPr>
              <w:t>0.44</w:t>
            </w:r>
          </w:p>
          <w:p w14:paraId="0BF317D5" w14:textId="77777777" w:rsidR="003A5FDF" w:rsidRPr="00BF60BC" w:rsidRDefault="003A5FDF" w:rsidP="00655F22">
            <w:pPr>
              <w:jc w:val="both"/>
              <w:rPr>
                <w:rFonts w:cstheme="minorHAnsi"/>
              </w:rPr>
            </w:pPr>
            <w:r w:rsidRPr="00BF60BC">
              <w:rPr>
                <w:rFonts w:cstheme="minorHAnsi"/>
              </w:rPr>
              <w:t>(0.38, 0.49)</w:t>
            </w:r>
          </w:p>
          <w:p w14:paraId="07E5FB5B" w14:textId="77777777" w:rsidR="003A5FDF" w:rsidRPr="00BF60BC" w:rsidRDefault="003A5FDF" w:rsidP="00655F22">
            <w:pPr>
              <w:jc w:val="both"/>
              <w:rPr>
                <w:rFonts w:cstheme="minorHAnsi"/>
              </w:rPr>
            </w:pPr>
          </w:p>
        </w:tc>
        <w:tc>
          <w:tcPr>
            <w:tcW w:w="2227" w:type="dxa"/>
            <w:tcBorders>
              <w:top w:val="nil"/>
              <w:left w:val="nil"/>
            </w:tcBorders>
            <w:vAlign w:val="center"/>
          </w:tcPr>
          <w:p w14:paraId="1CE895A5" w14:textId="77777777" w:rsidR="003A5FDF" w:rsidRPr="00BF60BC" w:rsidRDefault="003A5FDF" w:rsidP="00655F22">
            <w:pPr>
              <w:jc w:val="both"/>
              <w:rPr>
                <w:rFonts w:cstheme="minorHAnsi"/>
              </w:rPr>
            </w:pPr>
            <w:r w:rsidRPr="00BF60BC">
              <w:rPr>
                <w:rFonts w:cstheme="minorHAnsi"/>
              </w:rPr>
              <w:t>d</w:t>
            </w:r>
          </w:p>
        </w:tc>
      </w:tr>
    </w:tbl>
    <w:p w14:paraId="2AEFF4B3" w14:textId="73E003F5" w:rsidR="002E3A60" w:rsidRPr="00BF60BC" w:rsidRDefault="002E3A60" w:rsidP="00655F22">
      <w:pPr>
        <w:spacing w:after="0" w:line="240" w:lineRule="auto"/>
        <w:jc w:val="both"/>
      </w:pPr>
      <w:r w:rsidRPr="00BF60BC">
        <w:t>a: underweight*</w:t>
      </w:r>
      <w:r w:rsidR="000F68D6" w:rsidRPr="00BF60BC">
        <w:t>ALSPAC p=0.</w:t>
      </w:r>
      <w:proofErr w:type="gramStart"/>
      <w:r w:rsidR="000F68D6" w:rsidRPr="00BF60BC">
        <w:t xml:space="preserve">09 </w:t>
      </w:r>
      <w:r w:rsidRPr="00BF60BC">
        <w:t>;</w:t>
      </w:r>
      <w:proofErr w:type="gramEnd"/>
      <w:r w:rsidRPr="00BF60BC">
        <w:t xml:space="preserve"> underweight*MCS </w:t>
      </w:r>
      <w:r w:rsidR="000F68D6" w:rsidRPr="00BF60BC">
        <w:t>p=0.21</w:t>
      </w:r>
    </w:p>
    <w:p w14:paraId="528B3418" w14:textId="6DE32548" w:rsidR="002E3A60" w:rsidRPr="00BF60BC" w:rsidRDefault="002E3A60" w:rsidP="00655F22">
      <w:pPr>
        <w:spacing w:after="0" w:line="240" w:lineRule="auto"/>
        <w:jc w:val="both"/>
      </w:pPr>
      <w:r w:rsidRPr="00BF60BC">
        <w:t>b: overweight*</w:t>
      </w:r>
      <w:r w:rsidR="00F97B78" w:rsidRPr="00BF60BC">
        <w:t>ALSPAC</w:t>
      </w:r>
      <w:r w:rsidR="000F68D6" w:rsidRPr="00BF60BC">
        <w:t xml:space="preserve"> p=0.21</w:t>
      </w:r>
      <w:r w:rsidRPr="00BF60BC">
        <w:t>; overwei</w:t>
      </w:r>
      <w:r w:rsidR="00F97B78" w:rsidRPr="00BF60BC">
        <w:t>ght*MCS</w:t>
      </w:r>
      <w:r w:rsidR="000F68D6" w:rsidRPr="00BF60BC">
        <w:t xml:space="preserve"> p=0.33</w:t>
      </w:r>
    </w:p>
    <w:p w14:paraId="415A57FB" w14:textId="358D3BBB" w:rsidR="002E3A60" w:rsidRPr="00BF60BC" w:rsidRDefault="002E3A60" w:rsidP="00655F22">
      <w:pPr>
        <w:spacing w:after="0" w:line="240" w:lineRule="auto"/>
        <w:jc w:val="both"/>
      </w:pPr>
      <w:r w:rsidRPr="00BF60BC">
        <w:t>c: underweight*AL</w:t>
      </w:r>
      <w:r w:rsidR="00F97B78" w:rsidRPr="00BF60BC">
        <w:t>SPAC</w:t>
      </w:r>
      <w:r w:rsidR="000F68D6" w:rsidRPr="00BF60BC">
        <w:t xml:space="preserve"> p=0.</w:t>
      </w:r>
      <w:proofErr w:type="gramStart"/>
      <w:r w:rsidR="000F68D6" w:rsidRPr="00BF60BC">
        <w:t xml:space="preserve">01 </w:t>
      </w:r>
      <w:r w:rsidRPr="00BF60BC">
        <w:t>;</w:t>
      </w:r>
      <w:proofErr w:type="gramEnd"/>
      <w:r w:rsidRPr="00BF60BC">
        <w:t xml:space="preserve"> underweig</w:t>
      </w:r>
      <w:r w:rsidR="00F97B78" w:rsidRPr="00BF60BC">
        <w:t>ht*MCS</w:t>
      </w:r>
      <w:r w:rsidR="000F68D6" w:rsidRPr="00BF60BC">
        <w:t xml:space="preserve"> p=0.37</w:t>
      </w:r>
    </w:p>
    <w:p w14:paraId="41EE1B2A" w14:textId="62FA1F90" w:rsidR="002E3A60" w:rsidRPr="00BF60BC" w:rsidRDefault="002E3A60" w:rsidP="00655F22">
      <w:pPr>
        <w:spacing w:after="0" w:line="240" w:lineRule="auto"/>
        <w:jc w:val="both"/>
      </w:pPr>
      <w:r w:rsidRPr="00BF60BC">
        <w:t>d: overweight*ALSPAC</w:t>
      </w:r>
      <w:r w:rsidR="000F68D6" w:rsidRPr="00BF60BC">
        <w:t xml:space="preserve"> p= </w:t>
      </w:r>
      <w:proofErr w:type="gramStart"/>
      <w:r w:rsidR="000F68D6" w:rsidRPr="00BF60BC">
        <w:t xml:space="preserve">0.08 </w:t>
      </w:r>
      <w:r w:rsidRPr="00BF60BC">
        <w:t>;overweight</w:t>
      </w:r>
      <w:proofErr w:type="gramEnd"/>
      <w:r w:rsidRPr="00BF60BC">
        <w:t>*</w:t>
      </w:r>
      <w:r w:rsidR="00F97B78" w:rsidRPr="00BF60BC">
        <w:t>MCS</w:t>
      </w:r>
      <w:r w:rsidR="000F68D6" w:rsidRPr="00BF60BC">
        <w:t xml:space="preserve"> p&lt;0.001</w:t>
      </w:r>
    </w:p>
    <w:p w14:paraId="6475F6E9" w14:textId="7966A45F" w:rsidR="004E6BCA" w:rsidRPr="00BF60BC" w:rsidRDefault="004E6BCA" w:rsidP="00655F22">
      <w:pPr>
        <w:spacing w:after="0" w:line="240" w:lineRule="auto"/>
        <w:jc w:val="both"/>
      </w:pPr>
      <w:r w:rsidRPr="00BF60BC">
        <w:t xml:space="preserve">multivariable models adjusted </w:t>
      </w:r>
      <w:r w:rsidRPr="00BF60BC">
        <w:rPr>
          <w:rFonts w:cstheme="minorHAnsi"/>
        </w:rPr>
        <w:t>adolescent’s sex, BMI, and ethnicity; maternal age and highest level of education; and paternal social class</w:t>
      </w:r>
    </w:p>
    <w:p w14:paraId="426A21F7" w14:textId="64E7F66B" w:rsidR="005E206B" w:rsidRPr="00BF60BC" w:rsidRDefault="005E206B" w:rsidP="00655F22">
      <w:pPr>
        <w:spacing w:after="0" w:line="240" w:lineRule="auto"/>
        <w:jc w:val="both"/>
        <w:rPr>
          <w:rFonts w:ascii="Calibri" w:hAnsi="Calibri" w:cs="Calibri"/>
          <w:sz w:val="24"/>
          <w:szCs w:val="24"/>
        </w:rPr>
        <w:sectPr w:rsidR="005E206B" w:rsidRPr="00BF60BC" w:rsidSect="00AD1032">
          <w:type w:val="continuous"/>
          <w:pgSz w:w="16838" w:h="11906" w:orient="landscape"/>
          <w:pgMar w:top="1440" w:right="1440" w:bottom="1440" w:left="1440" w:header="708" w:footer="708" w:gutter="0"/>
          <w:cols w:space="708"/>
          <w:docGrid w:linePitch="360"/>
        </w:sectPr>
      </w:pPr>
    </w:p>
    <w:p w14:paraId="4559B74F" w14:textId="30BCF0E0" w:rsidR="005E206B" w:rsidRPr="00BF60BC" w:rsidRDefault="005E206B" w:rsidP="00655F22">
      <w:pPr>
        <w:jc w:val="both"/>
        <w:rPr>
          <w:rFonts w:eastAsia="Times New Roman" w:cstheme="minorHAnsi"/>
          <w:sz w:val="24"/>
          <w:szCs w:val="24"/>
        </w:rPr>
      </w:pPr>
      <w:r w:rsidRPr="00BF60BC">
        <w:rPr>
          <w:rFonts w:eastAsia="Times New Roman" w:cstheme="minorHAnsi"/>
          <w:sz w:val="24"/>
          <w:szCs w:val="24"/>
        </w:rPr>
        <w:lastRenderedPageBreak/>
        <w:t xml:space="preserve">Figure </w:t>
      </w:r>
      <w:r w:rsidR="00EE7145" w:rsidRPr="00BF60BC">
        <w:rPr>
          <w:rFonts w:eastAsia="Times New Roman" w:cstheme="minorHAnsi"/>
          <w:sz w:val="24"/>
          <w:szCs w:val="24"/>
        </w:rPr>
        <w:t>1</w:t>
      </w:r>
      <w:r w:rsidRPr="00BF60BC">
        <w:rPr>
          <w:rFonts w:eastAsia="Times New Roman" w:cstheme="minorHAnsi"/>
          <w:sz w:val="24"/>
          <w:szCs w:val="24"/>
        </w:rPr>
        <w:t xml:space="preserve">: changes in the association between </w:t>
      </w:r>
      <w:r w:rsidR="00C13F99">
        <w:rPr>
          <w:rFonts w:eastAsia="Times New Roman" w:cstheme="minorHAnsi"/>
          <w:sz w:val="24"/>
          <w:szCs w:val="24"/>
        </w:rPr>
        <w:t>weight-change behaviours</w:t>
      </w:r>
      <w:r w:rsidRPr="00BF60BC">
        <w:rPr>
          <w:rFonts w:eastAsia="Times New Roman" w:cstheme="minorHAnsi"/>
          <w:sz w:val="24"/>
          <w:szCs w:val="24"/>
        </w:rPr>
        <w:t xml:space="preserve"> and depressive symptoms by cohort </w:t>
      </w:r>
      <w:r w:rsidR="00C13F99">
        <w:rPr>
          <w:rFonts w:eastAsia="Times New Roman" w:cstheme="minorHAnsi"/>
          <w:sz w:val="24"/>
          <w:szCs w:val="24"/>
        </w:rPr>
        <w:t>and sex</w:t>
      </w:r>
      <w:r w:rsidRPr="00BF60BC">
        <w:rPr>
          <w:rFonts w:eastAsia="Times New Roman" w:cstheme="minorHAnsi"/>
          <w:sz w:val="24"/>
          <w:szCs w:val="24"/>
        </w:rPr>
        <w:t xml:space="preserve">. </w:t>
      </w:r>
    </w:p>
    <w:p w14:paraId="588772D0" w14:textId="3B963ADD" w:rsidR="005E206B" w:rsidRPr="00BF60BC" w:rsidRDefault="005E206B" w:rsidP="00655F22">
      <w:pPr>
        <w:spacing w:after="0" w:line="240" w:lineRule="auto"/>
        <w:jc w:val="both"/>
        <w:rPr>
          <w:rFonts w:ascii="Calibri" w:hAnsi="Calibri" w:cs="Calibri"/>
          <w:sz w:val="24"/>
          <w:szCs w:val="24"/>
        </w:rPr>
      </w:pPr>
    </w:p>
    <w:p w14:paraId="4953CDCE" w14:textId="6C9575CB" w:rsidR="00C13F99" w:rsidRDefault="00C13F99" w:rsidP="00655F22">
      <w:pPr>
        <w:spacing w:after="0" w:line="240" w:lineRule="auto"/>
        <w:jc w:val="both"/>
        <w:rPr>
          <w:rFonts w:ascii="Calibri" w:hAnsi="Calibri" w:cs="Calibri"/>
          <w:sz w:val="24"/>
          <w:szCs w:val="24"/>
        </w:rPr>
      </w:pPr>
    </w:p>
    <w:p w14:paraId="7A4681AA" w14:textId="70001E91" w:rsidR="00C13F99" w:rsidRDefault="00C13F99" w:rsidP="00C13F99">
      <w:pPr>
        <w:rPr>
          <w:rFonts w:ascii="Calibri" w:hAnsi="Calibri" w:cs="Calibri"/>
          <w:sz w:val="24"/>
          <w:szCs w:val="24"/>
        </w:rPr>
      </w:pPr>
    </w:p>
    <w:p w14:paraId="245394C9" w14:textId="6FDDB500" w:rsidR="00C13F99" w:rsidRDefault="00C13F99" w:rsidP="00C13F99">
      <w:pPr>
        <w:spacing w:after="0" w:line="240" w:lineRule="auto"/>
        <w:jc w:val="both"/>
        <w:rPr>
          <w:rFonts w:ascii="Calibri" w:hAnsi="Calibri" w:cs="Calibri"/>
          <w:sz w:val="24"/>
          <w:szCs w:val="24"/>
        </w:rPr>
      </w:pPr>
      <w:r>
        <w:rPr>
          <w:rFonts w:ascii="Calibri" w:hAnsi="Calibri" w:cs="Calibri"/>
          <w:sz w:val="24"/>
          <w:szCs w:val="24"/>
        </w:rPr>
        <w:t xml:space="preserve">Figure 1 legend: The figure shows how the association between lifetime dieting and exercising for weight loss and depressive symptoms changed across cohorts in females and males. </w:t>
      </w:r>
      <w:r w:rsidRPr="00BF60BC">
        <w:rPr>
          <w:rFonts w:eastAsia="Times New Roman" w:cstheme="minorHAnsi"/>
          <w:sz w:val="24"/>
          <w:szCs w:val="24"/>
        </w:rPr>
        <w:t>Parameters</w:t>
      </w:r>
      <w:r w:rsidR="002222B2">
        <w:rPr>
          <w:rFonts w:eastAsia="Times New Roman" w:cstheme="minorHAnsi"/>
          <w:sz w:val="24"/>
          <w:szCs w:val="24"/>
        </w:rPr>
        <w:t xml:space="preserve"> are</w:t>
      </w:r>
      <w:r w:rsidRPr="00BF60BC">
        <w:rPr>
          <w:rFonts w:eastAsia="Times New Roman" w:cstheme="minorHAnsi"/>
          <w:sz w:val="24"/>
          <w:szCs w:val="24"/>
        </w:rPr>
        <w:t xml:space="preserve"> derived from multivariate linear regression models in </w:t>
      </w:r>
      <w:r>
        <w:rPr>
          <w:rFonts w:eastAsia="Times New Roman" w:cstheme="minorHAnsi"/>
          <w:sz w:val="24"/>
          <w:szCs w:val="24"/>
        </w:rPr>
        <w:t>Table</w:t>
      </w:r>
      <w:r w:rsidRPr="00BF60BC">
        <w:rPr>
          <w:rFonts w:eastAsia="Times New Roman" w:cstheme="minorHAnsi"/>
          <w:sz w:val="24"/>
          <w:szCs w:val="24"/>
        </w:rPr>
        <w:t xml:space="preserve"> </w:t>
      </w:r>
      <w:r>
        <w:rPr>
          <w:rFonts w:eastAsia="Times New Roman" w:cstheme="minorHAnsi"/>
          <w:sz w:val="24"/>
          <w:szCs w:val="24"/>
        </w:rPr>
        <w:t>3</w:t>
      </w:r>
      <w:r w:rsidRPr="00BF60BC">
        <w:rPr>
          <w:rFonts w:eastAsia="Times New Roman" w:cstheme="minorHAnsi"/>
          <w:sz w:val="24"/>
          <w:szCs w:val="24"/>
        </w:rPr>
        <w:t xml:space="preserve"> with exposure*cohort interaction</w:t>
      </w:r>
      <w:r>
        <w:rPr>
          <w:rFonts w:eastAsia="Times New Roman" w:cstheme="minorHAnsi"/>
          <w:sz w:val="24"/>
          <w:szCs w:val="24"/>
        </w:rPr>
        <w:t xml:space="preserve"> and sex-stratified </w:t>
      </w:r>
      <w:r w:rsidR="007F3A87">
        <w:rPr>
          <w:rFonts w:eastAsia="Times New Roman" w:cstheme="minorHAnsi"/>
          <w:sz w:val="24"/>
          <w:szCs w:val="24"/>
        </w:rPr>
        <w:t>analyses</w:t>
      </w:r>
      <w:r>
        <w:rPr>
          <w:rFonts w:eastAsia="Times New Roman" w:cstheme="minorHAnsi"/>
          <w:sz w:val="24"/>
          <w:szCs w:val="24"/>
        </w:rPr>
        <w:t xml:space="preserve"> presented in eTable7. The Y axis represents standardi</w:t>
      </w:r>
      <w:r w:rsidR="006068CA">
        <w:rPr>
          <w:rFonts w:eastAsia="Times New Roman" w:cstheme="minorHAnsi"/>
          <w:sz w:val="24"/>
          <w:szCs w:val="24"/>
        </w:rPr>
        <w:t>z</w:t>
      </w:r>
      <w:r>
        <w:rPr>
          <w:rFonts w:eastAsia="Times New Roman" w:cstheme="minorHAnsi"/>
          <w:sz w:val="24"/>
          <w:szCs w:val="24"/>
        </w:rPr>
        <w:t xml:space="preserve">ed depression scores (units are standard deviation), the X axis represents presence or absence of weight-change </w:t>
      </w:r>
      <w:proofErr w:type="spellStart"/>
      <w:r>
        <w:rPr>
          <w:rFonts w:eastAsia="Times New Roman" w:cstheme="minorHAnsi"/>
          <w:sz w:val="24"/>
          <w:szCs w:val="24"/>
        </w:rPr>
        <w:t>behavior</w:t>
      </w:r>
      <w:proofErr w:type="spellEnd"/>
      <w:r>
        <w:rPr>
          <w:rFonts w:eastAsia="Times New Roman" w:cstheme="minorHAnsi"/>
          <w:sz w:val="24"/>
          <w:szCs w:val="24"/>
        </w:rPr>
        <w:t xml:space="preserve">. </w:t>
      </w:r>
    </w:p>
    <w:p w14:paraId="4FA18767" w14:textId="02D45576" w:rsidR="00C13F99" w:rsidRDefault="00C13F99" w:rsidP="00C13F99">
      <w:pPr>
        <w:rPr>
          <w:rFonts w:ascii="Calibri" w:hAnsi="Calibri" w:cs="Calibri"/>
          <w:sz w:val="24"/>
          <w:szCs w:val="24"/>
        </w:rPr>
      </w:pPr>
    </w:p>
    <w:p w14:paraId="26DF3795" w14:textId="5C640CF2" w:rsidR="00C13F99" w:rsidRDefault="00C13F99" w:rsidP="00C13F99">
      <w:pPr>
        <w:rPr>
          <w:rFonts w:ascii="Calibri" w:hAnsi="Calibri" w:cs="Calibri"/>
          <w:sz w:val="24"/>
          <w:szCs w:val="24"/>
        </w:rPr>
      </w:pPr>
    </w:p>
    <w:p w14:paraId="05518B24" w14:textId="77777777" w:rsidR="005E206B" w:rsidRPr="00C13F99" w:rsidRDefault="005E206B" w:rsidP="00C13F99">
      <w:pPr>
        <w:rPr>
          <w:rFonts w:ascii="Calibri" w:hAnsi="Calibri" w:cs="Calibri"/>
          <w:sz w:val="24"/>
          <w:szCs w:val="24"/>
        </w:rPr>
        <w:sectPr w:rsidR="005E206B" w:rsidRPr="00C13F99" w:rsidSect="005E206B">
          <w:pgSz w:w="11906" w:h="16838"/>
          <w:pgMar w:top="1440" w:right="1080" w:bottom="1440" w:left="1080" w:header="708" w:footer="708" w:gutter="0"/>
          <w:cols w:space="708"/>
          <w:docGrid w:linePitch="360"/>
        </w:sectPr>
      </w:pPr>
    </w:p>
    <w:p w14:paraId="466E93B8" w14:textId="5E2C4998" w:rsidR="0097636A" w:rsidRPr="00BF60BC" w:rsidRDefault="002E3A60" w:rsidP="00655F22">
      <w:pPr>
        <w:spacing w:after="0" w:line="240" w:lineRule="auto"/>
        <w:jc w:val="both"/>
        <w:rPr>
          <w:rFonts w:eastAsia="Times New Roman" w:cstheme="minorHAnsi"/>
          <w:sz w:val="24"/>
          <w:szCs w:val="24"/>
        </w:rPr>
      </w:pPr>
      <w:r w:rsidRPr="00BF60BC">
        <w:rPr>
          <w:rFonts w:ascii="Calibri" w:hAnsi="Calibri" w:cs="Calibri"/>
          <w:sz w:val="24"/>
          <w:szCs w:val="24"/>
        </w:rPr>
        <w:lastRenderedPageBreak/>
        <w:t xml:space="preserve">Figure </w:t>
      </w:r>
      <w:r w:rsidR="00EE7145" w:rsidRPr="00BF60BC">
        <w:rPr>
          <w:rFonts w:ascii="Calibri" w:hAnsi="Calibri" w:cs="Calibri"/>
          <w:sz w:val="24"/>
          <w:szCs w:val="24"/>
        </w:rPr>
        <w:t>2</w:t>
      </w:r>
      <w:r w:rsidR="005E206B" w:rsidRPr="00BF60BC">
        <w:rPr>
          <w:rFonts w:ascii="Calibri" w:hAnsi="Calibri" w:cs="Calibri"/>
          <w:sz w:val="24"/>
          <w:szCs w:val="24"/>
        </w:rPr>
        <w:t xml:space="preserve">: </w:t>
      </w:r>
      <w:r w:rsidR="005E206B" w:rsidRPr="00BF60BC">
        <w:rPr>
          <w:rFonts w:eastAsia="Times New Roman" w:cstheme="minorHAnsi"/>
          <w:sz w:val="24"/>
          <w:szCs w:val="24"/>
        </w:rPr>
        <w:t>changes in the association between weight</w:t>
      </w:r>
      <w:r w:rsidR="00C13F99">
        <w:rPr>
          <w:rFonts w:eastAsia="Times New Roman" w:cstheme="minorHAnsi"/>
          <w:sz w:val="24"/>
          <w:szCs w:val="24"/>
        </w:rPr>
        <w:t xml:space="preserve"> </w:t>
      </w:r>
      <w:r w:rsidR="005E206B" w:rsidRPr="00BF60BC">
        <w:rPr>
          <w:rFonts w:eastAsia="Times New Roman" w:cstheme="minorHAnsi"/>
          <w:sz w:val="24"/>
          <w:szCs w:val="24"/>
        </w:rPr>
        <w:t xml:space="preserve">perception and depressive symptoms by cohort </w:t>
      </w:r>
      <w:r w:rsidR="00C13F99">
        <w:rPr>
          <w:rFonts w:eastAsia="Times New Roman" w:cstheme="minorHAnsi"/>
          <w:sz w:val="24"/>
          <w:szCs w:val="24"/>
        </w:rPr>
        <w:t xml:space="preserve">and sex. </w:t>
      </w:r>
      <w:r w:rsidR="005E206B" w:rsidRPr="00BF60BC">
        <w:rPr>
          <w:rFonts w:eastAsia="Times New Roman" w:cstheme="minorHAnsi"/>
          <w:sz w:val="24"/>
          <w:szCs w:val="24"/>
        </w:rPr>
        <w:t xml:space="preserve"> </w:t>
      </w:r>
    </w:p>
    <w:p w14:paraId="3BACDE29" w14:textId="71D3A302" w:rsidR="0080466C" w:rsidRPr="00BF60BC" w:rsidRDefault="0080466C" w:rsidP="00655F22">
      <w:pPr>
        <w:spacing w:after="0" w:line="240" w:lineRule="auto"/>
        <w:jc w:val="both"/>
        <w:rPr>
          <w:rFonts w:ascii="Calibri" w:hAnsi="Calibri" w:cs="Calibri"/>
          <w:sz w:val="24"/>
          <w:szCs w:val="24"/>
        </w:rPr>
      </w:pPr>
    </w:p>
    <w:p w14:paraId="5F2174F1" w14:textId="63855F19" w:rsidR="0080466C" w:rsidRDefault="0080466C" w:rsidP="00655F22">
      <w:pPr>
        <w:spacing w:after="0" w:line="240" w:lineRule="auto"/>
        <w:jc w:val="both"/>
        <w:rPr>
          <w:rFonts w:ascii="Calibri" w:hAnsi="Calibri" w:cs="Calibri"/>
          <w:sz w:val="24"/>
          <w:szCs w:val="24"/>
        </w:rPr>
      </w:pPr>
    </w:p>
    <w:p w14:paraId="6BF544F7" w14:textId="5149BBB0" w:rsidR="005E206B" w:rsidRDefault="005E206B" w:rsidP="00655F22">
      <w:pPr>
        <w:spacing w:after="0" w:line="240" w:lineRule="auto"/>
        <w:jc w:val="both"/>
        <w:rPr>
          <w:rFonts w:ascii="Calibri" w:hAnsi="Calibri" w:cs="Calibri"/>
          <w:sz w:val="24"/>
          <w:szCs w:val="24"/>
        </w:rPr>
      </w:pPr>
    </w:p>
    <w:p w14:paraId="53DBDCDC" w14:textId="2775B943" w:rsidR="00C13F99" w:rsidRDefault="009D73A5" w:rsidP="00C13F99">
      <w:pPr>
        <w:spacing w:after="0" w:line="240" w:lineRule="auto"/>
        <w:jc w:val="both"/>
        <w:rPr>
          <w:rFonts w:ascii="Calibri" w:hAnsi="Calibri" w:cs="Calibri"/>
          <w:sz w:val="24"/>
          <w:szCs w:val="24"/>
        </w:rPr>
      </w:pPr>
      <w:r>
        <w:rPr>
          <w:rFonts w:ascii="Calibri" w:hAnsi="Calibri" w:cs="Calibri"/>
          <w:sz w:val="24"/>
          <w:szCs w:val="24"/>
        </w:rPr>
        <w:t xml:space="preserve">Figure 2 legend: </w:t>
      </w:r>
      <w:r w:rsidR="00C13F99">
        <w:rPr>
          <w:rFonts w:ascii="Calibri" w:hAnsi="Calibri" w:cs="Calibri"/>
          <w:sz w:val="24"/>
          <w:szCs w:val="24"/>
        </w:rPr>
        <w:t xml:space="preserve">The figure shows how the association between weight perception and depressive symptoms changed across cohorts in females and males. </w:t>
      </w:r>
      <w:r w:rsidR="00C13F99" w:rsidRPr="00BF60BC">
        <w:rPr>
          <w:rFonts w:eastAsia="Times New Roman" w:cstheme="minorHAnsi"/>
          <w:sz w:val="24"/>
          <w:szCs w:val="24"/>
        </w:rPr>
        <w:t xml:space="preserve">Parameters derived from multivariate linear regression models in </w:t>
      </w:r>
      <w:r w:rsidR="00C13F99">
        <w:rPr>
          <w:rFonts w:eastAsia="Times New Roman" w:cstheme="minorHAnsi"/>
          <w:sz w:val="24"/>
          <w:szCs w:val="24"/>
        </w:rPr>
        <w:t>Table</w:t>
      </w:r>
      <w:r w:rsidR="00C13F99" w:rsidRPr="00BF60BC">
        <w:rPr>
          <w:rFonts w:eastAsia="Times New Roman" w:cstheme="minorHAnsi"/>
          <w:sz w:val="24"/>
          <w:szCs w:val="24"/>
        </w:rPr>
        <w:t xml:space="preserve"> </w:t>
      </w:r>
      <w:r w:rsidR="00C13F99">
        <w:rPr>
          <w:rFonts w:eastAsia="Times New Roman" w:cstheme="minorHAnsi"/>
          <w:sz w:val="24"/>
          <w:szCs w:val="24"/>
        </w:rPr>
        <w:t>3</w:t>
      </w:r>
      <w:r w:rsidR="00C13F99" w:rsidRPr="00BF60BC">
        <w:rPr>
          <w:rFonts w:eastAsia="Times New Roman" w:cstheme="minorHAnsi"/>
          <w:sz w:val="24"/>
          <w:szCs w:val="24"/>
        </w:rPr>
        <w:t xml:space="preserve"> with exposure*cohort interaction</w:t>
      </w:r>
      <w:r w:rsidR="00C13F99">
        <w:rPr>
          <w:rFonts w:eastAsia="Times New Roman" w:cstheme="minorHAnsi"/>
          <w:sz w:val="24"/>
          <w:szCs w:val="24"/>
        </w:rPr>
        <w:t xml:space="preserve"> and sex-stratified </w:t>
      </w:r>
      <w:r w:rsidR="00B11969">
        <w:rPr>
          <w:rFonts w:eastAsia="Times New Roman" w:cstheme="minorHAnsi"/>
          <w:sz w:val="24"/>
          <w:szCs w:val="24"/>
        </w:rPr>
        <w:t>analyses</w:t>
      </w:r>
      <w:r w:rsidR="00C13F99">
        <w:rPr>
          <w:rFonts w:eastAsia="Times New Roman" w:cstheme="minorHAnsi"/>
          <w:sz w:val="24"/>
          <w:szCs w:val="24"/>
        </w:rPr>
        <w:t xml:space="preserve"> presented in eTable7. The Y axis represents standardi</w:t>
      </w:r>
      <w:r w:rsidR="006068CA">
        <w:rPr>
          <w:rFonts w:eastAsia="Times New Roman" w:cstheme="minorHAnsi"/>
          <w:sz w:val="24"/>
          <w:szCs w:val="24"/>
        </w:rPr>
        <w:t>z</w:t>
      </w:r>
      <w:r w:rsidR="00C13F99">
        <w:rPr>
          <w:rFonts w:eastAsia="Times New Roman" w:cstheme="minorHAnsi"/>
          <w:sz w:val="24"/>
          <w:szCs w:val="24"/>
        </w:rPr>
        <w:t>ed depression scores (units are standard deviation), the X axis represents different weight</w:t>
      </w:r>
      <w:r w:rsidR="00B11969">
        <w:rPr>
          <w:rFonts w:eastAsia="Times New Roman" w:cstheme="minorHAnsi"/>
          <w:sz w:val="24"/>
          <w:szCs w:val="24"/>
        </w:rPr>
        <w:t xml:space="preserve"> </w:t>
      </w:r>
      <w:r w:rsidR="00C13F99">
        <w:rPr>
          <w:rFonts w:eastAsia="Times New Roman" w:cstheme="minorHAnsi"/>
          <w:sz w:val="24"/>
          <w:szCs w:val="24"/>
        </w:rPr>
        <w:t xml:space="preserve">perceptions. </w:t>
      </w:r>
    </w:p>
    <w:p w14:paraId="14B23AE0" w14:textId="2043608E" w:rsidR="005E206B" w:rsidRDefault="005E206B" w:rsidP="00655F22">
      <w:pPr>
        <w:spacing w:after="0" w:line="240" w:lineRule="auto"/>
        <w:jc w:val="both"/>
        <w:rPr>
          <w:rFonts w:ascii="Calibri" w:hAnsi="Calibri" w:cs="Calibri"/>
          <w:sz w:val="24"/>
          <w:szCs w:val="24"/>
        </w:rPr>
      </w:pPr>
    </w:p>
    <w:p w14:paraId="79D10E37" w14:textId="54AE7D1D" w:rsidR="002E3A60" w:rsidRPr="000934A9" w:rsidRDefault="002E3A60" w:rsidP="00655F22">
      <w:pPr>
        <w:spacing w:after="0" w:line="240" w:lineRule="auto"/>
        <w:jc w:val="both"/>
        <w:rPr>
          <w:rFonts w:ascii="Calibri" w:hAnsi="Calibri" w:cs="Calibri"/>
          <w:sz w:val="24"/>
          <w:szCs w:val="24"/>
        </w:rPr>
      </w:pPr>
    </w:p>
    <w:sectPr w:rsidR="002E3A60" w:rsidRPr="000934A9" w:rsidSect="0080466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49EEF" w14:textId="77777777" w:rsidR="00946692" w:rsidRDefault="00946692" w:rsidP="008B379E">
      <w:pPr>
        <w:spacing w:after="0" w:line="240" w:lineRule="auto"/>
      </w:pPr>
      <w:r>
        <w:separator/>
      </w:r>
    </w:p>
  </w:endnote>
  <w:endnote w:type="continuationSeparator" w:id="0">
    <w:p w14:paraId="05A3BE18" w14:textId="77777777" w:rsidR="00946692" w:rsidRDefault="00946692" w:rsidP="008B3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4728094"/>
      <w:docPartObj>
        <w:docPartGallery w:val="Page Numbers (Bottom of Page)"/>
        <w:docPartUnique/>
      </w:docPartObj>
    </w:sdtPr>
    <w:sdtEndPr>
      <w:rPr>
        <w:noProof/>
      </w:rPr>
    </w:sdtEndPr>
    <w:sdtContent>
      <w:p w14:paraId="62DB3A71" w14:textId="17D4CA0E" w:rsidR="003B2605" w:rsidRDefault="003B2605">
        <w:pPr>
          <w:pStyle w:val="Footer"/>
          <w:jc w:val="right"/>
        </w:pPr>
        <w:r>
          <w:fldChar w:fldCharType="begin"/>
        </w:r>
        <w:r>
          <w:instrText xml:space="preserve"> PAGE   \* MERGEFORMAT </w:instrText>
        </w:r>
        <w:r>
          <w:fldChar w:fldCharType="separate"/>
        </w:r>
        <w:r>
          <w:rPr>
            <w:noProof/>
          </w:rPr>
          <w:t>24</w:t>
        </w:r>
        <w:r>
          <w:rPr>
            <w:noProof/>
          </w:rPr>
          <w:fldChar w:fldCharType="end"/>
        </w:r>
      </w:p>
    </w:sdtContent>
  </w:sdt>
  <w:p w14:paraId="0F5DFD70" w14:textId="77777777" w:rsidR="003B2605" w:rsidRDefault="003B26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7BD0B" w14:textId="77777777" w:rsidR="00946692" w:rsidRDefault="00946692" w:rsidP="008B379E">
      <w:pPr>
        <w:spacing w:after="0" w:line="240" w:lineRule="auto"/>
      </w:pPr>
      <w:r>
        <w:separator/>
      </w:r>
    </w:p>
  </w:footnote>
  <w:footnote w:type="continuationSeparator" w:id="0">
    <w:p w14:paraId="1F7BD0FA" w14:textId="77777777" w:rsidR="00946692" w:rsidRDefault="00946692" w:rsidP="008B37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B5106"/>
    <w:multiLevelType w:val="multilevel"/>
    <w:tmpl w:val="4468D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9A546C"/>
    <w:multiLevelType w:val="multilevel"/>
    <w:tmpl w:val="112AD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9C3A6B"/>
    <w:multiLevelType w:val="multilevel"/>
    <w:tmpl w:val="90720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571F9A"/>
    <w:multiLevelType w:val="hybridMultilevel"/>
    <w:tmpl w:val="3F1476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317773"/>
    <w:multiLevelType w:val="hybridMultilevel"/>
    <w:tmpl w:val="A2145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7303D6"/>
    <w:multiLevelType w:val="multilevel"/>
    <w:tmpl w:val="9E72E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B14417"/>
    <w:multiLevelType w:val="multilevel"/>
    <w:tmpl w:val="F7343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663610"/>
    <w:multiLevelType w:val="multilevel"/>
    <w:tmpl w:val="73E48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2E6905"/>
    <w:multiLevelType w:val="multilevel"/>
    <w:tmpl w:val="5C964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1C6E5D"/>
    <w:multiLevelType w:val="multilevel"/>
    <w:tmpl w:val="56C2BC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F878B3"/>
    <w:multiLevelType w:val="multilevel"/>
    <w:tmpl w:val="70BC5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20518C"/>
    <w:multiLevelType w:val="multilevel"/>
    <w:tmpl w:val="61628606"/>
    <w:lvl w:ilvl="0">
      <w:start w:val="1"/>
      <w:numFmt w:val="decimal"/>
      <w:lvlText w:val="%1."/>
      <w:lvlJc w:val="left"/>
      <w:pPr>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28811E2B"/>
    <w:multiLevelType w:val="multilevel"/>
    <w:tmpl w:val="F7CE2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D0024D"/>
    <w:multiLevelType w:val="multilevel"/>
    <w:tmpl w:val="C2247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6407E5A"/>
    <w:multiLevelType w:val="hybridMultilevel"/>
    <w:tmpl w:val="AD0C1592"/>
    <w:lvl w:ilvl="0" w:tplc="62ACD03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8B59F6"/>
    <w:multiLevelType w:val="multilevel"/>
    <w:tmpl w:val="D1983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BD26B50"/>
    <w:multiLevelType w:val="multilevel"/>
    <w:tmpl w:val="5C466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E3D1574"/>
    <w:multiLevelType w:val="multilevel"/>
    <w:tmpl w:val="58923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15A76E7"/>
    <w:multiLevelType w:val="multilevel"/>
    <w:tmpl w:val="93883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6810DC"/>
    <w:multiLevelType w:val="hybridMultilevel"/>
    <w:tmpl w:val="8722B900"/>
    <w:lvl w:ilvl="0" w:tplc="22B844D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2535A76"/>
    <w:multiLevelType w:val="multilevel"/>
    <w:tmpl w:val="3D80E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3533FC6"/>
    <w:multiLevelType w:val="multilevel"/>
    <w:tmpl w:val="9B9C5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3A571FC"/>
    <w:multiLevelType w:val="multilevel"/>
    <w:tmpl w:val="26806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3456EEC"/>
    <w:multiLevelType w:val="multilevel"/>
    <w:tmpl w:val="6AF014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6F43F7A"/>
    <w:multiLevelType w:val="multilevel"/>
    <w:tmpl w:val="B8320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6FA2AFD"/>
    <w:multiLevelType w:val="multilevel"/>
    <w:tmpl w:val="D786E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7500879"/>
    <w:multiLevelType w:val="multilevel"/>
    <w:tmpl w:val="9758B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7BC4332"/>
    <w:multiLevelType w:val="multilevel"/>
    <w:tmpl w:val="37B23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81221C1"/>
    <w:multiLevelType w:val="multilevel"/>
    <w:tmpl w:val="39605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CAE6532"/>
    <w:multiLevelType w:val="multilevel"/>
    <w:tmpl w:val="1B3E6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CBD1F53"/>
    <w:multiLevelType w:val="multilevel"/>
    <w:tmpl w:val="AF9ED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9"/>
  </w:num>
  <w:num w:numId="3">
    <w:abstractNumId w:val="24"/>
  </w:num>
  <w:num w:numId="4">
    <w:abstractNumId w:val="13"/>
  </w:num>
  <w:num w:numId="5">
    <w:abstractNumId w:val="25"/>
  </w:num>
  <w:num w:numId="6">
    <w:abstractNumId w:val="22"/>
  </w:num>
  <w:num w:numId="7">
    <w:abstractNumId w:val="10"/>
  </w:num>
  <w:num w:numId="8">
    <w:abstractNumId w:val="30"/>
  </w:num>
  <w:num w:numId="9">
    <w:abstractNumId w:val="8"/>
  </w:num>
  <w:num w:numId="10">
    <w:abstractNumId w:val="15"/>
  </w:num>
  <w:num w:numId="11">
    <w:abstractNumId w:val="28"/>
  </w:num>
  <w:num w:numId="12">
    <w:abstractNumId w:val="3"/>
  </w:num>
  <w:num w:numId="13">
    <w:abstractNumId w:val="16"/>
  </w:num>
  <w:num w:numId="14">
    <w:abstractNumId w:val="9"/>
    <w:lvlOverride w:ilvl="0">
      <w:lvl w:ilvl="0">
        <w:numFmt w:val="decimal"/>
        <w:lvlText w:val="%1."/>
        <w:lvlJc w:val="left"/>
      </w:lvl>
    </w:lvlOverride>
  </w:num>
  <w:num w:numId="15">
    <w:abstractNumId w:val="9"/>
    <w:lvlOverride w:ilvl="0">
      <w:lvl w:ilvl="0">
        <w:numFmt w:val="decimal"/>
        <w:lvlText w:val="%1."/>
        <w:lvlJc w:val="left"/>
      </w:lvl>
    </w:lvlOverride>
  </w:num>
  <w:num w:numId="16">
    <w:abstractNumId w:val="9"/>
    <w:lvlOverride w:ilvl="0">
      <w:lvl w:ilvl="0">
        <w:numFmt w:val="decimal"/>
        <w:lvlText w:val="%1."/>
        <w:lvlJc w:val="left"/>
      </w:lvl>
    </w:lvlOverride>
  </w:num>
  <w:num w:numId="17">
    <w:abstractNumId w:val="9"/>
    <w:lvlOverride w:ilvl="0">
      <w:lvl w:ilvl="0">
        <w:numFmt w:val="decimal"/>
        <w:lvlText w:val="%1."/>
        <w:lvlJc w:val="left"/>
      </w:lvl>
    </w:lvlOverride>
  </w:num>
  <w:num w:numId="18">
    <w:abstractNumId w:val="9"/>
    <w:lvlOverride w:ilvl="0">
      <w:lvl w:ilvl="0">
        <w:numFmt w:val="decimal"/>
        <w:lvlText w:val="%1."/>
        <w:lvlJc w:val="left"/>
      </w:lvl>
    </w:lvlOverride>
  </w:num>
  <w:num w:numId="19">
    <w:abstractNumId w:val="27"/>
  </w:num>
  <w:num w:numId="20">
    <w:abstractNumId w:val="21"/>
  </w:num>
  <w:num w:numId="21">
    <w:abstractNumId w:val="1"/>
  </w:num>
  <w:num w:numId="22">
    <w:abstractNumId w:val="6"/>
  </w:num>
  <w:num w:numId="23">
    <w:abstractNumId w:val="2"/>
  </w:num>
  <w:num w:numId="24">
    <w:abstractNumId w:val="18"/>
  </w:num>
  <w:num w:numId="25">
    <w:abstractNumId w:val="0"/>
  </w:num>
  <w:num w:numId="26">
    <w:abstractNumId w:val="20"/>
  </w:num>
  <w:num w:numId="27">
    <w:abstractNumId w:val="26"/>
  </w:num>
  <w:num w:numId="28">
    <w:abstractNumId w:val="12"/>
  </w:num>
  <w:num w:numId="29">
    <w:abstractNumId w:val="7"/>
  </w:num>
  <w:num w:numId="30">
    <w:abstractNumId w:val="17"/>
  </w:num>
  <w:num w:numId="31">
    <w:abstractNumId w:val="29"/>
  </w:num>
  <w:num w:numId="32">
    <w:abstractNumId w:val="5"/>
  </w:num>
  <w:num w:numId="33">
    <w:abstractNumId w:val="23"/>
    <w:lvlOverride w:ilvl="0">
      <w:lvl w:ilvl="0">
        <w:numFmt w:val="decimal"/>
        <w:lvlText w:val="%1."/>
        <w:lvlJc w:val="left"/>
      </w:lvl>
    </w:lvlOverride>
  </w:num>
  <w:num w:numId="34">
    <w:abstractNumId w:val="23"/>
    <w:lvlOverride w:ilvl="0">
      <w:lvl w:ilvl="0">
        <w:numFmt w:val="decimal"/>
        <w:lvlText w:val="%1."/>
        <w:lvlJc w:val="left"/>
      </w:lvl>
    </w:lvlOverride>
  </w:num>
  <w:num w:numId="35">
    <w:abstractNumId w:val="11"/>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fr-FR"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9B9"/>
    <w:rsid w:val="00002B6B"/>
    <w:rsid w:val="00002FE4"/>
    <w:rsid w:val="000137B0"/>
    <w:rsid w:val="000137FB"/>
    <w:rsid w:val="00015436"/>
    <w:rsid w:val="000233CE"/>
    <w:rsid w:val="00023CCF"/>
    <w:rsid w:val="000247A4"/>
    <w:rsid w:val="00024ADC"/>
    <w:rsid w:val="000263DF"/>
    <w:rsid w:val="00026E13"/>
    <w:rsid w:val="00027460"/>
    <w:rsid w:val="000279B8"/>
    <w:rsid w:val="000317E8"/>
    <w:rsid w:val="00033204"/>
    <w:rsid w:val="000338E9"/>
    <w:rsid w:val="00036CB7"/>
    <w:rsid w:val="00036FCB"/>
    <w:rsid w:val="000379A8"/>
    <w:rsid w:val="000407F5"/>
    <w:rsid w:val="000468A4"/>
    <w:rsid w:val="00047DE6"/>
    <w:rsid w:val="00050970"/>
    <w:rsid w:val="00055268"/>
    <w:rsid w:val="000560DE"/>
    <w:rsid w:val="00057F18"/>
    <w:rsid w:val="0006098B"/>
    <w:rsid w:val="00060E77"/>
    <w:rsid w:val="00061C74"/>
    <w:rsid w:val="0006271D"/>
    <w:rsid w:val="00062C8F"/>
    <w:rsid w:val="00063C24"/>
    <w:rsid w:val="00064D89"/>
    <w:rsid w:val="00074DA0"/>
    <w:rsid w:val="000801D4"/>
    <w:rsid w:val="00082814"/>
    <w:rsid w:val="00082F77"/>
    <w:rsid w:val="000851F6"/>
    <w:rsid w:val="000860FC"/>
    <w:rsid w:val="0008657D"/>
    <w:rsid w:val="0008670A"/>
    <w:rsid w:val="00090587"/>
    <w:rsid w:val="00093243"/>
    <w:rsid w:val="000934A9"/>
    <w:rsid w:val="00093E65"/>
    <w:rsid w:val="000A294B"/>
    <w:rsid w:val="000A66FC"/>
    <w:rsid w:val="000B0EC4"/>
    <w:rsid w:val="000B6E09"/>
    <w:rsid w:val="000B7A4B"/>
    <w:rsid w:val="000C1545"/>
    <w:rsid w:val="000C32A5"/>
    <w:rsid w:val="000C3E91"/>
    <w:rsid w:val="000C420D"/>
    <w:rsid w:val="000C5D75"/>
    <w:rsid w:val="000D11C6"/>
    <w:rsid w:val="000D2B45"/>
    <w:rsid w:val="000D4A47"/>
    <w:rsid w:val="000D4EB3"/>
    <w:rsid w:val="000E6BBA"/>
    <w:rsid w:val="000F087C"/>
    <w:rsid w:val="000F3B1D"/>
    <w:rsid w:val="000F68D6"/>
    <w:rsid w:val="000F6F7A"/>
    <w:rsid w:val="0010225A"/>
    <w:rsid w:val="0010570A"/>
    <w:rsid w:val="00115A95"/>
    <w:rsid w:val="00121D47"/>
    <w:rsid w:val="001274AD"/>
    <w:rsid w:val="00131A80"/>
    <w:rsid w:val="001332E6"/>
    <w:rsid w:val="001339C1"/>
    <w:rsid w:val="0013512F"/>
    <w:rsid w:val="00136261"/>
    <w:rsid w:val="001362B7"/>
    <w:rsid w:val="00140F9A"/>
    <w:rsid w:val="00141B0C"/>
    <w:rsid w:val="0014206E"/>
    <w:rsid w:val="001449A6"/>
    <w:rsid w:val="0014683B"/>
    <w:rsid w:val="00147DBF"/>
    <w:rsid w:val="001557E5"/>
    <w:rsid w:val="001567A9"/>
    <w:rsid w:val="00156CF6"/>
    <w:rsid w:val="0015758F"/>
    <w:rsid w:val="001607A4"/>
    <w:rsid w:val="00166ABE"/>
    <w:rsid w:val="001676D8"/>
    <w:rsid w:val="0017123C"/>
    <w:rsid w:val="001726D5"/>
    <w:rsid w:val="00173858"/>
    <w:rsid w:val="00173961"/>
    <w:rsid w:val="0017528E"/>
    <w:rsid w:val="001761F1"/>
    <w:rsid w:val="0017721F"/>
    <w:rsid w:val="0017747B"/>
    <w:rsid w:val="0018113E"/>
    <w:rsid w:val="00181E1C"/>
    <w:rsid w:val="001822DA"/>
    <w:rsid w:val="00183C1E"/>
    <w:rsid w:val="001847D9"/>
    <w:rsid w:val="001847ED"/>
    <w:rsid w:val="00187F02"/>
    <w:rsid w:val="001A202D"/>
    <w:rsid w:val="001A5C79"/>
    <w:rsid w:val="001A6116"/>
    <w:rsid w:val="001B7752"/>
    <w:rsid w:val="001C174F"/>
    <w:rsid w:val="001C56D9"/>
    <w:rsid w:val="001C5A6F"/>
    <w:rsid w:val="001D0B8B"/>
    <w:rsid w:val="001D0D78"/>
    <w:rsid w:val="001D263C"/>
    <w:rsid w:val="001D7730"/>
    <w:rsid w:val="001E0A65"/>
    <w:rsid w:val="001E29AD"/>
    <w:rsid w:val="001E39B9"/>
    <w:rsid w:val="001E68B9"/>
    <w:rsid w:val="001F2D26"/>
    <w:rsid w:val="001F39A3"/>
    <w:rsid w:val="001F4FBC"/>
    <w:rsid w:val="001F5B40"/>
    <w:rsid w:val="001F6F6C"/>
    <w:rsid w:val="002064D9"/>
    <w:rsid w:val="002126D6"/>
    <w:rsid w:val="00213DFF"/>
    <w:rsid w:val="00217AD3"/>
    <w:rsid w:val="002222B2"/>
    <w:rsid w:val="00225F0B"/>
    <w:rsid w:val="0022651D"/>
    <w:rsid w:val="00226D98"/>
    <w:rsid w:val="002279E5"/>
    <w:rsid w:val="00231538"/>
    <w:rsid w:val="00231823"/>
    <w:rsid w:val="002338E9"/>
    <w:rsid w:val="00233B47"/>
    <w:rsid w:val="00234D05"/>
    <w:rsid w:val="0023656D"/>
    <w:rsid w:val="00237FC1"/>
    <w:rsid w:val="00240FF6"/>
    <w:rsid w:val="0024120F"/>
    <w:rsid w:val="00242BC2"/>
    <w:rsid w:val="00243572"/>
    <w:rsid w:val="002443B9"/>
    <w:rsid w:val="0024745A"/>
    <w:rsid w:val="00251963"/>
    <w:rsid w:val="00252013"/>
    <w:rsid w:val="00253BF5"/>
    <w:rsid w:val="002550E9"/>
    <w:rsid w:val="002559FA"/>
    <w:rsid w:val="00257749"/>
    <w:rsid w:val="002614D5"/>
    <w:rsid w:val="002649E8"/>
    <w:rsid w:val="00267A0A"/>
    <w:rsid w:val="00271276"/>
    <w:rsid w:val="00271BC4"/>
    <w:rsid w:val="00271F8F"/>
    <w:rsid w:val="0027625C"/>
    <w:rsid w:val="002769BF"/>
    <w:rsid w:val="00284B87"/>
    <w:rsid w:val="00285FA0"/>
    <w:rsid w:val="00291652"/>
    <w:rsid w:val="00293DB7"/>
    <w:rsid w:val="00294CF4"/>
    <w:rsid w:val="00295478"/>
    <w:rsid w:val="00295C72"/>
    <w:rsid w:val="00296C95"/>
    <w:rsid w:val="002A1DD1"/>
    <w:rsid w:val="002A3469"/>
    <w:rsid w:val="002A5B73"/>
    <w:rsid w:val="002A5FC7"/>
    <w:rsid w:val="002A737F"/>
    <w:rsid w:val="002A787A"/>
    <w:rsid w:val="002B2D93"/>
    <w:rsid w:val="002B75E9"/>
    <w:rsid w:val="002C1A7E"/>
    <w:rsid w:val="002C26FF"/>
    <w:rsid w:val="002C6833"/>
    <w:rsid w:val="002C748B"/>
    <w:rsid w:val="002D2D81"/>
    <w:rsid w:val="002D3F95"/>
    <w:rsid w:val="002D6384"/>
    <w:rsid w:val="002D7D3D"/>
    <w:rsid w:val="002E00D1"/>
    <w:rsid w:val="002E0C68"/>
    <w:rsid w:val="002E3A60"/>
    <w:rsid w:val="002E69FB"/>
    <w:rsid w:val="002E69FD"/>
    <w:rsid w:val="002E79DE"/>
    <w:rsid w:val="002F243F"/>
    <w:rsid w:val="002F2FC1"/>
    <w:rsid w:val="002F2FEA"/>
    <w:rsid w:val="002F30EE"/>
    <w:rsid w:val="002F47E1"/>
    <w:rsid w:val="002F526A"/>
    <w:rsid w:val="00300681"/>
    <w:rsid w:val="00306AB7"/>
    <w:rsid w:val="00306D78"/>
    <w:rsid w:val="00315992"/>
    <w:rsid w:val="00321009"/>
    <w:rsid w:val="00322238"/>
    <w:rsid w:val="00323E9B"/>
    <w:rsid w:val="00341709"/>
    <w:rsid w:val="00342BBB"/>
    <w:rsid w:val="00344163"/>
    <w:rsid w:val="003457C0"/>
    <w:rsid w:val="003459B2"/>
    <w:rsid w:val="00346511"/>
    <w:rsid w:val="00350D86"/>
    <w:rsid w:val="00353A0E"/>
    <w:rsid w:val="00353D23"/>
    <w:rsid w:val="00354946"/>
    <w:rsid w:val="003553B7"/>
    <w:rsid w:val="003564C5"/>
    <w:rsid w:val="0035660B"/>
    <w:rsid w:val="00356F00"/>
    <w:rsid w:val="00357B3C"/>
    <w:rsid w:val="00360492"/>
    <w:rsid w:val="003636C1"/>
    <w:rsid w:val="0036553F"/>
    <w:rsid w:val="00365C9A"/>
    <w:rsid w:val="003706B4"/>
    <w:rsid w:val="00370C92"/>
    <w:rsid w:val="00372B26"/>
    <w:rsid w:val="003758B0"/>
    <w:rsid w:val="003804B2"/>
    <w:rsid w:val="00381503"/>
    <w:rsid w:val="00383DFD"/>
    <w:rsid w:val="003840AD"/>
    <w:rsid w:val="00385B44"/>
    <w:rsid w:val="00387F9F"/>
    <w:rsid w:val="00391A1E"/>
    <w:rsid w:val="00392F94"/>
    <w:rsid w:val="00392FCE"/>
    <w:rsid w:val="0039549B"/>
    <w:rsid w:val="003955CE"/>
    <w:rsid w:val="00397B55"/>
    <w:rsid w:val="003A1466"/>
    <w:rsid w:val="003A1B1E"/>
    <w:rsid w:val="003A5FDF"/>
    <w:rsid w:val="003A682D"/>
    <w:rsid w:val="003B04A7"/>
    <w:rsid w:val="003B2605"/>
    <w:rsid w:val="003B4B72"/>
    <w:rsid w:val="003B650D"/>
    <w:rsid w:val="003B7622"/>
    <w:rsid w:val="003C1139"/>
    <w:rsid w:val="003C337B"/>
    <w:rsid w:val="003C633F"/>
    <w:rsid w:val="003D17AF"/>
    <w:rsid w:val="003D318F"/>
    <w:rsid w:val="003D34A9"/>
    <w:rsid w:val="003D4B53"/>
    <w:rsid w:val="003D656C"/>
    <w:rsid w:val="003D6C30"/>
    <w:rsid w:val="003E1B81"/>
    <w:rsid w:val="003E2D50"/>
    <w:rsid w:val="003E4483"/>
    <w:rsid w:val="003E5187"/>
    <w:rsid w:val="003F069B"/>
    <w:rsid w:val="003F0BB6"/>
    <w:rsid w:val="003F0CE0"/>
    <w:rsid w:val="003F1654"/>
    <w:rsid w:val="003F3DDE"/>
    <w:rsid w:val="003F47DB"/>
    <w:rsid w:val="003F6EB2"/>
    <w:rsid w:val="003F72B9"/>
    <w:rsid w:val="003F7874"/>
    <w:rsid w:val="00401E24"/>
    <w:rsid w:val="00404B07"/>
    <w:rsid w:val="00404BB5"/>
    <w:rsid w:val="00405D60"/>
    <w:rsid w:val="0040733A"/>
    <w:rsid w:val="00410A3C"/>
    <w:rsid w:val="004123A2"/>
    <w:rsid w:val="00414AD8"/>
    <w:rsid w:val="00414F73"/>
    <w:rsid w:val="004166FB"/>
    <w:rsid w:val="004225FD"/>
    <w:rsid w:val="0042473A"/>
    <w:rsid w:val="00431E78"/>
    <w:rsid w:val="00433620"/>
    <w:rsid w:val="00433A86"/>
    <w:rsid w:val="00434F21"/>
    <w:rsid w:val="00436899"/>
    <w:rsid w:val="004375E2"/>
    <w:rsid w:val="00437CEE"/>
    <w:rsid w:val="00441B52"/>
    <w:rsid w:val="00443F34"/>
    <w:rsid w:val="004477FB"/>
    <w:rsid w:val="0045171C"/>
    <w:rsid w:val="00460649"/>
    <w:rsid w:val="00465BAA"/>
    <w:rsid w:val="004723EA"/>
    <w:rsid w:val="004755A8"/>
    <w:rsid w:val="00482218"/>
    <w:rsid w:val="00483FEE"/>
    <w:rsid w:val="004852F4"/>
    <w:rsid w:val="00485841"/>
    <w:rsid w:val="00485DB3"/>
    <w:rsid w:val="00487ABF"/>
    <w:rsid w:val="00493FE2"/>
    <w:rsid w:val="00494B59"/>
    <w:rsid w:val="004A05BB"/>
    <w:rsid w:val="004A2380"/>
    <w:rsid w:val="004B0AC4"/>
    <w:rsid w:val="004B7B3C"/>
    <w:rsid w:val="004C02A3"/>
    <w:rsid w:val="004C172A"/>
    <w:rsid w:val="004D01D8"/>
    <w:rsid w:val="004D1B97"/>
    <w:rsid w:val="004D5787"/>
    <w:rsid w:val="004D585C"/>
    <w:rsid w:val="004E1C26"/>
    <w:rsid w:val="004E29E6"/>
    <w:rsid w:val="004E2E1A"/>
    <w:rsid w:val="004E3BA2"/>
    <w:rsid w:val="004E5B1C"/>
    <w:rsid w:val="004E5FEA"/>
    <w:rsid w:val="004E6BCA"/>
    <w:rsid w:val="004E78E7"/>
    <w:rsid w:val="004F2184"/>
    <w:rsid w:val="004F48C0"/>
    <w:rsid w:val="004F612E"/>
    <w:rsid w:val="005068E2"/>
    <w:rsid w:val="00511C23"/>
    <w:rsid w:val="00515046"/>
    <w:rsid w:val="00515CD7"/>
    <w:rsid w:val="00515E6A"/>
    <w:rsid w:val="00515EB9"/>
    <w:rsid w:val="00517803"/>
    <w:rsid w:val="00517AFB"/>
    <w:rsid w:val="00520009"/>
    <w:rsid w:val="00524997"/>
    <w:rsid w:val="00525E52"/>
    <w:rsid w:val="005304C3"/>
    <w:rsid w:val="00532CDF"/>
    <w:rsid w:val="00534B09"/>
    <w:rsid w:val="005358F7"/>
    <w:rsid w:val="00536775"/>
    <w:rsid w:val="00541BE6"/>
    <w:rsid w:val="00541FED"/>
    <w:rsid w:val="00546417"/>
    <w:rsid w:val="00550348"/>
    <w:rsid w:val="0055106E"/>
    <w:rsid w:val="00551A6B"/>
    <w:rsid w:val="00552CFF"/>
    <w:rsid w:val="00557133"/>
    <w:rsid w:val="00557458"/>
    <w:rsid w:val="005576FD"/>
    <w:rsid w:val="00564DD9"/>
    <w:rsid w:val="005656B0"/>
    <w:rsid w:val="0056612D"/>
    <w:rsid w:val="005669A0"/>
    <w:rsid w:val="00572AE4"/>
    <w:rsid w:val="0057329B"/>
    <w:rsid w:val="005803B2"/>
    <w:rsid w:val="0058077F"/>
    <w:rsid w:val="00580FDE"/>
    <w:rsid w:val="005818A5"/>
    <w:rsid w:val="00581E1A"/>
    <w:rsid w:val="0058342F"/>
    <w:rsid w:val="0058401C"/>
    <w:rsid w:val="005855F1"/>
    <w:rsid w:val="00586FF2"/>
    <w:rsid w:val="00587C98"/>
    <w:rsid w:val="0059029B"/>
    <w:rsid w:val="00591047"/>
    <w:rsid w:val="00592EE3"/>
    <w:rsid w:val="005938B8"/>
    <w:rsid w:val="005942FA"/>
    <w:rsid w:val="005951C7"/>
    <w:rsid w:val="005A1381"/>
    <w:rsid w:val="005A29F4"/>
    <w:rsid w:val="005A3F23"/>
    <w:rsid w:val="005B1A5A"/>
    <w:rsid w:val="005B1DEA"/>
    <w:rsid w:val="005B20A9"/>
    <w:rsid w:val="005B3B3F"/>
    <w:rsid w:val="005B5E16"/>
    <w:rsid w:val="005C00F7"/>
    <w:rsid w:val="005C0DA5"/>
    <w:rsid w:val="005C19F7"/>
    <w:rsid w:val="005C38BF"/>
    <w:rsid w:val="005C431F"/>
    <w:rsid w:val="005C5752"/>
    <w:rsid w:val="005C5F28"/>
    <w:rsid w:val="005C7CF8"/>
    <w:rsid w:val="005D3258"/>
    <w:rsid w:val="005D6966"/>
    <w:rsid w:val="005D6C43"/>
    <w:rsid w:val="005E206B"/>
    <w:rsid w:val="005F280A"/>
    <w:rsid w:val="005F5CB1"/>
    <w:rsid w:val="005F6AC0"/>
    <w:rsid w:val="00604829"/>
    <w:rsid w:val="00605A60"/>
    <w:rsid w:val="006068CA"/>
    <w:rsid w:val="006068CB"/>
    <w:rsid w:val="00607265"/>
    <w:rsid w:val="006077F4"/>
    <w:rsid w:val="00607BC6"/>
    <w:rsid w:val="006116A2"/>
    <w:rsid w:val="00611E04"/>
    <w:rsid w:val="00612C1E"/>
    <w:rsid w:val="00613F52"/>
    <w:rsid w:val="00621AAC"/>
    <w:rsid w:val="006225B0"/>
    <w:rsid w:val="00625096"/>
    <w:rsid w:val="006250D0"/>
    <w:rsid w:val="006316BC"/>
    <w:rsid w:val="006324F8"/>
    <w:rsid w:val="0063357B"/>
    <w:rsid w:val="0063482E"/>
    <w:rsid w:val="0063718A"/>
    <w:rsid w:val="00637868"/>
    <w:rsid w:val="00637EEF"/>
    <w:rsid w:val="006402FF"/>
    <w:rsid w:val="00641174"/>
    <w:rsid w:val="0064647B"/>
    <w:rsid w:val="00652900"/>
    <w:rsid w:val="00652FBD"/>
    <w:rsid w:val="00653112"/>
    <w:rsid w:val="00655F22"/>
    <w:rsid w:val="006565D1"/>
    <w:rsid w:val="00660187"/>
    <w:rsid w:val="00660DA8"/>
    <w:rsid w:val="00662667"/>
    <w:rsid w:val="0066355E"/>
    <w:rsid w:val="0066438C"/>
    <w:rsid w:val="00664EAF"/>
    <w:rsid w:val="0066766D"/>
    <w:rsid w:val="0066789A"/>
    <w:rsid w:val="006713CF"/>
    <w:rsid w:val="00673F93"/>
    <w:rsid w:val="0067673E"/>
    <w:rsid w:val="0067721F"/>
    <w:rsid w:val="00683031"/>
    <w:rsid w:val="00686710"/>
    <w:rsid w:val="006926E1"/>
    <w:rsid w:val="0069313E"/>
    <w:rsid w:val="00693B14"/>
    <w:rsid w:val="00694E00"/>
    <w:rsid w:val="00696CE3"/>
    <w:rsid w:val="006A0469"/>
    <w:rsid w:val="006A07A7"/>
    <w:rsid w:val="006A3E9A"/>
    <w:rsid w:val="006A57EB"/>
    <w:rsid w:val="006A605D"/>
    <w:rsid w:val="006A6BE0"/>
    <w:rsid w:val="006A7223"/>
    <w:rsid w:val="006C0B84"/>
    <w:rsid w:val="006C2C9E"/>
    <w:rsid w:val="006C32FF"/>
    <w:rsid w:val="006C39F8"/>
    <w:rsid w:val="006C6198"/>
    <w:rsid w:val="006C77A2"/>
    <w:rsid w:val="006D13FE"/>
    <w:rsid w:val="006D1965"/>
    <w:rsid w:val="006D6C72"/>
    <w:rsid w:val="006E1DC9"/>
    <w:rsid w:val="006E32B3"/>
    <w:rsid w:val="006E7883"/>
    <w:rsid w:val="006F0EE4"/>
    <w:rsid w:val="006F1369"/>
    <w:rsid w:val="006F2371"/>
    <w:rsid w:val="006F3DA8"/>
    <w:rsid w:val="006F57B4"/>
    <w:rsid w:val="006F5C9B"/>
    <w:rsid w:val="006F7028"/>
    <w:rsid w:val="006F755A"/>
    <w:rsid w:val="00702345"/>
    <w:rsid w:val="00704086"/>
    <w:rsid w:val="00705165"/>
    <w:rsid w:val="007051CE"/>
    <w:rsid w:val="00707D4F"/>
    <w:rsid w:val="00707FC1"/>
    <w:rsid w:val="00710221"/>
    <w:rsid w:val="00711B15"/>
    <w:rsid w:val="00714FE0"/>
    <w:rsid w:val="00717CC5"/>
    <w:rsid w:val="00717CF9"/>
    <w:rsid w:val="00723E7F"/>
    <w:rsid w:val="0072611B"/>
    <w:rsid w:val="00733200"/>
    <w:rsid w:val="00735997"/>
    <w:rsid w:val="00740BCD"/>
    <w:rsid w:val="00744060"/>
    <w:rsid w:val="00744514"/>
    <w:rsid w:val="00744D70"/>
    <w:rsid w:val="00747620"/>
    <w:rsid w:val="00747AD8"/>
    <w:rsid w:val="00750B03"/>
    <w:rsid w:val="0075574F"/>
    <w:rsid w:val="0075649B"/>
    <w:rsid w:val="007605BE"/>
    <w:rsid w:val="00762F1D"/>
    <w:rsid w:val="00765609"/>
    <w:rsid w:val="00766F95"/>
    <w:rsid w:val="00773590"/>
    <w:rsid w:val="00776414"/>
    <w:rsid w:val="00780F7A"/>
    <w:rsid w:val="00781547"/>
    <w:rsid w:val="00790E43"/>
    <w:rsid w:val="00793A92"/>
    <w:rsid w:val="00794A56"/>
    <w:rsid w:val="007961DB"/>
    <w:rsid w:val="007970C8"/>
    <w:rsid w:val="0079725D"/>
    <w:rsid w:val="007A0B84"/>
    <w:rsid w:val="007A0C6E"/>
    <w:rsid w:val="007A0EF3"/>
    <w:rsid w:val="007A1E71"/>
    <w:rsid w:val="007A5A95"/>
    <w:rsid w:val="007A686F"/>
    <w:rsid w:val="007B0F06"/>
    <w:rsid w:val="007B1BF9"/>
    <w:rsid w:val="007B3260"/>
    <w:rsid w:val="007B6D2A"/>
    <w:rsid w:val="007B7E8C"/>
    <w:rsid w:val="007C0E14"/>
    <w:rsid w:val="007C33EB"/>
    <w:rsid w:val="007D600B"/>
    <w:rsid w:val="007D67A8"/>
    <w:rsid w:val="007E0A13"/>
    <w:rsid w:val="007E5DB1"/>
    <w:rsid w:val="007E7425"/>
    <w:rsid w:val="007E79FC"/>
    <w:rsid w:val="007F27AB"/>
    <w:rsid w:val="007F3A87"/>
    <w:rsid w:val="007F706B"/>
    <w:rsid w:val="007F79BF"/>
    <w:rsid w:val="0080190F"/>
    <w:rsid w:val="00803697"/>
    <w:rsid w:val="0080466C"/>
    <w:rsid w:val="0080783C"/>
    <w:rsid w:val="0081015F"/>
    <w:rsid w:val="00813A70"/>
    <w:rsid w:val="00814A3A"/>
    <w:rsid w:val="008210EC"/>
    <w:rsid w:val="00821AD2"/>
    <w:rsid w:val="00822287"/>
    <w:rsid w:val="00826167"/>
    <w:rsid w:val="00826CFD"/>
    <w:rsid w:val="00827324"/>
    <w:rsid w:val="00830309"/>
    <w:rsid w:val="00830733"/>
    <w:rsid w:val="008353AC"/>
    <w:rsid w:val="00835629"/>
    <w:rsid w:val="00837067"/>
    <w:rsid w:val="00840027"/>
    <w:rsid w:val="008408C2"/>
    <w:rsid w:val="00840EAA"/>
    <w:rsid w:val="008416EC"/>
    <w:rsid w:val="008433F2"/>
    <w:rsid w:val="008439AA"/>
    <w:rsid w:val="0084693A"/>
    <w:rsid w:val="00846A7A"/>
    <w:rsid w:val="00850243"/>
    <w:rsid w:val="0085398C"/>
    <w:rsid w:val="00853BC0"/>
    <w:rsid w:val="00854B69"/>
    <w:rsid w:val="00854D92"/>
    <w:rsid w:val="0085574E"/>
    <w:rsid w:val="008559C3"/>
    <w:rsid w:val="00857151"/>
    <w:rsid w:val="008607D7"/>
    <w:rsid w:val="00862511"/>
    <w:rsid w:val="00862613"/>
    <w:rsid w:val="00862721"/>
    <w:rsid w:val="00863901"/>
    <w:rsid w:val="00863BD1"/>
    <w:rsid w:val="00864761"/>
    <w:rsid w:val="00864EC3"/>
    <w:rsid w:val="00866DE1"/>
    <w:rsid w:val="008677A2"/>
    <w:rsid w:val="00867C57"/>
    <w:rsid w:val="00872D01"/>
    <w:rsid w:val="00872FEC"/>
    <w:rsid w:val="00875EC1"/>
    <w:rsid w:val="0087637F"/>
    <w:rsid w:val="008806F2"/>
    <w:rsid w:val="008819B3"/>
    <w:rsid w:val="00881EF2"/>
    <w:rsid w:val="008821CB"/>
    <w:rsid w:val="00882FB7"/>
    <w:rsid w:val="00886CCE"/>
    <w:rsid w:val="00895D3C"/>
    <w:rsid w:val="008A30EF"/>
    <w:rsid w:val="008A57CE"/>
    <w:rsid w:val="008B0320"/>
    <w:rsid w:val="008B0F6A"/>
    <w:rsid w:val="008B2058"/>
    <w:rsid w:val="008B379E"/>
    <w:rsid w:val="008B4477"/>
    <w:rsid w:val="008B5EAE"/>
    <w:rsid w:val="008C0E89"/>
    <w:rsid w:val="008C4C3B"/>
    <w:rsid w:val="008C676C"/>
    <w:rsid w:val="008C682F"/>
    <w:rsid w:val="008C6CA3"/>
    <w:rsid w:val="008D1D60"/>
    <w:rsid w:val="008D2628"/>
    <w:rsid w:val="008D39D2"/>
    <w:rsid w:val="008D55DD"/>
    <w:rsid w:val="008D5B98"/>
    <w:rsid w:val="008E4408"/>
    <w:rsid w:val="008F085F"/>
    <w:rsid w:val="008F1FFF"/>
    <w:rsid w:val="008F6CD4"/>
    <w:rsid w:val="008F7AD1"/>
    <w:rsid w:val="00902E89"/>
    <w:rsid w:val="009061BE"/>
    <w:rsid w:val="00910661"/>
    <w:rsid w:val="00910A2E"/>
    <w:rsid w:val="009166D3"/>
    <w:rsid w:val="00916FA8"/>
    <w:rsid w:val="00917C5A"/>
    <w:rsid w:val="009203E7"/>
    <w:rsid w:val="0092222E"/>
    <w:rsid w:val="0092286D"/>
    <w:rsid w:val="00922BC6"/>
    <w:rsid w:val="00925592"/>
    <w:rsid w:val="00930D91"/>
    <w:rsid w:val="00933216"/>
    <w:rsid w:val="00935896"/>
    <w:rsid w:val="00940F05"/>
    <w:rsid w:val="009419BB"/>
    <w:rsid w:val="0094283A"/>
    <w:rsid w:val="00944034"/>
    <w:rsid w:val="009453EC"/>
    <w:rsid w:val="00945E5C"/>
    <w:rsid w:val="00945F48"/>
    <w:rsid w:val="00946692"/>
    <w:rsid w:val="00946ECD"/>
    <w:rsid w:val="00951759"/>
    <w:rsid w:val="00952C01"/>
    <w:rsid w:val="0095518C"/>
    <w:rsid w:val="009564D7"/>
    <w:rsid w:val="00957FCF"/>
    <w:rsid w:val="009621CF"/>
    <w:rsid w:val="00965EBA"/>
    <w:rsid w:val="0097228C"/>
    <w:rsid w:val="0097584B"/>
    <w:rsid w:val="0097636A"/>
    <w:rsid w:val="009819DE"/>
    <w:rsid w:val="00982F6C"/>
    <w:rsid w:val="009843B9"/>
    <w:rsid w:val="00985DA2"/>
    <w:rsid w:val="00994296"/>
    <w:rsid w:val="0099545F"/>
    <w:rsid w:val="00996BDD"/>
    <w:rsid w:val="00997A58"/>
    <w:rsid w:val="009A0A6B"/>
    <w:rsid w:val="009A2C9A"/>
    <w:rsid w:val="009A3802"/>
    <w:rsid w:val="009B249A"/>
    <w:rsid w:val="009B2E89"/>
    <w:rsid w:val="009B5389"/>
    <w:rsid w:val="009B7306"/>
    <w:rsid w:val="009C0B90"/>
    <w:rsid w:val="009C1F54"/>
    <w:rsid w:val="009C2346"/>
    <w:rsid w:val="009C643F"/>
    <w:rsid w:val="009C6647"/>
    <w:rsid w:val="009D0A67"/>
    <w:rsid w:val="009D175F"/>
    <w:rsid w:val="009D54CE"/>
    <w:rsid w:val="009D73A5"/>
    <w:rsid w:val="009E33A0"/>
    <w:rsid w:val="009E363A"/>
    <w:rsid w:val="009E70A8"/>
    <w:rsid w:val="009F04DA"/>
    <w:rsid w:val="009F1372"/>
    <w:rsid w:val="009F4E28"/>
    <w:rsid w:val="009F5E02"/>
    <w:rsid w:val="009F7862"/>
    <w:rsid w:val="00A00D09"/>
    <w:rsid w:val="00A01F9C"/>
    <w:rsid w:val="00A0639C"/>
    <w:rsid w:val="00A156F6"/>
    <w:rsid w:val="00A15E59"/>
    <w:rsid w:val="00A16153"/>
    <w:rsid w:val="00A16184"/>
    <w:rsid w:val="00A167A2"/>
    <w:rsid w:val="00A16EEB"/>
    <w:rsid w:val="00A21BA8"/>
    <w:rsid w:val="00A276A6"/>
    <w:rsid w:val="00A27EF0"/>
    <w:rsid w:val="00A33D42"/>
    <w:rsid w:val="00A34FE0"/>
    <w:rsid w:val="00A363AE"/>
    <w:rsid w:val="00A407CE"/>
    <w:rsid w:val="00A41256"/>
    <w:rsid w:val="00A44060"/>
    <w:rsid w:val="00A44E8E"/>
    <w:rsid w:val="00A53DEF"/>
    <w:rsid w:val="00A54627"/>
    <w:rsid w:val="00A6294D"/>
    <w:rsid w:val="00A62AE2"/>
    <w:rsid w:val="00A70EF5"/>
    <w:rsid w:val="00A7187C"/>
    <w:rsid w:val="00A7490F"/>
    <w:rsid w:val="00A74954"/>
    <w:rsid w:val="00A764DE"/>
    <w:rsid w:val="00A77192"/>
    <w:rsid w:val="00A80EEC"/>
    <w:rsid w:val="00A83063"/>
    <w:rsid w:val="00A879C6"/>
    <w:rsid w:val="00A92D9C"/>
    <w:rsid w:val="00A942FE"/>
    <w:rsid w:val="00A94F1A"/>
    <w:rsid w:val="00A96A2E"/>
    <w:rsid w:val="00AA1B23"/>
    <w:rsid w:val="00AA7364"/>
    <w:rsid w:val="00AA7473"/>
    <w:rsid w:val="00AB047B"/>
    <w:rsid w:val="00AB0B01"/>
    <w:rsid w:val="00AB69DD"/>
    <w:rsid w:val="00AB7D8F"/>
    <w:rsid w:val="00AC126D"/>
    <w:rsid w:val="00AC18BF"/>
    <w:rsid w:val="00AC4AF2"/>
    <w:rsid w:val="00AC7B26"/>
    <w:rsid w:val="00AD1032"/>
    <w:rsid w:val="00AD119E"/>
    <w:rsid w:val="00AD2224"/>
    <w:rsid w:val="00AD53DA"/>
    <w:rsid w:val="00AD69B7"/>
    <w:rsid w:val="00AD78D9"/>
    <w:rsid w:val="00AE2095"/>
    <w:rsid w:val="00AE27C7"/>
    <w:rsid w:val="00AE619A"/>
    <w:rsid w:val="00AE6AC9"/>
    <w:rsid w:val="00AF0527"/>
    <w:rsid w:val="00AF07CE"/>
    <w:rsid w:val="00AF1D56"/>
    <w:rsid w:val="00AF2D92"/>
    <w:rsid w:val="00B053FB"/>
    <w:rsid w:val="00B06C33"/>
    <w:rsid w:val="00B11969"/>
    <w:rsid w:val="00B21652"/>
    <w:rsid w:val="00B25055"/>
    <w:rsid w:val="00B270EE"/>
    <w:rsid w:val="00B301D6"/>
    <w:rsid w:val="00B355F9"/>
    <w:rsid w:val="00B379AD"/>
    <w:rsid w:val="00B40209"/>
    <w:rsid w:val="00B407FD"/>
    <w:rsid w:val="00B40B12"/>
    <w:rsid w:val="00B41995"/>
    <w:rsid w:val="00B426A7"/>
    <w:rsid w:val="00B44A9A"/>
    <w:rsid w:val="00B44CE8"/>
    <w:rsid w:val="00B44F02"/>
    <w:rsid w:val="00B45857"/>
    <w:rsid w:val="00B458C6"/>
    <w:rsid w:val="00B46A69"/>
    <w:rsid w:val="00B50FAC"/>
    <w:rsid w:val="00B52DC2"/>
    <w:rsid w:val="00B534F3"/>
    <w:rsid w:val="00B536BD"/>
    <w:rsid w:val="00B53F91"/>
    <w:rsid w:val="00B54F35"/>
    <w:rsid w:val="00B57F70"/>
    <w:rsid w:val="00B60B99"/>
    <w:rsid w:val="00B612CF"/>
    <w:rsid w:val="00B63D25"/>
    <w:rsid w:val="00B64E58"/>
    <w:rsid w:val="00B72F1E"/>
    <w:rsid w:val="00B7413A"/>
    <w:rsid w:val="00B744C7"/>
    <w:rsid w:val="00B757C5"/>
    <w:rsid w:val="00B765CD"/>
    <w:rsid w:val="00B9087E"/>
    <w:rsid w:val="00B96BFE"/>
    <w:rsid w:val="00BA1A74"/>
    <w:rsid w:val="00BA1F72"/>
    <w:rsid w:val="00BA488A"/>
    <w:rsid w:val="00BA4D75"/>
    <w:rsid w:val="00BA6169"/>
    <w:rsid w:val="00BB0BB2"/>
    <w:rsid w:val="00BB16A2"/>
    <w:rsid w:val="00BB2E2E"/>
    <w:rsid w:val="00BB371E"/>
    <w:rsid w:val="00BB3DCC"/>
    <w:rsid w:val="00BB5ACD"/>
    <w:rsid w:val="00BB6EE1"/>
    <w:rsid w:val="00BB72EC"/>
    <w:rsid w:val="00BC0173"/>
    <w:rsid w:val="00BC33A2"/>
    <w:rsid w:val="00BC39E8"/>
    <w:rsid w:val="00BC49F4"/>
    <w:rsid w:val="00BD0F27"/>
    <w:rsid w:val="00BD1B1D"/>
    <w:rsid w:val="00BD3638"/>
    <w:rsid w:val="00BD7E78"/>
    <w:rsid w:val="00BD7F6A"/>
    <w:rsid w:val="00BE0921"/>
    <w:rsid w:val="00BE1A44"/>
    <w:rsid w:val="00BE22B1"/>
    <w:rsid w:val="00BE395A"/>
    <w:rsid w:val="00BE3CD7"/>
    <w:rsid w:val="00BE63F0"/>
    <w:rsid w:val="00BE6586"/>
    <w:rsid w:val="00BE6A01"/>
    <w:rsid w:val="00BF0AAD"/>
    <w:rsid w:val="00BF4A5F"/>
    <w:rsid w:val="00BF60BC"/>
    <w:rsid w:val="00BF73C7"/>
    <w:rsid w:val="00BF7B8E"/>
    <w:rsid w:val="00C003FA"/>
    <w:rsid w:val="00C011F4"/>
    <w:rsid w:val="00C04F28"/>
    <w:rsid w:val="00C0554E"/>
    <w:rsid w:val="00C13F99"/>
    <w:rsid w:val="00C156CA"/>
    <w:rsid w:val="00C17B3F"/>
    <w:rsid w:val="00C2242F"/>
    <w:rsid w:val="00C240B9"/>
    <w:rsid w:val="00C2646F"/>
    <w:rsid w:val="00C347AE"/>
    <w:rsid w:val="00C348F7"/>
    <w:rsid w:val="00C44B6D"/>
    <w:rsid w:val="00C47373"/>
    <w:rsid w:val="00C508E5"/>
    <w:rsid w:val="00C518C4"/>
    <w:rsid w:val="00C52E52"/>
    <w:rsid w:val="00C5373C"/>
    <w:rsid w:val="00C53ACC"/>
    <w:rsid w:val="00C56812"/>
    <w:rsid w:val="00C5751F"/>
    <w:rsid w:val="00C5774B"/>
    <w:rsid w:val="00C57B6E"/>
    <w:rsid w:val="00C605CB"/>
    <w:rsid w:val="00C60F6D"/>
    <w:rsid w:val="00C664F6"/>
    <w:rsid w:val="00C700B0"/>
    <w:rsid w:val="00C74FDF"/>
    <w:rsid w:val="00C8017B"/>
    <w:rsid w:val="00C80B60"/>
    <w:rsid w:val="00C80E7A"/>
    <w:rsid w:val="00C81C40"/>
    <w:rsid w:val="00C90559"/>
    <w:rsid w:val="00C926EF"/>
    <w:rsid w:val="00C94D5D"/>
    <w:rsid w:val="00C96F6D"/>
    <w:rsid w:val="00C96F76"/>
    <w:rsid w:val="00C975C3"/>
    <w:rsid w:val="00CA3D67"/>
    <w:rsid w:val="00CA5528"/>
    <w:rsid w:val="00CB25BD"/>
    <w:rsid w:val="00CB3BDC"/>
    <w:rsid w:val="00CB5B1C"/>
    <w:rsid w:val="00CD59B1"/>
    <w:rsid w:val="00CD60F2"/>
    <w:rsid w:val="00CD6FDC"/>
    <w:rsid w:val="00CD75F1"/>
    <w:rsid w:val="00CD778B"/>
    <w:rsid w:val="00CE0717"/>
    <w:rsid w:val="00CE1379"/>
    <w:rsid w:val="00CE1580"/>
    <w:rsid w:val="00CE1A6F"/>
    <w:rsid w:val="00CE5719"/>
    <w:rsid w:val="00CF273C"/>
    <w:rsid w:val="00D0003A"/>
    <w:rsid w:val="00D00BEA"/>
    <w:rsid w:val="00D01538"/>
    <w:rsid w:val="00D0203E"/>
    <w:rsid w:val="00D04955"/>
    <w:rsid w:val="00D07122"/>
    <w:rsid w:val="00D10663"/>
    <w:rsid w:val="00D10785"/>
    <w:rsid w:val="00D12B14"/>
    <w:rsid w:val="00D13D40"/>
    <w:rsid w:val="00D14370"/>
    <w:rsid w:val="00D14747"/>
    <w:rsid w:val="00D1491C"/>
    <w:rsid w:val="00D16967"/>
    <w:rsid w:val="00D17F3B"/>
    <w:rsid w:val="00D205FE"/>
    <w:rsid w:val="00D210D4"/>
    <w:rsid w:val="00D22575"/>
    <w:rsid w:val="00D23706"/>
    <w:rsid w:val="00D30F84"/>
    <w:rsid w:val="00D340B3"/>
    <w:rsid w:val="00D3442F"/>
    <w:rsid w:val="00D35686"/>
    <w:rsid w:val="00D44E0B"/>
    <w:rsid w:val="00D478BA"/>
    <w:rsid w:val="00D511D9"/>
    <w:rsid w:val="00D51308"/>
    <w:rsid w:val="00D515F3"/>
    <w:rsid w:val="00D5397A"/>
    <w:rsid w:val="00D5661D"/>
    <w:rsid w:val="00D56D9D"/>
    <w:rsid w:val="00D61304"/>
    <w:rsid w:val="00D665DF"/>
    <w:rsid w:val="00D73913"/>
    <w:rsid w:val="00D7600B"/>
    <w:rsid w:val="00D7714B"/>
    <w:rsid w:val="00D77C56"/>
    <w:rsid w:val="00D812F5"/>
    <w:rsid w:val="00D81403"/>
    <w:rsid w:val="00D81811"/>
    <w:rsid w:val="00D82674"/>
    <w:rsid w:val="00D8406B"/>
    <w:rsid w:val="00D8498A"/>
    <w:rsid w:val="00D84C65"/>
    <w:rsid w:val="00D91234"/>
    <w:rsid w:val="00D9351E"/>
    <w:rsid w:val="00D94292"/>
    <w:rsid w:val="00D94AA4"/>
    <w:rsid w:val="00D96830"/>
    <w:rsid w:val="00D97398"/>
    <w:rsid w:val="00DA210E"/>
    <w:rsid w:val="00DA4046"/>
    <w:rsid w:val="00DA75A7"/>
    <w:rsid w:val="00DB1C8D"/>
    <w:rsid w:val="00DB3777"/>
    <w:rsid w:val="00DB40A1"/>
    <w:rsid w:val="00DC0562"/>
    <w:rsid w:val="00DC06CC"/>
    <w:rsid w:val="00DC10BE"/>
    <w:rsid w:val="00DC113C"/>
    <w:rsid w:val="00DC3587"/>
    <w:rsid w:val="00DC4363"/>
    <w:rsid w:val="00DC4D45"/>
    <w:rsid w:val="00DC6AB6"/>
    <w:rsid w:val="00DD1D89"/>
    <w:rsid w:val="00DD6FB6"/>
    <w:rsid w:val="00DD71F4"/>
    <w:rsid w:val="00DE4280"/>
    <w:rsid w:val="00DE4298"/>
    <w:rsid w:val="00DE48BE"/>
    <w:rsid w:val="00DE5CE6"/>
    <w:rsid w:val="00DF068C"/>
    <w:rsid w:val="00DF2CCB"/>
    <w:rsid w:val="00DF346E"/>
    <w:rsid w:val="00DF36E1"/>
    <w:rsid w:val="00E00272"/>
    <w:rsid w:val="00E0035B"/>
    <w:rsid w:val="00E0126C"/>
    <w:rsid w:val="00E022EA"/>
    <w:rsid w:val="00E10730"/>
    <w:rsid w:val="00E11811"/>
    <w:rsid w:val="00E131A6"/>
    <w:rsid w:val="00E2290A"/>
    <w:rsid w:val="00E23AAB"/>
    <w:rsid w:val="00E240ED"/>
    <w:rsid w:val="00E30BA4"/>
    <w:rsid w:val="00E32660"/>
    <w:rsid w:val="00E33746"/>
    <w:rsid w:val="00E347EC"/>
    <w:rsid w:val="00E3696F"/>
    <w:rsid w:val="00E37B13"/>
    <w:rsid w:val="00E40DE6"/>
    <w:rsid w:val="00E443FF"/>
    <w:rsid w:val="00E46385"/>
    <w:rsid w:val="00E46420"/>
    <w:rsid w:val="00E46925"/>
    <w:rsid w:val="00E47ABB"/>
    <w:rsid w:val="00E545B7"/>
    <w:rsid w:val="00E620A0"/>
    <w:rsid w:val="00E622C4"/>
    <w:rsid w:val="00E65189"/>
    <w:rsid w:val="00E743CF"/>
    <w:rsid w:val="00E75EC3"/>
    <w:rsid w:val="00E76A63"/>
    <w:rsid w:val="00E81393"/>
    <w:rsid w:val="00E82D4E"/>
    <w:rsid w:val="00E83591"/>
    <w:rsid w:val="00E83EBD"/>
    <w:rsid w:val="00E86D4E"/>
    <w:rsid w:val="00E95F09"/>
    <w:rsid w:val="00E9694B"/>
    <w:rsid w:val="00E971AE"/>
    <w:rsid w:val="00EA047F"/>
    <w:rsid w:val="00EA171E"/>
    <w:rsid w:val="00EA482F"/>
    <w:rsid w:val="00EA5771"/>
    <w:rsid w:val="00EA5E83"/>
    <w:rsid w:val="00EA5F81"/>
    <w:rsid w:val="00EA69D3"/>
    <w:rsid w:val="00EB03B9"/>
    <w:rsid w:val="00EB0E05"/>
    <w:rsid w:val="00EB104E"/>
    <w:rsid w:val="00EB45A9"/>
    <w:rsid w:val="00EB6E86"/>
    <w:rsid w:val="00EC31C1"/>
    <w:rsid w:val="00EC5245"/>
    <w:rsid w:val="00EC5C8E"/>
    <w:rsid w:val="00EC600B"/>
    <w:rsid w:val="00ED2B6C"/>
    <w:rsid w:val="00ED2FCF"/>
    <w:rsid w:val="00ED45F4"/>
    <w:rsid w:val="00ED5875"/>
    <w:rsid w:val="00EE3C6C"/>
    <w:rsid w:val="00EE568B"/>
    <w:rsid w:val="00EE703F"/>
    <w:rsid w:val="00EE7145"/>
    <w:rsid w:val="00EE7FDC"/>
    <w:rsid w:val="00EF2E13"/>
    <w:rsid w:val="00EF2E32"/>
    <w:rsid w:val="00EF44F2"/>
    <w:rsid w:val="00EF47F7"/>
    <w:rsid w:val="00EF523D"/>
    <w:rsid w:val="00F02D87"/>
    <w:rsid w:val="00F03862"/>
    <w:rsid w:val="00F04028"/>
    <w:rsid w:val="00F07436"/>
    <w:rsid w:val="00F11167"/>
    <w:rsid w:val="00F12228"/>
    <w:rsid w:val="00F13276"/>
    <w:rsid w:val="00F14220"/>
    <w:rsid w:val="00F16BD7"/>
    <w:rsid w:val="00F176E1"/>
    <w:rsid w:val="00F20204"/>
    <w:rsid w:val="00F21FDD"/>
    <w:rsid w:val="00F2318A"/>
    <w:rsid w:val="00F27FCD"/>
    <w:rsid w:val="00F30D74"/>
    <w:rsid w:val="00F3422E"/>
    <w:rsid w:val="00F36986"/>
    <w:rsid w:val="00F37433"/>
    <w:rsid w:val="00F433FB"/>
    <w:rsid w:val="00F439DB"/>
    <w:rsid w:val="00F467BD"/>
    <w:rsid w:val="00F472C7"/>
    <w:rsid w:val="00F478AA"/>
    <w:rsid w:val="00F50109"/>
    <w:rsid w:val="00F52512"/>
    <w:rsid w:val="00F52EEE"/>
    <w:rsid w:val="00F52EF0"/>
    <w:rsid w:val="00F53FBF"/>
    <w:rsid w:val="00F55651"/>
    <w:rsid w:val="00F5739F"/>
    <w:rsid w:val="00F673EB"/>
    <w:rsid w:val="00F67EBC"/>
    <w:rsid w:val="00F7075D"/>
    <w:rsid w:val="00F731AE"/>
    <w:rsid w:val="00F75A13"/>
    <w:rsid w:val="00F80D7C"/>
    <w:rsid w:val="00F81875"/>
    <w:rsid w:val="00F87010"/>
    <w:rsid w:val="00F87800"/>
    <w:rsid w:val="00F94859"/>
    <w:rsid w:val="00F954C7"/>
    <w:rsid w:val="00F97B78"/>
    <w:rsid w:val="00F97ECF"/>
    <w:rsid w:val="00FA1288"/>
    <w:rsid w:val="00FB54B2"/>
    <w:rsid w:val="00FB6FDD"/>
    <w:rsid w:val="00FB746E"/>
    <w:rsid w:val="00FC429E"/>
    <w:rsid w:val="00FC65E0"/>
    <w:rsid w:val="00FC67BE"/>
    <w:rsid w:val="00FD09D7"/>
    <w:rsid w:val="00FD0AD4"/>
    <w:rsid w:val="00FD1A2A"/>
    <w:rsid w:val="00FD2865"/>
    <w:rsid w:val="00FD3224"/>
    <w:rsid w:val="00FD43A3"/>
    <w:rsid w:val="00FD531E"/>
    <w:rsid w:val="00FD5859"/>
    <w:rsid w:val="00FE02C8"/>
    <w:rsid w:val="00FE238E"/>
    <w:rsid w:val="00FF0660"/>
    <w:rsid w:val="00FF2367"/>
    <w:rsid w:val="00FF61B6"/>
    <w:rsid w:val="00FF733F"/>
    <w:rsid w:val="00FF79E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BE7E7"/>
  <w15:chartTrackingRefBased/>
  <w15:docId w15:val="{CAED48C4-792C-4D5E-9AB2-34CFCA46D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6A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E3A60"/>
    <w:pPr>
      <w:keepNext/>
      <w:keepLines/>
      <w:spacing w:before="120" w:after="0" w:line="252" w:lineRule="auto"/>
      <w:jc w:val="both"/>
      <w:outlineLvl w:val="1"/>
    </w:pPr>
    <w:rPr>
      <w:rFonts w:eastAsiaTheme="majorEastAsia"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77F"/>
    <w:pPr>
      <w:ind w:left="720"/>
      <w:contextualSpacing/>
    </w:pPr>
  </w:style>
  <w:style w:type="table" w:styleId="TableGrid">
    <w:name w:val="Table Grid"/>
    <w:basedOn w:val="TableNormal"/>
    <w:uiPriority w:val="39"/>
    <w:rsid w:val="00625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8B379E"/>
    <w:pPr>
      <w:spacing w:after="0" w:line="240" w:lineRule="auto"/>
    </w:pPr>
    <w:rPr>
      <w:sz w:val="20"/>
      <w:szCs w:val="20"/>
    </w:rPr>
  </w:style>
  <w:style w:type="character" w:customStyle="1" w:styleId="FootnoteTextChar">
    <w:name w:val="Footnote Text Char"/>
    <w:basedOn w:val="DefaultParagraphFont"/>
    <w:link w:val="FootnoteText"/>
    <w:uiPriority w:val="99"/>
    <w:rsid w:val="008B379E"/>
    <w:rPr>
      <w:sz w:val="20"/>
      <w:szCs w:val="20"/>
    </w:rPr>
  </w:style>
  <w:style w:type="character" w:styleId="FootnoteReference">
    <w:name w:val="footnote reference"/>
    <w:basedOn w:val="DefaultParagraphFont"/>
    <w:uiPriority w:val="99"/>
    <w:unhideWhenUsed/>
    <w:rsid w:val="008B379E"/>
    <w:rPr>
      <w:vertAlign w:val="superscript"/>
    </w:rPr>
  </w:style>
  <w:style w:type="character" w:styleId="Hyperlink">
    <w:name w:val="Hyperlink"/>
    <w:basedOn w:val="DefaultParagraphFont"/>
    <w:uiPriority w:val="99"/>
    <w:unhideWhenUsed/>
    <w:rsid w:val="008B379E"/>
    <w:rPr>
      <w:color w:val="0563C1" w:themeColor="hyperlink"/>
      <w:u w:val="single"/>
    </w:rPr>
  </w:style>
  <w:style w:type="paragraph" w:styleId="NormalWeb">
    <w:name w:val="Normal (Web)"/>
    <w:basedOn w:val="Normal"/>
    <w:uiPriority w:val="99"/>
    <w:unhideWhenUsed/>
    <w:rsid w:val="00D071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605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05BE"/>
  </w:style>
  <w:style w:type="paragraph" w:styleId="Footer">
    <w:name w:val="footer"/>
    <w:basedOn w:val="Normal"/>
    <w:link w:val="FooterChar"/>
    <w:uiPriority w:val="99"/>
    <w:unhideWhenUsed/>
    <w:rsid w:val="007605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05BE"/>
  </w:style>
  <w:style w:type="character" w:styleId="CommentReference">
    <w:name w:val="annotation reference"/>
    <w:basedOn w:val="DefaultParagraphFont"/>
    <w:uiPriority w:val="99"/>
    <w:semiHidden/>
    <w:unhideWhenUsed/>
    <w:rsid w:val="00B25055"/>
    <w:rPr>
      <w:sz w:val="16"/>
      <w:szCs w:val="16"/>
    </w:rPr>
  </w:style>
  <w:style w:type="paragraph" w:styleId="CommentText">
    <w:name w:val="annotation text"/>
    <w:basedOn w:val="Normal"/>
    <w:link w:val="CommentTextChar"/>
    <w:uiPriority w:val="99"/>
    <w:semiHidden/>
    <w:unhideWhenUsed/>
    <w:rsid w:val="00B25055"/>
    <w:pPr>
      <w:spacing w:line="240" w:lineRule="auto"/>
    </w:pPr>
    <w:rPr>
      <w:sz w:val="20"/>
      <w:szCs w:val="20"/>
    </w:rPr>
  </w:style>
  <w:style w:type="character" w:customStyle="1" w:styleId="CommentTextChar">
    <w:name w:val="Comment Text Char"/>
    <w:basedOn w:val="DefaultParagraphFont"/>
    <w:link w:val="CommentText"/>
    <w:uiPriority w:val="99"/>
    <w:semiHidden/>
    <w:rsid w:val="00B25055"/>
    <w:rPr>
      <w:sz w:val="20"/>
      <w:szCs w:val="20"/>
    </w:rPr>
  </w:style>
  <w:style w:type="paragraph" w:styleId="CommentSubject">
    <w:name w:val="annotation subject"/>
    <w:basedOn w:val="CommentText"/>
    <w:next w:val="CommentText"/>
    <w:link w:val="CommentSubjectChar"/>
    <w:uiPriority w:val="99"/>
    <w:semiHidden/>
    <w:unhideWhenUsed/>
    <w:rsid w:val="00B25055"/>
    <w:rPr>
      <w:b/>
      <w:bCs/>
    </w:rPr>
  </w:style>
  <w:style w:type="character" w:customStyle="1" w:styleId="CommentSubjectChar">
    <w:name w:val="Comment Subject Char"/>
    <w:basedOn w:val="CommentTextChar"/>
    <w:link w:val="CommentSubject"/>
    <w:uiPriority w:val="99"/>
    <w:semiHidden/>
    <w:rsid w:val="00B25055"/>
    <w:rPr>
      <w:b/>
      <w:bCs/>
      <w:sz w:val="20"/>
      <w:szCs w:val="20"/>
    </w:rPr>
  </w:style>
  <w:style w:type="paragraph" w:styleId="BalloonText">
    <w:name w:val="Balloon Text"/>
    <w:basedOn w:val="Normal"/>
    <w:link w:val="BalloonTextChar"/>
    <w:uiPriority w:val="99"/>
    <w:semiHidden/>
    <w:unhideWhenUsed/>
    <w:rsid w:val="00B250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055"/>
    <w:rPr>
      <w:rFonts w:ascii="Segoe UI" w:hAnsi="Segoe UI" w:cs="Segoe UI"/>
      <w:sz w:val="18"/>
      <w:szCs w:val="18"/>
    </w:rPr>
  </w:style>
  <w:style w:type="paragraph" w:styleId="Revision">
    <w:name w:val="Revision"/>
    <w:hidden/>
    <w:uiPriority w:val="99"/>
    <w:semiHidden/>
    <w:rsid w:val="001847ED"/>
    <w:pPr>
      <w:spacing w:after="0" w:line="240" w:lineRule="auto"/>
    </w:pPr>
  </w:style>
  <w:style w:type="character" w:styleId="FollowedHyperlink">
    <w:name w:val="FollowedHyperlink"/>
    <w:basedOn w:val="DefaultParagraphFont"/>
    <w:uiPriority w:val="99"/>
    <w:semiHidden/>
    <w:unhideWhenUsed/>
    <w:rsid w:val="00213DFF"/>
    <w:rPr>
      <w:color w:val="954F72" w:themeColor="followedHyperlink"/>
      <w:u w:val="single"/>
    </w:rPr>
  </w:style>
  <w:style w:type="character" w:customStyle="1" w:styleId="Heading2Char">
    <w:name w:val="Heading 2 Char"/>
    <w:basedOn w:val="DefaultParagraphFont"/>
    <w:link w:val="Heading2"/>
    <w:uiPriority w:val="9"/>
    <w:rsid w:val="002E3A60"/>
    <w:rPr>
      <w:rFonts w:eastAsiaTheme="majorEastAsia" w:cstheme="majorBidi"/>
      <w:b/>
      <w:bCs/>
      <w:sz w:val="24"/>
      <w:szCs w:val="28"/>
    </w:rPr>
  </w:style>
  <w:style w:type="character" w:customStyle="1" w:styleId="Heading1Char">
    <w:name w:val="Heading 1 Char"/>
    <w:basedOn w:val="DefaultParagraphFont"/>
    <w:link w:val="Heading1"/>
    <w:uiPriority w:val="9"/>
    <w:rsid w:val="00A96A2E"/>
    <w:rPr>
      <w:rFonts w:asciiTheme="majorHAnsi" w:eastAsiaTheme="majorEastAsia" w:hAnsiTheme="majorHAnsi" w:cstheme="majorBidi"/>
      <w:color w:val="2E74B5" w:themeColor="accent1" w:themeShade="BF"/>
      <w:sz w:val="32"/>
      <w:szCs w:val="32"/>
    </w:rPr>
  </w:style>
  <w:style w:type="character" w:styleId="LineNumber">
    <w:name w:val="line number"/>
    <w:basedOn w:val="DefaultParagraphFont"/>
    <w:uiPriority w:val="99"/>
    <w:semiHidden/>
    <w:unhideWhenUsed/>
    <w:rsid w:val="00D16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063927">
      <w:bodyDiv w:val="1"/>
      <w:marLeft w:val="0"/>
      <w:marRight w:val="0"/>
      <w:marTop w:val="0"/>
      <w:marBottom w:val="0"/>
      <w:divBdr>
        <w:top w:val="none" w:sz="0" w:space="0" w:color="auto"/>
        <w:left w:val="none" w:sz="0" w:space="0" w:color="auto"/>
        <w:bottom w:val="none" w:sz="0" w:space="0" w:color="auto"/>
        <w:right w:val="none" w:sz="0" w:space="0" w:color="auto"/>
      </w:divBdr>
    </w:div>
    <w:div w:id="566190743">
      <w:bodyDiv w:val="1"/>
      <w:marLeft w:val="0"/>
      <w:marRight w:val="0"/>
      <w:marTop w:val="0"/>
      <w:marBottom w:val="0"/>
      <w:divBdr>
        <w:top w:val="none" w:sz="0" w:space="0" w:color="auto"/>
        <w:left w:val="none" w:sz="0" w:space="0" w:color="auto"/>
        <w:bottom w:val="none" w:sz="0" w:space="0" w:color="auto"/>
        <w:right w:val="none" w:sz="0" w:space="0" w:color="auto"/>
      </w:divBdr>
    </w:div>
    <w:div w:id="579366294">
      <w:bodyDiv w:val="1"/>
      <w:marLeft w:val="0"/>
      <w:marRight w:val="0"/>
      <w:marTop w:val="0"/>
      <w:marBottom w:val="0"/>
      <w:divBdr>
        <w:top w:val="none" w:sz="0" w:space="0" w:color="auto"/>
        <w:left w:val="none" w:sz="0" w:space="0" w:color="auto"/>
        <w:bottom w:val="none" w:sz="0" w:space="0" w:color="auto"/>
        <w:right w:val="none" w:sz="0" w:space="0" w:color="auto"/>
      </w:divBdr>
    </w:div>
    <w:div w:id="630676764">
      <w:bodyDiv w:val="1"/>
      <w:marLeft w:val="0"/>
      <w:marRight w:val="0"/>
      <w:marTop w:val="0"/>
      <w:marBottom w:val="0"/>
      <w:divBdr>
        <w:top w:val="none" w:sz="0" w:space="0" w:color="auto"/>
        <w:left w:val="none" w:sz="0" w:space="0" w:color="auto"/>
        <w:bottom w:val="none" w:sz="0" w:space="0" w:color="auto"/>
        <w:right w:val="none" w:sz="0" w:space="0" w:color="auto"/>
      </w:divBdr>
    </w:div>
    <w:div w:id="1197306085">
      <w:bodyDiv w:val="1"/>
      <w:marLeft w:val="0"/>
      <w:marRight w:val="0"/>
      <w:marTop w:val="0"/>
      <w:marBottom w:val="0"/>
      <w:divBdr>
        <w:top w:val="none" w:sz="0" w:space="0" w:color="auto"/>
        <w:left w:val="none" w:sz="0" w:space="0" w:color="auto"/>
        <w:bottom w:val="none" w:sz="0" w:space="0" w:color="auto"/>
        <w:right w:val="none" w:sz="0" w:space="0" w:color="auto"/>
      </w:divBdr>
    </w:div>
    <w:div w:id="1610551835">
      <w:bodyDiv w:val="1"/>
      <w:marLeft w:val="0"/>
      <w:marRight w:val="0"/>
      <w:marTop w:val="0"/>
      <w:marBottom w:val="0"/>
      <w:divBdr>
        <w:top w:val="none" w:sz="0" w:space="0" w:color="auto"/>
        <w:left w:val="none" w:sz="0" w:space="0" w:color="auto"/>
        <w:bottom w:val="none" w:sz="0" w:space="0" w:color="auto"/>
        <w:right w:val="none" w:sz="0" w:space="0" w:color="auto"/>
      </w:divBdr>
    </w:div>
    <w:div w:id="1712607345">
      <w:bodyDiv w:val="1"/>
      <w:marLeft w:val="0"/>
      <w:marRight w:val="0"/>
      <w:marTop w:val="0"/>
      <w:marBottom w:val="0"/>
      <w:divBdr>
        <w:top w:val="none" w:sz="0" w:space="0" w:color="auto"/>
        <w:left w:val="none" w:sz="0" w:space="0" w:color="auto"/>
        <w:bottom w:val="none" w:sz="0" w:space="0" w:color="auto"/>
        <w:right w:val="none" w:sz="0" w:space="0" w:color="auto"/>
      </w:divBdr>
    </w:div>
    <w:div w:id="2013101643">
      <w:bodyDiv w:val="1"/>
      <w:marLeft w:val="0"/>
      <w:marRight w:val="0"/>
      <w:marTop w:val="0"/>
      <w:marBottom w:val="0"/>
      <w:divBdr>
        <w:top w:val="none" w:sz="0" w:space="0" w:color="auto"/>
        <w:left w:val="none" w:sz="0" w:space="0" w:color="auto"/>
        <w:bottom w:val="none" w:sz="0" w:space="0" w:color="auto"/>
        <w:right w:val="none" w:sz="0" w:space="0" w:color="auto"/>
      </w:divBdr>
      <w:divsChild>
        <w:div w:id="59719334">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cesca.solmi@ucl.ac.uk" TargetMode="External"/><Relationship Id="rId13" Type="http://schemas.openxmlformats.org/officeDocument/2006/relationships/hyperlink" Target="http://www.bris.ac.uk/alspac/researchers/data-access/data-dictiona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ristol.ac.uk/alspa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kdataservice.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ristol.ac.uk/alspac/external/documents/grant-acknowledgements.pdf" TargetMode="External"/><Relationship Id="rId4" Type="http://schemas.openxmlformats.org/officeDocument/2006/relationships/settings" Target="settings.xml"/><Relationship Id="rId9" Type="http://schemas.openxmlformats.org/officeDocument/2006/relationships/hyperlink" Target="https://osf.io/7ghc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6AC5C-25B7-4A2E-8D4A-8C28BD50A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30512</Words>
  <Characters>173919</Characters>
  <Application>Microsoft Office Word</Application>
  <DocSecurity>0</DocSecurity>
  <Lines>1449</Lines>
  <Paragraphs>408</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204023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Solmi</dc:creator>
  <cp:keywords/>
  <dc:description/>
  <cp:lastModifiedBy>Solmi, Francesca</cp:lastModifiedBy>
  <cp:revision>2</cp:revision>
  <cp:lastPrinted>2020-04-27T08:41:00Z</cp:lastPrinted>
  <dcterms:created xsi:type="dcterms:W3CDTF">2021-11-16T15:57:00Z</dcterms:created>
  <dcterms:modified xsi:type="dcterms:W3CDTF">2021-11-16T15:57:00Z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 6th edition</vt:lpwstr>
  </property>
  <property fmtid="{D5CDD505-2E9C-101B-9397-08002B2CF9AE}" pid="6" name="Mendeley Recent Style Id 2_1">
    <vt:lpwstr>http://www.zotero.org/styles/bmj</vt:lpwstr>
  </property>
  <property fmtid="{D5CDD505-2E9C-101B-9397-08002B2CF9AE}" pid="7" name="Mendeley Recent Style Name 2_1">
    <vt:lpwstr>BMJ</vt:lpwstr>
  </property>
  <property fmtid="{D5CDD505-2E9C-101B-9397-08002B2CF9AE}" pid="8" name="Mendeley Recent Style Id 3_1">
    <vt:lpwstr>http://www.zotero.org/styles/biological-psychiatry</vt:lpwstr>
  </property>
  <property fmtid="{D5CDD505-2E9C-101B-9397-08002B2CF9AE}" pid="9" name="Mendeley Recent Style Name 3_1">
    <vt:lpwstr>Biological Psychiatry</vt:lpwstr>
  </property>
  <property fmtid="{D5CDD505-2E9C-101B-9397-08002B2CF9AE}" pid="10" name="Mendeley Recent Style Id 4_1">
    <vt:lpwstr>http://www.zotero.org/styles/brain-behavior-and-immunity</vt:lpwstr>
  </property>
  <property fmtid="{D5CDD505-2E9C-101B-9397-08002B2CF9AE}" pid="11" name="Mendeley Recent Style Name 4_1">
    <vt:lpwstr>Brain Behavior and Immunity</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http://www.zotero.org/styles/jama</vt:lpwstr>
  </property>
  <property fmtid="{D5CDD505-2E9C-101B-9397-08002B2CF9AE}" pid="19" name="Mendeley Recent Style Name 8_1">
    <vt:lpwstr>JAMA (The Journal of the American Medical Association)</vt:lpwstr>
  </property>
  <property fmtid="{D5CDD505-2E9C-101B-9397-08002B2CF9AE}" pid="20" name="Mendeley Recent Style Id 9_1">
    <vt:lpwstr>http://www.zotero.org/styles/modern-humanities-research-association</vt:lpwstr>
  </property>
  <property fmtid="{D5CDD505-2E9C-101B-9397-08002B2CF9AE}" pid="21" name="Mendeley Recent Style Name 9_1">
    <vt:lpwstr>Modern Humanities Research Association 3rd edition (note with bibliography)</vt:lpwstr>
  </property>
  <property fmtid="{D5CDD505-2E9C-101B-9397-08002B2CF9AE}" pid="22" name="Mendeley Document_1">
    <vt:lpwstr>True</vt:lpwstr>
  </property>
  <property fmtid="{D5CDD505-2E9C-101B-9397-08002B2CF9AE}" pid="23" name="Mendeley Unique User Id_1">
    <vt:lpwstr>bf727581-c3e8-3eae-88c7-2af28dca6af5</vt:lpwstr>
  </property>
  <property fmtid="{D5CDD505-2E9C-101B-9397-08002B2CF9AE}" pid="24" name="Mendeley Citation Style_1">
    <vt:lpwstr>http://www.zotero.org/styles/jama</vt:lpwstr>
  </property>
</Properties>
</file>