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3B3B7" w14:textId="72D2460C" w:rsidR="00C368BA" w:rsidRPr="00C368BA" w:rsidRDefault="00C368BA" w:rsidP="00C368BA">
      <w:pPr>
        <w:pStyle w:val="Heading2"/>
        <w:shd w:val="clear" w:color="auto" w:fill="FBFBFB"/>
        <w:spacing w:before="0" w:after="150"/>
        <w:rPr>
          <w:rFonts w:ascii="Helvetica" w:eastAsia="Times New Roman" w:hAnsi="Helvetica" w:cs="Helvetica"/>
          <w:b/>
          <w:bCs/>
          <w:color w:val="333333"/>
          <w:sz w:val="30"/>
          <w:szCs w:val="30"/>
          <w:lang w:val="en-GB" w:eastAsia="en-GB"/>
        </w:rPr>
      </w:pPr>
      <w:r w:rsidRPr="00C368BA">
        <w:rPr>
          <w:rFonts w:ascii="Helvetica" w:eastAsia="Times New Roman" w:hAnsi="Helvetica" w:cs="Helvetica"/>
          <w:b/>
          <w:bCs/>
          <w:color w:val="333333"/>
          <w:sz w:val="30"/>
          <w:szCs w:val="30"/>
          <w:lang w:val="en-GB" w:eastAsia="en-GB"/>
        </w:rPr>
        <w:t>Combining indicators for better decisions – Algorithms vs experts on lakes ecological status assessment</w:t>
      </w:r>
    </w:p>
    <w:p w14:paraId="08D4F9E1" w14:textId="288D3DA4" w:rsidR="00F828B3" w:rsidRPr="00C368BA" w:rsidRDefault="00C368BA" w:rsidP="00F828B3">
      <w:pPr>
        <w:spacing w:after="0" w:line="240" w:lineRule="auto"/>
        <w:rPr>
          <w:rFonts w:ascii="Segoe UI" w:eastAsia="Times New Roman" w:hAnsi="Segoe UI" w:cs="Segoe UI"/>
          <w:sz w:val="21"/>
          <w:szCs w:val="21"/>
          <w:lang w:val="en-GB" w:eastAsia="pl-PL"/>
        </w:rPr>
      </w:pPr>
      <w:r>
        <w:rPr>
          <w:rFonts w:ascii="Helvetica" w:hAnsi="Helvetica" w:cs="Helvetica"/>
          <w:color w:val="333333"/>
          <w:sz w:val="20"/>
          <w:szCs w:val="20"/>
          <w:shd w:val="clear" w:color="auto" w:fill="FBFBFB"/>
        </w:rPr>
        <w:t>Chrobak G, Kowalczyk T, Fischer TB, Chrobak K, Szewrański S, et al., Ecological Indicators, 2021</w:t>
      </w:r>
      <w:bookmarkStart w:id="0" w:name="_GoBack"/>
      <w:bookmarkEnd w:id="0"/>
    </w:p>
    <w:p w14:paraId="6FB37EB9" w14:textId="64DF5ED1" w:rsidR="005360B1" w:rsidRDefault="005360B1" w:rsidP="00063D2E">
      <w:pPr>
        <w:jc w:val="both"/>
        <w:rPr>
          <w:b/>
          <w:bCs/>
          <w:lang w:val="en-GB"/>
        </w:rPr>
      </w:pPr>
    </w:p>
    <w:p w14:paraId="623FE446" w14:textId="3088E3C4" w:rsidR="00063D2E" w:rsidRDefault="00063D2E" w:rsidP="00063D2E">
      <w:pPr>
        <w:jc w:val="both"/>
        <w:rPr>
          <w:b/>
          <w:bCs/>
          <w:lang w:val="en-GB"/>
        </w:rPr>
      </w:pPr>
      <w:r w:rsidRPr="00063D2E">
        <w:rPr>
          <w:b/>
          <w:bCs/>
          <w:lang w:val="en-GB"/>
        </w:rPr>
        <w:t>1.</w:t>
      </w:r>
      <w:r w:rsidRPr="00063D2E">
        <w:rPr>
          <w:b/>
          <w:bCs/>
          <w:lang w:val="en-GB"/>
        </w:rPr>
        <w:tab/>
        <w:t>Introduction</w:t>
      </w:r>
    </w:p>
    <w:p w14:paraId="044B9782" w14:textId="77777777" w:rsidR="00131005" w:rsidRPr="00707B3C" w:rsidRDefault="0011145F" w:rsidP="00063D2E">
      <w:pPr>
        <w:spacing w:after="0"/>
        <w:ind w:firstLine="708"/>
        <w:jc w:val="both"/>
        <w:rPr>
          <w:b/>
          <w:bCs/>
          <w:color w:val="FF0000"/>
          <w:lang w:val="en-GB"/>
        </w:rPr>
      </w:pPr>
      <w:r w:rsidRPr="00707B3C">
        <w:rPr>
          <w:b/>
          <w:bCs/>
          <w:color w:val="FF0000"/>
          <w:lang w:val="en-GB"/>
        </w:rPr>
        <w:t xml:space="preserve">2.1. </w:t>
      </w:r>
      <w:r w:rsidRPr="00707B3C">
        <w:rPr>
          <w:b/>
          <w:bCs/>
          <w:color w:val="FF0000"/>
          <w:lang w:val="en-GB"/>
        </w:rPr>
        <w:tab/>
      </w:r>
      <w:r w:rsidR="00801E85" w:rsidRPr="00707B3C">
        <w:rPr>
          <w:b/>
          <w:bCs/>
          <w:color w:val="FF0000"/>
          <w:lang w:val="en-GB"/>
        </w:rPr>
        <w:t>Measuring ecological state</w:t>
      </w:r>
    </w:p>
    <w:p w14:paraId="48252FC4" w14:textId="7FA1FFE2" w:rsidR="00063D2E" w:rsidRPr="00063D2E" w:rsidRDefault="00D355B0" w:rsidP="00063D2E">
      <w:pPr>
        <w:spacing w:after="0"/>
        <w:ind w:firstLine="708"/>
        <w:jc w:val="both"/>
        <w:rPr>
          <w:lang w:val="en-GB"/>
        </w:rPr>
      </w:pPr>
      <w:r>
        <w:rPr>
          <w:lang w:val="en-GB"/>
        </w:rPr>
        <w:t>There is increas</w:t>
      </w:r>
      <w:r w:rsidR="00256F2A">
        <w:rPr>
          <w:lang w:val="en-GB"/>
        </w:rPr>
        <w:t>ing</w:t>
      </w:r>
      <w:r>
        <w:rPr>
          <w:lang w:val="en-GB"/>
        </w:rPr>
        <w:t xml:space="preserve"> attention given to the a</w:t>
      </w:r>
      <w:r w:rsidR="00063D2E" w:rsidRPr="00063D2E">
        <w:rPr>
          <w:lang w:val="en-GB"/>
        </w:rPr>
        <w:t xml:space="preserve">ssessment of </w:t>
      </w:r>
      <w:r w:rsidR="00063D2E">
        <w:rPr>
          <w:lang w:val="en-GB"/>
        </w:rPr>
        <w:t xml:space="preserve">the </w:t>
      </w:r>
      <w:r w:rsidR="00063D2E" w:rsidRPr="00063D2E">
        <w:rPr>
          <w:lang w:val="en-GB"/>
        </w:rPr>
        <w:t xml:space="preserve">ecological </w:t>
      </w:r>
      <w:r w:rsidR="0029024F">
        <w:rPr>
          <w:lang w:val="en-GB"/>
        </w:rPr>
        <w:t>condition</w:t>
      </w:r>
      <w:r>
        <w:rPr>
          <w:lang w:val="en-GB"/>
        </w:rPr>
        <w:t>s</w:t>
      </w:r>
      <w:r w:rsidR="00063D2E" w:rsidRPr="00063D2E">
        <w:rPr>
          <w:lang w:val="en-GB"/>
        </w:rPr>
        <w:t xml:space="preserve"> of water-based ecosystems</w:t>
      </w:r>
      <w:r>
        <w:rPr>
          <w:lang w:val="en-GB"/>
        </w:rPr>
        <w:t>.</w:t>
      </w:r>
      <w:r w:rsidR="00063D2E" w:rsidRPr="00063D2E">
        <w:rPr>
          <w:lang w:val="en-GB"/>
        </w:rPr>
        <w:t xml:space="preserve"> </w:t>
      </w:r>
      <w:r>
        <w:rPr>
          <w:lang w:val="en-GB"/>
        </w:rPr>
        <w:t xml:space="preserve">This is closely connected with efforts to develop a better understanding of </w:t>
      </w:r>
      <w:r w:rsidR="00063D2E" w:rsidRPr="00063D2E">
        <w:rPr>
          <w:lang w:val="en-GB"/>
        </w:rPr>
        <w:t>human impact</w:t>
      </w:r>
      <w:r>
        <w:rPr>
          <w:lang w:val="en-GB"/>
        </w:rPr>
        <w:t>s</w:t>
      </w:r>
      <w:r w:rsidR="00063D2E" w:rsidRPr="00063D2E">
        <w:rPr>
          <w:lang w:val="en-GB"/>
        </w:rPr>
        <w:t xml:space="preserve"> on surrounding environment</w:t>
      </w:r>
      <w:r w:rsidR="00256F2A">
        <w:rPr>
          <w:lang w:val="en-GB"/>
        </w:rPr>
        <w:t>s</w:t>
      </w:r>
      <w:r w:rsidR="00063D2E" w:rsidRPr="00063D2E">
        <w:rPr>
          <w:lang w:val="en-GB"/>
        </w:rPr>
        <w:t xml:space="preserve">. </w:t>
      </w:r>
      <w:r>
        <w:rPr>
          <w:lang w:val="en-GB"/>
        </w:rPr>
        <w:t>A p</w:t>
      </w:r>
      <w:r w:rsidR="00256F2A">
        <w:rPr>
          <w:lang w:val="en-GB"/>
        </w:rPr>
        <w:t>r</w:t>
      </w:r>
      <w:r>
        <w:rPr>
          <w:lang w:val="en-GB"/>
        </w:rPr>
        <w:t>inciple i</w:t>
      </w:r>
      <w:r w:rsidR="00063D2E" w:rsidRPr="00063D2E">
        <w:rPr>
          <w:lang w:val="en-GB"/>
        </w:rPr>
        <w:t xml:space="preserve">n </w:t>
      </w:r>
      <w:r>
        <w:rPr>
          <w:lang w:val="en-GB"/>
        </w:rPr>
        <w:t xml:space="preserve">current </w:t>
      </w:r>
      <w:r w:rsidR="00063D2E" w:rsidRPr="00063D2E">
        <w:rPr>
          <w:lang w:val="en-GB"/>
        </w:rPr>
        <w:t xml:space="preserve">water management practices </w:t>
      </w:r>
      <w:r>
        <w:rPr>
          <w:lang w:val="en-GB"/>
        </w:rPr>
        <w:t xml:space="preserve">is the </w:t>
      </w:r>
      <w:r w:rsidR="00063D2E" w:rsidRPr="00063D2E">
        <w:rPr>
          <w:lang w:val="en-GB"/>
        </w:rPr>
        <w:t>optimiz</w:t>
      </w:r>
      <w:r>
        <w:rPr>
          <w:lang w:val="en-GB"/>
        </w:rPr>
        <w:t xml:space="preserve">ation of </w:t>
      </w:r>
      <w:r w:rsidR="00063D2E" w:rsidRPr="00063D2E">
        <w:rPr>
          <w:lang w:val="en-GB"/>
        </w:rPr>
        <w:t xml:space="preserve">economic and social well-being of water users without undermining the health of vital ecosystems </w:t>
      </w:r>
      <w:r w:rsidR="00961C1E">
        <w:rPr>
          <w:lang w:val="en-GB"/>
        </w:rPr>
        <w:fldChar w:fldCharType="begin" w:fldLock="1"/>
      </w:r>
      <w:r w:rsidR="0015013D">
        <w:rPr>
          <w:lang w:val="en-GB"/>
        </w:rPr>
        <w:instrText>ADDIN CSL_CITATION {"citationItems":[{"id":"ITEM-1","itemData":{"DOI":"978-91-975872-4-2","ISBN":"9789197587242","abstract":"This report highlights the service role played by healthy ecosystems in helping water managers meet their goal of maximising the economic and social welfare of all water users in an equitable manner. Healthy ecosystems simultaneously serve multiple aspects of human well-being, especially among poor communities living close to the land-water interface. Ecosystem services have real economic value today and special importance in mitigating future problems and economic losses related to climate change. To preserve and benefit from these services, the water manager must ensure that an environmental flow regime is maintained in rivers and wetlands. Environmental flows describe the quantity, quality and timing of water flows required to sustain freshwater and estuarine ecosystems and the human livelihoods and well-being that depend on them (Brisbane Declaration 2007). Our goal is to illuminate the role of environmental flows to simultaneously improve human well-being and sustain vital ecosystems. We hope that the reader will come to Photo: Mattias Granberg understand environmental flows as essential to meeting the water management challenges we face today and into the future, including adaptation to climate change.","author":[{"dropping-particle":"","family":"Forslund","given":"a","non-dropping-particle":"","parse-names":false,"suffix":""},{"dropping-particle":"","family":"House","given":"Swedish Water","non-dropping-particle":"","parse-names":false,"suffix":""}],"container-title":"Swedish Water House Report","id":"ITEM-1","issued":{"date-parts":[["2009"]]},"title":"Securing Water for Ecosystems and Human Well-being: The Importance of Environmental Flows","type":"book"},"uris":["http://www.mendeley.com/documents/?uuid=053eec2a-909e-4a48-9b86-3cb4025d4ac6"]},{"id":"ITEM-2","itemData":{"DOI":"10.1017/CBO9781107415324.004","ISBN":"9788578110796","ISSN":"1098-6596","PMID":"25246403","abstract":"Predicting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approach.","author":[{"dropping-particle":"","family":"UN-Water","given":"","non-dropping-particle":"","parse-names":false,"suffix":""}],"container-title":"Journal of Chemical Information and Modeling","id":"ITEM-2","issued":{"date-parts":[["2017"]]},"title":"The United Nations World Water Development Report 2017: Wastewater, The Untapped Resource.","type":"article-journal"},"uris":["http://www.mendeley.com/documents/?uuid=1f23aaab-7c77-4636-b13c-17307e69eb08"]}],"mendeley":{"formattedCitation":"(Forslund &amp; House, 2009; UN-Water, 2017)","plainTextFormattedCitation":"(Forslund &amp; House, 2009; UN-Water, 2017)","previouslyFormattedCitation":"(Forslund &amp; House, 2009; UN-Water, 2017)"},"properties":{"noteIndex":0},"schema":"https://github.com/citation-style-language/schema/raw/master/csl-citation.json"}</w:instrText>
      </w:r>
      <w:r w:rsidR="00961C1E">
        <w:rPr>
          <w:lang w:val="en-GB"/>
        </w:rPr>
        <w:fldChar w:fldCharType="separate"/>
      </w:r>
      <w:r w:rsidR="002617A0" w:rsidRPr="002617A0">
        <w:rPr>
          <w:noProof/>
          <w:lang w:val="en-GB"/>
        </w:rPr>
        <w:t>(Forslund &amp; House, 2009; UN-Water, 2017)</w:t>
      </w:r>
      <w:r w:rsidR="00961C1E">
        <w:rPr>
          <w:lang w:val="en-GB"/>
        </w:rPr>
        <w:fldChar w:fldCharType="end"/>
      </w:r>
      <w:r w:rsidR="00063D2E" w:rsidRPr="00063D2E">
        <w:rPr>
          <w:lang w:val="en-GB"/>
        </w:rPr>
        <w:t>.</w:t>
      </w:r>
      <w:r>
        <w:rPr>
          <w:lang w:val="en-GB"/>
        </w:rPr>
        <w:t>T</w:t>
      </w:r>
      <w:r w:rsidR="00063D2E" w:rsidRPr="00063D2E">
        <w:rPr>
          <w:lang w:val="en-GB"/>
        </w:rPr>
        <w:t xml:space="preserve">here are numerous methodologies that allow </w:t>
      </w:r>
      <w:r w:rsidR="00867E49">
        <w:rPr>
          <w:lang w:val="en-GB"/>
        </w:rPr>
        <w:t xml:space="preserve">for </w:t>
      </w:r>
      <w:r>
        <w:rPr>
          <w:lang w:val="en-GB"/>
        </w:rPr>
        <w:t xml:space="preserve">an assessment of </w:t>
      </w:r>
      <w:r w:rsidR="00063D2E" w:rsidRPr="00063D2E">
        <w:rPr>
          <w:lang w:val="en-GB"/>
        </w:rPr>
        <w:t xml:space="preserve"> the ecological status of aquatic ecosystems </w:t>
      </w:r>
      <w:r w:rsidR="0015013D">
        <w:rPr>
          <w:lang w:val="en-GB"/>
        </w:rPr>
        <w:fldChar w:fldCharType="begin" w:fldLock="1"/>
      </w:r>
      <w:r w:rsidR="0015013D">
        <w:rPr>
          <w:lang w:val="en-GB"/>
        </w:rPr>
        <w:instrText>ADDIN CSL_CITATION {"citationItems":[{"id":"ITEM-1","itemData":{"DOI":"10.1111/j.1365-2664.2005.01040.x","ISSN":"00218901","abstract":"1. The European Water Framework Directive (WFD) requires that all European water-bodies are assigned to one of five ecological classes, based primarily on biological indicators, and that minimum good ecological quality is obtained by 2015. However, the directive provides only general guidance regarding indicator definitions and determination of boundaries between classes. 2. We used chemical and biological data from 709 Danish lakes to investigate whether and how lake types respond differently to eutrophication. In the absence of well-defined reference conditions, lakes were grouped according to alkalinity and water depth, and the responses to eutrophication were ordered along a total phosphorus (TP) gradient to test the applicability of pre-defined boundaries. 3. As a preliminary classification we suggest a TP-based classification into high, good, moderate, bad and poor ecological quality using 0-25, 25-50, 50-100, 100-200 and &gt; 200 μg P L-1 boundaries for shallow lakes, and 0-12·5, 12·5-25, 25-50, 50-100 and &gt; 100 μg P L-1 boundaries for deep lakes. Within each TP category, median values are used to define preliminary boundaries for the biological indicators. 4. Most indicators responded strongly to increasing TP, but there were only minor differences between low and high alkalinity lakes and modest variations between deep and shallow lakes. The variability of indicators within a given TP range was, however, high, and for most indicators there was a considerable overlap between adjacent TP categories. Cyanophyte biomass, submerged macrophyte coverage, fish numbers and chlorophyll a were among the 'best' indicators, but their ability to separate different TP classes varied with TP. 5. When using multiple indicators the risk that one or more indicators will indicate different ecological classes is high because of a high variability of all indicators within a specific TP class, and the 'one out - all out' principle in relation to indicators does not seem feasible. Alternatively a certain compliance level or a 'mean value' of the indicators can be used to define ecological classes. A precise ecological quality ratio (EQR) using values between 0 and 1 can be calculated based on the extent to which the total number of indicators meets the boundary conditions, as demonstrated from three Danish lakes. 6. Synthesis and applications. The analysis of Danish lakes has identified a number of useful indicators for lake quality and has suggested a method for calcula…","author":[{"dropping-particle":"","family":"Søndergaard","given":"Martin","non-dropping-particle":"","parse-names":false,"suffix":""},{"dropping-particle":"","family":"Jeppesen","given":"Erik","non-dropping-particle":"","parse-names":false,"suffix":""},{"dropping-particle":"","family":"Jensen","given":"Jens Peder","non-dropping-particle":"","parse-names":false,"suffix":""},{"dropping-particle":"","family":"Amsinck","given":"Susanne Lildal","non-dropping-particle":"","parse-names":false,"suffix":""}],"container-title":"Journal of Applied Ecology","id":"ITEM-1","issued":{"date-parts":[["2005"]]},"title":"Water Framework Directive: Ecological classification of Danish lakes","type":"article-journal"},"uris":["http://www.mendeley.com/documents/?uuid=b498fa1f-978e-41d3-a4b6-f48c17e0fa91"]},{"id":"ITEM-2","itemData":{"DOI":"10.1086/675447","ISSN":"21619565","abstract":"The European Union's Water Framework Directive (WFD) requires that all water bodies in Europe achieve good ecological status (GES) by 2015. We developed an ecological classification tool for UK lakes based on benthic diatoms, a key component of the biological-quality element macrophytes and phytobenthos. A database of 1079 epilithic and epiphytic diatom samples and matching environmental data was assembled from 228 UK lakes. The data set was divided into 3 lake types: low, medium, and high alkalinity. A lake trophic diatom index (LTDI) was developed based on modification of the trophic diatom index (TDI) for rivers, and ecological quality ratios (EQRs) were generated for each lake type. The high/good status boundary was defined as the 25th percentile of EQRs of all reference sites (identified based on independent sedimentary-diatomassemblage data or catchment point-source and landuse data), whereas the good/moderate boundary was set at the point at which nutrient-sensitive and nutrient-tolerant taxa were present in equal relative abundance. The moderate/poor and poor/bad boundaries were defined by equal division of the remaining EQR gradient. Samples from reference sites were used to predict the expected LTDI value for each sample, and these values were compared with the classifications derived from the LTDI. For lakes identified as reference sites, 68% were classified as having high status and 32% as having good. The model predicted 81% of nonreference lakes to have good or worse status. The model was applied to 17 English lakes (10 low- and 7 medium-alkalinity) for which classification based on other WFD tools was available. The classifications based on LTDI gave the same status (within 1 class) as other biological elements for 11 of the 17 lakes (65%). Thus, the LTDI gives a reliable assessment of the condition of the littoral biofilm and is a key component of a WFD-compliant tool kit for classifying UK standing waters. © 2014 by The Society for Freshwater Science.","author":[{"dropping-particle":"","family":"Bennion","given":"Helen","non-dropping-particle":"","parse-names":false,"suffix":""},{"dropping-particle":"","family":"Kelly","given":"Martyn G.","non-dropping-particle":"","parse-names":false,"suffix":""},{"dropping-particle":"","family":"Juggins","given":"Steve","non-dropping-particle":"","parse-names":false,"suffix":""},{"dropping-particle":"","family":"Yallop","given":"Marian L.","non-dropping-particle":"","parse-names":false,"suffix":""},{"dropping-particle":"","family":"Burgess","given":"Amy","non-dropping-particle":"","parse-names":false,"suffix":""},{"dropping-particle":"","family":"Jamieson","given":"Jane","non-dropping-particle":"","parse-names":false,"suffix":""},{"dropping-particle":"","family":"Krokowski","given":"Jan","non-dropping-particle":"","parse-names":false,"suffix":""}],"container-title":"Freshwater Science","id":"ITEM-2","issued":{"date-parts":[["2014"]]},"title":"Assessment of ecological status in UK lakes using benthic diatoms","type":"article-journal"},"uris":["http://www.mendeley.com/documents/?uuid=713e2eb4-4c1d-4ebb-8d63-fc88d3a334dc"]},{"id":"ITEM-3","itemData":{"DOI":"10.1007/s10452-008-9183-x","ISSN":"13862588","abstract":"Defining the overall ecological status of lakes according to the Water Framework Directive (WFD) is to be partially based on the species composition of the aquatic macrophyte community. We tested three assessment methods to define the ecological status of the macrophyte community in response to a eutrophication pressure as reflected by total phosphorus concentrations in lake water. An absolute species richness, a trophic index (TI) and a lake trophic ranking (LTR) method were tested at Europe-wide, regional and national scales as well as by alkalinity category, using data from 1,147 lakes from 12 European states. Total phosphorus data were used to represent the trophic status of individual samples and were plotted against the calculated TI and LTR values. Additionally, the LTR method was tested in some individual lakes with a relatively long time series of monitoring data. The TI correlated well with total P in the Northern European lake types, whereas the relationship in the Central European lake types was less clear. The relationship between total P and light extinction is often very good in the Northern European lake types compared to the Central European lake types. This can be one of the reasons for a better agreement between the indices and eutrophication pressure in the Northern European lake types. The response of individual lakes to changes in the abiotic environment was sometimes represented incorrectly by the indices used, which is a cause of concern for the use of single indices in status assessments in practice. © 2008 Springer Science+Business Media B.V.","author":[{"dropping-particle":"","family":"Penning","given":"W. Ellis","non-dropping-particle":"","parse-names":false,"suffix":""},{"dropping-particle":"","family":"Dudley","given":"Bernard","non-dropping-particle":"","parse-names":false,"suffix":""},{"dropping-particle":"","family":"Mjelde","given":"Marit","non-dropping-particle":"","parse-names":false,"suffix":""},{"dropping-particle":"","family":"Hellsten","given":"Seppo","non-dropping-particle":"","parse-names":false,"suffix":""},{"dropping-particle":"","family":"Hanganu","given":"Jenica","non-dropping-particle":"","parse-names":false,"suffix":""},{"dropping-particle":"","family":"Kolada","given":"Agnieszka","non-dropping-particle":"","parse-names":false,"suffix":""},{"dropping-particle":"","family":"Berg","given":"Marcel","non-dropping-particle":"Van Den","parse-names":false,"suffix":""},{"dropping-particle":"","family":"Poikane","given":"Sandra","non-dropping-particle":"","parse-names":false,"suffix":""},{"dropping-particle":"","family":"Phillips","given":"Geoff","non-dropping-particle":"","parse-names":false,"suffix":""},{"dropping-particle":"","family":"Willby","given":"Nigel","non-dropping-particle":"","parse-names":false,"suffix":""},{"dropping-particle":"","family":"Ecke","given":"Frauke","non-dropping-particle":"","parse-names":false,"suffix":""}],"container-title":"Aquatic Ecology","id":"ITEM-3","issued":{"date-parts":[["2008"]]},"title":"Using aquatic macrophyte community indices to define the ecological status of European lakes","type":"article-journal"},"uris":["http://www.mendeley.com/documents/?uuid=cf11e5c6-be76-4f2e-8768-6c9395ab9f87"]}],"mendeley":{"formattedCitation":"(Søndergaard, Jeppesen, Jensen, &amp; Amsinck, 2005; Penning et al., 2008; Bennion et al., 2014)","plainTextFormattedCitation":"(Søndergaard, Jeppesen, Jensen, &amp; Amsinck, 2005; Penning et al., 2008; Bennion et al., 2014)","previouslyFormattedCitation":"(Søndergaard, Jeppesen, Jensen, &amp; Amsinck, 2005; Penning et al., 2008; Bennion et al., 2014)"},"properties":{"noteIndex":0},"schema":"https://github.com/citation-style-language/schema/raw/master/csl-citation.json"}</w:instrText>
      </w:r>
      <w:r w:rsidR="0015013D">
        <w:rPr>
          <w:lang w:val="en-GB"/>
        </w:rPr>
        <w:fldChar w:fldCharType="separate"/>
      </w:r>
      <w:r w:rsidR="0015013D" w:rsidRPr="0015013D">
        <w:rPr>
          <w:noProof/>
          <w:lang w:val="en-GB"/>
        </w:rPr>
        <w:t>(Søndergaard, Jeppesen, Jensen, &amp; Amsinck, 2005; Penning et al., 2008; Bennion et al., 2014)</w:t>
      </w:r>
      <w:r w:rsidR="0015013D">
        <w:rPr>
          <w:lang w:val="en-GB"/>
        </w:rPr>
        <w:fldChar w:fldCharType="end"/>
      </w:r>
      <w:r w:rsidR="00063D2E" w:rsidRPr="00063D2E">
        <w:rPr>
          <w:lang w:val="en-GB"/>
        </w:rPr>
        <w:t>. The</w:t>
      </w:r>
      <w:r>
        <w:rPr>
          <w:lang w:val="en-GB"/>
        </w:rPr>
        <w:t>se</w:t>
      </w:r>
      <w:r w:rsidR="00063D2E" w:rsidRPr="00063D2E">
        <w:rPr>
          <w:lang w:val="en-GB"/>
        </w:rPr>
        <w:t xml:space="preserve"> are </w:t>
      </w:r>
      <w:r>
        <w:rPr>
          <w:lang w:val="en-GB"/>
        </w:rPr>
        <w:t xml:space="preserve">normally </w:t>
      </w:r>
      <w:r w:rsidR="00063D2E" w:rsidRPr="00063D2E">
        <w:rPr>
          <w:lang w:val="en-GB"/>
        </w:rPr>
        <w:t xml:space="preserve">based on the assessment of a set of component parameters to determine a consistent indicator of ecological fitness </w:t>
      </w:r>
      <w:r w:rsidR="0015013D">
        <w:rPr>
          <w:lang w:val="en-GB"/>
        </w:rPr>
        <w:fldChar w:fldCharType="begin" w:fldLock="1"/>
      </w:r>
      <w:r w:rsidR="0015013D">
        <w:rPr>
          <w:lang w:val="en-GB"/>
        </w:rPr>
        <w:instrText>ADDIN CSL_CITATION {"citationItems":[{"id":"ITEM-1","itemData":{"DOI":"10.1127/1863-9135/2009/0175-0203","ISSN":"18639135","abstract":"A new classification system compliant with the EU's Water Framework Directive (WFD) was employed to assess the ecological status of six small forest lakes differently affected by catchment forestry. The classification is based on metrics involving four biological quality elements (phytoplankton, aquatic macrophytes, benthic macroinvertebrates and fish) and their nationally defined reference and class boundary values. The classification evidence obtained from single metrics and quality elements, on the \"One-out, All-out\" principle, which establishes status according to the weakest measure, was compared with the integrated classification system used in the Finnish national status assessments. The national classification system harmonizes the individual measures by scoring and expresses overall status class as a median score across quality elements. In addition, because the amount of reference data for this lake type was limited, palaeolimnological analyses were conducted to determine lake-specific changes during past decades. The results demonstrated that individual metrics and quality elements may result in highly variable classifications, and consequently pessimistic ecological estimates, if the One-out, All-out principle is applied. It is concluded that the integration of evidence from multiple quality elements evens out their variability and results in more realistic status assessments in small humic boreal forest lakes. © E. Schweizerbart'sche Verlagsbuchhandlung 2009.","author":[{"dropping-particle":"","family":"Alahuhta","given":"Janne","non-dropping-particle":"","parse-names":false,"suffix":""},{"dropping-particle":"","family":"Vuori","given":"Kari Matti","non-dropping-particle":"","parse-names":false,"suffix":""},{"dropping-particle":"","family":"Hellsten","given":"Seppo","non-dropping-particle":"","parse-names":false,"suffix":""},{"dropping-particle":"","family":"Järvinen","given":"Marko","non-dropping-particle":"","parse-names":false,"suffix":""},{"dropping-particle":"","family":"Olin","given":"Mikko","non-dropping-particle":"","parse-names":false,"suffix":""},{"dropping-particle":"","family":"Rask","given":"Martti","non-dropping-particle":"","parse-names":false,"suffix":""},{"dropping-particle":"","family":"Palomäki","given":"Arja","non-dropping-particle":"","parse-names":false,"suffix":""}],"container-title":"Fundamental and Applied Limnology","id":"ITEM-1","issued":{"date-parts":[["2009"]]},"title":"Defining the ecological status of small forest lakes using multiple biological quality elements and palaeolimnological analysis","type":"article-journal"},"uris":["http://www.mendeley.com/documents/?uuid=a23bb7ed-4368-4cf9-bf54-5745ff2ce778"]},{"id":"ITEM-2","itemData":{"DOI":"10.1007/s10661-010-1473-9","ISSN":"01676369","PMID":"20449650","abstract":"The objective of this study was to use an integrative approach to assess the ecological status of a small river impacted by multiple sources of disturbance. The River Febros (NW Portugal) is a small and highly impacted non-regulated river; approximately 44% of the watershed area is dedicated to agriculture, but there is also some urbanization. Environmental status was evaluated using a new multi-index approach, combining quality indices for water (Water Quality Index (WQI)), benthic macroinvertebrates (Iberian Biological Monitoring Working Party Index (IBMWP)), and human modification (Riparian Forest Quality Index (QBR)); Ecological Status River Mediterranean Index (ECOSTRIMED); River Habitat Survey (RHS)). Surveys were carried out between October 2002 and 2003, along four stretches of the main course of the river for physicochemical characteristics, as well as water microbiology and macroinvertebrates. Water quality was poor at all sites (WQI averaged 30.4%) and decreased downstream. The RHS (assessment of instream habitats and the river corridor) and the QBR quantification displayed the same trend. Macroinvertebrates diversity was permanently low with only the most tolerant insects taxa present; oligochaetes dominated. The ecological status of River Febros was well represented using the experimental assessment system, where a downstream decrease in condition was noticeable (in spite of a lower water quality upstream). Our results emphasize the importance of assessing several components of disturbed ecosystems in order to ascertain overall quality and the importance of promoting improvement of the riparian gallery as a buffer against multiple agents of disturbance. © 2010 Springer Science+Business Media B.V.","author":[{"dropping-particle":"","family":"Carvalho","given":"Liliana","non-dropping-particle":"","parse-names":false,"suffix":""},{"dropping-particle":"","family":"Cortes","given":"Rui","non-dropping-particle":"","parse-names":false,"suffix":""},{"dropping-particle":"","family":"Bordalo","given":"Adriano A.","non-dropping-particle":"","parse-names":false,"suffix":""}],"container-title":"Environmental Monitoring and Assessment","id":"ITEM-2","issued":{"date-parts":[["2011"]]},"title":"Evaluation of the ecological status of an impaired watershed by using a multi-index approach","type":"paper-conference"},"uris":["http://www.mendeley.com/documents/?uuid=6d4f1018-3c6e-4089-b716-65068160f7d0"]}],"mendeley":{"formattedCitation":"(Alahuhta et al., 2009; Carvalho, Cortes, &amp; Bordalo, 2011)","plainTextFormattedCitation":"(Alahuhta et al., 2009; Carvalho, Cortes, &amp; Bordalo, 2011)","previouslyFormattedCitation":"(Alahuhta et al., 2009; Carvalho, Cortes, &amp; Bordalo, 2011)"},"properties":{"noteIndex":0},"schema":"https://github.com/citation-style-language/schema/raw/master/csl-citation.json"}</w:instrText>
      </w:r>
      <w:r w:rsidR="0015013D">
        <w:rPr>
          <w:lang w:val="en-GB"/>
        </w:rPr>
        <w:fldChar w:fldCharType="separate"/>
      </w:r>
      <w:r w:rsidR="0015013D" w:rsidRPr="0015013D">
        <w:rPr>
          <w:noProof/>
          <w:lang w:val="en-GB"/>
        </w:rPr>
        <w:t>(Alahuhta et al., 2009; Carvalho, Cortes, &amp; Bordalo, 2011)</w:t>
      </w:r>
      <w:r w:rsidR="0015013D">
        <w:rPr>
          <w:lang w:val="en-GB"/>
        </w:rPr>
        <w:fldChar w:fldCharType="end"/>
      </w:r>
      <w:r w:rsidR="00063D2E" w:rsidRPr="00063D2E">
        <w:rPr>
          <w:lang w:val="en-GB"/>
        </w:rPr>
        <w:t xml:space="preserve">. </w:t>
      </w:r>
      <w:r>
        <w:rPr>
          <w:lang w:val="en-GB"/>
        </w:rPr>
        <w:t>In this context, o</w:t>
      </w:r>
      <w:r w:rsidR="00063D2E" w:rsidRPr="00063D2E">
        <w:rPr>
          <w:lang w:val="en-GB"/>
        </w:rPr>
        <w:t xml:space="preserve">ne of the challenges is the need to systematize the methodologies for analysis and assessment of conditions within reproducible models, functioning as frameworks for conducting informative prognostic research </w:t>
      </w:r>
      <w:r w:rsidR="0015013D">
        <w:rPr>
          <w:lang w:val="en-GB"/>
        </w:rPr>
        <w:fldChar w:fldCharType="begin" w:fldLock="1"/>
      </w:r>
      <w:r w:rsidR="00034705">
        <w:rPr>
          <w:lang w:val="en-GB"/>
        </w:rPr>
        <w:instrText>ADDIN CSL_CITATION {"citationItems":[{"id":"ITEM-1","itemData":{"DOI":"10.1002/eap.1822","ISSN":"19395582","PMID":"30362295","abstract":"Reproducibility is a key tenet of the scientific process that dictates the reliability and generality of results and methods. The complexities of ecological observations and data present novel challenges in satisfying needs for reproducibility and also transparency. Ecological systems are dynamic and heterogeneous, interacting with numerous factors that sculpt natural history and that investigators cannot completely control. Observations may be highly dependent on spatial and temporal context, making them very difficult to reproduce, but computational reproducibility can still be achieved. Computational reproducibility often refers to the ability to produce equivalent analytical outcomes from the same data set using the same code and software as the original study. When coded workflows are shared, authors and editors provide transparency for readers and allow other researchers to build directly and efficiently on primary work. These qualities may be especially important in ecological applications that have important or controversial implications for science, management, and policy. Expectations for computational reproducibility and transparency are shifting rapidly in the sciences. In this work, we highlight many of the unique challenges for ecology along with practical guidelines for reproducibility and transparency, as ecologists continue to participate in the stewardship of critical environmental information and ensure that research methods demonstrate integrity.","author":[{"dropping-particle":"","family":"Powers","given":"Stephen M.","non-dropping-particle":"","parse-names":false,"suffix":""},{"dropping-particle":"","family":"Hampton","given":"Stephanie E.","non-dropping-particle":"","parse-names":false,"suffix":""}],"container-title":"Ecological Applications","id":"ITEM-1","issued":{"date-parts":[["2019"]]},"title":"Open science, reproducibility, and transparency in ecology","type":"article-journal"},"uris":["http://www.mendeley.com/documents/?uuid=bdd0c99e-8bff-445a-9a4b-eb51eb57c210"]},{"id":"ITEM-2","itemData":{"DOI":"10.1007/s11858-009-0177-5","abstract":"The way we do science is changing — data are getting bigger, analyses are getting more complex, and governments, funding agencies and the scientific method itself demand more transparency and accountability in research. One way to deal with these changes is to make our research more reproducible, especially our code. Although most of us now write code to perform our analyses, it is often not very reproducible. We have all come back to a piece of work we have not looked at for a while and had no idea what our code was doing or which of the many \"final_ analysis\" scripts truly was the final analysis! Unfortunately, the number of tools for reproducibility and all the jargon can leave new users feeling overwhelmed, with no idea how to start making their code more reproducible. So, we have put together this guide to help.","author":[{"dropping-particle":"","family":"Society","given":"British Ecological","non-dropping-particle":"","parse-names":false,"suffix":""}],"container-title":"BES Guides to Better Science","id":"ITEM-2","issued":{"date-parts":[["2017"]]},"title":"A guide to reproducible code in ecology and evolution","type":"article-journal"},"uris":["http://www.mendeley.com/documents/?uuid=c28ac866-323c-4551-be2e-b33388af9ed5"]},{"id":"ITEM-3","itemData":{"DOI":"10.7287/peerj.preprints.549v1","ISBN":"6176367670","ISSN":"2167-9843","abstract":"The field of ecology is poised to take advantage of emerging technologies that facilitate the gathering, analyzing, and sharing of data, methods, and results. The concept of transparency at all stages of the research process, coupled with free and open access to data, code, and papers, constitutes \"open science.\" Despite the many benefits of an open approach to science, a number of barriers to entry exist that may prevent researchers from embracing openness in their own work. Here we describe several key shifts in mindset that underpin the transition to more open science. These shifts in mindset include thinking about data stewardship rather than data ownership, embracing transparency throughout the data life-cycle and project duration, and accepting critique in public. Though foreign and perhaps frightening at first, these changes in thinking stand to benefit the field of ecology by fostering collegiality and broadening access to data and findings. We present an overview of tools and best practices that can enable these shifts in mindset at each stage of the research process, including tools to support data management planning and reproducible analyses, strategies for soliciting constructive feedback throughout the research process, and methods of broadening access to final research products.","author":[{"dropping-particle":"","family":"Hampton","given":"S E","non-dropping-particle":"","parse-names":false,"suffix":""},{"dropping-particle":"","family":"Anderson","given":"S","non-dropping-particle":"","parse-names":false,"suffix":""},{"dropping-particle":"","family":"Bagby","given":"S C","non-dropping-particle":"","parse-names":false,"suffix":""},{"dropping-particle":"","family":"Gries","given":"C","non-dropping-particle":"","parse-names":false,"suffix":""}],"container-title":"PeerJ PrePrints","id":"ITEM-3","issued":{"date-parts":[["2014"]]},"title":"The Tao of Open Science for Ecology","type":"article-journal"},"uris":["http://www.mendeley.com/documents/?uuid=a66fe500-81b1-44c5-b442-5c362f28fd8c"]},{"id":"ITEM-4","itemData":{"DOI":"10.1111/2041-210X.13288","ISSN":"2041210X","abstract":"Trait-based approaches are widespread throughout ecological research as they offer great potential to achieve a general understanding of a wide range of ecological and evolutionary mechanisms. Accordingly, a wealth of trait data is available for many organism groups, but this data is underexploited due to a lack of standardization and heterogeneity in data formats and definitions. We review current initiatives and structures developed for standardizing trait data and discuss the importance of standardization for trait data hosted in distributed open-access repositories. In order to facilitate the standardization and harmonization of distributed trait datasets by data providers and data users, we propose a standardized vocabulary that can be used for storing and sharing ecological trait data. We discuss potential incentives and challenges for the wide adoption of such a standard by data providers. The use of a standard vocabulary allows for trait datasets from heterogeneous sources to be aggregated more easily into compilations and facilitates the creation of interfaces between software tools for trait-data handling and analysis. By aiding decentralized trait-data standardization, our vocabulary may ease data integration and use of trait data for a broader ecological research community and enable global syntheses across a wide range of taxa and ecosystems.","author":[{"dropping-particle":"","family":"Schneider","given":"Florian D.","non-dropping-particle":"","parse-names":false,"suffix":""},{"dropping-particle":"","family":"Fichtmueller","given":"David","non-dropping-particle":"","parse-names":false,"suffix":""},{"dropping-particle":"","family":"Gossner","given":"Martin M.","non-dropping-particle":"","parse-names":false,"suffix":""},{"dropping-particle":"","family":"Güntsch","given":"Anton","non-dropping-particle":"","parse-names":false,"suffix":""},{"dropping-particle":"","family":"Jochum","given":"Malte","non-dropping-particle":"","parse-names":false,"suffix":""},{"dropping-particle":"","family":"König-Ries","given":"Birgitta","non-dropping-particle":"","parse-names":false,"suffix":""},{"dropping-particle":"","family":"Provost","given":"Gaëtane","non-dropping-particle":"Le","parse-names":false,"suffix":""},{"dropping-particle":"","family":"Manning","given":"Peter","non-dropping-particle":"","parse-names":false,"suffix":""},{"dropping-particle":"","family":"Ostrowski","given":"Andreas","non-dropping-particle":"","parse-names":false,"suffix":""},{"dropping-particle":"","family":"Penone","given":"Caterina","non-dropping-particle":"","parse-names":false,"suffix":""},{"dropping-particle":"","family":"Simons","given":"Nadja K.","non-dropping-particle":"","parse-names":false,"suffix":""}],"container-title":"Methods in Ecology and Evolution","id":"ITEM-4","issued":{"date-parts":[["2019"]]},"title":"Towards an ecological trait-data standard","type":"article"},"uris":["http://www.mendeley.com/documents/?uuid=e0fdb77b-b9b9-4c2c-be26-e3647db1f1dc"]}],"mendeley":{"formattedCitation":"(Hampton, Anderson, Bagby, &amp; Gries, 2014; Society, 2017; Powers &amp; Hampton, 2019; Schneider et al., 2019)","plainTextFormattedCitation":"(Hampton, Anderson, Bagby, &amp; Gries, 2014; Society, 2017; Powers &amp; Hampton, 2019; Schneider et al., 2019)","previouslyFormattedCitation":"(Hampton, Anderson, Bagby, &amp; Gries, 2014; Society, 2017; Powers &amp; Hampton, 2019; Schneider et al., 2019)"},"properties":{"noteIndex":0},"schema":"https://github.com/citation-style-language/schema/raw/master/csl-citation.json"}</w:instrText>
      </w:r>
      <w:r w:rsidR="0015013D">
        <w:rPr>
          <w:lang w:val="en-GB"/>
        </w:rPr>
        <w:fldChar w:fldCharType="separate"/>
      </w:r>
      <w:r w:rsidR="00034705" w:rsidRPr="00034705">
        <w:rPr>
          <w:noProof/>
          <w:lang w:val="en-GB"/>
        </w:rPr>
        <w:t>(Hampton, Anderson, Bagby, &amp; Gries, 2014; Society, 2017; Powers &amp; Hampton, 2019; Schneider et al., 2019)</w:t>
      </w:r>
      <w:r w:rsidR="0015013D">
        <w:rPr>
          <w:lang w:val="en-GB"/>
        </w:rPr>
        <w:fldChar w:fldCharType="end"/>
      </w:r>
      <w:r w:rsidR="00063D2E" w:rsidRPr="00063D2E">
        <w:rPr>
          <w:lang w:val="en-GB"/>
        </w:rPr>
        <w:t>. Th</w:t>
      </w:r>
      <w:r>
        <w:rPr>
          <w:lang w:val="en-GB"/>
        </w:rPr>
        <w:t>is</w:t>
      </w:r>
      <w:r w:rsidR="00063D2E" w:rsidRPr="00063D2E">
        <w:rPr>
          <w:lang w:val="en-GB"/>
        </w:rPr>
        <w:t xml:space="preserve"> structuring creates a possibility f</w:t>
      </w:r>
      <w:r>
        <w:rPr>
          <w:lang w:val="en-GB"/>
        </w:rPr>
        <w:t>or</w:t>
      </w:r>
      <w:r w:rsidR="00063D2E" w:rsidRPr="00063D2E">
        <w:rPr>
          <w:lang w:val="en-GB"/>
        </w:rPr>
        <w:t xml:space="preserve"> conducting analy</w:t>
      </w:r>
      <w:r>
        <w:rPr>
          <w:lang w:val="en-GB"/>
        </w:rPr>
        <w:t>s</w:t>
      </w:r>
      <w:r w:rsidR="00063D2E" w:rsidRPr="00063D2E">
        <w:rPr>
          <w:lang w:val="en-GB"/>
        </w:rPr>
        <w:t>es linking the ecological status of ecosystems with climate change models, for example</w:t>
      </w:r>
      <w:r w:rsidR="00063D2E">
        <w:rPr>
          <w:lang w:val="en-GB"/>
        </w:rPr>
        <w:t>,</w:t>
      </w:r>
      <w:r w:rsidR="00063D2E" w:rsidRPr="00063D2E">
        <w:rPr>
          <w:lang w:val="en-GB"/>
        </w:rPr>
        <w:t xml:space="preserve"> through statistical downscaling </w:t>
      </w:r>
      <w:r w:rsidR="00034705">
        <w:rPr>
          <w:lang w:val="en-GB"/>
        </w:rPr>
        <w:fldChar w:fldCharType="begin" w:fldLock="1"/>
      </w:r>
      <w:r w:rsidR="00034705">
        <w:rPr>
          <w:lang w:val="en-GB"/>
        </w:rPr>
        <w:instrText>ADDIN CSL_CITATION {"citationItems":[{"id":"ITEM-1","itemData":{"DOI":"10.1186/2192-1709-1-2","ISSN":"21921709","abstract":"Introduction: Evaluating the environmental impacts of climate change on water resources and biological components of the landscape is an integral part of hydrologic and ecological investigations, and the resultant land and resource management in the twenty-first century. Impacts of both climate and simulated hydrologic parameters on ecological processes are relevant at scales that reflect the heterogeneity and complexity of landscapes. At present, simulations of climate change available from global climate models [GCMs] require downscaling for hydrologic or ecological applications. Methods: Using statistically downscaled future climate projections developed using constructed analogues, a methodology was developed to further downscale the projections spatially using a gradient-inverse-distance-squared approach for application to hydrologic modeling at 270-m spatial resolution. Results: This paper illustrates a methodology to downscale and bias-correct national GCMs to subkilometer scales that are applicable to fine-scale environmental processes. Four scenarios were chosen to bracket the range of future emissions put forth by the Intergovernmental Panel on Climate Change. Fine-scale applications of downscaled datasets of ecological and hydrologic correlations to variation in climate are illustrated. Conclusions: The methodology, which includes a sequence of rigorous analyses and calculations, is intended to reduce the addition of uncertainty to the climate data as a result of the downscaling while providing the fine-scale climate information necessary for ecological analyses. It results in new but consistent data sets for the US at 4 km, the southwest US at 270 m, and California at 90 m and illustrates the utility of fine-scale downscaling to analyses of ecological processes influenced by topographic complexity. © 2012 Flint and Flint.","author":[{"dropping-particle":"","family":"Flint","given":"Lorraine E.","non-dropping-particle":"","parse-names":false,"suffix":""},{"dropping-particle":"","family":"Flint","given":"Alan L.","non-dropping-particle":"","parse-names":false,"suffix":""}],"container-title":"Ecological Processes","id":"ITEM-1","issued":{"date-parts":[["2012"]]},"title":"Downscaling future climate scenarios to fine scales for hydrologic and ecological modeling and analysis","type":"article-journal"},"uris":["http://www.mendeley.com/documents/?uuid=4290c7cb-630f-480f-8048-61f7acfc64bb"]},{"id":"ITEM-2","itemData":{"DOI":"10.1890/13-0805.1","ISSN":"10510761","abstract":"We introduce a method that enables the estimation of species richness-environment association and prediction of geographic patterns of species richness at grains finer than the original grain of observation. The method is based on a hierarchical model that uses coarse-grain values of species richness and fine-grain environmental data as input. In the model, the (unobserved) fine-grain species richness is linked to the observed fine-grain environment and upscaled using a simple species-area relationship (SAR). The upscaled values are then stochastically linked to the observed coarse-grain species richness. We tested the method on Southern African Bird Atlas data by downscaling richness from 2̊ to 0.25̊ (</w:instrText>
      </w:r>
      <w:r w:rsidR="00034705">
        <w:rPr>
          <w:rFonts w:ascii="Cambria Math" w:hAnsi="Cambria Math" w:cs="Cambria Math"/>
          <w:lang w:val="en-GB"/>
        </w:rPr>
        <w:instrText>∼</w:instrText>
      </w:r>
      <w:r w:rsidR="00034705">
        <w:rPr>
          <w:lang w:val="en-GB"/>
        </w:rPr>
        <w:instrText xml:space="preserve">250 km to </w:instrText>
      </w:r>
      <w:r w:rsidR="00034705">
        <w:rPr>
          <w:rFonts w:ascii="Cambria Math" w:hAnsi="Cambria Math" w:cs="Cambria Math"/>
          <w:lang w:val="en-GB"/>
        </w:rPr>
        <w:instrText>∼</w:instrText>
      </w:r>
      <w:r w:rsidR="00034705">
        <w:rPr>
          <w:lang w:val="en-GB"/>
        </w:rPr>
        <w:instrText>30 km) resolution. When prior knowledge of the SAR slope (average species turnover within coarse-grain cells) was available, the method predicted the fine-grain relationship between richness and environment and provided fine-grain predictions of richness that closely resembled results from native fine-grain models. Without the SAR knowledge the method still accurately quantified the richness-environment relationship, but accurately predicted only relative (rank) values of richness. The approach can be easily extended and it is a powerful path for cross-scale statistical modeling of richness-environment relationships, and for the provision of high-resolution maps for basic science and conservation.© 2014 by the Ecological Society of America.","author":[{"dropping-particle":"","family":"Keil","given":"Petr","non-dropping-particle":"","parse-names":false,"suffix":""},{"dropping-particle":"","family":"Jetz","given":"Walter","non-dropping-particle":"","parse-names":false,"suffix":""}],"container-title":"Ecological Applications","id":"ITEM-2","issued":{"date-parts":[["2014"]]},"title":"Downscaling the environmental associations and spatial patterns of species richness","type":"article-journal"},"uris":["http://www.mendeley.com/documents/?uuid=62b40676-3e91-48bc-88f5-72ac981c8fe4"]},{"id":"ITEM-3","itemData":{"DOI":"10.1016/j.envsoft.2017.06.016","ISSN":"13648152","abstract":"Assessments of climate change impacts on freshwater ecosystems are generally based on global climate models (GCMs) and ecologically relevant “time-averaged” hydrological indicators derived from long-term records. Although uncertainties from GCMs have been recognized, the influence of downscaling methods remains unclear. This paper evaluates the influence of applying different downscaling methods of increasing complexity (annual scaling, monthly scaling, quantile scaling, and weather generator method) on the assessment of ecological outcomes. In addition to time-averaged indicators, “sequence-dependent” metrics which involve ecological dynamics by considering the impacts of flow sequencing are also adopted. In a case study in Australia, the condition of river red gum forest was assessed. Results show that the choice of downscaling methods can be of similar importance as that of GCMs in ecological impact studies. Where sequence-dependent metrics are adopted, more sophisticated downscaling techniques should be used to better represent changes in the frequency and sequence of flow events.","author":[{"dropping-particle":"","family":"Wang","given":"Jun","non-dropping-particle":"","parse-names":false,"suffix":""},{"dropping-particle":"","family":"Nathan","given":"Rory","non-dropping-particle":"","parse-names":false,"suffix":""},{"dropping-particle":"","family":"Horne","given":"Avril","non-dropping-particle":"","parse-names":false,"suffix":""},{"dropping-particle":"","family":"Peel","given":"Murray C.","non-dropping-particle":"","parse-names":false,"suffix":""},{"dropping-particle":"","family":"Wei","given":"Yongping","non-dropping-particle":"","parse-names":false,"suffix":""},{"dropping-particle":"","family":"Langford","given":"John","non-dropping-particle":"","parse-names":false,"suffix":""}],"container-title":"Environmental Modelling and Software","id":"ITEM-3","issued":{"date-parts":[["2017"]]},"title":"Evaluating four downscaling methods for assessment of climate change impact on ecological indicators","type":"article-journal"},"uris":["http://www.mendeley.com/documents/?uuid=bb5b8a97-5b1b-485d-b25a-5131305579d0"]}],"mendeley":{"formattedCitation":"(Flint &amp; Flint, 2012; Keil &amp; Jetz, 2014; Wang et al., 2017)","plainTextFormattedCitation":"(Flint &amp; Flint, 2012; Keil &amp; Jetz, 2014; Wang et al., 2017)","previouslyFormattedCitation":"(Flint &amp; Flint, 2012; Keil &amp; Jetz, 2014; Wang et al., 2017)"},"properties":{"noteIndex":0},"schema":"https://github.com/citation-style-language/schema/raw/master/csl-citation.json"}</w:instrText>
      </w:r>
      <w:r w:rsidR="00034705">
        <w:rPr>
          <w:lang w:val="en-GB"/>
        </w:rPr>
        <w:fldChar w:fldCharType="separate"/>
      </w:r>
      <w:r w:rsidR="00034705" w:rsidRPr="00034705">
        <w:rPr>
          <w:noProof/>
          <w:lang w:val="en-GB"/>
        </w:rPr>
        <w:t>(Flint &amp; Flint, 2012; Keil &amp; Jetz, 2014; Wang et al., 2017)</w:t>
      </w:r>
      <w:r w:rsidR="00034705">
        <w:rPr>
          <w:lang w:val="en-GB"/>
        </w:rPr>
        <w:fldChar w:fldCharType="end"/>
      </w:r>
      <w:r w:rsidR="00063D2E" w:rsidRPr="00063D2E">
        <w:rPr>
          <w:lang w:val="en-GB"/>
        </w:rPr>
        <w:t>. Moreover, in order to achieve robust results</w:t>
      </w:r>
      <w:r w:rsidR="00896DDA">
        <w:rPr>
          <w:lang w:val="en-GB"/>
        </w:rPr>
        <w:t>,</w:t>
      </w:r>
      <w:r w:rsidR="00063D2E" w:rsidRPr="00063D2E">
        <w:rPr>
          <w:lang w:val="en-GB"/>
        </w:rPr>
        <w:t xml:space="preserve"> model ensembling allows for optimal use of the latest models in the field of applied ecosystems ecology </w:t>
      </w:r>
      <w:r w:rsidR="00034705">
        <w:rPr>
          <w:lang w:val="en-GB"/>
        </w:rPr>
        <w:fldChar w:fldCharType="begin" w:fldLock="1"/>
      </w:r>
      <w:r w:rsidR="005B6D79">
        <w:rPr>
          <w:lang w:val="en-GB"/>
        </w:rPr>
        <w:instrText>ADDIN CSL_CITATION {"citationItems":[{"id":"ITEM-1","itemData":{"DOI":"10.1111/2041-210X.12703","ISSN":"2041210X","abstract":"Ecosystem-based management requires predictive models of ecosystem dynamics. There are typically insufficient empirical data available to parameterise these complex models, and so decision-makers commonly rely on beliefs elicited from experts. However, such expert beliefs are necessarily limited because (i) only a small proportion of ecosystem components and dynamics have been observed; (ii) uncertainty about ecosystem dynamics can result in contradictory expert judgements and (iii) elicitation time and resources are limited. We use an ensemble of dynamic ecosystem models to extrapolate a limited set of stated expert beliefs into a wider range of revealed beliefs about how the ecosystem will respond to perturbations and management. Importantly, the method captures the expert uncertainty and propagates it through to predictions. We demonstrate this process and its potential value by applying it to the conservation of the threatened malleefowl (Leipoa ocellata) in the Murray mallee ecosystems of southern Australia. In two workshops, we asked experts to construct a qualitative ecosystem interaction network and to describe their beliefs about how the ecosystem will respond to particular perturbations. We used this information to constrain an ensemble of 109 community models, leaving a subset that could reproduce stated expert beliefs. We then interrogated this ensemble of models to reveal experts’ implicit beliefs about management scenarios that were not a part of the initial elicitation exercises. Our method uses straightforward questions to efficiently elicit expert beliefs, and then applies a flexible modelling approach to reveal those experts’ beliefs about the dynamics of the entire ecosystem. It allows rapid planning of ecosystem-based management informed by expert judgement, and provides a basis for value-of-information analyses and adaptive management.","author":[{"dropping-particle":"","family":"Bode","given":"Michael","non-dropping-particle":"","parse-names":false,"suffix":""},{"dropping-particle":"","family":"Baker","given":"Christopher M.","non-dropping-particle":"","parse-names":false,"suffix":""},{"dropping-particle":"","family":"Benshemesh","given":"Joe","non-dropping-particle":"","parse-names":false,"suffix":""},{"dropping-particle":"","family":"Burnard","given":"Tim","non-dropping-particle":"","parse-names":false,"suffix":""},{"dropping-particle":"","family":"Rumpff","given":"Libby","non-dropping-particle":"","parse-names":false,"suffix":""},{"dropping-particle":"","family":"Hauser","given":"Cindy E.","non-dropping-particle":"","parse-names":false,"suffix":""},{"dropping-particle":"","family":"Lahoz-Monfort","given":"José J.","non-dropping-particle":"","parse-names":false,"suffix":""},{"dropping-particle":"","family":"Wintle","given":"Brendan A.","non-dropping-particle":"","parse-names":false,"suffix":""}],"container-title":"Methods in Ecology and Evolution","id":"ITEM-1","issued":{"date-parts":[["2017"]]},"title":"Revealing beliefs: using ensemble ecosystem modelling to extrapolate expert beliefs to novel ecological scenarios","type":"article-journal"},"uris":["http://www.mendeley.com/documents/?uuid=5712f281-72e4-4dd7-ba0b-c81e2fc1496d"]},{"id":"ITEM-2","itemData":{"DOI":"10.1890/10-1047.1","ISSN":"10510761","PMID":"21939060","abstract":"Selection of a modeling approach is an important step in the conservation planning process, but little guidance is available. We compared two statistical and three theoretical habitat modeling approaches representing those currently being used for avian conservation planning at landscape and regional scales: hierarchical spatial count (HSC), classification and regression tree (CRT), habitat suitability index (HSI), forest structure database (FS), and habitat association database (HA). We focused our comparison on models for five priority forest-breeding species in the Central Hardwoods Bird Conservation Region: Acadian Flycatcher, Cerulean Warbler, Prairie Warbler, Red-headed Woodpecker, and Worm-eating Warbler. Lacking complete knowledge on the distribution and abundance of each species with which we could illuminate differences between approaches and provide strong grounds for recommending one approach over another, we used two approaches to compare models: rank correlations among model outputs and comparison of spatial correspondence. In general, rank correlations were significantly positive among models for each species, indicating general agreement among the models. Worm-eating Warblers had the highest pairwise correlations, all of which were significant (P &lt; 0.05). Red-headed Woodpeckers had the lowest agreement among models, suggesting greater uncertainty in the relative conservation value of areas within the region. We assessed model uncertainty by mapping the spatial congruence in priorities (i.e., top ranks) resulting from each model for each species and calculating the coefficient of variation across model ranks for each location. This allowed identification of areas more likely to be good targets of conservation effort for a species, those areas that were least likely, and those in between where uncertainty is higher and thus conservation action incorporates more risk. Based on our results, models developed independently for the same purpose (conservation planning for a particular species in a particular geography) yield different answers and thus different conservation strategies. We assert that using only one habitat model (even if validated) as the foundation of a conservation plan is risky. Using multiple models (i.e., ensemble prediction) can reduce uncertainty and increase efficacy of conservation action when models corroborate one another and increase understanding of the system when they do not. © 2011 by the Ecological Society of Am…","author":[{"dropping-particle":"","family":"Jones-Farrand","given":"D. Todd","non-dropping-particle":"","parse-names":false,"suffix":""},{"dropping-particle":"","family":"Fearer","given":"Todd M.","non-dropping-particle":"","parse-names":false,"suffix":""},{"dropping-particle":"","family":"Thogmartin","given":"Wayne E.","non-dropping-particle":"","parse-names":false,"suffix":""},{"dropping-particle":"","family":"Thompson","given":"Frank R.","non-dropping-particle":"","parse-names":false,"suffix":""},{"dropping-particle":"","family":"Nelson","given":"Mark D.","non-dropping-particle":"","parse-names":false,"suffix":""},{"dropping-particle":"","family":"Tirpak","given":"John M.","non-dropping-particle":"","parse-names":false,"suffix":""}],"container-title":"Ecological Applications","id":"ITEM-2","issued":{"date-parts":[["2011"]]},"title":"Comparison of statistical and theoretical habitat models for conservation planning: The benefit of ensemble prediction","type":"article"},"uris":["http://www.mendeley.com/documents/?uuid=618d4b30-1242-4677-a1f9-3531f7a6788b"]}],"mendeley":{"formattedCitation":"(Jones-Farrand et al., 2011; Bode et al., 2017)","plainTextFormattedCitation":"(Jones-Farrand et al., 2011; Bode et al., 2017)","previouslyFormattedCitation":"(Jones-Farrand et al., 2011; Bode et al., 2017)"},"properties":{"noteIndex":0},"schema":"https://github.com/citation-style-language/schema/raw/master/csl-citation.json"}</w:instrText>
      </w:r>
      <w:r w:rsidR="00034705">
        <w:rPr>
          <w:lang w:val="en-GB"/>
        </w:rPr>
        <w:fldChar w:fldCharType="separate"/>
      </w:r>
      <w:r w:rsidR="00034705" w:rsidRPr="00034705">
        <w:rPr>
          <w:noProof/>
          <w:lang w:val="en-GB"/>
        </w:rPr>
        <w:t>(Jones-Farrand et al., 2011; Bode et al., 2017)</w:t>
      </w:r>
      <w:r w:rsidR="00034705">
        <w:rPr>
          <w:lang w:val="en-GB"/>
        </w:rPr>
        <w:fldChar w:fldCharType="end"/>
      </w:r>
      <w:r w:rsidR="00063D2E" w:rsidRPr="00063D2E">
        <w:rPr>
          <w:lang w:val="en-GB"/>
        </w:rPr>
        <w:t xml:space="preserve">. </w:t>
      </w:r>
    </w:p>
    <w:p w14:paraId="5189F97E" w14:textId="04E27B9D" w:rsidR="0045490D" w:rsidRDefault="00063D2E" w:rsidP="0045490D">
      <w:pPr>
        <w:spacing w:after="0"/>
        <w:ind w:firstLine="708"/>
        <w:jc w:val="both"/>
        <w:rPr>
          <w:lang w:val="en-GB"/>
        </w:rPr>
      </w:pPr>
      <w:r w:rsidRPr="00063D2E">
        <w:rPr>
          <w:lang w:val="en-GB"/>
        </w:rPr>
        <w:t>Currently, within the European Union, systematics originating from the Water Framework Directive 2000/60/EC (WFD) operate in the field of aquatic ecosystems</w:t>
      </w:r>
      <w:r w:rsidR="005B6D79">
        <w:rPr>
          <w:lang w:val="en-GB"/>
        </w:rPr>
        <w:t xml:space="preserve"> </w:t>
      </w:r>
      <w:r w:rsidR="005B6D79">
        <w:rPr>
          <w:lang w:val="en-GB"/>
        </w:rPr>
        <w:fldChar w:fldCharType="begin" w:fldLock="1"/>
      </w:r>
      <w:r w:rsidR="005B6D79">
        <w:rPr>
          <w:lang w:val="en-GB"/>
        </w:rPr>
        <w:instrText>ADDIN CSL_CITATION {"citationItems":[{"id":"ITEM-1","itemData":{"DOI":"10.1016/j.envsci.2016.04.008","ISSN":"18736416","abstract":"Ecosystem service concepts can offer a valuable approach for linking human and nature, and arguments for the conservation and restoration of natural ecosystems. Despite an increasing interest in the topic, the application of these concepts for water resource management has been hampered by the lack of practical definitions and methodologies. In this study we review and analyse the current literature and propose an approach for assessing and valuing ecosystem services in the context of water management. In particular, to study the link between multiple pressures, ecological status and delivery of ecosystem services in aquatic ecosystems under different scenarios of measures or future changes. This is of interest for the development of River Basin Management Plans under the EU Water Framework Directive. We provide a list of proxies/indicators of natural capacity, actual flow and social benefit for the biophysical assessment of the ecosystem services. We advocate the use of indicators of sustainability, combining information on capacity and flow of services. We also suggest methods for economic valuation of aquatic ecosystem for each service and spatial scale of application. We argue that biophysical assessment and economic valuation should be conducted jointly to account for the different values of ecosystem services (ecologic, social and economic) and to strengthen the recognition of human dependency on nature. The proposed approach can be used for assessing the benefits of conservation and restoration of aquatic ecosystems in the implementation of the EU water policy.","author":[{"dropping-particle":"","family":"Grizzetti","given":"B.","non-dropping-particle":"","parse-names":false,"suffix":""},{"dropping-particle":"","family":"Lanzanova","given":"D.","non-dropping-particle":"","parse-names":false,"suffix":""},{"dropping-particle":"","family":"Liquete","given":"C.","non-dropping-particle":"","parse-names":false,"suffix":""},{"dropping-particle":"","family":"Reynaud","given":"A.","non-dropping-particle":"","parse-names":false,"suffix":""},{"dropping-particle":"","family":"Cardoso","given":"A. C.","non-dropping-particle":"","parse-names":false,"suffix":""}],"container-title":"Environmental Science and Policy","id":"ITEM-1","issued":{"date-parts":[["2016"]]},"title":"Assessing water ecosystem services for water resource management","type":"article-journal"},"uris":["http://www.mendeley.com/documents/?uuid=b6c0e1f7-4395-4831-8600-869c625cb22d"]}],"mendeley":{"formattedCitation":"(Grizzetti, Lanzanova, Liquete, Reynaud, &amp; Cardoso, 2016)","plainTextFormattedCitation":"(Grizzetti, Lanzanova, Liquete, Reynaud, &amp; Cardoso, 2016)","previouslyFormattedCitation":"(Grizzetti, Lanzanova, Liquete, Reynaud, &amp; Cardoso, 2016)"},"properties":{"noteIndex":0},"schema":"https://github.com/citation-style-language/schema/raw/master/csl-citation.json"}</w:instrText>
      </w:r>
      <w:r w:rsidR="005B6D79">
        <w:rPr>
          <w:lang w:val="en-GB"/>
        </w:rPr>
        <w:fldChar w:fldCharType="separate"/>
      </w:r>
      <w:r w:rsidR="005B6D79" w:rsidRPr="005B6D79">
        <w:rPr>
          <w:noProof/>
          <w:lang w:val="en-GB"/>
        </w:rPr>
        <w:t>(Grizzetti, Lanzanova, Liquete, Reynaud, &amp; Cardoso, 2016)</w:t>
      </w:r>
      <w:r w:rsidR="005B6D79">
        <w:rPr>
          <w:lang w:val="en-GB"/>
        </w:rPr>
        <w:fldChar w:fldCharType="end"/>
      </w:r>
      <w:r w:rsidRPr="00063D2E">
        <w:rPr>
          <w:lang w:val="en-GB"/>
        </w:rPr>
        <w:t xml:space="preserve">. Within the </w:t>
      </w:r>
      <w:r w:rsidR="00256F2A">
        <w:rPr>
          <w:lang w:val="en-GB"/>
        </w:rPr>
        <w:t>D</w:t>
      </w:r>
      <w:r w:rsidRPr="00063D2E">
        <w:rPr>
          <w:lang w:val="en-GB"/>
        </w:rPr>
        <w:t xml:space="preserve">irective, the concept of </w:t>
      </w:r>
      <w:r w:rsidR="00D355B0">
        <w:rPr>
          <w:lang w:val="en-GB"/>
        </w:rPr>
        <w:t>E</w:t>
      </w:r>
      <w:r w:rsidRPr="00063D2E">
        <w:rPr>
          <w:lang w:val="en-GB"/>
        </w:rPr>
        <w:t xml:space="preserve">cological </w:t>
      </w:r>
      <w:r w:rsidR="00D355B0">
        <w:rPr>
          <w:lang w:val="en-GB"/>
        </w:rPr>
        <w:t>S</w:t>
      </w:r>
      <w:r w:rsidRPr="00063D2E">
        <w:rPr>
          <w:lang w:val="en-GB"/>
        </w:rPr>
        <w:t xml:space="preserve">tatus </w:t>
      </w:r>
      <w:r w:rsidR="00D355B0">
        <w:rPr>
          <w:lang w:val="en-GB"/>
        </w:rPr>
        <w:t xml:space="preserve">revolves around </w:t>
      </w:r>
      <w:r w:rsidRPr="00063D2E">
        <w:rPr>
          <w:lang w:val="en-GB"/>
        </w:rPr>
        <w:t xml:space="preserve">the quality of aquatic flora and fish fauna, nutrients availability, and factors such as salinity, temperature, and chemical pollutant emissions. Morphological features such as size, streamflow, water levels, and river bed configurations are also taken into account </w:t>
      </w:r>
      <w:r w:rsidR="005B6D79">
        <w:rPr>
          <w:lang w:val="en-GB"/>
        </w:rPr>
        <w:fldChar w:fldCharType="begin" w:fldLock="1"/>
      </w:r>
      <w:r w:rsidR="00CE26B1">
        <w:rPr>
          <w:lang w:val="en-GB"/>
        </w:rPr>
        <w:instrText>ADDIN CSL_CITATION {"citationItems":[{"id":"ITEM-1","itemData":{"DOI":"10.1111/j.1365-2427.2009.02181.x","ISSN":"00465070","abstract":"Environmental flows is now a widely accepted term that covers the quantity, timing, duration, frequency and quality of water flows required to sustain freshwater, estuarine and near-shore ecosystems and the human livelihoods and well-being that depend on them. 2. The Water Framework Directive (WFD) of the European Union does not use the term environmental flows explicitly, but requires member states to achieve good ecological status (GES) in all waterbodies, which is assessed by reference to aquatic biology. Nevertheless, it is accepted that ecologically appropriate hydrological regimes are necessary to meet this status. Implementing environmental flows will be a key measure for restoring and managing river ecosystems. 3. The WFD explicitly requires stakeholder involvement, but this has been interpreted as largely a dissemination exercise by national government agencies. Stakeholders are no longer involved in negotiation over ecological objectives as these are pre-set in the WFD. However, stakeholders may be more involved in reviewing standards and agreeing to measures to restore river ecosystems to the status required by the WFD. 4. The U.K. has undertaken two major projects to set environmental standards for water resources (i) to define water abstraction limits that maintain a healthy river ecosystem and (ii) to define ecologically appropriate flow releases from reservoirs. 5. Implementation of environmental flows remains a major issue, but new ideas such as time-limited licences and licence trading are being tried. © 2009 Blackwell Publishing Ltd.","author":[{"dropping-particle":"","family":"Acreman","given":"M. C.","non-dropping-particle":"","parse-names":false,"suffix":""},{"dropping-particle":"","family":"Ferguson","given":"A. J.D.","non-dropping-particle":"","parse-names":false,"suffix":""}],"container-title":"Freshwater Biology","id":"ITEM-1","issued":{"date-parts":[["2010"]]},"title":"Environmental flows and the European Water Framework Directive","type":"article-journal"},"uris":["http://www.mendeley.com/documents/?uuid=4cae22a6-8282-421c-a220-4ed0a216b905"]}],"mendeley":{"formattedCitation":"(Acreman &amp; Ferguson, 2010)","plainTextFormattedCitation":"(Acreman &amp; Ferguson, 2010)","previouslyFormattedCitation":"(Acreman &amp; Ferguson, 2010)"},"properties":{"noteIndex":0},"schema":"https://github.com/citation-style-language/schema/raw/master/csl-citation.json"}</w:instrText>
      </w:r>
      <w:r w:rsidR="005B6D79">
        <w:rPr>
          <w:lang w:val="en-GB"/>
        </w:rPr>
        <w:fldChar w:fldCharType="separate"/>
      </w:r>
      <w:r w:rsidR="005B6D79" w:rsidRPr="005B6D79">
        <w:rPr>
          <w:noProof/>
          <w:lang w:val="en-GB"/>
        </w:rPr>
        <w:t>(Acreman &amp; Ferguson, 2010)</w:t>
      </w:r>
      <w:r w:rsidR="005B6D79">
        <w:rPr>
          <w:lang w:val="en-GB"/>
        </w:rPr>
        <w:fldChar w:fldCharType="end"/>
      </w:r>
      <w:r w:rsidRPr="00063D2E">
        <w:rPr>
          <w:lang w:val="en-GB"/>
        </w:rPr>
        <w:t xml:space="preserve">. </w:t>
      </w:r>
      <w:r w:rsidR="00256F2A">
        <w:rPr>
          <w:lang w:val="en-GB"/>
        </w:rPr>
        <w:t xml:space="preserve">The </w:t>
      </w:r>
      <w:r w:rsidRPr="00063D2E">
        <w:rPr>
          <w:lang w:val="en-GB"/>
        </w:rPr>
        <w:t xml:space="preserve">WFD's ecological status classification scheme for surface water comprises five </w:t>
      </w:r>
      <w:r w:rsidR="00256F2A">
        <w:rPr>
          <w:lang w:val="en-GB"/>
        </w:rPr>
        <w:t xml:space="preserve">quality </w:t>
      </w:r>
      <w:r w:rsidRPr="00063D2E">
        <w:rPr>
          <w:lang w:val="en-GB"/>
        </w:rPr>
        <w:t xml:space="preserve">categories: high, good, moderate, poor, and bad. </w:t>
      </w:r>
      <w:r w:rsidR="00E74742">
        <w:rPr>
          <w:lang w:val="en-GB"/>
        </w:rPr>
        <w:t>These categories are assigned to water bodies in a complex evaluation process</w:t>
      </w:r>
      <w:r w:rsidRPr="00063D2E">
        <w:rPr>
          <w:lang w:val="en-GB"/>
        </w:rPr>
        <w:t xml:space="preserve"> </w:t>
      </w:r>
      <w:r w:rsidR="00CE26B1">
        <w:rPr>
          <w:lang w:val="en-GB"/>
        </w:rPr>
        <w:fldChar w:fldCharType="begin" w:fldLock="1"/>
      </w:r>
      <w:r w:rsidR="00CE26B1">
        <w:rPr>
          <w:lang w:val="en-GB"/>
        </w:rPr>
        <w:instrText>ADDIN CSL_CITATION {"citationItems":[{"id":"ITEM-1","itemData":{"DOI":"10.1016/S0043-1354(01)00040-9","ISSN":"00431354","abstract":"A set of ecological indicators including structural, functional, and system-level aspects were proposed for a lake ecosystem health assessment, according to the structural, functional, and system-level responses of lake ecosystems to chemical stresses including acidification, eutrophication, and copper, oil and pesticide contamination. The structural indicators included phytoplankton cell size and biomass, zooplankton body size and biomass, species diversity, macro- and micro-zooplankton biomass, the zooplankton/phytoplankton ratio, and the macrozooplankton/microzooplankton ratio. The functional indicators encompassed the algal C assimilation ratio, resource use efficiency, community production, gross production/respiration (i.e. P/R) ratio, gross production/standing crop biomass (i.e. P/B) ratio, and standing crop biomass/unit energy flow (i.e. B/E) ratio. The ecosystem-level indicators consisted of ecological buffer capacities, exergy, and structural exergy. Based on these indicators, a direct measurement method (DMM) and an ecological modeling method (EMM) for lake ecosystem health assessment were developed. The DMM procedures were designed to: (l) identify key indicators; (2) measure directly or calculate indirectly the selected indicators; and, (3) assess ecosystem health on the basis of the indicator values. The EMM procedures were designed to: (l) determine the structure and complexity of the ecological model according to the lake's ecosystem structure; (2) establish an ecological model by designing a conceptual diagram, establishing model equations, and estimating model parameters; (3) compare the simulated values of important state variables and process rates with actual observations; (4) calculate ecosystem health indicators using the ecological model; and, (5) assess lake ecosystem health according to the values of the ecological indicators. The results of a case study demonstrated that both methods provided similar results which corresponded with the lake's actual trophic state. Copyright © 2001 Elsevier Science Ltd.","author":[{"dropping-particle":"","family":"Xu","given":"Fu Liu","non-dropping-particle":"","parse-names":false,"suffix":""},{"dropping-particle":"","family":"Tao","given":"Shu","non-dropping-particle":"","parse-names":false,"suffix":""},{"dropping-particle":"","family":"Dawson","given":"R. W.","non-dropping-particle":"","parse-names":false,"suffix":""},{"dropping-particle":"","family":"Li","given":"Pen gang","non-dropping-particle":"","parse-names":false,"suffix":""},{"dropping-particle":"","family":"Cao","given":"Jun","non-dropping-particle":"","parse-names":false,"suffix":""}],"container-title":"Water Research","id":"ITEM-1","issued":{"date-parts":[["2001"]]},"title":"Lake ecosystem health assessment: Indicators and methods","type":"article-journal"},"uris":["http://www.mendeley.com/documents/?uuid=c281315c-c9de-43e2-8206-aa5ce5d8ea43"]},{"id":"ITEM-2","itemData":{"DOI":"10.1007/978-94-017-8944-8_34","ISSN":"13862588","abstract":"Water quality in Lake Kinneret was quantified using a system of indices for which water quality parameters and their permissible ranges were identified and defined through a modified Delphi expert panel process. We calculated an aggregate index of water quality (Composite Water Quality Index, CWQI) as a weighted average of rating values for the entire set of water quality indices, in which variable weights for a given index were inversely proportional to the rating value of that index. Since 1991, annual average CWQI showed a trend of deteriorating lake water quality, due mostly to increases in chloride concentration and relative cyanobacteria biomass. Annual variability in CWQI was explained mostly by water level fluctuations, and less so by external nutrient loading. The Lake Kinneret water quality system has demonstrated its effectiveness as a common language for communication between multiple partners in water resource management, as a tool and target for lake management, and as an output of ecological modeling.","author":[{"dropping-particle":"","family":"Hambright","given":"K. David","non-dropping-particle":"","parse-names":false,"suffix":""},{"dropping-particle":"","family":"Berman","given":"Tom","non-dropping-particle":"","parse-names":false,"suffix":""}],"container-title":"Aquatic Ecology","id":"ITEM-2","issued":{"date-parts":[["2014"]]},"title":"Water quality assessment","type":"article-journal"},"uris":["http://www.mendeley.com/documents/?uuid=4c5b989c-f0cb-44ce-b069-f3e4046ddd6e"]}],"mendeley":{"formattedCitation":"(Xu, Tao, Dawson, Li, &amp; Cao, 2001; Hambright &amp; Berman, 2014)","plainTextFormattedCitation":"(Xu, Tao, Dawson, Li, &amp; Cao, 2001; Hambright &amp; Berman, 2014)","previouslyFormattedCitation":"(Xu, Tao, Dawson, Li, &amp; Cao, 2001; Hambright &amp; Berman, 2014)"},"properties":{"noteIndex":0},"schema":"https://github.com/citation-style-language/schema/raw/master/csl-citation.json"}</w:instrText>
      </w:r>
      <w:r w:rsidR="00CE26B1">
        <w:rPr>
          <w:lang w:val="en-GB"/>
        </w:rPr>
        <w:fldChar w:fldCharType="separate"/>
      </w:r>
      <w:r w:rsidR="00CE26B1" w:rsidRPr="00CE26B1">
        <w:rPr>
          <w:noProof/>
          <w:lang w:val="en-GB"/>
        </w:rPr>
        <w:t>(Xu, Tao, Dawson, Li, &amp; Cao, 2001; Hambright &amp; Berman, 2014)</w:t>
      </w:r>
      <w:r w:rsidR="00CE26B1">
        <w:rPr>
          <w:lang w:val="en-GB"/>
        </w:rPr>
        <w:fldChar w:fldCharType="end"/>
      </w:r>
      <w:r w:rsidRPr="00063D2E">
        <w:rPr>
          <w:lang w:val="en-GB"/>
        </w:rPr>
        <w:t>.</w:t>
      </w:r>
    </w:p>
    <w:p w14:paraId="56048951" w14:textId="560853EB" w:rsidR="0011145F" w:rsidRDefault="0045490D" w:rsidP="0011145F">
      <w:pPr>
        <w:spacing w:after="0"/>
        <w:ind w:firstLine="708"/>
        <w:jc w:val="both"/>
        <w:rPr>
          <w:lang w:val="en-GB"/>
        </w:rPr>
      </w:pPr>
      <w:r w:rsidRPr="00063D2E">
        <w:rPr>
          <w:lang w:val="en-GB"/>
        </w:rPr>
        <w:t xml:space="preserve">Among freshwater ecosystems, lakes are </w:t>
      </w:r>
      <w:r w:rsidR="005360B1">
        <w:rPr>
          <w:lang w:val="en-GB"/>
        </w:rPr>
        <w:t xml:space="preserve">considered </w:t>
      </w:r>
      <w:r>
        <w:rPr>
          <w:lang w:val="en-GB"/>
        </w:rPr>
        <w:t>composite</w:t>
      </w:r>
      <w:r w:rsidRPr="00063D2E">
        <w:rPr>
          <w:lang w:val="en-GB"/>
        </w:rPr>
        <w:t xml:space="preserve"> and dynamic structures, each situated in a unique landscape context </w:t>
      </w:r>
      <w:r>
        <w:rPr>
          <w:lang w:val="en-GB"/>
        </w:rPr>
        <w:fldChar w:fldCharType="begin" w:fldLock="1"/>
      </w:r>
      <w:r>
        <w:rPr>
          <w:lang w:val="en-GB"/>
        </w:rPr>
        <w:instrText>ADDIN CSL_CITATION {"citationItems":[{"id":"ITEM-1","itemData":{"DOI":"10.1016/b978-0-12-391493-4.00007-x","abstract":"Lakes are discrete, largely isolated ecosystems in which the interplay between physical, biogeochemical and organismal processes can be studied, understood, and put to use in effective management.","author":[{"dropping-particle":"","family":"Aoki","given":"Ichiro","non-dropping-particle":"","parse-names":false,"suffix":""}],"container-title":"Entropy Principle for the Development of Complex Biotic Systems","id":"ITEM-1","issued":{"date-parts":[["2012"]]},"title":"Lake Ecosystems","type":"chapter"},"uris":["http://www.mendeley.com/documents/?uuid=82db27b3-9eca-471f-a508-506b5ceae8c4"]}],"mendeley":{"formattedCitation":"(Aoki, 2012)","plainTextFormattedCitation":"(Aoki, 2012)","previouslyFormattedCitation":"(Aoki, 2012)"},"properties":{"noteIndex":0},"schema":"https://github.com/citation-style-language/schema/raw/master/csl-citation.json"}</w:instrText>
      </w:r>
      <w:r>
        <w:rPr>
          <w:lang w:val="en-GB"/>
        </w:rPr>
        <w:fldChar w:fldCharType="separate"/>
      </w:r>
      <w:r w:rsidRPr="00CE26B1">
        <w:rPr>
          <w:noProof/>
          <w:lang w:val="en-GB"/>
        </w:rPr>
        <w:t>(Aoki, 2012)</w:t>
      </w:r>
      <w:r>
        <w:rPr>
          <w:lang w:val="en-GB"/>
        </w:rPr>
        <w:fldChar w:fldCharType="end"/>
      </w:r>
      <w:r w:rsidRPr="00063D2E">
        <w:rPr>
          <w:lang w:val="en-GB"/>
        </w:rPr>
        <w:t xml:space="preserve">. </w:t>
      </w:r>
      <w:r w:rsidR="00063D2E" w:rsidRPr="00063D2E">
        <w:rPr>
          <w:lang w:val="en-GB"/>
        </w:rPr>
        <w:t xml:space="preserve">One of the </w:t>
      </w:r>
      <w:r w:rsidR="00E74742">
        <w:rPr>
          <w:lang w:val="en-GB"/>
        </w:rPr>
        <w:t>main</w:t>
      </w:r>
      <w:r w:rsidR="00E74742" w:rsidRPr="00063D2E">
        <w:rPr>
          <w:lang w:val="en-GB"/>
        </w:rPr>
        <w:t xml:space="preserve"> </w:t>
      </w:r>
      <w:r w:rsidR="00063D2E" w:rsidRPr="00063D2E">
        <w:rPr>
          <w:lang w:val="en-GB"/>
        </w:rPr>
        <w:t xml:space="preserve">reasons </w:t>
      </w:r>
      <w:r>
        <w:rPr>
          <w:lang w:val="en-GB"/>
        </w:rPr>
        <w:t>of the</w:t>
      </w:r>
      <w:r w:rsidR="00E74742">
        <w:rPr>
          <w:lang w:val="en-GB"/>
        </w:rPr>
        <w:t xml:space="preserve"> complexity </w:t>
      </w:r>
      <w:r>
        <w:rPr>
          <w:lang w:val="en-GB"/>
        </w:rPr>
        <w:t xml:space="preserve">of their assessment </w:t>
      </w:r>
      <w:r w:rsidR="00063D2E">
        <w:rPr>
          <w:lang w:val="en-GB"/>
        </w:rPr>
        <w:t>is</w:t>
      </w:r>
      <w:r w:rsidR="00063D2E" w:rsidRPr="00063D2E">
        <w:rPr>
          <w:lang w:val="en-GB"/>
        </w:rPr>
        <w:t xml:space="preserve"> that</w:t>
      </w:r>
      <w:r w:rsidR="00867E49">
        <w:rPr>
          <w:lang w:val="en-GB"/>
        </w:rPr>
        <w:t>,</w:t>
      </w:r>
      <w:r w:rsidR="00063D2E" w:rsidRPr="00063D2E">
        <w:rPr>
          <w:lang w:val="en-GB"/>
        </w:rPr>
        <w:t xml:space="preserve"> even though each aquatic environment is unique</w:t>
      </w:r>
      <w:r w:rsidR="00E74742">
        <w:rPr>
          <w:lang w:val="en-GB"/>
        </w:rPr>
        <w:t>,</w:t>
      </w:r>
      <w:r w:rsidR="00063D2E" w:rsidRPr="00063D2E">
        <w:rPr>
          <w:lang w:val="en-GB"/>
        </w:rPr>
        <w:t xml:space="preserve"> there are only a few that are studied in great detail ecologically </w:t>
      </w:r>
      <w:r w:rsidR="00CE26B1">
        <w:rPr>
          <w:lang w:val="en-GB"/>
        </w:rPr>
        <w:fldChar w:fldCharType="begin" w:fldLock="1"/>
      </w:r>
      <w:r w:rsidR="00CE26B1">
        <w:rPr>
          <w:lang w:val="en-GB"/>
        </w:rPr>
        <w:instrText>ADDIN CSL_CITATION {"citationItems":[{"id":"ITEM-1","itemData":{"DOI":"10.1007/s10980-006-6587-7","ISSN":"09212973","abstract":"Habitat suitability index (HSI) models have been generally accepted in ecological management as a means to predict effects of pressures and restoration measures on habitats and populations. HSI-models estimate habitat suitability from relevant habitat variables. Because outcomes of HSI-studies may have significant consequences, it is crucial to have insight into the uncertainties of the predictions. In this study a method for uncertainty analysis, using Monte Carlo simulations, was developed and applied for a HSI-model of pondweed (Potamogeton pectinatus) in Lake IJsselmeer, The Netherlands. Uncertainties in both habitat model functions and in input data were considered. The magnitude of the uncertainties in model functions were estimated by a panel of experts, and the uncertainty was highest at intermediate values of the suitability index (0.4-0.6). Uncertainty in the predicted habitat suitability is spatially correlated with variations in environmental habitat variables such as water quality and substrate. The estimated uncertainty may be considered acceptable for the purposes of water management, namel</w:instrText>
      </w:r>
      <w:r w:rsidR="00CE26B1" w:rsidRPr="00C368BA">
        <w:rPr>
          <w:lang w:val="de-DE"/>
        </w:rPr>
        <w:instrText>y directing ecological rehabilitation and conservation activities. However, the uncertainties may be too high to meet the accuracy requirements of legislation such as the EU Bird and Habitat directive. © 2006 Springer.","author":[{"dropping-particle":"","family":"Lee","given":"Guda E.M.","non-dropping-particle":"Van Der","parse-names":false,"suffix":""},{"dropping-particle":"","family":"Molen","given":"Diederik T.","non-dropping-particle":"Van De</w:instrText>
      </w:r>
      <w:r w:rsidR="00CE26B1" w:rsidRPr="005360B1">
        <w:rPr>
          <w:lang w:val="de-DE"/>
        </w:rPr>
        <w:instrText>r","parse-names":false,"suffix":""},{"dropping-particle":"","family":"Boogaard","given":"Henk F.P.","non-dropping-particle":"Van Den","parse-names":false,"suffix":""},{"dropping-particle":"","family":"Klis","given":"Hanneke","non-dropping-particle":"Van Der","parse-names":false,"suffix":""}],"container-title":"Landscape Ecology","id":"ITEM-1","issued":{"date-parts":[["2006"]]},"title":"Uncertainty analysis of a spatial habitat suitability model and implications for ecological management of water bodies","type":"article-journal"},"uris":["http://www.mendeley.com/documents/?uuid=bd678795-7738-440f-aa6c-07ddfa2edf0f"]}],"mendeley":{"formattedCitation":"(Van Der Lee, Van Der Molen, Van Den Boogaard, &amp; Van Der Klis, 2006)","plainTextFormattedCitation":"(Van Der Lee, Van Der Molen, Van Den Boogaard, &amp; Van Der Klis, 2006)","previouslyFormattedCitation":"(Van Der Lee, Van Der Molen, Van Den Boogaard, &amp; Van Der Klis, 2006)"},"properties":{"noteIndex":0},"schema":"https://github.com/citation-style-language/schema/raw/master/csl-citation.json"}</w:instrText>
      </w:r>
      <w:r w:rsidR="00CE26B1">
        <w:rPr>
          <w:lang w:val="en-GB"/>
        </w:rPr>
        <w:fldChar w:fldCharType="separate"/>
      </w:r>
      <w:r w:rsidR="00CE26B1" w:rsidRPr="005360B1">
        <w:rPr>
          <w:noProof/>
          <w:lang w:val="de-DE"/>
        </w:rPr>
        <w:t>(Van Der Lee, Van Der Molen, Van Den Boogaard, &amp; Van Der Klis, 2006)</w:t>
      </w:r>
      <w:r w:rsidR="00CE26B1">
        <w:rPr>
          <w:lang w:val="en-GB"/>
        </w:rPr>
        <w:fldChar w:fldCharType="end"/>
      </w:r>
      <w:r w:rsidR="00063D2E" w:rsidRPr="005360B1">
        <w:rPr>
          <w:lang w:val="de-DE"/>
        </w:rPr>
        <w:t xml:space="preserve">. </w:t>
      </w:r>
      <w:r w:rsidR="00856EB1">
        <w:rPr>
          <w:lang w:val="en-GB"/>
        </w:rPr>
        <w:t xml:space="preserve">In case of most </w:t>
      </w:r>
      <w:r w:rsidR="00063D2E" w:rsidRPr="00063D2E">
        <w:rPr>
          <w:lang w:val="en-GB"/>
        </w:rPr>
        <w:t>lakes</w:t>
      </w:r>
      <w:r w:rsidR="00856EB1">
        <w:rPr>
          <w:lang w:val="en-GB"/>
        </w:rPr>
        <w:t>,</w:t>
      </w:r>
      <w:r w:rsidR="00063D2E" w:rsidRPr="00063D2E">
        <w:rPr>
          <w:lang w:val="en-GB"/>
        </w:rPr>
        <w:t xml:space="preserve"> for which no comprehensive studies are </w:t>
      </w:r>
      <w:r w:rsidR="005360B1">
        <w:rPr>
          <w:lang w:val="en-GB"/>
        </w:rPr>
        <w:t>available</w:t>
      </w:r>
      <w:r w:rsidR="00856EB1">
        <w:rPr>
          <w:lang w:val="en-GB"/>
        </w:rPr>
        <w:t>, t</w:t>
      </w:r>
      <w:r w:rsidR="00856EB1" w:rsidRPr="00063D2E">
        <w:rPr>
          <w:lang w:val="en-GB"/>
        </w:rPr>
        <w:t xml:space="preserve">here </w:t>
      </w:r>
      <w:r w:rsidR="00856EB1">
        <w:rPr>
          <w:lang w:val="en-GB"/>
        </w:rPr>
        <w:t>in a need</w:t>
      </w:r>
      <w:r w:rsidR="00856EB1" w:rsidRPr="00063D2E">
        <w:rPr>
          <w:lang w:val="en-GB"/>
        </w:rPr>
        <w:t xml:space="preserve"> for theoretical knowledge or forecasts about </w:t>
      </w:r>
      <w:r w:rsidR="00856EB1">
        <w:rPr>
          <w:lang w:val="en-GB"/>
        </w:rPr>
        <w:t xml:space="preserve">such factors </w:t>
      </w:r>
      <w:r w:rsidR="005360B1">
        <w:rPr>
          <w:lang w:val="en-GB"/>
        </w:rPr>
        <w:t xml:space="preserve">such as </w:t>
      </w:r>
      <w:proofErr w:type="spellStart"/>
      <w:r w:rsidR="00856EB1">
        <w:rPr>
          <w:lang w:val="en-GB"/>
        </w:rPr>
        <w:t>as</w:t>
      </w:r>
      <w:proofErr w:type="spellEnd"/>
      <w:r w:rsidR="00856EB1">
        <w:rPr>
          <w:lang w:val="en-GB"/>
        </w:rPr>
        <w:t xml:space="preserve"> </w:t>
      </w:r>
      <w:r w:rsidR="00856EB1" w:rsidRPr="00063D2E">
        <w:rPr>
          <w:lang w:val="en-GB"/>
        </w:rPr>
        <w:t>fisheries, tourism, and water</w:t>
      </w:r>
      <w:r w:rsidR="00867E49">
        <w:rPr>
          <w:lang w:val="en-GB"/>
        </w:rPr>
        <w:t xml:space="preserve"> quality</w:t>
      </w:r>
      <w:r w:rsidR="00856EB1" w:rsidRPr="00063D2E">
        <w:rPr>
          <w:lang w:val="en-GB"/>
        </w:rPr>
        <w:t xml:space="preserve"> </w:t>
      </w:r>
      <w:r w:rsidR="00CE26B1">
        <w:rPr>
          <w:lang w:val="en-GB"/>
        </w:rPr>
        <w:fldChar w:fldCharType="begin" w:fldLock="1"/>
      </w:r>
      <w:r w:rsidR="00CE26B1">
        <w:rPr>
          <w:lang w:val="en-GB"/>
        </w:rPr>
        <w:instrText>ADDIN CSL_CITATION {"citationItems":[{"id":"ITEM-1","itemData":{"DOI":"10.1007/978-3-319-44234-1_1","abstract":"The usefulness of any model depends in part on the accuracy and reliability of its output. Yet, because all models are imperfect abstractions of reality, and because precise input data are rarely if ever available, all output values are subject to imprecision. Input data errors and modelling uncertainties are not independent of each other -- they can interact in various ways. The end result is imprecision and uncertainty associated with model output. This chapter focuses on ways of identifying, quantifying, and communicating the uncertainties in model outputs.","author":[{"dropping-particle":"","family":"Loucks","given":"Daniel P.","non-dropping-particle":"","parse-names":false,"suffix":""},{"dropping-particle":"","family":"Beek","given":"Eelco","non-dropping-particle":"van","parse-names":false,"suffix":""},{"dropping-particle":"","family":"Loucks","given":"Daniel P.","non-dropping-particle":"","parse-names":false,"suffix":""},{"dropping-particle":"","family":"Beek","given":"Eelco","non-dropping-particle":"van","parse-names":false,"suffix":""}],"container-title":"Water Resource Systems Planning and Management","id":"ITEM-1","issued":{"date-parts":[["2017"]]},"title":"Water Resources Planning and Management: An Overview","type":"chapter"},"uris":["http://www.mendeley.com/documents/?uuid=9475e61e-ee5f-4241-8aa2-af21dfb51036"]},{"id":"ITEM-2","itemData":{"DOI":"10.1007/978-3-319-13659-2_2","ISSN":"18684408","abstract":"This chapter presents the latest IDSSs, such as text analytics and mining based DSSs; ambient intelligence and the internet of things-based DSSs; biometrics-based DSSs; recommender, advisory and expert systems; data mining, data analytics, neural networks, remote sensing and their integration with decision support systems and other IDSSs. These other IDSSs include GA-based DSS; fuzzy sets DSS; rough sets-based DSS; intelligent agent-assisted DSS; process mining integration to decision support, adaptive DSS; computer vision based DSS; sensory DSS and robotic DSS. In addition to acquainting these IDSSs, author introduce practical examples where they have been effectively applied. © Springer International Publishing Switzerland 2015.","author":[{"dropping-particle":"","family":"Kaklauskas","given":"Arturas","non-dropping-particle":"","parse-names":false,"suffix":""}],"container-title":"PwC Technology Forecast: Rethinking integration","id":"ITEM-2","issued":{"date-parts":[["2014"]]},"title":"The enterprise data lake: Better integration and deeper analytics","type":"article-journal"},"uris":["http://www.mendeley.com/documents/?uuid=78f365e0-7b98-4171-a4d8-dff243107c59"]}],"mendeley":{"formattedCitation":"(Kaklauskas, 2014; Loucks, van Beek, Loucks, &amp; van Beek, 2017)","plainTextFormattedCitation":"(Kaklauskas, 2014; Loucks, van Beek, Loucks, &amp; van Beek, 2017)","previouslyFormattedCitation":"(Kaklauskas, 2014; Loucks, van Beek, Loucks, &amp; van Beek, 2017)"},"properties":{"noteIndex":0},"schema":"https://github.com/citation-style-language/schema/raw/master/csl-citation.json"}</w:instrText>
      </w:r>
      <w:r w:rsidR="00CE26B1">
        <w:rPr>
          <w:lang w:val="en-GB"/>
        </w:rPr>
        <w:fldChar w:fldCharType="separate"/>
      </w:r>
      <w:r w:rsidR="00CE26B1" w:rsidRPr="00CE26B1">
        <w:rPr>
          <w:noProof/>
          <w:lang w:val="en-GB"/>
        </w:rPr>
        <w:t>(Kaklauskas, 2014; Loucks, van Beek, Loucks, &amp; van Beek, 2017)</w:t>
      </w:r>
      <w:r w:rsidR="00CE26B1">
        <w:rPr>
          <w:lang w:val="en-GB"/>
        </w:rPr>
        <w:fldChar w:fldCharType="end"/>
      </w:r>
      <w:r w:rsidR="00063D2E" w:rsidRPr="00063D2E">
        <w:rPr>
          <w:lang w:val="en-GB"/>
        </w:rPr>
        <w:t>. In these situations, ecosystem modeling is the key method from which predictions and analys</w:t>
      </w:r>
      <w:r w:rsidR="005360B1">
        <w:rPr>
          <w:lang w:val="en-GB"/>
        </w:rPr>
        <w:t>e</w:t>
      </w:r>
      <w:r w:rsidR="00063D2E" w:rsidRPr="00063D2E">
        <w:rPr>
          <w:lang w:val="en-GB"/>
        </w:rPr>
        <w:t xml:space="preserve">s can be obtained </w:t>
      </w:r>
      <w:r w:rsidR="00CE26B1">
        <w:rPr>
          <w:lang w:val="en-GB"/>
        </w:rPr>
        <w:fldChar w:fldCharType="begin" w:fldLock="1"/>
      </w:r>
      <w:r w:rsidR="00B7281F">
        <w:rPr>
          <w:lang w:val="en-GB"/>
        </w:rPr>
        <w:instrText>ADDIN CSL_CITATION {"citationItems":[{"id":"ITEM-1","itemData":{"DOI":"10.1111/2041-210X.13142","ISSN":"2041210X","abstract":"A clear challenge for ecological niche modelling is determining how to best mitigate the effects of sampling bias from commonly collected biodiversity data. Recent approaches have focused on filtering occurrences in overrepresented regions based on geographic or environmental proximity. We tested the efficacy of filtering in geographic and environmental space using occurrence data from four species. Our evaluation strategies examined 14 distance measures in geographic and environmental spaces and eight combinations of environmental variables and their ordinations. This resulted in 78 datasets for each species, which we evaluated using area under the curve (AUC), the difference between training and testing AUC, omission rate, the true skill statistic, and Schoener's D to examine the effects of different filtering schemes. The degree of change produced by filtering on predicted suitability and evaluation statistics increased with increasing range size. Environmental filtering resulted in higher model fit at larger extents and retained more occurrences than geographic filtering. Our results indicate that models should be evaluated using multiple evaluation statistics at multiple thresholds. The use of bin sizes when filtering in environmental space allows for simple comparison between species and filter types and makes for an easily reportable and repeatable distance metric. We specifically recommend that ecological niche models using natural history collection data filter in environmental space with variables derived from permutation importance or the first few axes of a principal components ordination.","author":[{"dropping-particle":"","family":"Castellanos","given":"Adrian A.","non-dropping-particle":"","parse-names":false,"suffix":""},{"dropping-particle":"","family":"Huntley","given":"Jerry W.","non-dropping-particle":"","parse-names":false,"suffix":""},{"dropping-particle":"","family":"Voelker","given":"Gary","non-dropping-particle":"","parse-names":false,"suffix":""},{"dropping-particle":"","family":"Lawing","given":"A. Michelle","non-dropping-particle":"","parse-names":false,"suffix":""}],"container-title":"Methods in Ecology and Evolution","id":"ITEM-1","issued":{"date-parts":[["2019"]]},"title":"Environmental filtering improves ecological niche models across multiple scales","type":"article-journal"},"uris":["http://www.mendeley.com/documents/?uuid=70c24d34-14e4-4012-b503-6ad058de47d1"]},{"id":"ITEM-2","itemData":{"DOI":"10.1111/2041-210X.13018","ISSN":"2041210X","abstract":"Spatiotemporal ecological modelling of terrestrial ecosystems relies on climatological and biophysical Earth observations. Due to their increasing availability, global coverage, frequent acquisition and high spatial resolution, satellite remote sensing (SRS) products are frequently integrated to in situ data in the development of ecosystem models (EMs) quantifying the interaction among the vegetation component and the hydrological, energy and nutrient cycles. This review highlights the main advances achieved in the last decade in combining SRS data with EMs, with particular attention to the challenges modellers face for applications at local scales (e.g. small watersheds). We critically review the literature on progress made towards integration of SRS data into terrestrial EMs: (1) as input to define model drivers; (2) as reference to validate model results; and (3) as a tool to sequentially update the state variables, and to quantify and reduce model uncertainty. The number of applications provided in the literature shows that EMs may profit greatly from the inclusion of spatial parameters and forcings provided by vegetation and climatic-related SRS products. Limiting factors for the application of such models to local scales are: (1) mismatch between the resolution of SRS products and model grid; (2) unavailability of specific products in free and public online repositories; (3) temporal gaps in SRS data; and (4) quantification of model and measurement uncertainties. This review provides examples of possible solutions adopted in recent literature, with particular reference to the spatiotemporal scales of analysis and data accuracy. We propose that analysis methods such as stochastic downscaling techniques and multi-sensor/multi-platform fusion approaches are necessary to improve the quality of SRS data for local applications. Moreover, we suggest coupling models with data assimilation techniques to improve their forecast abilities. This review encourages the use of SRS data in EMs for local applications, and underlines the necessity for a closer collaboration among EM developers and remote sensing scientists. With more upcoming satellite missions, especially the Sentinel platforms, concerted efforts to further integrate SRS into modelling are in great demand and these types of applications will certainly proliferate.","author":[{"dropping-particle":"","family":"Pasetto","given":"Damiano","non-dropping-particle":"","parse-names":false,"suffix":""},{"dropping-particle":"","family":"Arenas-Castro","given":"Salvador","non-dropping-particle":"","parse-names":false,"suffix":""},{"dropping-particle":"","family":"Bustamante","given":"Javier","non-dropping-particle":"","parse-names":false,"suffix":""},{"dropping-particle":"","family":"Casagrandi","given":"Renato","non-dropping-particle":"","parse-names":false,"suffix":""},{"dropping-particle":"","family":"Chrysoulakis","given":"Nektarios","non-dropping-particle":"","parse-names":false,"suffix":""},{"dropping-particle":"","family":"Cord","given":"Anna F.","non-dropping-particle":"","parse-names":false,"suffix":""},{"dropping-particle":"","family":"Dittrich","given":"Andreas","non-dropping-particle":"","parse-names":false,"suffix":""},{"dropping-particle":"","family":"Domingo-Marimon","given":"Cristina","non-dropping-particle":"","parse-names":false,"suffix":""},{"dropping-particle":"","family":"Serafy","given":"Ghada","non-dropping-particle":"El","parse-names":false,"suffix":""},{"dropping-particle":"","family":"Karnieli","given":"Arnon","non-dropping-particle":"","parse-names":false,"suffix":""},{"dropping-particle":"","family":"Kordelas","given":"Georgios A.","non-dropping-particle":"","parse-names":false,"suffix":""},{"dropping-particle":"","family":"Manakos","given":"Ioannis","non-dropping-particle":"","parse-names":false,"suffix":""},{"dropping-particle":"","family":"Mari","given":"Lorenzo","non-dropping-particle":"","parse-names":false,"suffix":""},{"dropping-particle":"","family":"Monteiro","given":"Antonio","non-dropping-particle":"","parse-names":false,"suffix":""},{"dropping-particle":"","family":"Palazzi","given":"Elisa","non-dropping-particle":"","parse-names":false,"suffix":""},{"dropping-particle":"","family":"Poursanidis","given":"Dimitris","non-dropping-particle":"","parse-names":false,"suffix":""},{"dropping-particle":"","family":"Rinaldo","given":"Andrea","non-dropping-particle":"","parse-names":false,"suffix":""},{"dropping-particle":"","family":"Terzago","given":"Silvia","non-dropping-particle":"","parse-names":false,"suffix":""},{"dropping-particle":"","family":"Ziemba","given":"Alex","non-dropping-particle":"","parse-names":false,"suffix":""},{"dropping-particle":"","family":"Ziv","given":"Guy","non-dropping-particle":"","parse-names":false,"suffix":""}],"container-title":"Methods in Ecology and Evolution","id":"ITEM-2","issued":{"date-parts":[["2018"]]},"title":"Integration of satellite remote sensing data in ecosystem modelling at local scales: Practices and trends","type":"article"},"uris":["http://www.mendeley.com/documents/?uuid=639d5fa0-8727-4105-831c-aa639feb3527"]}],"mendeley":{"formattedCitation":"(Pasetto et al., 2018; Castellanos, Huntley, Voelker, &amp; Lawing, 2019)","plainTextFormattedCitation":"(Pasetto et al., 2018; Castellanos, Huntley, Voelker, &amp; Lawing, 2019)","previouslyFormattedCitation":"(Pasetto et al., 2018; Castellanos, Huntley, Voelker, &amp; Lawing, 2019)"},"properties":{"noteIndex":0},"schema":"https://github.com/citation-style-language/schema/raw/master/csl-citation.json"}</w:instrText>
      </w:r>
      <w:r w:rsidR="00CE26B1">
        <w:rPr>
          <w:lang w:val="en-GB"/>
        </w:rPr>
        <w:fldChar w:fldCharType="separate"/>
      </w:r>
      <w:r w:rsidR="00EF1D44" w:rsidRPr="00EF1D44">
        <w:rPr>
          <w:noProof/>
          <w:lang w:val="en-GB"/>
        </w:rPr>
        <w:t>(Pasetto et al., 2018; Castellanos, Huntley, Voelker, &amp; Lawing, 2019)</w:t>
      </w:r>
      <w:r w:rsidR="00CE26B1">
        <w:rPr>
          <w:lang w:val="en-GB"/>
        </w:rPr>
        <w:fldChar w:fldCharType="end"/>
      </w:r>
      <w:r w:rsidR="00063D2E" w:rsidRPr="00063D2E">
        <w:rPr>
          <w:lang w:val="en-GB"/>
        </w:rPr>
        <w:t xml:space="preserve">. </w:t>
      </w:r>
    </w:p>
    <w:p w14:paraId="188838BD" w14:textId="77777777" w:rsidR="0011145F" w:rsidRPr="0011145F" w:rsidRDefault="0011145F" w:rsidP="0011145F">
      <w:pPr>
        <w:spacing w:after="0"/>
        <w:ind w:firstLine="708"/>
        <w:jc w:val="both"/>
        <w:rPr>
          <w:lang w:val="en-GB"/>
        </w:rPr>
      </w:pPr>
    </w:p>
    <w:p w14:paraId="2EA9FBF2" w14:textId="7FACE8E8" w:rsidR="00D62DFD" w:rsidRPr="0011145F" w:rsidRDefault="0011145F" w:rsidP="0011145F">
      <w:pPr>
        <w:jc w:val="both"/>
        <w:rPr>
          <w:b/>
          <w:bCs/>
          <w:lang w:val="en-GB"/>
        </w:rPr>
      </w:pPr>
      <w:bookmarkStart w:id="1" w:name="_Hlk53667672"/>
      <w:r w:rsidRPr="00707B3C">
        <w:rPr>
          <w:b/>
          <w:bCs/>
          <w:color w:val="FF0000"/>
          <w:lang w:val="en-GB"/>
        </w:rPr>
        <w:t xml:space="preserve">1.2. </w:t>
      </w:r>
      <w:r w:rsidRPr="00707B3C">
        <w:rPr>
          <w:b/>
          <w:bCs/>
          <w:color w:val="FF0000"/>
          <w:lang w:val="en-GB"/>
        </w:rPr>
        <w:tab/>
      </w:r>
      <w:r w:rsidR="00D62DFD" w:rsidRPr="00707B3C">
        <w:rPr>
          <w:b/>
          <w:bCs/>
          <w:color w:val="FF0000"/>
          <w:lang w:val="en-GB"/>
        </w:rPr>
        <w:t>Modelling aspects</w:t>
      </w:r>
    </w:p>
    <w:bookmarkEnd w:id="1"/>
    <w:p w14:paraId="7476C81C" w14:textId="495CE083" w:rsidR="00063D2E" w:rsidRPr="00063D2E" w:rsidRDefault="00063D2E" w:rsidP="00063D2E">
      <w:pPr>
        <w:spacing w:after="0"/>
        <w:ind w:firstLine="708"/>
        <w:jc w:val="both"/>
        <w:rPr>
          <w:lang w:val="en-GB"/>
        </w:rPr>
      </w:pPr>
      <w:r w:rsidRPr="00063D2E">
        <w:rPr>
          <w:lang w:val="en-GB"/>
        </w:rPr>
        <w:t>The</w:t>
      </w:r>
      <w:r w:rsidR="00B7281F">
        <w:rPr>
          <w:lang w:val="en-GB"/>
        </w:rPr>
        <w:t xml:space="preserve"> ecological status</w:t>
      </w:r>
      <w:r w:rsidRPr="00063D2E">
        <w:rPr>
          <w:lang w:val="en-GB"/>
        </w:rPr>
        <w:t xml:space="preserve"> modelling of lakes and other aquatic environments is relevant not only in practical matters relating to the water management or environmental solutions, but also in </w:t>
      </w:r>
      <w:r w:rsidRPr="00063D2E">
        <w:rPr>
          <w:lang w:val="en-GB"/>
        </w:rPr>
        <w:lastRenderedPageBreak/>
        <w:t>demonstrating how multiple factors simultaneously affect ecosystem features</w:t>
      </w:r>
      <w:r w:rsidR="005360B1">
        <w:rPr>
          <w:lang w:val="en-GB"/>
        </w:rPr>
        <w:t>,</w:t>
      </w:r>
      <w:r w:rsidRPr="00063D2E">
        <w:rPr>
          <w:lang w:val="en-GB"/>
        </w:rPr>
        <w:t xml:space="preserve"> such as population composition, biological productivity, and overall ecological fitness </w:t>
      </w:r>
      <w:r w:rsidR="00B7281F">
        <w:rPr>
          <w:lang w:val="en-GB"/>
        </w:rPr>
        <w:fldChar w:fldCharType="begin" w:fldLock="1"/>
      </w:r>
      <w:r w:rsidR="00B7281F">
        <w:rPr>
          <w:lang w:val="en-GB"/>
        </w:rPr>
        <w:instrText xml:space="preserve">ADDIN CSL_CITATION {"citationItems":[{"id":"ITEM-1","itemData":{"DOI":"10.1016/j.ecolind.2015.05.037","ISSN":"1470160X","abstract":"The European Union's Marine Strategy Framework Directive (MSFD) seeks to achieve, for all European seas, \"Good Environmental Status\" (GEnS), by 2020. Ecological models are currently one of the strongest approaches used to predicting and understanding the consequences of anthropogenic and climate-driven changes in the natural environment. We assess the most commonly used capabilities of the modelling community to provide information about indicators outlined in the MSFD, particularly on biodiversity, food webs, non-indigenous species and seafloor integrity descriptors. We built a catalogue of models and their derived indicators to assess which models were able to demonstrate: (1) the linkages between indicators and ecosystem structure and function and (2) the impact of pressures on ecosystem state through indicators. Our survey identified 44 ecological models being implemented in Europe, with a high prevalence of those that focus on links between hydrodynamics and biogeochemistry, followed by end-to-end, species distribution/habitat suitability, bio-optical (remote sensing) and multispecies models. Approximately 200 indicators could be derived from these models, the majority of which were biomass and physical/hydrological/chemical indicators. Biodiversity and food webs descriptors, with </w:instrText>
      </w:r>
      <w:r w:rsidR="00B7281F">
        <w:rPr>
          <w:rFonts w:ascii="Cambria Math" w:hAnsi="Cambria Math" w:cs="Cambria Math"/>
          <w:lang w:val="en-GB"/>
        </w:rPr>
        <w:instrText>∼</w:instrText>
      </w:r>
      <w:r w:rsidR="00B7281F">
        <w:rPr>
          <w:lang w:val="en-GB"/>
        </w:rPr>
        <w:instrText xml:space="preserve">49% and </w:instrText>
      </w:r>
      <w:r w:rsidR="00B7281F">
        <w:rPr>
          <w:rFonts w:ascii="Cambria Math" w:hAnsi="Cambria Math" w:cs="Cambria Math"/>
          <w:lang w:val="en-GB"/>
        </w:rPr>
        <w:instrText>∼</w:instrText>
      </w:r>
      <w:r w:rsidR="00B7281F">
        <w:rPr>
          <w:lang w:val="en-GB"/>
        </w:rPr>
        <w:instrText>43% respectively, were better addressed in the reviewed modelling approaches than the non-indigenous species (0.3%) and sea floor integrity (</w:instrText>
      </w:r>
      <w:r w:rsidR="00B7281F">
        <w:rPr>
          <w:rFonts w:ascii="Cambria Math" w:hAnsi="Cambria Math" w:cs="Cambria Math"/>
          <w:lang w:val="en-GB"/>
        </w:rPr>
        <w:instrText>∼</w:instrText>
      </w:r>
      <w:r w:rsidR="00B7281F">
        <w:rPr>
          <w:lang w:val="en-GB"/>
        </w:rPr>
        <w:instrText>8%) descriptors. Out of 12 criteria and 21 MSFD indicators relevant to the abovementioned descriptors, currently only three indicators were not addressed by the 44 models reviewed. Modelling approaches showed also the potential to inform on the complex, integrative ecosystem dimensions while addressing ecosystem fundamental properties, such as interactions between structural components and ecosystems services provided, despite the fact that they are not part of the MSFD indicators set. The cataloguing of models and their derived indicators presented in this study, aim at helping the planning and integration of policies like the MSFD which require the assessment of all European Seas in relation to their ecosystem status and pressures associated and the establishment of environmental targets (through the use of indicators) to achieve GEnS by 2020.","author":[{"dropping-particle":"","family":"Piroddi","given":"Chiara","non-dropping-particle":"","parse-names":false,"suffix":""},{"dropping-particle":"","family":"Teixeira","given":"Heliana","non-dropping-particle":"","parse-names":false,"suffix":""},{"dropping-particle":"","family":"Lynam","given":"Christopher P.","non-dropping-particle":"","parse-names":false,"suffix":""},{"dropping-particle":"","family":"Smith","given":"Chris","non-dropping-particle":"","parse-names":false,"suffix":""},{"dropping-particle":"","family":"Alvarez","given":"Maria C.","non-dropping-particle":"","parse-names":false,"suffix":""},{"dropping-particle":"","family":"Mazik","given":"Krysia","non-dropping-particle":"","parse-names":false,"suffix":""},{"dropping-particle":"","family":"Andonegi","given":"Eider","non-dropping-particle":"","parse-names":false,"suffix":""},{"dropping-particle":"","family":"Churilova","given":"Tanya","non-dropping-particle":"","parse-names":false,"suffix":""},{"dropping-particle":"","family":"Tedesco","given":"Letizia","non-dropping-particle":"","parse-names":false,"suffix":""},{"dropping-particle":"","family":"Chifflet","given":"Marina","non-dropping-particle":"","parse-names":false,"suffix":""},{"dropping-particle":"","family":"Chust","given":"Guillem","non-dropping-particle":"","parse-names":false,"suffix":""},{"dropping-particle":"","family":"Galparsoro","given":"Ibon","non-dropping-particle":"","parse-names":false,"suffix":""},{"dropping-particle":"","family":"Garcia","given":"Ana Carla","non-dropping-particle":"","parse-names":false,"suffix":""},{"dropping-particle":"","family":"Kämäri","given":"Maria","non-dropping-particle":"","parse-names":false,"suffix":""},{"dropping-particle":"","family":"Kryvenko","given":"Olga","non-dropping-particle":"","parse-names":false,"suffix":""},{"dropping-particle":"","family":"Lassalle","given":"Geraldine","non-dropping-particle":"","parse-names":false,"suffix":""},{"dropping-particle":"","family":"Neville","given":"Suzanna","non-dropping-particle":"","parse-names":false,"suffix":""},{"dropping-particle":"","family":"Niquil","given":"Nathalie","non-dropping-particle":"","parse-names":false,"suffix":""},{"dropping-particle":"","family":"Papadopoulou","given":"Nadia","non-dropping-particle":"","parse-names":false,"suffix":""},{"dropping-particle":"","family":"Rossberg","given":"Axel G.","non-dropping-particle":"","parse-names":false,"suffix":""},{"dropping-particle":"","family":"Suslin","given":"Vjacheslav","non-dropping-particle":"","parse-names":false,"suffix":""},{"dropping-particle":"","family":"Uyarra","given":"Maria C.","non-dropping-particle":"","parse-names":false,"suffix":""}],"container-title":"Ecological Indicators","id":"ITEM-1","issued":{"date-parts":[["2015"]]},"title":"Using ecological models to assess ecosystem status in support of the European Marine Strategy Framework Directive","type":"article"},"uris":["http://www.mendeley.com/documents/?uuid=bae0adb2-9c4e-4f56-9e1b-599e5562ed09"]},{"id":"ITEM-2","itemData":{"DOI":"10.1016/j.ecolmodel.2016.07.004","ISSN":"03043800","abstract":"Eutrophication of lakes and the risk of harmful cyanobacterial blooms due is a major challenge for management of aquatic ecosystems, and climate change is expected to reinforce these problems. Modelling of aquatic ecosystems has been widely used to predict effects of altered land use and climate change on water quality, assessed by chemistry and phytoplankton biomass. However, the European Water Framework Directive requires more advanced biological indicators for the assessment of ecological status of water bodies, such as the amount of cyanobacteria. We applied a Bayesian network (BN) modelling approach to link future scenarios of climate change and land-use management to ecological status, incorporating cyanobacteria biomass as one of the indicators. The case study is Lake Vansjø in Norway, which has a history of eutrophication and cyanobacterial blooms. The objective was (i) to assess the combined effect of changes in land use and climate on the ecological status of a lake and (ii) to assess the suitability of the BN modelling approach for this purpose. The BN was able to model effects of climate change and management on ecological status of a lake, by combining scenarios, process-based model output, monitoring data and the national lake assessment system. The results showed that the benefits of better land-use management were partly counteracted by future warming under these scenarios. Most importantly, the BN demonstrated the importance of including more biological indicators in the modelling of lake status: namely, that inclusion of cyanobacteria biomass can lower the ecological status compared to assessment by phytoplankton biomass alone. Thus, the BN approach can be a useful supplement to process-based models for water resource management.1 Abbreviations: BN = Bayesian network; Chl-a = chlorophyll a; WFD = Water Framework Directive.","author":[{"dropping-particle":"","family":"Moe","given":"S. Jannicke","non-dropping-particle":"","parse-names":false,"suffix":""},{"dropping-particle":"","family":"Haande","given":"Sigrid","non-dropping-particle":"","parse-names":false,"suffix":""},{"dropping-particle":"","family":"Couture","given":"Raoul Marie","non-dropping-particle":"","parse-names":false,"suffix":""}],"container-title":"Ecological Modelling","id":"ITEM-2","issued":{"date-parts":[["2016"]]},"title":"Climate change, cyanobacteria blooms and ecological status of lakes: A Bayesian network approach","type":"article-journal"},"uris":["http://www.mendeley.com/documents/?uuid=84304fd2-8feb-4e13-beca-af89568595e3"]}],"mendeley":{"formattedCitation":"(Piroddi et al., 2015; Moe, Haande, &amp; Couture, 2016)","plainTextFormattedCitation":"(Piroddi et al., 2015; Moe, Haande, &amp; Couture, 2016)","previouslyFormattedCitation":"(Piroddi et al., 2015; Moe, Haande, &amp; Couture, 2016)"},"properties":{"noteIndex":0},"schema":"https://github.com/citation-style-language/schema/raw/master/csl-citation.json"}</w:instrText>
      </w:r>
      <w:r w:rsidR="00B7281F">
        <w:rPr>
          <w:lang w:val="en-GB"/>
        </w:rPr>
        <w:fldChar w:fldCharType="separate"/>
      </w:r>
      <w:r w:rsidR="00B7281F" w:rsidRPr="00B7281F">
        <w:rPr>
          <w:noProof/>
          <w:lang w:val="en-GB"/>
        </w:rPr>
        <w:t>(Piroddi et al., 2015; Moe, Haande, &amp; Couture, 2016)</w:t>
      </w:r>
      <w:r w:rsidR="00B7281F">
        <w:rPr>
          <w:lang w:val="en-GB"/>
        </w:rPr>
        <w:fldChar w:fldCharType="end"/>
      </w:r>
      <w:r w:rsidRPr="00063D2E">
        <w:rPr>
          <w:lang w:val="en-GB"/>
        </w:rPr>
        <w:t>. Modelling is</w:t>
      </w:r>
      <w:r>
        <w:rPr>
          <w:lang w:val="en-GB"/>
        </w:rPr>
        <w:t>,</w:t>
      </w:r>
      <w:r w:rsidRPr="00063D2E">
        <w:rPr>
          <w:lang w:val="en-GB"/>
        </w:rPr>
        <w:t xml:space="preserve"> therefore</w:t>
      </w:r>
      <w:r>
        <w:rPr>
          <w:lang w:val="en-GB"/>
        </w:rPr>
        <w:t>,</w:t>
      </w:r>
      <w:r w:rsidRPr="00063D2E">
        <w:rPr>
          <w:lang w:val="en-GB"/>
        </w:rPr>
        <w:t xml:space="preserve"> useful not only to provide practical knowledge for problem solving, but also to enhance the basic understanding of lake ecosystems considered as </w:t>
      </w:r>
      <w:r>
        <w:rPr>
          <w:lang w:val="en-GB"/>
        </w:rPr>
        <w:t xml:space="preserve">a </w:t>
      </w:r>
      <w:r w:rsidRPr="00063D2E">
        <w:rPr>
          <w:lang w:val="en-GB"/>
        </w:rPr>
        <w:t>group of individual objects, yet with underlying common features. Generally</w:t>
      </w:r>
      <w:r w:rsidR="005360B1">
        <w:rPr>
          <w:lang w:val="en-GB"/>
        </w:rPr>
        <w:t xml:space="preserve"> speaking</w:t>
      </w:r>
      <w:r w:rsidRPr="00063D2E">
        <w:rPr>
          <w:lang w:val="en-GB"/>
        </w:rPr>
        <w:t xml:space="preserve">, ecological state models of lake ecosystems are composed of predictive equations that integrate multiple variables of the environment </w:t>
      </w:r>
      <w:r w:rsidR="00B7281F">
        <w:rPr>
          <w:lang w:val="en-GB"/>
        </w:rPr>
        <w:fldChar w:fldCharType="begin" w:fldLock="1"/>
      </w:r>
      <w:r w:rsidR="00B7281F">
        <w:rPr>
          <w:lang w:val="en-GB"/>
        </w:rPr>
        <w:instrText>ADDIN CSL_CITATION {"citationItems":[{"id":"ITEM-1","itemData":{"DOI":"10.1016/j.ecolmodel.2019.108784","ISSN":"03043800","abstract":"Understanding and predicting the ecological consequences of different management alternatives is becoming increasingly important to support environmental management decisions. Ecological models could contribute to such predictions, but in the past this was often not the case. Ecological models are often developed within research projects but are rarely used for practical applications. In this synthesis paper, we discuss how to strengthen the role of ecological modeling in supporting environmental management decisions with a focus on methodological aspects. We address mainly ecological modellers but also potential users of modeling results. Various modeling approaches can be used to predict the response of ecosystems to anthropogenic interventions, including mechanistic models, statistical models, and machine learning approaches. Regardless of the chosen approach, we outline how to better align the modeling to the decision making process, and identify six requirements that we believe are important to increase the usefulness of ecological models for management support, especially if management decisions need to be justified to the public. These cover: (i) a mechanistic understanding regarding causality, (ii) alignment of model input and output with the management decision, (iii) appropriate spatial and temporal resolutions, (iv) uncertainty quantification, (v) sufficient predictive performance, and (vi) transparent communication. We discuss challenges and synthesize suggestions for addressing these points.","author":[{"dropping-particle":"","family":"Schuwirth","given":"Nele","non-dropping-particle":"","parse-names":false,"suffix":""},{"dropping-particle":"","family":"Borgwardt","given":"Florian","non-dropping-particle":"","parse-names":false,"suffix":""},{"dropping-particle":"","family":"Domisch","given":"Sami","non-dropping-particle":"","parse-names":false,"suffix":""},{"dropping-particle":"","family":"Friedrichs","given":"Martin","non-dropping-particle":"","parse-names":false,"suffix":""},{"dropping-particle":"","family":"Kattwinkel","given":"Mira","non-dropping-particle":"","parse-names":false,"suffix":""},{"dropping-particle":"","family":"Kneis","given":"David","non-dropping-particle":"","parse-names":false,"suffix":""},{"dropping-particle":"","family":"Kuemmerlen","given":"Mathias","non-dropping-particle":"","parse-names":false,"suffix":""},{"dropping-particle":"","family":"Langhans","given":"Simone D.","non-dropping-particle":"","parse-names":false,"suffix":""},{"dropping-particle":"","family":"Martínez-López","given":"Javier","non-dropping-particle":"","parse-names":false,"suffix":""},{"dropping-particle":"","family":"Vermeiren","given":"Peter","non-dropping-particle":"","parse-names":false,"suffix":""}],"container-title":"Ecological Modelling","id":"ITEM-1","issued":{"date-parts":[["2019"]]},"title":"How to make ecological models useful for environmental management","type":"article"},"uris":["http://www.mendeley.com/documents/?uuid=f12ca3e3-bc13-4a5d-be45-b657e9ef32b9"]}],"mendeley":{"formattedCitation":"(Schuwirth et al., 2019)","plainTextFormattedCitation":"(Schuwirth et al., 2019)","previouslyFormattedCitation":"(Schuwirth et al., 2019)"},"properties":{"noteIndex":0},"schema":"https://github.com/citation-style-language/schema/raw/master/csl-citation.json"}</w:instrText>
      </w:r>
      <w:r w:rsidR="00B7281F">
        <w:rPr>
          <w:lang w:val="en-GB"/>
        </w:rPr>
        <w:fldChar w:fldCharType="separate"/>
      </w:r>
      <w:r w:rsidR="00B7281F" w:rsidRPr="00B7281F">
        <w:rPr>
          <w:noProof/>
          <w:lang w:val="en-GB"/>
        </w:rPr>
        <w:t>(Schuwirth et al., 2019)</w:t>
      </w:r>
      <w:r w:rsidR="00B7281F">
        <w:rPr>
          <w:lang w:val="en-GB"/>
        </w:rPr>
        <w:fldChar w:fldCharType="end"/>
      </w:r>
      <w:r w:rsidRPr="00063D2E">
        <w:rPr>
          <w:lang w:val="en-GB"/>
        </w:rPr>
        <w:t xml:space="preserve">. </w:t>
      </w:r>
      <w:r w:rsidR="005360B1">
        <w:rPr>
          <w:lang w:val="en-GB"/>
        </w:rPr>
        <w:t>E</w:t>
      </w:r>
      <w:r w:rsidRPr="00063D2E">
        <w:rPr>
          <w:lang w:val="en-GB"/>
        </w:rPr>
        <w:t xml:space="preserve">nvironmental variables may be physical, chemical or biological, and are expressed as quantities per unit or volume per unit area, or as flows </w:t>
      </w:r>
      <w:r w:rsidR="00B7281F">
        <w:rPr>
          <w:lang w:val="en-GB"/>
        </w:rPr>
        <w:fldChar w:fldCharType="begin" w:fldLock="1"/>
      </w:r>
      <w:r w:rsidR="00B7281F">
        <w:rPr>
          <w:lang w:val="en-GB"/>
        </w:rPr>
        <w:instrText>ADDIN CSL_CITATION {"citationItems":[{"id":"ITEM-1","itemData":{"DOI":"10.1038/sdata.2018.226","ISSN":"20524463","PMID":"30351308","abstract":"Under ongoing climate change and increasing anthropogenic activity, which continuously challenge ecosystem resilience, an in-depth understanding of ecological processes is urgently needed. Lakes, as providers of numerous ecosystem services, face multiple stressors that threaten their functioning. Harmful cyanobacterial blooms are a persistent problem resulting from nutrient pollution and climate-change induced stressors, like poor transparency, increased water temperature and enhanced stratification. Consistency in data collection and analysis methods is necessary to achieve fully comparable datasets and for statistical validity, avoiding issues linked to disparate data sources. The European Multi Lake Survey (EMLS) in summer 2015 was an initiative among scientists from 27 countries to collect and analyse lake physical, chemical and biological variables in a fully standardized manner. This database includes in-situ lake variables along with nutrient, pigment and cyanotoxin data of 369 lakes in Europe, which were centrally analysed in dedicated laboratories. Publishing the EMLS methods and dataset might inspire similar initiatives to study across large geographic areas that will contribute to better understanding lake responses in a changing environment.","author":[{"dropping-particle":"","family":"Mantzouki","given":"Evanthia","non-dropping-particle":"","parse-names":false,"suffix":""},{"dropping-particle":"","family":"Campbell","given":"James","non-dropping-particle":"","parse-names":false,"suffix":""},{"dropping-particle":"Van","family":"Loon","given":"Emiel","non-dropping-particle":"","parse-names":false,"suffix":""},{"dropping-particle":"","family":"Visser","given":"Petra","non-dropping-particle":"","parse-names":false,"suffix":""},{"dropping-particle":"","family":"Konstantinou","given":"Iosif","non-dropping-particle":"","parse-names":false,"suffix":""},{"dropping-particle":"","family":"Antoniou","given":"Maria","non-dropping-particle":"","parse-names":false,"suffix":""},{"dropping-particle":"","family":"Giuliani","given":"Grégory","non-dropping-particle":"","parse-names":false,"suffix":""},{"dropping-particle":"","family":"Machado-Vieira","given":"Danielle","non-dropping-particle":"","parse-names":false,"suffix":""},{"dropping-particle":"De","family":"Oliveira","given":"Alinne Gurjão","non-dropping-particle":"","parse-names":false,"suffix":""},{"dropping-particle":"","family":"Maronić","given":"Dubravka Špoljarić","non-dropping-particle":"","parse-names":false,"suffix":""},{"dropping-particle":"","family":"Stević","given":"Filip","non-dropping-particle":"","parse-names":false,"suffix":""},{"dropping-particle":"","family":"Pfeiffer","given":"Tanja Žuna","non-dropping-particle":"","parse-names":false,"suffix":""},{"dropping-particle":"","family":"Vucelić","given":"Itana Bokan","non-dropping-particle":"","parse-names":false,"suffix":""},{"dropping-particle":"","family":"Žutinić","given":"Petar","non-dropping-particle":"","parse-names":false,"suffix":""},{"dropping-particle":"","family":"Udovič","given":"Marija Gligora","non-dropping-particle":"","parse-names":false,"suffix":""},{"dropping-particle":"","family":"Plenković-Moraj","given":"Anđelka","non-dropping-particle":"","parse-names":false,"suffix":""},{"dropping-particle":"","family":"Tsiarta","given":"Nikoletta","non-dropping-particle":"","parse-names":false,"suffix":""},{"dropping-particle":"","family":"Bláha","given":"Luděk","non-dropping-particle":"","parse-names":false,"suffix":""},{"dropping-particle":"","family":"Geriš","given":"Rodan","non-dropping-particle":"","parse-names":false,"suffix":""},{"dropping-particle":"","family":"Fránková","given":"Markéta","non-dropping-particle":"","parse-names":false,"suffix":""},{"dropping-particle":"","family":"Christoffersen","given":"Kirsten Seestern","non-dropping-particle":"","parse-names":false,"suffix":""},{"dropping-particle":"","family":"Warming","given":"Trine Perlt","non-dropping-particle":"","parse-names":false,"suffix":""},{"dropping-particle":"","family":"Feldmann","given":"Tõnu","non-dropping-particle":"","parse-names":false,"suffix":""},{"dropping-particle":"","family":"Laas","given":"Alo","non-dropping-particle":"","parse-names":false,"suffix":""},{"dropping-particle":"","family":"Panksep","given":"Kristel","non-dropping-particle":"","parse-names":false,"suffix":""},{"dropping-particle":"","family":"Tuvikene","given":"Lea","non-dropping-particle":"","parse-names":false,"suffix":""},{"dropping-particle":"","family":"Kangro","given":"Kersti","non-dropping-particle":"","parse-names":false,"suffix":""},{"dropping-particle":"","family":"Häggqvist","given":"Kerstin","non-dropping-particle":"","parse-names":false,"suffix":""},{"dropping-particle":"","family":"Salmi","given":"Pauliina","non-dropping-particle":"","parse-names":false,"suffix":""},{"dropping-particle":"","family":"Arvola","given":"Lauri","non-dropping-particle":"","parse-names":false,"suffix":""},{"dropping-particle":"","family":"Fastner","given":"Jutta","non-dropping-particle":"","parse-names":false,"suffix":""},{"dropping-particle":"","family":"Straile","given":"Dietmar","non-dropping-particle":"","parse-names":false,"suffix":""},{"dropping-particle":"","family":"Rothhaupt","given":"Karl Otto","non-dropping-particle":"","parse-names":false,"suffix":""},{"dropping-particle":"","family":"Fonvielle","given":"Jeremy","non-dropping-particle":"","parse-names":false,"suffix":""},{"dropping-particle":"","family":"Grossart","given":"Hans Peter","non-dropping-particle":"","parse-names":false,"suffix":""},{"dropping-particle":"","family":"Avagianos","given":"Christos","non-dropping-particle":"","parse-names":false,"suffix":""},{"dropping-particle":"","family":"Kaloudis","given":"Triantafyllos","non-dropping-particle":"","parse-names":false,"suffix":""},{"dropping-particle":"","family":"Triantis","given":"Theodoros","non-dropping-particle":"","parse-names":false,"suffix":""},{"dropping-particle":"","family":"Zervou","given":"Sevasti Kiriaki","non-dropping-particle":"","parse-names":false,"suffix":""},{"dropping-particle":"","family":"Hiskia","given":"Anastasia","non-dropping-particle":"","parse-names":false,"suffix":""},{"dropping-particle":"","family":"Gkelis","given":"Spyros","non-dropping-particle":"","parse-names":false,"suffix":""},{"dropping-particle":"","family":"Panou","given":"Manthos","non-dropping-particle":"","parse-names":false,"suffix":""},{"dropping-particle":"","family":"McCarthy","given":"Valerie","non-dropping-particle":"","parse-names":false,"suffix":""},{"dropping-particle":"","family":"Perello","given":"Victor C.","non-dropping-particle":"","parse-names":false,"suffix":""},{"dropping-particle":"","family":"Obertegger","given":"Ulrike","non-dropping-particle":"","parse-names":false,"suffix":""},{"dropping-particle":"","family":"Boscaini","given":"Adriano","non-dropping-particle":"","parse-names":false,"suffix":""},{"dropping-particle":"","family":"Flaim","given":"Giovanna","non-dropping-particle":"","parse-names":false,"suffix":""},{"dropping-particle":"","family":"Salmaso","given":"Nico","non-dropping-particle":"","parse-names":false,"suffix":""},{"dropping-particle":"","family":"Cerasino","given":"Leonardo","non-dropping-particle":"","parse-names":false,"suffix":""},{"dropping-particle":"","family":"Koreivienė","given":"Judita","non-dropping-particle":"","parse-names":false,"suffix":""},{"dropping-particle":"","family":"Karosienė","given":"Jūratė","non-dropping-particle":"","parse-names":false,"suffix":""},{"dropping-particle":"","family":"Kasperovičienė","given":"Jūratė","non-dropping-particle":"","parse-names":false,"suffix":""},{"dropping-particle":"","family":"Savadova","given":"Ksenija","non-dropping-particle":"","parse-names":false,"suffix":""},{"dropping-particle":"","family":"Vitonytė","given":"Irma","non-dropping-particle":"","parse-names":false,"suffix":""},{"dropping-particle":"","family":"Haande","given":"Sigrid","non-dropping-particle":"","parse-names":false,"suffix":""},{"dropping-particle":"","family":"Skjelbred","given":"Birger","non-dropping-particle":"","parse-names":false,"suffix":""},{"dropping-particle":"","family":"Grabowska","given":"Magdalena","non-dropping-particle":"","parse-names":false,"suffix":""},{"dropping-particle":"","family":"Karpowicz","given":"Maciej","non-dropping-particle":"","parse-names":false,"suffix":""},{"dropping-particle":"","family":"Chmura","given":"Damian","non-dropping-particle":"","parse-names":false,"suffix":""},{"dropping-particle":"","family":"Nawrocka","given":"Lidia","non-dropping-particle":"","parse-names":false,"suffix":""},{"dropping-particle":"","family":"Kobos","given":"Justyna","non-dropping-particle":"","parse-names":false,"suffix":""},{"dropping-particle":"","family":"Mazur-Marzec","given":"Hanna","non-dropping-particle":"","parse-names":false,"suffix":""},{"dropping-particle":"","family":"Alcaraz-Párraga","given":"Pablo","non-dropping-particle":"","parse-names":false,"suffix":""},{"dropping-particle":"","family":"Wilk-Woźniak","given":"Elżbieta","non-dropping-particle":"","parse-names":false,"suffix":""},{"dropping-particle":"","family":"Krztoń","given":"Wojciech","non-dropping-particle":"","parse-names":false,"suffix":""},{"dropping-particle":"","family":"Walusiak","given":"Edward","non-dropping-particle":"","parse-names":false,"suffix":""},{"dropping-particle":"","family":"Gagala","given":"Ilona","non-dropping-particle":"","parse-names":false,"suffix":""},{"dropping-particle":"","family":"Mankiewicz-Boczek","given":"Joana","non-dropping-particle":"","parse-names":false,"suffix":""},{"dropping-particle":"","family":"Toporowska","given":"Magdalena","non-dropping-particle":"","parse-names":false,"suffix":""},{"dropping-particle":"","family":"Pawlik-Skowronska","given":"Barbara","non-dropping-particle":"","parse-names":false,"suffix":""},{"dropping-particle":"","family":"Niedźwieck","given":"Michał","non-dropping-particle":"","parse-names":false,"suffix":""},{"dropping-particle":"","family":"Pęczuła","given":"Wojciech","non-dropping-particle":"","parse-names":false,"suffix":""},{"dropping-particle":"","family":"Napiórkowska-Krzebietke","given":"Agnieszka","non-dropping-particle":"","parse-names":false,"suffix":""},{"dropping-particle":"","family":"Dunalska","given":"Julita","non-dropping-particle":"","parse-names":false,"suffix":""},{"dropping-particle":"","family":"Sieńska","given":"Justyna","non-dropping-particle":"","parse-names":false,"suffix":""},{"dropping-particle":"","family":"Szymański","given":"Daniel","non-dropping-particle":"","parse-names":false,"suffix":""},{"dropping-particle":"","family":"Kruk","given":"Marek","non-dropping-particle":"","parse-names":false,"suffix":""},{"dropping-particle":"","family":"Budzyńska","given":"Agnieszka","non-dropping-particle":"","parse-names":false,"suffix":""},{"dropping-particle":"","family":"Goldyn","given":"Ryszard","non-dropping-particle":"","parse-names":false,"suffix":""},{"dropping-particle":"","family":"Kozak","given":"Anna","non-dropping-particle":"","parse-names":false,"suffix":""},{"dropping-particle":"","family":"Rosińska","given":"Joanna","non-dropping-particle":"","parse-names":false,"suffix":""},{"dropping-particle":"","family":"Szeląg-Wasielewska","given":"Elżbieta","non-dropping-particle":"","parse-names":false,"suffix":""},{"dropping-particle":"","family":"Domek","given":"Piotr","non-dropping-particle":"","parse-names":false,"suffix":""},{"dropping-particle":"","family":"Jakubowska-Krepska","given":"Natalia","non-dropping-particle":"","parse-names":false,"suffix":""},{"dropping-particle":"","family":"Kwasizur","given":"Kinga","non-dropping-particle":"","parse-names":false,"suffix":""},{"dropping-particle":"","family":"Messyasz","given":"Beata","non-dropping-particle":"","parse-names":false,"suffix":""},{"dropping-particle":"","family":"Pełechata","given":"Aleksandra","non-dropping-particle":"","parse-names":false,"suffix":""},{"dropping-particle":"","family":"Pełechaty","given":"Mariusz","non-dropping-particle":"","parse-names":false,"suffix":""},{"dropping-particle":"","family":"Kokocinski","given":"Mikolaj","non-dropping-particle":"","parse-names":false,"suffix":""},{"dropping-particle":"","family":"Madrecka","given":"Beata","non-dropping-particle":"","parse-names":false,"suffix":""},{"dropping-particle":"","family":"Kostrzewska-Szlakowska","given":"Iwona","non-dropping-particle":"","parse-names":false,"suffix":""},{"dropping-particle":"","family":"Frąk","given":"Magdalena","non-dropping-particle":"","parse-names":false,"suffix":""},{"dropping-particle":"","family":"Bańkowska-Sobczak","given":"Agnieszka","non-dropping-particle":"","parse-names":false,"suffix":""},{"dropping-particle":"","family":"Wasilewicz","given":"Michał","non-dropping-particle":"","parse-names":false,"suffix":""},{"dropping-particle":"","family":"Ochocka","given":"Agnieszka","non-dropping-particle":"","parse-names":false,"suffix":""},{"dropping-particle":"","family":"Pasztalenie","given":"Agnieszka","non-dropping-particle":"","parse-names":false,"suffix":""},{"dropping-particle":"","family":"Jasser","given":"Iwona","non-dropping-particle":"","parse-names":false,"suffix":""},{"dropping-particle":"","family":"Antão-Geraldes","given":"Ana M.","non-dropping-particle":"","parse-names":false,"suffix":""},{"dropping-particle":"","family":"Leira","given":"Manel","non-dropping-particle":"","parse-names":false,"suffix":""},{"dropping-particle":"","family":"Hernández","given":"Armand","non-dropping-particle":"","parse-names":false,"suffix":""},{"dropping-particle":"","family":"Vasconcelos","given":"Vitor","non-dropping-particle":"","parse-names":false,"suffix":""},{"dropping-particle":"","family":"Morais","given":"João","non-dropping-particle":"","parse-names":false,"suffix":""},{"dropping-particle":"","family":"Vale","given":"Micaela","non-dropping-particle":"","parse-names":false,"suffix":""},{"dropping-particle":"","family":"Raposeiro","given":"Pedro M.","non-dropping-particle":"","parse-names":false,"suffix":""},{"dropping-particle":"","family":"Gonçalves","given":"Vítor","non-dropping-particle":"","parse-names":false,"suffix":""},{"dropping-particle":"","family":"Aleksovski","given":"Boris","non-dropping-particle":"","parse-names":false,"suffix":""},{"dropping-particle":"","family":"Krstić","given":"Svetislav","non-dropping-particle":"","parse-names":false,"suffix":""},{"dropping-particle":"","family":"Nemova","given":"Hana","non-dropping-particle":"","parse-names":false,"suffix":""},{"dropping-particle":"","family":"Drastichova","given":"Iveta","non-dropping-particle":"","parse-names":false,"suffix":""},{"dropping-particle":"","family":"Chomova","given":"Lucia","non-dropping-particle":"","parse-names":false,"suffix":""},{"dropping-particle":"","family":"Remec-Rekar","given":"Spela","non-dropping-particle":"","parse-names":false,"suffix":""},{"dropping-particle":"","family":"Elerse","given":"Tina","non-dropping-particle":"","parse-names":false,"suffix":""},{"dropping-particle":"","family":"Delgado-Martín","given":"Jordi","non-dropping-particle":"","parse-names":false,"suffix":""},{"dropping-particle":"","family":"García","given":"David","non-dropping-particle":"","parse-names":false,"suffix":""},{"dropping-particle":"","family":"Cereijo","given":"Jose Luís","non-dropping-particle":"","parse-names":false,"suffix":""},{"dropping-particle":"","family":"Gomà","given":"Joan","non-dropping-particle":"","parse-names":false,"suffix":""},{"dropping-particle":"","family":"Trapote","given":"Mari Carmen","non-dropping-particle":"","parse-names":false,"suffix":""},{"dropping-particle":"","family":"Vegas-Vilarrúbia","given":"Teresa","non-dropping-particle":"","parse-names":false,"suffix":""},{"dropping-particle":"","family":"Obrador","given":"Biel","non-dropping-particle":"","parse-names":false,"suffix":""},{"dropping-particle":"","family":"García-Murcia","given":"Ana","non-dropping-particle":"","parse-names":false,"suffix":""},{"dropping-particle":"","family":"Real","given":"Monserrat","non-dropping-particle":"","parse-names":false,"suffix":""},{"dropping-particle":"","family":"Romans","given":"Elvira","non-dropping-particle":"","parse-names":false,"suffix":""},{"dropping-particle":"","family":"Noguero-Ribes","given":"Jordi","non-dropping-particle":"","parse-names":false,"suffix":""},{"dropping-particle":"","family":"Duque","given":"David Parreño","non-dropping-particle":"","parse-names":false,"suffix":""},{"dropping-particle":"","family":"Fernández-Morán","given":"Elísabeth","non-dropping-particle":"","parse-names":false,"suffix":""},{"dropping-particle":"","family":"Úbeda","given":"Bárbara","non-dropping-particle":"","parse-names":false,"suffix":""},{"dropping-particle":"","family":"Gálvez","given":"José Ángel","non-dropping-particle":"","parse-names":false,"suffix":""},{"dropping-particle":"","family":"Marcé","given":"Rafael","non-dropping-particle":"","parse-names":false,"suffix":""},{"dropping-particle":"","family":"Catalán","given":"Núria","non-dropping-particle":"","parse-names":false,"suffix":""},{"dropping-particle":"","family":"Pérez-Martínez","given":"Carmen","non-dropping-particle":"","parse-names":false,"suffix":""},{"dropping-particle":"","family":"Ramos-Rodríguez","given":"Eloísa","non-dropping-particle":"","parse-names":false,"suffix":""},{"dropping-particle":"","family":"Cillero-Castro","given":"Carmen","non-dropping-particle":"","parse-names":false,"suffix":""},{"dropping-particle":"","family":"Moreno-Ostos","given":"Enrique","non-dropping-particle":"","parse-names":false,"suffix":""},{"dropping-particle":"","family":"Blanco","given":"José María","non-dropping-particle":"","parse-names":false,"suffix":""},{"dropping-particle":"","family":"Rodríguez","given":"Valeriano","non-dropping-particle":"","parse-names":false,"suffix":""},{"dropping-particle":"","family":"Montes-Pérez","given":"Jorge Juan","non-dropping-particle":"","parse-names":false,"suffix":""},{"dropping-particle":"","family":"Palomino","given":"Roberto L.","non-dropping-particle":"","parse-names":false,"suffix":""},{"dropping-particle":"","family":"Rodríguez-Pérez","given":"Estela","non-dropping-particle":"","parse-names":false,"suffix":""},{"dropping-particle":"","family":"Carballeira","given":"Rafael","non-dropping-particle":"","parse-names":false,"suffix":""},{"dropping-particle":"","family":"Camacho","given":"Antonio","non-dropping-particle":"","parse-names":false,"suffix":""},{"dropping-particle":"","family":"Picazo","given":"Antonio","non-dropping-particle":"","parse-names":false,"suffix":""},{"dropping-particle":"","family":"Rochera","given":"Carlos","non-dropping-particle":"","parse-names":false,"suffix":""},{"dropping-particle":"","family":"Santamans","given":"Anna C.","non-dropping-particle":"","parse-names":false,"suffix":""},{"dropping-particle":"","family":"Ferriol","given":"Carmen","non-dropping-particle":"","parse-names":false,"suffix":""},{"dropping-particle":"","family":"Romo","given":"Susana","non-dropping-particle":"","parse-names":false,"suffix":""},{"dropping-particle":"","family":"Soria","given":"Juan Miguel","non-dropping-particle":"","parse-names":false,"suffix":""},{"dropping-particle":"","family":"Hansson","given":"Lars Anders","non-dropping-particle":"","parse-names":false,"suffix":""},{"dropping-particle":"","family":"Urrutia-Cordero","given":"Pablo","non-dropping-particle":"","parse-names":false,"suffix":""},{"dropping-particle":"","family":"Özen","given":"Arda","non-dropping-particle":"","parse-names":false,"suffix":""},{"dropping-particle":"","family":"Bravo","given":"Andrea G.","non-dropping-particle":"","parse-names":false,"suffix":""},{"dropping-particle":"","family":"Buck","given":"Moritz","non-dropping-particle":"","parse-names":false,"suffix":""},{"dropping-particle":"","family":"Colom-Montero","given":"William","non-dropping-particle":"","parse-names":false,"suffix":""},{"dropping-particle":"","family":"Mustonen","given":"Kristiina","non-dropping-particle":"","parse-names":false,"suffix":""},{"dropping-particle":"","family":"Pierson","given":"Don","non-dropping-particle":"","parse-names":false,"suffix":""},{"dropping-particle":"","family":"Yang","given":"Yang","non-dropping-particle":"","parse-names":false,"suffix":""},{"dropping-particle":"","family":"Verspagen","given":"Jolanda M.H.","non-dropping-particle":"","parse-names":false,"suffix":""},{"dropping-particle":"","family":"Senerpont Domis","given":"Lisette N.","non-dropping-particle":"De","parse-names":false,"suffix":""},{"dropping-particle":"","family":"Seelen","given":"Laura","non-dropping-particle":"","parse-names":false,"suffix":""},{"dropping-particle":"","family":"Teurlincx","given":"Sven","non-dropping-particle":"","parse-names":false,"suffix":""},{"dropping-particle":"","family":"Verstijnen","given":"Yvon","non-dropping-particle":"","parse-names":false,"suffix":""},{"dropping-particle":"","family":"Lürling","given":"Miquel","non-dropping-particle":"","parse-names":false,"suffix":""},{"dropping-particle":"","family":"Maliaka","given":"Valentini","non-dropping-particle":"","parse-names":false,"suffix":""},{"dropping-particle":"","family":"Faassen","given":"Elisabeth J.","non-dropping-particle":"","parse-names":false,"suffix":""},{"dropping-particle":"","family":"Latour","given":"Delphine","non-dropping-particle":"","parse-names":false,"suffix":""},{"dropping-particle":"","family":"Carey","given":"Cayelan C.","non-dropping-particle":"","parse-names":false,"suffix":""},{"dropping-particle":"","family":"Paerl","given":"Hans W.","non-dropping-particle":"","parse-names":false,"suffix":""},{"dropping-particle":"","family":"Torokne","given":"Andrea","non-dropping-particle":"","parse-names":false,"suffix":""},{"dropping-particle":"","family":"Karan","given":"Tünay","non-dropping-particle":"","parse-names":false,"suffix":""},{"dropping-particle":"","family":"Demir","given":"Nilsun","non-dropping-particle":"","parse-names":false,"suffix":""},{"dropping-particle":"","family":"Beklioğlu","given":"Meryem","non-dropping-particle":"","parse-names":false,"suffix":""},{"dropping-particle":"","family":"Filiz","given":"Nur","non-dropping-particle":"","parse-names":false,"suffix":""},{"dropping-particle":"","family":"Levi","given":"Eti E.","non-dropping-particle":"","parse-names":false,"suffix":""},{"dropping-particle":"","family":"Iskin","given":"Uğur","non-dropping-particle":"","parse-names":false,"suffix":""},{"dropping-particle":"","family":"Bezirci","given":"Gizem","non-dropping-particle":"","parse-names":false,"suffix":""},{"dropping-particle":"","family":"Tavşanoğlu","given":"Ülkü Nihan","non-dropping-particle":"","parse-names":false,"suffix":""},{"dropping-particle":"","family":"Çelik","given":"Kemal","non-dropping-particle":"","parse-names":false,"suffix":""},{"dropping-particle":"","family":"Özhan","given":"Koray","non-dropping-particle":"","parse-names":false,"suffix":""},{"dropping-particle":"","family":"Karakaya","given":"Nusret","non-dropping-particle":"","parse-names":false,"suffix":""},{"dropping-particle":"","family":"Koçer","given":"Mehmet Ali Turan","non-dropping-particle":"","parse-names":false,"suffix":""},{"dropping-particle":"","family":"Yilmaz","given":"Mete","non-dropping-particle":"","parse-names":false,"suffix":""},{"dropping-particle":"","family":"Maraşlıoğlu","given":"Faruk","non-dropping-particle":"","parse-names":false,"suffix":""},{"dropping-particle":"","family":"Fakioglu","given":"Özden","non-dropping-particle":"","parse-names":false,"suffix":""},{"dropping-particle":"","family":"Soylu","given":"Elif Neyran","non-dropping-particle":"","parse-names":false,"suffix":""},{"dropping-particle":"","family":"Yağcı","given":"Meral Apaydın","non-dropping-particle":"","parse-names":false,"suffix":""},{"dropping-particle":"","family":"Çınar","given":"Şakir","non-dropping-particle":"","parse-names":false,"suffix":""},{"dropping-particle":"","family":"Çapkın","given":"Kadir","non-dropping-particle":"","parse-names":false,"suffix":""},{"dropping-particle":"","family":"Yağcı","given":"Abdulkadir","non-dropping-particle":"","parse-names":false,"suffix":""},{"dropping-particle":"","family":"Cesur","given":"Mehmet","non-dropping-particle":"","parse-names":false,"suffix":""},{"dropping-particle":"","family":"Bilgin","given":"Fuat","non-dropping-particle":"","parse-names":false,"suffix":""},{"dropping-particle":"","family":"Bulut","given":"Cafer","non-dropping-particle":"","parse-names":false,"suffix":""},{"dropping-particle":"","family":"Uysal","given":"Rahmi","non-dropping-particle":"","parse-names":false,"suffix":""},{"dropping-particle":"","family":"Köker","given":"Latife","non-dropping-particle":"","parse-names":false,"suffix":""},{"dropping-particle":"","family":"Akçaalan","given":"Reyhan","non-dropping-particle":"","parse-names":false,"suffix":""},{"dropping-particle":"","family":"Albay","given":"Meriç","non-dropping-particle":"","parse-names":false,"suffix":""},{"dropping-particle":"","family":"Alp","given":"Mehmet Tahir","non-dropping-particle":"","parse-names":false,"suffix":""},{"dropping-particle":"","family":"Özkan","given":"Korhan","non-dropping-particle":"","parse-names":false,"suffix":""},{"dropping-particle":"","family":"Sevindik","given":"Tuğba Ongun","non-dropping-particle":"","parse-names":false,"suffix":""},{"dropping-particle":"","family":"Tunca","given":"Hatice","non-dropping-particle":"","parse-names":false,"suffix":""},{"dropping-particle":"","family":"Önem","given":"Burçin","non-dropping-particle":"","parse-names":false,"suffix":""},{"dropping-particle":"","family":"Richardson","given":"Jessica","non-dropping-particle":"","parse-names":false,"suffix":""},{"dropping-particle":"","family":"Edwards","given":"Christine","non-dropping-particle":"","parse-names":false,"suffix":""},{"dropping-particle":"","family":"Bergkemper","given":"Victoria","non-dropping-particle":"","parse-names":false,"suffix":""},{"dropping-particle":"","family":"O'leary","given":"Sarah","non-dropping-particle":"","parse-names":false,"suffix":""},{"dropping-particle":"","family":"Beirne","given":"Eilish","non-dropping-particle":"","parse-names":false,"suffix":""},{"dropping-particle":"","family":"Cromie","given":"Hannah","non-dropping-particle":"","parse-names":false,"suffix":""},{"dropping-particle":"","family":"Ibelings","given":"Bastiaan W.","non-dropping-particle":"","parse-names":false,"suffix":""}],"container-title":"Scientific Data","id":"ITEM-1","issued":{"date-parts":[["2018"]]},"title":"A European Multi Lake Survey dataset of environmental variables, phytoplankton pigments and cyanotoxins","type":"article-journal"},"uris":["http://www.mendeley.com/documents/?uuid=1e0a5dc8-6cf7-40f4-8dae-3a9b2e307dfe"]}],"mendeley":{"formattedCitation":"(Mantzouki et al., 2018)","plainTextFormattedCitation":"(Mantzouki et al., 2018)","previouslyFormattedCitation":"(Mantzouki et al., 2018)"},"properties":{"noteIndex":0},"schema":"https://github.com/citation-style-language/schema/raw/master/csl-citation.json"}</w:instrText>
      </w:r>
      <w:r w:rsidR="00B7281F">
        <w:rPr>
          <w:lang w:val="en-GB"/>
        </w:rPr>
        <w:fldChar w:fldCharType="separate"/>
      </w:r>
      <w:r w:rsidR="00B7281F" w:rsidRPr="00B7281F">
        <w:rPr>
          <w:noProof/>
          <w:lang w:val="en-GB"/>
        </w:rPr>
        <w:t>(Mantzouki et al., 2018)</w:t>
      </w:r>
      <w:r w:rsidR="00B7281F">
        <w:rPr>
          <w:lang w:val="en-GB"/>
        </w:rPr>
        <w:fldChar w:fldCharType="end"/>
      </w:r>
      <w:r w:rsidRPr="00063D2E">
        <w:rPr>
          <w:lang w:val="en-GB"/>
        </w:rPr>
        <w:t>. The relevant indicators for lake ecosystem assessment</w:t>
      </w:r>
      <w:r w:rsidR="0081790A">
        <w:rPr>
          <w:lang w:val="en-GB"/>
        </w:rPr>
        <w:t xml:space="preserve"> do not only</w:t>
      </w:r>
      <w:r w:rsidRPr="00063D2E">
        <w:rPr>
          <w:lang w:val="en-GB"/>
        </w:rPr>
        <w:t xml:space="preserve"> include those specific to the lake itself but also t</w:t>
      </w:r>
      <w:r w:rsidR="00BB27FF">
        <w:rPr>
          <w:lang w:val="en-GB"/>
        </w:rPr>
        <w:t xml:space="preserve">o </w:t>
      </w:r>
      <w:r w:rsidRPr="00063D2E">
        <w:rPr>
          <w:lang w:val="en-GB"/>
        </w:rPr>
        <w:t xml:space="preserve">the basin from which the lake receives water and substances, dissolved or suspended, that influence ecosystem processes </w:t>
      </w:r>
      <w:r w:rsidR="00B7281F">
        <w:rPr>
          <w:lang w:val="en-GB"/>
        </w:rPr>
        <w:fldChar w:fldCharType="begin" w:fldLock="1"/>
      </w:r>
      <w:r w:rsidR="00B7281F">
        <w:rPr>
          <w:lang w:val="en-GB"/>
        </w:rPr>
        <w:instrText>ADDIN CSL_CITATION {"citationItems":[{"id":"ITEM-1","itemData":{"DOI":"10.1016/S0043-1354(01)00040-9","ISSN":"00431354","abstract":"A set of ecological indicators including structural, functional, and system-level aspects were proposed for a lake ecosystem health assessment, according to the structural, functional, and system-level responses of lake ecosystems to chemical stresses including acidification, eutrophication, and copper, oil and pesticide contamination. The structural indicators included phytoplankton cell size and biomass, zooplankton body size and biomass, species diversity, macro- and micro-zooplankton biomass, the zooplankton/phytoplankton ratio, and the macrozooplankton/microzooplankton ratio. The functional indicators encompassed the algal C assimilation ratio, resource use efficiency, community production, gross production/respiration (i.e. P/R) ratio, gross production/standing crop biomass (i.e. P/B) ratio, and standing crop biomass/unit energy flow (i.e. B/E) ratio. The ecosystem-level indicators consisted of ecological buffer capacities, exergy, and structural exergy. Based on these indicators, a direct measurement method (DMM) and an ecological modeling method (EMM) for lake ecosystem health assessment were developed. The DMM procedures were designed to: (l) identify key indicators; (2) measure directly or calculate indirectly the selected indicators; and, (3) assess ecosystem health on the basis of the indicator values. The EMM procedures were designed to: (l) determine the structure and complexity of the ecological model according to the lake's ecosystem structure; (2) establish an ecological model by designing a conceptual diagram, establishing model equations, and estimating model parameters; (3) compare the simulated values of important state variables and process rates with actual observations; (4) calculate ecosystem health indicators using the ecological model; and, (5) assess lake ecosystem health according to the values of the ecological indicators. The results of a case study demonstrated that both methods provided similar results which corresponded with the lake's actual trophic state. Copyright © 2001 Elsevier Science Ltd.","author":[{"dropping-particle":"","family":"Xu","given":"Fu Liu","non-dropping-particle":"","parse-names":false,"suffix":""},{"dropping-particle":"","family":"Tao","given":"Shu","non-dropping-particle":"","parse-names":false,"suffix":""},{"dropping-particle":"","family":"Dawson","given":"R. W.","non-dropping-particle":"","parse-names":false,"suffix":""},{"dropping-particle":"","family":"Li","given":"Pen gang","non-dropping-particle":"","parse-names":false,"suffix":""},{"dropping-particle":"","family":"Cao","given":"Jun","non-dropping-particle":"","parse-names":false,"suffix":""}],"container-title":"Water Research","id":"ITEM-1","issued":{"date-parts":[["2001"]]},"title":"Lake ecosystem health assessment: Indicators and methods","type":"article-journal"},"uris":["http://www.mendeley.com/documents/?uuid=c281315c-c9de-43e2-8206-aa5ce5d8ea43"]},{"id":"ITEM-2","itemData":{"DOI":"10.1016/j.ecolind.2013.03.003","ISSN":"1470160X","abstract":"One of the key challenges for ecosystem services research is to develop a comprehensive methodological approach in which biophysical, socio-cultural and monetary value-domains can be explicitly considered and integrated into decision making processes. This paper operationalizes a methodological approach for ecosystem service assessment on the basis of value pluralism. We assessed eleven ecosystem services delivered in the Doñana social-ecological system (SW Spain). We found that different ecosystem service trade-offs came into view depending the value-domain in which services were assessed. The use of different valuation methods uncovers the fact that methods to elicit value actually shape and define the values being elicited. In this context, the prevalence of biophysical and monetary value-domains in scientific literature entails two main concerns: (1) the ecosystem service concept reflect in a limited extent the concerns of their beneficiaries, and (2) ecosystem service assessment results are biased towards the information provided by markets at the expense of other value-articulating institutions. Recognizing the role of ecosystem service assessment methods as value-articulating institutions, we call for a methodological framework able to contemplate the multidimensional nature of ecosystem services. © 2013 Elsevier Ltd. All rights reserved.","author":[{"dropping-particle":"","family":"Martín-López","given":"Berta","non-dropping-particle":"","parse-names":false,"suffix":""},{"dropping-particle":"","family":"Gómez-Baggethun","given":"Erik","non-dropping-particle":"","parse-names":false,"suffix":""},{"dropping-particle":"","family":"García-Llorente","given":"Marina","non-dropping-particle":"","parse-names":false,"suffix":""},{"dropping-particle":"","family":"Montes","given":"Carlos","non-dropping-particle":"","parse-names":false,"suffix":""}],"container-title":"Ecological Indicators","id":"ITEM-2","issued":{"date-parts":[["2014"]]},"title":"Trade-offs across value-domains in ecosystem services assessment","type":"article-journal"},"uris":["http://www.mendeley.com/documents/?uuid=38e8f6fa-1d04-47df-ace7-982ada7aed7d"]}],"mendeley":{"formattedCitation":"(Xu et al., 2001; Martín-López, Gómez-Baggethun, García-Llorente, &amp; Montes, 2014)","plainTextFormattedCitation":"(Xu et al., 2001; Martín-López, Gómez-Baggethun, García-Llorente, &amp; Montes, 2014)","previouslyFormattedCitation":"(Xu et al., 2001; Martín-López, Gómez-Baggethun, García-Llorente, &amp; Montes, 2014)"},"properties":{"noteIndex":0},"schema":"https://github.com/citation-style-language/schema/raw/master/csl-citation.json"}</w:instrText>
      </w:r>
      <w:r w:rsidR="00B7281F">
        <w:rPr>
          <w:lang w:val="en-GB"/>
        </w:rPr>
        <w:fldChar w:fldCharType="separate"/>
      </w:r>
      <w:r w:rsidR="00B7281F" w:rsidRPr="00B7281F">
        <w:rPr>
          <w:noProof/>
          <w:lang w:val="en-GB"/>
        </w:rPr>
        <w:t>(Xu et al., 2001; Martín-López, Gómez-Baggethun, García-Llorente, &amp; Montes, 2014)</w:t>
      </w:r>
      <w:r w:rsidR="00B7281F">
        <w:rPr>
          <w:lang w:val="en-GB"/>
        </w:rPr>
        <w:fldChar w:fldCharType="end"/>
      </w:r>
      <w:r w:rsidRPr="00063D2E">
        <w:rPr>
          <w:lang w:val="en-GB"/>
        </w:rPr>
        <w:t xml:space="preserve">. Technically, </w:t>
      </w:r>
      <w:r w:rsidR="00867E49">
        <w:rPr>
          <w:lang w:val="en-GB"/>
        </w:rPr>
        <w:t xml:space="preserve">ecological </w:t>
      </w:r>
      <w:r w:rsidRPr="00063D2E">
        <w:rPr>
          <w:lang w:val="en-GB"/>
        </w:rPr>
        <w:t xml:space="preserve">ecosystem models of </w:t>
      </w:r>
      <w:r>
        <w:rPr>
          <w:lang w:val="en-GB"/>
        </w:rPr>
        <w:t>high</w:t>
      </w:r>
      <w:r w:rsidRPr="00063D2E">
        <w:rPr>
          <w:lang w:val="en-GB"/>
        </w:rPr>
        <w:t xml:space="preserve"> complexity can be developed </w:t>
      </w:r>
      <w:r w:rsidR="00B7281F">
        <w:rPr>
          <w:lang w:val="en-GB"/>
        </w:rPr>
        <w:fldChar w:fldCharType="begin" w:fldLock="1"/>
      </w:r>
      <w:r w:rsidR="00870E76">
        <w:rPr>
          <w:lang w:val="en-GB"/>
        </w:rPr>
        <w:instrText>ADDIN CSL_CITATION {"citationItems":[{"id":"ITEM-1","itemData":{"DOI":"10.1890/04-0922","ISSN":"00129615","abstract":"Humans are altering the composition of biological communities through a variety of activities that increase rates of species invasions and species extinctions, at all scales, from local to global. These changes in components of the Earth's biodiversity cause concern for ethical and aesthetic reasons, but they also have a strong potential to alter ecosystem properties and the goods and services they provide to humanity. Ecological experiments, observations, and theoretical developments show that ecosystem properties depend greatly on biodiversity in terms of the functional characteristics of organisms present in the ecosystem and the distribution and abundance of those organisms over space and time. Species effects act in concert with the effects of climate, resource availability, and disturbance regimes in influencing ecosystem properties. Human activities can modify all of the above factors; here we focus on modification of these biotic controls. The scientific community has come to a broad consensus on many aspects of the relationship between biodiversity and ecosystem functioning, including many points relevant to management of ecosystems. Further progress will require integration of knowledge about biotic and abiotic controls on ecosystem properties, how ecological communities are structured, and the forces driving species extinctions and invasions. To strengthen links to policy and management, we also need to integrate our ecological knowledge with understanding of the social and economic constraints of potential management practices. Understanding this complexity, while taking strong steps to minimize current losses of species, is necessary for responsible management of Earth's ecosystems and the diverse biota they contain. Based on our review of the scientific literature, we are certain of the following conclusions: 1) Species' functional characteristics strongly influence ecosystem properties. Functional characteristics operate in a variety of contexts, including effects of dominant species, keystone species, ecological engineers, and interactions among species (e.g., competition, facilitation, mutualism, disease, and predation). Relative abundance alone is not always a good predictor of the ecosystem-level importance of a species, as even relatively rare species (e.g., a keystone predator) can strongly influence pathways of energy and material flows. 2) Alteration of biota in ecosystems via species invasions and extinctions caused by human acti…","author":[{"dropping-particle":"","family":"Hooper","given":"D. U.","non-dropping-particle":"","parse-names":false,"suffix":""},{"dropping-particle":"","family":"Chapin","given":"F. S.","non-dropping-particle":"","parse-names":false,"suffix":""},{"dropping-particle":"","family":"Ewel","given":"J. J.","non-dropping-particle":"","parse-names":false,"suffix":""},{"dropping-particle":"","family":"Hector","given":"A.","non-dropping-particle":"","parse-names":false,"suffix":""},{"dropping-particle":"","family":"Inchausti","given":"P.","non-dropping-particle":"","parse-names":false,"suffix":""},{"dropping-particle":"","family":"Lavorel","given":"S.","non-dropping-particle":"","parse-names":false,"suffix":""},{"dropping-particle":"","family":"Lawton","given":"J. H.","non-dropping-particle":"","parse-names":false,"suffix":""},{"dropping-particle":"","family":"Lodge","given":"D. M.","non-dropping-particle":"","parse-names":false,"suffix":""},{"dropping-particle":"","family":"Loreau","given":"M.","non-dropping-particle":"","parse-names":false,"suffix":""},{"dropping-particle":"","family":"Naeem","given":"S.","non-dropping-particle":"","parse-names":false,"suffix":""},{"dropping-particle":"","family":"Schmid","given":"B.","non-dropping-particle":"","parse-names":false,"suffix":""},{"dropping-particle":"","family":"Setälä","given":"H.","non-dropping-particle":"","parse-names":false,"suffix":""},{"dropping-particle":"","family":"Symstad","given":"A. J.","non-dropping-particle":"","parse-names":false,"suffix":""},{"dropping-particle":"","family":"Vandermeer","given":"J.","non-dropping-particle":"","parse-names":false,"suffix":""},{"dropping-particle":"","family":"Wardle","given":"D. A.","non-dropping-particle":"","parse-names":false,"suffix":""}],"container-title":"Ecological Monographs","id":"ITEM-1","issued":{"date-parts":[["2005"]]},"title":"Effects of biodiversity on ecosystem functioning: A consensus of current knowledge","type":"article-journal"},"uris":["http://www.mendeley.com/documents/?uuid=32df34bb-96ec-4916-a140-014c51e6565d"]},{"id":"ITEM-2","itemData":{"DOI":"10.1007/s10144-018-0628-3","ISSN":"14383896","abstract":"Our planet is changing at paces never observed before. Species extinction is happening at faster rates than ever, greatly exceeding the five mass extinctions in the fossil record. Nevertheless, our lives are strongly based on services provided by ecosystems, thus the responses to global change of our natural heritage are of immediate concern. Understanding the relationship between complexity and stability of ecosystems is of key importance for the maintenance of the balance of human growth and the conservation of all the natural services that ecosystems provide. Mathematical network models can be used to simplify the vast complexity of the real world, to formally describe and investigate ecological phenomena, and to understand ecosystems propensity of returning to its functioning regime after a stress or a perturbation. The use of ecological-network models to study the relationship between complexity and stability of natural ecosystems is the focus of this review. The concept of ecological networks and their characteristics are first introduced, followed by central and occasionally contrasting definitions of complexity and stability. The literature on the relationship between complexity and stability in different types of models and in real ecosystems is then reviewed, highlighting the theoretical debate and the lack of consensual agreement. The summary of the importance of this line of research for the successful management and conservation of biodiversity and ecosystem services concludes the review.","author":[{"dropping-particle":"","family":"Landi","given":"Pietro","non-dropping-particle":"","parse-names":false,"suffix":""},{"dropping-particle":"","family":"Minoarivelo","given":"Henintsoa O.","non-dropping-particle":"","parse-names":false,"suffix":""},{"dropping-particle":"","family":"Brännström","given":"Åke","non-dropping-particle":"","parse-names":false,"suffix":""},{"dropping-particle":"","family":"Hui","given":"Cang","non-dropping-particle":"","parse-names":false,"suffix":""},{"dropping-particle":"","family":"Dieckmann","given":"Ulf","non-dropping-particle":"","parse-names":false,"suffix":""}],"container-title":"Population Ecology","id":"ITEM-2","issued":{"date-parts":[["2018"]]},"title":"Complexity and stability of ecological networks: a review of the theory","type":"article"},"uris":["http://www.mendeley.com/documents/?uuid=da8034d7-744f-4bb5-9f50-2baa1f406a8b"]}],"mendeley":{"formattedCitation":"(Hooper et al., 2005; Landi, Minoarivelo, Brännström, Hui, &amp; Dieckmann, 2018)","plainTextFormattedCitation":"(Hooper et al., 2005; Landi, Minoarivelo, Brännström, Hui, &amp; Dieckmann, 2018)","previouslyFormattedCitation":"(Hooper et al., 2005; Landi, Minoarivelo, Brännström, Hui, &amp; Dieckmann, 2018)"},"properties":{"noteIndex":0},"schema":"https://github.com/citation-style-language/schema/raw/master/csl-citation.json"}</w:instrText>
      </w:r>
      <w:r w:rsidR="00B7281F">
        <w:rPr>
          <w:lang w:val="en-GB"/>
        </w:rPr>
        <w:fldChar w:fldCharType="separate"/>
      </w:r>
      <w:r w:rsidR="00870E76" w:rsidRPr="00870E76">
        <w:rPr>
          <w:noProof/>
          <w:lang w:val="en-GB"/>
        </w:rPr>
        <w:t>(Hooper et al., 2005; Landi, Minoarivelo, Brännström, Hui, &amp; Dieckmann, 2018)</w:t>
      </w:r>
      <w:r w:rsidR="00B7281F">
        <w:rPr>
          <w:lang w:val="en-GB"/>
        </w:rPr>
        <w:fldChar w:fldCharType="end"/>
      </w:r>
      <w:r w:rsidRPr="00063D2E">
        <w:rPr>
          <w:lang w:val="en-GB"/>
        </w:rPr>
        <w:t xml:space="preserve">. Nonetheless, previous experiments found that complexity is weakening the predictive reliability of ecosystem models, making them not resistant to, for example, </w:t>
      </w:r>
      <w:r w:rsidR="0081790A">
        <w:rPr>
          <w:lang w:val="en-GB"/>
        </w:rPr>
        <w:t xml:space="preserve">an </w:t>
      </w:r>
      <w:r w:rsidRPr="00063D2E">
        <w:rPr>
          <w:lang w:val="en-GB"/>
        </w:rPr>
        <w:t>increa</w:t>
      </w:r>
      <w:r w:rsidR="0081790A">
        <w:rPr>
          <w:lang w:val="en-GB"/>
        </w:rPr>
        <w:t>se of</w:t>
      </w:r>
      <w:r w:rsidRPr="00063D2E">
        <w:rPr>
          <w:lang w:val="en-GB"/>
        </w:rPr>
        <w:t xml:space="preserve"> the size of the analyzed set of objects </w:t>
      </w:r>
      <w:r w:rsidR="00870E76">
        <w:rPr>
          <w:lang w:val="en-GB"/>
        </w:rPr>
        <w:fldChar w:fldCharType="begin" w:fldLock="1"/>
      </w:r>
      <w:r w:rsidR="00870E76">
        <w:rPr>
          <w:lang w:val="en-GB"/>
        </w:rPr>
        <w:instrText>ADDIN CSL_CITATION {"citationItems":[{"id":"ITEM-1","itemData":{"DOI":"10.13031/2013.11032","ISSN":"00012351","abstract":"The present-day concept of complexity is reviewed and discussed with respect to its potential implications on the practice of ecological engineering applied to ecosystems. It is argued that ecological engineers must incorporate concepts arising from complex system studies such as emergence, scaling, self-organization, and unpredictability into their conceptual model of an ecosystem in order to effectively design, manage, or restore such systems. These four concepts are introduced with reference to complex systems in general, and then with specific reference to ecosystems. A discussion of how ecological engineering should be approached in the context of complex system studies is then presented. While the article specifically addresses ecological engineers, the content is also applicable to anyone working in ecosystem restoration and natural resource management.","author":[{"dropping-particle":"","family":"Parrott","given":"Lael","non-dropping-particle":"","parse-names":false,"suffix":""}],"container-title":"Transactions of the American Society of Agricultural Engineers","id":"ITEM-1","issued":{"date-parts":[["2002"]]},"title":"Complexity and the limits of ecological engineering","type":"article-journal"},"uris":["http://www.mendeley.com/documents/?uuid=06763030-51c9-4eb9-b8b7-0fda565858c6"]}],"mendeley":{"formattedCitation":"(Parrott, 2002)","plainTextFormattedCitation":"(Parrott, 2002)","previouslyFormattedCitation":"(Parrott, 2002)"},"properties":{"noteIndex":0},"schema":"https://github.com/citation-style-language/schema/raw/master/csl-citation.json"}</w:instrText>
      </w:r>
      <w:r w:rsidR="00870E76">
        <w:rPr>
          <w:lang w:val="en-GB"/>
        </w:rPr>
        <w:fldChar w:fldCharType="separate"/>
      </w:r>
      <w:r w:rsidR="00870E76" w:rsidRPr="00870E76">
        <w:rPr>
          <w:noProof/>
          <w:lang w:val="en-GB"/>
        </w:rPr>
        <w:t>(Parrott, 2002)</w:t>
      </w:r>
      <w:r w:rsidR="00870E76">
        <w:rPr>
          <w:lang w:val="en-GB"/>
        </w:rPr>
        <w:fldChar w:fldCharType="end"/>
      </w:r>
      <w:r w:rsidRPr="00063D2E">
        <w:rPr>
          <w:lang w:val="en-GB"/>
        </w:rPr>
        <w:t>, or exist</w:t>
      </w:r>
      <w:r>
        <w:rPr>
          <w:lang w:val="en-GB"/>
        </w:rPr>
        <w:t>e</w:t>
      </w:r>
      <w:r w:rsidRPr="00063D2E">
        <w:rPr>
          <w:lang w:val="en-GB"/>
        </w:rPr>
        <w:t xml:space="preserve">nce of outliers </w:t>
      </w:r>
      <w:r w:rsidR="00870E76">
        <w:rPr>
          <w:lang w:val="en-GB"/>
        </w:rPr>
        <w:fldChar w:fldCharType="begin" w:fldLock="1"/>
      </w:r>
      <w:r w:rsidR="00631D4E">
        <w:rPr>
          <w:lang w:val="en-GB"/>
        </w:rPr>
        <w:instrText>ADDIN CSL_CITATION {"citationItems":[{"id":"ITEM-1","itemData":{"DOI":"10.1007/s10531-018-1602-2","ISSN":"15729710","abstract":"Research on ecology commonly involves the need to face datasets that contain extreme or unusual observations. The presence of outliers during data analysis has been of concern for researchers generating a lot of discussion on different methods and strategies on how to deal with them and became a recurrent issue of interest in debate forums. Systematic elimination or data transformation could lead to ignore important ecological processes and draw wrong conclusions. The importance of coping with extreme observations during data analysis in ecology becomes clear in the context of relevant environmental aspects such as impact assessment, pest control, and biodiversity conservation. In those contexts, misinterpretation of results due to an incorrect processing of outliers may difficult decision making or even lead to failing to adopt the best management program. In this work, I summarized different approaches to deal with extreme observations such as outlier labeling, accommodation, and identification, using calculation and visualization methods, and provide a conceptual workflow as a general overview for data analysis.","author":[{"dropping-particle":"","family":"Benhadi-Marín","given":"Jacinto","non-dropping-particle":"","parse-names":false,"suffix":""}],"container-title":"Biodiversity and Conservation","id":"ITEM-1","issued":{"date-parts":[["2018"]]},"title":"A conceptual framework to deal with outliers in ecology","type":"article"},"uris":["http://www.mendeley.com/documents/?uuid=eb34ff05-d566-4a8c-b51b-7aad432443d1"]}],"mendeley":{"formattedCitation":"(Benhadi-Marín, 2018)","plainTextFormattedCitation":"(Benhadi-Marín, 2018)","previouslyFormattedCitation":"(Benhadi-Marín, 2018)"},"properties":{"noteIndex":0},"schema":"https://github.com/citation-style-language/schema/raw/master/csl-citation.json"}</w:instrText>
      </w:r>
      <w:r w:rsidR="00870E76">
        <w:rPr>
          <w:lang w:val="en-GB"/>
        </w:rPr>
        <w:fldChar w:fldCharType="separate"/>
      </w:r>
      <w:r w:rsidR="00870E76" w:rsidRPr="00870E76">
        <w:rPr>
          <w:noProof/>
          <w:lang w:val="en-GB"/>
        </w:rPr>
        <w:t>(Benhadi-Marín, 2018)</w:t>
      </w:r>
      <w:r w:rsidR="00870E76">
        <w:rPr>
          <w:lang w:val="en-GB"/>
        </w:rPr>
        <w:fldChar w:fldCharType="end"/>
      </w:r>
      <w:r w:rsidRPr="00063D2E">
        <w:rPr>
          <w:lang w:val="en-GB"/>
        </w:rPr>
        <w:t xml:space="preserve">. </w:t>
      </w:r>
    </w:p>
    <w:p w14:paraId="15C1A9D2" w14:textId="12444A79" w:rsidR="0081790A" w:rsidRDefault="00063D2E" w:rsidP="00063D2E">
      <w:pPr>
        <w:spacing w:after="0"/>
        <w:ind w:firstLine="708"/>
        <w:jc w:val="both"/>
        <w:rPr>
          <w:lang w:val="en-GB"/>
        </w:rPr>
      </w:pPr>
      <w:r w:rsidRPr="00063D2E">
        <w:rPr>
          <w:lang w:val="en-GB"/>
        </w:rPr>
        <w:t xml:space="preserve">Various models for lake ecosystem </w:t>
      </w:r>
      <w:r w:rsidR="0029024F">
        <w:rPr>
          <w:lang w:val="en-GB"/>
        </w:rPr>
        <w:t xml:space="preserve">condition </w:t>
      </w:r>
      <w:r w:rsidR="00867E49">
        <w:rPr>
          <w:lang w:val="en-GB"/>
        </w:rPr>
        <w:t>a</w:t>
      </w:r>
      <w:r w:rsidRPr="00063D2E">
        <w:rPr>
          <w:lang w:val="en-GB"/>
        </w:rPr>
        <w:t>ssessment</w:t>
      </w:r>
      <w:r w:rsidR="005360B1">
        <w:rPr>
          <w:lang w:val="en-GB"/>
        </w:rPr>
        <w:t>s</w:t>
      </w:r>
      <w:r w:rsidRPr="00063D2E">
        <w:rPr>
          <w:lang w:val="en-GB"/>
        </w:rPr>
        <w:t xml:space="preserve"> </w:t>
      </w:r>
      <w:r w:rsidR="00631D4E">
        <w:rPr>
          <w:lang w:val="en-GB"/>
        </w:rPr>
        <w:t>coexist</w:t>
      </w:r>
      <w:r w:rsidR="00733392">
        <w:rPr>
          <w:lang w:val="en-GB"/>
        </w:rPr>
        <w:t>,</w:t>
      </w:r>
      <w:r w:rsidRPr="00063D2E">
        <w:rPr>
          <w:lang w:val="en-GB"/>
        </w:rPr>
        <w:t xml:space="preserve"> </w:t>
      </w:r>
      <w:r w:rsidR="00631D4E">
        <w:rPr>
          <w:lang w:val="en-GB"/>
        </w:rPr>
        <w:t>featuring diverse</w:t>
      </w:r>
      <w:r w:rsidRPr="00063D2E">
        <w:rPr>
          <w:lang w:val="en-GB"/>
        </w:rPr>
        <w:t xml:space="preserve"> research </w:t>
      </w:r>
      <w:r w:rsidR="00631D4E">
        <w:rPr>
          <w:lang w:val="en-GB"/>
        </w:rPr>
        <w:t xml:space="preserve">techniques </w:t>
      </w:r>
      <w:r w:rsidRPr="00063D2E">
        <w:rPr>
          <w:lang w:val="en-GB"/>
        </w:rPr>
        <w:t xml:space="preserve">worldwide.  Some of them are based directly on the implementation of the requirements from </w:t>
      </w:r>
      <w:r w:rsidR="0081790A">
        <w:rPr>
          <w:lang w:val="en-GB"/>
        </w:rPr>
        <w:t xml:space="preserve">the </w:t>
      </w:r>
      <w:r w:rsidRPr="00063D2E">
        <w:rPr>
          <w:lang w:val="en-GB"/>
        </w:rPr>
        <w:t xml:space="preserve">WFD. Chemical and biological data - alkalinity and water depth </w:t>
      </w:r>
      <w:r w:rsidR="00631D4E">
        <w:rPr>
          <w:lang w:val="en-GB"/>
        </w:rPr>
        <w:fldChar w:fldCharType="begin" w:fldLock="1"/>
      </w:r>
      <w:r w:rsidR="00AC7F7C">
        <w:rPr>
          <w:lang w:val="en-GB"/>
        </w:rPr>
        <w:instrText>ADDIN CSL_CITATION {"citationItems":[{"id":"ITEM-1","itemData":{"DOI":"10.1016/j.ecolmodel.2012.07.029","ISSN":"03043800","abstract":"A set of ecological indicators were proposed for the lake ecosystem health assessment via the application of structural, functional, and system-level responses of whole-lake ecosystems to land-use types, chemical stressors including nutrients and organic pollution, and physical stressors including water depth (WD) and grain size (GR). The structural metrics incorporated Chlorophyll c/Chlorophyll a (Chl c/a), Shannon diversity index (H), and proportion of Bacillariophyta (BAC). The functional metrics encompassed leucine amino peptide enzymes (LEU) and general primary productivity (GPP). The ecosystem level indicators consisted of eco-exergy (Ex), structural eco-exergy (Exst), and ecological buffer capacity (βTP-A). Using these indicators, we developed an integrated ecological health modeling method (IEHMM) for macrophyte-dominated lake health assessment. The IEHMM was designed to: (1) Identify the relevant questions related to the health of the ecosystem; (2) Analyze the lake's ecosystem structure including the pelagic and benthic pathways and use these results to determine the model's structure and complexity; (3) Establish a whole-lake ecological conceptual model; (4) Calculate the lake's ecosystem health indicators; (5) Assess lake ecosystem health using these different indicators; and (6) Compare the assessment results with different calculation methods. The IEHMM conceptual model included 5 sub-models and 15 state variables. The results of the case study in Baiyangdian Lake (China) demonstrated that the IEHMM provided comprehensive assessment results that corresponded with the lake's actual health state. © 2012 Elsevier B.V.","author":[{"dropping-particle":"","family":"Zhang","given":"L. L.","non-dropping-particle":"","parse-names":false,"suffix":""},{"dropping-particle":"","family":"Liu","given":"J. L.","non-dropping-particle":"","parse-names":false,"suffix":""},{"dropping-particle":"","family":"Yang","given":"Z. F.","non-dropping-particle":"","parse-names":false,"suffix":""},{"dropping-particle":"","family":"Li","given":"Y.","non-dropping-particle":"","parse-names":false,"suffix":""},{"dropping-particle":"","family":"Yang","given":"Y.","non-dropping-particle":"","parse-names":false,"suffix":""}],"container-title":"Ecological Modelling","id":"ITEM-1","issued":{"date-parts":[["2013"]]},"title":"Integrated ecosystem health assessment of a macrophyte-dominated lake","type":"article-journal"},"uris":["http://www.mendeley.com/documents/?uuid=c11c69dc-a453-4a36-9cd1-bab5eb24f6c9"]},{"id":"ITEM-2","itemData":{"DOI":"10.1016/j.ecolmodel.2005.01.058","ISSN":"03043800","abstract":"An ecosystem health index methodology (EHIM) was developed for assessing lake ecosystem health. A scale from 0 to 100 was chosen as a basis for ranking where an ecosystem health index (EHI) of zero indicates the worst possible health state and one of 100 the best possible health state. There are five necessary steps in the EHIM: (l) to select basic and additional indicators; (2) to calculate sub-EHIs for all selected indicators; (3) to determine weighting factors for all selected indicators; (4) to calculate a synthetic EHI using the sub-EHIs and weighting factors for all selected indicators; (5) to assess ecosystem health based on synthetic EHI values. The EHIM was successfully applied to a series of Italian lakes for assessment and comparison purposes. Phytoplankton biomass (BA) was selected to serve as a basic indicator, while zooplankton biomass (BZ), the ratio of BZ to BA (BZ/BA), and exergy and structural exergy were used as additional indicators. The results suggest that the EHIM is a valuable relatively uncomplicated methodology with simple principles, ease of calculation, reliable and intuitive results. As a practical planning tool, it can be widely used for the quantitative assessment and comparison of ecosystem health states for a single lake, a series of different lakes, or more complicated lake systems. © 2005 Elsevier B.V. All rights reserved.","author":[{"dropping-particle":"","family":"Xu","given":"Fu Liu","non-dropping-particle":"","parse-names":false,"suffix":""},{"dropping-particle":"","family":"Zhao","given":"Zhen Yan","non-dropping-particle":"","parse-names":false,"suffix":""},{"dropping-particle":"","family":"Zhan","given":"Wei","non-dropping-particle":"","parse-names":false,"suffix":""},{"dropping-particle":"","family":"Zhao","given":"Shan Shan","non-dropping-particle":"","parse-names":false,"suffix":""},{"dropping-particle":"","family":"Dawson","given":"R. W.","non-dropping-particle":"","parse-names":false,"suffix":""},{"dropping-particle":"","family":"Tao","given":"Shu","non-dropping-particle":"","parse-names":false,"suffix":""}],"container-title":"Ecological Modelling","id":"ITEM-2","issued":{"date-parts":[["2005"]]},"title":"An ecosystem health index methodology (EHIM) for lake ecosystem health assessment","type":"article-journal"},"uris":["http://www.mendeley.com/documents/?uuid=5623de8e-eda3-47e4-b3d9-1e52e68703bd"]}],"mendeley":{"formattedCitation":"(Xu et al., 2005; Zhang, Liu, Yang, Li, &amp; Yang, 2013)","plainTextFormattedCitation":"(Xu et al., 2005; Zhang, Liu, Yang, Li, &amp; Yang, 2013)","previouslyFormattedCitation":"(Xu et al., 2005; Zhang, Liu, Yang, Li, &amp; Yang, 2013)"},"properties":{"noteIndex":0},"schema":"https://github.com/citation-style-language/schema/raw/master/csl-citation.json"}</w:instrText>
      </w:r>
      <w:r w:rsidR="00631D4E">
        <w:rPr>
          <w:lang w:val="en-GB"/>
        </w:rPr>
        <w:fldChar w:fldCharType="separate"/>
      </w:r>
      <w:r w:rsidR="00AC7F7C" w:rsidRPr="00AC7F7C">
        <w:rPr>
          <w:noProof/>
          <w:lang w:val="en-GB"/>
        </w:rPr>
        <w:t>(Xu et al., 2005; Zhang, Liu, Yang, Li, &amp; Yang, 2013)</w:t>
      </w:r>
      <w:r w:rsidR="00631D4E">
        <w:rPr>
          <w:lang w:val="en-GB"/>
        </w:rPr>
        <w:fldChar w:fldCharType="end"/>
      </w:r>
      <w:r w:rsidRPr="00063D2E">
        <w:rPr>
          <w:lang w:val="en-GB"/>
        </w:rPr>
        <w:t xml:space="preserve">, chlorophyll </w:t>
      </w:r>
      <w:r w:rsidRPr="00867E49">
        <w:rPr>
          <w:i/>
          <w:iCs/>
          <w:lang w:val="en-GB"/>
        </w:rPr>
        <w:t>a</w:t>
      </w:r>
      <w:r w:rsidRPr="00063D2E">
        <w:rPr>
          <w:lang w:val="en-GB"/>
        </w:rPr>
        <w:t xml:space="preserve"> and cyanobacteria </w:t>
      </w:r>
      <w:r w:rsidR="00AC7F7C">
        <w:rPr>
          <w:lang w:val="en-GB"/>
        </w:rPr>
        <w:fldChar w:fldCharType="begin" w:fldLock="1"/>
      </w:r>
      <w:r w:rsidR="00AC7F7C">
        <w:rPr>
          <w:lang w:val="en-GB"/>
        </w:rPr>
        <w:instrText>ADDIN CSL_CITATION {"citationItems":[{"id":"ITEM-1","itemData":{"DOI":"10.1016/j.ecolind.2011.03.002","ISSN":"1470160X","abstract":"Phytoplankton is one of the four key biological quality elements to be used in the ecological classification of lakes in Europe according to the Water Framework Directive (WFD). Chlorophyll a (Chla) has so far been used as the main - and sometimes only - metric to define class boundaries. Chla is often a key metric for lake managers and is used to determine whether and how much action should be taken to reduce the external nutrient loading. In this paper we present the analyses of empirical relationships between nutrient (total phosphorus, TP, total nitrogen, TN) concentrations versus Chla and the proportion of cyanobacteria of total phytoplankton biomass based on data from 440 Danish lakes (1800 lake years). These data represent one eco-region sampled using standardised methodology, thereby minimising the heterogeneity often seen in large datasets. Sampling frequency is important for the precision by which Chla can be determined and the precision is always low with less than 15 summer measurements. As expected Chla was related significantly to TP, but the variability was high, with R2 reaching only 0.47, 0.59 and 0.61 in shallow, stratified and siliceous lakes, respectively, based on summer averages. The correlation was strongest in late summer (R2 up to 0.80) and weak in winter. Chla is also related to TN, but the correlation coefficients were low throughout the year, and in a multiple regression with TP included, TN only added little to the total variability. Similarly, the proportion of cyanobacteria increased significantly with TP, but the correlation was weak. Seasonal and yearly data from five lakes with relatively stable TP show considerable variations in Chla and cyanobacteria abundance during a 20-year monitoring period. It is concluded that despite clear nutrient phytoplankton relationships it will be difficult to define the proposed WF</w:instrText>
      </w:r>
      <w:r w:rsidR="00AC7F7C" w:rsidRPr="00CC583C">
        <w:rPr>
          <w:lang w:val="de-DE"/>
        </w:rPr>
        <w:instrText>D ecological classes - particularly regarding cyanobacteria. To ensure a high degree of certainty for meeting a specific water quality threshold, lake managers must reduce the external phosphorus loading more strongly than expected from existing simple empirical external loading-inlake TP-Chla relationships. © 2011 Elsevier Ltd.","author":[{"dropping-particle":"","family":"Søndergaard","given":"Martin","non-dropping-particle":"","parse-names":false,"suffix":""},{"dropping-particle":"","family":"Larsen","given":"Søren E.","non-dropping-particle":"","parse-names":false,"suffix":""},{"dropping-particle":"","family":"Jørgensen","given":"Torben B.","non-dropping-particle":"","parse-names":false,"suffix":""},{"dropping-particle":"","family":"Jeppesen","given":"Erik","non-dropping-particle":"","parse-names":false,"suffix":""}],"container-title":"Ecological Indicators","id":"ITEM-1","issued":{"date-parts":[["2011"]]},"title":"Using chlorophyll a and cyanobacteria in the ecological classification of lakes","type":"article-journal"},"uris":["http://www.mendeley.com/documents/?uuid=f5032e09-2ef6-4fa2-afc8-3d7e8321aa5c"]}],"mendeley":{"formattedCitation":"(Søndergaard, Larsen, Jørgensen, &amp; Jeppesen, 2011)","plainTextFormattedCitation":"(Søndergaard, Larsen, Jørgensen, &amp; Jeppesen, 2011)","previouslyFormattedCitation":"(Søndergaard, Larsen, Jørgensen, &amp; Jeppesen, 2011)"},"properties":{"noteIndex":0},"schema":"https://github.com/citation-style-language/schema/raw/master/csl-citation.json"}</w:instrText>
      </w:r>
      <w:r w:rsidR="00AC7F7C">
        <w:rPr>
          <w:lang w:val="en-GB"/>
        </w:rPr>
        <w:fldChar w:fldCharType="separate"/>
      </w:r>
      <w:r w:rsidR="00AC7F7C" w:rsidRPr="00CC583C">
        <w:rPr>
          <w:noProof/>
          <w:lang w:val="de-DE"/>
        </w:rPr>
        <w:t>(Søndergaard, Larsen, Jørgensen, &amp; Jeppesen, 2011)</w:t>
      </w:r>
      <w:r w:rsidR="00AC7F7C">
        <w:rPr>
          <w:lang w:val="en-GB"/>
        </w:rPr>
        <w:fldChar w:fldCharType="end"/>
      </w:r>
      <w:r w:rsidRPr="00CC583C">
        <w:rPr>
          <w:lang w:val="de-DE"/>
        </w:rPr>
        <w:t xml:space="preserve">, phytoplankton assemblages </w:t>
      </w:r>
      <w:r w:rsidR="00AC7F7C">
        <w:rPr>
          <w:lang w:val="en-GB"/>
        </w:rPr>
        <w:fldChar w:fldCharType="begin" w:fldLock="1"/>
      </w:r>
      <w:r w:rsidR="00AC7F7C" w:rsidRPr="00CC583C">
        <w:rPr>
          <w:lang w:val="de-DE"/>
        </w:rPr>
        <w:instrText>ADDIN CSL_CITATION {"citationItems":[{"id":"ITEM-1","itemData":{"DOI":"10.1007/s10750-005-1393-9","ISSN":"00188158","abstract":"On basis of recent developments in phytoplankton ecology an assemblage index, Q, was developed to assess ecological status of different lake types established by the Water Framework Directive (WFD). Since 5 ≥ Q ≥ 0, the developed index can provide 5-grade qualification required by WFD. Case studies from very different lake types support the usefulness of the developed index. Straights and weaknesses of the Q index for monitoring purposes are discussed. Without arguing for the superiority of the assemblage index in comparison with any other measures of ecological status of lakes, we aim to open a discussion about its possible applications. © Springer 2005.","author":[{"dropping-particle":"","family":"Padisák","given":"Judit","non-dropping-particle":"","parse-names":false,"suffix":""},{"dropping-particle":"","family":"Borics","given":"Gábor","non-dropping-particle":"","parse-names":false,"suffix":""},{"dropping-particle":"","family":"Grigorszky","given":"István","non-dropping-particle":"","parse-names":false,"suffix":""},{"dropping-particle":"","family":"Soróczki-Pintér","given":"Éva","non-dropping-particle":"","parse-names":false,"suffix":""}],"container-title":"Hydrobiologia","id":"ITEM-1","issued":{"date-parts":[["2006"]]},"title":"Use of phytoplankton assemblages for monitoring ecological status of lakes within the water framework directive: The assemblage index","type":"article"},"uris":["http://www.mendeley.com/documents/?uuid=e3e65d5d-db78-44db-b621-95545b8dc142"]}],"mendeley":{"formattedCitation":"(Padisák, Borics, Grigorszky, &amp; Soróczki-Pintér, 2006)","plainTextFormattedCitation":"(Padisák, Borics, Grigorszky, &amp; Soróczki-Pintér, 2006)","previouslyFormattedCitation":"(Padisák, Borics, Grigorszky, &amp; Soróczki-Pintér, 2006)"},"properties":{"noteIndex":0},"schema":"https://github.com/citation-style-language/schema/raw/master/csl-citation.json"}</w:instrText>
      </w:r>
      <w:r w:rsidR="00AC7F7C">
        <w:rPr>
          <w:lang w:val="en-GB"/>
        </w:rPr>
        <w:fldChar w:fldCharType="separate"/>
      </w:r>
      <w:r w:rsidR="00AC7F7C" w:rsidRPr="00CC583C">
        <w:rPr>
          <w:noProof/>
          <w:lang w:val="de-DE"/>
        </w:rPr>
        <w:t>(Padisák, Borics, Grigorszky, &amp; Soróczki-Pintér, 2006)</w:t>
      </w:r>
      <w:r w:rsidR="00AC7F7C">
        <w:rPr>
          <w:lang w:val="en-GB"/>
        </w:rPr>
        <w:fldChar w:fldCharType="end"/>
      </w:r>
      <w:r w:rsidRPr="00CC583C">
        <w:rPr>
          <w:lang w:val="de-DE"/>
        </w:rPr>
        <w:t xml:space="preserve">, macrophytes and phytobenthos </w:t>
      </w:r>
      <w:r w:rsidR="00AC7F7C">
        <w:rPr>
          <w:lang w:val="en-GB"/>
        </w:rPr>
        <w:fldChar w:fldCharType="begin" w:fldLock="1"/>
      </w:r>
      <w:r w:rsidR="00C34381" w:rsidRPr="00CC583C">
        <w:rPr>
          <w:lang w:val="de-DE"/>
        </w:rPr>
        <w:instrText>ADDIN CSL_CITATION {"citationItems":[{"id":"ITEM-1","itemData":{"DOI":"10.1016/S0075-9511(04)80003-3","ISSN":"00759511","abstract":"A new assessment system for macrophytes and phytobenthos in German lakes according to the Water Framework Directive of the European Community is described. Based on biological, chemical and hydromorphological data from about 100 lake sites covering the main ecoregions, hydromorphological lake types and degradation forms, biocoenotic types could be defined. For developing a classification system the quality element macrophytes and phytobenthos was divided into two components: macrophytes and benthic diatoms. For macrophytes 4 and for benthic diatoms 4 lake types were identified. The benthic vegetation at reference conditions is described and degradation is characterised as deviation in benthic vegetation species composition and abundance from the reference biocoenosis. For classification in five ecological status classes, several metrics were developed and used in combination with existing indices. For a few of the</w:instrText>
      </w:r>
      <w:r w:rsidR="00C34381" w:rsidRPr="00C368BA">
        <w:rPr>
          <w:lang w:val="en-GB"/>
        </w:rPr>
        <w:instrText xml:space="preserve"> described lake types further investigations are necessary before a classification can be developed.","author":[{"dropping-particle":"","family":"Schaumburg","given":"Jochen","non-dropping-particle":"","parse-names":false,"suffix":""},{"dropping-particle":"","family":"Schranz","given":"Christine","non-dropping-particle":"","parse-names":false,"suffix":</w:instrText>
      </w:r>
      <w:r w:rsidR="00C34381" w:rsidRPr="001646CA">
        <w:rPr>
          <w:lang w:val="en-GB"/>
        </w:rPr>
        <w:instrText>""},{"dropping-particle":"","family":"Hofmann","given":</w:instrText>
      </w:r>
      <w:r w:rsidR="00C34381">
        <w:rPr>
          <w:lang w:val="en-GB"/>
        </w:rPr>
        <w:instrText>"Gabriele","non-dropping-particle":"","parse-names":false,"suffix":""},{"dropping-particle":"","family":"Stelzer","given":"Doris","non-dropping-particle":"","parse-names":false,"suffix":""},{"dropping-particle":"","family":"Schneider","given":"Susanne","non-dropping-particle":"","parse-names":false,"suffix":""},{"dropping-particle":"","family":"Schmedtje","given":"Ursula","non-dropping-particle":"","parse-names":false,"suffix":""}],"container-title":"Limnologica","id":"ITEM-1","issued":{"date-parts":[["2004"]]},"title":"Macrophytes and phytobenthos as indicators of ecological status in German lakes - A contribution to the implementation of the Water Framework Directive","type":"article-journal"},"uris":["http://www.mendeley.com/documents/?uuid=9b384dd3-cb4b-49e0-9a01-f99126c2d465"]}],"mendeley":{"formattedCitation":"(Schaumburg et al., 2004)","plainTextFormattedCitation":"(Schaumburg et al., 2004)","previouslyFormattedCitation":"(Schaumburg et al., 2004)"},"properties":{"noteIndex":0},"schema":"https://github.com/citation-style-language/schema/raw/master/csl-citation.json"}</w:instrText>
      </w:r>
      <w:r w:rsidR="00AC7F7C">
        <w:rPr>
          <w:lang w:val="en-GB"/>
        </w:rPr>
        <w:fldChar w:fldCharType="separate"/>
      </w:r>
      <w:r w:rsidR="00AC7F7C" w:rsidRPr="00AC7F7C">
        <w:rPr>
          <w:noProof/>
          <w:lang w:val="en-GB"/>
        </w:rPr>
        <w:t>(Schaumburg et al., 2004)</w:t>
      </w:r>
      <w:r w:rsidR="00AC7F7C">
        <w:rPr>
          <w:lang w:val="en-GB"/>
        </w:rPr>
        <w:fldChar w:fldCharType="end"/>
      </w:r>
      <w:r w:rsidRPr="00063D2E">
        <w:rPr>
          <w:lang w:val="en-GB"/>
        </w:rPr>
        <w:t xml:space="preserve"> </w:t>
      </w:r>
      <w:r w:rsidR="0081790A">
        <w:rPr>
          <w:lang w:val="en-GB"/>
        </w:rPr>
        <w:t>have been</w:t>
      </w:r>
      <w:r w:rsidR="0081790A" w:rsidRPr="00063D2E">
        <w:rPr>
          <w:lang w:val="en-GB"/>
        </w:rPr>
        <w:t xml:space="preserve"> </w:t>
      </w:r>
      <w:r w:rsidRPr="00063D2E">
        <w:rPr>
          <w:lang w:val="en-GB"/>
        </w:rPr>
        <w:t xml:space="preserve">used to assign ecosystems to one of five classes. Fish-based assessment methods are </w:t>
      </w:r>
      <w:r w:rsidR="0081790A">
        <w:rPr>
          <w:lang w:val="en-GB"/>
        </w:rPr>
        <w:t xml:space="preserve">also </w:t>
      </w:r>
      <w:r w:rsidRPr="00063D2E">
        <w:rPr>
          <w:lang w:val="en-GB"/>
        </w:rPr>
        <w:t>still popular</w:t>
      </w:r>
      <w:r>
        <w:rPr>
          <w:lang w:val="en-GB"/>
        </w:rPr>
        <w:t>;</w:t>
      </w:r>
      <w:r w:rsidRPr="00063D2E">
        <w:rPr>
          <w:lang w:val="en-GB"/>
        </w:rPr>
        <w:t xml:space="preserve"> however</w:t>
      </w:r>
      <w:r>
        <w:rPr>
          <w:lang w:val="en-GB"/>
        </w:rPr>
        <w:t>,</w:t>
      </w:r>
      <w:r w:rsidRPr="00063D2E">
        <w:rPr>
          <w:lang w:val="en-GB"/>
        </w:rPr>
        <w:t xml:space="preserve"> their use is often limited by the availability of data on fish communities </w:t>
      </w:r>
      <w:r w:rsidR="00C34381">
        <w:rPr>
          <w:lang w:val="en-GB"/>
        </w:rPr>
        <w:fldChar w:fldCharType="begin" w:fldLock="1"/>
      </w:r>
      <w:r w:rsidR="00C34381">
        <w:rPr>
          <w:lang w:val="en-GB"/>
        </w:rPr>
        <w:instrText>ADDIN CSL_CITATION {"citationItems":[{"id":"ITEM-1","itemData":{"DOI":"10.1111/j.1365-2400.2009.00685.x","ISSN":"0969997X","abstract":"The European Union Water Framework Directive stipulates that pressures on surface waters due to diffuse loading of nutrients have to be taken into account in determination of their ecological status. A Finnish data set of fish communities in 178 lakes was used to assess the effects of agriculture-induced nutrient loads on the ecological status of lakes. The lakes were divided to reference (n = 100) and impacted sites (n = 78) based on water quality, land use and nutrient load data. Fish sampling was conducted by standardised gill net test fishing. A fish-based classification tool of the four parameters (EQR4) was applied to assess the ecological status of lakes. The parameters included were: mean total biomass of fish per gill net night, number of fish individuals per gill net night, biomass proportion of cyprinid fishes and the presence of indicator species. The analysis resulted in a median EQR4 value of 0.78 (good status) for reference lakes and 0.56 (moderate status) for affected lakes. Thus, the classification tool gave an acceptable output for different nutrient-loaded lakes. © 2009 Blackwell Publishing Ltd.","author":[{"dropping-particle":"","family":"Rask","given":"M.","non-dropping-particle":"","parse-names":false,"suffix":""},{"dropping-particle":"","family":"Olin","given":"M.","non-dropping-particle":"","parse-names":false,"suffix":""},{"dropping-particle":"","family":"Ruuhijärvi","given":"J.","non-dropping-particle":"","parse-names":false,"suffix":""}],"container-title":"Fisheries Management and Ecology","id":"ITEM-1","issued":{"date-parts":[["2010"]]},"title":"Fish-based assessment of ecological status of Finnish lakes loaded by diffuse nutrient pollution from agriculture","type":"article-journal"},"uris":["http://www.mendeley.com/documents/?uuid=3baffae7-b692-4727-952a-096044cec009"]},{"id":"ITEM-2","itemData":{"DOI":"10.1016/j.ecolind.2012.01.028","ISSN":"1470160X","abstract":"A classification tool suitable for establishing the ecological status of lakes based on fish population parameters has been developed for the Republic of Ireland and Northern Ireland (EU Water Framework Directive Ecoregion 17). A lake typology relevant to fish populations in lakes from Ecoregion 17 was produced as part of the ecological classification tool development. Four lake types were determined based on fish metrics and abiotic variables from 43 \"reference\" lakes. The specific lake fish typology categorised lakes into low (≤67 CaCO 3 mg L -1) or high (&gt;67 CaCO 3 mg L -1) alkalinity, and shallow (≤17 m) or deep (&gt;17 m) maximum depth. The fish in lakes classification tool (FIL2) follows a novel multimetric predictive approach, assigning ecological status to a lake using two independent methods. FIL2 qualitatively defines a lake's ecological status based on fish metrics using discriminant classification rules and, using a generalised linear model, quantitatively derives an Ecological Quality Ratio (EQR, 0 &lt; EQR &lt; 1), along with associated confidence intervals. It is recommended that both methods are used to validate output and cross-check and highlight potential misclassification. © 2012 Elsevier Ltd. All rights reserved.","author":[{"dropping-particle":"","family":"Kelly","given":"Fiona L.","non-dropping-particle":"","parse-names":false,"suffix":""},{"dropping-particle":"","family":"Harrison","given":"Andrew J.","non-dropping-particle":"","parse-names":false,"suffix":""},{"dropping-particle":"","family":"Allen","given":"Michelle","non-dropping-particle":"","parse-names":false,"suffix":""},{"dropping-particle":"","family":"Connor","given":"Lynda","non-dropping-particle":"","parse-names":false,"suffix":""},{"dropping-particle":"","family":"Rosell","given":"Robert","non-dropping-particle":"","parse-names":false,"suffix":""}],"container-title":"Ecological Indicators","id":"ITEM-2","issued":{"date-parts":[["2012"]]},"title":"Development and application of an ecological classification tool for fish in lakes in Ireland","type":"article-journal"},"uris":["http://www.mendeley.com/documents/?uuid=b75cd41d-404c-4028-9621-53ec493fb860"]}],"mendeley":{"formattedCitation":"(Rask, Olin, &amp; Ruuhijärvi, 2010; F. L. Kelly, Harrison, Allen, Connor, &amp; Rosell, 2012)","plainTextFormattedCitation":"(Rask, Olin, &amp; Ruuhijärvi, 2010; F. L. Kelly, Harrison, Allen, Connor, &amp; Rosell, 2012)","previouslyFormattedCitation":"(Rask, Olin, &amp; Ruuhijärvi, 2010; F. L. Kelly, Harrison, Allen, Connor, &amp; Rosell, 2012)"},"properties":{"noteIndex":0},"schema":"https://github.com/citation-style-language/schema/raw/master/csl-citation.json"}</w:instrText>
      </w:r>
      <w:r w:rsidR="00C34381">
        <w:rPr>
          <w:lang w:val="en-GB"/>
        </w:rPr>
        <w:fldChar w:fldCharType="separate"/>
      </w:r>
      <w:r w:rsidR="00C34381" w:rsidRPr="00C34381">
        <w:rPr>
          <w:noProof/>
          <w:lang w:val="en-GB"/>
        </w:rPr>
        <w:t>(Rask, Olin, &amp; Ruuhijärvi, 2010; F. L. Kelly, Harrison, Allen, Connor, &amp; Rosell, 2012)</w:t>
      </w:r>
      <w:r w:rsidR="00C34381">
        <w:rPr>
          <w:lang w:val="en-GB"/>
        </w:rPr>
        <w:fldChar w:fldCharType="end"/>
      </w:r>
      <w:r w:rsidRPr="00063D2E">
        <w:rPr>
          <w:lang w:val="en-GB"/>
        </w:rPr>
        <w:t xml:space="preserve">. As a result of numerous datasets </w:t>
      </w:r>
      <w:r w:rsidR="0081790A">
        <w:rPr>
          <w:lang w:val="en-GB"/>
        </w:rPr>
        <w:t xml:space="preserve">being </w:t>
      </w:r>
      <w:r w:rsidRPr="00063D2E">
        <w:rPr>
          <w:lang w:val="en-GB"/>
        </w:rPr>
        <w:t xml:space="preserve">used and different </w:t>
      </w:r>
      <w:r w:rsidR="00733392">
        <w:rPr>
          <w:lang w:val="en-GB"/>
        </w:rPr>
        <w:t xml:space="preserve">levels of </w:t>
      </w:r>
      <w:r w:rsidRPr="00063D2E">
        <w:rPr>
          <w:lang w:val="en-GB"/>
        </w:rPr>
        <w:t xml:space="preserve">data access throughout the world – many diverse approaches </w:t>
      </w:r>
      <w:r w:rsidR="0081790A">
        <w:rPr>
          <w:lang w:val="en-GB"/>
        </w:rPr>
        <w:t xml:space="preserve">have </w:t>
      </w:r>
      <w:r w:rsidRPr="00063D2E">
        <w:rPr>
          <w:lang w:val="en-GB"/>
        </w:rPr>
        <w:t>emerged, some with converging views of ecological status – striving for proposing a ‘guiding image’ for classification problem</w:t>
      </w:r>
      <w:r>
        <w:rPr>
          <w:lang w:val="en-GB"/>
        </w:rPr>
        <w:t>s</w:t>
      </w:r>
      <w:r w:rsidR="00C34381">
        <w:rPr>
          <w:lang w:val="en-GB"/>
        </w:rPr>
        <w:t xml:space="preserve"> </w:t>
      </w:r>
      <w:r w:rsidR="00C34381">
        <w:rPr>
          <w:lang w:val="en-GB"/>
        </w:rPr>
        <w:fldChar w:fldCharType="begin" w:fldLock="1"/>
      </w:r>
      <w:r w:rsidR="00C34381">
        <w:rPr>
          <w:lang w:val="en-GB"/>
        </w:rPr>
        <w:instrText>ADDIN CSL_CITATION {"citationItems":[{"id":"ITEM-1","itemData":{"DOI":"10.1016/j.scitotenv.2013.03.037","ISSN":"00489697","abstract":"Halting and reversing the deterioration of aquatic ecosystems requires concerted action across state boundaries and administrative barriers. However, the achievement of common management objectives is jeopardised by different national quality targets and ambitions. The European Water Framework Directive requires that quality classifications are harmonised via an intercalibration exercise, ensuring a consistent level of ambition in the protection and restoration of surface water bodies across the Member States of the European Union. We outline the key principles of the intercalibration methodology, review the achievements of intercalibration and discuss its benefits and drawbacks. Less than half of the required intercalibration has been completed, mostly due to a lack of national assessment methods. The process has fostered a scientific debate on ecological classification with important implications for environmental management. Despite a significant level of statistical abstraction, intercalibration yielded a fundamental and unified vision of what constitutes good ecology across Europe, in principle ensuring greater parity in the funds invested to achieve good ecological status. © 2013 Elsevier B.V.","author":[{"dropping-particle":"","family":"Birk","given":"S.","non-dropping-particle":"","parse-names":false,"suffix":""},{"dropping-particle":"","family":"Willby","given":"N. J.","non-dropping-particle":"","parse-names":false,"suffix":""},{"dropping-particle":"","family":"Kelly","given":"M. G.","non-dropping-particle":"","parse-names":false,"suffix":""},{"dropping-particle":"","family":"Bonne","given":"W.","non-dropping-particle":"","parse-names":false,"suffix":""},{"dropping-particle":"","family":"Borja","given":"A.","non-dropping-particle":"","parse-names":false,"suffix":""},{"dropping-particle":"","family":"Poikane","given":"S.","non-dropping-particle":"","parse-names":false,"suffix":""},{"dropping-particle":"","family":"Bund","given":"W.","non-dropping-particle":"van de","parse-names":false,"suffix":""}],"container-title":"Science of the Total Environment","id":"ITEM-1","issued":{"date-parts":[["2013"]]},"title":"Intercalibrating classifications of ecological status: Europe's quest for common management objectives for aquatic ecosystems","type":"article-journal"},"uris":["http://www.mendeley.com/documents/?uuid=856a08a1-acf4-451a-ab19-57cd497200e7"]},{"id":"ITEM-2","itemData":{"DOI":"10.1016/j.ecolind.2014.04.030","ISSN":"1470160X","abstract":"In this work, we classify watersheds in the US portion of the Great Lakes basin according to a wide range of social and environmental characteristics. Classified watershed indicators serve to provide organizing principles for prescribing effective management strategies and for developing regional scale monitoring and modeling efforts. Classifications also provide a means for synthesizing seemingly disparate ecological attributes into powerful indicators. We use a robust watershed classification scheme based on cluster analysis that integrates a set of 12 social and environmental factors chosen to reflect the state of water resources in the Great Lakes basin. We found five statistically distinct classified watershed indicators: Urban Centers, Intensive Agriculture, Cultivated Rural, Northwoods, and Lakes Destinations. Within these classifications, we distinguished relationships between impacts on water resources and biophysical, demographic, land-use, and social characteristics of the landscape. We found that agricultural areas can be divided into those with high and low water impact, and that watersheds with considerable influence of seasonal homes are further distinguished into watersheds with inland lakes and relatively high socioeconomic status, contrasted with watersheds with wetlands and relatively low socioeconomic status. © 2014 Elsevier Ltd.","author":[{"dropping-particle":"","family":"Mayer","given":"Alex","non-dropping-particle":"","parse-names":false,"suffix":""},{"dropping-particle":"","family":"Winkler","given":"Richelle","non-dropping-particle":"","parse-names":false,"suffix":""},{"dropping-particle":"","family":"Fry","given":"Lauren","non-dropping-particle":"","parse-names":false,"suffix":""}],"container-title":"Ecological Indicators","id":"ITEM-2","issued":{"date-parts":[["2014"]]},"title":"Classification of watersheds into integrated social and biophysical indicators with clustering analysis","type":"article-journal"},"uris":["http://www.mendeley.com/documents/?uuid=ec65a8eb-8889-45c2-a7b9-bee863197530"]}],"mendeley":{"formattedCitation":"(Birk, Willby, Kelly, Bonne, Borja, Poikane, &amp; van de Bund, 2013; Mayer, Winkler, &amp; Fry, 2014)","plainTextFormattedCitation":"(Birk, Willby, Kelly, Bonne, Borja, Poikane, &amp; van de Bund, 2013; Mayer, Winkler, &amp; Fry, 2014)","previouslyFormattedCitation":"(Birk, Willby, Kelly, Bonne, Borja, Poikane, &amp; van de Bund, 2013; Mayer, Winkler, &amp; Fry, 2014)"},"properties":{"noteIndex":0},"schema":"https://github.com/citation-style-language/schema/raw/master/csl-citation.json"}</w:instrText>
      </w:r>
      <w:r w:rsidR="00C34381">
        <w:rPr>
          <w:lang w:val="en-GB"/>
        </w:rPr>
        <w:fldChar w:fldCharType="separate"/>
      </w:r>
      <w:r w:rsidR="00C34381" w:rsidRPr="00C34381">
        <w:rPr>
          <w:noProof/>
          <w:lang w:val="en-GB"/>
        </w:rPr>
        <w:t>(Birk, Willby, Kelly, Bonne, Borja, Poikane, &amp; van de Bund, 2013; Mayer, Winkler, &amp; Fry, 2014)</w:t>
      </w:r>
      <w:r w:rsidR="00C34381">
        <w:rPr>
          <w:lang w:val="en-GB"/>
        </w:rPr>
        <w:fldChar w:fldCharType="end"/>
      </w:r>
      <w:r w:rsidRPr="00063D2E">
        <w:rPr>
          <w:lang w:val="en-GB"/>
        </w:rPr>
        <w:t xml:space="preserve">. </w:t>
      </w:r>
    </w:p>
    <w:p w14:paraId="2F58B284" w14:textId="652AEAD9" w:rsidR="00063D2E" w:rsidRDefault="0081790A" w:rsidP="00063D2E">
      <w:pPr>
        <w:spacing w:after="0"/>
        <w:ind w:firstLine="708"/>
        <w:jc w:val="both"/>
        <w:rPr>
          <w:lang w:val="en-GB"/>
        </w:rPr>
      </w:pPr>
      <w:r>
        <w:rPr>
          <w:lang w:val="en-GB"/>
        </w:rPr>
        <w:t>O</w:t>
      </w:r>
      <w:r w:rsidR="00063D2E" w:rsidRPr="00063D2E">
        <w:rPr>
          <w:lang w:val="en-GB"/>
        </w:rPr>
        <w:t xml:space="preserve">ne of the main goals for ecological status assessment is </w:t>
      </w:r>
      <w:r w:rsidR="00733392">
        <w:rPr>
          <w:lang w:val="en-GB"/>
        </w:rPr>
        <w:t>the</w:t>
      </w:r>
      <w:r w:rsidR="00733392" w:rsidRPr="00063D2E">
        <w:rPr>
          <w:lang w:val="en-GB"/>
        </w:rPr>
        <w:t xml:space="preserve"> </w:t>
      </w:r>
      <w:r w:rsidR="00063D2E" w:rsidRPr="00063D2E">
        <w:rPr>
          <w:lang w:val="en-GB"/>
        </w:rPr>
        <w:t>intercalibrat</w:t>
      </w:r>
      <w:r w:rsidR="00733392">
        <w:rPr>
          <w:lang w:val="en-GB"/>
        </w:rPr>
        <w:t>ion</w:t>
      </w:r>
      <w:r w:rsidR="00063D2E" w:rsidRPr="00063D2E">
        <w:rPr>
          <w:lang w:val="en-GB"/>
        </w:rPr>
        <w:t xml:space="preserve"> </w:t>
      </w:r>
      <w:r w:rsidR="00733392">
        <w:rPr>
          <w:lang w:val="en-GB"/>
        </w:rPr>
        <w:t xml:space="preserve">of </w:t>
      </w:r>
      <w:r w:rsidR="00063D2E" w:rsidRPr="00063D2E">
        <w:rPr>
          <w:lang w:val="en-GB"/>
        </w:rPr>
        <w:t xml:space="preserve">classification models for the sake of common lake management objectives </w:t>
      </w:r>
      <w:r w:rsidR="00C34381">
        <w:rPr>
          <w:lang w:val="en-GB"/>
        </w:rPr>
        <w:fldChar w:fldCharType="begin" w:fldLock="1"/>
      </w:r>
      <w:r w:rsidR="00C34381">
        <w:rPr>
          <w:lang w:val="en-GB"/>
        </w:rPr>
        <w:instrText>ADDIN CSL_CITATION {"citationItems":[{"id":"ITEM-1","itemData":{"abstract":"Halting and reversing the deterioration of aquatic ecosystems requires concerted action across state boundaries and administrative barriers. However, the achievement of common management objectives is jeopardised by different national quality targets and ambitions. The EuropeanWater Framework Directive requires that quality classifications are harmonised via an intercalibration exercise, ensuring a consistent level of ambition in the pro- tection and restoration of surfacewater bodies across theMember States of the European Union.Weoutline the key principles of the intercalibration methodology, review the achievements of intercalibration and discuss its benefits and drawbacks. Less than half of the required intercalibration has been completed, mostly due to a lack of national assessment methods. The process has fostered a scientificdebate on ecological classification with important implications for environmentalmanagement. Despite a significant level of statistical abstraction, intercalibration yielded a fundamental and unified vision of what constitutes good ecology across Europe, in principle ensuring greater parity in the funds invested to achieve good ecological status.","author":[{"dropping-particle":"","family":"Birk","given":"S","non-dropping-particle":"","parse-names":false,"suffix":""},{"dropping-particle":"","family":"Willby","given":"N J","non-dropping-particle":"","parse-names":false,"suffix":""},{"dropping-particle":"","family":"Kelly","given":"M G","non-dropping-particle":"","parse-names":false,"suffix":""},{"dropping-particle":"","family":"Bonne","given":"W","non-dropping-particle":"","parse-names":false,"suffix":""},{"dropping-particle":"","family":"Borja","given":"a","non-dropping-particle":"","parse-names":false,"suffix":""},{"dropping-particle":"","family":"Poikane","given":"S","non-dropping-particle":"","parse-names":false,"suffix":""},{"dropping-particle":"Van De","family":"Bund","given":"W","non-dropping-particle":"","parse-names":false,"suffix":""}],"container-title":"Science of the Total Environment","id":"ITEM-1","issued":{"date-parts":[["2013"]]},"title":"Science of the Total Environment Intercalibrating classi fi cations of ecological status : Europe ' s quest for common management objectives for aquatic ecosystems","type":"article-journal"},"uris":["http://www.mendeley.com/documents/?uuid=10a0cf1a-ee10-41b0-9a54-d808e257e707"]},{"id":"ITEM-2","itemData":{"DOI":"10.1016/j.envsci.2014.08.006","ISSN":"18736416","abstract":"The Water Framework Directive requires that European Union (EU) Member States ensure that their surface waters are in at least good ecological status by 2015 or at the latest by 2027. The good ecological status objective has been described and operationally defined in the Water Framework Directive. Member States develop their own ecological assessment methods but they must demonstrate that their methods and resulting classifications are comparable to other Member States across the EU. Comparability of assessment results is determined through an intercalibration exercise, the subject of this article. In 2013 The European Commission issued an updated Commission Decision on the results of intercalibration of assessment results across Europe. We present an overview of the process, discuss critical issues and good practices, and recommend approaches for a successful completion of the exercise.","author":[{"dropping-particle":"","fam</w:instrText>
      </w:r>
      <w:r w:rsidR="00C34381" w:rsidRPr="00CC583C">
        <w:rPr>
          <w:lang w:val="de-DE"/>
        </w:rPr>
        <w:instrText>ily":"Poikane","given":"Sandra","non-dropping-particle":"","parse-names":false,"suffix":""},{"dropping-particle":"","family":"Zampoukas","given":"Nikolaos","non-dropping-particle":"","parse-names":false,"suffix":""},{"dropping-particle":"","family":"Borja","given":"Angel","non-dropping-particle":"","parse-names":false,"suffix":""},{"dropping-particle":"","family":"Davies","given":"Susan P.","non-dropping-particle":"","parse-names":false,"suffix":""},{"dropping-particle":"","family":"Bund","given":"Wouter","non-dropping-particle":"van de","parse-names":false,"suffix":""},{"dropping-particle":"","family":"Birk","given":"Sebastian","non-dropping-particle":"","parse-names":false,"suffix":""}],"container-title":"Environmental Science and Policy","id":"ITEM-2","issued":{"date-parts":[["2014"]]},"title":"Intercalibration of aquatic ecological assessment methods in the European Union: Lessons learned and way forward","type":"article-journal"},"uris":["http://www.mendeley.com/documents/?uuid=c7b0e2fb-a012-47f8-8944-2a0a62dff4fc"]}],"mendeley":{"formattedCitation":"(Birk, Willby, Kelly, Bonne, Borja, Poikane, &amp; Bund, 2013; Poikane et al., 2014)","plainTextFormattedCitation":"(Birk, Willby, Kelly, Bonne, Borja, Poikane, &amp; Bund, 2013; Poikane et al., 2014)","previouslyFormattedCitation":"(Birk, Willby, Kelly, Bonne, Borja, Poikane, &amp; Bund, 2013; Poikane et al., 2014)"},"properties":{"noteIndex":0},"schema":"https://github.com/citation-style-language/schema/raw/master/csl-citation.json"}</w:instrText>
      </w:r>
      <w:r w:rsidR="00C34381">
        <w:rPr>
          <w:lang w:val="en-GB"/>
        </w:rPr>
        <w:fldChar w:fldCharType="separate"/>
      </w:r>
      <w:r w:rsidR="00C34381" w:rsidRPr="00CC583C">
        <w:rPr>
          <w:noProof/>
          <w:lang w:val="de-DE"/>
        </w:rPr>
        <w:t>(Birk, Willby, Kelly, Bonne, Borja, Poikane, &amp; Bund, 2013; Poikane et al., 2014)</w:t>
      </w:r>
      <w:r w:rsidR="00C34381">
        <w:rPr>
          <w:lang w:val="en-GB"/>
        </w:rPr>
        <w:fldChar w:fldCharType="end"/>
      </w:r>
      <w:r w:rsidR="00063D2E" w:rsidRPr="00CC583C">
        <w:rPr>
          <w:lang w:val="de-DE"/>
        </w:rPr>
        <w:t xml:space="preserve">. </w:t>
      </w:r>
      <w:r w:rsidR="00063D2E" w:rsidRPr="00063D2E">
        <w:rPr>
          <w:lang w:val="en-GB"/>
        </w:rPr>
        <w:t>However, according to some researchers, obstacles to</w:t>
      </w:r>
      <w:r w:rsidR="004A61DB">
        <w:rPr>
          <w:lang w:val="en-GB"/>
        </w:rPr>
        <w:t>wards</w:t>
      </w:r>
      <w:r w:rsidR="00063D2E" w:rsidRPr="00063D2E">
        <w:rPr>
          <w:lang w:val="en-GB"/>
        </w:rPr>
        <w:t xml:space="preserve"> achieving consistent classification methods can lie in data quality, </w:t>
      </w:r>
      <w:r w:rsidR="00063D2E">
        <w:rPr>
          <w:lang w:val="en-GB"/>
        </w:rPr>
        <w:t xml:space="preserve">the </w:t>
      </w:r>
      <w:r w:rsidR="00063D2E" w:rsidRPr="00063D2E">
        <w:rPr>
          <w:lang w:val="en-GB"/>
        </w:rPr>
        <w:t xml:space="preserve">uncertainty indicators, temporal variations (year-to-year variability), and data redundancy in the ecological assessment of water ecosystems </w:t>
      </w:r>
      <w:r w:rsidR="00C34381">
        <w:rPr>
          <w:lang w:val="en-GB"/>
        </w:rPr>
        <w:fldChar w:fldCharType="begin" w:fldLock="1"/>
      </w:r>
      <w:r w:rsidR="00E72549">
        <w:rPr>
          <w:lang w:val="en-GB"/>
        </w:rPr>
        <w:instrText>ADDIN CSL_CITATION {"citationItems":[{"id":"ITEM-1","itemData":{"DOI":"10.1016/j.scitotenv.2016.02.024","ISSN":"18791026","PMID":"26904924","abstract":"Although the Water Framework Directive specifies that macrophytes and phytobenthos should be used for the ecological assessment of lakes and rivers, practice varies widely throughout the EU. Most countries have separate methods for macrophytes and phytobenthos in rivers; however, the situation is very different for lakes. Here, 16 countries do not have dedicated phytobenthos methods, some include filamentous algae within macrophyte survey methods whilst others use diatoms as proxies for phytobenthos. The most widely-cited justification for not having a dedicated phytobenthos method is redundancy, i.e. that macrophyte and phytoplankton assessments alone are sufficient to detect nutrient impacts. Evidence from those European Union Member States that have dedicated phytobenthos methods supports this for high level overviews of lake condition and classification; however, there are a number of situations where phytobenthos may contribute valuable information for the management of lakes.","author":[{"dropping-particle":"","family":"Kelly","given":"Martyn G.","non-dropping-particle":"","parse-names":false,"suffix":""},{"dropping-particle":"","family":"Birk","given":"Sebastian","non-dropping-particle":"","parse-names":false,"suffix":""},{"dropping-particle":"","family":"Willby","given":"Nigel J.","non-dropping-particle":"","parse-names":false,"suffix":""},{"dropping-particle":"","family":"Denys","given":"Luc","non-dropping-particle":"","parse-names":false,"suffix":""},{"dropping-particle":"","family":"Drakare","given":"Stina","non-dropping-particle":"","parse-names":false,"suffix":""},{"dropping-particle":"","family":"Kahlert","given":"Maria","non-dropping-particle":"","parse-names":false,"suffix":""},{"dropping-particle":"","family":"Karjalainen","given":"Satu Maaria","non-dropping-particle":"","parse-names":false,"suffix":""},{"dropping-particle":"","family":"Marchetto","given":"Aldo","non-dropping-particle":"","parse-names":false,"suffix":""},{"dropping-particle":"","family":"Pitt","given":"Jo Anne","non-dropping-particle":"","parse-names":false,"suffix":""},{"dropping-particle":"","family":"Urbanič","given":"Gorazd","non-dropping-particle":"","parse-names":false,"suffix":""},{"dropping-particle":"","family":"Poikane","given":"Sandra","non-dropping-particle":"","parse-names":false,"suffix":""}],"container-title":"Science of the Total Environment","id":"ITEM-1","issued":{"date-parts":[["2016"]]},"title":"Redundancy in the ecological assessment of lakes: Are phytoplankton, macrophytes and phytobenthos all necessary?","type":"article-journal"},"uris":["http://www.mendeley.com/documents/?uuid=8ba256a5-0a22-4ade-9c41-beb11f471ff0"]},{"id":"ITEM-2","itemData":{"DOI":"10.1016/j.ecocom.2016.07.005","ISSN":"1476945X","abstract":"Intricacy of biotic interactions (predator-prey relationship, strength of food web links and other type of intra- and inter-specific relationships), as well as shifts in species functions in ecosystems, could affect the accuracy of predictions derived from the theory of redundancy of species, when applied to ecosystems assessment. This opinion paper is based on three main considerations: 1) some fundamental differences between ecological and engineering definition of “redundancy”, underlying the main concerns related to the use frameworks derived from economical or engineering disciplines, as the ecosystems services paradigm; 2) presence of empirical obstacles to establish whether two different species are fully or partially redundant. When species redundancy in a particular community is estimated using a matrix with species-specific functional traits, often forgetting potential biotic interactions not directly related to the trophic chains or neglecting the variability in strengths of the links connecting these species; and 3) recent evidence offered by studies that shed doubts on the validity of the ecological redundancy hypothesis. Finally, we claim that more attention must to be paid to intrinsic ecological aspects of ecosystem components (per se values rather than derived values), and a precautionary principle is necessary for decisions related to the assessment of ecosystems.","author":[{"dropping-particle":"","family":"Morelli","given":"Federico","non-dropping-particle":"","parse-names":false,"suffix":""},{"dropping-particle":"","family":"Tryjanowski","given":"Piotr","non-dropping-particle":"","parse-names":false,"suffix":""}],"container-title":"Ecological Complexity","id":"ITEM-2","issued":{"date-parts":[["2016"]]},"title":"The dark side of the “redundancy hypothesis” and ecosystem assessment","type":"article"},"uris":["http://www.mendeley.com/documents/?uuid=94e5a8f2-4a6b-4e4d-a194-a436fa8675a8"]},{"id":"ITEM-3","itemData":{"DOI":"10.1016/j.ecocom.2015.04.001","ISSN":"1476945X","abstract":"Time-series modelling techniques are powerful tools for studying temporal scaling structures and dynamics present in ecological and other complex systems and are gaining popularity for assessing resilience quantitatively. Among other methods, canonical ordinations based on redundancy analysis are increasingly used for determining temporal scaling patterns that are inherent in ecological data. However, modelling outcomes and thus inference about ecological dynamics and resilience may vary depending on the approaches used. In this study, we compare the statistical performance, logical consistency and information content of two approaches: (i) asymmetric eigenvector maps (AEM) that account for linear trends and (ii) symmetric distance-based Moran's eigenvector maps (MEM), which requires detrending of raw data to remove linear trends prior to analysis. Our comparison is done using long-term water quality data (25 years) from three Swedish lakes. This data set therefore provides the opportunity for assessing how the modelling approach used affects performance and inference in time series modelling. We found that AEM models had consistently more explanatory power than MEM, and in two out of three lakes AEM extracted one more temporal scale than MEM. The scale-specific patterns detected by AEM and MEM were uncorrelated. Also individual water quality variables explaining these patterns differed between methods, suggesting that inferences about systems dynamics are dependent on modelling approach. These findings suggest that AEM might be more suitable for assessing dynamics in time series analysis compared to MEM when temporal trends are relevant. The AEM approach is logically consistent with temporal autocorrelation where earlier conditions can influence later conditions but not vice versa. The symmetric MEM approach, which ignores the asymmetric nature of time, might be suitable for addressing specific questions about the importance of correlations in fluctuation patterns where there are no confounding elements of linear trends or a need to assess causality.","author":[{"dropping-particle":"","family":"Baho","given":"Didier L.","non-dropping-particle":"","parse-names":false,"suffix":""},{"dropping-particle":"","family":"Futter","given":"Martyn N.","non-dropping-particle":"","parse-names":false,"suffix":""},{"dropping-particle":"","family":"Johnson","given":"Richard K.","non-dropping-particle":"","parse-names":false,"suffix":""},{"dropping-particle":"","family":"Angeler","given":"David G.","non-dropping-particle":"","parse-names":false,"suffix":""}],"container-title":"Ecological Complexity","id":"ITEM-3","issued":{"date-parts":[["2015"]]},"title":"Assessing temporal scales and patterns in time series: Comparing methods based on redundancy analysis","type":"article-journal"},"uris":["http://www.mendeley.com/documents/?uuid=f38cc795-3c8c-4000-bc33-ec64d00aafed"]}],"mendeley":{"formattedCitation":"(Baho, Futter, Johnson, &amp; Angeler, 2015; M. G. Kelly et al., 2016; Morelli &amp; Tryjanowski, 2016)","plainTextFormattedCitation":"(Baho, Futter, Johnson, &amp; Angeler, 2015; M. G. Kelly et al., 2016; Morelli &amp; Tryjanowski, 2016)","previouslyFormattedCitation":"(Baho, Futter, Johnson, &amp; Angeler, 2015; M. G. Kelly et al., 2016; Morelli &amp; Tryjanowski, 2016)"},"properties":{"noteIndex":0},"schema":"https://github.com/citation-style-language/schema/raw/master/csl-citation.json"}</w:instrText>
      </w:r>
      <w:r w:rsidR="00C34381">
        <w:rPr>
          <w:lang w:val="en-GB"/>
        </w:rPr>
        <w:fldChar w:fldCharType="separate"/>
      </w:r>
      <w:r w:rsidR="00C34381" w:rsidRPr="00C34381">
        <w:rPr>
          <w:noProof/>
          <w:lang w:val="en-GB"/>
        </w:rPr>
        <w:t>(Baho, Futter, Johnson, &amp; Angeler, 2015; M. G. Kelly et al., 2016; Morelli &amp; Tryjanowski, 2016)</w:t>
      </w:r>
      <w:r w:rsidR="00C34381">
        <w:rPr>
          <w:lang w:val="en-GB"/>
        </w:rPr>
        <w:fldChar w:fldCharType="end"/>
      </w:r>
      <w:r w:rsidR="00063D2E" w:rsidRPr="00063D2E">
        <w:rPr>
          <w:lang w:val="en-GB"/>
        </w:rPr>
        <w:t>. These shortcomings negatively affect the achievement of the necessary compromise between science and management</w:t>
      </w:r>
      <w:r w:rsidR="00E72549">
        <w:rPr>
          <w:lang w:val="en-GB"/>
        </w:rPr>
        <w:t xml:space="preserve"> </w:t>
      </w:r>
      <w:r w:rsidR="00E72549">
        <w:rPr>
          <w:lang w:val="en-GB"/>
        </w:rPr>
        <w:fldChar w:fldCharType="begin" w:fldLock="1"/>
      </w:r>
      <w:r w:rsidR="00E72549">
        <w:rPr>
          <w:lang w:val="en-GB"/>
        </w:rPr>
        <w:instrText>ADDIN CSL_CITATION {"citationItems":[{"id":"ITEM-1","itemData":{"DOI":"10.1080/07438140903238567","ISSN":"07438141","abstract":"The Water Framework Directive EU2000/60/EC (WFD) was implemented for reservoirs at a regional scale (northeastern Spain). Twenty-one reservoirs were monitored quarterly over the course of a year. Using principal component analysis, the reservoirs were classified into types according to their geological and morphometric features. The Ecological Quality (EQ) of the reservoirs was assessed by integrating values of total chlorophyll a, cyanophyta chlorophyll a concentration, fish metrics, Secchi depth, averaged hypolimnetic oxygen concentration and total phosphorus. For each reservoir type, a reference condition of quality was selected. When possible, this reference was the reservoir displaying the best EQ; otherwise expert judgment was used. To allow comparison of quality among reservoirs belonging to different types, thus identifying intrinsic differences, an Ecological Quality Ratio (EQR) was calculated by dividing the EQ value of each reservoir by that of its reference. According to EQR, the majority of the reservoirs accomplished the quality criteria of the WFD. This study identified a number of useful indicators for EQ assessment. Moreover, because the references were chosen among similar reservoirs, low EQR values are indicative of specific problems, such as untreated or wastewater spills or droughts. The results also demonstrate that expert judgment is a reasonable compromise when the low number of water bodies available for the study prevents statistical approaches. © 2009 Copyright by the North American Lake Management Society.","author":[{"dropping-particle":"","family":"Navarro","given":"E.","non-dropping-particle":"","parse-names":false,"suffix":""},{"dropping-particle":"","family":"Caputo","given":"L.","non-dropping-particle":"","parse-names":false,"suffix":""},{"dropping-particle":"","family":"Marcé","given":"R.","non-dropping-particle":"","parse-names":false,"suffix":""},{"dropping-particle":"","family":"Carol","given":"J.","non-dropping-particle":"","parse-names":false,"suffix":""},{"dropping-particle":"","family":"Benejam","given":"L.","non-dropping-particle":"","parse-names":false,"suffix":""},{"dropping-particle":"","family":"Garcia-Berthou","given":"E.","non-dropping-particle":"","parse-names":false,"suffix":""},{"dropping-particle":"","family":"Armengol","given":"J.","non-dropping-particle":"","parse-names":false,"suffix":""}],"container-title":"Lake and Reservoir Management","id":"ITEM-1","issued":{"date-parts":[["2009"]]},"title":"Ecological classification of a set of Mediterranean reservoirs applying the EU Water Framework Directive: A reasonable compromise between science and management","type":"article-journal"},"uris":["http://www.mendeley.com/documents/?uuid=10f6d26d-af7e-4835-8bc2-ead1e2da70ce"]}],"mendeley":{"formattedCitation":"(Navarro et al., 2009)","plainTextFormattedCitation":"(Navarro et al., 2009)","previouslyFormattedCitation":"(Navarro et al., 2009)"},"properties":{"noteIndex":0},"schema":"https://github.com/citation-style-language/schema/raw/master/csl-citation.json"}</w:instrText>
      </w:r>
      <w:r w:rsidR="00E72549">
        <w:rPr>
          <w:lang w:val="en-GB"/>
        </w:rPr>
        <w:fldChar w:fldCharType="separate"/>
      </w:r>
      <w:r w:rsidR="00E72549" w:rsidRPr="00E72549">
        <w:rPr>
          <w:noProof/>
          <w:lang w:val="en-GB"/>
        </w:rPr>
        <w:t>(Navarro et al., 2009)</w:t>
      </w:r>
      <w:r w:rsidR="00E72549">
        <w:rPr>
          <w:lang w:val="en-GB"/>
        </w:rPr>
        <w:fldChar w:fldCharType="end"/>
      </w:r>
      <w:r w:rsidR="00063D2E" w:rsidRPr="00063D2E">
        <w:rPr>
          <w:lang w:val="en-GB"/>
        </w:rPr>
        <w:t xml:space="preserve">. Some of the </w:t>
      </w:r>
      <w:r w:rsidR="00063D2E">
        <w:rPr>
          <w:lang w:val="en-GB"/>
        </w:rPr>
        <w:t xml:space="preserve">problems </w:t>
      </w:r>
      <w:r w:rsidR="00D518AE">
        <w:rPr>
          <w:lang w:val="en-GB"/>
        </w:rPr>
        <w:t xml:space="preserve">described </w:t>
      </w:r>
      <w:r w:rsidR="00063D2E">
        <w:rPr>
          <w:lang w:val="en-GB"/>
        </w:rPr>
        <w:t>above</w:t>
      </w:r>
      <w:r w:rsidR="00063D2E" w:rsidRPr="00063D2E">
        <w:rPr>
          <w:lang w:val="en-GB"/>
        </w:rPr>
        <w:t xml:space="preserve"> are </w:t>
      </w:r>
      <w:r w:rsidR="00D518AE">
        <w:rPr>
          <w:lang w:val="en-GB"/>
        </w:rPr>
        <w:t>addressed</w:t>
      </w:r>
      <w:r w:rsidR="00D518AE" w:rsidRPr="00063D2E">
        <w:rPr>
          <w:lang w:val="en-GB"/>
        </w:rPr>
        <w:t xml:space="preserve"> </w:t>
      </w:r>
      <w:r w:rsidR="00063D2E" w:rsidRPr="00063D2E">
        <w:rPr>
          <w:lang w:val="en-GB"/>
        </w:rPr>
        <w:t>by the rapidly growing field of machine learning and artificial intelligence</w:t>
      </w:r>
      <w:r w:rsidR="00E72549">
        <w:rPr>
          <w:lang w:val="en-GB"/>
        </w:rPr>
        <w:t xml:space="preserve"> </w:t>
      </w:r>
      <w:r w:rsidR="00E72549">
        <w:rPr>
          <w:lang w:val="en-GB"/>
        </w:rPr>
        <w:fldChar w:fldCharType="begin" w:fldLock="1"/>
      </w:r>
      <w:r w:rsidR="00027185">
        <w:rPr>
          <w:lang w:val="en-GB"/>
        </w:rPr>
        <w:instrText>ADDIN CSL_CITATION {"citationItems":[{"id":"ITEM-1","itemData":{"DOI":"10.1016/j.ecoser.2018.04.004","ISSN":"22120416","abstract":"Recent developments in machine learning have expanded data-driven modelling (DDM) capabilities, allowing artificial intelligence to infer the behaviour of a system by computing and exploiting correlations between observed variables within it. Machine learning algorithms may enable the use of increasingly available ‘big data’ and assist applying ecosystem service models across scales, analysing and predicting the flows of these services to disaggregated beneficiaries. We use the Weka and ARIES software to produce two examples of DDM: firewood use in South Africa and biodiversity value in Sicily, respectively. Our South African example demonstrates that DDM (64–91% accuracy) can identify the areas where firewood use is within the top quartile with comparable accuracy as conventional modelling techniques (54–77% accuracy). The Sicilian example highlights how DDM can be made more accessible to decision makers, who show both capacity and willingness to engage with uncertainty information. Uncertainty estimates, produced as part of the DDM process, allow decision makers to determine what level of uncertainty is acceptable to them and to use their own expertise for potentially contentious decisions. We conclude that DDM has a clear role to play when modelling ecosystem services, helping produce interdisciplinary models and holistic solutions to complex socio-ecological issues.","author":[{"dropping-particle":"","family":"Willcock","given":"Simon","non-dropping-particle":"","parse-names":false,"suffix":""},{"dropping-particle":"","family":"Martínez-López","given":"Javier","non-dropping-particle":"","parse-names":false,"suffix":""},{"dropping-particle":"","family":"Hooftman","given":"Danny A.P.","non-dropping-particle":"","parse-names":false,"suffix":""},{"dropping-particle":"","family":"Bagstad","given":"Kenneth J.","non-dropping-particle":"","parse-names":false,"suffix":""},{"dropping-particle":"","family":"Balbi","given":"Stefano","non-dropping-particle":"","parse-names":false,"suffix":""},{"dropping-particle":"","family":"Marzo","given":"Alessia","non-dropping-particle":"","parse-names":false,"suffix":""},{"dropping-particle":"","family":"Prato","given":"Carlo","non-dropping-particle":"","parse-names":false,"suffix":""},{"dropping-particle":"","family":"Sciandrello","given":"Saverio","non-dropping-particle":"","parse-names":false,"suffix":""},{"dropping-particle":"","family":"Signorello","given":"Giovanni","non-dropping-particle":"","parse-names":false,"suffix":""},{"dropping-particle":"","family":"Voigt","given":"Brian","non-dropping-particle":"","parse-names":false,"suffix":""},{"dropping-particle":"","family":"Villa","given":"Ferdinando","non-dropping-particle":"","parse-names":false,"suffix":""},{"dropping-particle":"","family":"Bullock","given":"James M.","non-dropping-particle":"","parse-names":false,"suffix":""},{"dropping-particle":"","family":"Athanasiadis","given":"Ioannis N.","non-dropping-particle":"","parse-names":false,"suffix":""}],"container-title":"Ecosystem Services","id":"ITEM-1","issued":{"date-parts":[["2018"]]},"title":"Machine learning for ecosystem services","type":"article-journal"},"uris":["http://www.mendeley.com/documents/?uuid=6b84707a-35a0-40c7-b4e7-3d9a4aaf8a9e"]},{"id":"ITEM-2","itemData":{"DOI":"10.3389/fevo.2019.00402","ISSN":"2296701X","abstract":"The grand ambition of theorists studying ecology and evolution is to discover the logical and mathematical rules driving the world's biodiversity at every level from genetic diversity within species to differences between populations, communities, and ecosystems. This ambition has been difficult to realize in great part because of the complexity of biodiversity. Theoretical work has led to a complex web of theories, each having non-obvious consequences for other theories. Case in point, the recent realization that genetic diversity involves a great deal of temporal and spatial stochasticity forces theoretical population genetics to consider abiotic and biotic factors generally reserved to ecosystem ecology. This interconnectedness may require theoretical scientists to adopt new techniques adapted to reason about large sets of theories. Mathematicians have solved this problem by using formal languages based on logic to manage theorems. However, theories in ecology and evolution are not mathematical theorems, they involve uncertainty. Recent work in Artificial Intelligence in bridging logic and probability theory offers the opportunity to build rich knowledge bases that combine logic's ability to represent complex mathematical ideas with probability theory's ability to model uncertainty. We describe these hybrid languages and explore how they could be used to build a unified knowledge base of theories for ecology and evolution.","author":[{"dropping-particle":"","family":"Desjardins-Proulx","given":"Philippe","non-dropping-particle":"","parse-names":false,"suffix":""},{"dropping-particle":"","family":"Poisot","given":"Timothée","non-dropping-particle":"","parse-names":false,"suffix":""},{"dropping-particle":"","family":"Gravel","given":"Dominique","non-dropping-particle":"","parse-names":false,"suffix":""}],"container-title":"Frontiers in Ecology and Evolution","id":"ITEM-2","issued":{"date-parts":[["2019"]]},"title":"Artificial Intelligence for Ecological and Evolutionary Synthesis","type":"article-journal"},"uris":["http://www.mendeley.com/documents/?uuid=8ba1984a-a955-451e-83bb-278e8ed1c88a"]}],"mendeley":{"formattedCitation":"(Willcock et al., 2018; Desjardins-Proulx, Poisot, &amp; Gravel, 2019)","plainTextFormattedCitation":"(Willcock et al., 2018; Desjardins-Proulx, Poisot, &amp; Gravel, 2019)","previouslyFormattedCitation":"(Willcock et al., 2018; Desjardins-Proulx, Poisot, &amp; Gravel, 2019)"},"properties":{"noteIndex":0},"schema":"https://github.com/citation-style-language/schema/raw/master/csl-citation.json"}</w:instrText>
      </w:r>
      <w:r w:rsidR="00E72549">
        <w:rPr>
          <w:lang w:val="en-GB"/>
        </w:rPr>
        <w:fldChar w:fldCharType="separate"/>
      </w:r>
      <w:r w:rsidR="00E72549" w:rsidRPr="00E72549">
        <w:rPr>
          <w:noProof/>
          <w:lang w:val="en-GB"/>
        </w:rPr>
        <w:t>(Willcock et al., 2018; Desjardins-Proulx, Poisot, &amp; Gravel, 2019)</w:t>
      </w:r>
      <w:r w:rsidR="00E72549">
        <w:rPr>
          <w:lang w:val="en-GB"/>
        </w:rPr>
        <w:fldChar w:fldCharType="end"/>
      </w:r>
      <w:r w:rsidR="00733392">
        <w:rPr>
          <w:lang w:val="en-GB"/>
        </w:rPr>
        <w:t>, as is subsequently explained</w:t>
      </w:r>
      <w:r w:rsidR="00063D2E" w:rsidRPr="00063D2E">
        <w:rPr>
          <w:lang w:val="en-GB"/>
        </w:rPr>
        <w:t>.</w:t>
      </w:r>
    </w:p>
    <w:p w14:paraId="023F7B59" w14:textId="586BA699" w:rsidR="0011145F" w:rsidRDefault="0011145F" w:rsidP="0011145F">
      <w:pPr>
        <w:spacing w:after="0"/>
        <w:jc w:val="both"/>
        <w:rPr>
          <w:lang w:val="en-GB"/>
        </w:rPr>
      </w:pPr>
    </w:p>
    <w:p w14:paraId="34E32E4D" w14:textId="0FF89A10" w:rsidR="0011145F" w:rsidRPr="00707B3C" w:rsidRDefault="0011145F" w:rsidP="0011145F">
      <w:pPr>
        <w:spacing w:after="0"/>
        <w:jc w:val="both"/>
        <w:rPr>
          <w:b/>
          <w:bCs/>
          <w:color w:val="FF0000"/>
          <w:lang w:val="en-GB"/>
        </w:rPr>
      </w:pPr>
      <w:r w:rsidRPr="00707B3C">
        <w:rPr>
          <w:b/>
          <w:bCs/>
          <w:color w:val="FF0000"/>
          <w:lang w:val="en-GB"/>
        </w:rPr>
        <w:t xml:space="preserve">1.3. </w:t>
      </w:r>
      <w:r w:rsidRPr="00707B3C">
        <w:rPr>
          <w:b/>
          <w:bCs/>
          <w:color w:val="FF0000"/>
          <w:lang w:val="en-GB"/>
        </w:rPr>
        <w:tab/>
      </w:r>
      <w:r w:rsidR="00801E85" w:rsidRPr="00707B3C">
        <w:rPr>
          <w:b/>
          <w:bCs/>
          <w:color w:val="FF0000"/>
          <w:lang w:val="en-GB"/>
        </w:rPr>
        <w:t>Intelligent information retrieval and reproducibility</w:t>
      </w:r>
    </w:p>
    <w:p w14:paraId="16742B4B" w14:textId="77777777" w:rsidR="0011145F" w:rsidRPr="00063D2E" w:rsidRDefault="0011145F" w:rsidP="0011145F">
      <w:pPr>
        <w:spacing w:after="0"/>
        <w:jc w:val="both"/>
        <w:rPr>
          <w:lang w:val="en-GB"/>
        </w:rPr>
      </w:pPr>
    </w:p>
    <w:p w14:paraId="62477FEB" w14:textId="6F8CD8A8" w:rsidR="00B12E7F" w:rsidRPr="00B12E7F" w:rsidRDefault="00063D2E" w:rsidP="00B12E7F">
      <w:pPr>
        <w:spacing w:after="0"/>
        <w:ind w:firstLine="708"/>
        <w:jc w:val="both"/>
        <w:rPr>
          <w:lang w:val="en-GB"/>
        </w:rPr>
      </w:pPr>
      <w:r w:rsidRPr="00063D2E">
        <w:rPr>
          <w:lang w:val="en-GB"/>
        </w:rPr>
        <w:t xml:space="preserve">Machine Learning is used in modeling the ecological status of lakes, especially in cases of individual </w:t>
      </w:r>
      <w:r w:rsidR="005218A1">
        <w:rPr>
          <w:lang w:val="en-GB"/>
        </w:rPr>
        <w:t xml:space="preserve">examples </w:t>
      </w:r>
      <w:r w:rsidR="00CC583C">
        <w:rPr>
          <w:lang w:val="en-GB"/>
        </w:rPr>
        <w:t xml:space="preserve">with </w:t>
      </w:r>
      <w:r w:rsidR="005218A1">
        <w:rPr>
          <w:lang w:val="en-GB"/>
        </w:rPr>
        <w:t>self-context</w:t>
      </w:r>
      <w:r w:rsidR="00CC583C">
        <w:rPr>
          <w:lang w:val="en-GB"/>
        </w:rPr>
        <w:t xml:space="preserve"> characteristics </w:t>
      </w:r>
      <w:r w:rsidR="00027185">
        <w:rPr>
          <w:lang w:val="en-GB"/>
        </w:rPr>
        <w:fldChar w:fldCharType="begin" w:fldLock="1"/>
      </w:r>
      <w:r w:rsidR="00027185">
        <w:rPr>
          <w:lang w:val="en-GB"/>
        </w:rPr>
        <w:instrText>ADDIN CSL_CITATION {"citationItems":[{"id":"ITEM-1","itemData":{"DOI":"10.5751/es-00557-070301","ISSN":"17083087","abstract":"The Northern Highlands Lake District of Wisconsin is in transition from a sparsely settled region to a more densely populated one. Expected changes offer benefits to northern Wisconsin residents but also threaten to degrade the ecological services they rely on. Because the future of this region is uncertain, it is difficult to make decisions that will avoid potential risks and take advantage of potential opportunities. We adopt a scenario planning approach to cope with this problem of prediction. We use an ecological assessment framework developed by the Millennium Ecosystem Assessment to determine key social and ecological driving forces in the Northern Highlands Lake District. From these, we describe three alternative scenarios to the year 2025 in which the projected use of ecological services is substantially different. The work reported in this paper demonstrates how scenarios can be developed for a region and provides a starting point for a participatory discussion of alternative futures for northern Wisconsin. Although the future is unknowable, we hope that the assessment process begun in this paper will help the people of the Northern Highlands Lake District choose the future path of their region. © 2003 by the author(s).","author":[{"dropping-particle":"","family":"Peterson","given":"Garry D.","non-dropping-particle":"","parse-names":false,"suffix":""},{"dropping-particle":"","family":"Douglas Beard","given":"T.","non-dropping-particle":"","parse-names":false,"suffix":""},{"dropping-particle":"","family":"Beisner","given":"Beatrix E.","non-dropping-particle":"","parse-names":false,"suffix":""},{"dropping-particle":"","family":"Bennett","given":"Elena M.","non-dropping-particle":"","parse-names":false,"suffix":""},{"dropping-particle":"","family":"Carpenter","given":"Stephen R.","non-dropping-particle":"","parse-names":false,"suffix":""},{"dropping-particle":"","family":"Cumming","given":"Graeme S.","non-dropping-particle":"","parse-names":false,"suffix":""},{"dropping-particle":"","family":"Lisa Dent","given":"C.","non-dropping-particle":"","parse-names":false,"suffix":""},{"dropping-particle":"","family":"Havlicek","given":"Tanya D.","non-dropping-particle":"","parse-names":false,"suffix":""}],"container-title":"Ecology and Society","id":"ITEM-1","issued":{"date-parts":[["2003"]]},"title":"Assessing future ecosystem services: A case study of the Northern Highlands Lake District, Wisconsin","type":"article-journal"},"uris":["http://www.mendeley.com/documents/?uuid=8cf07014-a1e4-4f22-959b-14049bcb9929"]},{"id":"ITEM-2","itemData":{"DOI":"10.1080/14634988.2010.504695","ISSN":"14634988","abstract":"Lake Malawi's fishes are a source of food for millions and provide a livelihood for thousands by encouraging tourism, fascinating the scientific fraternity, enchanting aquarists around the world and maintaining ecosystem processes in the lake. From a fisheries and resource assessment perspective, the region is data-poor, but there is sufficient peer-reviewed and grey literature on the limnology, fisheries and ichthyofauna of the lake to provide a good overview of the state of the fishery. There are signs of over exploitation and an increasing fishing effort has resulted in decreased catch rates, depletion of larger, more valuable species in the fishery and species changes. The fishery is harvesting stocks that were formerly thought to be under exploited. Previous attempts to manage the fishery have been ineffective and long term strategies addressing overfishing will need to transform the fishery from an open-access to a limited access system. As important as direct intervention in the management of the fisheries, will be the management of catchment processes. Increased nutrient inputs; changes to the phytoplankton composition; sediment loading; nearshore water quality impacts and changing water levels threaten the ecosystem. Introduction of alien invasive organisms is an ever present threat to the ecosystem as well, due to continued development of small scale aquaculture in the region. The overriding causative factor for all these effects is the poverty of the lakeshore communities which do not have the economic privilege of being able to adapt their utilisation patterns. © 2010 AEHMS.","author":[{"dropping-particle":"","family":"Weyl","given":"Olaf L.F.","non-dropping-particle":"","parse-names":false,"suffix":""},{"dropping-particle":"","family":"Ribbink","given":"Anthony J.","non-dropping-particle":"","parse-names":false,"suffix":""},{"dropping-particle":"","family":"Tweddlel","given":"Denis","non-dropping-particle":"","parse-names":false,"suffix":""}],"container-title":"Aquatic Ecosystem Health and Management","id":"ITEM-2","issued":{"date-parts":[["2010"]]},"title":"Lake Malawi: Fishes, fisheries, biodiversity, health and habitat","type":"article-journal"},"uris":["http://www.mendeley.com/documents/?uuid=4609808a-33ef-43b5-825f-ec2beab330cc"]}],"mendeley":{"formattedCitation":"(Peterson et al., 2003; Weyl, Ribbink, &amp; Tweddlel, 2010)","plainTextFormattedCitation":"(Peterson et al., 2003; Weyl, Ribbink, &amp; Tweddlel, 2010)","previouslyFormattedCitation":"(Peterson et al., 2003; Weyl, Ribbink, &amp; Tweddlel, 2010)"},"properties":{"noteIndex":0},"schema":"https://github.com/citation-style-language/schema/raw/master/csl-citation.json"}</w:instrText>
      </w:r>
      <w:r w:rsidR="00027185">
        <w:rPr>
          <w:lang w:val="en-GB"/>
        </w:rPr>
        <w:fldChar w:fldCharType="separate"/>
      </w:r>
      <w:r w:rsidR="00027185" w:rsidRPr="00027185">
        <w:rPr>
          <w:noProof/>
          <w:lang w:val="en-GB"/>
        </w:rPr>
        <w:t>(Peterson et al., 2003; Weyl, Ribbink, &amp; Tweddlel, 2010)</w:t>
      </w:r>
      <w:r w:rsidR="00027185">
        <w:rPr>
          <w:lang w:val="en-GB"/>
        </w:rPr>
        <w:fldChar w:fldCharType="end"/>
      </w:r>
      <w:r w:rsidRPr="00063D2E">
        <w:rPr>
          <w:lang w:val="en-GB"/>
        </w:rPr>
        <w:t>. Regi</w:t>
      </w:r>
      <w:r w:rsidR="00643631">
        <w:rPr>
          <w:lang w:val="en-GB"/>
        </w:rPr>
        <w:t>o</w:t>
      </w:r>
      <w:r w:rsidRPr="00063D2E">
        <w:rPr>
          <w:lang w:val="en-GB"/>
        </w:rPr>
        <w:t xml:space="preserve">nal scale assessments are mainly produced with </w:t>
      </w:r>
      <w:r>
        <w:rPr>
          <w:lang w:val="en-GB"/>
        </w:rPr>
        <w:t xml:space="preserve">the </w:t>
      </w:r>
      <w:r w:rsidRPr="00063D2E">
        <w:rPr>
          <w:lang w:val="en-GB"/>
        </w:rPr>
        <w:t>use of remote sensing technique</w:t>
      </w:r>
      <w:r w:rsidR="0077463E">
        <w:rPr>
          <w:lang w:val="en-GB"/>
        </w:rPr>
        <w:t>s</w:t>
      </w:r>
      <w:r w:rsidR="00027185">
        <w:rPr>
          <w:lang w:val="en-GB"/>
        </w:rPr>
        <w:t xml:space="preserve"> </w:t>
      </w:r>
      <w:r w:rsidR="00027185">
        <w:rPr>
          <w:lang w:val="en-GB"/>
        </w:rPr>
        <w:fldChar w:fldCharType="begin" w:fldLock="1"/>
      </w:r>
      <w:r w:rsidR="00027185">
        <w:rPr>
          <w:lang w:val="en-GB"/>
        </w:rPr>
        <w:instrText>ADDIN CSL_CITATION {"citationItems":[{"id":"ITEM-1","itemData":{"DOI":"10.1111/2041-210X.12579","ISSN":"2041210X","abstract":"Consistent and repeatable estimation of habitat condition for biodiversity assessment across large areas (i.e. regional to global) with limited field observations presents a major challenge for remote sensing (RS). RS can describe what a site looks like and how it behaves (using time series), but is unable to distinguish anthropogenic impacts from natural dynamics. Consequently, it is possible to mistake a heavily degraded habitat for a natural habitat, for example a logged forest may appear identical to an intact open woodland. This problem is compounded by the existence of multiple natural states in any given environment, and spatial variation in the natural composition and structure of vegetation as a function of variation in environment. Uncertainty in assessing habitat condition from RS is often further exacerbated by sparseness in the spatial coverage of training data. We describe a novel generic, RS-based algorithm called Habitat Condition Assessment System, designed to address the above sources of uncertainty and to be highly flexible in its application. It allows for variability in the definition of condition and in the type and quantity of input data employed. Here, we demonstrate the mechanics of the new algorithm in a simple worked example and its practical application in a case study using inferred ‘natural-only’ reference data, reflective remotely sensed data, and associated environmental data, to map condition for Australia at a 0·01° resolution. We assess the behaviour and shortcomings of the method, and compare the national case study with estimates from two existing national data sets, and field measured condition data observed at 16 967 sites across the State of Victoria. The modelled predictions outperform both of the existing national data sets, explaining 52% of the variability in field observations for well-sampled cells (relative to 8% and 12% for the existing products). The methodology can potentially address some of the key pitfalls of condition modelling and could be applied in other regions with sufficient coverage of reference data. The approach also has good potential to be extended to work with reference data for which condition is measured on a continuous scale, for example from field-based condition assessment initiatives.","author":[{"dropping-particle":"","family":"Harwood","given":"Tom D.","non-dropping-particle":"","parse-names":false,"suffix":""},{"dropping-particle":"","family":"Donohue","given":"Randall J.","non-dropping-particle":"","parse-names":false,"suffix":""},{"dropping-particle":"","family":"Williams","given":"Kristen J.","non-dropping-particle":"","parse-names":false,"suffix":""},{"dropping-particle":"","family":"Ferrier","given":"Simon","non-dropping-particle":"","parse-names":false,"suffix":""},{"dropping-particle":"","family":"McVicar","given":"Tim R.","non-dropping-particle":"","parse-names":false,"suffix":""},{"dropping-particle":"","family":"Newell","given":"Graeme","non-dropping-particle":"","parse-names":false,"suffix":""},{"dropping-particle":"","family":"White","given":"Matt","non-dropping-particle":"","parse-names":false,"suffix":""}],"container-title":"Methods in Ecology and Evolution","id":"ITEM-1","issued":{"date-parts":[["2016"]]},"title":"Habitat Condition Assessment System: a new way to assess the condition of natural habitats for terrestrial biodiversity across whole regions using remote sensing data","type":"article-journal"},"uris":["http://www.mendeley.com/documents/?uuid=d40e4dbf-df64-4a54-b2e0-9ea0403045f0"]},{"id":"ITEM-2","itemData":{"DOI":"10.1016/j.ecolind.2015.12.009","ISSN":"1470160X","abstract":"Lakes are important ecosystems providing various ecosystem services. Stressors such as eutrophication or climate change, however, threaten their ecological functions. National and international legislations address these threats and claim consistent, long-term monitoring schemes. Remote sensing data and products provide synoptic, spatio-temporal views and their integration can lead to a better understanding of lake ecology and water quality. Remote sensing therefore gains increasing awareness for analysing water bodies. Various empirical and semi-analytical algorithms exist to derive remote sensing indicators as proxies for climate change or ecological response variables. Nevertheless, most monitoring networks lack an integration of remote sensing data. This review article therefore provides a comprehensive overview how remote sensing can support lake research and monitoring. We focus on remote sensing indicators of lake properties, i.e. water transparency (suspended particulate matter, coloured dissolved organic matter, Secchi disc depth, diffuse attenuation coefficient, turbidity), biota (phytoplankton, cyanobacteria, submerged and emerged aquatic vegetation), bathymetry, water temperature (surface temperature) and ice phenology (ice cover, ice-on, ice-out). After a brief background introducing principles of lake remote sensing we give a review on available sensors and methods. We categorise case studies on remote sensing indicators with respect to lake properties and processes. We discuss existing challenges and benefits of integrating remote sensing into lake monitoring and ecological research including data availability, ready-to-use tools and accuracies.","author":[{"dropping-particle":"","family":"Dörnhöfer","given":"Katja","non-dropping-particle":"","parse-names":false,"suffix":""},{"dropping-particle":"","family":"Oppelt","given":"Natascha","non-dropping-particle":"","parse-names":false,"suffix":""}],"container-title":"Ecological Indicators","id":"ITEM-2","issued":{"date-parts":[["2016"]]},"title":"Remote sensing for lake research and monitoring - Recent advances","type":"article"},"uris":["http://www.mendeley.com/documents/?uuid=2e7c2ef1-b9b2-48a2-8632-dc6b7b137a7b"]}],"mendeley":{"formattedCitation":"(Dörnhöfer &amp; Oppelt, 2016; Harwood et al., 2016)","plainTextFormattedCitation":"(Dörnhöfer &amp; Oppelt, 2016; Harwood et al., 2016)","previouslyFormattedCitation":"(Dörnhöfer &amp; Oppelt, 2016; Harwood et al., 2016)"},"properties":{"noteIndex":0},"schema":"https://github.com/citation-style-language/schema/raw/master/csl-citation.json"}</w:instrText>
      </w:r>
      <w:r w:rsidR="00027185">
        <w:rPr>
          <w:lang w:val="en-GB"/>
        </w:rPr>
        <w:fldChar w:fldCharType="separate"/>
      </w:r>
      <w:r w:rsidR="00027185" w:rsidRPr="00027185">
        <w:rPr>
          <w:noProof/>
          <w:lang w:val="en-GB"/>
        </w:rPr>
        <w:t>(Dörnhöfer &amp; Oppelt, 2016; Harwood et al., 2016)</w:t>
      </w:r>
      <w:r w:rsidR="00027185">
        <w:rPr>
          <w:lang w:val="en-GB"/>
        </w:rPr>
        <w:fldChar w:fldCharType="end"/>
      </w:r>
      <w:r w:rsidRPr="00063D2E">
        <w:rPr>
          <w:lang w:val="en-GB"/>
        </w:rPr>
        <w:t xml:space="preserve">. However, in the case of classification problems regarding ecological parameters, methods derived </w:t>
      </w:r>
      <w:r w:rsidR="0077463E">
        <w:rPr>
          <w:lang w:val="en-GB"/>
        </w:rPr>
        <w:t xml:space="preserve">directly </w:t>
      </w:r>
      <w:r w:rsidRPr="00063D2E">
        <w:rPr>
          <w:lang w:val="en-GB"/>
        </w:rPr>
        <w:t xml:space="preserve">from machine learning are used, such as decision trees </w:t>
      </w:r>
      <w:r w:rsidR="00EF43D5">
        <w:rPr>
          <w:lang w:val="en-GB"/>
        </w:rPr>
        <w:fldChar w:fldCharType="begin" w:fldLock="1"/>
      </w:r>
      <w:r w:rsidR="00EF43D5">
        <w:rPr>
          <w:lang w:val="en-GB"/>
        </w:rPr>
        <w:instrText>ADDIN CSL_CITATION {"citationItems":[{"id":"ITEM-1","itemData":{"DOI":"10.1016/j.ecolmodel.2010.08.013","ISSN":"03043800","abstract":"Polder lakes in Flanders are stagnant waters that were flooded by the sea in the past. Several of these systems are colonized by exotic species, but have hardly been studied until present. The aim of the present study was: (1) to assess the influence of exotic macrobenthic species on the outcome of the Multimetric Macroinvertebrate Index Flanders (MMIF) and (2) to use classification trees for evaluating to what extent physical-chemical characteristics affect the presence of exotic species. In total, 27 mollusc and 10 macro-crustacean species were present in the monitored lakes of which respectively five and four were exotic. The exclusion of the exotic species from the MMIF resulted in a significant decline of this ecological index (-0.03 ± 0.04; p = 0.00). This elimination often resulted into a lower ecological water quality class and more samples were classified into the bad and poor ecological water quality classes. Single-target classification trees for Gammarus tigrinus and Potamopyrgus antipodarum were constructed, relating environmental parameters and ecological status (MMIF) to the occurrence of both exotic invasive species. The major advantages of using single-target classification trees are the transparency of the rule sets and the possibility to use relatively small datasets. However, this classification technique only predicts a single-target attribute and the trees of the different species are often hard to integrate and use for water managers. As a solution, a multi-target approach was used in the present study. Exotic molluscs and crustaceans communities were modelled based on environmental parameters and the ecological status (MMIF) using multi-target classification trees. Multi-target classification trees can be used in management planning and investment decisions as they can lead to integrated decisions for the whole set of exotic species and avoid the construction of many models for each individual species. These trees provide general insights concerning the occurrence patterns of individual crustaceans and molluscs in an integrated way. © 2010 Elsevier B.V.","author":[{"dropping-particle":"","family":"Everaert","given":"Gert","non-dropping-particle":"","parse-names":false,"suffix":""},{"dropping-particle":"","family":"Boets","given":"Pieter","non-dropping-particle":"","parse-names":false,"suffix":""},{"dropping-particle":"","family":"Lock","given":"Koen","non-dropping-particle":"","parse-names":false,"suffix":""},{"dropping-particle":"","family":"Džeroski","given":"Sašo","non-dropping-particle":"","parse-names":false,"suffix":""},{"dropping-particle":"","family":"Goethals","given":"Peter L.M.","non-dropping-particle":"","parse-names":false,"suffix":""}],"container-title":"Ecological Modelling","id":"ITEM-1","issued":{"date-parts":[["2011"]]},"title":"Using classification trees to analyze the impact of exotic species on the ecological assessment of polder lakes in Flanders, Belgium","type":"article-journal"},"uris":["http://www.mendeley.com/documents/?uuid=1b1ba275-1a1e-43e8-a193-99795a2cccf8"]},{"id":"ITEM-2","itemData":{"DOI":"10.2166/hydro.2017.010","ISSN":"14647141","abstract":"There is a growing world need for predicting algal blooms in lakes and reservoirs to better manage water quality. We applied the random forest model with a sliding window strategy, which is one of the machine learning algorithms, to forecast chlorophyll-a concentrations in the fresh water of the Urayama Reservoir and the saline water of Lake Shinji. Both water bodies are situated in Japan and have historical water records containing more than ten years of data. The Random Forest (RF) model allowed us to forecast trends in time series of chlorophyll-a in these two water bodies. In the case of the reservoir, we used the data separately from two sampling stations. We found that the best model parameters for the number of min-leaf, and with/without pre-selection of predictors, varied at different stations in the same reservoir. We also found that the best performance of lead-time and accuracy of the prediction varied between the two stations. In the case of the lake, we found the best combination of a min-leaf and pre-selection of predictors was different from that of the reservoir case. Finally, the most influential parameters for the random forest model in the two water bodies were identified as biochemical oxygen demand (BOD), chemical oxygen demand (COD), pH, and total nitrogen/total phosphorus (TN/TP).","author":[{"dropping-particle":"","family":"Yajima","given":"Hiroshi","non-dropping-particle":"","parse-names":false,"suffix":""},{"dropping-particle":"","family":"Derot","given":"Jonathan","non-dropping-particle":"","parse-names":false,"suffix":""}],"container-title":"Journal of Hydroinformatics","id":"ITEM-2","issued":{"date-parts":[["2018"]]},"title":"Application of the Random Forest model for chlorophyll-a forecasts in fresh and brackish water bodies in Japan, using multivariate long-term databases","type":"article-journal"},"uris":["http://www.mendeley.com/documents/?uuid=8e0ca078-a8b7-4a54-affd-2fcae5c1d859"]}],"mendeley":{"formattedCitation":"(Everaert, Boets, Lock, Džeroski, &amp; Goethals, 2011; Yajima &amp; Derot, 2018)","plainTextFormattedCitation":"(Everaert, Boets, Lock, Džeroski, &amp; Goethals, 2011; Yajima &amp; Derot, 2018)","previouslyFormattedCitation":"(Everaert, Boets, Lock, Džeroski, &amp; Goethals, 2011; Yajima &amp; Derot, 2018)"},"properties":{"noteIndex":0},"schema":"https://github.com/citation-style-language/schema/raw/master/csl-citation.json"}</w:instrText>
      </w:r>
      <w:r w:rsidR="00EF43D5">
        <w:rPr>
          <w:lang w:val="en-GB"/>
        </w:rPr>
        <w:fldChar w:fldCharType="separate"/>
      </w:r>
      <w:r w:rsidR="00EF43D5" w:rsidRPr="00EF43D5">
        <w:rPr>
          <w:noProof/>
          <w:lang w:val="en-GB"/>
        </w:rPr>
        <w:t>(Everaert, Boets, Lock, Džeroski, &amp; Goethals, 2011; Yajima &amp; Derot, 2018)</w:t>
      </w:r>
      <w:r w:rsidR="00EF43D5">
        <w:rPr>
          <w:lang w:val="en-GB"/>
        </w:rPr>
        <w:fldChar w:fldCharType="end"/>
      </w:r>
      <w:r w:rsidRPr="00063D2E">
        <w:rPr>
          <w:lang w:val="en-GB"/>
        </w:rPr>
        <w:t xml:space="preserve">, artificial neural networks </w:t>
      </w:r>
      <w:r w:rsidR="00EF43D5">
        <w:rPr>
          <w:lang w:val="en-GB"/>
        </w:rPr>
        <w:fldChar w:fldCharType="begin" w:fldLock="1"/>
      </w:r>
      <w:r w:rsidR="00EF43D5">
        <w:rPr>
          <w:lang w:val="en-GB"/>
        </w:rPr>
        <w:instrText>ADDIN CSL_CITATION {"citationItems":[{"id":"ITEM-1","itemData":{"DOI":"10.1016/j.ecoinf.2018.01.005","ISSN":"15749541","abstract":"Water quality is one of the most critical issues in reservoir management owing to its strong effects on the natural environment and human life. This study establishes a machine learning approach for predicting Carlson's Trophic State Index, which is a frequently used metric of water quality in reservoirs. Data collected over ten years (1995–2016) from the stations at 20 reservoirs in Taiwan were preprocessed as the input for the modeling system. Four well-known artificial intelligence techniques, artificial neural networks (ANNs), support vector machines, classification and regression trees, and linear regression, were used to analyze in baseline and ensemble scenarios. A user-friendly interface that integrates a metaheuristic regression model was developed to evaluate the predictive performance, and to compare it with those in the two constituent scenarios. The comprehensive comparison demonstrated that the ensemble ANNs model, based on a tiering method, is more accurate than the other single, ensemble models and hybrid metaheuristic regression model. Both the accuracy of prediction and the efficacy of application are considered to support practitioners in planning water management works. Accordingly, this study provides a novel approach for potential use in water quality assessment.","author":[{"dropping-particle":"","family":"Chou","given":"Jui Sheng","non-dropping-particle":"","parse-names":false,"suffix":""},{"dropping-particle":"","family":"Ho","given":"Chia Chun","non-dropping-particle":"","parse-names":false,"suffix":""},{"dropping-particle":"","family":"Hoang","given":"Ha Son","non-dropping-particle":"","parse-names":false,"suffix":""}],"container-title":"Ecological Informatics","id":"ITEM-1","issued":{"date-parts":[["2018"]]},"title":"Determining quality of water in reservoir using machine learning","type":"article-journal"},"uris":["http://www.mendeley.com/documents/?uuid=9bab8447-dafc-4537-ba2b-c54eae4d50b7"]}],"mendeley":{"formattedCitation":"(Chou, Ho, &amp; Hoang, 2018)","plainTextFormattedCitation":"(Chou, Ho, &amp; Hoang, 2018)","previouslyFormattedCitation":"(Chou, Ho, &amp; Hoang, 2018)"},"properties":{"noteIndex":0},"schema":"https://github.com/citation-style-language/schema/raw/master/csl-citation.json"}</w:instrText>
      </w:r>
      <w:r w:rsidR="00EF43D5">
        <w:rPr>
          <w:lang w:val="en-GB"/>
        </w:rPr>
        <w:fldChar w:fldCharType="separate"/>
      </w:r>
      <w:r w:rsidR="00EF43D5" w:rsidRPr="00EF43D5">
        <w:rPr>
          <w:noProof/>
          <w:lang w:val="en-GB"/>
        </w:rPr>
        <w:t>(Chou, Ho, &amp; Hoang, 2018)</w:t>
      </w:r>
      <w:r w:rsidR="00EF43D5">
        <w:rPr>
          <w:lang w:val="en-GB"/>
        </w:rPr>
        <w:fldChar w:fldCharType="end"/>
      </w:r>
      <w:r w:rsidRPr="00063D2E">
        <w:rPr>
          <w:lang w:val="en-GB"/>
        </w:rPr>
        <w:t xml:space="preserve">, or genetic programming </w:t>
      </w:r>
      <w:r w:rsidR="00EF43D5">
        <w:rPr>
          <w:lang w:val="en-GB"/>
        </w:rPr>
        <w:fldChar w:fldCharType="begin" w:fldLock="1"/>
      </w:r>
      <w:r w:rsidR="00EF43D5">
        <w:rPr>
          <w:lang w:val="en-GB"/>
        </w:rPr>
        <w:instrText>ADDIN CSL_CITATION {"citationItems":[{"id":"ITEM-1","itemData":{"DOI":"10.1111/2041-210X.12000","ISSN":"2041210X","abstract":"Genetic algorithms are a heuristic global optimisation technique mimicking the action of natural selection to solve hard optimisation problems, which has enjoyed growing usage in evolution and ecology. However, there is little standardisation in how genetic algorithms are implemented in these fields and even less practical advice for those hoping to implement genetic algorithms for their own models. This article aims to demystify genetic algorithms and provide assistance to researchers; basic programming knowledge is important for working with genetic algorithms, but none is required to read this article. I review the basics of genetic algorithm methodology and provide suggestions on problems that may or may not benefit from genetic algorithm methods. The genetic operators (selection, replacement, mutation, crossover) and their rate parameters (mutation rate, etc.) are a source of potential confusion and to ease their selection, I present recommendations informed by historical usage and best practices, concluding with potential pitfalls. Good reasons for employing genetic algorithms include: solving optimisation problems beyond the reach of analytical techniques, relaxing model assumptions, evolving behaviour in individual-based models, and simulating co-evolutionary processes. However, genetic algorithms are not always the correct technique to use. Simpler methods may sometimes outperform genetic algorithms, and certain problem features may cause trouble. Genetic algorithms strike a balance between exploration of the search space and exploitation of good solutions, driven by the choice of genetic operators and rate parameters. I outline a basic set of parameter values and operator choices for genetic algorithm models as a starting point and provide advice on how to modify them to explore the exploitation/exploration trade-off. Finally, I provide general advice on analysis and reporting of these models. There are a number of potential issues that can surprise unwary users, such as rate parameter values that lead to pathological outcomes; I suggest ways to detect and correct these problems. Also, contrary to popular usage, genetic algorithms can find solutions to game theory problems but cannot guarantee their stability. Finally, while genetic algorithms offer great power and flexibility by drawing inspiration from evolutionary processes, they are (usually) not a faithful model of genetics or evolution. © 2012 The Authors. Methods in Ecology and Evolutio…","author":[{"dropping-particle":"","family":"Hamblin","given":"Steven","non-dropping-particle":"","parse-names":false,"suffix":""}],"container-title":"Methods in Ecology and Evolution","id":"ITEM-1","issued":{"date-parts":[["2013"]]},"title":"On the practical usage of genetic algorithms in ecology and evolution","type":"article"},"uris":["http://www.mendeley.com/documents/?uuid=2f64e4c4-abbc-47d1-afce-f93aed3f82a1"]}],"mendeley":{"formattedCitation":"(Hamblin, 2013)","plainTextFormattedCitation":"(Hamblin, 2013)","previouslyFormattedCitation":"(Hamblin, 2013)"},"properties":{"noteIndex":0},"schema":"https://github.com/citation-style-language/schema/raw/master/csl-citation.json"}</w:instrText>
      </w:r>
      <w:r w:rsidR="00EF43D5">
        <w:rPr>
          <w:lang w:val="en-GB"/>
        </w:rPr>
        <w:fldChar w:fldCharType="separate"/>
      </w:r>
      <w:r w:rsidR="00EF43D5" w:rsidRPr="00EF43D5">
        <w:rPr>
          <w:noProof/>
          <w:lang w:val="en-GB"/>
        </w:rPr>
        <w:t>(Hamblin, 2013)</w:t>
      </w:r>
      <w:r w:rsidR="00EF43D5">
        <w:rPr>
          <w:lang w:val="en-GB"/>
        </w:rPr>
        <w:fldChar w:fldCharType="end"/>
      </w:r>
      <w:r w:rsidRPr="00063D2E">
        <w:rPr>
          <w:lang w:val="en-GB"/>
        </w:rPr>
        <w:t xml:space="preserve">. Thanks to the </w:t>
      </w:r>
      <w:r w:rsidRPr="00063D2E">
        <w:rPr>
          <w:lang w:val="en-GB"/>
        </w:rPr>
        <w:lastRenderedPageBreak/>
        <w:t xml:space="preserve">use of dimensionality reduction methods, such as principal component analysis or linear discriminant analysis </w:t>
      </w:r>
      <w:r w:rsidR="00EF43D5">
        <w:rPr>
          <w:lang w:val="en-GB"/>
        </w:rPr>
        <w:fldChar w:fldCharType="begin" w:fldLock="1"/>
      </w:r>
      <w:r w:rsidR="009A0742">
        <w:rPr>
          <w:lang w:val="en-GB"/>
        </w:rPr>
        <w:instrText>ADDIN CSL_CITATION {"citationItems":[{"id":"ITEM-1","itemData":{"DOI":"10.1016/j.engappai.2006.11.016","ISSN":"09521976","abstract":"Harmful algal blooms, which are considered a serious environmental problem nowadays, occur in coastal waters in many parts of the world. They cause acute ecological damage and ensuing economic losses, due to fish kills and shellfish poisoning as well as public health threats posed by toxic blooms. Recently, data-driven models including machine-learning (ML) techniques have been employed to mimic dynamics of algal blooms. One of the most important steps in the application of a ML technique is the selection of significant model input variables. In the present paper, we use two extensively used ML techniques, artificial neural networks (ANN) and genetic programming (GP) for selecting the significant input variables. The efficacy of these techniques is first demonstrated on a test problem with known dependence and then they are applied to a real-world case study of water quality data from Tolo Harbour, Hong Kong. These ML techniques overcome some of the limitations of the currently used techniques for input variable selection, a review of which is also presented. The interpretation of the weights of the trained ANN and the GP evolved equations demonstrate their ability to identify the ecologically significant variables precisely. The significant variables suggested by the ML techniques also indicate chlorophyll-a (Chl-a) itself to be the most significant input in predicting the algal blooms, suggesting an auto-regressive nature or persistence in the algal bloom dynamics, which may be related to the long flushing time in the semi-enclosed coastal waters. The study also confirms the previous understanding that the algal blooms in coastal waters of Hong Kong often occur with a life cycle of the order of 1-2 weeks. © 2007 Elsevier Ltd. All rights reserved.","author":[{"dropping-particle":"","family":"Muttil","given":"Nitin","non-dropping-particle":"","parse-names":false,"suffix":""},{"dropping-particle":"","family":"Chau","given":"Kwok Wing","non-dropping-particle":"","parse-names":false,"suffix":""}],"container-title":"Engineering Applications of Artificial Intelligence","id":"ITEM-1","issued":{"date-parts":[["2007"]]},"title":"Machine-learning paradigms for selecting ecologically significant input variables","type":"article-journal"},"uris":["http://www.mendeley.com/documents/?uuid=5e759897-2a89-4f89-82eb-08ca049f82cb"]}],"mendeley":{"formattedCitation":"(Muttil &amp; Chau, 2007)","plainTextFormattedCitation":"(Muttil &amp; Chau, 2007)","previouslyFormattedCitation":"(Muttil &amp; Chau, 2007)"},"properties":{"noteIndex":0},"schema":"https://github.com/citation-style-language/schema/raw/master/csl-citation.json"}</w:instrText>
      </w:r>
      <w:r w:rsidR="00EF43D5">
        <w:rPr>
          <w:lang w:val="en-GB"/>
        </w:rPr>
        <w:fldChar w:fldCharType="separate"/>
      </w:r>
      <w:r w:rsidR="00EF43D5" w:rsidRPr="00EF43D5">
        <w:rPr>
          <w:noProof/>
          <w:lang w:val="en-GB"/>
        </w:rPr>
        <w:t>(Muttil &amp; Chau, 2007)</w:t>
      </w:r>
      <w:r w:rsidR="00EF43D5">
        <w:rPr>
          <w:lang w:val="en-GB"/>
        </w:rPr>
        <w:fldChar w:fldCharType="end"/>
      </w:r>
      <w:r w:rsidR="007C12BD">
        <w:rPr>
          <w:lang w:val="en-GB"/>
        </w:rPr>
        <w:t>,</w:t>
      </w:r>
      <w:r w:rsidRPr="00063D2E">
        <w:rPr>
          <w:lang w:val="en-GB"/>
        </w:rPr>
        <w:t xml:space="preserve"> the problem of data redundancy can be addressed</w:t>
      </w:r>
      <w:r w:rsidR="009A0742">
        <w:rPr>
          <w:lang w:val="en-GB"/>
        </w:rPr>
        <w:t xml:space="preserve"> </w:t>
      </w:r>
      <w:r w:rsidR="009A0742">
        <w:rPr>
          <w:lang w:val="en-GB"/>
        </w:rPr>
        <w:fldChar w:fldCharType="begin" w:fldLock="1"/>
      </w:r>
      <w:r w:rsidR="00994BA8">
        <w:rPr>
          <w:lang w:val="en-GB"/>
        </w:rPr>
        <w:instrText>ADDIN CSL_CITATION {"citationItems":[{"id":"ITEM-1","itemData":{"DOI":"10.1111/2041-210X.12259","ISSN":"2041210X","abstract":"Regression is an important method for characterizing the form of natural selection from individual-based data. Many kinds of regression analysis exist, but few are regularly employed in studies of natural selection. I provide an overview of some of the main underused types of regression analysis by applying them to test analyses of viability selection for lamb traits in Soay sheep (Ovis aries). This exercise highlights known problems with existing methods, uncovers some new ones and also reveals ways to harness underused methods to get around these problems. I first estimate selection gradients using generalized linear models, combined with recently published methods for obtaining quantitatively interpretable selection gradient estimates from arbitrary regression models of trait-fitness relationships. I then also apply generalized ridge regression, the lasso and projection-pursuit regression, in each case also deriving selection gradients. I compare inferences of nonlinear selection by diagonalization of the γ matrix and by projection-pursuit regression. Selection gradient estimates generally correspond across different regression methods. Although there is little evidence for nonlinear selection in the test data sets, very problematic aspects of the behaviour of analysis based on diagonalization of the γ are apparent. In addition to better-known problems, (i) the direction and magnitude of estimated major axes of quadratic selection are biased towards directions of phenotype that have little variance, and (ii) the magnitudes of selection of major axes of variance-standardized γ are not themselves interpretable in any standardized way. While all regression-based methods for analysis of selection have useful properties, projection-pursuit regression seems to stand out. This method can (i) provide both dimensionality reduction, (ii) be the basis for inference of quantitatively interpretable selection gradients and (iii) by characterizing major axes of selection, rather than of linear or quadratic selection separately, provide biologically interpretable inference of nonlinear selection.","author":[{"dropping-particle":"","family":"Morrissey","given":"Michael B.","non-dropping-particle":"","parse-names":false,"suffix":""}],"container-title":"Methods in Ecology and Evolution","id":"ITEM-1","issued":{"date-parts":[["2014"]]},"title":"In search of the best methods for multivariate selection analysis","type":"article-journal"},"uris":["http://www.mendeley.com/documents/?uuid=536d4114-ec5d-4167-a8b2-b59a84943743"]}],"mendeley":{"formattedCitation":"(Morrissey, 2014)","plainTextFormattedCitation":"(Morrissey, 2014)","previouslyFormattedCitation":"(Morrissey, 2014)"},"properties":{"noteIndex":0},"schema":"https://github.com/citation-style-language/schema/raw/master/csl-citation.json"}</w:instrText>
      </w:r>
      <w:r w:rsidR="009A0742">
        <w:rPr>
          <w:lang w:val="en-GB"/>
        </w:rPr>
        <w:fldChar w:fldCharType="separate"/>
      </w:r>
      <w:r w:rsidR="009A0742" w:rsidRPr="009A0742">
        <w:rPr>
          <w:noProof/>
          <w:lang w:val="en-GB"/>
        </w:rPr>
        <w:t>(Morrissey, 2014)</w:t>
      </w:r>
      <w:r w:rsidR="009A0742">
        <w:rPr>
          <w:lang w:val="en-GB"/>
        </w:rPr>
        <w:fldChar w:fldCharType="end"/>
      </w:r>
      <w:r w:rsidRPr="00063D2E">
        <w:rPr>
          <w:lang w:val="en-GB"/>
        </w:rPr>
        <w:t xml:space="preserve">. </w:t>
      </w:r>
      <w:r>
        <w:rPr>
          <w:lang w:val="en-GB"/>
        </w:rPr>
        <w:t>Besides</w:t>
      </w:r>
      <w:r w:rsidRPr="00063D2E">
        <w:rPr>
          <w:lang w:val="en-GB"/>
        </w:rPr>
        <w:t xml:space="preserve">, many previously effective expert techniques for assessing ecological status can be processed using machine learning models to function in a systematic environment as reproducible decision support tools </w:t>
      </w:r>
      <w:r w:rsidR="00027185">
        <w:rPr>
          <w:lang w:val="en-GB"/>
        </w:rPr>
        <w:fldChar w:fldCharType="begin" w:fldLock="1"/>
      </w:r>
      <w:r w:rsidR="00EF43D5">
        <w:rPr>
          <w:lang w:val="en-GB"/>
        </w:rPr>
        <w:instrText>ADDIN CSL_CITATION {"citationItems":[{"id":"ITEM-1","itemData":{"DOI":"10.1111/2041-210X.13256","ISSN":"2041210X","abstract":"A lot of hype has recently been generated around deep learning, a novel group of artificial intelligence approaches able to break accuracy records in pattern recognition. Over the course of just a few years, deep learning has revolutionized several research fields such as bioinformatics and medicine with its flexibility and ability to process large and complex datasets. As ecological datasets are becoming larger and more complex, we believe these methods can be useful to ecologists as well. In this paper, we review existing implementations and show that deep learning has been used successfully to identify species, classify animal behaviour and estimate biodiversity in large datasets like camera-trap images, audio recordings and videos. We demonstrate that deep learning can be beneficial to most ecological disciplines, including applied contexts, such as management and conservation. We also identify common questions about how and when to use deep learning, such as what are the steps required to create a deep learning network, which tools are available to help, and what are the requirements in terms of data and computer power. We provide guidelines, recommendations and useful resources, including a reference flowchart to help ecologists get started with deep learning. We argue that at a time when automatic monitoring of populations and ecosystems generates a vast amount of data that cannot be effectively processed by humans anymore, deep learning could become a powerful reference tool for ecologists.","author":[{"dropping-particle":"","family":"Christin","given":"Sylvain","non-dropping-particle":"","parse-names":false,"suffix":""},{"dropping-particle":"","family":"Hervet","given":"Éric","non-dropping-particle":"","parse-names":false,"suffix":""},{"dropping-particle":"","family":"Lecomte","given":"Nicolas","non-dropping-particle":"","parse-names":false,"suffix":""}],"container-title":"Methods in Ecology and Evolution","id":"ITEM-1","issued":{"date-parts":[["2019"]]},"title":"Applications for deep learning in ecology","type":"article"},"uris":["http://www.mendeley.com/documents/?uuid=e7939660-8c8a-43b8-b8e7-92f4e4c69e4b"]}],"mendeley":{"formattedCitation":"(Christin, Hervet, &amp; Lecomte, 2019)","plainTextFormattedCitation":"(Christin, Hervet, &amp; Lecomte, 2019)","previouslyFormattedCitation":"(Christin, Hervet, &amp; Lecomte, 2019)"},"properties":{"noteIndex":0},"schema":"https://github.com/citation-style-language/schema/raw/master/csl-citation.json"}</w:instrText>
      </w:r>
      <w:r w:rsidR="00027185">
        <w:rPr>
          <w:lang w:val="en-GB"/>
        </w:rPr>
        <w:fldChar w:fldCharType="separate"/>
      </w:r>
      <w:r w:rsidR="00027185" w:rsidRPr="00027185">
        <w:rPr>
          <w:noProof/>
          <w:lang w:val="en-GB"/>
        </w:rPr>
        <w:t>(Christin, Hervet, &amp; Lecomte, 2019)</w:t>
      </w:r>
      <w:r w:rsidR="00027185">
        <w:rPr>
          <w:lang w:val="en-GB"/>
        </w:rPr>
        <w:fldChar w:fldCharType="end"/>
      </w:r>
      <w:r w:rsidRPr="00063D2E">
        <w:rPr>
          <w:lang w:val="en-GB"/>
        </w:rPr>
        <w:t>.</w:t>
      </w:r>
      <w:r w:rsidR="005B4227">
        <w:rPr>
          <w:lang w:val="en-GB"/>
        </w:rPr>
        <w:t xml:space="preserve"> </w:t>
      </w:r>
    </w:p>
    <w:p w14:paraId="49424894" w14:textId="0960883D" w:rsidR="00814A51" w:rsidRDefault="00B12E7F" w:rsidP="00B12E7F">
      <w:pPr>
        <w:spacing w:after="0"/>
        <w:ind w:firstLine="708"/>
        <w:jc w:val="both"/>
        <w:rPr>
          <w:lang w:val="en-GB"/>
        </w:rPr>
      </w:pPr>
      <w:r w:rsidRPr="00B12E7F">
        <w:rPr>
          <w:lang w:val="en-GB"/>
        </w:rPr>
        <w:t xml:space="preserve">Creating reproducible classifiers supports the universality of methodologies for assessing the ecological status of ecosystems, and also allows </w:t>
      </w:r>
      <w:r w:rsidR="00733392">
        <w:rPr>
          <w:lang w:val="en-GB"/>
        </w:rPr>
        <w:t>for an</w:t>
      </w:r>
      <w:r w:rsidR="00733392" w:rsidRPr="00B12E7F">
        <w:rPr>
          <w:lang w:val="en-GB"/>
        </w:rPr>
        <w:t xml:space="preserve"> </w:t>
      </w:r>
      <w:r w:rsidRPr="00B12E7F">
        <w:rPr>
          <w:lang w:val="en-GB"/>
        </w:rPr>
        <w:t>assessment of a given object in the context of its appropriate group</w:t>
      </w:r>
      <w:r>
        <w:rPr>
          <w:lang w:val="en-GB"/>
        </w:rPr>
        <w:t xml:space="preserve">. </w:t>
      </w:r>
      <w:r w:rsidR="00AD5643" w:rsidRPr="00AD5643">
        <w:rPr>
          <w:lang w:val="en-GB"/>
        </w:rPr>
        <w:t>The solutions proposed based on classification algorithms are</w:t>
      </w:r>
      <w:r w:rsidR="00AD5643">
        <w:rPr>
          <w:lang w:val="en-GB"/>
        </w:rPr>
        <w:t xml:space="preserve"> bringing researchers</w:t>
      </w:r>
      <w:r w:rsidR="00AD5643" w:rsidRPr="00AD5643">
        <w:rPr>
          <w:lang w:val="en-GB"/>
        </w:rPr>
        <w:t xml:space="preserve"> closer to solving the problem of assessing the internal dynamics of objects in their respective subgroups without the need to extend (or change</w:t>
      </w:r>
      <w:r w:rsidR="00434679">
        <w:rPr>
          <w:lang w:val="en-GB"/>
        </w:rPr>
        <w:t xml:space="preserve"> the</w:t>
      </w:r>
      <w:r w:rsidR="00AD5643" w:rsidRPr="00AD5643">
        <w:rPr>
          <w:lang w:val="en-GB"/>
        </w:rPr>
        <w:t xml:space="preserve"> granulation</w:t>
      </w:r>
      <w:r w:rsidR="00733392">
        <w:rPr>
          <w:lang w:val="en-GB"/>
        </w:rPr>
        <w:t xml:space="preserve"> of</w:t>
      </w:r>
      <w:r w:rsidR="00AD5643" w:rsidRPr="00AD5643">
        <w:rPr>
          <w:lang w:val="en-GB"/>
        </w:rPr>
        <w:t>) the adopted structure of separate classes.</w:t>
      </w:r>
      <w:r w:rsidR="00AD5643">
        <w:rPr>
          <w:lang w:val="en-GB"/>
        </w:rPr>
        <w:t xml:space="preserve"> </w:t>
      </w:r>
      <w:r w:rsidR="00434679">
        <w:rPr>
          <w:lang w:val="en-GB"/>
        </w:rPr>
        <w:t xml:space="preserve">Thus, it constitutes a step forward towards </w:t>
      </w:r>
      <w:r w:rsidR="001646CA">
        <w:rPr>
          <w:lang w:val="en-GB"/>
        </w:rPr>
        <w:t xml:space="preserve">a </w:t>
      </w:r>
      <w:r w:rsidR="00434679">
        <w:rPr>
          <w:lang w:val="en-GB"/>
        </w:rPr>
        <w:t>new approach</w:t>
      </w:r>
      <w:r w:rsidR="001646CA">
        <w:rPr>
          <w:lang w:val="en-GB"/>
        </w:rPr>
        <w:t>,</w:t>
      </w:r>
      <w:r w:rsidR="00434679">
        <w:rPr>
          <w:lang w:val="en-GB"/>
        </w:rPr>
        <w:t xml:space="preserve"> focusing on object membership level within class</w:t>
      </w:r>
      <w:r w:rsidR="00733392">
        <w:rPr>
          <w:lang w:val="en-GB"/>
        </w:rPr>
        <w:t>es</w:t>
      </w:r>
      <w:r w:rsidR="00434679">
        <w:rPr>
          <w:lang w:val="en-GB"/>
        </w:rPr>
        <w:t xml:space="preserve"> instead of binary classification outcome. The consequences of such approach are</w:t>
      </w:r>
      <w:r w:rsidR="00F02BD2">
        <w:rPr>
          <w:lang w:val="en-GB"/>
        </w:rPr>
        <w:t xml:space="preserve"> currently</w:t>
      </w:r>
      <w:r w:rsidR="00434679">
        <w:rPr>
          <w:lang w:val="en-GB"/>
        </w:rPr>
        <w:t xml:space="preserve"> widely discussed by researchers dealing with clustering algorithms in applied sciences </w:t>
      </w:r>
      <w:r w:rsidR="00310FBF">
        <w:rPr>
          <w:lang w:val="en-GB"/>
        </w:rPr>
        <w:fldChar w:fldCharType="begin" w:fldLock="1"/>
      </w:r>
      <w:r w:rsidR="00A100DC">
        <w:rPr>
          <w:lang w:val="en-GB"/>
        </w:rPr>
        <w:instrText>ADDIN CSL_CITATION {"citationItems":[{"id":"ITEM-1","itemData":{"DOI":"10.1109/TPAMI.2014.2343217","ISSN":"01628828","abstract":"We investigate how to iteratively and mutually boost object classification and detection performance by taking the outputs from one task as the context of the other one. While context models have been quite popular, previous works mainly concentrate on co-occurrence relationship within classes and few of them focus on contextualization from a top-down perspective, i.e. high-level task context. In this paper, our system adopts a new method for adaptive context modeling and iterative boosting. First, the contextualized support vector machine (Context-SVM) is proposed, where the context takes the role of dynamically adjusting the classification score based on the sample ambiguity, and thus the context-adaptive classifier is achieved. Then, an iterative training procedure is presented. In each step, Context-SVM, associated with the output context from one task (object classification or detection), is instantiated to boost the performance for the other task, whose augmented outputs are then further used to improve the former task by Context-SVM. The proposed solution is evaluated on the object classification and detection tasks of PASCAL Visual Object Classes Challenge (VOC) 2007, 2010 and SUN09 data sets, and achieves the state-of-the-art performance.","author":[{"dropping-particle":"","family":"Chen","given":"Qiang","non-dropping-particle":"","parse-names":false,"suffix":""},{"dropping-particle":"","family":"Song","given":"Zheng","non-dropping-particle":"","parse-names":false,"suffix":""},{"dropping-particle":"","family":"Dong","given":"Jian","non-dropping-particle":"","parse-names":false,"suffix":""},{"dropping-particle":"","family":"Huang","given":"Zhongyang","non-dropping-particle":"","parse-names":false,"suffix":""},{"dropping-particle":"","family":"Hua","given":"Yang","non-dropping-particle":"","parse-names":false,"suffix":""},{"dropping-particle":"","family":"Yan","given":"Shuicheng","non-dropping-particle":"","parse-names":false,"suffix":""}],"container-title":"IEEE Transactions on Pattern Analysis and Machine Intelligence","id":"ITEM-1","issued":{"date-parts":[["2015"]]},"title":"Contextualizing object detection and classification","type":"article-journal"},"uris":["http://www.mendeley.com/documents/?uuid=2c09b588-26ff-4433-b3bf-3321894a9155"]},{"id":"ITEM-2","itemData":{"ISBN":"9781510886988","abstract":"This paper studies semi-supervised object classification in relational data, which is a fundamental problem in relational data modeling. The problem has been extensively studied in the literature of both statistical relational learning (e.g. relational Markov networks) and graph neural networks (e.g. graph convolutional networks). Statistical relational learning methods can effectively model the dependency of object labels through conditional random fields for collective classification, whereas graph neural networks learn effective object representations for classification through end-to-end training. In this paper, we propose the Graph Markov Neural Network (GMNN) that combines the advantages of both worlds. A GMNN models the joint distribution of object labels with a conditional random field, which can be effectively trained with the variational EM algorithm. In the E-step, one graph neural network learns effective object representations for approximating the posterior distributions of object labels. In the M-step, another graph neural network is used to model the local label dependency. Experiments on object classification, link classification, and unsupervised node representation learning show that GMNN achieves state-of-the-art results.","author":[{"dropping-particle":"","family":"Qu","given":"Meng","non-dropping-particle":"","parse-names":false,"suffix":""},{"dropping-particle":"","family":"Bengio","given":"Yoshua","non-dropping-particle":"","parse-names":false,"suffix":""},{"dropping-particle":"","family":"Tang","given":"Jian","non-dropping-particle":"","parse-names":false,"suffix":""}],"container-title":"36th International Conference on Machine Learning, ICML 2019","id":"ITEM-2","issued":{"date-parts":[["2019"]]},"title":"GMNN: Graph markov neural networks","type":"paper-conference"},"uris":["http://www.mendeley.com/documents/?uuid=53be0a84-722f-4c2e-9c98-1f0670789f22"]},{"id":"ITEM-3","itemData":{"DOI":"10.1007/978-3-030-00193-3_3","ISSN":"01708643","abstract":"This chapter introduces classification problems and methods. It starts with the exposition of the discrimination problem with a focus on linear classifiers and the popular support vector machine. Multi-class problems with more than two categories and nonlinear classifiers are also discussed. The second part of the chapter is dedicated to the clustering problem and details in particular the well-known k-means algorithm.","author":[{"dropping-particle":"","family":"Lauer","given":"Fabien","non-dropping-particle":"","parse-names":false,"suffix":""},{"dropping-particle":"","family":"Bloch","given":"Gérard","non-dropping-particle":"","parse-names":false,"suffix":""}],"container-title":"Lecture Notes in Control and Information Sciences","id":"ITEM-3","issued":{"date-parts":[["2019"]]},"title":"Classification","type":"chapter"},"uris":["http://www.mendeley.com/documents/?uuid=89a761d7-77fd-44eb-896b-74f6846a9815"]},{"id":"ITEM-4","itemData":{"DOI":"10.3390/rs12111775","ISSN":"20724292","abstract":"A multitude of factors considered necessary for an informed choice of the location of the vineyard can be overwhelming for the decision-maker. Is there still a place for knowledge valuable from the perspective of an experienced winegrower in the era of precise measurements? The informative use of so-called common knowledge is possible owing to fuzzy-based techniques, which allow for the representation of intuitive notions in terms of quantitative measures. The work uses tools based on fuzzy logic to cover the scope of common knowledge within the decision-making process. Owing to its flexibility and ability to deal with imprecise input data while maintaining the simple construction, the fuzzy logic solution filled the gap between GIS data and wine grower's experience. Based on the data from the thematic literature, a set of rules was created to interpret the relationships between popular site selection criteria. The dynamics and manner of interaction between variables were determined using adequate membership functions. Pre-processing using GIS with remote sensing data was considered as a preliminary stage for the analysis. By using the graphical interface, the system operation facilitates the work of a potential user. The obtained results indicated the possibility of an alternative approach to classical analyses by replacing or extending the meaning of some variables using information based on feelings and perceptions. Research constitutes a premise for the further development of expert systems using widely understood domain knowledge.","author":[{"dropping-particle":"","family":"Chrobak","given":"Katarzyna","non-dropping-particle":"","parse-names":false,"suffix":""},{"dropping-particle":"","family":"Chrobak","given":"Grzegorz","non-dropping-particle":"","parse-names":false,"suffix":""},{"dropping-particle":"","family":"Kazak","given":"Jan K.","non-dropping-particle":"","parse-names":false,"suffix":""}],"container-title":"Remote Sensing","id":"ITEM-4","issued":{"date-parts":[["2020"]]},"title":"The use of common knowledge in fuzzy logic approach for vineyard site selection","type":"article-journal"},"uris":["http://www.mendeley.com/documents/?uuid=25665190-93df-4178-b7ef-3cfc7a5a59c7"]}],"mendeley":{"formattedCitation":"(Chen et al., 2015; Lauer &amp; Bloch, 2019; Qu, Bengio, &amp; Tang, 2019; Chrobak, Chrobak, &amp; Kazak, 2020)","plainTextFormattedCitation":"(Chen et al., 2015; Lauer &amp; Bloch, 2019; Qu, Bengio, &amp; Tang, 2019; Chrobak, Chrobak, &amp; Kazak, 2020)","previouslyFormattedCitation":"(Chen et al., 2015; Lauer &amp; Bloch, 2019; Qu, Bengio, &amp; Tang, 2019; Chrobak, Chrobak, &amp; Kazak, 2020)"},"properties":{"noteIndex":0},"schema":"https://github.com/citation-style-language/schema/raw/master/csl-citation.json"}</w:instrText>
      </w:r>
      <w:r w:rsidR="00310FBF">
        <w:rPr>
          <w:lang w:val="en-GB"/>
        </w:rPr>
        <w:fldChar w:fldCharType="separate"/>
      </w:r>
      <w:r w:rsidR="00310FBF" w:rsidRPr="00310FBF">
        <w:rPr>
          <w:noProof/>
          <w:lang w:val="en-GB"/>
        </w:rPr>
        <w:t>(Chen et al., 2015; Lauer &amp; Bloch, 2019; Qu, Bengio, &amp; Tang, 2019; Chrobak, Chrobak, &amp; Kazak, 2020)</w:t>
      </w:r>
      <w:r w:rsidR="00310FBF">
        <w:rPr>
          <w:lang w:val="en-GB"/>
        </w:rPr>
        <w:fldChar w:fldCharType="end"/>
      </w:r>
      <w:r w:rsidR="002F6D25">
        <w:rPr>
          <w:lang w:val="en-GB"/>
        </w:rPr>
        <w:t>.</w:t>
      </w:r>
    </w:p>
    <w:p w14:paraId="77CE8681" w14:textId="490B0730" w:rsidR="0011145F" w:rsidRDefault="0011145F" w:rsidP="0011145F">
      <w:pPr>
        <w:spacing w:after="0"/>
        <w:jc w:val="both"/>
        <w:rPr>
          <w:lang w:val="en-GB"/>
        </w:rPr>
      </w:pPr>
    </w:p>
    <w:p w14:paraId="471F8DE2" w14:textId="50DCF8F9" w:rsidR="0011145F" w:rsidRPr="00707B3C" w:rsidRDefault="0011145F" w:rsidP="0011145F">
      <w:pPr>
        <w:spacing w:after="0"/>
        <w:jc w:val="both"/>
        <w:rPr>
          <w:b/>
          <w:bCs/>
          <w:color w:val="FF0000"/>
          <w:lang w:val="en-GB"/>
        </w:rPr>
      </w:pPr>
      <w:r w:rsidRPr="00707B3C">
        <w:rPr>
          <w:b/>
          <w:bCs/>
          <w:color w:val="FF0000"/>
          <w:lang w:val="en-GB"/>
        </w:rPr>
        <w:t xml:space="preserve">1.4. </w:t>
      </w:r>
      <w:r w:rsidRPr="00707B3C">
        <w:rPr>
          <w:b/>
          <w:bCs/>
          <w:color w:val="FF0000"/>
          <w:lang w:val="en-GB"/>
        </w:rPr>
        <w:tab/>
      </w:r>
      <w:r w:rsidR="00801E85" w:rsidRPr="00707B3C">
        <w:rPr>
          <w:b/>
          <w:bCs/>
          <w:color w:val="FF0000"/>
          <w:lang w:val="en-GB"/>
        </w:rPr>
        <w:t>Research goals and organization</w:t>
      </w:r>
    </w:p>
    <w:p w14:paraId="26548C47" w14:textId="77777777" w:rsidR="0011145F" w:rsidRDefault="0011145F" w:rsidP="0011145F">
      <w:pPr>
        <w:spacing w:after="0"/>
        <w:jc w:val="both"/>
        <w:rPr>
          <w:lang w:val="en-GB"/>
        </w:rPr>
      </w:pPr>
    </w:p>
    <w:p w14:paraId="3AFCC626" w14:textId="1D5DD8C3" w:rsidR="0011145F" w:rsidRPr="0011145F" w:rsidRDefault="0011145F" w:rsidP="00B12E7F">
      <w:pPr>
        <w:spacing w:after="0"/>
        <w:ind w:firstLine="708"/>
        <w:jc w:val="both"/>
        <w:rPr>
          <w:color w:val="FF0000"/>
          <w:lang w:val="en-GB"/>
        </w:rPr>
      </w:pPr>
      <w:r w:rsidRPr="0011145F">
        <w:rPr>
          <w:color w:val="FF0000"/>
          <w:lang w:val="en-GB"/>
        </w:rPr>
        <w:t xml:space="preserve">The main goal of </w:t>
      </w:r>
      <w:proofErr w:type="spellStart"/>
      <w:r w:rsidR="00D47FAC">
        <w:rPr>
          <w:color w:val="FF0000"/>
          <w:lang w:val="en-GB"/>
        </w:rPr>
        <w:t>rrsearch</w:t>
      </w:r>
      <w:proofErr w:type="spellEnd"/>
      <w:r w:rsidR="00D47FAC">
        <w:rPr>
          <w:color w:val="FF0000"/>
          <w:lang w:val="en-GB"/>
        </w:rPr>
        <w:t xml:space="preserve"> </w:t>
      </w:r>
      <w:r w:rsidRPr="0011145F">
        <w:rPr>
          <w:color w:val="FF0000"/>
          <w:lang w:val="en-GB"/>
        </w:rPr>
        <w:t xml:space="preserve">study </w:t>
      </w:r>
      <w:r w:rsidR="00D47FAC">
        <w:rPr>
          <w:color w:val="FF0000"/>
          <w:lang w:val="en-GB"/>
        </w:rPr>
        <w:t xml:space="preserve">underlying this paper </w:t>
      </w:r>
      <w:r w:rsidRPr="0011145F">
        <w:rPr>
          <w:color w:val="FF0000"/>
          <w:lang w:val="en-GB"/>
        </w:rPr>
        <w:t xml:space="preserve">was to obtain latent information from the multidimensional assessment of the ecological state of </w:t>
      </w:r>
      <w:r w:rsidR="00D47FAC" w:rsidRPr="00707B3C">
        <w:rPr>
          <w:color w:val="FF0000"/>
          <w:highlight w:val="yellow"/>
          <w:lang w:val="en-GB"/>
        </w:rPr>
        <w:t xml:space="preserve">X </w:t>
      </w:r>
      <w:r w:rsidRPr="00707B3C">
        <w:rPr>
          <w:color w:val="FF0000"/>
          <w:highlight w:val="yellow"/>
          <w:lang w:val="en-GB"/>
        </w:rPr>
        <w:t xml:space="preserve">lakes </w:t>
      </w:r>
      <w:r w:rsidR="00D47FAC" w:rsidRPr="00707B3C">
        <w:rPr>
          <w:color w:val="FF0000"/>
          <w:highlight w:val="yellow"/>
          <w:lang w:val="en-GB"/>
        </w:rPr>
        <w:t>in Poland</w:t>
      </w:r>
      <w:r w:rsidR="00D47FAC">
        <w:rPr>
          <w:color w:val="FF0000"/>
          <w:lang w:val="en-GB"/>
        </w:rPr>
        <w:t xml:space="preserve"> </w:t>
      </w:r>
      <w:r w:rsidRPr="0011145F">
        <w:rPr>
          <w:color w:val="FF0000"/>
          <w:lang w:val="en-GB"/>
        </w:rPr>
        <w:t xml:space="preserve">in order to facilitate the insightful visualization and geometric interpretation of the evaluation results for the user (policy maker, planner, ecologist). At the same </w:t>
      </w:r>
      <w:proofErr w:type="gramStart"/>
      <w:r w:rsidRPr="0011145F">
        <w:rPr>
          <w:color w:val="FF0000"/>
          <w:lang w:val="en-GB"/>
        </w:rPr>
        <w:t xml:space="preserve">time, </w:t>
      </w:r>
      <w:r w:rsidR="00D47FAC">
        <w:rPr>
          <w:color w:val="FF0000"/>
          <w:lang w:val="en-GB"/>
        </w:rPr>
        <w:t xml:space="preserve"> an</w:t>
      </w:r>
      <w:proofErr w:type="gramEnd"/>
      <w:r w:rsidR="00D47FAC">
        <w:rPr>
          <w:color w:val="FF0000"/>
          <w:lang w:val="en-GB"/>
        </w:rPr>
        <w:t xml:space="preserve"> aim was to</w:t>
      </w:r>
      <w:r w:rsidRPr="0011145F">
        <w:rPr>
          <w:color w:val="FF0000"/>
          <w:lang w:val="en-GB"/>
        </w:rPr>
        <w:t xml:space="preserve"> minimiz</w:t>
      </w:r>
      <w:r w:rsidR="00D47FAC">
        <w:rPr>
          <w:color w:val="FF0000"/>
          <w:lang w:val="en-GB"/>
        </w:rPr>
        <w:t>e</w:t>
      </w:r>
      <w:r w:rsidRPr="0011145F">
        <w:rPr>
          <w:color w:val="FF0000"/>
          <w:lang w:val="en-GB"/>
        </w:rPr>
        <w:t xml:space="preserve"> the loss of explanatory ability of the original set of measurements. The reconstruction of the assumptions of the source methodology in the process of supervised learning allowed for the creation of a model of clusters for individual ecological status classes in a two-dimensional space. An additional goal was to draw attention to the visually extended information about the position of a given object </w:t>
      </w:r>
      <w:r w:rsidR="00825F1E" w:rsidRPr="00707B3C">
        <w:rPr>
          <w:color w:val="FF0000"/>
          <w:highlight w:val="yellow"/>
          <w:lang w:val="en-GB"/>
        </w:rPr>
        <w:t>(e.g. xxx)</w:t>
      </w:r>
      <w:r w:rsidR="00825F1E">
        <w:rPr>
          <w:color w:val="FF0000"/>
          <w:lang w:val="en-GB"/>
        </w:rPr>
        <w:t xml:space="preserve"> </w:t>
      </w:r>
      <w:r w:rsidRPr="0011145F">
        <w:rPr>
          <w:color w:val="FF0000"/>
          <w:lang w:val="en-GB"/>
        </w:rPr>
        <w:t>within its proper class, instead of knowing only about the fact of belonging. This created a premise for the object-oriented evaluation of changes in the ecological status not only between but also within classes, and (using the obtained model) between measurement campaigns.</w:t>
      </w:r>
    </w:p>
    <w:p w14:paraId="3A553B1F" w14:textId="6BB5B40B" w:rsidR="00063D2E" w:rsidRPr="00063D2E" w:rsidRDefault="00063D2E" w:rsidP="00814A51">
      <w:pPr>
        <w:spacing w:after="0"/>
        <w:ind w:firstLine="708"/>
        <w:jc w:val="both"/>
        <w:rPr>
          <w:lang w:val="en-GB"/>
        </w:rPr>
      </w:pPr>
      <w:r w:rsidRPr="00063D2E">
        <w:rPr>
          <w:lang w:val="en-GB"/>
        </w:rPr>
        <w:t xml:space="preserve">In </w:t>
      </w:r>
      <w:r w:rsidR="00733392">
        <w:rPr>
          <w:lang w:val="en-GB"/>
        </w:rPr>
        <w:t xml:space="preserve">the </w:t>
      </w:r>
      <w:r w:rsidRPr="00063D2E">
        <w:rPr>
          <w:lang w:val="en-GB"/>
        </w:rPr>
        <w:t>research</w:t>
      </w:r>
      <w:r w:rsidR="00733392">
        <w:rPr>
          <w:lang w:val="en-GB"/>
        </w:rPr>
        <w:t xml:space="preserve"> underlying this paper</w:t>
      </w:r>
      <w:r w:rsidRPr="00063D2E">
        <w:rPr>
          <w:lang w:val="en-GB"/>
        </w:rPr>
        <w:t>, an ecological status classifier</w:t>
      </w:r>
      <w:r w:rsidR="0029024F">
        <w:rPr>
          <w:lang w:val="en-GB"/>
        </w:rPr>
        <w:t xml:space="preserve"> was developed</w:t>
      </w:r>
      <w:r w:rsidRPr="00063D2E">
        <w:rPr>
          <w:lang w:val="en-GB"/>
        </w:rPr>
        <w:t xml:space="preserve"> for lake ecosystems</w:t>
      </w:r>
      <w:r w:rsidR="00733392">
        <w:rPr>
          <w:lang w:val="en-GB"/>
        </w:rPr>
        <w:t>,</w:t>
      </w:r>
      <w:r w:rsidRPr="00063D2E">
        <w:rPr>
          <w:lang w:val="en-GB"/>
        </w:rPr>
        <w:t xml:space="preserve"> based on the results of the work of experts following the WFD guidelines. The available measurement data from four campaigns w</w:t>
      </w:r>
      <w:r>
        <w:rPr>
          <w:lang w:val="en-GB"/>
        </w:rPr>
        <w:t>ere</w:t>
      </w:r>
      <w:r w:rsidRPr="00063D2E">
        <w:rPr>
          <w:lang w:val="en-GB"/>
        </w:rPr>
        <w:t xml:space="preserve"> used for the calculations. An analysis of missing observations was made</w:t>
      </w:r>
      <w:r>
        <w:rPr>
          <w:lang w:val="en-GB"/>
        </w:rPr>
        <w:t>,</w:t>
      </w:r>
      <w:r w:rsidRPr="00063D2E">
        <w:rPr>
          <w:lang w:val="en-GB"/>
        </w:rPr>
        <w:t xml:space="preserve"> and a method of supplementing them was proposed. Then the dimensionality reduction was </w:t>
      </w:r>
      <w:r w:rsidR="0077463E">
        <w:rPr>
          <w:lang w:val="en-GB"/>
        </w:rPr>
        <w:t xml:space="preserve">performed </w:t>
      </w:r>
      <w:r w:rsidRPr="00063D2E">
        <w:rPr>
          <w:lang w:val="en-GB"/>
        </w:rPr>
        <w:t xml:space="preserve">on the set of variables. The </w:t>
      </w:r>
      <w:r w:rsidR="0077463E">
        <w:rPr>
          <w:lang w:val="en-GB"/>
        </w:rPr>
        <w:t xml:space="preserve">resulting </w:t>
      </w:r>
      <w:r w:rsidRPr="00063D2E">
        <w:rPr>
          <w:lang w:val="en-GB"/>
        </w:rPr>
        <w:t xml:space="preserve">classifier was based on the </w:t>
      </w:r>
      <w:r>
        <w:rPr>
          <w:lang w:val="en-GB"/>
        </w:rPr>
        <w:t xml:space="preserve">kernel </w:t>
      </w:r>
      <w:r w:rsidRPr="00063D2E">
        <w:rPr>
          <w:lang w:val="en-GB"/>
        </w:rPr>
        <w:t>Support Vector Machine method.</w:t>
      </w:r>
    </w:p>
    <w:p w14:paraId="343F9890" w14:textId="34516F55" w:rsidR="00896DDA" w:rsidRDefault="00063D2E" w:rsidP="00063D2E">
      <w:pPr>
        <w:spacing w:after="0"/>
        <w:ind w:firstLine="708"/>
        <w:jc w:val="both"/>
        <w:rPr>
          <w:lang w:val="en-GB"/>
        </w:rPr>
      </w:pPr>
      <w:r w:rsidRPr="00063D2E">
        <w:rPr>
          <w:lang w:val="en-GB"/>
        </w:rPr>
        <w:t xml:space="preserve">This paper is organized as follows. In the second section – </w:t>
      </w:r>
      <w:r w:rsidR="00C57E95">
        <w:rPr>
          <w:lang w:val="en-GB"/>
        </w:rPr>
        <w:t>Materials and Methods</w:t>
      </w:r>
      <w:r w:rsidRPr="00063D2E">
        <w:rPr>
          <w:lang w:val="en-GB"/>
        </w:rPr>
        <w:t xml:space="preserve"> – the basic description of acquired measurements is presented together with</w:t>
      </w:r>
      <w:r w:rsidR="00C57E95">
        <w:rPr>
          <w:lang w:val="en-GB"/>
        </w:rPr>
        <w:t xml:space="preserve"> </w:t>
      </w:r>
      <w:r w:rsidR="00C57E95" w:rsidRPr="00063D2E">
        <w:rPr>
          <w:lang w:val="en-GB"/>
        </w:rPr>
        <w:t xml:space="preserve">the outline of </w:t>
      </w:r>
      <w:r w:rsidR="00C57E95">
        <w:rPr>
          <w:lang w:val="en-GB"/>
        </w:rPr>
        <w:t xml:space="preserve">the </w:t>
      </w:r>
      <w:r w:rsidR="00C57E95" w:rsidRPr="00063D2E">
        <w:rPr>
          <w:lang w:val="en-GB"/>
        </w:rPr>
        <w:t>general analysis scope</w:t>
      </w:r>
      <w:r w:rsidR="00C57E95">
        <w:rPr>
          <w:lang w:val="en-GB"/>
        </w:rPr>
        <w:t>,</w:t>
      </w:r>
      <w:r w:rsidR="00C57E95" w:rsidRPr="00063D2E">
        <w:rPr>
          <w:lang w:val="en-GB"/>
        </w:rPr>
        <w:t xml:space="preserve"> followed by </w:t>
      </w:r>
      <w:r w:rsidR="00C57E95">
        <w:rPr>
          <w:lang w:val="en-GB"/>
        </w:rPr>
        <w:t xml:space="preserve">a </w:t>
      </w:r>
      <w:r w:rsidR="00C57E95" w:rsidRPr="00063D2E">
        <w:rPr>
          <w:lang w:val="en-GB"/>
        </w:rPr>
        <w:t>description of particular pre-processing and machine learning-based solutions used in the research</w:t>
      </w:r>
      <w:r w:rsidRPr="00063D2E">
        <w:rPr>
          <w:lang w:val="en-GB"/>
        </w:rPr>
        <w:t>.</w:t>
      </w:r>
      <w:r w:rsidR="00C57E95">
        <w:rPr>
          <w:lang w:val="en-GB"/>
        </w:rPr>
        <w:t xml:space="preserve"> </w:t>
      </w:r>
      <w:r w:rsidRPr="00063D2E">
        <w:rPr>
          <w:lang w:val="en-GB"/>
        </w:rPr>
        <w:t>The developed classificat</w:t>
      </w:r>
      <w:r>
        <w:rPr>
          <w:lang w:val="en-GB"/>
        </w:rPr>
        <w:t>io</w:t>
      </w:r>
      <w:r w:rsidR="005247CC">
        <w:rPr>
          <w:lang w:val="en-GB"/>
        </w:rPr>
        <w:t>n</w:t>
      </w:r>
      <w:r w:rsidRPr="00063D2E">
        <w:rPr>
          <w:lang w:val="en-GB"/>
        </w:rPr>
        <w:t xml:space="preserve"> is then presented (</w:t>
      </w:r>
      <w:r w:rsidR="00C57E95">
        <w:rPr>
          <w:lang w:val="en-GB"/>
        </w:rPr>
        <w:t>third section</w:t>
      </w:r>
      <w:r w:rsidRPr="00063D2E">
        <w:rPr>
          <w:lang w:val="en-GB"/>
        </w:rPr>
        <w:t xml:space="preserve"> – Results), accompanied by results of</w:t>
      </w:r>
      <w:r w:rsidR="00C57E95">
        <w:rPr>
          <w:lang w:val="en-GB"/>
        </w:rPr>
        <w:t xml:space="preserve"> previous</w:t>
      </w:r>
      <w:r w:rsidRPr="00063D2E">
        <w:rPr>
          <w:lang w:val="en-GB"/>
        </w:rPr>
        <w:t xml:space="preserve"> </w:t>
      </w:r>
      <w:r w:rsidR="00C57E95">
        <w:rPr>
          <w:lang w:val="en-GB"/>
        </w:rPr>
        <w:t>analyses results</w:t>
      </w:r>
      <w:r w:rsidRPr="00063D2E">
        <w:rPr>
          <w:lang w:val="en-GB"/>
        </w:rPr>
        <w:t xml:space="preserve"> and detailed model schema. Next, in </w:t>
      </w:r>
      <w:r w:rsidR="005247CC">
        <w:rPr>
          <w:lang w:val="en-GB"/>
        </w:rPr>
        <w:t xml:space="preserve">the </w:t>
      </w:r>
      <w:r w:rsidRPr="00063D2E">
        <w:rPr>
          <w:lang w:val="en-GB"/>
        </w:rPr>
        <w:t>Discussion, the results are summarized</w:t>
      </w:r>
      <w:r>
        <w:rPr>
          <w:lang w:val="en-GB"/>
        </w:rPr>
        <w:t>,</w:t>
      </w:r>
      <w:r w:rsidRPr="00063D2E">
        <w:rPr>
          <w:lang w:val="en-GB"/>
        </w:rPr>
        <w:t xml:space="preserve"> featuring </w:t>
      </w:r>
      <w:r>
        <w:rPr>
          <w:lang w:val="en-GB"/>
        </w:rPr>
        <w:t xml:space="preserve">a </w:t>
      </w:r>
      <w:r w:rsidRPr="00063D2E">
        <w:rPr>
          <w:lang w:val="en-GB"/>
        </w:rPr>
        <w:t xml:space="preserve">description of encountered issues and applicability of research outcomes is addressed. Moreover, in this section the problem which stems from </w:t>
      </w:r>
      <w:r>
        <w:rPr>
          <w:lang w:val="en-GB"/>
        </w:rPr>
        <w:t xml:space="preserve">the </w:t>
      </w:r>
      <w:r w:rsidRPr="00063D2E">
        <w:rPr>
          <w:lang w:val="en-GB"/>
        </w:rPr>
        <w:t xml:space="preserve">analysis of conducted research outcomes is formulated. </w:t>
      </w:r>
      <w:r w:rsidR="0077463E">
        <w:rPr>
          <w:lang w:val="en-GB"/>
        </w:rPr>
        <w:t>Finally,</w:t>
      </w:r>
      <w:r w:rsidRPr="00063D2E">
        <w:rPr>
          <w:lang w:val="en-GB"/>
        </w:rPr>
        <w:t xml:space="preserve"> </w:t>
      </w:r>
      <w:r w:rsidR="0077463E">
        <w:rPr>
          <w:lang w:val="en-GB"/>
        </w:rPr>
        <w:t xml:space="preserve">we </w:t>
      </w:r>
      <w:r w:rsidRPr="00063D2E">
        <w:rPr>
          <w:lang w:val="en-GB"/>
        </w:rPr>
        <w:t xml:space="preserve">point to </w:t>
      </w:r>
      <w:r>
        <w:rPr>
          <w:lang w:val="en-GB"/>
        </w:rPr>
        <w:t xml:space="preserve">the </w:t>
      </w:r>
      <w:r w:rsidRPr="00063D2E">
        <w:rPr>
          <w:lang w:val="en-GB"/>
        </w:rPr>
        <w:t xml:space="preserve">practical nature of </w:t>
      </w:r>
      <w:r>
        <w:rPr>
          <w:lang w:val="en-GB"/>
        </w:rPr>
        <w:t xml:space="preserve">the </w:t>
      </w:r>
      <w:r w:rsidRPr="00063D2E">
        <w:rPr>
          <w:lang w:val="en-GB"/>
        </w:rPr>
        <w:t>obtained results and provide information on further research.</w:t>
      </w:r>
    </w:p>
    <w:p w14:paraId="7EB27BDE" w14:textId="77777777" w:rsidR="002008C3" w:rsidRDefault="002008C3" w:rsidP="00063D2E">
      <w:pPr>
        <w:spacing w:after="0"/>
        <w:ind w:firstLine="708"/>
        <w:jc w:val="both"/>
        <w:rPr>
          <w:lang w:val="en-GB"/>
        </w:rPr>
      </w:pPr>
    </w:p>
    <w:p w14:paraId="5407350B" w14:textId="4F3B1601" w:rsidR="0023569C" w:rsidRDefault="0023569C" w:rsidP="0023569C">
      <w:pPr>
        <w:spacing w:after="0"/>
        <w:jc w:val="both"/>
        <w:rPr>
          <w:lang w:val="en-GB"/>
        </w:rPr>
      </w:pPr>
    </w:p>
    <w:p w14:paraId="28C7F510" w14:textId="1A113258" w:rsidR="00801E85" w:rsidRDefault="00801E85" w:rsidP="0023569C">
      <w:pPr>
        <w:spacing w:after="0"/>
        <w:jc w:val="both"/>
        <w:rPr>
          <w:lang w:val="en-GB"/>
        </w:rPr>
      </w:pPr>
    </w:p>
    <w:p w14:paraId="20C5110B" w14:textId="432B99E1" w:rsidR="00801E85" w:rsidRDefault="00801E85" w:rsidP="0023569C">
      <w:pPr>
        <w:spacing w:after="0"/>
        <w:jc w:val="both"/>
        <w:rPr>
          <w:lang w:val="en-GB"/>
        </w:rPr>
      </w:pPr>
    </w:p>
    <w:p w14:paraId="7ABB2021" w14:textId="77CC988E" w:rsidR="00801E85" w:rsidRDefault="00801E85" w:rsidP="0023569C">
      <w:pPr>
        <w:spacing w:after="0"/>
        <w:jc w:val="both"/>
        <w:rPr>
          <w:lang w:val="en-GB"/>
        </w:rPr>
      </w:pPr>
    </w:p>
    <w:p w14:paraId="7F05887A" w14:textId="77777777" w:rsidR="00801E85" w:rsidRDefault="00801E85" w:rsidP="0023569C">
      <w:pPr>
        <w:spacing w:after="0"/>
        <w:jc w:val="both"/>
        <w:rPr>
          <w:lang w:val="en-GB"/>
        </w:rPr>
      </w:pPr>
    </w:p>
    <w:p w14:paraId="1477B88F" w14:textId="476E29DD" w:rsidR="005A05BB" w:rsidRDefault="0023569C" w:rsidP="0023569C">
      <w:pPr>
        <w:jc w:val="both"/>
        <w:rPr>
          <w:b/>
          <w:bCs/>
          <w:lang w:val="en-GB"/>
        </w:rPr>
      </w:pPr>
      <w:r>
        <w:rPr>
          <w:b/>
          <w:bCs/>
          <w:lang w:val="en-GB"/>
        </w:rPr>
        <w:t>2</w:t>
      </w:r>
      <w:r w:rsidRPr="00063D2E">
        <w:rPr>
          <w:b/>
          <w:bCs/>
          <w:lang w:val="en-GB"/>
        </w:rPr>
        <w:t>.</w:t>
      </w:r>
      <w:r w:rsidRPr="00063D2E">
        <w:rPr>
          <w:b/>
          <w:bCs/>
          <w:lang w:val="en-GB"/>
        </w:rPr>
        <w:tab/>
      </w:r>
      <w:r w:rsidR="00C57E95">
        <w:rPr>
          <w:b/>
          <w:bCs/>
          <w:lang w:val="en-GB"/>
        </w:rPr>
        <w:t>Materials and Methods</w:t>
      </w:r>
    </w:p>
    <w:p w14:paraId="6848E763" w14:textId="71E5FECD" w:rsidR="00C57E95" w:rsidRDefault="00C57E95" w:rsidP="0023569C">
      <w:pPr>
        <w:jc w:val="both"/>
        <w:rPr>
          <w:b/>
          <w:bCs/>
          <w:lang w:val="en-GB"/>
        </w:rPr>
      </w:pPr>
      <w:r>
        <w:rPr>
          <w:b/>
          <w:bCs/>
          <w:lang w:val="en-GB"/>
        </w:rPr>
        <w:t xml:space="preserve">2.1. </w:t>
      </w:r>
      <w:r>
        <w:rPr>
          <w:b/>
          <w:bCs/>
          <w:lang w:val="en-GB"/>
        </w:rPr>
        <w:tab/>
        <w:t>Data</w:t>
      </w:r>
    </w:p>
    <w:p w14:paraId="30A6322E" w14:textId="7FFF21B5" w:rsidR="007718F9" w:rsidRDefault="0023569C" w:rsidP="00A100DC">
      <w:pPr>
        <w:ind w:firstLine="480"/>
        <w:jc w:val="both"/>
        <w:rPr>
          <w:lang w:val="en-GB"/>
        </w:rPr>
      </w:pPr>
      <w:r w:rsidRPr="00AA1DEF">
        <w:rPr>
          <w:lang w:val="en-GB"/>
        </w:rPr>
        <w:t>Input data for analysis were obtained from the repository of the Chief Inspectorate of Environmental Protection in Poland</w:t>
      </w:r>
      <w:r w:rsidR="00543AF2">
        <w:rPr>
          <w:lang w:val="en-GB"/>
        </w:rPr>
        <w:t xml:space="preserve"> (Appendix A)</w:t>
      </w:r>
      <w:r w:rsidRPr="00AA1DEF">
        <w:rPr>
          <w:lang w:val="en-GB"/>
        </w:rPr>
        <w:t xml:space="preserve"> </w:t>
      </w:r>
      <w:r w:rsidR="00A100DC">
        <w:rPr>
          <w:lang w:val="en-GB"/>
        </w:rPr>
        <w:fldChar w:fldCharType="begin" w:fldLock="1"/>
      </w:r>
      <w:r w:rsidR="006B1930">
        <w:rPr>
          <w:lang w:val="en-GB"/>
        </w:rPr>
        <w:instrText>ADDIN CSL_CITATION {"citationItems":[{"id":"ITEM-1","itemData":{"URL":"https://powietrze.gios.gov.pl/pjp/archives","author":[{"dropping-particle":"","family":"GIOŚ","given":"","non-dropping-particle":"","parse-names":false,"suffix":""}],"id":"ITEM-1","issued":{"date-parts":[["2015"]]},"title":"Bank danych pomiarowych","type":"webpage"},"uris":["http://www.mendeley.com/documents/?uuid=e6bc89dc-84ca-4b09-a277-5b6964bc1064"]}],"mendeley":{"formattedCitation":"(GIOŚ, 2015)","plainTextFormattedCitation":"(GIOŚ, 2015)","previouslyFormattedCitation":"(GIOŚ, 2015)"},"properties":{"noteIndex":0},"schema":"https://github.com/citation-style-language/schema/raw/master/csl-citation.json"}</w:instrText>
      </w:r>
      <w:r w:rsidR="00A100DC">
        <w:rPr>
          <w:lang w:val="en-GB"/>
        </w:rPr>
        <w:fldChar w:fldCharType="separate"/>
      </w:r>
      <w:r w:rsidR="00A100DC" w:rsidRPr="00A100DC">
        <w:rPr>
          <w:noProof/>
          <w:lang w:val="en-GB"/>
        </w:rPr>
        <w:t>(GIOŚ, 2015)</w:t>
      </w:r>
      <w:r w:rsidR="00A100DC">
        <w:rPr>
          <w:lang w:val="en-GB"/>
        </w:rPr>
        <w:fldChar w:fldCharType="end"/>
      </w:r>
      <w:r w:rsidR="00AD1CFC">
        <w:rPr>
          <w:lang w:val="en-GB"/>
        </w:rPr>
        <w:t xml:space="preserve">, the same which is used </w:t>
      </w:r>
      <w:r w:rsidR="00AD1CFC" w:rsidRPr="00AA1DEF">
        <w:rPr>
          <w:lang w:val="en-GB"/>
        </w:rPr>
        <w:t>for reporting to the European</w:t>
      </w:r>
      <w:r w:rsidR="00AD1CFC">
        <w:rPr>
          <w:lang w:val="en-GB"/>
        </w:rPr>
        <w:t xml:space="preserve"> </w:t>
      </w:r>
      <w:r w:rsidR="00AD1CFC" w:rsidRPr="00AA1DEF">
        <w:rPr>
          <w:lang w:val="en-GB"/>
        </w:rPr>
        <w:t>Comission</w:t>
      </w:r>
      <w:r w:rsidR="00AD1CFC">
        <w:rPr>
          <w:lang w:val="en-GB"/>
        </w:rPr>
        <w:t xml:space="preserve"> databases concerning environmental monitoring</w:t>
      </w:r>
      <w:r w:rsidRPr="00AA1DEF">
        <w:rPr>
          <w:lang w:val="en-GB"/>
        </w:rPr>
        <w:t>.</w:t>
      </w:r>
      <w:r>
        <w:rPr>
          <w:lang w:val="en-GB"/>
        </w:rPr>
        <w:t xml:space="preserve"> </w:t>
      </w:r>
      <w:r w:rsidR="00AD1CFC" w:rsidRPr="00AA1DEF">
        <w:rPr>
          <w:lang w:val="en-GB"/>
        </w:rPr>
        <w:t xml:space="preserve">Measurements are carried out following the requirements set out in national law and the European Union, due to the implementation of the aquis communautaire obligations in the field of monitoring and assessment of surface water status </w:t>
      </w:r>
      <w:r w:rsidR="00AD1CFC">
        <w:rPr>
          <w:lang w:val="en-GB"/>
        </w:rPr>
        <w:fldChar w:fldCharType="begin" w:fldLock="1"/>
      </w:r>
      <w:r w:rsidR="007064D9">
        <w:rPr>
          <w:lang w:val="en-GB"/>
        </w:rPr>
        <w:instrText>ADDIN CSL_CITATION {"citationItems":[{"id":"ITEM-1","itemData":{"DOI":"10.4324/9780203938607","ISBN":"0203938607","abstract":"The main aim of EU water policy is to ensure that a sufficient quantity of good-quality water is available for both people's needs and the environment. The Water Framework Directive (WFD), which came into force in 2000, established a framework for the assessment, management, protection and improvement of the quality of water resources across the EU. Since December 2015, EU Member States have been publishing the second river basin management plans (RBMPs) for achieving the environmental objectives of the WFD. These plans are updates of the first RBMPs, which were published in 2009.","author":[{"dropping-particle":"","family":"European Environmental Agency","given":"","non-dropping-particle":"","parse-names":false,"suffix":""}],"container-title":"Parents and Children Communicating with Society: Managing Relationships Outside of Home","id":"ITEM-1","issued":{"date-parts":[["2018"]]},"title":"European waters Assessment of status and pressures 2018","type":"report"},"uris":["http://www.mendeley.com/documents/?uuid=ddd37bbd-6d0b-4eb0-a01d-b8d8e99b0b8b"]}],"mendeley":{"formattedCitation":"(European Environmental Agency, 2018)","plainTextFormattedCitation":"(European Environmental Agency, 2018)","previouslyFormattedCitation":"(European Environmental Agency, 2018)"},"properties":{"noteIndex":0},"schema":"https://github.com/citation-style-language/schema/raw/master/csl-citation.json"}</w:instrText>
      </w:r>
      <w:r w:rsidR="00AD1CFC">
        <w:rPr>
          <w:lang w:val="en-GB"/>
        </w:rPr>
        <w:fldChar w:fldCharType="separate"/>
      </w:r>
      <w:r w:rsidR="00AD1CFC" w:rsidRPr="006B1930">
        <w:rPr>
          <w:noProof/>
          <w:lang w:val="en-GB"/>
        </w:rPr>
        <w:t>(European Environmental Agency, 2018)</w:t>
      </w:r>
      <w:r w:rsidR="00AD1CFC">
        <w:rPr>
          <w:lang w:val="en-GB"/>
        </w:rPr>
        <w:fldChar w:fldCharType="end"/>
      </w:r>
      <w:r w:rsidR="00AD1CFC" w:rsidRPr="00AA1DEF">
        <w:rPr>
          <w:lang w:val="en-GB"/>
        </w:rPr>
        <w:t>.</w:t>
      </w:r>
      <w:r w:rsidR="00AD1CFC">
        <w:rPr>
          <w:lang w:val="en-GB"/>
        </w:rPr>
        <w:t xml:space="preserve"> The obtained dataset covers </w:t>
      </w:r>
      <w:r w:rsidR="00733392">
        <w:rPr>
          <w:lang w:val="en-GB"/>
        </w:rPr>
        <w:t xml:space="preserve">the </w:t>
      </w:r>
      <w:r w:rsidR="00AD1CFC" w:rsidRPr="00AA1DEF">
        <w:rPr>
          <w:lang w:val="en-GB"/>
        </w:rPr>
        <w:t xml:space="preserve">ecological status of </w:t>
      </w:r>
      <w:r w:rsidR="00AD1CFC" w:rsidRPr="00B332CF">
        <w:rPr>
          <w:lang w:val="en-GB"/>
        </w:rPr>
        <w:t xml:space="preserve">499 </w:t>
      </w:r>
      <w:r w:rsidR="00AD1CFC" w:rsidRPr="00AA1DEF">
        <w:rPr>
          <w:lang w:val="en-GB"/>
        </w:rPr>
        <w:t>lake ecosystems</w:t>
      </w:r>
      <w:r w:rsidR="00AD1CFC" w:rsidRPr="00B332CF">
        <w:rPr>
          <w:lang w:val="en-GB"/>
        </w:rPr>
        <w:t xml:space="preserve"> in Poland</w:t>
      </w:r>
      <w:r w:rsidR="00733392">
        <w:rPr>
          <w:lang w:val="en-GB"/>
        </w:rPr>
        <w:t>,</w:t>
      </w:r>
      <w:r w:rsidR="00AD1CFC">
        <w:rPr>
          <w:lang w:val="en-GB"/>
        </w:rPr>
        <w:t xml:space="preserve"> </w:t>
      </w:r>
      <w:r w:rsidR="007718F9">
        <w:rPr>
          <w:lang w:val="en-GB"/>
        </w:rPr>
        <w:t xml:space="preserve">measured </w:t>
      </w:r>
      <w:r w:rsidR="00AD1CFC">
        <w:rPr>
          <w:lang w:val="en-GB"/>
        </w:rPr>
        <w:t>in the period 2010-</w:t>
      </w:r>
      <w:r w:rsidR="00AD1CFC" w:rsidRPr="00B332CF">
        <w:rPr>
          <w:lang w:val="en-GB"/>
        </w:rPr>
        <w:t>2015</w:t>
      </w:r>
      <w:r w:rsidR="007718F9">
        <w:rPr>
          <w:lang w:val="en-GB"/>
        </w:rPr>
        <w:t xml:space="preserve"> (Figure 1). Information on ecological status include</w:t>
      </w:r>
      <w:r w:rsidR="00733392">
        <w:rPr>
          <w:lang w:val="en-GB"/>
        </w:rPr>
        <w:t>s the</w:t>
      </w:r>
      <w:r w:rsidR="007718F9">
        <w:rPr>
          <w:lang w:val="en-GB"/>
        </w:rPr>
        <w:t xml:space="preserve"> following parameters:</w:t>
      </w:r>
      <w:r w:rsidR="00121040">
        <w:rPr>
          <w:lang w:val="en-GB"/>
        </w:rPr>
        <w:t xml:space="preserve"> Chlorophyll </w:t>
      </w:r>
      <w:r w:rsidR="00121040" w:rsidRPr="00121040">
        <w:rPr>
          <w:i/>
          <w:iCs/>
          <w:lang w:val="en-GB"/>
        </w:rPr>
        <w:t>a</w:t>
      </w:r>
      <w:r w:rsidR="00121040">
        <w:rPr>
          <w:lang w:val="en-GB"/>
        </w:rPr>
        <w:t xml:space="preserve">, Nitrogen, Phosphorus, Phytoplankton, Ecological State Macrophyte Index (ESMI), Diatom Index for Lakes (IOJ), Phytoplankton Method for Polish Lakes (PMPL), Visibility, and Conductivity. </w:t>
      </w:r>
    </w:p>
    <w:p w14:paraId="2E6C1503" w14:textId="77777777" w:rsidR="00226E37" w:rsidRDefault="00A35313" w:rsidP="00226E37">
      <w:pPr>
        <w:jc w:val="center"/>
        <w:rPr>
          <w:lang w:val="en-GB"/>
        </w:rPr>
      </w:pPr>
      <w:r>
        <w:rPr>
          <w:noProof/>
          <w:lang w:eastAsia="pl-PL"/>
        </w:rPr>
        <w:drawing>
          <wp:inline distT="0" distB="0" distL="0" distR="0" wp14:anchorId="370716FD" wp14:editId="15EBF1EB">
            <wp:extent cx="4492487" cy="3116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0233" cy="3149703"/>
                    </a:xfrm>
                    <a:prstGeom prst="rect">
                      <a:avLst/>
                    </a:prstGeom>
                    <a:noFill/>
                    <a:ln>
                      <a:noFill/>
                    </a:ln>
                  </pic:spPr>
                </pic:pic>
              </a:graphicData>
            </a:graphic>
          </wp:inline>
        </w:drawing>
      </w:r>
    </w:p>
    <w:p w14:paraId="38929B89" w14:textId="148AA6D8" w:rsidR="000F28F1" w:rsidRPr="007A2D39" w:rsidRDefault="00A35313" w:rsidP="00226E37">
      <w:pPr>
        <w:jc w:val="center"/>
        <w:rPr>
          <w:lang w:val="en-GB"/>
        </w:rPr>
      </w:pPr>
      <w:r w:rsidRPr="0006396B">
        <w:rPr>
          <w:i/>
          <w:iCs/>
          <w:sz w:val="18"/>
          <w:szCs w:val="18"/>
          <w:lang w:val="en-US"/>
        </w:rPr>
        <w:t xml:space="preserve">Figure  </w:t>
      </w:r>
      <w:r w:rsidRPr="0006396B">
        <w:rPr>
          <w:i/>
          <w:iCs/>
          <w:sz w:val="18"/>
          <w:szCs w:val="18"/>
        </w:rPr>
        <w:fldChar w:fldCharType="begin"/>
      </w:r>
      <w:r w:rsidRPr="0006396B">
        <w:rPr>
          <w:i/>
          <w:iCs/>
          <w:sz w:val="18"/>
          <w:szCs w:val="18"/>
          <w:lang w:val="en-US"/>
        </w:rPr>
        <w:instrText xml:space="preserve"> SEQ Figure_ \* ARABIC </w:instrText>
      </w:r>
      <w:r w:rsidRPr="0006396B">
        <w:rPr>
          <w:i/>
          <w:iCs/>
          <w:sz w:val="18"/>
          <w:szCs w:val="18"/>
        </w:rPr>
        <w:fldChar w:fldCharType="separate"/>
      </w:r>
      <w:r w:rsidR="008F2A12">
        <w:rPr>
          <w:i/>
          <w:iCs/>
          <w:noProof/>
          <w:sz w:val="18"/>
          <w:szCs w:val="18"/>
          <w:lang w:val="en-US"/>
        </w:rPr>
        <w:t>1</w:t>
      </w:r>
      <w:r w:rsidRPr="0006396B">
        <w:rPr>
          <w:i/>
          <w:iCs/>
          <w:noProof/>
          <w:sz w:val="18"/>
          <w:szCs w:val="18"/>
        </w:rPr>
        <w:fldChar w:fldCharType="end"/>
      </w:r>
      <w:r w:rsidRPr="0006396B">
        <w:rPr>
          <w:i/>
          <w:iCs/>
          <w:sz w:val="18"/>
          <w:szCs w:val="18"/>
          <w:lang w:val="en-US"/>
        </w:rPr>
        <w:t>. Lake objects assessed ecologically in Poland during 2011-2015 campaign.</w:t>
      </w:r>
    </w:p>
    <w:p w14:paraId="6912E286" w14:textId="4F75857F" w:rsidR="00516264" w:rsidRPr="00516264" w:rsidRDefault="00A53EF8" w:rsidP="00516264">
      <w:pPr>
        <w:jc w:val="both"/>
        <w:rPr>
          <w:b/>
          <w:bCs/>
          <w:lang w:val="en-GB"/>
        </w:rPr>
      </w:pPr>
      <w:r>
        <w:rPr>
          <w:b/>
          <w:bCs/>
          <w:lang w:val="en-GB"/>
        </w:rPr>
        <w:t xml:space="preserve">2.2. </w:t>
      </w:r>
      <w:r>
        <w:rPr>
          <w:b/>
          <w:bCs/>
          <w:lang w:val="en-GB"/>
        </w:rPr>
        <w:tab/>
        <w:t>Analysis framework</w:t>
      </w:r>
    </w:p>
    <w:p w14:paraId="59BDEA3B" w14:textId="3A6B6432" w:rsidR="00A53EF8" w:rsidRDefault="00516264" w:rsidP="009E2A30">
      <w:pPr>
        <w:ind w:firstLine="708"/>
        <w:jc w:val="both"/>
        <w:rPr>
          <w:lang w:val="en-GB"/>
        </w:rPr>
      </w:pPr>
      <w:r w:rsidRPr="00516264">
        <w:rPr>
          <w:lang w:val="en-GB"/>
        </w:rPr>
        <w:t>The general flow chart of the analyzes is presented in Figure 2.</w:t>
      </w:r>
      <w:r>
        <w:rPr>
          <w:lang w:val="en-GB"/>
        </w:rPr>
        <w:t xml:space="preserve"> </w:t>
      </w:r>
      <w:r w:rsidRPr="00516264">
        <w:rPr>
          <w:lang w:val="en-GB"/>
        </w:rPr>
        <w:t xml:space="preserve">As part of the preparation of the data set for modeling, </w:t>
      </w:r>
      <w:r w:rsidR="00CC583C" w:rsidRPr="00707B3C">
        <w:rPr>
          <w:color w:val="FF0000"/>
          <w:lang w:val="en-GB"/>
        </w:rPr>
        <w:t>data implementation was</w:t>
      </w:r>
      <w:r w:rsidRPr="00707B3C">
        <w:rPr>
          <w:color w:val="FF0000"/>
          <w:lang w:val="en-GB"/>
        </w:rPr>
        <w:t xml:space="preserve"> carried out</w:t>
      </w:r>
      <w:r w:rsidRPr="00516264">
        <w:rPr>
          <w:lang w:val="en-GB"/>
        </w:rPr>
        <w:t xml:space="preserve"> to supplement the missing observations.</w:t>
      </w:r>
      <w:r>
        <w:rPr>
          <w:lang w:val="en-GB"/>
        </w:rPr>
        <w:t xml:space="preserve"> Next</w:t>
      </w:r>
      <w:r w:rsidRPr="00516264">
        <w:rPr>
          <w:lang w:val="en-GB"/>
        </w:rPr>
        <w:t>, scaled data were subjected to dimensional reduction, and then divided into two subsets: training and testing.</w:t>
      </w:r>
      <w:r>
        <w:rPr>
          <w:lang w:val="en-GB"/>
        </w:rPr>
        <w:t xml:space="preserve"> </w:t>
      </w:r>
      <w:r w:rsidRPr="00516264">
        <w:rPr>
          <w:lang w:val="en-GB"/>
        </w:rPr>
        <w:t>The training subset (80%) was used in the k-fold Cross Validation process, within which a classifier was created, assist</w:t>
      </w:r>
      <w:r>
        <w:rPr>
          <w:lang w:val="en-GB"/>
        </w:rPr>
        <w:t>ed</w:t>
      </w:r>
      <w:r w:rsidRPr="00516264">
        <w:rPr>
          <w:lang w:val="en-GB"/>
        </w:rPr>
        <w:t xml:space="preserve"> with the grid search method to determine the optimal hyperparameter</w:t>
      </w:r>
      <w:r>
        <w:rPr>
          <w:lang w:val="en-GB"/>
        </w:rPr>
        <w:t xml:space="preserve"> for Support Vector Machine model</w:t>
      </w:r>
      <w:r w:rsidRPr="00516264">
        <w:rPr>
          <w:lang w:val="en-GB"/>
        </w:rPr>
        <w:t>.</w:t>
      </w:r>
      <w:r>
        <w:rPr>
          <w:lang w:val="en-GB"/>
        </w:rPr>
        <w:t xml:space="preserve"> </w:t>
      </w:r>
      <w:r w:rsidRPr="00516264">
        <w:rPr>
          <w:lang w:val="en-GB"/>
        </w:rPr>
        <w:t>Classifier</w:t>
      </w:r>
      <w:r w:rsidR="006A37E5">
        <w:rPr>
          <w:lang w:val="en-GB"/>
        </w:rPr>
        <w:t>s</w:t>
      </w:r>
      <w:r w:rsidRPr="00516264">
        <w:rPr>
          <w:lang w:val="en-GB"/>
        </w:rPr>
        <w:t xml:space="preserve"> </w:t>
      </w:r>
      <w:r w:rsidR="006A37E5">
        <w:rPr>
          <w:lang w:val="en-GB"/>
        </w:rPr>
        <w:t xml:space="preserve">were </w:t>
      </w:r>
      <w:r w:rsidRPr="00516264">
        <w:rPr>
          <w:lang w:val="en-GB"/>
        </w:rPr>
        <w:t>used to create results prediction</w:t>
      </w:r>
      <w:r w:rsidR="006A37E5">
        <w:rPr>
          <w:lang w:val="en-GB"/>
        </w:rPr>
        <w:t>s</w:t>
      </w:r>
      <w:r w:rsidRPr="00516264">
        <w:rPr>
          <w:lang w:val="en-GB"/>
        </w:rPr>
        <w:t xml:space="preserve"> within k test folds.</w:t>
      </w:r>
      <w:r>
        <w:rPr>
          <w:lang w:val="en-GB"/>
        </w:rPr>
        <w:t xml:space="preserve"> </w:t>
      </w:r>
      <w:r w:rsidRPr="00516264">
        <w:rPr>
          <w:lang w:val="en-GB"/>
        </w:rPr>
        <w:t xml:space="preserve">Then, after determining the confusion matrix and the average accuracy model, the classification model was used </w:t>
      </w:r>
      <w:r>
        <w:rPr>
          <w:lang w:val="en-GB"/>
        </w:rPr>
        <w:t>on</w:t>
      </w:r>
      <w:r w:rsidRPr="00516264">
        <w:rPr>
          <w:lang w:val="en-GB"/>
        </w:rPr>
        <w:t xml:space="preserve"> the test set (20%)</w:t>
      </w:r>
      <w:r>
        <w:rPr>
          <w:lang w:val="en-GB"/>
        </w:rPr>
        <w:t xml:space="preserve"> and c</w:t>
      </w:r>
      <w:r w:rsidRPr="00516264">
        <w:rPr>
          <w:lang w:val="en-GB"/>
        </w:rPr>
        <w:t>lassification result</w:t>
      </w:r>
      <w:r w:rsidR="006A37E5">
        <w:rPr>
          <w:lang w:val="en-GB"/>
        </w:rPr>
        <w:t>s</w:t>
      </w:r>
      <w:r w:rsidRPr="00516264">
        <w:rPr>
          <w:lang w:val="en-GB"/>
        </w:rPr>
        <w:t xml:space="preserve"> </w:t>
      </w:r>
      <w:r w:rsidR="006A37E5">
        <w:rPr>
          <w:lang w:val="en-GB"/>
        </w:rPr>
        <w:t xml:space="preserve">were </w:t>
      </w:r>
      <w:r>
        <w:rPr>
          <w:lang w:val="en-GB"/>
        </w:rPr>
        <w:t>obtained</w:t>
      </w:r>
      <w:r w:rsidRPr="00516264">
        <w:rPr>
          <w:lang w:val="en-GB"/>
        </w:rPr>
        <w:t>.</w:t>
      </w:r>
      <w:r>
        <w:rPr>
          <w:lang w:val="en-GB"/>
        </w:rPr>
        <w:t xml:space="preserve"> </w:t>
      </w:r>
      <w:r w:rsidRPr="00516264">
        <w:rPr>
          <w:lang w:val="en-GB"/>
        </w:rPr>
        <w:t>A detailed diagram of the actual modeling process is presented in the sub-section Classification Modeling with Hyperparameter Optimization of the Results section.</w:t>
      </w:r>
    </w:p>
    <w:p w14:paraId="70964603" w14:textId="2B422FCE" w:rsidR="00D935F7" w:rsidRDefault="007545FB" w:rsidP="00D935F7">
      <w:pPr>
        <w:keepNext/>
        <w:jc w:val="both"/>
      </w:pPr>
      <w:r>
        <w:rPr>
          <w:noProof/>
        </w:rPr>
        <w:lastRenderedPageBreak/>
        <w:drawing>
          <wp:inline distT="0" distB="0" distL="0" distR="0" wp14:anchorId="3C444220" wp14:editId="424022C7">
            <wp:extent cx="5760720" cy="4078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78605"/>
                    </a:xfrm>
                    <a:prstGeom prst="rect">
                      <a:avLst/>
                    </a:prstGeom>
                    <a:noFill/>
                    <a:ln>
                      <a:noFill/>
                    </a:ln>
                  </pic:spPr>
                </pic:pic>
              </a:graphicData>
            </a:graphic>
          </wp:inline>
        </w:drawing>
      </w:r>
    </w:p>
    <w:p w14:paraId="4ECBBF4E" w14:textId="41119EB9" w:rsidR="00B63329" w:rsidRDefault="00D935F7" w:rsidP="00D935F7">
      <w:pPr>
        <w:pStyle w:val="Caption"/>
        <w:jc w:val="center"/>
        <w:rPr>
          <w:color w:val="auto"/>
        </w:rPr>
      </w:pPr>
      <w:r w:rsidRPr="00226E37">
        <w:rPr>
          <w:color w:val="auto"/>
        </w:rPr>
        <w:t>Figure 2. General schema of data pre-processing and modelling stages.</w:t>
      </w:r>
      <w:r w:rsidR="006A37E5">
        <w:rPr>
          <w:color w:val="auto"/>
        </w:rPr>
        <w:t xml:space="preserve"> </w:t>
      </w:r>
      <w:r w:rsidR="006A37E5" w:rsidRPr="00A03B57">
        <w:rPr>
          <w:color w:val="auto"/>
        </w:rPr>
        <w:t>Source:</w:t>
      </w:r>
      <w:r w:rsidR="00CB7CD2">
        <w:rPr>
          <w:color w:val="auto"/>
        </w:rPr>
        <w:t xml:space="preserve"> own.</w:t>
      </w:r>
      <w:r w:rsidR="006A37E5">
        <w:rPr>
          <w:color w:val="auto"/>
        </w:rPr>
        <w:t xml:space="preserve"> </w:t>
      </w:r>
    </w:p>
    <w:p w14:paraId="22CC59FA" w14:textId="77777777" w:rsidR="001407D1" w:rsidRPr="001407D1" w:rsidRDefault="001407D1" w:rsidP="001407D1"/>
    <w:p w14:paraId="5A58D8CD" w14:textId="6076C136" w:rsidR="001407D1" w:rsidRDefault="001407D1" w:rsidP="001407D1">
      <w:pPr>
        <w:jc w:val="both"/>
        <w:rPr>
          <w:b/>
          <w:bCs/>
          <w:lang w:val="en-GB"/>
        </w:rPr>
      </w:pPr>
      <w:r>
        <w:rPr>
          <w:b/>
          <w:bCs/>
          <w:lang w:val="en-GB"/>
        </w:rPr>
        <w:t xml:space="preserve">2.3. </w:t>
      </w:r>
      <w:r>
        <w:rPr>
          <w:b/>
          <w:bCs/>
          <w:lang w:val="en-GB"/>
        </w:rPr>
        <w:tab/>
        <w:t>Correlation analysis</w:t>
      </w:r>
    </w:p>
    <w:p w14:paraId="54F4113A" w14:textId="07A38559" w:rsidR="008C0C09" w:rsidRPr="008C0C09" w:rsidRDefault="008C0C09" w:rsidP="009E2A30">
      <w:pPr>
        <w:ind w:firstLine="708"/>
        <w:jc w:val="both"/>
        <w:rPr>
          <w:lang w:val="en-GB"/>
        </w:rPr>
      </w:pPr>
      <w:r w:rsidRPr="008C0C09">
        <w:rPr>
          <w:lang w:val="en-GB"/>
        </w:rPr>
        <w:t xml:space="preserve">Correlation analysis was performed to detect associations between individual measured parameters. Pearson product-moment Correlation coefficient (PPMCC) was used </w:t>
      </w:r>
      <w:r w:rsidR="007064D9">
        <w:rPr>
          <w:lang w:val="en-GB"/>
        </w:rPr>
        <w:fldChar w:fldCharType="begin" w:fldLock="1"/>
      </w:r>
      <w:r w:rsidR="007F7D79">
        <w:rPr>
          <w:lang w:val="en-GB"/>
        </w:rPr>
        <w:instrText>ADDIN CSL_CITATION {"citationItems":[{"id":"ITEM-1","itemData":{"DOI":"10.1007/978-1-4419-6247-8_15318","abstract":"In statistics, the Pearson product-moment correlation coefficient (sometimes referred to as the PPMCC or PCC1, or Pearson's r, and is typically denoted by r) is a measure of the correlation (linear dependence) between two variables X and Y, giving a value between +1 and 1 inclusive. It is widely used in the sciences as a measure of the strength of linear dependence between two variables. It was developed by Karl Pearson from a similar but slightly different idea introduced by Francis Galton in the 1880s.23","author":[{"dropping-particle":"","family":"Gooch","given":"Jan W.","non-dropping-particle":"","parse-names":false,"suffix":""}],"container-title":"Encyclopedic Dictionary of Polymers","id":"ITEM-1","issued":{"date-parts":[["2011"]]},"title":"Pearson’s Product-Moment Correlation Coefficient","type":"chapter"},"uris":["http://www.mendeley.com/documents/?uuid=6a6c1aa4-e379-4d55-a2bd-b2ddc405ec14"]}],"mendeley":{"formattedCitation":"(Gooch, 2011)","plainTextFormattedCitation":"(Gooch, 2011)","previouslyFormattedCitation":"(Gooch, 2011)"},"properties":{"noteIndex":0},"schema":"https://github.com/citation-style-language/schema/raw/master/csl-citation.json"}</w:instrText>
      </w:r>
      <w:r w:rsidR="007064D9">
        <w:rPr>
          <w:lang w:val="en-GB"/>
        </w:rPr>
        <w:fldChar w:fldCharType="separate"/>
      </w:r>
      <w:r w:rsidR="007064D9" w:rsidRPr="007064D9">
        <w:rPr>
          <w:noProof/>
          <w:lang w:val="en-GB"/>
        </w:rPr>
        <w:t>(Gooch, 2011)</w:t>
      </w:r>
      <w:r w:rsidR="007064D9">
        <w:rPr>
          <w:lang w:val="en-GB"/>
        </w:rPr>
        <w:fldChar w:fldCharType="end"/>
      </w:r>
      <w:r w:rsidRPr="008C0C09">
        <w:rPr>
          <w:lang w:val="en-GB"/>
        </w:rPr>
        <w:t>. The linear dependence between each variables pair was measured as follows:</w:t>
      </w:r>
    </w:p>
    <w:p w14:paraId="5E455034" w14:textId="48FA3E03" w:rsidR="00A53EF8" w:rsidRPr="009B4C35" w:rsidRDefault="009B4C35" w:rsidP="000F28F1">
      <w:pPr>
        <w:jc w:val="both"/>
        <w:rPr>
          <w:rFonts w:eastAsiaTheme="minorEastAsia"/>
          <w:lang w:val="en-GB"/>
        </w:rPr>
      </w:pPr>
      <m:oMathPara>
        <m:oMathParaPr>
          <m:jc m:val="center"/>
        </m:oMathParaPr>
        <m:oMath>
          <m:r>
            <w:rPr>
              <w:rFonts w:ascii="Cambria Math" w:hAnsi="Cambria Math"/>
              <w:lang w:val="en-GB"/>
            </w:rPr>
            <m:t>r=</m:t>
          </m:r>
          <m:f>
            <m:fPr>
              <m:ctrlPr>
                <w:rPr>
                  <w:rFonts w:ascii="Cambria Math" w:hAnsi="Cambria Math"/>
                  <w:i/>
                  <w:lang w:val="en-GB"/>
                </w:rPr>
              </m:ctrlPr>
            </m:fPr>
            <m:num>
              <m:r>
                <w:rPr>
                  <w:rFonts w:ascii="Cambria Math" w:hAnsi="Cambria Math"/>
                  <w:lang w:val="en-GB"/>
                </w:rPr>
                <m:t>∑</m:t>
              </m:r>
              <m:d>
                <m:dPr>
                  <m:ctrlPr>
                    <w:rPr>
                      <w:rFonts w:ascii="Cambria Math" w:hAnsi="Cambria Math"/>
                      <w:i/>
                      <w:lang w:val="en-GB"/>
                    </w:rPr>
                  </m:ctrlPr>
                </m:dPr>
                <m:e>
                  <m:r>
                    <w:rPr>
                      <w:rFonts w:ascii="Cambria Math" w:hAnsi="Cambria Math"/>
                      <w:lang w:val="en-GB"/>
                    </w:rPr>
                    <m:t>x-</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x</m:t>
                      </m:r>
                    </m:sub>
                  </m:sSub>
                </m:e>
              </m:d>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y-</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y</m:t>
                      </m:r>
                    </m:sub>
                  </m:sSub>
                </m:e>
              </m:d>
            </m:num>
            <m:den>
              <m:rad>
                <m:radPr>
                  <m:degHide m:val="1"/>
                  <m:ctrlPr>
                    <w:rPr>
                      <w:rFonts w:ascii="Cambria Math" w:hAnsi="Cambria Math"/>
                      <w:i/>
                      <w:lang w:val="en-GB"/>
                    </w:rPr>
                  </m:ctrlPr>
                </m:radPr>
                <m:deg/>
                <m:e>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x-</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x</m:t>
                              </m:r>
                            </m:sub>
                          </m:sSub>
                        </m:e>
                      </m:d>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y-</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y</m:t>
                              </m:r>
                            </m:sub>
                          </m:sSub>
                        </m:e>
                      </m:d>
                    </m:e>
                    <m:sup>
                      <m:r>
                        <w:rPr>
                          <w:rFonts w:ascii="Cambria Math" w:hAnsi="Cambria Math"/>
                          <w:lang w:val="en-GB"/>
                        </w:rPr>
                        <m:t>2</m:t>
                      </m:r>
                    </m:sup>
                  </m:sSup>
                </m:e>
              </m:rad>
            </m:den>
          </m:f>
        </m:oMath>
      </m:oMathPara>
    </w:p>
    <w:p w14:paraId="0B38776E" w14:textId="77777777" w:rsidR="009B4C35" w:rsidRPr="00AA1DEF" w:rsidRDefault="009B4C35" w:rsidP="009B4C35">
      <w:pPr>
        <w:jc w:val="both"/>
        <w:rPr>
          <w:lang w:val="en-GB"/>
        </w:rPr>
      </w:pPr>
      <w:r w:rsidRPr="00AA1DEF">
        <w:rPr>
          <w:lang w:val="en-GB"/>
        </w:rPr>
        <w:t>where:</w:t>
      </w:r>
    </w:p>
    <w:p w14:paraId="104A7408" w14:textId="4D9BC0D1" w:rsidR="009B4C35" w:rsidRPr="00AA1DEF" w:rsidRDefault="009B4C35" w:rsidP="009B4C35">
      <w:pPr>
        <w:jc w:val="both"/>
        <w:rPr>
          <w:lang w:val="en-GB"/>
        </w:rPr>
      </w:pPr>
      <w:r w:rsidRPr="00AA1DEF">
        <w:rPr>
          <w:b/>
          <w:lang w:val="en-GB"/>
        </w:rPr>
        <w:t>x</w:t>
      </w:r>
      <w:r w:rsidRPr="00AA1DEF">
        <w:rPr>
          <w:lang w:val="en-GB"/>
        </w:rPr>
        <w:t xml:space="preserve"> and </w:t>
      </w:r>
      <w:r w:rsidRPr="00AA1DEF">
        <w:rPr>
          <w:b/>
          <w:lang w:val="en-GB"/>
        </w:rPr>
        <w:t>y</w:t>
      </w:r>
      <w:r w:rsidRPr="00AA1DEF">
        <w:rPr>
          <w:lang w:val="en-GB"/>
        </w:rPr>
        <w:t xml:space="preserve"> are the two vectors of length </w:t>
      </w:r>
      <w:r w:rsidRPr="00AA1DEF">
        <w:rPr>
          <w:b/>
          <w:lang w:val="en-GB"/>
        </w:rPr>
        <w:t>n</w:t>
      </w:r>
      <w:r>
        <w:rPr>
          <w:b/>
          <w:lang w:val="en-GB"/>
        </w:rPr>
        <w:t>,</w:t>
      </w:r>
    </w:p>
    <w:p w14:paraId="13520BCF" w14:textId="6A5439EC" w:rsidR="009B4C35" w:rsidRDefault="009B4C35" w:rsidP="009B4C35">
      <w:pPr>
        <w:jc w:val="both"/>
        <w:rPr>
          <w:lang w:val="en-GB"/>
        </w:rPr>
      </w:pPr>
      <w:r w:rsidRPr="00AA1DEF">
        <w:rPr>
          <w:b/>
          <w:lang w:val="en-GB"/>
        </w:rPr>
        <w:t>m</w:t>
      </w:r>
      <w:r w:rsidRPr="00AA1DEF">
        <w:rPr>
          <w:b/>
          <w:vertAlign w:val="subscript"/>
          <w:lang w:val="en-GB"/>
        </w:rPr>
        <w:t>x</w:t>
      </w:r>
      <w:r w:rsidRPr="00AA1DEF">
        <w:rPr>
          <w:lang w:val="en-GB"/>
        </w:rPr>
        <w:t xml:space="preserve"> and </w:t>
      </w:r>
      <w:proofErr w:type="gramStart"/>
      <w:r w:rsidRPr="00AA1DEF">
        <w:rPr>
          <w:b/>
          <w:lang w:val="en-GB"/>
        </w:rPr>
        <w:t>m</w:t>
      </w:r>
      <w:r w:rsidRPr="00AA1DEF">
        <w:rPr>
          <w:b/>
          <w:vertAlign w:val="subscript"/>
          <w:lang w:val="en-GB"/>
        </w:rPr>
        <w:t>y</w:t>
      </w:r>
      <w:proofErr w:type="gramEnd"/>
      <w:r w:rsidRPr="00AA1DEF">
        <w:rPr>
          <w:lang w:val="en-GB"/>
        </w:rPr>
        <w:t xml:space="preserve"> correspond to the means of </w:t>
      </w:r>
      <w:r w:rsidRPr="00AA1DEF">
        <w:rPr>
          <w:b/>
          <w:lang w:val="en-GB"/>
        </w:rPr>
        <w:t>x</w:t>
      </w:r>
      <w:r w:rsidRPr="00AA1DEF">
        <w:rPr>
          <w:lang w:val="en-GB"/>
        </w:rPr>
        <w:t xml:space="preserve"> and </w:t>
      </w:r>
      <w:r w:rsidRPr="00AA1DEF">
        <w:rPr>
          <w:b/>
          <w:lang w:val="en-GB"/>
        </w:rPr>
        <w:t>y</w:t>
      </w:r>
      <w:r w:rsidRPr="00AA1DEF">
        <w:rPr>
          <w:lang w:val="en-GB"/>
        </w:rPr>
        <w:t>, respectively</w:t>
      </w:r>
      <w:r>
        <w:rPr>
          <w:lang w:val="en-GB"/>
        </w:rPr>
        <w:t>;</w:t>
      </w:r>
    </w:p>
    <w:p w14:paraId="0F4FA5EA" w14:textId="48A89D33" w:rsidR="00FF3954" w:rsidRDefault="00FF3954" w:rsidP="00FF3954">
      <w:pPr>
        <w:jc w:val="both"/>
        <w:rPr>
          <w:lang w:val="en-GB"/>
        </w:rPr>
      </w:pPr>
      <w:r w:rsidRPr="00AA1DEF">
        <w:rPr>
          <w:lang w:val="en-GB"/>
        </w:rPr>
        <w:t>The p-value (significance level) of the correlations was determined by calculating the t-value as follows:</w:t>
      </w:r>
    </w:p>
    <w:p w14:paraId="13CDDDB9" w14:textId="47DB7ED4" w:rsidR="00FF3954" w:rsidRPr="00FF3954" w:rsidRDefault="00FF3954" w:rsidP="00FF3954">
      <w:pPr>
        <w:jc w:val="both"/>
        <w:rPr>
          <w:rFonts w:eastAsiaTheme="minorEastAsia"/>
          <w:lang w:val="en-GB"/>
        </w:rPr>
      </w:pPr>
      <m:oMathPara>
        <m:oMath>
          <m:r>
            <w:rPr>
              <w:rFonts w:ascii="Cambria Math" w:hAnsi="Cambria Math"/>
              <w:lang w:val="en-GB"/>
            </w:rPr>
            <m:t>t=</m:t>
          </m:r>
          <m:f>
            <m:fPr>
              <m:ctrlPr>
                <w:rPr>
                  <w:rFonts w:ascii="Cambria Math" w:hAnsi="Cambria Math"/>
                  <w:i/>
                  <w:lang w:val="en-GB"/>
                </w:rPr>
              </m:ctrlPr>
            </m:fPr>
            <m:num>
              <m:r>
                <w:rPr>
                  <w:rFonts w:ascii="Cambria Math" w:hAnsi="Cambria Math"/>
                  <w:lang w:val="en-GB"/>
                </w:rPr>
                <m:t>r</m:t>
              </m:r>
            </m:num>
            <m:den>
              <m:rad>
                <m:radPr>
                  <m:degHide m:val="1"/>
                  <m:ctrlPr>
                    <w:rPr>
                      <w:rFonts w:ascii="Cambria Math" w:hAnsi="Cambria Math"/>
                      <w:i/>
                      <w:lang w:val="en-GB"/>
                    </w:rPr>
                  </m:ctrlPr>
                </m:radPr>
                <m:deg/>
                <m:e>
                  <m:r>
                    <w:rPr>
                      <w:rFonts w:ascii="Cambria Math" w:hAnsi="Cambria Math"/>
                      <w:lang w:val="en-GB"/>
                    </w:rPr>
                    <m:t>1-</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e>
              </m:rad>
            </m:den>
          </m:f>
          <m:rad>
            <m:radPr>
              <m:degHide m:val="1"/>
              <m:ctrlPr>
                <w:rPr>
                  <w:rFonts w:ascii="Cambria Math" w:hAnsi="Cambria Math"/>
                  <w:i/>
                  <w:lang w:val="en-GB"/>
                </w:rPr>
              </m:ctrlPr>
            </m:radPr>
            <m:deg/>
            <m:e>
              <m:r>
                <w:rPr>
                  <w:rFonts w:ascii="Cambria Math" w:hAnsi="Cambria Math"/>
                  <w:lang w:val="en-GB"/>
                </w:rPr>
                <m:t>n-2</m:t>
              </m:r>
            </m:e>
          </m:rad>
        </m:oMath>
      </m:oMathPara>
    </w:p>
    <w:p w14:paraId="4329D8D9" w14:textId="680FEDBC" w:rsidR="009B4C35" w:rsidRPr="009B4C35" w:rsidRDefault="00FF3954" w:rsidP="000F28F1">
      <w:pPr>
        <w:jc w:val="both"/>
        <w:rPr>
          <w:b/>
          <w:bCs/>
          <w:lang w:val="en-GB"/>
        </w:rPr>
      </w:pPr>
      <w:r w:rsidRPr="00AA1DEF">
        <w:rPr>
          <w:rFonts w:eastAsiaTheme="minorEastAsia"/>
          <w:lang w:val="en-GB"/>
        </w:rPr>
        <w:t>The corresponding p-value was determined using t</w:t>
      </w:r>
      <w:r>
        <w:rPr>
          <w:rFonts w:eastAsiaTheme="minorEastAsia"/>
          <w:lang w:val="en-GB"/>
        </w:rPr>
        <w:t xml:space="preserve"> </w:t>
      </w:r>
      <w:r w:rsidRPr="00AA1DEF">
        <w:rPr>
          <w:rFonts w:eastAsiaTheme="minorEastAsia"/>
          <w:lang w:val="en-GB"/>
        </w:rPr>
        <w:t xml:space="preserve">distribution table for n-2 degrees of freedom, confirming the significance of the correlation between a pair of variables if the p-value is less than 5%.  </w:t>
      </w:r>
    </w:p>
    <w:p w14:paraId="24BAE9DF" w14:textId="31AACE5A" w:rsidR="00817DE6" w:rsidRDefault="00817DE6" w:rsidP="000F28F1">
      <w:pPr>
        <w:jc w:val="both"/>
        <w:rPr>
          <w:b/>
          <w:bCs/>
          <w:lang w:val="en-GB"/>
        </w:rPr>
      </w:pPr>
    </w:p>
    <w:p w14:paraId="6C5E1FB6" w14:textId="77777777" w:rsidR="006A37E5" w:rsidRDefault="006A37E5">
      <w:pPr>
        <w:rPr>
          <w:b/>
          <w:bCs/>
          <w:lang w:val="en-GB"/>
        </w:rPr>
      </w:pPr>
      <w:r>
        <w:rPr>
          <w:b/>
          <w:bCs/>
          <w:lang w:val="en-GB"/>
        </w:rPr>
        <w:br w:type="page"/>
      </w:r>
    </w:p>
    <w:p w14:paraId="5BEBCDB2" w14:textId="35B498FE" w:rsidR="00667A97" w:rsidRDefault="00667A97" w:rsidP="00667A97">
      <w:pPr>
        <w:jc w:val="both"/>
        <w:rPr>
          <w:b/>
          <w:bCs/>
          <w:lang w:val="en-GB"/>
        </w:rPr>
      </w:pPr>
      <w:r>
        <w:rPr>
          <w:b/>
          <w:bCs/>
          <w:lang w:val="en-GB"/>
        </w:rPr>
        <w:lastRenderedPageBreak/>
        <w:t xml:space="preserve">2.4. </w:t>
      </w:r>
      <w:r>
        <w:rPr>
          <w:b/>
          <w:bCs/>
          <w:lang w:val="en-GB"/>
        </w:rPr>
        <w:tab/>
        <w:t>Missing data imputation</w:t>
      </w:r>
    </w:p>
    <w:p w14:paraId="15528E06" w14:textId="71F38858" w:rsidR="007F7D79" w:rsidRDefault="007F7D79" w:rsidP="009E2A30">
      <w:pPr>
        <w:ind w:firstLine="708"/>
        <w:jc w:val="both"/>
        <w:rPr>
          <w:rFonts w:cstheme="minorHAnsi"/>
          <w:lang w:val="en-GB"/>
        </w:rPr>
      </w:pPr>
      <w:r w:rsidRPr="00AA1DEF">
        <w:rPr>
          <w:lang w:val="en-GB"/>
        </w:rPr>
        <w:t xml:space="preserve">In the case of missing observations identified – the imputation of incomplete continuous datasets with the use of regularized iterative Principal Component Analysis (PCA) was performed </w:t>
      </w:r>
      <w:r>
        <w:rPr>
          <w:lang w:val="en-GB"/>
        </w:rPr>
        <w:fldChar w:fldCharType="begin" w:fldLock="1"/>
      </w:r>
      <w:r w:rsidR="00183B7F">
        <w:rPr>
          <w:lang w:val="en-GB"/>
        </w:rPr>
        <w:instrText>ADDIN CSL_CITATION {"citationItems":[{"id":"ITEM-1","itemData":{"DOI":"10.1016/S0169-7439(98)00031-8","ISSN":"01697439","abstract":"Calculation schemes for principal component analysis are considered for the case when some matrix elements are missing. Iterative solutions are proposed - either a set of multilinear regression problems or as singular- value decomposition problems with iterative imputation of missing values. If mean values are subtracted from the data matrix, they should also be included in the iteration scheme. Test calculations using Matlab show that the regression approach is somewhat faster than the imputation approach. The results with a substantial amount of missing data are different and superior to those obtained with the naive NIPALS algorithm in common use in chemometries.","author":[{"dropping-particle":"","family":"Grung","given":"Bjørn","non-dropping-particle":"","parse-names":false,"suffix":""},{"dropping-particle":"","family":"Manne","given":"Rolf","non-dropping-particle":"","parse-names":false,"suffix":""}],"container-title":"Chemometrics and Intelligent Laboratory Systems","id":"ITEM-1","issued":{"date-parts":[["1998"]]},"title":"Missing values in principal component analysis","type":"article-journal"},"uris":["http://www.mendeley.com/documents/?uuid=bd17536c-1937-4657-af93-463cb298f1a0"]}],"mendeley":{"formattedCitation":"(Grung &amp; Manne, 1998)","plainTextFormattedCitation":"(Grung &amp; Manne, 1998)","previouslyFormattedCitation":"(Grung &amp; Manne, 1998)"},"properties":{"noteIndex":0},"schema":"https://github.com/citation-style-language/schema/raw/master/csl-citation.json"}</w:instrText>
      </w:r>
      <w:r>
        <w:rPr>
          <w:lang w:val="en-GB"/>
        </w:rPr>
        <w:fldChar w:fldCharType="separate"/>
      </w:r>
      <w:r w:rsidRPr="007F7D79">
        <w:rPr>
          <w:noProof/>
          <w:lang w:val="en-GB"/>
        </w:rPr>
        <w:t>(Grung &amp; Manne, 1998)</w:t>
      </w:r>
      <w:r>
        <w:rPr>
          <w:lang w:val="en-GB"/>
        </w:rPr>
        <w:fldChar w:fldCharType="end"/>
      </w:r>
      <w:r w:rsidRPr="00AA1DEF">
        <w:rPr>
          <w:lang w:val="en-GB"/>
        </w:rPr>
        <w:t>. In the initial step of the algorithm (</w:t>
      </w:r>
      <w:r w:rsidRPr="00AA1DEF">
        <w:rPr>
          <w:rFonts w:cstheme="minorHAnsi"/>
          <w:lang w:val="en-GB"/>
        </w:rPr>
        <w:t>α</w:t>
      </w:r>
      <w:r w:rsidRPr="00AA1DEF">
        <w:rPr>
          <w:lang w:val="en-GB"/>
        </w:rPr>
        <w:t xml:space="preserve"> = 0) – the missing observations are imputed with preparatory value, such as the mean of the variables. The matrix with </w:t>
      </w:r>
      <w:proofErr w:type="spellStart"/>
      <w:r w:rsidRPr="00AA1DEF">
        <w:rPr>
          <w:lang w:val="en-GB"/>
        </w:rPr>
        <w:t>imput</w:t>
      </w:r>
      <w:r w:rsidR="006A37E5">
        <w:rPr>
          <w:lang w:val="en-GB"/>
        </w:rPr>
        <w:t>t</w:t>
      </w:r>
      <w:r w:rsidRPr="00AA1DEF">
        <w:rPr>
          <w:lang w:val="en-GB"/>
        </w:rPr>
        <w:t>ed</w:t>
      </w:r>
      <w:proofErr w:type="spellEnd"/>
      <w:r w:rsidRPr="00AA1DEF">
        <w:rPr>
          <w:lang w:val="en-GB"/>
        </w:rPr>
        <w:t xml:space="preserve"> values is denoted as X</w:t>
      </w:r>
      <w:r w:rsidRPr="00AA1DEF">
        <w:rPr>
          <w:vertAlign w:val="superscript"/>
          <w:lang w:val="en-GB"/>
        </w:rPr>
        <w:t>0</w:t>
      </w:r>
      <w:r w:rsidRPr="00AA1DEF">
        <w:rPr>
          <w:lang w:val="en-GB"/>
        </w:rPr>
        <w:t>. Next, the M</w:t>
      </w:r>
      <w:r w:rsidRPr="00AA1DEF">
        <w:rPr>
          <w:vertAlign w:val="superscript"/>
          <w:lang w:val="en-GB"/>
        </w:rPr>
        <w:t>0</w:t>
      </w:r>
      <w:r w:rsidRPr="00AA1DEF">
        <w:rPr>
          <w:lang w:val="en-GB"/>
        </w:rPr>
        <w:t xml:space="preserve"> matrix is computed, which consist of vectors containing the mean of the X</w:t>
      </w:r>
      <w:r w:rsidRPr="00AA1DEF">
        <w:rPr>
          <w:vertAlign w:val="superscript"/>
          <w:lang w:val="en-GB"/>
        </w:rPr>
        <w:t>0</w:t>
      </w:r>
      <w:r w:rsidRPr="00AA1DEF">
        <w:rPr>
          <w:lang w:val="en-GB"/>
        </w:rPr>
        <w:t xml:space="preserve"> variables, repeated in each row of M</w:t>
      </w:r>
      <w:r w:rsidRPr="00AA1DEF">
        <w:rPr>
          <w:vertAlign w:val="superscript"/>
          <w:lang w:val="en-GB"/>
        </w:rPr>
        <w:t>0</w:t>
      </w:r>
      <w:r w:rsidRPr="00AA1DEF">
        <w:rPr>
          <w:lang w:val="en-GB"/>
        </w:rPr>
        <w:t>. In the second step, the PCA is performed on the completed dataset in the form of Singular Value Decomposition of (X</w:t>
      </w:r>
      <w:r w:rsidRPr="00AA1DEF">
        <w:rPr>
          <w:rFonts w:cstheme="minorHAnsi"/>
          <w:vertAlign w:val="superscript"/>
          <w:lang w:val="en-GB"/>
        </w:rPr>
        <w:t>α</w:t>
      </w:r>
      <w:r w:rsidRPr="00AA1DEF">
        <w:rPr>
          <w:vertAlign w:val="superscript"/>
          <w:lang w:val="en-GB"/>
        </w:rPr>
        <w:t xml:space="preserve">-1 </w:t>
      </w:r>
      <w:r w:rsidRPr="00AA1DEF">
        <w:rPr>
          <w:lang w:val="en-GB"/>
        </w:rPr>
        <w:t>- M</w:t>
      </w:r>
      <w:r w:rsidRPr="00AA1DEF">
        <w:rPr>
          <w:rFonts w:cstheme="minorHAnsi"/>
          <w:vertAlign w:val="superscript"/>
          <w:lang w:val="en-GB"/>
        </w:rPr>
        <w:t>α</w:t>
      </w:r>
      <w:r w:rsidRPr="00AA1DEF">
        <w:rPr>
          <w:vertAlign w:val="superscript"/>
          <w:lang w:val="en-GB"/>
        </w:rPr>
        <w:t>-1</w:t>
      </w:r>
      <w:r w:rsidRPr="00AA1DEF">
        <w:rPr>
          <w:lang w:val="en-GB"/>
        </w:rPr>
        <w:t>) in order to estimate U</w:t>
      </w:r>
      <w:r w:rsidRPr="00AA1DEF">
        <w:rPr>
          <w:rFonts w:cstheme="minorHAnsi"/>
          <w:vertAlign w:val="superscript"/>
          <w:lang w:val="en-GB"/>
        </w:rPr>
        <w:t>α</w:t>
      </w:r>
      <w:r w:rsidRPr="00AA1DEF">
        <w:rPr>
          <w:lang w:val="en-GB"/>
        </w:rPr>
        <w:t>, V</w:t>
      </w:r>
      <w:r w:rsidRPr="00AA1DEF">
        <w:rPr>
          <w:rFonts w:cstheme="minorHAnsi"/>
          <w:vertAlign w:val="superscript"/>
          <w:lang w:val="en-GB"/>
        </w:rPr>
        <w:t>α</w:t>
      </w:r>
      <w:r w:rsidRPr="00AA1DEF">
        <w:rPr>
          <w:rFonts w:cstheme="minorHAnsi"/>
          <w:lang w:val="en-GB"/>
        </w:rPr>
        <w:t>, and (ꓥ</w:t>
      </w:r>
      <w:r w:rsidRPr="00AA1DEF">
        <w:rPr>
          <w:rFonts w:cstheme="minorHAnsi"/>
          <w:vertAlign w:val="superscript"/>
          <w:lang w:val="en-GB"/>
        </w:rPr>
        <w:t>α</w:t>
      </w:r>
      <w:r w:rsidRPr="00AA1DEF">
        <w:rPr>
          <w:rFonts w:cstheme="minorHAnsi"/>
          <w:lang w:val="en-GB"/>
        </w:rPr>
        <w:t>)</w:t>
      </w:r>
      <w:r w:rsidRPr="00AA1DEF">
        <w:rPr>
          <w:rFonts w:cstheme="minorHAnsi"/>
          <w:vertAlign w:val="superscript"/>
          <w:lang w:val="en-GB"/>
        </w:rPr>
        <w:t>1/2</w:t>
      </w:r>
      <w:r w:rsidRPr="00AA1DEF">
        <w:rPr>
          <w:rFonts w:cstheme="minorHAnsi"/>
          <w:lang w:val="en-GB"/>
        </w:rPr>
        <w:t xml:space="preserve"> parameters. While keeping the first F dimensions, the fitted matrix is built as follows:</w:t>
      </w:r>
    </w:p>
    <w:p w14:paraId="2F41892A" w14:textId="77777777" w:rsidR="007F7D79" w:rsidRPr="00AA1DEF" w:rsidRDefault="00C368BA" w:rsidP="007F7D79">
      <w:pPr>
        <w:jc w:val="both"/>
        <w:rPr>
          <w:rFonts w:eastAsiaTheme="minorEastAsia"/>
          <w:lang w:val="en-GB"/>
        </w:rPr>
      </w:pPr>
      <m:oMathPara>
        <m:oMath>
          <m:sSubSup>
            <m:sSubSupPr>
              <m:ctrlPr>
                <w:rPr>
                  <w:rFonts w:ascii="Cambria Math" w:hAnsi="Cambria Math"/>
                  <w:i/>
                  <w:lang w:val="en-GB"/>
                </w:rPr>
              </m:ctrlPr>
            </m:sSubSupPr>
            <m:e>
              <m:acc>
                <m:accPr>
                  <m:ctrlPr>
                    <w:rPr>
                      <w:rFonts w:ascii="Cambria Math" w:hAnsi="Cambria Math"/>
                      <w:i/>
                      <w:lang w:val="en-GB"/>
                    </w:rPr>
                  </m:ctrlPr>
                </m:accPr>
                <m:e>
                  <m:r>
                    <w:rPr>
                      <w:rFonts w:ascii="Cambria Math" w:hAnsi="Cambria Math"/>
                      <w:lang w:val="en-GB"/>
                    </w:rPr>
                    <m:t>x</m:t>
                  </m:r>
                </m:e>
              </m:acc>
            </m:e>
            <m:sub>
              <m:r>
                <w:rPr>
                  <w:rFonts w:ascii="Cambria Math" w:hAnsi="Cambria Math"/>
                  <w:lang w:val="en-GB"/>
                </w:rPr>
                <m:t>ⅈj</m:t>
              </m:r>
            </m:sub>
            <m:sup>
              <m:r>
                <w:rPr>
                  <w:rFonts w:ascii="Cambria Math" w:hAnsi="Cambria Math"/>
                  <w:lang w:val="en-GB"/>
                </w:rPr>
                <m:t>α</m:t>
              </m:r>
            </m:sup>
          </m:sSubSup>
          <m:r>
            <w:rPr>
              <w:rFonts w:ascii="Cambria Math" w:hAnsi="Cambria Math"/>
              <w:lang w:val="en-GB"/>
            </w:rPr>
            <m:t>=</m:t>
          </m:r>
          <m:nary>
            <m:naryPr>
              <m:chr m:val="∑"/>
              <m:limLoc m:val="undOvr"/>
              <m:grow m:val="1"/>
              <m:ctrlPr>
                <w:rPr>
                  <w:rFonts w:ascii="Cambria Math" w:hAnsi="Cambria Math"/>
                  <w:i/>
                  <w:lang w:val="en-GB"/>
                </w:rPr>
              </m:ctrlPr>
            </m:naryPr>
            <m:sub>
              <m:r>
                <w:rPr>
                  <w:rFonts w:ascii="Cambria Math" w:hAnsi="Cambria Math"/>
                  <w:lang w:val="en-GB"/>
                </w:rPr>
                <m:t>f=1</m:t>
              </m:r>
            </m:sub>
            <m:sup>
              <m:r>
                <w:rPr>
                  <w:rFonts w:ascii="Cambria Math" w:hAnsi="Cambria Math"/>
                  <w:lang w:val="en-GB"/>
                </w:rPr>
                <m:t>F</m:t>
              </m:r>
            </m:sup>
            <m:e>
              <m:d>
                <m:dPr>
                  <m:ctrlPr>
                    <w:rPr>
                      <w:rFonts w:ascii="Cambria Math" w:hAnsi="Cambria Math"/>
                      <w:i/>
                      <w:lang w:val="en-GB"/>
                    </w:rPr>
                  </m:ctrlPr>
                </m:dPr>
                <m:e>
                  <m:rad>
                    <m:radPr>
                      <m:degHide m:val="1"/>
                      <m:ctrlPr>
                        <w:rPr>
                          <w:rFonts w:ascii="Cambria Math" w:hAnsi="Cambria Math"/>
                          <w:i/>
                          <w:lang w:val="en-GB"/>
                        </w:rPr>
                      </m:ctrlPr>
                    </m:radPr>
                    <m:deg/>
                    <m:e>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f</m:t>
                          </m:r>
                        </m:sub>
                        <m:sup>
                          <m:r>
                            <w:rPr>
                              <w:rFonts w:ascii="Cambria Math" w:hAnsi="Cambria Math"/>
                              <w:lang w:val="en-GB"/>
                            </w:rPr>
                            <m:t>α</m:t>
                          </m:r>
                        </m:sup>
                      </m:sSubSup>
                    </m:e>
                  </m:rad>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acc>
                                    <m:accPr>
                                      <m:ctrlPr>
                                        <w:rPr>
                                          <w:rFonts w:ascii="Cambria Math" w:hAnsi="Cambria Math"/>
                                          <w:i/>
                                          <w:lang w:val="en-GB"/>
                                        </w:rPr>
                                      </m:ctrlPr>
                                    </m:accPr>
                                    <m:e>
                                      <m:r>
                                        <w:rPr>
                                          <w:rFonts w:ascii="Cambria Math" w:hAnsi="Cambria Math"/>
                                          <w:lang w:val="en-GB"/>
                                        </w:rPr>
                                        <m:t>σ</m:t>
                                      </m:r>
                                    </m:e>
                                  </m:acc>
                                </m:e>
                                <m:sup>
                                  <m:r>
                                    <w:rPr>
                                      <w:rFonts w:ascii="Cambria Math" w:hAnsi="Cambria Math"/>
                                      <w:lang w:val="en-GB"/>
                                    </w:rPr>
                                    <m:t>2</m:t>
                                  </m:r>
                                </m:sup>
                              </m:sSup>
                            </m:e>
                          </m:d>
                        </m:e>
                        <m:sup>
                          <m:r>
                            <w:rPr>
                              <w:rFonts w:ascii="Cambria Math" w:hAnsi="Cambria Math"/>
                              <w:lang w:val="en-GB"/>
                            </w:rPr>
                            <m:t>α</m:t>
                          </m:r>
                        </m:sup>
                      </m:sSup>
                    </m:num>
                    <m:den>
                      <m:rad>
                        <m:radPr>
                          <m:degHide m:val="1"/>
                          <m:ctrlPr>
                            <w:rPr>
                              <w:rFonts w:ascii="Cambria Math" w:hAnsi="Cambria Math"/>
                              <w:i/>
                              <w:lang w:val="en-GB"/>
                            </w:rPr>
                          </m:ctrlPr>
                        </m:radPr>
                        <m:deg/>
                        <m:e>
                          <m:sSubSup>
                            <m:sSubSupPr>
                              <m:ctrlPr>
                                <w:rPr>
                                  <w:rFonts w:ascii="Cambria Math" w:hAnsi="Cambria Math"/>
                                  <w:i/>
                                  <w:lang w:val="en-GB"/>
                                </w:rPr>
                              </m:ctrlPr>
                            </m:sSubSupPr>
                            <m:e>
                              <m:r>
                                <w:rPr>
                                  <w:rFonts w:ascii="Cambria Math" w:hAnsi="Cambria Math"/>
                                  <w:lang w:val="en-GB"/>
                                </w:rPr>
                                <m:t>λ</m:t>
                              </m:r>
                            </m:e>
                            <m:sub>
                              <m:r>
                                <w:rPr>
                                  <w:rFonts w:ascii="Cambria Math" w:hAnsi="Cambria Math"/>
                                  <w:lang w:val="en-GB"/>
                                </w:rPr>
                                <m:t>f</m:t>
                              </m:r>
                            </m:sub>
                            <m:sup>
                              <m:r>
                                <w:rPr>
                                  <w:rFonts w:ascii="Cambria Math" w:hAnsi="Cambria Math"/>
                                  <w:lang w:val="en-GB"/>
                                </w:rPr>
                                <m:t>α</m:t>
                              </m:r>
                            </m:sup>
                          </m:sSubSup>
                        </m:e>
                      </m:rad>
                    </m:den>
                  </m:f>
                </m:e>
              </m:d>
              <m:sSubSup>
                <m:sSubSupPr>
                  <m:ctrlPr>
                    <w:rPr>
                      <w:rFonts w:ascii="Cambria Math" w:hAnsi="Cambria Math"/>
                      <w:i/>
                      <w:lang w:val="en-GB"/>
                    </w:rPr>
                  </m:ctrlPr>
                </m:sSubSupPr>
                <m:e>
                  <m:r>
                    <w:rPr>
                      <w:rFonts w:ascii="Cambria Math" w:hAnsi="Cambria Math"/>
                      <w:lang w:val="en-GB"/>
                    </w:rPr>
                    <m:t>u</m:t>
                  </m:r>
                </m:e>
                <m:sub>
                  <m:r>
                    <w:rPr>
                      <w:rFonts w:ascii="Cambria Math" w:hAnsi="Cambria Math"/>
                      <w:lang w:val="en-GB"/>
                    </w:rPr>
                    <m:t>ⅈf</m:t>
                  </m:r>
                </m:sub>
                <m:sup>
                  <m:r>
                    <w:rPr>
                      <w:rFonts w:ascii="Cambria Math" w:hAnsi="Cambria Math"/>
                      <w:lang w:val="en-GB"/>
                    </w:rPr>
                    <m:t>α</m:t>
                  </m:r>
                </m:sup>
              </m:sSubSup>
              <m:sSubSup>
                <m:sSubSupPr>
                  <m:ctrlPr>
                    <w:rPr>
                      <w:rFonts w:ascii="Cambria Math" w:hAnsi="Cambria Math"/>
                      <w:i/>
                      <w:lang w:val="en-GB"/>
                    </w:rPr>
                  </m:ctrlPr>
                </m:sSubSupPr>
                <m:e>
                  <m:r>
                    <w:rPr>
                      <w:rFonts w:ascii="Cambria Math" w:hAnsi="Cambria Math"/>
                      <w:lang w:val="en-GB"/>
                    </w:rPr>
                    <m:t>v</m:t>
                  </m:r>
                </m:e>
                <m:sub>
                  <m:r>
                    <w:rPr>
                      <w:rFonts w:ascii="Cambria Math" w:hAnsi="Cambria Math"/>
                      <w:lang w:val="en-GB"/>
                    </w:rPr>
                    <m:t>jf</m:t>
                  </m:r>
                </m:sub>
                <m:sup>
                  <m:r>
                    <w:rPr>
                      <w:rFonts w:ascii="Cambria Math" w:hAnsi="Cambria Math"/>
                      <w:lang w:val="en-GB"/>
                    </w:rPr>
                    <m:t>α</m:t>
                  </m:r>
                </m:sup>
              </m:sSubSup>
            </m:e>
          </m:nary>
        </m:oMath>
      </m:oMathPara>
    </w:p>
    <w:p w14:paraId="1A21F9E8" w14:textId="247CF65A" w:rsidR="007F7D79" w:rsidRDefault="007F7D79" w:rsidP="007F7D79">
      <w:pPr>
        <w:jc w:val="both"/>
        <w:rPr>
          <w:lang w:val="en-GB"/>
        </w:rPr>
      </w:pPr>
      <w:r w:rsidRPr="00AA1DEF">
        <w:rPr>
          <w:lang w:val="en-GB"/>
        </w:rPr>
        <w:t>where the variance of the noise is estimated as:</w:t>
      </w:r>
    </w:p>
    <w:p w14:paraId="43DF10A1" w14:textId="77777777" w:rsidR="007F7D79" w:rsidRPr="00AA1DEF" w:rsidRDefault="00C368BA" w:rsidP="007F7D79">
      <w:pPr>
        <w:jc w:val="both"/>
        <w:rPr>
          <w:rFonts w:eastAsiaTheme="minorEastAsia"/>
          <w:lang w:val="en-GB"/>
        </w:rPr>
      </w:pPr>
      <m:oMathPara>
        <m:oMath>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acc>
                        <m:accPr>
                          <m:ctrlPr>
                            <w:rPr>
                              <w:rFonts w:ascii="Cambria Math" w:hAnsi="Cambria Math"/>
                              <w:i/>
                              <w:lang w:val="en-GB"/>
                            </w:rPr>
                          </m:ctrlPr>
                        </m:accPr>
                        <m:e>
                          <m:r>
                            <w:rPr>
                              <w:rFonts w:ascii="Cambria Math" w:hAnsi="Cambria Math"/>
                              <w:lang w:val="en-GB"/>
                            </w:rPr>
                            <m:t>σ</m:t>
                          </m:r>
                        </m:e>
                      </m:acc>
                    </m:e>
                    <m:sup>
                      <m:r>
                        <w:rPr>
                          <w:rFonts w:ascii="Cambria Math" w:hAnsi="Cambria Math"/>
                          <w:lang w:val="en-GB"/>
                        </w:rPr>
                        <m:t>2</m:t>
                      </m:r>
                    </m:sup>
                  </m:sSup>
                </m:e>
              </m:d>
            </m:e>
            <m:sup>
              <m:r>
                <w:rPr>
                  <w:rFonts w:ascii="Cambria Math" w:hAnsi="Cambria Math"/>
                  <w:lang w:val="en-GB"/>
                </w:rPr>
                <m:t>α</m:t>
              </m:r>
            </m:sup>
          </m:sSup>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d>
                    <m:dPr>
                      <m:begChr m:val="‖"/>
                      <m:endChr m:val="‖"/>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α-1</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α</m:t>
                          </m:r>
                        </m:sup>
                      </m:sSup>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Λ</m:t>
                                  </m:r>
                                </m:e>
                                <m:sup>
                                  <m:r>
                                    <w:rPr>
                                      <w:rFonts w:ascii="Cambria Math" w:hAnsi="Cambria Math"/>
                                      <w:lang w:val="en-GB"/>
                                    </w:rPr>
                                    <m:t>α</m:t>
                                  </m:r>
                                </m:sup>
                              </m:sSup>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sup>
                      </m:sSup>
                      <m:sSup>
                        <m:sSupPr>
                          <m:ctrlPr>
                            <w:rPr>
                              <w:rFonts w:ascii="Cambria Math" w:hAnsi="Cambria Math"/>
                              <w:i/>
                              <w:lang w:val="en-GB"/>
                            </w:rPr>
                          </m:ctrlPr>
                        </m:sSupPr>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α</m:t>
                                  </m:r>
                                </m:sup>
                              </m:sSup>
                            </m:e>
                          </m:d>
                        </m:e>
                        <m:sup>
                          <m:r>
                            <w:rPr>
                              <w:rFonts w:ascii="Cambria Math" w:hAnsi="Cambria Math"/>
                              <w:lang w:val="en-GB"/>
                            </w:rPr>
                            <m:t>T</m:t>
                          </m:r>
                        </m:sup>
                      </m:sSup>
                    </m:e>
                  </m:d>
                </m:e>
                <m:sup>
                  <m:r>
                    <w:rPr>
                      <w:rFonts w:ascii="Cambria Math" w:hAnsi="Cambria Math"/>
                      <w:lang w:val="en-GB"/>
                    </w:rPr>
                    <m:t>2</m:t>
                  </m:r>
                </m:sup>
              </m:sSup>
            </m:num>
            <m:den>
              <m:r>
                <w:rPr>
                  <w:rFonts w:ascii="Cambria Math" w:hAnsi="Cambria Math"/>
                  <w:lang w:val="en-GB"/>
                </w:rPr>
                <m:t>np-nF-pF+</m:t>
              </m:r>
              <m:sSup>
                <m:sSupPr>
                  <m:ctrlPr>
                    <w:rPr>
                      <w:rFonts w:ascii="Cambria Math" w:hAnsi="Cambria Math"/>
                      <w:i/>
                      <w:lang w:val="en-GB"/>
                    </w:rPr>
                  </m:ctrlPr>
                </m:sSupPr>
                <m:e>
                  <m:r>
                    <w:rPr>
                      <w:rFonts w:ascii="Cambria Math" w:hAnsi="Cambria Math"/>
                      <w:lang w:val="en-GB"/>
                    </w:rPr>
                    <m:t>F</m:t>
                  </m:r>
                </m:e>
                <m:sup>
                  <m:r>
                    <w:rPr>
                      <w:rFonts w:ascii="Cambria Math" w:hAnsi="Cambria Math"/>
                      <w:lang w:val="en-GB"/>
                    </w:rPr>
                    <m:t>2</m:t>
                  </m:r>
                </m:sup>
              </m:sSup>
            </m:den>
          </m:f>
        </m:oMath>
      </m:oMathPara>
    </w:p>
    <w:p w14:paraId="4946599E" w14:textId="77777777" w:rsidR="000208E8" w:rsidRPr="00AA1DEF" w:rsidRDefault="000208E8" w:rsidP="000208E8">
      <w:pPr>
        <w:jc w:val="both"/>
        <w:rPr>
          <w:rFonts w:eastAsiaTheme="minorEastAsia"/>
          <w:lang w:val="en-GB"/>
        </w:rPr>
      </w:pPr>
      <w:r w:rsidRPr="00AA1DEF">
        <w:rPr>
          <w:rFonts w:eastAsiaTheme="minorEastAsia"/>
          <w:lang w:val="en-GB"/>
        </w:rPr>
        <w:t>hence, the obtained imputed dataset is defined as:</w:t>
      </w:r>
    </w:p>
    <w:p w14:paraId="4297FEDC" w14:textId="77777777" w:rsidR="000208E8" w:rsidRPr="00AA1DEF" w:rsidRDefault="00C368BA" w:rsidP="000208E8">
      <w:pPr>
        <w:jc w:val="center"/>
        <w:rPr>
          <w:rFonts w:eastAsiaTheme="minorEastAsia"/>
          <w:lang w:val="en-GB"/>
        </w:rPr>
      </w:pPr>
      <m:oMathPara>
        <m:oMath>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α</m:t>
              </m:r>
            </m:sup>
          </m:sSup>
          <m:r>
            <w:rPr>
              <w:rFonts w:ascii="Cambria Math" w:eastAsiaTheme="minorEastAsia" w:hAnsi="Cambria Math"/>
              <w:lang w:val="en-GB"/>
            </w:rPr>
            <m:t>=W*X+</m:t>
          </m:r>
          <m:d>
            <m:dPr>
              <m:ctrlPr>
                <w:rPr>
                  <w:rFonts w:ascii="Cambria Math" w:eastAsiaTheme="minorEastAsia" w:hAnsi="Cambria Math"/>
                  <w:i/>
                  <w:lang w:val="en-GB"/>
                </w:rPr>
              </m:ctrlPr>
            </m:dPr>
            <m:e>
              <m:r>
                <w:rPr>
                  <w:rFonts w:ascii="Cambria Math" w:eastAsiaTheme="minorEastAsia" w:hAnsi="Cambria Math"/>
                  <w:lang w:val="en-GB"/>
                </w:rPr>
                <m:t>1-W</m:t>
              </m:r>
            </m:e>
          </m:d>
          <m:r>
            <w:rPr>
              <w:rFonts w:ascii="Cambria Math" w:eastAsiaTheme="minorEastAsia" w:hAnsi="Cambria Math"/>
              <w:lang w:val="en-GB"/>
            </w:rPr>
            <m:t>*</m:t>
          </m:r>
          <m:sSup>
            <m:sSupPr>
              <m:ctrlPr>
                <w:rPr>
                  <w:rFonts w:ascii="Cambria Math" w:eastAsiaTheme="minorEastAsia" w:hAnsi="Cambria Math"/>
                  <w:i/>
                  <w:lang w:val="en-GB"/>
                </w:rPr>
              </m:ctrlPr>
            </m:sSupPr>
            <m:e>
              <m:acc>
                <m:accPr>
                  <m:ctrlPr>
                    <w:rPr>
                      <w:rFonts w:ascii="Cambria Math" w:eastAsiaTheme="minorEastAsia" w:hAnsi="Cambria Math"/>
                      <w:i/>
                      <w:lang w:val="en-GB"/>
                    </w:rPr>
                  </m:ctrlPr>
                </m:accPr>
                <m:e>
                  <m:r>
                    <w:rPr>
                      <w:rFonts w:ascii="Cambria Math" w:eastAsiaTheme="minorEastAsia" w:hAnsi="Cambria Math"/>
                      <w:lang w:val="en-GB"/>
                    </w:rPr>
                    <m:t>X</m:t>
                  </m:r>
                </m:e>
              </m:acc>
            </m:e>
            <m:sup>
              <m:r>
                <w:rPr>
                  <w:rFonts w:ascii="Cambria Math" w:eastAsiaTheme="minorEastAsia" w:hAnsi="Cambria Math"/>
                  <w:lang w:val="en-GB"/>
                </w:rPr>
                <m:t>α</m:t>
              </m:r>
            </m:sup>
          </m:sSup>
        </m:oMath>
      </m:oMathPara>
    </w:p>
    <w:p w14:paraId="0E42D297" w14:textId="77777777" w:rsidR="000208E8" w:rsidRPr="00AA1DEF" w:rsidRDefault="000208E8" w:rsidP="000208E8">
      <w:pPr>
        <w:jc w:val="both"/>
        <w:rPr>
          <w:rFonts w:eastAsiaTheme="minorEastAsia"/>
          <w:lang w:val="en-GB"/>
        </w:rPr>
      </w:pPr>
      <w:r w:rsidRPr="00AA1DEF">
        <w:rPr>
          <w:rFonts w:eastAsiaTheme="minorEastAsia"/>
          <w:lang w:val="en-GB"/>
        </w:rPr>
        <w:t>where 1 is an all-ones matrix of size n x p.</w:t>
      </w:r>
    </w:p>
    <w:p w14:paraId="351573C9" w14:textId="77777777" w:rsidR="00D85FCF" w:rsidRPr="00AA1DEF" w:rsidRDefault="00D85FCF" w:rsidP="009E2A30">
      <w:pPr>
        <w:ind w:firstLine="708"/>
        <w:jc w:val="both"/>
        <w:rPr>
          <w:rFonts w:eastAsiaTheme="minorEastAsia"/>
          <w:lang w:val="en-GB"/>
        </w:rPr>
      </w:pPr>
      <w:r w:rsidRPr="00AA1DEF">
        <w:rPr>
          <w:rFonts w:eastAsiaTheme="minorEastAsia"/>
          <w:lang w:val="en-GB"/>
        </w:rPr>
        <w:t>As a result, the original values are preserved, and the missing data is replaced with the regularized fitted values. M</w:t>
      </w:r>
      <w:r w:rsidRPr="00AA1DEF">
        <w:rPr>
          <w:rFonts w:eastAsiaTheme="minorEastAsia" w:cstheme="minorHAnsi"/>
          <w:vertAlign w:val="superscript"/>
          <w:lang w:val="en-GB"/>
        </w:rPr>
        <w:t>α</w:t>
      </w:r>
      <w:r w:rsidRPr="00AA1DEF">
        <w:rPr>
          <w:rFonts w:eastAsiaTheme="minorEastAsia"/>
          <w:lang w:val="en-GB"/>
        </w:rPr>
        <w:t xml:space="preserve"> is then updated from the newly completed matrix. The above steps are repeated as far as the change in the imputed matrix goes below a threshold:</w:t>
      </w:r>
    </w:p>
    <w:p w14:paraId="29C2DED5" w14:textId="77777777" w:rsidR="00D85FCF" w:rsidRPr="00AA1DEF" w:rsidRDefault="00C368BA" w:rsidP="00D85FCF">
      <w:pPr>
        <w:jc w:val="both"/>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ij</m:t>
              </m:r>
            </m:sub>
          </m:sSub>
          <m:sSup>
            <m:sSupPr>
              <m:ctrlPr>
                <w:rPr>
                  <w:rFonts w:ascii="Cambria Math" w:eastAsiaTheme="minorEastAsia" w:hAnsi="Cambria Math"/>
                  <w:i/>
                  <w:lang w:val="en-GB"/>
                </w:rPr>
              </m:ctrlPr>
            </m:sSupPr>
            <m:e>
              <m:d>
                <m:dPr>
                  <m:ctrlPr>
                    <w:rPr>
                      <w:rFonts w:ascii="Cambria Math" w:eastAsiaTheme="minorEastAsia" w:hAnsi="Cambria Math"/>
                      <w:i/>
                      <w:lang w:val="en-GB"/>
                    </w:rPr>
                  </m:ctrlPr>
                </m:dPr>
                <m:e>
                  <m:sSubSup>
                    <m:sSubSupPr>
                      <m:ctrlPr>
                        <w:rPr>
                          <w:rFonts w:ascii="Cambria Math" w:eastAsiaTheme="minorEastAsia" w:hAnsi="Cambria Math"/>
                          <w:i/>
                          <w:lang w:val="en-GB"/>
                        </w:rPr>
                      </m:ctrlPr>
                    </m:sSubSupPr>
                    <m:e>
                      <m:acc>
                        <m:accPr>
                          <m:ctrlPr>
                            <w:rPr>
                              <w:rFonts w:ascii="Cambria Math" w:eastAsiaTheme="minorEastAsia" w:hAnsi="Cambria Math"/>
                              <w:i/>
                              <w:lang w:val="en-GB"/>
                            </w:rPr>
                          </m:ctrlPr>
                        </m:accPr>
                        <m:e>
                          <m:r>
                            <w:rPr>
                              <w:rFonts w:ascii="Cambria Math" w:eastAsiaTheme="minorEastAsia" w:hAnsi="Cambria Math"/>
                              <w:lang w:val="en-GB"/>
                            </w:rPr>
                            <m:t>x</m:t>
                          </m:r>
                        </m:e>
                      </m:acc>
                    </m:e>
                    <m:sub>
                      <m:r>
                        <w:rPr>
                          <w:rFonts w:ascii="Cambria Math" w:eastAsiaTheme="minorEastAsia" w:hAnsi="Cambria Math"/>
                          <w:lang w:val="en-GB"/>
                        </w:rPr>
                        <m:t>ⅈj</m:t>
                      </m:r>
                    </m:sub>
                    <m:sup>
                      <m:r>
                        <w:rPr>
                          <w:rFonts w:ascii="Cambria Math" w:eastAsiaTheme="minorEastAsia" w:hAnsi="Cambria Math"/>
                          <w:lang w:val="en-GB"/>
                        </w:rPr>
                        <m:t>α-1</m:t>
                      </m:r>
                    </m:sup>
                  </m:sSubSup>
                  <m:r>
                    <w:rPr>
                      <w:rFonts w:ascii="Cambria Math" w:eastAsiaTheme="minorEastAsia" w:hAnsi="Cambria Math"/>
                      <w:lang w:val="en-GB"/>
                    </w:rPr>
                    <m:t>-</m:t>
                  </m:r>
                  <m:sSubSup>
                    <m:sSubSupPr>
                      <m:ctrlPr>
                        <w:rPr>
                          <w:rFonts w:ascii="Cambria Math" w:eastAsiaTheme="minorEastAsia" w:hAnsi="Cambria Math"/>
                          <w:i/>
                          <w:lang w:val="en-GB"/>
                        </w:rPr>
                      </m:ctrlPr>
                    </m:sSubSupPr>
                    <m:e>
                      <m:acc>
                        <m:accPr>
                          <m:ctrlPr>
                            <w:rPr>
                              <w:rFonts w:ascii="Cambria Math" w:eastAsiaTheme="minorEastAsia" w:hAnsi="Cambria Math"/>
                              <w:i/>
                              <w:lang w:val="en-GB"/>
                            </w:rPr>
                          </m:ctrlPr>
                        </m:accPr>
                        <m:e>
                          <m:r>
                            <w:rPr>
                              <w:rFonts w:ascii="Cambria Math" w:eastAsiaTheme="minorEastAsia" w:hAnsi="Cambria Math"/>
                              <w:lang w:val="en-GB"/>
                            </w:rPr>
                            <m:t>x</m:t>
                          </m:r>
                        </m:e>
                      </m:acc>
                    </m:e>
                    <m:sub>
                      <m:r>
                        <w:rPr>
                          <w:rFonts w:ascii="Cambria Math" w:eastAsiaTheme="minorEastAsia" w:hAnsi="Cambria Math"/>
                          <w:lang w:val="en-GB"/>
                        </w:rPr>
                        <m:t>ⅈj</m:t>
                      </m:r>
                    </m:sub>
                    <m:sup>
                      <m:r>
                        <w:rPr>
                          <w:rFonts w:ascii="Cambria Math" w:eastAsiaTheme="minorEastAsia" w:hAnsi="Cambria Math"/>
                          <w:lang w:val="en-GB"/>
                        </w:rPr>
                        <m:t>α</m:t>
                      </m:r>
                    </m:sup>
                  </m:sSubSup>
                </m:e>
              </m:d>
            </m:e>
            <m:sup>
              <m:r>
                <w:rPr>
                  <w:rFonts w:ascii="Cambria Math" w:eastAsiaTheme="minorEastAsia" w:hAnsi="Cambria Math"/>
                  <w:lang w:val="en-GB"/>
                </w:rPr>
                <m:t>2</m:t>
              </m:r>
            </m:sup>
          </m:sSup>
          <m:r>
            <w:rPr>
              <w:rFonts w:ascii="Cambria Math" w:eastAsiaTheme="minorEastAsia" w:hAnsi="Cambria Math"/>
              <w:lang w:val="en-GB"/>
            </w:rPr>
            <m:t>≤ε</m:t>
          </m:r>
        </m:oMath>
      </m:oMathPara>
    </w:p>
    <w:p w14:paraId="1D164198" w14:textId="7F9CADD3" w:rsidR="001F33C0" w:rsidRPr="00AA1DEF" w:rsidRDefault="001F33C0" w:rsidP="001F33C0">
      <w:pPr>
        <w:jc w:val="both"/>
        <w:rPr>
          <w:rFonts w:eastAsiaTheme="minorEastAsia"/>
          <w:lang w:val="en-GB"/>
        </w:rPr>
      </w:pPr>
      <w:r>
        <w:rPr>
          <w:rFonts w:eastAsiaTheme="minorEastAsia"/>
          <w:lang w:val="en-GB"/>
        </w:rPr>
        <w:t>w</w:t>
      </w:r>
      <w:r w:rsidRPr="00AA1DEF">
        <w:rPr>
          <w:rFonts w:eastAsiaTheme="minorEastAsia"/>
          <w:lang w:val="en-GB"/>
        </w:rPr>
        <w:t xml:space="preserve">ith </w:t>
      </w:r>
      <m:oMath>
        <m:r>
          <w:rPr>
            <w:rFonts w:ascii="Cambria Math" w:eastAsiaTheme="minorEastAsia" w:hAnsi="Cambria Math"/>
            <w:lang w:val="en-GB"/>
          </w:rPr>
          <m:t>ε</m:t>
        </m:r>
      </m:oMath>
      <w:r w:rsidRPr="00AA1DEF">
        <w:rPr>
          <w:rFonts w:eastAsiaTheme="minorEastAsia"/>
          <w:lang w:val="en-GB"/>
        </w:rPr>
        <w:t xml:space="preserve"> equal to, for example, 10</w:t>
      </w:r>
      <w:r w:rsidRPr="00AA1DEF">
        <w:rPr>
          <w:rFonts w:eastAsiaTheme="minorEastAsia"/>
          <w:vertAlign w:val="superscript"/>
          <w:lang w:val="en-GB"/>
        </w:rPr>
        <w:t>-7</w:t>
      </w:r>
      <w:r w:rsidRPr="00AA1DEF">
        <w:rPr>
          <w:rFonts w:eastAsiaTheme="minorEastAsia"/>
          <w:lang w:val="en-GB"/>
        </w:rPr>
        <w:t xml:space="preserve">. </w:t>
      </w:r>
    </w:p>
    <w:p w14:paraId="42A7AC98" w14:textId="072D98E8" w:rsidR="00D85FCF" w:rsidRPr="00AA1DEF" w:rsidRDefault="007A7406" w:rsidP="00D85FCF">
      <w:pPr>
        <w:jc w:val="both"/>
        <w:rPr>
          <w:rFonts w:eastAsiaTheme="minorEastAsia"/>
          <w:lang w:val="en-GB"/>
        </w:rPr>
      </w:pPr>
      <w:r w:rsidRPr="007A7406">
        <w:rPr>
          <w:rFonts w:eastAsiaTheme="minorEastAsia"/>
          <w:lang w:val="en-GB"/>
        </w:rPr>
        <w:t xml:space="preserve">The output of the above algorithm was used as input for the Linear Discriminant Analysis.  </w:t>
      </w:r>
    </w:p>
    <w:p w14:paraId="2F01774B" w14:textId="0686A459" w:rsidR="00D85FCF" w:rsidRDefault="00D85FCF" w:rsidP="00D85FCF">
      <w:pPr>
        <w:jc w:val="both"/>
        <w:rPr>
          <w:rFonts w:eastAsiaTheme="minorEastAsia"/>
          <w:lang w:val="en-GB"/>
        </w:rPr>
      </w:pPr>
    </w:p>
    <w:p w14:paraId="56F89D5D" w14:textId="326D4666" w:rsidR="003B1C89" w:rsidRDefault="003B1C89" w:rsidP="003B1C89">
      <w:pPr>
        <w:jc w:val="both"/>
        <w:rPr>
          <w:b/>
          <w:bCs/>
          <w:lang w:val="en-GB"/>
        </w:rPr>
      </w:pPr>
      <w:r>
        <w:rPr>
          <w:b/>
          <w:bCs/>
          <w:lang w:val="en-GB"/>
        </w:rPr>
        <w:t xml:space="preserve">2.5. </w:t>
      </w:r>
      <w:r>
        <w:rPr>
          <w:b/>
          <w:bCs/>
          <w:lang w:val="en-GB"/>
        </w:rPr>
        <w:tab/>
        <w:t>Dimensionality reduction</w:t>
      </w:r>
    </w:p>
    <w:p w14:paraId="5A22DD0A" w14:textId="545051C7" w:rsidR="00183B7F" w:rsidRDefault="00183B7F" w:rsidP="009E2A30">
      <w:pPr>
        <w:ind w:firstLine="708"/>
        <w:jc w:val="both"/>
        <w:rPr>
          <w:lang w:val="en-GB"/>
        </w:rPr>
      </w:pPr>
      <w:r w:rsidRPr="00AA1DEF">
        <w:rPr>
          <w:lang w:val="en-GB"/>
        </w:rPr>
        <w:t xml:space="preserve">In a pre-processing step for classification modeling, a dimensionality reduction linear transformation technique was used in order to project an n-dimensional dataset of variables onto a lower-dimensional subspace k, where k </w:t>
      </w:r>
      <w:r w:rsidRPr="00AA1DEF">
        <w:rPr>
          <w:rFonts w:cstheme="minorHAnsi"/>
          <w:lang w:val="en-GB"/>
        </w:rPr>
        <w:t>≤</w:t>
      </w:r>
      <w:r w:rsidRPr="00AA1DEF">
        <w:rPr>
          <w:lang w:val="en-GB"/>
        </w:rPr>
        <w:t xml:space="preserve"> n - 1. This method emphasises the class-separability of observations, which leads to avoidance of overfitting and reduction of computational effort </w:t>
      </w:r>
      <w:r>
        <w:rPr>
          <w:lang w:val="en-GB"/>
        </w:rPr>
        <w:fldChar w:fldCharType="begin" w:fldLock="1"/>
      </w:r>
      <w:r>
        <w:rPr>
          <w:lang w:val="en-GB"/>
        </w:rPr>
        <w:instrText>ADDIN CSL_CITATION {"citationItems":[{"id":"ITEM-1","itemData":{"ISSN":"15337928","abstract":"Linear dimensionality reduction methods are a cornerstone of analyzing high dimensional data, due to their simple geometric interpretations and typically attractive computational properties. These methods capture many data features of interest, such as covariance, dynamical structure, correlation between data sets, input-output relationships, and margin between data classes. Methods have been developed with a variety of names and motivations in many fields, and perhaps as a result the connections between all these methods have not been highlighted. Here we survey methods from this disparate literature as optimization programs over matrix manifolds. We discuss principal component analysis, factor analysis, linear multidimensional scaling, Fisher's linear discriminant analysis, canonical correlations analysis, maximum autocorrelation factors, slow feature analysis, sufficient dimensionality reduction, undercomplete independent component analysis, linear regression, distance metric learning, and more. This optimization framework gives insight to some rarely discussed shortcomings of well-known methods, such as the suboptimality of certain eigenvector solutions. Modern techniques for optimization over matrix manifolds enable a generic linear dimensionality reduction solver, which accepts as input data and an objective to be optimized, and returns, as output, an optimal low-dimensional projection of the data. This simple optimization framework further allows straightforward generalizations and novel variants of classical methods, which we demonstrate here by creating an orthogonal-projection canonical correlations analysis. More broadly, this survey and generic solver suggest that linear dimensionality reduction can move toward becoming a blackbox, objective-agnostic numerical technology.","author":[{"dropping-particle":"","family":"Cunningham","given":"John P.","non-dropping-particle":"","parse-names":false,"suffix":""},{"dropping-particle":"","family":"Ghahramani","given":"Zoubin","non-dropping-particle":"","parse-names":false,"suffix":""}],"container-title":"Journal of Machine Learning Research","id":"ITEM-1","issued":{"date-parts":[["2015"]]},"title":"Linear dimensionality reduction: Survey, insights, and generalizations","type":"article-journal"},"uris":["http://www.mendeley.com/documents/?uuid=f9c8c155-7226-4ac6-98e1-7779632e01fa"]}],"mendeley":{"formattedCitation":"(Cunningham &amp; Ghahramani, 2015)","plainTextFormattedCitation":"(Cunningham &amp; Ghahramani, 2015)","previouslyFormattedCitation":"(Cunningham &amp; Ghahramani, 2015)"},"properties":{"noteIndex":0},"schema":"https://github.com/citation-style-language/schema/raw/master/csl-citation.json"}</w:instrText>
      </w:r>
      <w:r>
        <w:rPr>
          <w:lang w:val="en-GB"/>
        </w:rPr>
        <w:fldChar w:fldCharType="separate"/>
      </w:r>
      <w:r w:rsidRPr="00183B7F">
        <w:rPr>
          <w:noProof/>
          <w:lang w:val="en-GB"/>
        </w:rPr>
        <w:t>(Cunningham &amp; Ghahramani, 2015)</w:t>
      </w:r>
      <w:r>
        <w:rPr>
          <w:lang w:val="en-GB"/>
        </w:rPr>
        <w:fldChar w:fldCharType="end"/>
      </w:r>
      <w:r w:rsidRPr="00AA1DEF">
        <w:rPr>
          <w:lang w:val="en-GB"/>
        </w:rPr>
        <w:t xml:space="preserve">. LDA is a so-called supervised algorithm that computes the directions – linear discriminants – which represent the axes maximizing the separation between multiple observations </w:t>
      </w:r>
      <w:r>
        <w:rPr>
          <w:lang w:val="en-GB"/>
        </w:rPr>
        <w:fldChar w:fldCharType="begin" w:fldLock="1"/>
      </w:r>
      <w:r w:rsidR="00862E6C">
        <w:rPr>
          <w:lang w:val="en-GB"/>
        </w:rPr>
        <w:instrText>ADDIN CSL_CITATION {"citationItems":[{"id":"ITEM-1","itemData":{"DOI":"10.1007/978-3-642-23780-5_45","ISBN":"9783642237799","ISSN":"03029743","abstract":"Fisher criterion has achieved great success in dimensionality reduction. Two representative methods based on Fisher criterion are Fisher Score and Linear Discriminant Analysis (LDA). The former is developed for feature selection while the latter is designed for subspace learning. In the past decade, these two approaches are often studied independently. In this paper, based on the observation that Fisher score and LDA are complementary, we propose to integrate Fisher score and LDA in a unified framework, namely Linear Discriminant Dimensionality Reduction (LDDR). We aim at finding a subset of features, based on which the learnt linear transformation via LDA maximizes the Fisher criterion. LDDR inherits the advantages of Fisher score and LDA and is able to do feature selection and subspace learning simultaneously. Both Fisher score and LDA can be seen as the special cases of the proposed method. The resultant optimization problem is a mixed integer programming, which is difficult to solve. It is relaxed into a L2,1-norm constrained least square problem and solved by accelerated proximal gradient descent algorithm. Experiments on benchmark face recognition data sets illustrate that the proposed method outperforms the state of the art methods arguably. © 2011 Springer-Verlag.","author":[{"dropping-particle":"","family":"Gu","given":"Quanquan","non-dropping-particle":"","parse-names":false,"suffix":""},{"dropping-particle":"","family":"Li","given":"Zhenhui","non-dropping-particle":"","parse-names":false,"suffix":""},{"dropping-particle":"","family":"Han","given":"Jiawei","non-dropping-particle":"","parse-names":false,"suffix":""}],"container-title":"Lecture Notes in Computer Science (including subseries Lecture Notes in Artificial Intelligence and Lecture Notes in Bioinformatics)","id":"ITEM-1","issued":{"date-parts":[["2011"]]},"title":"Linear discriminant dimensionality reduction","type":"paper-conference"},"uris":["http://www.mendeley.com/documents/?uuid=4fea792a-fd8a-429a-a6c1-1fe02c16e42b"]}],"mendeley":{"formattedCitation":"(Gu, Li, &amp; Han, 2011)","plainTextFormattedCitation":"(Gu, Li, &amp; Han, 2011)","previouslyFormattedCitation":"(Gu, Li, &amp; Han, 2011)"},"properties":{"noteIndex":0},"schema":"https://github.com/citation-style-language/schema/raw/master/csl-citation.json"}</w:instrText>
      </w:r>
      <w:r>
        <w:rPr>
          <w:lang w:val="en-GB"/>
        </w:rPr>
        <w:fldChar w:fldCharType="separate"/>
      </w:r>
      <w:r w:rsidRPr="00183B7F">
        <w:rPr>
          <w:noProof/>
          <w:lang w:val="en-GB"/>
        </w:rPr>
        <w:t>(Gu, Li, &amp; Han, 2011)</w:t>
      </w:r>
      <w:r>
        <w:rPr>
          <w:lang w:val="en-GB"/>
        </w:rPr>
        <w:fldChar w:fldCharType="end"/>
      </w:r>
      <w:r w:rsidRPr="00AA1DEF">
        <w:rPr>
          <w:lang w:val="en-GB"/>
        </w:rPr>
        <w:t>. The goal of LDA is achieved by searching for a linear combination of predictors (observations) that best separates the target classes.</w:t>
      </w:r>
      <w:r w:rsidR="00710ADF">
        <w:rPr>
          <w:lang w:val="en-GB"/>
        </w:rPr>
        <w:t xml:space="preserve"> </w:t>
      </w:r>
      <w:r w:rsidR="00710ADF" w:rsidRPr="00710ADF">
        <w:rPr>
          <w:lang w:val="en-GB"/>
        </w:rPr>
        <w:t xml:space="preserve">In the first step of LDA, the mean vectors vi are computed </w:t>
      </w:r>
      <w:proofErr w:type="spellStart"/>
      <w:r w:rsidR="00710ADF" w:rsidRPr="00710ADF">
        <w:rPr>
          <w:lang w:val="en-GB"/>
        </w:rPr>
        <w:t>for m</w:t>
      </w:r>
      <w:proofErr w:type="spellEnd"/>
      <w:r w:rsidR="00710ADF" w:rsidRPr="00710ADF">
        <w:rPr>
          <w:lang w:val="en-GB"/>
        </w:rPr>
        <w:t xml:space="preserve"> different classes, for each predictor where i = 1,</w:t>
      </w:r>
      <w:proofErr w:type="gramStart"/>
      <w:r w:rsidR="00710ADF" w:rsidRPr="00710ADF">
        <w:rPr>
          <w:lang w:val="en-GB"/>
        </w:rPr>
        <w:t>2,3,…</w:t>
      </w:r>
      <w:proofErr w:type="gramEnd"/>
      <w:r w:rsidR="00710ADF" w:rsidRPr="00710ADF">
        <w:rPr>
          <w:lang w:val="en-GB"/>
        </w:rPr>
        <w:t>,n</w:t>
      </w:r>
      <w:r w:rsidR="00710ADF">
        <w:rPr>
          <w:lang w:val="en-GB"/>
        </w:rPr>
        <w:t>:</w:t>
      </w:r>
    </w:p>
    <w:p w14:paraId="32F21C97" w14:textId="77777777" w:rsidR="00710ADF" w:rsidRPr="00AA1DEF" w:rsidRDefault="00C368BA" w:rsidP="00710ADF">
      <w:pPr>
        <w:jc w:val="both"/>
        <w:rPr>
          <w:rFonts w:eastAsiaTheme="minorEastAsia"/>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i</m:t>
                  </m:r>
                </m:sub>
              </m:sSub>
            </m:sub>
          </m:sSub>
          <m:r>
            <w:rPr>
              <w:rFonts w:ascii="Cambria Math" w:hAnsi="Cambria Math"/>
              <w:lang w:val="en-GB"/>
            </w:rPr>
            <m:t>(predictor)]</m:t>
          </m:r>
        </m:oMath>
      </m:oMathPara>
    </w:p>
    <w:p w14:paraId="69AEC0FB" w14:textId="77777777" w:rsidR="00710ADF" w:rsidRPr="00AA1DEF" w:rsidRDefault="00710ADF" w:rsidP="009E2A30">
      <w:pPr>
        <w:ind w:firstLine="708"/>
        <w:jc w:val="both"/>
        <w:rPr>
          <w:lang w:val="en-GB"/>
        </w:rPr>
      </w:pPr>
      <w:r w:rsidRPr="00AA1DEF">
        <w:rPr>
          <w:lang w:val="en-GB"/>
        </w:rPr>
        <w:lastRenderedPageBreak/>
        <w:t xml:space="preserve">Afterwards, the </w:t>
      </w:r>
      <w:proofErr w:type="gramStart"/>
      <w:r w:rsidRPr="00AA1DEF">
        <w:rPr>
          <w:lang w:val="en-GB"/>
        </w:rPr>
        <w:t>two p</w:t>
      </w:r>
      <w:proofErr w:type="gramEnd"/>
      <w:r w:rsidRPr="00AA1DEF">
        <w:rPr>
          <w:lang w:val="en-GB"/>
        </w:rPr>
        <w:t xml:space="preserve"> x p dimensional matrices are computed - where p is the number of predictors – inter-class and inner-class matrixes.</w:t>
      </w:r>
      <w:r>
        <w:rPr>
          <w:lang w:val="en-GB"/>
        </w:rPr>
        <w:t xml:space="preserve"> </w:t>
      </w:r>
      <w:r w:rsidRPr="00AA1DEF">
        <w:rPr>
          <w:lang w:val="en-GB"/>
        </w:rPr>
        <w:t>The inner-class matrix S</w:t>
      </w:r>
      <w:r w:rsidRPr="00AA1DEF">
        <w:rPr>
          <w:vertAlign w:val="subscript"/>
          <w:lang w:val="en-GB"/>
        </w:rPr>
        <w:t>w</w:t>
      </w:r>
      <w:r w:rsidRPr="00AA1DEF">
        <w:rPr>
          <w:lang w:val="en-GB"/>
        </w:rPr>
        <w:t xml:space="preserve"> is computed as:</w:t>
      </w:r>
    </w:p>
    <w:p w14:paraId="3D45D633" w14:textId="77777777" w:rsidR="00710ADF" w:rsidRPr="00AA1DEF" w:rsidRDefault="00C368BA" w:rsidP="00710ADF">
      <w:pPr>
        <w:jc w:val="center"/>
        <w:rPr>
          <w:lang w:val="en-GB"/>
        </w:rPr>
      </w:pPr>
      <m:oMathPara>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W</m:t>
              </m:r>
            </m:sub>
          </m:sSub>
          <m:r>
            <w:rPr>
              <w:rFonts w:ascii="Cambria Math" w:hAnsi="Cambria Math"/>
              <w:lang w:val="en-GB"/>
            </w:rPr>
            <m:t>=</m:t>
          </m:r>
          <m:nary>
            <m:naryPr>
              <m:chr m:val="∑"/>
              <m:limLoc m:val="undOvr"/>
              <m:grow m:val="1"/>
              <m:ctrlPr>
                <w:rPr>
                  <w:rFonts w:ascii="Cambria Math" w:hAnsi="Cambria Math"/>
                  <w:i/>
                  <w:lang w:val="en-GB"/>
                </w:rPr>
              </m:ctrlPr>
            </m:naryPr>
            <m:sub>
              <m:r>
                <w:rPr>
                  <w:rFonts w:ascii="Cambria Math" w:hAnsi="Cambria Math"/>
                  <w:lang w:val="en-GB"/>
                </w:rPr>
                <m:t>i=1</m:t>
              </m:r>
            </m:sub>
            <m:sup>
              <m:r>
                <w:rPr>
                  <w:rFonts w:ascii="Cambria Math" w:hAnsi="Cambria Math"/>
                  <w:lang w:val="en-GB"/>
                </w:rPr>
                <m:t>C</m:t>
              </m:r>
            </m:sup>
            <m:e>
              <m:nary>
                <m:naryPr>
                  <m:chr m:val="∑"/>
                  <m:limLoc m:val="undOvr"/>
                  <m:grow m:val="1"/>
                  <m:ctrlPr>
                    <w:rPr>
                      <w:rFonts w:ascii="Cambria Math" w:hAnsi="Cambria Math"/>
                      <w:i/>
                      <w:lang w:val="en-GB"/>
                    </w:rPr>
                  </m:ctrlPr>
                </m:naryPr>
                <m:sub>
                  <m:r>
                    <w:rPr>
                      <w:rFonts w:ascii="Cambria Math" w:hAnsi="Cambria Math"/>
                      <w:lang w:val="en-GB"/>
                    </w:rPr>
                    <m:t>x∈</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sub>
                <m:sup>
                  <m:r>
                    <w:rPr>
                      <w:rFonts w:ascii="Cambria Math" w:hAnsi="Cambria Math"/>
                      <w:lang w:val="en-GB"/>
                    </w:rPr>
                    <m:t>n</m:t>
                  </m:r>
                </m:sup>
                <m:e>
                  <m:d>
                    <m:dPr>
                      <m:ctrlPr>
                        <w:rPr>
                          <w:rFonts w:ascii="Cambria Math" w:hAnsi="Cambria Math"/>
                          <w:i/>
                          <w:lang w:val="en-GB"/>
                        </w:rPr>
                      </m:ctrlPr>
                    </m:dPr>
                    <m:e>
                      <m:r>
                        <w:rPr>
                          <w:rFonts w:ascii="Cambria Math" w:hAnsi="Cambria Math"/>
                          <w:lang w:val="en-GB"/>
                        </w:rPr>
                        <m:t>x-</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e>
                  </m:d>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x-</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e>
                      </m:d>
                    </m:e>
                    <m:sup>
                      <m:r>
                        <w:rPr>
                          <w:rFonts w:ascii="Cambria Math" w:hAnsi="Cambria Math"/>
                          <w:lang w:val="en-GB"/>
                        </w:rPr>
                        <m:t>T</m:t>
                      </m:r>
                    </m:sup>
                  </m:sSup>
                </m:e>
              </m:nary>
            </m:e>
          </m:nary>
        </m:oMath>
      </m:oMathPara>
    </w:p>
    <w:p w14:paraId="3671354D" w14:textId="77777777" w:rsidR="00710ADF" w:rsidRPr="00AA1DEF" w:rsidRDefault="00710ADF" w:rsidP="00710ADF">
      <w:pPr>
        <w:jc w:val="both"/>
        <w:rPr>
          <w:lang w:val="en-GB"/>
        </w:rPr>
      </w:pPr>
      <w:r w:rsidRPr="00AA1DEF">
        <w:rPr>
          <w:lang w:val="en-GB"/>
        </w:rPr>
        <w:t>for every class, where v</w:t>
      </w:r>
      <w:r w:rsidRPr="00AA1DEF">
        <w:rPr>
          <w:vertAlign w:val="subscript"/>
          <w:lang w:val="en-GB"/>
        </w:rPr>
        <w:t>i</w:t>
      </w:r>
      <w:r w:rsidRPr="00AA1DEF">
        <w:rPr>
          <w:lang w:val="en-GB"/>
        </w:rPr>
        <w:t xml:space="preserve"> – the mean vector is computed as:</w:t>
      </w:r>
    </w:p>
    <w:p w14:paraId="6CA9F4AB" w14:textId="77777777" w:rsidR="00710ADF" w:rsidRPr="00AA1DEF" w:rsidRDefault="00C368BA" w:rsidP="00710ADF">
      <w:pPr>
        <w:jc w:val="both"/>
        <w:rPr>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den>
          </m:f>
          <m:nary>
            <m:naryPr>
              <m:chr m:val="∑"/>
              <m:limLoc m:val="undOvr"/>
              <m:grow m:val="1"/>
              <m:ctrlPr>
                <w:rPr>
                  <w:rFonts w:ascii="Cambria Math" w:hAnsi="Cambria Math"/>
                  <w:i/>
                  <w:lang w:val="en-GB"/>
                </w:rPr>
              </m:ctrlPr>
            </m:naryPr>
            <m:sub>
              <m:r>
                <w:rPr>
                  <w:rFonts w:ascii="Cambria Math" w:hAnsi="Cambria Math"/>
                  <w:lang w:val="en-GB"/>
                </w:rPr>
                <m:t>x∈</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k</m:t>
                  </m:r>
                </m:sub>
              </m:sSub>
            </m:e>
          </m:nary>
        </m:oMath>
      </m:oMathPara>
    </w:p>
    <w:p w14:paraId="73907735" w14:textId="77777777" w:rsidR="00E03EF8" w:rsidRPr="00AA1DEF" w:rsidRDefault="00E03EF8" w:rsidP="00E03EF8">
      <w:pPr>
        <w:jc w:val="both"/>
        <w:rPr>
          <w:lang w:val="en-GB"/>
        </w:rPr>
      </w:pPr>
      <w:r w:rsidRPr="00AA1DEF">
        <w:rPr>
          <w:lang w:val="en-GB"/>
        </w:rPr>
        <w:t>The inter-class matrix S</w:t>
      </w:r>
      <w:r w:rsidRPr="00AA1DEF">
        <w:rPr>
          <w:vertAlign w:val="subscript"/>
          <w:lang w:val="en-GB"/>
        </w:rPr>
        <w:t>B</w:t>
      </w:r>
      <w:r w:rsidRPr="00AA1DEF">
        <w:rPr>
          <w:lang w:val="en-GB"/>
        </w:rPr>
        <w:t xml:space="preserve"> is computed as:</w:t>
      </w:r>
    </w:p>
    <w:p w14:paraId="37DCF7E0" w14:textId="77777777" w:rsidR="00E03EF8" w:rsidRPr="00AA1DEF" w:rsidRDefault="00C368BA" w:rsidP="00E03EF8">
      <w:pPr>
        <w:jc w:val="both"/>
        <w:rPr>
          <w:lang w:val="en-GB"/>
        </w:rPr>
      </w:pPr>
      <m:oMathPara>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B</m:t>
              </m:r>
            </m:sub>
          </m:sSub>
          <m:r>
            <w:rPr>
              <w:rFonts w:ascii="Cambria Math" w:hAnsi="Cambria Math"/>
              <w:lang w:val="en-GB"/>
            </w:rPr>
            <m:t>=</m:t>
          </m:r>
          <m:nary>
            <m:naryPr>
              <m:chr m:val="∑"/>
              <m:limLoc m:val="undOvr"/>
              <m:grow m:val="1"/>
              <m:ctrlPr>
                <w:rPr>
                  <w:rFonts w:ascii="Cambria Math" w:hAnsi="Cambria Math"/>
                  <w:i/>
                  <w:lang w:val="en-GB"/>
                </w:rPr>
              </m:ctrlPr>
            </m:naryPr>
            <m:sub>
              <m:r>
                <w:rPr>
                  <w:rFonts w:ascii="Cambria Math" w:hAnsi="Cambria Math"/>
                  <w:lang w:val="en-GB"/>
                </w:rPr>
                <m:t>i=1</m:t>
              </m:r>
            </m:sub>
            <m:sup>
              <m:r>
                <w:rPr>
                  <w:rFonts w:ascii="Cambria Math" w:hAnsi="Cambria Math"/>
                  <w:lang w:val="en-GB"/>
                </w:rPr>
                <m:t>c</m:t>
              </m:r>
            </m:sup>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-M</m:t>
                  </m:r>
                </m:e>
              </m:d>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-M</m:t>
                      </m:r>
                    </m:e>
                  </m:d>
                </m:e>
                <m:sup>
                  <m:r>
                    <w:rPr>
                      <w:rFonts w:ascii="Cambria Math" w:hAnsi="Cambria Math"/>
                      <w:lang w:val="en-GB"/>
                    </w:rPr>
                    <m:t>T</m:t>
                  </m:r>
                </m:sup>
              </m:sSup>
            </m:e>
          </m:nary>
        </m:oMath>
      </m:oMathPara>
    </w:p>
    <w:p w14:paraId="0F2C5629" w14:textId="329977B6" w:rsidR="00710ADF" w:rsidRPr="00AA1DEF" w:rsidRDefault="00710ADF" w:rsidP="00183B7F">
      <w:pPr>
        <w:jc w:val="both"/>
        <w:rPr>
          <w:lang w:val="en-GB"/>
        </w:rPr>
      </w:pPr>
    </w:p>
    <w:p w14:paraId="644E4E60" w14:textId="77777777" w:rsidR="00862E6C" w:rsidRPr="00AA1DEF" w:rsidRDefault="00862E6C" w:rsidP="00862E6C">
      <w:pPr>
        <w:jc w:val="both"/>
        <w:rPr>
          <w:lang w:val="en-GB"/>
        </w:rPr>
      </w:pPr>
      <w:r w:rsidRPr="00AA1DEF">
        <w:rPr>
          <w:lang w:val="en-GB"/>
        </w:rPr>
        <w:t>where M is the overall mean, v</w:t>
      </w:r>
      <w:r w:rsidRPr="00AA1DEF">
        <w:rPr>
          <w:vertAlign w:val="subscript"/>
          <w:lang w:val="en-GB"/>
        </w:rPr>
        <w:t>i</w:t>
      </w:r>
      <w:r w:rsidRPr="00AA1DEF">
        <w:rPr>
          <w:lang w:val="en-GB"/>
        </w:rPr>
        <w:t xml:space="preserve"> is the sample mean vector, and V</w:t>
      </w:r>
      <w:r w:rsidRPr="00AA1DEF">
        <w:rPr>
          <w:vertAlign w:val="subscript"/>
          <w:lang w:val="en-GB"/>
        </w:rPr>
        <w:t>i</w:t>
      </w:r>
      <w:r w:rsidRPr="00AA1DEF">
        <w:rPr>
          <w:lang w:val="en-GB"/>
        </w:rPr>
        <w:t xml:space="preserve"> is sample size - each for the respective classes.</w:t>
      </w:r>
    </w:p>
    <w:p w14:paraId="3819051C" w14:textId="434094D5" w:rsidR="00DC5997" w:rsidRPr="00AA1DEF" w:rsidRDefault="00862E6C" w:rsidP="009E2A30">
      <w:pPr>
        <w:ind w:firstLine="708"/>
        <w:jc w:val="both"/>
        <w:rPr>
          <w:rFonts w:eastAsiaTheme="minorEastAsia" w:cstheme="minorHAnsi"/>
          <w:lang w:val="en-GB"/>
        </w:rPr>
      </w:pPr>
      <w:r w:rsidRPr="00AA1DEF">
        <w:rPr>
          <w:lang w:val="en-GB"/>
        </w:rPr>
        <w:t xml:space="preserve">Next, the generalized eigenvalue problem is solved for the </w:t>
      </w:r>
      <m:oMath>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W</m:t>
            </m:r>
          </m:sub>
          <m:sup>
            <m:r>
              <w:rPr>
                <w:rFonts w:ascii="Cambria Math" w:hAnsi="Cambria Math"/>
                <w:lang w:val="en-GB"/>
              </w:rPr>
              <m:t>-1</m:t>
            </m:r>
          </m:sup>
        </m:sSubSup>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B</m:t>
            </m:r>
          </m:sub>
        </m:sSub>
      </m:oMath>
      <w:r w:rsidRPr="00AA1DEF">
        <w:rPr>
          <w:rFonts w:eastAsiaTheme="minorEastAsia"/>
          <w:lang w:val="en-GB"/>
        </w:rPr>
        <w:t xml:space="preserve"> matrix in order to obtain the linear discriminants </w:t>
      </w:r>
      <w:r>
        <w:rPr>
          <w:rFonts w:eastAsiaTheme="minorEastAsia"/>
          <w:lang w:val="en-GB"/>
        </w:rPr>
        <w:fldChar w:fldCharType="begin" w:fldLock="1"/>
      </w:r>
      <w:r w:rsidR="006F3E03">
        <w:rPr>
          <w:rFonts w:eastAsiaTheme="minorEastAsia"/>
          <w:lang w:val="en-GB"/>
        </w:rPr>
        <w:instrText>ADDIN CSL_CITATION {"citationItems":[{"id":"ITEM-1","itemData":{"DOI":"10.1137/0710024","ISSN":"0036-1429","abstract":"A new method, called the QZ algorithm, is presented for the solution of the matrix eigenvalue problem Ax = λ Bx with general square matrices A and B. Particular attention is paid to the degeneracies which result when B is singular. No inversions of B or its submatrices are used. The algorithm is a generalization of the QR algorithm, and reduces to it when B = I. Problems involving higher powers of λ are also mentioned.","author":[{"dropping-particle":"","family":"Moler","given":"C. B.","non-dropping-particle":"","parse-names":false,"suffix":""},{"dropping-particle":"","family":"Stewart","given":"G. W.","non-dropping-particle":"","parse-names":false,"suffix":""}],"container-title":"SIAM Journal on Numerical Analysis","id":"ITEM-1","issued":{"date-parts":[["1973"]]},"title":"An Algorithm for Generalized Matrix Eigenvalue Problems","type":"article-journal"},"uris":["http://www.mendeley.com/documents/?uuid=c12fa0f9-66ae-4750-8b67-82a4e5f3dde7"]}],"mendeley":{"formattedCitation":"(Moler &amp; Stewart, 1973)","plainTextFormattedCitation":"(Moler &amp; Stewart, 1973)","previouslyFormattedCitation":"(Moler &amp; Stewart, 1973)"},"properties":{"noteIndex":0},"schema":"https://github.com/citation-style-language/schema/raw/master/csl-citation.json"}</w:instrText>
      </w:r>
      <w:r>
        <w:rPr>
          <w:rFonts w:eastAsiaTheme="minorEastAsia"/>
          <w:lang w:val="en-GB"/>
        </w:rPr>
        <w:fldChar w:fldCharType="separate"/>
      </w:r>
      <w:r w:rsidRPr="00862E6C">
        <w:rPr>
          <w:rFonts w:eastAsiaTheme="minorEastAsia"/>
          <w:noProof/>
          <w:lang w:val="en-GB"/>
        </w:rPr>
        <w:t>(Moler &amp; Stewart, 1973)</w:t>
      </w:r>
      <w:r>
        <w:rPr>
          <w:rFonts w:eastAsiaTheme="minorEastAsia"/>
          <w:lang w:val="en-GB"/>
        </w:rPr>
        <w:fldChar w:fldCharType="end"/>
      </w:r>
      <w:r w:rsidRPr="00AA1DEF">
        <w:rPr>
          <w:rFonts w:eastAsiaTheme="minorEastAsia"/>
          <w:lang w:val="en-GB"/>
        </w:rPr>
        <w:t>.</w:t>
      </w:r>
      <w:r w:rsidR="00DC5997">
        <w:rPr>
          <w:rFonts w:eastAsiaTheme="minorEastAsia"/>
          <w:lang w:val="en-GB"/>
        </w:rPr>
        <w:t xml:space="preserve"> </w:t>
      </w:r>
      <w:r w:rsidR="00DC5997" w:rsidRPr="00AA1DEF">
        <w:rPr>
          <w:rFonts w:eastAsiaTheme="minorEastAsia"/>
          <w:lang w:val="en-GB"/>
        </w:rPr>
        <w:t>For v being an eigenvector of a</w:t>
      </w:r>
      <w:r w:rsidR="00DC5997" w:rsidRPr="00AA1DEF">
        <w:rPr>
          <w:rFonts w:eastAsiaTheme="minorEastAsia" w:cstheme="minorHAnsi"/>
          <w:lang w:val="en-GB"/>
        </w:rPr>
        <w:t xml:space="preserve"> Ω </w:t>
      </w:r>
      <w:proofErr w:type="gramStart"/>
      <w:r w:rsidR="00DC5997" w:rsidRPr="00AA1DEF">
        <w:rPr>
          <w:rFonts w:eastAsiaTheme="minorEastAsia" w:cstheme="minorHAnsi"/>
          <w:lang w:val="en-GB"/>
        </w:rPr>
        <w:t>matrix :</w:t>
      </w:r>
      <w:proofErr w:type="gramEnd"/>
    </w:p>
    <w:p w14:paraId="38456349" w14:textId="77777777" w:rsidR="00DC5997" w:rsidRPr="00AA1DEF" w:rsidRDefault="00DC5997" w:rsidP="00DC5997">
      <w:pPr>
        <w:jc w:val="center"/>
        <w:rPr>
          <w:rFonts w:eastAsiaTheme="minorEastAsia" w:cstheme="minorHAnsi"/>
          <w:lang w:val="en-GB"/>
        </w:rPr>
      </w:pPr>
      <w:r w:rsidRPr="00AA1DEF">
        <w:rPr>
          <w:rFonts w:eastAsiaTheme="minorEastAsia" w:cstheme="minorHAnsi"/>
          <w:lang w:val="en-GB"/>
        </w:rPr>
        <w:t>Ωv = λv</w:t>
      </w:r>
    </w:p>
    <w:p w14:paraId="41F34515" w14:textId="77777777" w:rsidR="00DC5997" w:rsidRPr="00AA1DEF" w:rsidRDefault="00DC5997" w:rsidP="00DC5997">
      <w:pPr>
        <w:jc w:val="both"/>
        <w:rPr>
          <w:rFonts w:eastAsiaTheme="minorEastAsia" w:cstheme="minorHAnsi"/>
          <w:lang w:val="en-GB"/>
        </w:rPr>
      </w:pPr>
      <w:r w:rsidRPr="00AA1DEF">
        <w:rPr>
          <w:rFonts w:eastAsiaTheme="minorEastAsia" w:cstheme="minorHAnsi"/>
          <w:lang w:val="en-GB"/>
        </w:rPr>
        <w:t>where λ is the eigenvalue, and v is an eigenvector which has the same eigenvalue, because:</w:t>
      </w:r>
    </w:p>
    <w:p w14:paraId="2DDCF035" w14:textId="77777777" w:rsidR="00DC5997" w:rsidRPr="00AA1DEF" w:rsidRDefault="00DC5997" w:rsidP="00DC5997">
      <w:pPr>
        <w:jc w:val="center"/>
        <w:rPr>
          <w:rFonts w:eastAsiaTheme="minorEastAsia" w:cstheme="minorHAnsi"/>
          <w:lang w:val="en-GB"/>
        </w:rPr>
      </w:pPr>
      <w:r w:rsidRPr="00AA1DEF">
        <w:rPr>
          <w:rFonts w:eastAsiaTheme="minorEastAsia" w:cstheme="minorHAnsi"/>
          <w:lang w:val="en-GB"/>
        </w:rPr>
        <w:t>Ω(-v) = -vΩ = - λv = λ(-v)</w:t>
      </w:r>
    </w:p>
    <w:p w14:paraId="4881B9A6" w14:textId="77777777" w:rsidR="00DC5997" w:rsidRPr="00AA1DEF" w:rsidRDefault="00DC5997" w:rsidP="00DC5997">
      <w:pPr>
        <w:jc w:val="both"/>
        <w:rPr>
          <w:rFonts w:eastAsiaTheme="minorEastAsia" w:cstheme="minorHAnsi"/>
          <w:lang w:val="en-GB"/>
        </w:rPr>
      </w:pPr>
      <w:r w:rsidRPr="00AA1DEF">
        <w:rPr>
          <w:rFonts w:eastAsiaTheme="minorEastAsia" w:cstheme="minorHAnsi"/>
          <w:lang w:val="en-GB"/>
        </w:rPr>
        <w:t xml:space="preserve">hence eigenvalue calculation satisfies the equation: </w:t>
      </w:r>
    </w:p>
    <w:p w14:paraId="4C7BC87C" w14:textId="77777777" w:rsidR="00DC5997" w:rsidRPr="00AA1DEF" w:rsidRDefault="00C368BA" w:rsidP="00DC5997">
      <w:pPr>
        <w:jc w:val="both"/>
        <w:rPr>
          <w:rFonts w:eastAsiaTheme="minorEastAsia" w:cstheme="minorHAnsi"/>
          <w:lang w:val="en-GB"/>
        </w:rPr>
      </w:pPr>
      <m:oMathPara>
        <m:oMath>
          <m:sSubSup>
            <m:sSubSupPr>
              <m:ctrlPr>
                <w:rPr>
                  <w:rFonts w:ascii="Cambria Math" w:hAnsi="Cambria Math"/>
                  <w:i/>
                  <w:lang w:val="en-GB"/>
                </w:rPr>
              </m:ctrlPr>
            </m:sSubSupPr>
            <m:e>
              <m:r>
                <w:rPr>
                  <w:rFonts w:ascii="Cambria Math" w:hAnsi="Cambria Math"/>
                  <w:lang w:val="en-GB"/>
                </w:rPr>
                <m:t>[S</m:t>
              </m:r>
            </m:e>
            <m:sub>
              <m:r>
                <w:rPr>
                  <w:rFonts w:ascii="Cambria Math" w:hAnsi="Cambria Math"/>
                  <w:lang w:val="en-GB"/>
                </w:rPr>
                <m:t>W</m:t>
              </m:r>
            </m:sub>
            <m:sup>
              <m:r>
                <w:rPr>
                  <w:rFonts w:ascii="Cambria Math" w:hAnsi="Cambria Math"/>
                  <w:lang w:val="en-GB"/>
                </w:rPr>
                <m:t>-1</m:t>
              </m:r>
            </m:sup>
          </m:sSubSup>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B</m:t>
              </m:r>
            </m:sub>
          </m:sSub>
          <m:r>
            <w:rPr>
              <w:rFonts w:ascii="Cambria Math" w:hAnsi="Cambria Math"/>
              <w:lang w:val="en-GB"/>
            </w:rPr>
            <m:t xml:space="preserve">]v= </m:t>
          </m:r>
          <m:r>
            <m:rPr>
              <m:sty m:val="p"/>
            </m:rPr>
            <w:rPr>
              <w:rFonts w:ascii="Cambria Math" w:eastAsiaTheme="minorEastAsia" w:hAnsi="Cambria Math" w:cstheme="minorHAnsi"/>
              <w:lang w:val="en-GB"/>
            </w:rPr>
            <m:t>λ</m:t>
          </m:r>
          <m:r>
            <m:rPr>
              <m:sty m:val="p"/>
            </m:rPr>
            <w:rPr>
              <w:rFonts w:ascii="Cambria Math" w:eastAsiaTheme="minorEastAsia" w:cstheme="minorHAnsi"/>
              <w:lang w:val="en-GB"/>
            </w:rPr>
            <m:t>v</m:t>
          </m:r>
        </m:oMath>
      </m:oMathPara>
    </w:p>
    <w:p w14:paraId="7A9B705D" w14:textId="77777777" w:rsidR="009D24AF" w:rsidRPr="00AA1DEF" w:rsidRDefault="00386F4F" w:rsidP="009E2A30">
      <w:pPr>
        <w:ind w:firstLine="708"/>
        <w:jc w:val="both"/>
        <w:rPr>
          <w:rFonts w:eastAsiaTheme="minorEastAsia" w:cstheme="minorHAnsi"/>
          <w:lang w:val="en-GB"/>
        </w:rPr>
      </w:pPr>
      <w:r w:rsidRPr="00AA1DEF">
        <w:rPr>
          <w:rFonts w:eastAsiaTheme="minorEastAsia" w:cstheme="minorHAnsi"/>
          <w:lang w:val="en-GB"/>
        </w:rPr>
        <w:t>The obtained eigenvectors indicate the directions of the distortion, while eigenvalues being scaling factors for the eigenvector describing the magnitude of distortion. The resulting eigenvectors form axes of a new subspace. The associated eigenvalues describe the informative clarity of new axes. However, the resulting eigenvectors describe only the new axis directions, since their unit length is equal to 1. In order to choose which eigenvectors would define the new lower-dimensional subspace, the corresponding eigenvalues are examined. The eigenvectors are ranked in descending order by eigenvalues, and the top k eigenvectors are selected. The eigenvectors with the lowest eigenvalues are considered less-informative about the data distribution. It should also be noted that the number of linear discriminants is at most c – 1, where c is the number of classes since the inter-class matrix S</w:t>
      </w:r>
      <w:r w:rsidRPr="00AA1DEF">
        <w:rPr>
          <w:rFonts w:eastAsiaTheme="minorEastAsia" w:cstheme="minorHAnsi"/>
          <w:vertAlign w:val="subscript"/>
          <w:lang w:val="en-GB"/>
        </w:rPr>
        <w:t>B</w:t>
      </w:r>
      <w:r w:rsidRPr="00AA1DEF">
        <w:rPr>
          <w:rFonts w:eastAsiaTheme="minorEastAsia" w:cstheme="minorHAnsi"/>
          <w:lang w:val="en-GB"/>
        </w:rPr>
        <w:t xml:space="preserve"> is the sum of c matrices with rank ≤ 1. Based on the number of k informative eigenvectors, the n x k-dimensional matrix W is constructed. </w:t>
      </w:r>
      <w:r w:rsidR="009D24AF" w:rsidRPr="00AA1DEF">
        <w:rPr>
          <w:rFonts w:eastAsiaTheme="minorEastAsia" w:cstheme="minorHAnsi"/>
          <w:lang w:val="en-GB"/>
        </w:rPr>
        <w:t>In the last step – the W matrix is used to transform the original observations onto the new subspace:</w:t>
      </w:r>
    </w:p>
    <w:p w14:paraId="087E46AE" w14:textId="77777777" w:rsidR="009D24AF" w:rsidRPr="00AA1DEF" w:rsidRDefault="009D24AF" w:rsidP="009D24AF">
      <w:pPr>
        <w:jc w:val="both"/>
        <w:rPr>
          <w:rFonts w:eastAsiaTheme="minorEastAsia" w:cstheme="minorHAnsi"/>
          <w:lang w:val="en-GB"/>
        </w:rPr>
      </w:pPr>
      <m:oMathPara>
        <m:oMath>
          <m:r>
            <w:rPr>
              <w:rFonts w:ascii="Cambria Math" w:eastAsiaTheme="minorEastAsia" w:hAnsi="Cambria Math" w:cstheme="minorHAnsi"/>
              <w:lang w:val="en-GB"/>
            </w:rPr>
            <m:t>Y=X×W</m:t>
          </m:r>
        </m:oMath>
      </m:oMathPara>
    </w:p>
    <w:p w14:paraId="1EADA4E6" w14:textId="35E02911" w:rsidR="00386F4F" w:rsidRDefault="009D24AF" w:rsidP="00386F4F">
      <w:pPr>
        <w:jc w:val="both"/>
        <w:rPr>
          <w:rFonts w:eastAsiaTheme="minorEastAsia"/>
          <w:lang w:val="en-GB"/>
        </w:rPr>
      </w:pPr>
      <w:r>
        <w:rPr>
          <w:rFonts w:eastAsiaTheme="minorEastAsia" w:cstheme="minorHAnsi"/>
          <w:lang w:val="en-GB"/>
        </w:rPr>
        <w:t>w</w:t>
      </w:r>
      <w:r w:rsidRPr="00AA1DEF">
        <w:rPr>
          <w:rFonts w:eastAsiaTheme="minorEastAsia" w:cstheme="minorHAnsi"/>
          <w:lang w:val="en-GB"/>
        </w:rPr>
        <w:t>here X is a n x d-dimensional matrix representing the original observations, and Y is the transformed n x k-dimensional subspace.</w:t>
      </w:r>
    </w:p>
    <w:p w14:paraId="73944BA6" w14:textId="77777777" w:rsidR="00995ACA" w:rsidRPr="00995ACA" w:rsidRDefault="00995ACA" w:rsidP="00386F4F">
      <w:pPr>
        <w:jc w:val="both"/>
        <w:rPr>
          <w:rFonts w:eastAsiaTheme="minorEastAsia"/>
          <w:lang w:val="en-GB"/>
        </w:rPr>
      </w:pPr>
    </w:p>
    <w:p w14:paraId="410ACC56" w14:textId="6D8D5243" w:rsidR="00995ACA" w:rsidRDefault="00995ACA" w:rsidP="00995ACA">
      <w:pPr>
        <w:jc w:val="both"/>
        <w:rPr>
          <w:b/>
          <w:bCs/>
          <w:lang w:val="en-GB"/>
        </w:rPr>
      </w:pPr>
      <w:r>
        <w:rPr>
          <w:b/>
          <w:bCs/>
          <w:lang w:val="en-GB"/>
        </w:rPr>
        <w:t xml:space="preserve">2.6. </w:t>
      </w:r>
      <w:r>
        <w:rPr>
          <w:b/>
          <w:bCs/>
          <w:lang w:val="en-GB"/>
        </w:rPr>
        <w:tab/>
        <w:t>Support Vector Machine modelling</w:t>
      </w:r>
    </w:p>
    <w:p w14:paraId="1666826C" w14:textId="716C2389" w:rsidR="006F3E03" w:rsidRPr="00AA1DEF" w:rsidRDefault="006F3E03" w:rsidP="009E2A30">
      <w:pPr>
        <w:ind w:firstLine="708"/>
        <w:jc w:val="both"/>
        <w:rPr>
          <w:lang w:val="en-GB"/>
        </w:rPr>
      </w:pPr>
      <w:r w:rsidRPr="00AA1DEF">
        <w:rPr>
          <w:lang w:val="en-GB"/>
        </w:rPr>
        <w:t xml:space="preserve">For the task of developing a model that performed distinct classification of data within a lower-dimensional subspace defined previously, the kernel Radial Basis Function SVM (RBF kernel SVM) algorithm was used. Kernel methods are popular in machine learning </w:t>
      </w:r>
      <w:r>
        <w:rPr>
          <w:lang w:val="en-GB"/>
        </w:rPr>
        <w:fldChar w:fldCharType="begin" w:fldLock="1"/>
      </w:r>
      <w:r>
        <w:rPr>
          <w:lang w:val="en-GB"/>
        </w:rPr>
        <w:instrText>ADDIN CSL_CITATION {"citationItems":[{"id":"ITEM-1","itemData":{"DOI":"10.1214/009053607000000677","ISSN":"00905364","abstract":"We review machine learning methods employing positive definite kernels. These methods formulate learning and estimation problems in a reproducing kernel Hilbert space (RKHS) of functions defined on the data domain, expanded in terms of a kernel. Working in linear spaces of function has the benefit of facilitating the construction and analysis of learning algorithms while at the same time allowing large classes of functions. The latter include nonlinear functions as well as functions defined on nonvectorial data. We cover a wide range of methods, ranging from binary classifiers to sophisticated methods for estimation with structured data. © Institute of Mathematical Statistics, 2008.","author":[{"dropping-particle":"","family":"Hofmann","given":"Thomas","non-dropping-particle":"","parse-names":false,"suffix":""},{"dropping-particle":"","family":"Schölkopf","given":"Bernhard","non-dropping-particle":"","parse-names":false,"suffix":""},{"dropping-particle":"","family":"Smola","given":"Alexander J.","non-dropping-particle":"","parse-names":false,"suffix":""}],"container-title":"Annals of Statistics","id":"ITEM-1","issued":{"date-parts":[["2008"]]},"title":"Kernel methods in machine learning","type":"article"},"uris":["http://www.mendeley.com/documents/?uuid=ab179672-2487-4158-aab0-2775a9fc4f81"]},{"id":"ITEM-2","itemData":{"ISSN":"15324435","abstract":"In recent years, several methods have been proposed to combine multiple kernels instead of using a single one. These different kernels may correspond to using different notions of similarity or may be using information coming from multiple sources (different representations or different feature subsets). In trying to organize and highlight the similarities and differences between them, we give a taxonomy of and review several multiple kernel learning algorithms. We perform experiments on real data sets for better illustration and comparison of existing algorithms. We see that though there may not be large differences in terms of accuracy, there is difference between them in complexity as given by the number of stored support vectors, the sparsity of the solution as given by the number of used kernels, and training time complexity. We see that overall, using multiple kernels instead of a single one is useful and believe that combining kernels in a nonlinear or data-dependent way seems more promising than linear combination in fusing information provided by simple linear kernels, whereas linear methods are more reasonable when combining complex Gaussian kernels. Keywords: support vector machines, kernel machines, multiple kernel learning © Springer Basel AG 2010.","author":[{"dropping-particle":"","family":"Gönen","given":"Mehmet","non-dropping-particle":"","parse-names":false,"suffix":""},{"dropping-particle":"","family":"Alpaydin","given":"Ethem","non-dropping-particle":"","parse-names":false,"suffix":""}],"container-title":"Journal of Machine Learning Research","id":"ITEM-2","issued":{"date-parts":[["2011"]]},"title":"Multiple kernel learning algorithms","type":"article"},"uris":["http://www.mendeley.com/documents/?uuid=28cd5b9b-2f6d-4022-98d5-d2e225ba6672"]}],"mendeley":{"formattedCitation":"(Hofmann, Schölkopf, &amp; Smola, 2008; Gönen &amp; Alpaydin, 2011)","plainTextFormattedCitation":"(Hofmann, Schölkopf, &amp; Smola, 2008; Gönen &amp; Alpaydin, 2011)","previouslyFormattedCitation":"(Hofmann, Schölkopf, &amp; Smola, 2008; Gönen &amp; Alpaydin, 2011)"},"properties":{"noteIndex":0},"schema":"https://github.com/citation-style-language/schema/raw/master/csl-citation.json"}</w:instrText>
      </w:r>
      <w:r>
        <w:rPr>
          <w:lang w:val="en-GB"/>
        </w:rPr>
        <w:fldChar w:fldCharType="separate"/>
      </w:r>
      <w:r w:rsidRPr="006F3E03">
        <w:rPr>
          <w:noProof/>
          <w:lang w:val="en-GB"/>
        </w:rPr>
        <w:t>(Hofmann, Schölkopf, &amp; Smola, 2008; Gönen &amp; Alpaydin, 2011)</w:t>
      </w:r>
      <w:r>
        <w:rPr>
          <w:lang w:val="en-GB"/>
        </w:rPr>
        <w:fldChar w:fldCharType="end"/>
      </w:r>
      <w:r w:rsidRPr="00AA1DEF">
        <w:rPr>
          <w:lang w:val="en-GB"/>
        </w:rPr>
        <w:t xml:space="preserve">. They are a robust method that can be used to expand the SVM algorithm to define non-linear decision boundaries. The key concept behind these methods is focused on the so-called kernels or kernel functions, which, under certain theoretical conditions of symmetry and positive definiteness, indirectly represent the inner product in high-dimensional space </w:t>
      </w:r>
      <w:r>
        <w:rPr>
          <w:lang w:val="en-GB"/>
        </w:rPr>
        <w:fldChar w:fldCharType="begin" w:fldLock="1"/>
      </w:r>
      <w:r w:rsidR="009E22A3">
        <w:rPr>
          <w:lang w:val="en-GB"/>
        </w:rPr>
        <w:instrText xml:space="preserve">ADDIN CSL_CITATION {"citationItems":[{"id":"ITEM-1","itemData":{"DOI":"10.1007/978-0-8176-4980-7_4","ISSN":"22965017","abstract":"Hilbert spaces can be considered as infinite-dimensional analogues of </w:instrText>
      </w:r>
      <w:r w:rsidR="009E22A3">
        <w:rPr>
          <w:rFonts w:ascii="Cambria Math" w:hAnsi="Cambria Math" w:cs="Cambria Math"/>
          <w:lang w:val="en-GB"/>
        </w:rPr>
        <w:instrText>ℝ</w:instrText>
      </w:r>
      <w:r w:rsidR="009E22A3">
        <w:rPr>
          <w:lang w:val="en-GB"/>
        </w:rPr>
        <w:instrText xml:space="preserve">n and Cn: in fact, the structure imposed on Hilbert spaces imply that many of the properties of </w:instrText>
      </w:r>
      <w:r w:rsidR="009E22A3">
        <w:rPr>
          <w:rFonts w:ascii="Cambria Math" w:hAnsi="Cambria Math" w:cs="Cambria Math"/>
          <w:lang w:val="en-GB"/>
        </w:rPr>
        <w:instrText>ℝ</w:instrText>
      </w:r>
      <w:r w:rsidR="009E22A3">
        <w:rPr>
          <w:lang w:val="en-GB"/>
        </w:rPr>
        <w:instrText>n and Cn (and the ways to deal with them) can be extended to Hilbert spaces. Most importantly, a Hilbert space is equipped with an inner product and an associated norm that makes the Hilbert space a Banach space.","author":[{"dropping-particle":"","family":"Christensen","given":"Ole","non-dropping-particle":"","parse-names":false,"suffix":""}],"container-title":"Applied and Numerical Harmonic Analysis","id":"ITEM-1","issued":{"date-parts":[["2010"]]},"title":"Hilbert spaces","type":"chapter"},"uris":["http://www.mendeley.com/documents/?uuid=56995862-a9cd-4b60-bee7-fa28113a49e5"]}],"mendeley":{"formattedCitation":"(Christensen, 2010)","plainTextFormattedCitation":"(Christensen, 2010)","previouslyFormattedCitation":"(Christensen, 2010)"},"properties":{"noteIndex":0},"schema":"https://github.com/citation-style-language/schema/raw/master/csl-citation.json"}</w:instrText>
      </w:r>
      <w:r>
        <w:rPr>
          <w:lang w:val="en-GB"/>
        </w:rPr>
        <w:fldChar w:fldCharType="separate"/>
      </w:r>
      <w:r w:rsidRPr="006F3E03">
        <w:rPr>
          <w:noProof/>
          <w:lang w:val="en-GB"/>
        </w:rPr>
        <w:t>(Christensen, 2010)</w:t>
      </w:r>
      <w:r>
        <w:rPr>
          <w:lang w:val="en-GB"/>
        </w:rPr>
        <w:fldChar w:fldCharType="end"/>
      </w:r>
      <w:r w:rsidRPr="00AA1DEF">
        <w:rPr>
          <w:lang w:val="en-GB"/>
        </w:rPr>
        <w:t xml:space="preserve">. Replacing the original internal product in the input space with a positively defined kernel automatically stretches the algorithm to a non-linear separation in the input space </w:t>
      </w:r>
      <w:r>
        <w:rPr>
          <w:lang w:val="en-GB"/>
        </w:rPr>
        <w:t>(Figure 3)</w:t>
      </w:r>
      <w:r w:rsidRPr="00AA1DEF">
        <w:rPr>
          <w:lang w:val="en-GB"/>
        </w:rPr>
        <w:t>.</w:t>
      </w:r>
    </w:p>
    <w:p w14:paraId="71C55E2D" w14:textId="77777777" w:rsidR="009354D2" w:rsidRDefault="009354D2" w:rsidP="009354D2">
      <w:pPr>
        <w:keepNext/>
        <w:jc w:val="center"/>
      </w:pPr>
      <w:r>
        <w:rPr>
          <w:noProof/>
        </w:rPr>
        <w:drawing>
          <wp:inline distT="0" distB="0" distL="0" distR="0" wp14:anchorId="69FADF1D" wp14:editId="2A50FF5A">
            <wp:extent cx="3093058" cy="218750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6129" cy="2189679"/>
                    </a:xfrm>
                    <a:prstGeom prst="rect">
                      <a:avLst/>
                    </a:prstGeom>
                    <a:noFill/>
                    <a:ln>
                      <a:noFill/>
                    </a:ln>
                  </pic:spPr>
                </pic:pic>
              </a:graphicData>
            </a:graphic>
          </wp:inline>
        </w:drawing>
      </w:r>
    </w:p>
    <w:p w14:paraId="6199C93A" w14:textId="7B0E767D" w:rsidR="00995ACA" w:rsidRPr="009354D2" w:rsidRDefault="009354D2" w:rsidP="009354D2">
      <w:pPr>
        <w:pStyle w:val="Caption"/>
        <w:jc w:val="center"/>
        <w:rPr>
          <w:b/>
          <w:bCs/>
          <w:color w:val="auto"/>
          <w:lang w:val="en-GB"/>
        </w:rPr>
      </w:pPr>
      <w:r w:rsidRPr="009354D2">
        <w:rPr>
          <w:color w:val="auto"/>
        </w:rPr>
        <w:t>Figure 3. Generalized illustrartion of kernel function operation to repersent the inner product in higher dimensional space for separation purpose.</w:t>
      </w:r>
    </w:p>
    <w:p w14:paraId="45F59127" w14:textId="77777777" w:rsidR="009E22A3" w:rsidRPr="00AA1DEF" w:rsidRDefault="009E22A3" w:rsidP="009E2A30">
      <w:pPr>
        <w:ind w:firstLine="708"/>
        <w:jc w:val="both"/>
        <w:rPr>
          <w:rFonts w:eastAsiaTheme="minorEastAsia"/>
          <w:lang w:val="en-GB"/>
        </w:rPr>
      </w:pPr>
      <w:r w:rsidRPr="00AA1DEF">
        <w:rPr>
          <w:lang w:val="en-GB"/>
        </w:rPr>
        <w:t xml:space="preserve">A function </w:t>
      </w:r>
      <m:oMath>
        <m:r>
          <w:rPr>
            <w:rFonts w:ascii="Cambria Math" w:hAnsi="Cambria Math"/>
            <w:lang w:val="en-GB"/>
          </w:rPr>
          <m:t>K:X×X→R</m:t>
        </m:r>
      </m:oMath>
      <w:r w:rsidRPr="00AA1DEF">
        <w:rPr>
          <w:lang w:val="en-GB"/>
        </w:rPr>
        <w:t xml:space="preserve"> is called a kernel over </w:t>
      </w:r>
      <m:oMath>
        <m:r>
          <w:rPr>
            <w:rFonts w:ascii="Cambria Math" w:hAnsi="Cambria Math"/>
            <w:lang w:val="en-GB"/>
          </w:rPr>
          <m:t>X</m:t>
        </m:r>
      </m:oMath>
      <w:r w:rsidRPr="00AA1DEF">
        <w:rPr>
          <w:rFonts w:eastAsiaTheme="minorEastAsia"/>
          <w:lang w:val="en-GB"/>
        </w:rPr>
        <w:t xml:space="preserve">. The main idea is to define the kernel K in such a way that, for any two points: </w:t>
      </w:r>
      <m:oMath>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1</m:t>
            </m:r>
          </m:sub>
        </m:sSub>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m:t>
            </m:r>
          </m:sup>
        </m:sSup>
        <m:r>
          <w:rPr>
            <w:rFonts w:ascii="Cambria Math" w:eastAsiaTheme="minorEastAsia" w:hAnsi="Cambria Math"/>
            <w:lang w:val="en-GB"/>
          </w:rPr>
          <m:t>∈X,K</m:t>
        </m:r>
        <m:d>
          <m:dPr>
            <m:ctrlPr>
              <w:rPr>
                <w:rFonts w:ascii="Cambria Math" w:eastAsiaTheme="minorEastAsia" w:hAnsi="Cambria Math"/>
                <w:i/>
                <w:lang w:val="en-GB"/>
              </w:rPr>
            </m:ctrlPr>
          </m:dPr>
          <m:e>
            <m:r>
              <w:rPr>
                <w:rFonts w:ascii="Cambria Math" w:eastAsiaTheme="minorEastAsia" w:hAnsi="Cambria Math"/>
                <w:lang w:val="en-GB"/>
              </w:rPr>
              <m:t>x,</m:t>
            </m:r>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m:t>
                </m:r>
              </m:sup>
            </m:sSup>
          </m:e>
        </m:d>
      </m:oMath>
      <w:r w:rsidRPr="00AA1DEF">
        <w:rPr>
          <w:rFonts w:eastAsiaTheme="minorEastAsia"/>
          <w:lang w:val="en-GB"/>
        </w:rPr>
        <w:t xml:space="preserve"> is equal to the inner product of the vectors: </w:t>
      </w:r>
      <m:oMath>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x</m:t>
            </m:r>
          </m:e>
        </m:d>
      </m:oMath>
      <w:r w:rsidRPr="00AA1DEF">
        <w:rPr>
          <w:rFonts w:eastAsiaTheme="minorEastAsia"/>
          <w:lang w:val="en-GB"/>
        </w:rPr>
        <w:t xml:space="preserve"> and </w:t>
      </w:r>
      <m:oMath>
        <m:r>
          <w:rPr>
            <w:rFonts w:ascii="Cambria Math" w:eastAsiaTheme="minorEastAsia" w:hAnsi="Cambria Math"/>
            <w:lang w:val="en-GB"/>
          </w:rPr>
          <m:t>Φ</m:t>
        </m:r>
        <m:d>
          <m:dPr>
            <m:ctrlPr>
              <w:rPr>
                <w:rFonts w:ascii="Cambria Math" w:eastAsiaTheme="minorEastAsia" w:hAnsi="Cambria Math"/>
                <w:i/>
                <w:lang w:val="en-GB"/>
              </w:rPr>
            </m:ctrlPr>
          </m:dPr>
          <m:e>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m:t>
                </m:r>
              </m:sup>
            </m:sSup>
          </m:e>
        </m:d>
      </m:oMath>
      <w:r w:rsidRPr="00AA1DEF">
        <w:rPr>
          <w:rFonts w:eastAsiaTheme="minorEastAsia"/>
          <w:lang w:val="en-GB"/>
        </w:rPr>
        <w:t>:</w:t>
      </w:r>
    </w:p>
    <w:p w14:paraId="6A535E4F" w14:textId="77777777" w:rsidR="009E22A3" w:rsidRPr="00AA1DEF" w:rsidRDefault="009E22A3" w:rsidP="009E22A3">
      <w:pPr>
        <w:jc w:val="center"/>
        <w:rPr>
          <w:rFonts w:eastAsiaTheme="minorEastAsia"/>
          <w:lang w:val="en-GB"/>
        </w:rPr>
      </w:pPr>
      <m:oMath>
        <m:r>
          <w:rPr>
            <w:rFonts w:ascii="Cambria Math" w:hAnsi="Cambria Math"/>
            <w:lang w:val="en-GB"/>
          </w:rPr>
          <m:t>∀ x,</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m:t>
            </m:r>
          </m:sup>
        </m:sSup>
        <m:r>
          <w:rPr>
            <w:rFonts w:ascii="Cambria Math" w:hAnsi="Cambria Math"/>
            <w:lang w:val="en-GB"/>
          </w:rPr>
          <m:t>∈X</m:t>
        </m:r>
      </m:oMath>
      <w:r w:rsidRPr="00AA1DEF">
        <w:rPr>
          <w:rFonts w:eastAsiaTheme="minorEastAsia"/>
          <w:lang w:val="en-GB"/>
        </w:rPr>
        <w:t xml:space="preserve">, </w:t>
      </w:r>
      <m:oMath>
        <m:r>
          <w:rPr>
            <w:rFonts w:ascii="Cambria Math" w:eastAsiaTheme="minorEastAsia" w:hAnsi="Cambria Math"/>
            <w:lang w:val="en-GB"/>
          </w:rPr>
          <m:t xml:space="preserve"> K</m:t>
        </m:r>
        <m:d>
          <m:dPr>
            <m:ctrlPr>
              <w:rPr>
                <w:rFonts w:ascii="Cambria Math" w:eastAsiaTheme="minorEastAsia" w:hAnsi="Cambria Math"/>
                <w:i/>
                <w:lang w:val="en-GB"/>
              </w:rPr>
            </m:ctrlPr>
          </m:dPr>
          <m:e>
            <m:r>
              <w:rPr>
                <w:rFonts w:ascii="Cambria Math" w:eastAsiaTheme="minorEastAsia" w:hAnsi="Cambria Math"/>
                <w:lang w:val="en-GB"/>
              </w:rPr>
              <m:t>x,</m:t>
            </m:r>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m:t>
                </m:r>
              </m:sup>
            </m:sSup>
          </m:e>
        </m:d>
        <m:r>
          <w:rPr>
            <w:rFonts w:ascii="Cambria Math" w:eastAsiaTheme="minorEastAsia" w:hAnsi="Cambria Math"/>
            <w:lang w:val="en-GB"/>
          </w:rPr>
          <m:t>=</m:t>
        </m:r>
        <m:d>
          <m:dPr>
            <m:begChr m:val="⟨"/>
            <m:endChr m:val="⟩"/>
            <m:ctrlPr>
              <w:rPr>
                <w:rFonts w:ascii="Cambria Math" w:eastAsiaTheme="minorEastAsia" w:hAnsi="Cambria Math"/>
                <w:i/>
                <w:lang w:val="en-GB"/>
              </w:rPr>
            </m:ctrlPr>
          </m:dPr>
          <m:e>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x</m:t>
                </m:r>
              </m:e>
            </m:d>
            <m:r>
              <w:rPr>
                <w:rFonts w:ascii="Cambria Math" w:eastAsiaTheme="minorEastAsia" w:hAnsi="Cambria Math"/>
                <w:lang w:val="en-GB"/>
              </w:rPr>
              <m:t>,Φ</m:t>
            </m:r>
            <m:d>
              <m:dPr>
                <m:ctrlPr>
                  <w:rPr>
                    <w:rFonts w:ascii="Cambria Math" w:eastAsiaTheme="minorEastAsia" w:hAnsi="Cambria Math"/>
                    <w:i/>
                    <w:lang w:val="en-GB"/>
                  </w:rPr>
                </m:ctrlPr>
              </m:dPr>
              <m:e>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m:t>
                    </m:r>
                  </m:sup>
                </m:sSup>
              </m:e>
            </m:d>
          </m:e>
        </m:d>
      </m:oMath>
    </w:p>
    <w:p w14:paraId="2A5536EE" w14:textId="4C6C25E6" w:rsidR="009E22A3" w:rsidRDefault="009E22A3" w:rsidP="009E22A3">
      <w:pPr>
        <w:jc w:val="both"/>
        <w:rPr>
          <w:rFonts w:eastAsiaTheme="minorEastAsia"/>
          <w:lang w:val="en-GB"/>
        </w:rPr>
      </w:pPr>
      <w:r w:rsidRPr="00AA1DEF">
        <w:rPr>
          <w:rFonts w:eastAsiaTheme="minorEastAsia"/>
          <w:lang w:val="en-GB"/>
        </w:rPr>
        <w:t xml:space="preserve">for some mapping </w:t>
      </w:r>
      <m:oMath>
        <m:r>
          <w:rPr>
            <w:rFonts w:ascii="Cambria Math" w:eastAsiaTheme="minorEastAsia" w:hAnsi="Cambria Math"/>
            <w:lang w:val="en-GB"/>
          </w:rPr>
          <m:t>Φ:X→H</m:t>
        </m:r>
      </m:oMath>
      <w:r w:rsidRPr="00AA1DEF">
        <w:rPr>
          <w:rFonts w:eastAsiaTheme="minorEastAsia"/>
          <w:lang w:val="en-GB"/>
        </w:rPr>
        <w:t xml:space="preserve"> to a </w:t>
      </w:r>
      <w:r w:rsidRPr="00AA1DEF">
        <w:rPr>
          <w:rFonts w:eastAsiaTheme="minorEastAsia"/>
          <w:i/>
          <w:iCs/>
          <w:lang w:val="en-GB"/>
        </w:rPr>
        <w:t>Hilbert</w:t>
      </w:r>
      <w:r w:rsidRPr="00AA1DEF">
        <w:rPr>
          <w:rFonts w:eastAsiaTheme="minorEastAsia"/>
          <w:lang w:val="en-GB"/>
        </w:rPr>
        <w:t xml:space="preserve"> space </w:t>
      </w:r>
      <m:oMath>
        <m:r>
          <w:rPr>
            <w:rFonts w:ascii="Cambria Math" w:eastAsiaTheme="minorEastAsia" w:hAnsi="Cambria Math"/>
            <w:lang w:val="en-GB"/>
          </w:rPr>
          <m:t>H</m:t>
        </m:r>
      </m:oMath>
      <w:r w:rsidRPr="00AA1DEF">
        <w:rPr>
          <w:rFonts w:eastAsiaTheme="minorEastAsia"/>
          <w:lang w:val="en-GB"/>
        </w:rPr>
        <w:t xml:space="preserve"> called a function space </w:t>
      </w:r>
      <w:r>
        <w:rPr>
          <w:rFonts w:eastAsiaTheme="minorEastAsia"/>
          <w:lang w:val="en-GB"/>
        </w:rPr>
        <w:fldChar w:fldCharType="begin" w:fldLock="1"/>
      </w:r>
      <w:r w:rsidR="001878D7">
        <w:rPr>
          <w:rFonts w:eastAsiaTheme="minorEastAsia"/>
          <w:lang w:val="en-GB"/>
        </w:rPr>
        <w:instrText>ADDIN CSL_CITATION {"citationItems":[{"id":"ITEM-1","itemData":{"DOI":"10.2307/3617432","ISSN":"00255572","abstract":"Building on the success of the two previous editions, Introduction to Hilbert Spaces with Applications, 3E, offers an overview of the basic ideas and results of Hilbert space theory and functional analysis. It acquaints students with the Lebesgue integral, and includes an enhanced presentation of results and proofs. Students and researchers will benefit from the wealth of revised examples in new, diverse applications as they apply to optimization, variational and control problems, and problems in approximation theory, nonlinear instability, and bifurcation. The text also includes a popular chapter on wavelets that has been completely updated. Students and researchers agree that this is the definitive text on Hilbert Space theory. * Updated chapter on wavelets * Improved presentation on results and proof * Revised examples and updated applications * Completely updated list of references .","author":[{"dropping-particle":"","family":"Cooper","given":"J. L. B.","non-dropping-particle":"","parse-names":false,"suffix":""},{"dropping-particle":"","family":"Berberian","given":"Sterling K.","non-dropping-particle":"","parse-names":false,"suffix":""}],"container-title":"The Mathematical Gazette","id":"ITEM-1","issued":{"date-parts":[["1977"]]},"title":"Introduction to Hilbert Space","type":"article-journal"},"uris":["http://www.mendeley.com/documents/?uuid=449784fd-ebe4-46da-bfc2-a170664c3feb"]}],"mendeley":{"formattedCitation":"(Cooper &amp; Berberian, 1977)","plainTextFormattedCitation":"(Cooper &amp; Berberian, 1977)","previouslyFormattedCitation":"(Cooper &amp; Berberian, 1977)"},"properties":{"noteIndex":0},"schema":"https://github.com/citation-style-language/schema/raw/master/csl-citation.json"}</w:instrText>
      </w:r>
      <w:r>
        <w:rPr>
          <w:rFonts w:eastAsiaTheme="minorEastAsia"/>
          <w:lang w:val="en-GB"/>
        </w:rPr>
        <w:fldChar w:fldCharType="separate"/>
      </w:r>
      <w:r w:rsidRPr="009E22A3">
        <w:rPr>
          <w:rFonts w:eastAsiaTheme="minorEastAsia"/>
          <w:noProof/>
          <w:lang w:val="en-GB"/>
        </w:rPr>
        <w:t>(Cooper &amp; Berberian, 1977)</w:t>
      </w:r>
      <w:r>
        <w:rPr>
          <w:rFonts w:eastAsiaTheme="minorEastAsia"/>
          <w:lang w:val="en-GB"/>
        </w:rPr>
        <w:fldChar w:fldCharType="end"/>
      </w:r>
      <w:r w:rsidRPr="00AA1DEF">
        <w:rPr>
          <w:rFonts w:eastAsiaTheme="minorEastAsia"/>
          <w:lang w:val="en-GB"/>
        </w:rPr>
        <w:t xml:space="preserve">. Since the inner product is a measure of the similarity between two vectors, </w:t>
      </w:r>
      <m:oMath>
        <m:r>
          <w:rPr>
            <w:rFonts w:ascii="Cambria Math" w:eastAsiaTheme="minorEastAsia" w:hAnsi="Cambria Math"/>
            <w:lang w:val="en-GB"/>
          </w:rPr>
          <m:t>K</m:t>
        </m:r>
      </m:oMath>
      <w:r w:rsidRPr="00AA1DEF">
        <w:rPr>
          <w:rFonts w:eastAsiaTheme="minorEastAsia"/>
          <w:lang w:val="en-GB"/>
        </w:rPr>
        <w:t xml:space="preserve"> is often viewed as a measure of similarity between the elements of the </w:t>
      </w:r>
      <m:oMath>
        <m:r>
          <w:rPr>
            <w:rFonts w:ascii="Cambria Math" w:eastAsiaTheme="minorEastAsia" w:hAnsi="Cambria Math"/>
            <w:lang w:val="en-GB"/>
          </w:rPr>
          <m:t>X</m:t>
        </m:r>
      </m:oMath>
      <w:r w:rsidRPr="00AA1DEF">
        <w:rPr>
          <w:rFonts w:eastAsiaTheme="minorEastAsia"/>
          <w:lang w:val="en-GB"/>
        </w:rPr>
        <w:t xml:space="preserve"> input space. </w:t>
      </w:r>
    </w:p>
    <w:p w14:paraId="292FB5F2" w14:textId="25BC90D2" w:rsidR="00210E54" w:rsidRPr="00AA1DEF" w:rsidRDefault="001878D7" w:rsidP="009E2A30">
      <w:pPr>
        <w:ind w:firstLine="708"/>
        <w:jc w:val="both"/>
        <w:rPr>
          <w:rFonts w:eastAsiaTheme="minorEastAsia"/>
          <w:lang w:val="en-GB"/>
        </w:rPr>
      </w:pPr>
      <w:r w:rsidRPr="00AA1DEF">
        <w:rPr>
          <w:lang w:val="en-GB"/>
        </w:rPr>
        <w:t xml:space="preserve">During the implementation of the SVM algorithm, the classification procedure is performed by the construction of hyperplanes (decision surfaces) in a multidimensional space that best separates cases of different class labels </w:t>
      </w:r>
      <w:r>
        <w:rPr>
          <w:lang w:val="en-GB"/>
        </w:rPr>
        <w:fldChar w:fldCharType="begin" w:fldLock="1"/>
      </w:r>
      <w:r w:rsidR="00A45293">
        <w:rPr>
          <w:lang w:val="en-GB"/>
        </w:rPr>
        <w:instrText>ADDIN CSL_CITATION {"citationItems":[{"id":"ITEM-1","itemData":{"ISBN":"0262194503","ISSN":"10495258","abstract":"We show that the recently proposed variant of the Support Vector machine (SVM[) algorithm, known as ν-SVM, can be interpreted as a maximal separation between subsets of the convex hulls of the data, which we call soft convex hulls. The soft convex hulls are controlled by choice of the parameter ν If the intersection of the convex hulls is empty, the hyperplane is positioned halfway between them such that the distance between convex hulls, measured along the normal, is maximized 5 and if it is not, the hyperplane s normal is similarly determined by the soft convex hulls, but its position (perpendicular distance from the origin) is adjusted to minimize the error sum. The proposed geometric interpretation of ν-SVM also leads to necessary and sufficient conditions for the existence of a choice of v for which the ν-SVM solution is nontrivial.","author":[{"dropping-particle":"","family":"Crisp","given":"David J.","non-dropping-particle":"","parse-names":false,"suffix":""},{"dropping-particle":"","family":"Burges","given":"Christopher J.C.","non-dropping-particle":"","parse-names":false,"suffix":""}],"container-title":"Advances in Neural Information Processing Systems","id":"ITEM-1","issued":{"date-parts":[["2000"]]},"title":"A geometric interpretation of ν-SVM classifiers","type":"paper-conference"},"uris":["http://www.mendeley.com/documents/?uuid=c7b1f36f-b969-48e5-b19b-3e612bff48a7"]}],"mendeley":{"formattedCitation":"(Crisp &amp; Burges, 2000)","plainTextFormattedCitation":"(Crisp &amp; Burges, 2000)","previouslyFormattedCitation":"(Crisp &amp; Burges, 2000)"},"properties":{"noteIndex":0},"schema":"https://github.com/citation-style-language/schema/raw/master/csl-citation.json"}</w:instrText>
      </w:r>
      <w:r>
        <w:rPr>
          <w:lang w:val="en-GB"/>
        </w:rPr>
        <w:fldChar w:fldCharType="separate"/>
      </w:r>
      <w:r w:rsidRPr="001878D7">
        <w:rPr>
          <w:noProof/>
          <w:lang w:val="en-GB"/>
        </w:rPr>
        <w:t>(Crisp &amp; Burges, 2000)</w:t>
      </w:r>
      <w:r>
        <w:rPr>
          <w:lang w:val="en-GB"/>
        </w:rPr>
        <w:fldChar w:fldCharType="end"/>
      </w:r>
      <w:r w:rsidRPr="00AA1DEF">
        <w:rPr>
          <w:lang w:val="en-GB"/>
        </w:rPr>
        <w:t xml:space="preserve">. In order to obtain a desired (optimal) hyperplane, the method employs an iterative training algorithm, which is then used to minimize an error function. </w:t>
      </w:r>
      <w:r w:rsidR="00210E54" w:rsidRPr="00AA1DEF">
        <w:rPr>
          <w:lang w:val="en-GB"/>
        </w:rPr>
        <w:t xml:space="preserve">For a constant </w:t>
      </w:r>
      <m:oMath>
        <m:r>
          <w:rPr>
            <w:rFonts w:ascii="Cambria Math" w:hAnsi="Cambria Math"/>
            <w:lang w:val="en-GB"/>
          </w:rPr>
          <m:t>σ&gt;0</m:t>
        </m:r>
      </m:oMath>
      <w:r w:rsidR="00210E54" w:rsidRPr="00AA1DEF">
        <w:rPr>
          <w:rFonts w:eastAsiaTheme="minorEastAsia"/>
          <w:lang w:val="en-GB"/>
        </w:rPr>
        <w:t xml:space="preserve">, a </w:t>
      </w:r>
      <w:r w:rsidR="00210E54" w:rsidRPr="00AA1DEF">
        <w:rPr>
          <w:rFonts w:eastAsiaTheme="minorEastAsia"/>
          <w:i/>
          <w:iCs/>
          <w:lang w:val="en-GB"/>
        </w:rPr>
        <w:t>Radial Basis Function</w:t>
      </w:r>
      <w:r w:rsidR="00210E54" w:rsidRPr="00AA1DEF">
        <w:rPr>
          <w:rFonts w:eastAsiaTheme="minorEastAsia"/>
          <w:lang w:val="en-GB"/>
        </w:rPr>
        <w:t xml:space="preserve"> is the kernel </w:t>
      </w:r>
      <m:oMath>
        <m:r>
          <w:rPr>
            <w:rFonts w:ascii="Cambria Math" w:eastAsiaTheme="minorEastAsia" w:hAnsi="Cambria Math"/>
            <w:lang w:val="en-GB"/>
          </w:rPr>
          <m:t>K</m:t>
        </m:r>
      </m:oMath>
      <w:r w:rsidR="00210E54" w:rsidRPr="00AA1DEF">
        <w:rPr>
          <w:rFonts w:eastAsiaTheme="minorEastAsia"/>
          <w:lang w:val="en-GB"/>
        </w:rPr>
        <w:t xml:space="preserve"> defined over </w:t>
      </w:r>
      <m:oMath>
        <m:sSup>
          <m:sSupPr>
            <m:ctrlPr>
              <w:rPr>
                <w:rFonts w:ascii="Cambria Math" w:eastAsiaTheme="minorEastAsia" w:hAnsi="Cambria Math"/>
                <w:i/>
                <w:lang w:val="en-GB"/>
              </w:rPr>
            </m:ctrlPr>
          </m:sSupPr>
          <m:e>
            <m:r>
              <w:rPr>
                <w:rFonts w:ascii="Cambria Math" w:eastAsiaTheme="minorEastAsia" w:hAnsi="Cambria Math"/>
                <w:lang w:val="en-GB"/>
              </w:rPr>
              <m:t>R</m:t>
            </m:r>
          </m:e>
          <m:sup>
            <m:r>
              <w:rPr>
                <w:rFonts w:ascii="Cambria Math" w:eastAsiaTheme="minorEastAsia" w:hAnsi="Cambria Math"/>
                <w:lang w:val="en-GB"/>
              </w:rPr>
              <m:t>N</m:t>
            </m:r>
          </m:sup>
        </m:sSup>
      </m:oMath>
      <w:r w:rsidR="00210E54" w:rsidRPr="00AA1DEF">
        <w:rPr>
          <w:rFonts w:eastAsiaTheme="minorEastAsia"/>
          <w:lang w:val="en-GB"/>
        </w:rPr>
        <w:t xml:space="preserve"> with:</w:t>
      </w:r>
    </w:p>
    <w:p w14:paraId="71F8E4BD" w14:textId="77777777" w:rsidR="00210E54" w:rsidRPr="00AA1DEF" w:rsidRDefault="00210E54" w:rsidP="00210E54">
      <w:pPr>
        <w:jc w:val="center"/>
        <w:rPr>
          <w:lang w:val="en-GB"/>
        </w:rPr>
      </w:pPr>
      <m:oMath>
        <m:r>
          <w:rPr>
            <w:rFonts w:ascii="Cambria Math" w:hAnsi="Cambria Math"/>
            <w:lang w:val="en-GB"/>
          </w:rPr>
          <m:t>∀ x,</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N</m:t>
            </m:r>
          </m:sup>
        </m:sSup>
      </m:oMath>
      <w:r w:rsidRPr="00AA1DEF">
        <w:rPr>
          <w:rFonts w:eastAsiaTheme="minorEastAsia"/>
          <w:lang w:val="en-GB"/>
        </w:rPr>
        <w:t xml:space="preserve">, </w:t>
      </w:r>
      <m:oMath>
        <m:r>
          <w:rPr>
            <w:rFonts w:ascii="Cambria Math" w:eastAsiaTheme="minorEastAsia" w:hAnsi="Cambria Math"/>
            <w:lang w:val="en-GB"/>
          </w:rPr>
          <m:t xml:space="preserve"> K</m:t>
        </m:r>
        <m:d>
          <m:dPr>
            <m:ctrlPr>
              <w:rPr>
                <w:rFonts w:ascii="Cambria Math" w:eastAsiaTheme="minorEastAsia" w:hAnsi="Cambria Math"/>
                <w:i/>
                <w:lang w:val="en-GB"/>
              </w:rPr>
            </m:ctrlPr>
          </m:dPr>
          <m:e>
            <m:r>
              <w:rPr>
                <w:rFonts w:ascii="Cambria Math" w:eastAsiaTheme="minorEastAsia" w:hAnsi="Cambria Math"/>
                <w:lang w:val="en-GB"/>
              </w:rPr>
              <m:t>x,</m:t>
            </m:r>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m:t>
                </m:r>
              </m:sup>
            </m:sSup>
          </m:e>
        </m:d>
        <m:r>
          <w:rPr>
            <w:rFonts w:ascii="Cambria Math" w:eastAsiaTheme="minorEastAsia" w:hAnsi="Cambria Math"/>
            <w:lang w:val="en-GB"/>
          </w:rPr>
          <m:t>=</m:t>
        </m:r>
        <m:func>
          <m:funcPr>
            <m:ctrlPr>
              <w:rPr>
                <w:rFonts w:ascii="Cambria Math" w:eastAsiaTheme="minorEastAsia" w:hAnsi="Cambria Math"/>
                <w:i/>
                <w:lang w:val="en-GB"/>
              </w:rPr>
            </m:ctrlPr>
          </m:funcPr>
          <m:fName>
            <m:r>
              <w:rPr>
                <w:rFonts w:ascii="Cambria Math" w:eastAsiaTheme="minorEastAsia" w:hAnsi="Cambria Math"/>
                <w:lang w:val="en-GB"/>
              </w:rPr>
              <m:t>exp</m:t>
            </m:r>
          </m:fName>
          <m:e>
            <m:d>
              <m:dPr>
                <m:ctrlPr>
                  <w:rPr>
                    <w:rFonts w:ascii="Cambria Math" w:eastAsiaTheme="minorEastAsia" w:hAnsi="Cambria Math"/>
                    <w:i/>
                    <w:lang w:val="en-GB"/>
                  </w:rPr>
                </m:ctrlPr>
              </m:dPr>
              <m:e>
                <m:r>
                  <w:rPr>
                    <w:rFonts w:ascii="Cambria Math" w:eastAsiaTheme="minorEastAsia" w:hAnsi="Cambria Math"/>
                    <w:lang w:val="en-GB"/>
                  </w:rPr>
                  <m:t>-</m:t>
                </m:r>
                <m:f>
                  <m:fPr>
                    <m:ctrlPr>
                      <w:rPr>
                        <w:rFonts w:ascii="Cambria Math" w:eastAsiaTheme="minorEastAsia" w:hAnsi="Cambria Math"/>
                        <w:i/>
                        <w:lang w:val="en-GB"/>
                      </w:rPr>
                    </m:ctrlPr>
                  </m:fPr>
                  <m:num>
                    <m:d>
                      <m:dPr>
                        <m:begChr m:val="‖"/>
                        <m:endChr m:val="‖"/>
                        <m:ctrlPr>
                          <w:rPr>
                            <w:rFonts w:ascii="Cambria Math" w:eastAsiaTheme="minorEastAsia" w:hAnsi="Cambria Math"/>
                            <w:i/>
                            <w:lang w:val="en-GB"/>
                          </w:rPr>
                        </m:ctrlPr>
                      </m:dPr>
                      <m:e>
                        <m:sSup>
                          <m:sSupPr>
                            <m:ctrlPr>
                              <w:rPr>
                                <w:rFonts w:ascii="Cambria Math" w:eastAsiaTheme="minorEastAsia" w:hAnsi="Cambria Math"/>
                                <w:i/>
                                <w:lang w:val="en-GB"/>
                              </w:rPr>
                            </m:ctrlPr>
                          </m:sSupPr>
                          <m:e>
                            <m:r>
                              <w:rPr>
                                <w:rFonts w:ascii="Cambria Math" w:eastAsiaTheme="minorEastAsia" w:hAnsi="Cambria Math"/>
                                <w:lang w:val="en-GB"/>
                              </w:rPr>
                              <m:t>x</m:t>
                            </m:r>
                          </m:e>
                          <m:sup>
                            <m:r>
                              <w:rPr>
                                <w:rFonts w:ascii="Cambria Math" w:eastAsiaTheme="minorEastAsia" w:hAnsi="Cambria Math"/>
                                <w:lang w:val="en-GB"/>
                              </w:rPr>
                              <m:t>'</m:t>
                            </m:r>
                          </m:sup>
                        </m:sSup>
                        <m:r>
                          <w:rPr>
                            <w:rFonts w:ascii="Cambria Math" w:eastAsiaTheme="minorEastAsia" w:hAnsi="Cambria Math"/>
                            <w:lang w:val="en-GB"/>
                          </w:rPr>
                          <m:t>-x</m:t>
                        </m:r>
                      </m:e>
                    </m:d>
                  </m:num>
                  <m:den>
                    <m:r>
                      <w:rPr>
                        <w:rFonts w:ascii="Cambria Math" w:eastAsiaTheme="minorEastAsia" w:hAnsi="Cambria Math"/>
                        <w:lang w:val="en-GB"/>
                      </w:rPr>
                      <m:t>2</m:t>
                    </m:r>
                    <m:sSup>
                      <m:sSupPr>
                        <m:ctrlPr>
                          <w:rPr>
                            <w:rFonts w:ascii="Cambria Math" w:eastAsiaTheme="minorEastAsia" w:hAnsi="Cambria Math"/>
                            <w:i/>
                            <w:lang w:val="en-GB"/>
                          </w:rPr>
                        </m:ctrlPr>
                      </m:sSupPr>
                      <m:e>
                        <m:r>
                          <w:rPr>
                            <w:rFonts w:ascii="Cambria Math" w:eastAsiaTheme="minorEastAsia" w:hAnsi="Cambria Math"/>
                            <w:lang w:val="en-GB"/>
                          </w:rPr>
                          <m:t>σ</m:t>
                        </m:r>
                      </m:e>
                      <m:sup>
                        <m:r>
                          <w:rPr>
                            <w:rFonts w:ascii="Cambria Math" w:eastAsiaTheme="minorEastAsia" w:hAnsi="Cambria Math"/>
                            <w:lang w:val="en-GB"/>
                          </w:rPr>
                          <m:t>2</m:t>
                        </m:r>
                      </m:sup>
                    </m:sSup>
                  </m:den>
                </m:f>
              </m:e>
            </m:d>
          </m:e>
        </m:func>
      </m:oMath>
    </w:p>
    <w:p w14:paraId="62DA6D26" w14:textId="333F39F1" w:rsidR="00A45293" w:rsidRDefault="00A45293" w:rsidP="00A45293">
      <w:pPr>
        <w:jc w:val="both"/>
        <w:rPr>
          <w:rFonts w:eastAsiaTheme="minorEastAsia"/>
          <w:lang w:val="en-GB"/>
        </w:rPr>
      </w:pPr>
      <w:r w:rsidRPr="00AA1DEF">
        <w:rPr>
          <w:lang w:val="en-GB"/>
        </w:rPr>
        <w:t xml:space="preserve">with </w:t>
      </w:r>
      <m:oMath>
        <m:r>
          <w:rPr>
            <w:rFonts w:ascii="Cambria Math" w:hAnsi="Cambria Math"/>
            <w:lang w:val="en-GB"/>
          </w:rPr>
          <m:t>σ</m:t>
        </m:r>
      </m:oMath>
      <w:r w:rsidRPr="00AA1DEF">
        <w:rPr>
          <w:rFonts w:eastAsiaTheme="minorEastAsia"/>
          <w:lang w:val="en-GB"/>
        </w:rPr>
        <w:t xml:space="preserve"> (</w:t>
      </w:r>
      <w:r w:rsidRPr="00AA1DEF">
        <w:rPr>
          <w:rFonts w:eastAsiaTheme="minorEastAsia"/>
          <w:i/>
          <w:iCs/>
          <w:lang w:val="en-GB"/>
        </w:rPr>
        <w:t>sigma</w:t>
      </w:r>
      <w:r w:rsidRPr="00AA1DEF">
        <w:rPr>
          <w:rFonts w:eastAsiaTheme="minorEastAsia"/>
          <w:lang w:val="en-GB"/>
        </w:rPr>
        <w:t xml:space="preserve">) acting as a tuning parameter denoting the smoothness of the decision boundary and controlling the model variance </w:t>
      </w:r>
      <w:r>
        <w:rPr>
          <w:rFonts w:eastAsiaTheme="minorEastAsia"/>
          <w:lang w:val="en-GB"/>
        </w:rPr>
        <w:fldChar w:fldCharType="begin" w:fldLock="1"/>
      </w:r>
      <w:r w:rsidR="005758C0">
        <w:rPr>
          <w:rFonts w:eastAsiaTheme="minorEastAsia"/>
          <w:lang w:val="en-GB"/>
        </w:rPr>
        <w:instrText>ADDIN CSL_CITATION {"citationItems":[{"id":"ITEM-1","itemData":{"DOI":"10.1016/j.neucom.2004.11.022","ISSN":"09252312","abstract":"The problem of model selection for support vector machines (SVMs) is considered. We propose an evolutionary approach to determine multiple SVM hyperparameters: The covariance matrix adaptation evolution strategy (CMA-ES) is used to determine the kernel from a parameterized kernel space and to control the regularization. Our method is applicable to optimize non-differentiable kernel functions and arbitrary model selection criteria. We demonstrate on benchmark datasets that the CMA-ES improves the results achieved by grid search already when applied to few hyperparameters. Further, we show that the CMA-ES is able to handle much more kernel parameters compared to grid-search and that tuning of the scaling and the rotation of Gaussian kernels can lead to better results in comparison to standard Gaussian kernels with a single bandwidth parameter. In particular, more flexibility of the kernel can reduce the number of support vectors. © 2004 Elsevier B.V. All rights reserved.","author":[{"dropping-particle":"","family":"Friedrichs","given":"Frauke","non-dropping-particle":"","parse-names":false,"suffix":""},{"dropping-particle":"","family":"Igel","given":"Christian","non-dropping-particle":"","parse-names":false,"suffix":""}],"container-title":"Neurocomputing","id":"ITEM-1","issued":{"date-parts":[["2005"]]},"title":"Evolutionary tuning of multiple SVM parameters","type":"article-journal"},"uris":["http://www.mendeley.com/documents/?uuid=7e85c014-97f0-41e3-b760-fa417aa66e74"]}],"mendeley":{"formattedCitation":"(Friedrichs &amp; Igel, 2005)","plainTextFormattedCitation":"(Friedrichs &amp; Igel, 2005)","previouslyFormattedCitation":"(Friedrichs &amp; Igel, 2005)"},"properties":{"noteIndex":0},"schema":"https://github.com/citation-style-language/schema/raw/master/csl-citation.json"}</w:instrText>
      </w:r>
      <w:r>
        <w:rPr>
          <w:rFonts w:eastAsiaTheme="minorEastAsia"/>
          <w:lang w:val="en-GB"/>
        </w:rPr>
        <w:fldChar w:fldCharType="separate"/>
      </w:r>
      <w:r w:rsidRPr="00A45293">
        <w:rPr>
          <w:rFonts w:eastAsiaTheme="minorEastAsia"/>
          <w:noProof/>
          <w:lang w:val="en-GB"/>
        </w:rPr>
        <w:t>(Friedrichs &amp; Igel, 2005)</w:t>
      </w:r>
      <w:r>
        <w:rPr>
          <w:rFonts w:eastAsiaTheme="minorEastAsia"/>
          <w:lang w:val="en-GB"/>
        </w:rPr>
        <w:fldChar w:fldCharType="end"/>
      </w:r>
      <w:r w:rsidRPr="00AA1DEF">
        <w:rPr>
          <w:rFonts w:eastAsiaTheme="minorEastAsia"/>
          <w:lang w:val="en-GB"/>
        </w:rPr>
        <w:t xml:space="preserve">. In terms of intuitive understanding – the sigma parameter defines the extent to which the influence of a single example of training reaches, with low </w:t>
      </w:r>
      <w:r w:rsidRPr="00AA1DEF">
        <w:rPr>
          <w:rFonts w:eastAsiaTheme="minorEastAsia"/>
          <w:lang w:val="en-GB"/>
        </w:rPr>
        <w:lastRenderedPageBreak/>
        <w:t xml:space="preserve">values meaning ‘far’ and high values – ‘near’. The sigma parameter can be viewed as the opposite of the impact range of the samples chosen by the algorithm as support vectors.  </w:t>
      </w:r>
    </w:p>
    <w:p w14:paraId="464A8A92" w14:textId="77777777" w:rsidR="00601C72" w:rsidRPr="00AA1DEF" w:rsidRDefault="00601C72" w:rsidP="00A45293">
      <w:pPr>
        <w:jc w:val="both"/>
        <w:rPr>
          <w:lang w:val="en-GB"/>
        </w:rPr>
      </w:pPr>
    </w:p>
    <w:p w14:paraId="0371ED0E" w14:textId="2A30F81F" w:rsidR="00601C72" w:rsidRDefault="00601C72" w:rsidP="00601C72">
      <w:pPr>
        <w:jc w:val="both"/>
        <w:rPr>
          <w:b/>
          <w:bCs/>
          <w:lang w:val="en-GB"/>
        </w:rPr>
      </w:pPr>
      <w:r>
        <w:rPr>
          <w:b/>
          <w:bCs/>
          <w:lang w:val="en-GB"/>
        </w:rPr>
        <w:t xml:space="preserve">2.7. </w:t>
      </w:r>
      <w:r>
        <w:rPr>
          <w:b/>
          <w:bCs/>
          <w:lang w:val="en-GB"/>
        </w:rPr>
        <w:tab/>
        <w:t>Hyperparameter optimization</w:t>
      </w:r>
    </w:p>
    <w:p w14:paraId="15817FA2" w14:textId="51B886FD" w:rsidR="005758C0" w:rsidRPr="00707B3C" w:rsidRDefault="005758C0" w:rsidP="009E2A30">
      <w:pPr>
        <w:ind w:firstLine="708"/>
        <w:jc w:val="both"/>
        <w:rPr>
          <w:rFonts w:eastAsiaTheme="minorEastAsia"/>
          <w:color w:val="FF0000"/>
          <w:lang w:val="en-GB"/>
        </w:rPr>
      </w:pPr>
      <w:r w:rsidRPr="00AA1DEF">
        <w:rPr>
          <w:rFonts w:eastAsiaTheme="minorEastAsia"/>
          <w:lang w:val="en-GB"/>
        </w:rPr>
        <w:t xml:space="preserve">In the process of machine learning, the problem of choosing a set of optimal hyperparameters is refered to as optimization or tuning </w:t>
      </w:r>
      <w:r>
        <w:rPr>
          <w:rFonts w:eastAsiaTheme="minorEastAsia"/>
          <w:lang w:val="en-GB"/>
        </w:rPr>
        <w:fldChar w:fldCharType="begin" w:fldLock="1"/>
      </w:r>
      <w:r>
        <w:rPr>
          <w:rFonts w:eastAsiaTheme="minorEastAsia"/>
          <w:lang w:val="en-GB"/>
        </w:rPr>
        <w:instrText>ADDIN CSL_CITATION {"citationItems":[{"id":"ITEM-1","itemData":{"DOI":"10.1007/978-3-030-05318-5_1","abstract":"Recent interest in complex and computationally expensive machine learning models with many hyperparameters, such as automated machine learning (AutoML) frameworks and deep neural networks, has resulted in a resurgence of research on hyperparameter optimization (HPO). In this chapter, we give an overview of the most prominent approaches for HPO. We first discuss blackbox function optimization methods based on model-free methods and Bayesian optimization. Since the high computational demand of many modern machine learning applications renders pure blackbox optimization extremely costly, we next focus on modern multi-fidelity methods that use (much) cheaper variants of the blackbox function to approximately assess the quality of hyperparameter settings. Lastly, we point to open problems and future research directions.","author":[{"dropping-particle":"","family":"Feurer","given":"Matthias","non-dropping-particle":"","parse-names":false,"suffix":""},{"dropping-particle":"","family":"Hutter","given":"Frank","non-dropping-particle":"","parse-names":false,"suffix":""}],"id":"ITEM-1","issued":{"date-parts":[["2019"]]},"title":"Hyperparameter Optimization","type":"chapter"},"uris":["http://www.mendeley.com/documents/?uuid=b67bb748-3866-4633-96e8-92470453e90e"]}],"mendeley":{"formattedCitation":"(Feurer &amp; Hutter, 2019)","plainTextFormattedCitation":"(Feurer &amp; Hutter, 2019)","previouslyFormattedCitation":"(Feurer &amp; Hutter, 2019)"},"properties":{"noteIndex":0},"schema":"https://github.com/citation-style-language/schema/raw/master/csl-citation.json"}</w:instrText>
      </w:r>
      <w:r>
        <w:rPr>
          <w:rFonts w:eastAsiaTheme="minorEastAsia"/>
          <w:lang w:val="en-GB"/>
        </w:rPr>
        <w:fldChar w:fldCharType="separate"/>
      </w:r>
      <w:r w:rsidRPr="005758C0">
        <w:rPr>
          <w:rFonts w:eastAsiaTheme="minorEastAsia"/>
          <w:noProof/>
          <w:lang w:val="en-GB"/>
        </w:rPr>
        <w:t>(Feurer &amp; Hutter, 2019)</w:t>
      </w:r>
      <w:r>
        <w:rPr>
          <w:rFonts w:eastAsiaTheme="minorEastAsia"/>
          <w:lang w:val="en-GB"/>
        </w:rPr>
        <w:fldChar w:fldCharType="end"/>
      </w:r>
      <w:r w:rsidRPr="00AA1DEF">
        <w:rPr>
          <w:rFonts w:eastAsiaTheme="minorEastAsia"/>
          <w:lang w:val="en-GB"/>
        </w:rPr>
        <w:t>. A hyperparameter is a parameter whose value is used during the performance control of the learning process – it is external to the model and cannot be estimated from the dataset</w:t>
      </w:r>
      <w:r>
        <w:rPr>
          <w:rFonts w:eastAsiaTheme="minorEastAsia"/>
          <w:lang w:val="en-GB"/>
        </w:rPr>
        <w:t xml:space="preserve"> </w:t>
      </w:r>
      <w:r>
        <w:rPr>
          <w:rFonts w:eastAsiaTheme="minorEastAsia"/>
          <w:lang w:val="en-GB"/>
        </w:rPr>
        <w:fldChar w:fldCharType="begin" w:fldLock="1"/>
      </w:r>
      <w:r>
        <w:rPr>
          <w:rFonts w:eastAsiaTheme="minorEastAsia"/>
          <w:lang w:val="en-GB"/>
        </w:rPr>
        <w:instrText>ADDIN CSL_CITATION {"citationItems":[{"id":"ITEM-1","itemData":{"ISBN":"9781634393973","abstract":"The performance of many machine learning methods depends critically on hyperparameter settings. Sophisticated Bayesian optimization methods have recently achieved considerable successes in optimizing these hyperparameters, in several cases surpassing the performance of human experts. However, blind reliance on such methods can leave end users without insight into the relative importance of different hyperparameters and their interactions. This paper describes efficient methods that can be used to gain such insight, leveraging random forest models fit on the data already gathered by Bayesian optimization. We first introduce a novel, linear-time algorithm for computing marginals of random forest predictions and then show how to leverage these predictions within a functional ANOVA framework, to quantify the importance of both single hyperparameters and of interactions between hyperparameters. We conducted experiments with prominent machine learning frameworks and state-of-the-art solvers for combinatorial problems. We show that our methods provide insight into the relationship between hyperparameter settings and performance, and demonstrate that-even in very high- dimensional cases-most performance variation is attributable to just a few hyperparameters.","author":[{"dropping-particle":"","family":"Hutter","given":"Frank","non-dropping-particle":"","parse-names":false,"suffix":""},{"dropping-particle":"","family":"Hoos","given":"Hoiger","non-dropping-particle":"","parse-names":false,"suffix":""},{"dropping-particle":"","family":"Leyton-Brown","given":"Kevin","non-dropping-particle":"","parse-names":false,"suffix":""}],"container-title":"31st International Conference on Machine Learning, ICML 2014","id":"ITEM-1","issued":{"date-parts":[["2014"]]},"title":"An efficient approach for assessing hyperparameter importance","type":"paper-conference"},"uris":["http://www.mendeley.com/documents/?uuid=fe97fcda-b501-4d9a-b3ae-83e40ff47c51"]}],"mendeley":{"formattedCitation":"(Hutter, Hoos, &amp; Leyton-Brown, 2014)","plainTextFormattedCitation":"(Hutter, Hoos, &amp; Leyton-Brown, 2014)","previouslyFormattedCitation":"(Hutter, Hoos, &amp; Leyton-Brown, 2014)"},"properties":{"noteIndex":0},"schema":"https://github.com/citation-style-language/schema/raw/master/csl-citation.json"}</w:instrText>
      </w:r>
      <w:r>
        <w:rPr>
          <w:rFonts w:eastAsiaTheme="minorEastAsia"/>
          <w:lang w:val="en-GB"/>
        </w:rPr>
        <w:fldChar w:fldCharType="separate"/>
      </w:r>
      <w:r w:rsidRPr="005758C0">
        <w:rPr>
          <w:rFonts w:eastAsiaTheme="minorEastAsia"/>
          <w:noProof/>
          <w:lang w:val="en-GB"/>
        </w:rPr>
        <w:t>(Hutter, Hoos, &amp; Leyton-Brown, 2014)</w:t>
      </w:r>
      <w:r>
        <w:rPr>
          <w:rFonts w:eastAsiaTheme="minorEastAsia"/>
          <w:lang w:val="en-GB"/>
        </w:rPr>
        <w:fldChar w:fldCharType="end"/>
      </w:r>
      <w:r w:rsidRPr="00AA1DEF">
        <w:rPr>
          <w:rFonts w:eastAsiaTheme="minorEastAsia"/>
          <w:lang w:val="en-GB"/>
        </w:rPr>
        <w:t xml:space="preserve">. One way to perform a hyperparameter optimization is via grid search (parameter sweep) process, which is a form of exhaustive searching through an indicated hyperparameter space of - in this particular case – SVM radial algorithm. For this work, the C and sigma parameters were optimized. The C parameter balances the right assignment of training instances against optimizing the margin of the decision function. With higher values of C, a narrower margin will be agreed if the decision function is more comfortable to identify all training points correctly. The lower C would promote a larger margin, therefore a more evident decision-making feature, at the cost of training precision </w:t>
      </w:r>
      <w:r>
        <w:rPr>
          <w:rFonts w:eastAsiaTheme="minorEastAsia"/>
          <w:lang w:val="en-GB"/>
        </w:rPr>
        <w:fldChar w:fldCharType="begin" w:fldLock="1"/>
      </w:r>
      <w:r>
        <w:rPr>
          <w:rFonts w:eastAsiaTheme="minorEastAsia"/>
          <w:lang w:val="en-GB"/>
        </w:rPr>
        <w:instrText>ADDIN CSL_CITATION {"citationItems":[{"id":"ITEM-1","itemData":{"ISSN":"15337928","abstract":"The support vector machine (SVM) is a widely used tool for classification. Many efficient implementations exist for fitting a two-class SVM model. The user has to supply values for the tuning parameters: the regularization cost parameter, and the kernel parameters. It seems a common practice is to use a default value for the cost parameter, often leading to the least restrictive model. In this paper we argue that the choice of the cost parameter can be critical. We then derive an algorithm that can fit the entire path of SVM solutions for every value of the cost parameter, with essentially the same computational cost as fitting one SVM model. We illustrate our algorithm on some examples, and use our representation to give further insight into the range of SVM solutions.","author":[{"dropping-particle":"","family":"Hastie","given":"Trevor","non-dropping-particle":"","parse-names":false,"suffix":""},{"dropping-particle":"","family":"Rosset","given":"Saharon","non-dropping-particle":"","parse-names":false,"suffix":""},{"dropping-particle":"","family":"Tibshirani","given":"Robert","non-dropping-particle":"","parse-names":false,"suffix":""},{"dropping-particle":"","family":"Zhu","given":"Ji","non-dropping-particle":"","parse-names":false,"suffix":""}],"container-title":"Journal of Machine Learning Research","id":"ITEM-1","issued":{"date-parts":[["2004"]]},"title":"The entire regularization path for the support vector machine","type":"article-journal"},"uris":["http://www.mendeley.com/documents/?uuid=eceee516-7746-4d20-8b8d-311d4be96203"]}],"mendeley":{"formattedCitation":"(Hastie, Rosset, Tibshirani, &amp; Zhu, 2004)","plainTextFormattedCitation":"(Hastie, Rosset, Tibshirani, &amp; Zhu, 2004)","previouslyFormattedCitation":"(Hastie, Rosset, Tibshirani, &amp; Zhu, 2004)"},"properties":{"noteIndex":0},"schema":"https://github.com/citation-style-language/schema/raw/master/csl-citation.json"}</w:instrText>
      </w:r>
      <w:r>
        <w:rPr>
          <w:rFonts w:eastAsiaTheme="minorEastAsia"/>
          <w:lang w:val="en-GB"/>
        </w:rPr>
        <w:fldChar w:fldCharType="separate"/>
      </w:r>
      <w:r w:rsidRPr="005758C0">
        <w:rPr>
          <w:rFonts w:eastAsiaTheme="minorEastAsia"/>
          <w:noProof/>
          <w:lang w:val="en-GB"/>
        </w:rPr>
        <w:t>(Hastie, Rosset, Tibshirani, &amp; Zhu, 2004)</w:t>
      </w:r>
      <w:r>
        <w:rPr>
          <w:rFonts w:eastAsiaTheme="minorEastAsia"/>
          <w:lang w:val="en-GB"/>
        </w:rPr>
        <w:fldChar w:fldCharType="end"/>
      </w:r>
      <w:r w:rsidRPr="00AA1DEF">
        <w:rPr>
          <w:rFonts w:eastAsiaTheme="minorEastAsia"/>
          <w:lang w:val="en-GB"/>
        </w:rPr>
        <w:t>.</w:t>
      </w:r>
      <w:r>
        <w:rPr>
          <w:rFonts w:eastAsiaTheme="minorEastAsia"/>
          <w:lang w:val="en-GB"/>
        </w:rPr>
        <w:t xml:space="preserve"> </w:t>
      </w:r>
      <w:r w:rsidRPr="00AA1DEF">
        <w:rPr>
          <w:rFonts w:eastAsiaTheme="minorEastAsia"/>
          <w:lang w:val="en-GB"/>
        </w:rPr>
        <w:t xml:space="preserve">In order to find the optimal hyperparameters, the R package ‘caret’ was used </w:t>
      </w:r>
      <w:r>
        <w:rPr>
          <w:rFonts w:eastAsiaTheme="minorEastAsia"/>
          <w:lang w:val="en-GB"/>
        </w:rPr>
        <w:fldChar w:fldCharType="begin" w:fldLock="1"/>
      </w:r>
      <w:r w:rsidR="00C404FA">
        <w:rPr>
          <w:rFonts w:eastAsiaTheme="minorEastAsia"/>
          <w:lang w:val="en-GB"/>
        </w:rPr>
        <w:instrText>ADDIN CSL_CITATION {"citationItems":[{"id":"ITEM-1","itemData":{"ISSN":"15487660","abstract":"The caret package, short for classification and regression training, contains numerous tools for developing predictive models using the rich set of models available in R. The package focuses on simplifying model training and tuning across a wide variety of modeling techniques. It also includes methods for pre-processing training data, calculating variable importance, and model visualizations. An example from computational chemistry is used to illustrate the functionality on a real data set and to benchmark the benefits of parallel processing with several types of models.","author":[{"dropping-particle":"","family":"Kuhn","given":"Max","non-dropping-particle":"","parse-names":false,"suffix":""}],"container-title":"Journal Of Statistical Software","id":"ITEM-1","issued":{"date-parts":[["2008"]]},"title":"caret Package","type":"article-journal"},"uris":["http://www.mendeley.com/documents/?uuid=452ff9a7-b3b6-4f0c-b750-6a29b3ab3c2d"]}],"mendeley":{"formattedCitation":"(Kuhn, 2008)","plainTextFormattedCitation":"(Kuhn, 2008)","previouslyFormattedCitation":"(Kuhn, 2008)"},"properties":{"noteIndex":0},"schema":"https://github.com/citation-style-language/schema/raw/master/csl-citation.json"}</w:instrText>
      </w:r>
      <w:r>
        <w:rPr>
          <w:rFonts w:eastAsiaTheme="minorEastAsia"/>
          <w:lang w:val="en-GB"/>
        </w:rPr>
        <w:fldChar w:fldCharType="separate"/>
      </w:r>
      <w:r w:rsidRPr="005758C0">
        <w:rPr>
          <w:rFonts w:eastAsiaTheme="minorEastAsia"/>
          <w:noProof/>
          <w:lang w:val="en-GB"/>
        </w:rPr>
        <w:t>(Kuhn, 2008)</w:t>
      </w:r>
      <w:r>
        <w:rPr>
          <w:rFonts w:eastAsiaTheme="minorEastAsia"/>
          <w:lang w:val="en-GB"/>
        </w:rPr>
        <w:fldChar w:fldCharType="end"/>
      </w:r>
      <w:r w:rsidRPr="00AA1DEF">
        <w:rPr>
          <w:rFonts w:eastAsiaTheme="minorEastAsia"/>
          <w:lang w:val="en-GB"/>
        </w:rPr>
        <w:t xml:space="preserve">. During the process, an SVM modeling function was nested within the iterative grid search algorithm, which allowed for full cross over all parameter options, so that each hyperparameter value is tested at all other values of all parameters resulting in obtaining of optimal hyperparameter values. </w:t>
      </w:r>
      <w:r w:rsidR="00F30971" w:rsidRPr="00707B3C">
        <w:rPr>
          <w:rFonts w:eastAsiaTheme="minorEastAsia"/>
          <w:color w:val="FF0000"/>
          <w:lang w:val="en-GB"/>
        </w:rPr>
        <w:t xml:space="preserve">This step, presented in detail in </w:t>
      </w:r>
      <w:r w:rsidR="00443003">
        <w:rPr>
          <w:rFonts w:eastAsiaTheme="minorEastAsia"/>
          <w:color w:val="FF0000"/>
          <w:lang w:val="en-GB"/>
        </w:rPr>
        <w:t xml:space="preserve">section </w:t>
      </w:r>
      <w:r w:rsidR="00F30971" w:rsidRPr="00707B3C">
        <w:rPr>
          <w:rFonts w:eastAsiaTheme="minorEastAsia"/>
          <w:color w:val="FF0000"/>
          <w:lang w:val="en-GB"/>
        </w:rPr>
        <w:t>3.3.</w:t>
      </w:r>
      <w:r w:rsidR="00443003">
        <w:rPr>
          <w:rFonts w:eastAsiaTheme="minorEastAsia"/>
          <w:color w:val="FF0000"/>
          <w:lang w:val="en-GB"/>
        </w:rPr>
        <w:t>,</w:t>
      </w:r>
      <w:r w:rsidR="00F30971" w:rsidRPr="00707B3C">
        <w:rPr>
          <w:rFonts w:eastAsiaTheme="minorEastAsia"/>
          <w:color w:val="FF0000"/>
          <w:lang w:val="en-GB"/>
        </w:rPr>
        <w:t xml:space="preserve"> allows for the selection of the most optimal hyperparameters from among the solutions available in the SVM function repository. The parameters selected in this way showed the highest efficiency in the next stage (k-Fold Cross-Validation), ensuring the maximization of the potential of the kernel-SVM model for the </w:t>
      </w:r>
      <w:proofErr w:type="spellStart"/>
      <w:r w:rsidR="00F30971" w:rsidRPr="00707B3C">
        <w:rPr>
          <w:rFonts w:eastAsiaTheme="minorEastAsia"/>
          <w:color w:val="FF0000"/>
          <w:lang w:val="en-GB"/>
        </w:rPr>
        <w:t>analyzed</w:t>
      </w:r>
      <w:proofErr w:type="spellEnd"/>
      <w:r w:rsidR="00F30971" w:rsidRPr="00707B3C">
        <w:rPr>
          <w:rFonts w:eastAsiaTheme="minorEastAsia"/>
          <w:color w:val="FF0000"/>
          <w:lang w:val="en-GB"/>
        </w:rPr>
        <w:t xml:space="preserve"> dataset.</w:t>
      </w:r>
    </w:p>
    <w:p w14:paraId="27D1BB6C" w14:textId="340FF6CD" w:rsidR="00F85B75" w:rsidRDefault="00F85B75" w:rsidP="005758C0">
      <w:pPr>
        <w:jc w:val="both"/>
        <w:rPr>
          <w:rFonts w:eastAsiaTheme="minorEastAsia"/>
          <w:lang w:val="en-GB"/>
        </w:rPr>
      </w:pPr>
    </w:p>
    <w:p w14:paraId="77E39885" w14:textId="15DC8F32" w:rsidR="00F85B75" w:rsidRDefault="00F85B75" w:rsidP="00F85B75">
      <w:pPr>
        <w:jc w:val="both"/>
        <w:rPr>
          <w:b/>
          <w:bCs/>
          <w:lang w:val="en-GB"/>
        </w:rPr>
      </w:pPr>
      <w:r>
        <w:rPr>
          <w:b/>
          <w:bCs/>
          <w:lang w:val="en-GB"/>
        </w:rPr>
        <w:t xml:space="preserve">2.8. </w:t>
      </w:r>
      <w:r>
        <w:rPr>
          <w:b/>
          <w:bCs/>
          <w:lang w:val="en-GB"/>
        </w:rPr>
        <w:tab/>
        <w:t>k-Fold Cross-Validation</w:t>
      </w:r>
    </w:p>
    <w:p w14:paraId="0DD07DFC" w14:textId="23C8020A" w:rsidR="00C404FA" w:rsidRDefault="00C404FA" w:rsidP="009E2A30">
      <w:pPr>
        <w:ind w:firstLine="450"/>
        <w:jc w:val="both"/>
        <w:rPr>
          <w:rFonts w:eastAsiaTheme="minorEastAsia"/>
          <w:lang w:val="en-GB"/>
        </w:rPr>
      </w:pPr>
      <w:r w:rsidRPr="00AA1DEF">
        <w:rPr>
          <w:rFonts w:eastAsiaTheme="minorEastAsia"/>
          <w:lang w:val="en-GB"/>
        </w:rPr>
        <w:t xml:space="preserve">In order to estimate the skill of the SVM model, the cross-validation method was implemented. The k-Fold Cross Validation is commonly applied in machine learning to compare and select a model for a given problem while being relatively less-biased than other popular methods </w:t>
      </w:r>
      <w:r>
        <w:rPr>
          <w:rFonts w:eastAsiaTheme="minorEastAsia"/>
          <w:lang w:val="en-GB"/>
        </w:rPr>
        <w:fldChar w:fldCharType="begin" w:fldLock="1"/>
      </w:r>
      <w:r w:rsidR="00030F1C">
        <w:rPr>
          <w:rFonts w:eastAsiaTheme="minorEastAsia"/>
          <w:lang w:val="en-GB"/>
        </w:rPr>
        <w:instrText>ADDIN CSL_CITATION {"citationItems":[{"id":"ITEM-1","itemData":{"DOI":"10.1159/000331070","ISSN":"1662-3924","PMID":"22236664","abstract":"Surgery, radiation therapy, chemotherapy, steroid therapy and radiosurgery have been the mainstream of management of brain metastasis and the trend has been continuously changed along with the advancement of cancer management, development of new technology and changing in perception of quality of life. A glance at the historical perspective on brain metastasis management clearly shows two major shifts which have been made in last two decades. One is the changes of leading treatment modalities from whole-brain radiation therapy to multimodal management focusing on radiosurgery, and the other is changes of the attitude of the treatment from palliative purpose to disease control. The epoch-making change in the understanding of brain metastasis is that brain metastasis is no longer a death sentence as considered in the past.","author":[{"dropping-particle":"","family":"Park","given":"Chul-Kee","non-dropping-particle":"","parse-names":false,"suffix":""},{"dropping-particle":"","family":"Kim","given":"Dong Gyu","non-dropping-particle":"","parse-names":false,"suffix":""}],"container-title":"Progress in neurological surgery","id":"ITEM-1","issued":{"date-parts":[["2012"]]},"title":"K-FOLD Cross-Validation","type":"article-journal"},"uris":["http://www.mendeley.com/documents/?uuid=aa51280a-fac1-46b8-962a-71427c2a4aac"]}],"mendeley":{"formattedCitation":"(Park &amp; Kim, 2012)","plainTextFormattedCitation":"(Park &amp; Kim, 2012)","previouslyFormattedCitation":"(Park &amp; Kim, 2012)"},"properties":{"noteIndex":0},"schema":"https://github.com/citation-style-language/schema/raw/master/csl-citation.json"}</w:instrText>
      </w:r>
      <w:r>
        <w:rPr>
          <w:rFonts w:eastAsiaTheme="minorEastAsia"/>
          <w:lang w:val="en-GB"/>
        </w:rPr>
        <w:fldChar w:fldCharType="separate"/>
      </w:r>
      <w:r w:rsidRPr="00C404FA">
        <w:rPr>
          <w:rFonts w:eastAsiaTheme="minorEastAsia"/>
          <w:noProof/>
          <w:lang w:val="en-GB"/>
        </w:rPr>
        <w:t>(Park &amp; Kim, 2012)</w:t>
      </w:r>
      <w:r>
        <w:rPr>
          <w:rFonts w:eastAsiaTheme="minorEastAsia"/>
          <w:lang w:val="en-GB"/>
        </w:rPr>
        <w:fldChar w:fldCharType="end"/>
      </w:r>
      <w:r w:rsidRPr="00AA1DEF">
        <w:rPr>
          <w:rFonts w:eastAsiaTheme="minorEastAsia"/>
          <w:lang w:val="en-GB"/>
        </w:rPr>
        <w:t>.  In this analysis, the k-Fold CV resampling procedure was used to estimate the skill of the model on the test dataset. The k parameter of k-Fold CV indicates the number of groups that a dataset is to be split into. During the procedure:</w:t>
      </w:r>
    </w:p>
    <w:p w14:paraId="13BDEBEB" w14:textId="77777777" w:rsidR="00C404FA" w:rsidRPr="00AA1DEF" w:rsidRDefault="00C404FA" w:rsidP="00C404FA">
      <w:pPr>
        <w:pStyle w:val="ListParagraph"/>
        <w:numPr>
          <w:ilvl w:val="0"/>
          <w:numId w:val="1"/>
        </w:numPr>
        <w:jc w:val="both"/>
        <w:rPr>
          <w:rFonts w:eastAsiaTheme="minorEastAsia"/>
          <w:lang w:val="en-GB"/>
        </w:rPr>
      </w:pPr>
      <w:r w:rsidRPr="00AA1DEF">
        <w:rPr>
          <w:rFonts w:eastAsiaTheme="minorEastAsia"/>
          <w:lang w:val="en-GB"/>
        </w:rPr>
        <w:t>The dataset was shuffled randomly.</w:t>
      </w:r>
    </w:p>
    <w:p w14:paraId="78106501" w14:textId="77777777" w:rsidR="00C404FA" w:rsidRPr="00AA1DEF" w:rsidRDefault="00C404FA" w:rsidP="00C404FA">
      <w:pPr>
        <w:pStyle w:val="ListParagraph"/>
        <w:numPr>
          <w:ilvl w:val="0"/>
          <w:numId w:val="1"/>
        </w:numPr>
        <w:jc w:val="both"/>
        <w:rPr>
          <w:rFonts w:eastAsiaTheme="minorEastAsia"/>
          <w:lang w:val="en-GB"/>
        </w:rPr>
      </w:pPr>
      <w:r w:rsidRPr="00AA1DEF">
        <w:rPr>
          <w:rFonts w:eastAsiaTheme="minorEastAsia"/>
          <w:lang w:val="en-GB"/>
        </w:rPr>
        <w:t>The dataset was split into k=10 groups.</w:t>
      </w:r>
    </w:p>
    <w:p w14:paraId="27FFDCA0" w14:textId="77777777" w:rsidR="00C404FA" w:rsidRPr="00AA1DEF" w:rsidRDefault="00C404FA" w:rsidP="00C404FA">
      <w:pPr>
        <w:pStyle w:val="ListParagraph"/>
        <w:numPr>
          <w:ilvl w:val="0"/>
          <w:numId w:val="1"/>
        </w:numPr>
        <w:jc w:val="both"/>
        <w:rPr>
          <w:rFonts w:eastAsiaTheme="minorEastAsia"/>
          <w:lang w:val="en-GB"/>
        </w:rPr>
      </w:pPr>
      <w:r w:rsidRPr="00AA1DEF">
        <w:rPr>
          <w:rFonts w:eastAsiaTheme="minorEastAsia"/>
          <w:lang w:val="en-GB"/>
        </w:rPr>
        <w:t>For each of 10 groups:</w:t>
      </w:r>
    </w:p>
    <w:p w14:paraId="1DBFAEBC" w14:textId="77777777" w:rsidR="00C404FA" w:rsidRPr="00AA1DEF" w:rsidRDefault="00C404FA" w:rsidP="00C404FA">
      <w:pPr>
        <w:pStyle w:val="ListParagraph"/>
        <w:numPr>
          <w:ilvl w:val="1"/>
          <w:numId w:val="1"/>
        </w:numPr>
        <w:jc w:val="both"/>
        <w:rPr>
          <w:rFonts w:eastAsiaTheme="minorEastAsia"/>
          <w:lang w:val="en-GB"/>
        </w:rPr>
      </w:pPr>
      <w:r w:rsidRPr="00AA1DEF">
        <w:rPr>
          <w:rFonts w:eastAsiaTheme="minorEastAsia"/>
          <w:lang w:val="en-GB"/>
        </w:rPr>
        <w:t>The one group is selected as a test set.</w:t>
      </w:r>
    </w:p>
    <w:p w14:paraId="5D9F1625" w14:textId="77777777" w:rsidR="00C404FA" w:rsidRPr="00AA1DEF" w:rsidRDefault="00C404FA" w:rsidP="00C404FA">
      <w:pPr>
        <w:pStyle w:val="ListParagraph"/>
        <w:numPr>
          <w:ilvl w:val="1"/>
          <w:numId w:val="1"/>
        </w:numPr>
        <w:jc w:val="both"/>
        <w:rPr>
          <w:rFonts w:eastAsiaTheme="minorEastAsia"/>
          <w:lang w:val="en-GB"/>
        </w:rPr>
      </w:pPr>
      <w:r w:rsidRPr="00AA1DEF">
        <w:rPr>
          <w:rFonts w:eastAsiaTheme="minorEastAsia"/>
          <w:lang w:val="en-GB"/>
        </w:rPr>
        <w:t>The SVM linear model was fitted to the remaining nine groups – creating a training set.</w:t>
      </w:r>
    </w:p>
    <w:p w14:paraId="3B217DF5" w14:textId="77777777" w:rsidR="00C404FA" w:rsidRPr="00AA1DEF" w:rsidRDefault="00C404FA" w:rsidP="00C404FA">
      <w:pPr>
        <w:pStyle w:val="ListParagraph"/>
        <w:numPr>
          <w:ilvl w:val="1"/>
          <w:numId w:val="1"/>
        </w:numPr>
        <w:jc w:val="both"/>
        <w:rPr>
          <w:rFonts w:eastAsiaTheme="minorEastAsia"/>
          <w:lang w:val="en-GB"/>
        </w:rPr>
      </w:pPr>
      <w:r w:rsidRPr="00AA1DEF">
        <w:rPr>
          <w:rFonts w:eastAsiaTheme="minorEastAsia"/>
          <w:lang w:val="en-GB"/>
        </w:rPr>
        <w:t>The SVM linear model was evaluated on the test set.</w:t>
      </w:r>
    </w:p>
    <w:p w14:paraId="0EE9E4CB" w14:textId="77777777" w:rsidR="00C404FA" w:rsidRPr="00AA1DEF" w:rsidRDefault="00C404FA" w:rsidP="00C404FA">
      <w:pPr>
        <w:pStyle w:val="ListParagraph"/>
        <w:numPr>
          <w:ilvl w:val="1"/>
          <w:numId w:val="1"/>
        </w:numPr>
        <w:jc w:val="both"/>
        <w:rPr>
          <w:rFonts w:eastAsiaTheme="minorEastAsia"/>
          <w:lang w:val="en-GB"/>
        </w:rPr>
      </w:pPr>
      <w:r w:rsidRPr="00AA1DEF">
        <w:rPr>
          <w:rFonts w:eastAsiaTheme="minorEastAsia"/>
          <w:lang w:val="en-GB"/>
        </w:rPr>
        <w:t>The evaluation score was retained.</w:t>
      </w:r>
    </w:p>
    <w:p w14:paraId="3DFAE97B" w14:textId="2828A959" w:rsidR="00C404FA" w:rsidRDefault="00C404FA" w:rsidP="00C404FA">
      <w:pPr>
        <w:pStyle w:val="ListParagraph"/>
        <w:numPr>
          <w:ilvl w:val="0"/>
          <w:numId w:val="1"/>
        </w:numPr>
        <w:jc w:val="both"/>
        <w:rPr>
          <w:rFonts w:eastAsiaTheme="minorEastAsia"/>
          <w:lang w:val="en-GB"/>
        </w:rPr>
      </w:pPr>
      <w:r w:rsidRPr="00AA1DEF">
        <w:rPr>
          <w:rFonts w:eastAsiaTheme="minorEastAsia"/>
          <w:lang w:val="en-GB"/>
        </w:rPr>
        <w:t>The skill of the SVM model was summarized using the sample of model evaluation scores.</w:t>
      </w:r>
    </w:p>
    <w:p w14:paraId="6C3C0AC8" w14:textId="1E79A10C" w:rsidR="00413ADA" w:rsidRPr="00AA1DEF" w:rsidRDefault="00030F1C" w:rsidP="009E2A30">
      <w:pPr>
        <w:ind w:firstLine="450"/>
        <w:jc w:val="both"/>
        <w:rPr>
          <w:rFonts w:eastAsiaTheme="minorEastAsia"/>
          <w:lang w:val="en-GB"/>
        </w:rPr>
      </w:pPr>
      <w:r w:rsidRPr="00AA1DEF">
        <w:rPr>
          <w:rFonts w:eastAsiaTheme="minorEastAsia"/>
          <w:lang w:val="en-GB"/>
        </w:rPr>
        <w:t xml:space="preserve">The k parameter must be carefully chosen – a poorly selected k-value may result in a misleading notion of the model skill </w:t>
      </w:r>
      <w:r>
        <w:rPr>
          <w:rFonts w:eastAsiaTheme="minorEastAsia"/>
          <w:lang w:val="en-GB"/>
        </w:rPr>
        <w:fldChar w:fldCharType="begin" w:fldLock="1"/>
      </w:r>
      <w:r>
        <w:rPr>
          <w:rFonts w:eastAsiaTheme="minorEastAsia"/>
          <w:lang w:val="en-GB"/>
        </w:rPr>
        <w:instrText>ADDIN CSL_CITATION {"citationItems":[{"id":"ITEM-1","itemData":{"DOI":"10.1109/TPAMI.2009.187","ISSN":"01628828","abstract":"In the machine learning field, the performance of a classifier is usually measured in terms of prediction error. In most real-world problems, the error cannot be exactly calculated and it must be estimated. Therefore, it is important to choose an appropriate estimator of the error. This paper analyzes the statistical properties, bias and variance, of the k-fold cross-validation classification error estimator (k-cv). Our main contribution is a novel theoretical decomposition of the variance of the k-cv considering its sources of variance: sensitivity to changes in the training set and sensitivity to changes in the folds. The paper also compares the bias and variance of the estimator for different values of k. The experimental study has been performed in artificial domains because they allow the exact computation of the implied quantities and we can rigorously specify the conditions of experimentation. The experimentation has been performed for two classifiers (naive Bayes and nearest neighbor), different numbers of folds, sample sizes, and training sets coming from assorted probability distributions. We conclude by including some practical recommendation on the use of k-fold cross validation. © 2010, The Institute of Electrical and Electronics Engineers, Inc.","author":[{"dropping-particle":"","family":"Rodríguez","given":"Juan Diego","non-dropping-particle":"","parse-names":false,"suffix":""},{"dropping-particle":"","family":"Pérez","given":"Aritz","non-dropping-particle":"","parse-names":false,"suffix":""},{"dropping-particle":"","family":"Lozano","given":"Jose Antonio","non-dropping-particle":"","parse-names":false,"suffix":""}],"container-title":"IEEE Transactions on Pattern Analysis and Machine Intelligence","id":"ITEM-1","issued":{"date-parts":[["2010"]]},"title":"Sensitivity Analysis of k-Fold Cross Validation in Prediction Error Estimation","type":"article-journal"},"uris":["http://www.mendeley.com/documents/?uuid=e45b55d4-cb52-4b24-983a-a95e764989c6"]}],"mendeley":{"formattedCitation":"(Rodríguez, Pérez, &amp; Lozano, 2010)","plainTextFormattedCitation":"(Rodríguez, Pérez, &amp; Lozano, 2010)","previouslyFormattedCitation":"(Rodríguez, Pérez, &amp; Lozano, 2010)"},"properties":{"noteIndex":0},"schema":"https://github.com/citation-style-language/schema/raw/master/csl-citation.json"}</w:instrText>
      </w:r>
      <w:r>
        <w:rPr>
          <w:rFonts w:eastAsiaTheme="minorEastAsia"/>
          <w:lang w:val="en-GB"/>
        </w:rPr>
        <w:fldChar w:fldCharType="separate"/>
      </w:r>
      <w:r w:rsidRPr="00030F1C">
        <w:rPr>
          <w:rFonts w:eastAsiaTheme="minorEastAsia"/>
          <w:noProof/>
          <w:lang w:val="en-GB"/>
        </w:rPr>
        <w:t>(Rodríguez, Pérez, &amp; Lozano, 2010)</w:t>
      </w:r>
      <w:r>
        <w:rPr>
          <w:rFonts w:eastAsiaTheme="minorEastAsia"/>
          <w:lang w:val="en-GB"/>
        </w:rPr>
        <w:fldChar w:fldCharType="end"/>
      </w:r>
      <w:r w:rsidRPr="00AA1DEF">
        <w:rPr>
          <w:rFonts w:eastAsiaTheme="minorEastAsia"/>
          <w:lang w:val="en-GB"/>
        </w:rPr>
        <w:t xml:space="preserve">. In this particular case, the parameter of k is fixed to 10 – a value that has been found through previous research to generally result in a model skill estimate with relatively low bias </w:t>
      </w:r>
      <w:r>
        <w:rPr>
          <w:rFonts w:eastAsiaTheme="minorEastAsia"/>
          <w:lang w:val="en-GB"/>
        </w:rPr>
        <w:fldChar w:fldCharType="begin" w:fldLock="1"/>
      </w:r>
      <w:r w:rsidR="00893409">
        <w:rPr>
          <w:rFonts w:eastAsiaTheme="minorEastAsia"/>
          <w:lang w:val="en-GB"/>
        </w:rPr>
        <w:instrText>ADDIN CSL_CITATION {"citationItems":[{"id":"ITEM-1","itemData":{"abstract":"Cross-validation is a statistical method used to estimate the skill of machine learning models. It is commonly used in applied machine learning to compare and select a model for a given predictive modeling problem because it is easy to understand, easy to implement, and results in skill estimates that generally have a lower bias than other methods. In this tutorial, you will discover a gentle introduction to the k-fold cross-validation procedure for estimating the skill of machine learning models. After completing this tutorial, you will know: That k-fold cross validation is a procedure used to estimate the skill of the model on new data. There are common tactics that you can use to select the value of k for your dataset. There are commonly used variations on cross-validation such as stratified and repeated that are available in scikit-learn. Discover statistical hypothesis testing, resampling methods, estimation statistics and nonparametric methods in my new book, with 29 step-by-step tutorials and full source code. Let’s get started.","author":[{"dropping-particle":"","family":"Brownlee","given":"Jason","non-dropping-particle":"","parse-names":false,"suffix":""}],"container-title":"machinelearningmastery.com","id":"ITEM-1","issued":{"date-parts":[["2019"]]},"title":"A Gentle Introduction to k-fold Cross-Validation","type":"webpage"},"uris":["http://www.mendeley.com/documents/?uuid=4665d099-9c8d-485f-8af2-35d389d68205"]}],"mendeley":{"formattedCitation":"(Brownlee, 2019)","plainTextFormattedCitation":"(Brownlee, 2019)","previouslyFormattedCitation":"(Brownlee, 2019)"},"properties":{"noteIndex":0},"schema":"https://github.com/citation-style-language/schema/raw/master/csl-citation.json"}</w:instrText>
      </w:r>
      <w:r>
        <w:rPr>
          <w:rFonts w:eastAsiaTheme="minorEastAsia"/>
          <w:lang w:val="en-GB"/>
        </w:rPr>
        <w:fldChar w:fldCharType="separate"/>
      </w:r>
      <w:r w:rsidRPr="00030F1C">
        <w:rPr>
          <w:rFonts w:eastAsiaTheme="minorEastAsia"/>
          <w:noProof/>
          <w:lang w:val="en-GB"/>
        </w:rPr>
        <w:t>(Brownlee, 2019)</w:t>
      </w:r>
      <w:r>
        <w:rPr>
          <w:rFonts w:eastAsiaTheme="minorEastAsia"/>
          <w:lang w:val="en-GB"/>
        </w:rPr>
        <w:fldChar w:fldCharType="end"/>
      </w:r>
      <w:r w:rsidRPr="00AA1DEF">
        <w:rPr>
          <w:rFonts w:eastAsiaTheme="minorEastAsia"/>
          <w:lang w:val="en-GB"/>
        </w:rPr>
        <w:t xml:space="preserve">.  </w:t>
      </w:r>
      <w:r w:rsidR="00413ADA" w:rsidRPr="00AA1DEF">
        <w:rPr>
          <w:rFonts w:eastAsiaTheme="minorEastAsia"/>
          <w:lang w:val="en-GB"/>
        </w:rPr>
        <w:t xml:space="preserve">It is essential to acknowledge that each </w:t>
      </w:r>
      <w:r w:rsidR="00413ADA" w:rsidRPr="00AA1DEF">
        <w:rPr>
          <w:rFonts w:eastAsiaTheme="minorEastAsia"/>
          <w:lang w:val="en-GB"/>
        </w:rPr>
        <w:lastRenderedPageBreak/>
        <w:t xml:space="preserve">observation from the dataset was assigned to an individual group and remained in its group for the duration of the procedure.  Therefore, each sample was allowed to be used in the test set 1 time and act as a training sample 1 - k times. The results of the </w:t>
      </w:r>
      <w:r w:rsidR="00413ADA" w:rsidRPr="00AA1DEF">
        <w:rPr>
          <w:rFonts w:eastAsiaTheme="minorEastAsia"/>
          <w:i/>
          <w:lang w:val="en-GB"/>
        </w:rPr>
        <w:t>k-Fold CV</w:t>
      </w:r>
      <w:r w:rsidR="00413ADA" w:rsidRPr="00AA1DEF">
        <w:rPr>
          <w:rFonts w:eastAsiaTheme="minorEastAsia"/>
          <w:lang w:val="en-GB"/>
        </w:rPr>
        <w:t xml:space="preserve"> were finally summarized with the mean of the </w:t>
      </w:r>
      <w:r w:rsidR="00413ADA" w:rsidRPr="00AA1DEF">
        <w:rPr>
          <w:rFonts w:eastAsiaTheme="minorEastAsia"/>
          <w:i/>
          <w:lang w:val="en-GB"/>
        </w:rPr>
        <w:t>SVM</w:t>
      </w:r>
      <w:r w:rsidR="00413ADA" w:rsidRPr="00AA1DEF">
        <w:rPr>
          <w:rFonts w:eastAsiaTheme="minorEastAsia"/>
          <w:lang w:val="en-GB"/>
        </w:rPr>
        <w:t xml:space="preserve"> model skill scores.</w:t>
      </w:r>
    </w:p>
    <w:p w14:paraId="66113259" w14:textId="405F96FC" w:rsidR="00A53EF8" w:rsidRPr="00CE198A" w:rsidRDefault="00A53EF8" w:rsidP="000F28F1">
      <w:pPr>
        <w:jc w:val="both"/>
        <w:rPr>
          <w:rFonts w:eastAsiaTheme="minorEastAsia"/>
          <w:lang w:val="en-GB"/>
        </w:rPr>
      </w:pPr>
    </w:p>
    <w:p w14:paraId="34948C12" w14:textId="2657B141" w:rsidR="000F28F1" w:rsidRDefault="000F28F1" w:rsidP="000F28F1">
      <w:pPr>
        <w:jc w:val="both"/>
        <w:rPr>
          <w:b/>
          <w:bCs/>
          <w:lang w:val="en-GB"/>
        </w:rPr>
      </w:pPr>
      <w:r>
        <w:rPr>
          <w:b/>
          <w:bCs/>
          <w:lang w:val="en-GB"/>
        </w:rPr>
        <w:t>3</w:t>
      </w:r>
      <w:r w:rsidRPr="00063D2E">
        <w:rPr>
          <w:b/>
          <w:bCs/>
          <w:lang w:val="en-GB"/>
        </w:rPr>
        <w:t>.</w:t>
      </w:r>
      <w:r w:rsidR="0006396B">
        <w:rPr>
          <w:b/>
          <w:bCs/>
          <w:lang w:val="en-GB"/>
        </w:rPr>
        <w:tab/>
      </w:r>
      <w:r w:rsidR="005A2E5C">
        <w:rPr>
          <w:b/>
          <w:bCs/>
          <w:lang w:val="en-GB"/>
        </w:rPr>
        <w:t>Results</w:t>
      </w:r>
    </w:p>
    <w:p w14:paraId="0D37E38E" w14:textId="0EA7EC91" w:rsidR="00552B31" w:rsidRPr="000F28F1" w:rsidRDefault="00552B31" w:rsidP="000F28F1">
      <w:pPr>
        <w:jc w:val="both"/>
        <w:rPr>
          <w:b/>
          <w:bCs/>
          <w:lang w:val="en-GB"/>
        </w:rPr>
      </w:pPr>
      <w:r>
        <w:rPr>
          <w:b/>
          <w:bCs/>
          <w:lang w:val="en-GB"/>
        </w:rPr>
        <w:t>3.1.  2011 – 2015 campaign results</w:t>
      </w:r>
    </w:p>
    <w:p w14:paraId="357612B1" w14:textId="7E12B2BE" w:rsidR="0023569C" w:rsidRDefault="00E7105C" w:rsidP="00A100DC">
      <w:pPr>
        <w:ind w:firstLine="480"/>
        <w:jc w:val="both"/>
        <w:rPr>
          <w:lang w:val="en-GB"/>
        </w:rPr>
      </w:pPr>
      <w:r w:rsidRPr="00E7105C">
        <w:rPr>
          <w:lang w:val="en-GB"/>
        </w:rPr>
        <w:t>The results indicate</w:t>
      </w:r>
      <w:r w:rsidR="00282E7E">
        <w:rPr>
          <w:lang w:val="en-GB"/>
        </w:rPr>
        <w:t xml:space="preserve"> that </w:t>
      </w:r>
      <w:proofErr w:type="gramStart"/>
      <w:r w:rsidR="00282E7E">
        <w:rPr>
          <w:lang w:val="en-GB"/>
        </w:rPr>
        <w:t xml:space="preserve">a </w:t>
      </w:r>
      <w:r w:rsidRPr="00E7105C">
        <w:rPr>
          <w:lang w:val="en-GB"/>
        </w:rPr>
        <w:t xml:space="preserve"> </w:t>
      </w:r>
      <w:r w:rsidR="00552B31">
        <w:rPr>
          <w:lang w:val="en-GB"/>
        </w:rPr>
        <w:t>prevalent</w:t>
      </w:r>
      <w:proofErr w:type="gramEnd"/>
      <w:r w:rsidRPr="00E7105C">
        <w:rPr>
          <w:lang w:val="en-GB"/>
        </w:rPr>
        <w:t xml:space="preserve"> number of lakes assessed </w:t>
      </w:r>
      <w:r w:rsidR="00282E7E">
        <w:rPr>
          <w:lang w:val="en-GB"/>
        </w:rPr>
        <w:t>are</w:t>
      </w:r>
      <w:r w:rsidR="00282E7E" w:rsidRPr="00E7105C">
        <w:rPr>
          <w:lang w:val="en-GB"/>
        </w:rPr>
        <w:t xml:space="preserve"> </w:t>
      </w:r>
      <w:r w:rsidRPr="00E7105C">
        <w:rPr>
          <w:lang w:val="en-GB"/>
        </w:rPr>
        <w:t>in a</w:t>
      </w:r>
      <w:r>
        <w:rPr>
          <w:lang w:val="en-GB"/>
        </w:rPr>
        <w:t xml:space="preserve"> moderate</w:t>
      </w:r>
      <w:r w:rsidRPr="00E7105C">
        <w:rPr>
          <w:lang w:val="en-GB"/>
        </w:rPr>
        <w:t xml:space="preserve"> ecological condition </w:t>
      </w:r>
      <w:r w:rsidR="00443003">
        <w:rPr>
          <w:lang w:val="en-GB"/>
        </w:rPr>
        <w:t>with</w:t>
      </w:r>
      <w:r w:rsidRPr="00E7105C">
        <w:rPr>
          <w:lang w:val="en-GB"/>
        </w:rPr>
        <w:t xml:space="preserve"> ~ 30% of the facilities</w:t>
      </w:r>
      <w:r w:rsidR="00443003">
        <w:rPr>
          <w:lang w:val="en-GB"/>
        </w:rPr>
        <w:t xml:space="preserve"> with</w:t>
      </w:r>
      <w:r>
        <w:rPr>
          <w:lang w:val="en-GB"/>
        </w:rPr>
        <w:t xml:space="preserve"> </w:t>
      </w:r>
      <w:r w:rsidRPr="00E7105C">
        <w:rPr>
          <w:lang w:val="en-GB"/>
        </w:rPr>
        <w:t>good condition represented</w:t>
      </w:r>
      <w:r w:rsidR="00443003">
        <w:rPr>
          <w:lang w:val="en-GB"/>
        </w:rPr>
        <w:t>,</w:t>
      </w:r>
      <w:r w:rsidRPr="00E7105C">
        <w:rPr>
          <w:lang w:val="en-GB"/>
        </w:rPr>
        <w:t xml:space="preserve"> ~ 26% of the lakes</w:t>
      </w:r>
      <w:r w:rsidR="00443003">
        <w:rPr>
          <w:lang w:val="en-GB"/>
        </w:rPr>
        <w:t xml:space="preserve"> with</w:t>
      </w:r>
      <w:r w:rsidRPr="00E7105C">
        <w:rPr>
          <w:lang w:val="en-GB"/>
        </w:rPr>
        <w:t xml:space="preserve"> </w:t>
      </w:r>
      <w:r>
        <w:rPr>
          <w:lang w:val="en-GB"/>
        </w:rPr>
        <w:t>poor</w:t>
      </w:r>
      <w:r w:rsidRPr="00E7105C">
        <w:rPr>
          <w:lang w:val="en-GB"/>
        </w:rPr>
        <w:t xml:space="preserve"> and </w:t>
      </w:r>
      <w:r>
        <w:rPr>
          <w:lang w:val="en-GB"/>
        </w:rPr>
        <w:t>bad</w:t>
      </w:r>
      <w:r w:rsidRPr="00E7105C">
        <w:rPr>
          <w:lang w:val="en-GB"/>
        </w:rPr>
        <w:t xml:space="preserve"> conditions </w:t>
      </w:r>
      <w:r w:rsidRPr="00707B3C">
        <w:rPr>
          <w:highlight w:val="yellow"/>
          <w:lang w:val="en-GB"/>
        </w:rPr>
        <w:t>- ~ 12%</w:t>
      </w:r>
      <w:r w:rsidR="00233ED3" w:rsidRPr="00707B3C">
        <w:rPr>
          <w:highlight w:val="yellow"/>
          <w:lang w:val="en-GB"/>
        </w:rPr>
        <w:t xml:space="preserve"> each</w:t>
      </w:r>
      <w:r w:rsidRPr="00E7105C">
        <w:rPr>
          <w:lang w:val="en-GB"/>
        </w:rPr>
        <w:t xml:space="preserve">. </w:t>
      </w:r>
      <w:r>
        <w:rPr>
          <w:lang w:val="en-GB"/>
        </w:rPr>
        <w:t>High</w:t>
      </w:r>
      <w:r w:rsidRPr="00E7105C">
        <w:rPr>
          <w:lang w:val="en-GB"/>
        </w:rPr>
        <w:t xml:space="preserve"> ecological status </w:t>
      </w:r>
      <w:r w:rsidR="00443003">
        <w:rPr>
          <w:lang w:val="en-GB"/>
        </w:rPr>
        <w:t>was</w:t>
      </w:r>
      <w:r w:rsidRPr="00E7105C">
        <w:rPr>
          <w:lang w:val="en-GB"/>
        </w:rPr>
        <w:t xml:space="preserve"> detected for 50 ecosystems, i.e., ~ 10% of the studied sample </w:t>
      </w:r>
      <w:r w:rsidR="00233ED3">
        <w:rPr>
          <w:lang w:val="en-GB"/>
        </w:rPr>
        <w:t xml:space="preserve">(Figure </w:t>
      </w:r>
      <w:r w:rsidR="00F30C38">
        <w:rPr>
          <w:lang w:val="en-GB"/>
        </w:rPr>
        <w:t>4</w:t>
      </w:r>
      <w:r w:rsidR="00233ED3">
        <w:rPr>
          <w:lang w:val="en-GB"/>
        </w:rPr>
        <w:t>)</w:t>
      </w:r>
      <w:r w:rsidRPr="00E7105C">
        <w:rPr>
          <w:lang w:val="en-GB"/>
        </w:rPr>
        <w:t xml:space="preserve">.  </w:t>
      </w:r>
      <w:r w:rsidR="00227A5B" w:rsidRPr="00227A5B">
        <w:rPr>
          <w:lang w:val="en-GB"/>
        </w:rPr>
        <w:t xml:space="preserve">The monitoring results have been accompanied by information on classification uncertainty, which resulted from gaps in measurements for some objects. </w:t>
      </w:r>
      <w:r w:rsidR="00282E7E">
        <w:rPr>
          <w:lang w:val="en-GB"/>
        </w:rPr>
        <w:t>H</w:t>
      </w:r>
      <w:r w:rsidR="00227A5B" w:rsidRPr="00227A5B">
        <w:rPr>
          <w:lang w:val="en-GB"/>
        </w:rPr>
        <w:t xml:space="preserve">igh classification uncertainty was found for 100 lakes, most of which were classified </w:t>
      </w:r>
      <w:r w:rsidR="00227A5B">
        <w:rPr>
          <w:lang w:val="en-GB"/>
        </w:rPr>
        <w:t>with</w:t>
      </w:r>
      <w:r w:rsidR="00227A5B" w:rsidRPr="00227A5B">
        <w:rPr>
          <w:lang w:val="en-GB"/>
        </w:rPr>
        <w:t xml:space="preserve"> good </w:t>
      </w:r>
      <w:r w:rsidR="00227A5B">
        <w:rPr>
          <w:lang w:val="en-GB"/>
        </w:rPr>
        <w:t>or</w:t>
      </w:r>
      <w:r w:rsidR="00227A5B" w:rsidRPr="00227A5B">
        <w:rPr>
          <w:lang w:val="en-GB"/>
        </w:rPr>
        <w:t xml:space="preserve"> </w:t>
      </w:r>
      <w:r w:rsidR="00227A5B">
        <w:rPr>
          <w:lang w:val="en-GB"/>
        </w:rPr>
        <w:t>high status</w:t>
      </w:r>
      <w:r w:rsidR="00227A5B" w:rsidRPr="00227A5B">
        <w:rPr>
          <w:lang w:val="en-GB"/>
        </w:rPr>
        <w:t xml:space="preserve"> </w:t>
      </w:r>
      <w:r w:rsidR="00227A5B">
        <w:rPr>
          <w:lang w:val="en-GB"/>
        </w:rPr>
        <w:t xml:space="preserve">(Figure </w:t>
      </w:r>
      <w:r w:rsidR="00F30C38">
        <w:rPr>
          <w:lang w:val="en-GB"/>
        </w:rPr>
        <w:t>5</w:t>
      </w:r>
      <w:r w:rsidR="00227A5B">
        <w:rPr>
          <w:lang w:val="en-GB"/>
        </w:rPr>
        <w:t>)</w:t>
      </w:r>
      <w:r w:rsidR="00227A5B" w:rsidRPr="00227A5B">
        <w:rPr>
          <w:lang w:val="en-GB"/>
        </w:rPr>
        <w:t xml:space="preserve">. </w:t>
      </w:r>
      <w:r w:rsidR="001618E1" w:rsidRPr="001618E1">
        <w:rPr>
          <w:lang w:val="en-GB"/>
        </w:rPr>
        <w:t>During the campaign, biological, physico-chemical and hydromorphological parameters and indexes were measured</w:t>
      </w:r>
      <w:r w:rsidR="00C4570A">
        <w:rPr>
          <w:lang w:val="en-GB"/>
        </w:rPr>
        <w:t xml:space="preserve"> (examples in Figure </w:t>
      </w:r>
      <w:r w:rsidR="00F30C38">
        <w:rPr>
          <w:lang w:val="en-GB"/>
        </w:rPr>
        <w:t>6</w:t>
      </w:r>
      <w:r w:rsidR="00C4570A">
        <w:rPr>
          <w:lang w:val="en-GB"/>
        </w:rPr>
        <w:t>)</w:t>
      </w:r>
      <w:r w:rsidR="006144FF">
        <w:rPr>
          <w:lang w:val="en-GB"/>
        </w:rPr>
        <w:t xml:space="preserve"> – for complete set of</w:t>
      </w:r>
      <w:r w:rsidR="00C4570A">
        <w:rPr>
          <w:lang w:val="en-GB"/>
        </w:rPr>
        <w:t xml:space="preserve"> measurements </w:t>
      </w:r>
      <w:r w:rsidR="006144FF">
        <w:rPr>
          <w:lang w:val="en-GB"/>
        </w:rPr>
        <w:t>please refer to</w:t>
      </w:r>
      <w:r w:rsidR="00C4570A">
        <w:rPr>
          <w:lang w:val="en-GB"/>
        </w:rPr>
        <w:t xml:space="preserve"> Appendix B</w:t>
      </w:r>
      <w:r w:rsidR="001618E1">
        <w:rPr>
          <w:lang w:val="en-GB"/>
        </w:rPr>
        <w:t>)</w:t>
      </w:r>
      <w:r w:rsidR="001618E1" w:rsidRPr="001618E1">
        <w:rPr>
          <w:lang w:val="en-GB"/>
        </w:rPr>
        <w:t>.</w:t>
      </w:r>
      <w:r w:rsidR="00227A5B" w:rsidRPr="00227A5B">
        <w:rPr>
          <w:lang w:val="en-GB"/>
        </w:rPr>
        <w:t xml:space="preserve"> </w:t>
      </w:r>
      <w:r w:rsidR="005941AC" w:rsidRPr="005941AC">
        <w:rPr>
          <w:lang w:val="en-GB"/>
        </w:rPr>
        <w:t xml:space="preserve">Analysis of the completeness of the measurements showed deficiencies in five out of eight measured variables. The </w:t>
      </w:r>
      <w:r w:rsidR="00282E7E">
        <w:rPr>
          <w:lang w:val="en-GB"/>
        </w:rPr>
        <w:t>greatest</w:t>
      </w:r>
      <w:r w:rsidR="00282E7E" w:rsidRPr="005941AC">
        <w:rPr>
          <w:lang w:val="en-GB"/>
        </w:rPr>
        <w:t xml:space="preserve"> </w:t>
      </w:r>
      <w:r w:rsidR="005941AC" w:rsidRPr="005941AC">
        <w:rPr>
          <w:lang w:val="en-GB"/>
        </w:rPr>
        <w:t xml:space="preserve">deficiencies in the measurements were found for the Diatom Index for Lakes - 15%, in the case of the ESMI indicator 11% were missing, while for PMPL, Chlorophyll "a", and Visibility - it was less than 5% of missing measurements </w:t>
      </w:r>
      <w:r w:rsidR="005941AC">
        <w:rPr>
          <w:lang w:val="en-GB"/>
        </w:rPr>
        <w:t xml:space="preserve">(Figure </w:t>
      </w:r>
      <w:r w:rsidR="00F30C38">
        <w:rPr>
          <w:lang w:val="en-GB"/>
        </w:rPr>
        <w:t>7</w:t>
      </w:r>
      <w:r w:rsidR="005941AC">
        <w:rPr>
          <w:lang w:val="en-GB"/>
        </w:rPr>
        <w:t>)</w:t>
      </w:r>
      <w:r w:rsidR="005941AC" w:rsidRPr="005941AC">
        <w:rPr>
          <w:lang w:val="en-GB"/>
        </w:rPr>
        <w:t>.</w:t>
      </w:r>
      <w:r w:rsidR="00790C42">
        <w:rPr>
          <w:lang w:val="en-GB"/>
        </w:rPr>
        <w:t xml:space="preserve"> </w:t>
      </w:r>
      <w:r w:rsidR="00790C42" w:rsidRPr="00790C42">
        <w:rPr>
          <w:lang w:val="en-GB"/>
        </w:rPr>
        <w:t>In total, data deficiencies during the campaign amounted to 164 values, which accounted for ~ 5% of all measurements.</w:t>
      </w:r>
      <w:r w:rsidR="00790C42">
        <w:rPr>
          <w:lang w:val="en-GB"/>
        </w:rPr>
        <w:t xml:space="preserve"> </w:t>
      </w:r>
    </w:p>
    <w:p w14:paraId="6FBDEF29" w14:textId="13BF993B" w:rsidR="00364F36" w:rsidRDefault="00CE198A" w:rsidP="00364F36">
      <w:pPr>
        <w:keepNext/>
        <w:jc w:val="both"/>
      </w:pPr>
      <w:r>
        <w:rPr>
          <w:noProof/>
          <w:lang w:eastAsia="pl-PL"/>
        </w:rPr>
        <w:drawing>
          <wp:anchor distT="0" distB="0" distL="114300" distR="114300" simplePos="0" relativeHeight="251658240" behindDoc="0" locked="0" layoutInCell="1" allowOverlap="1" wp14:anchorId="19A0723C" wp14:editId="7A02EE41">
            <wp:simplePos x="0" y="0"/>
            <wp:positionH relativeFrom="column">
              <wp:posOffset>3344545</wp:posOffset>
            </wp:positionH>
            <wp:positionV relativeFrom="paragraph">
              <wp:posOffset>288290</wp:posOffset>
            </wp:positionV>
            <wp:extent cx="1764665" cy="2560320"/>
            <wp:effectExtent l="0" t="0" r="6985" b="0"/>
            <wp:wrapThrough wrapText="bothSides">
              <wp:wrapPolygon edited="0">
                <wp:start x="0" y="0"/>
                <wp:lineTo x="0" y="21375"/>
                <wp:lineTo x="21452" y="21375"/>
                <wp:lineTo x="214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466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CFE94" w14:textId="77777777" w:rsidR="00CE198A" w:rsidRDefault="00364F36" w:rsidP="00CE198A">
      <w:pPr>
        <w:pStyle w:val="Caption"/>
        <w:jc w:val="both"/>
        <w:rPr>
          <w:noProof/>
          <w:lang w:eastAsia="pl-PL"/>
        </w:rPr>
      </w:pPr>
      <w:r w:rsidRPr="000F28F1">
        <w:rPr>
          <w:lang w:val="en-US"/>
        </w:rPr>
        <w:t>.</w:t>
      </w:r>
      <w:r w:rsidR="00CE198A" w:rsidRPr="00CE198A">
        <w:rPr>
          <w:noProof/>
          <w:lang w:eastAsia="pl-PL"/>
        </w:rPr>
        <w:t xml:space="preserve"> </w:t>
      </w:r>
      <w:r w:rsidR="00CE198A">
        <w:rPr>
          <w:noProof/>
          <w:lang w:eastAsia="pl-PL"/>
        </w:rPr>
        <w:drawing>
          <wp:inline distT="0" distB="0" distL="0" distR="0" wp14:anchorId="0040377E" wp14:editId="5811230C">
            <wp:extent cx="2113915" cy="2506824"/>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986" cy="2639725"/>
                    </a:xfrm>
                    <a:prstGeom prst="rect">
                      <a:avLst/>
                    </a:prstGeom>
                    <a:noFill/>
                    <a:ln>
                      <a:noFill/>
                    </a:ln>
                  </pic:spPr>
                </pic:pic>
              </a:graphicData>
            </a:graphic>
          </wp:inline>
        </w:drawing>
      </w:r>
    </w:p>
    <w:p w14:paraId="0B09CFA6" w14:textId="229C4403" w:rsidR="001B2408" w:rsidRPr="00CE198A" w:rsidRDefault="006B4F9F" w:rsidP="00CE198A">
      <w:pPr>
        <w:pStyle w:val="Caption"/>
        <w:jc w:val="both"/>
        <w:rPr>
          <w:lang w:val="en-GB"/>
        </w:rPr>
      </w:pPr>
      <w:r>
        <w:rPr>
          <w:noProof/>
          <w:lang w:eastAsia="pl-PL"/>
        </w:rPr>
        <mc:AlternateContent>
          <mc:Choice Requires="wps">
            <w:drawing>
              <wp:anchor distT="0" distB="0" distL="114300" distR="114300" simplePos="0" relativeHeight="251660288" behindDoc="0" locked="0" layoutInCell="1" allowOverlap="1" wp14:anchorId="7FCED336" wp14:editId="46A4E9B2">
                <wp:simplePos x="0" y="0"/>
                <wp:positionH relativeFrom="column">
                  <wp:posOffset>3401667</wp:posOffset>
                </wp:positionH>
                <wp:positionV relativeFrom="paragraph">
                  <wp:posOffset>9525</wp:posOffset>
                </wp:positionV>
                <wp:extent cx="2273935" cy="635"/>
                <wp:effectExtent l="0" t="0" r="0" b="3810"/>
                <wp:wrapThrough wrapText="bothSides">
                  <wp:wrapPolygon edited="0">
                    <wp:start x="0" y="0"/>
                    <wp:lineTo x="0" y="20432"/>
                    <wp:lineTo x="21353" y="20432"/>
                    <wp:lineTo x="21353"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273935" cy="635"/>
                        </a:xfrm>
                        <a:prstGeom prst="rect">
                          <a:avLst/>
                        </a:prstGeom>
                        <a:solidFill>
                          <a:prstClr val="white"/>
                        </a:solidFill>
                        <a:ln>
                          <a:noFill/>
                        </a:ln>
                      </wps:spPr>
                      <wps:txbx>
                        <w:txbxContent>
                          <w:p w14:paraId="776B25C5" w14:textId="52570C86" w:rsidR="001646CA" w:rsidRPr="00554C8F" w:rsidRDefault="001646CA" w:rsidP="001B36FC">
                            <w:pPr>
                              <w:pStyle w:val="Caption"/>
                              <w:rPr>
                                <w:noProof/>
                              </w:rPr>
                            </w:pPr>
                            <w:r>
                              <w:t xml:space="preserve">  </w:t>
                            </w:r>
                            <w:r w:rsidRPr="0006396B">
                              <w:rPr>
                                <w:color w:val="auto"/>
                              </w:rPr>
                              <w:t xml:space="preserve">Figure  </w:t>
                            </w:r>
                            <w:r>
                              <w:rPr>
                                <w:color w:val="auto"/>
                              </w:rPr>
                              <w:t>5.</w:t>
                            </w:r>
                            <w:r w:rsidRPr="0006396B">
                              <w:rPr>
                                <w:color w:val="auto"/>
                              </w:rPr>
                              <w:t xml:space="preserve"> Uncertainty assessment results</w:t>
                            </w:r>
                            <w:r w:rsidRPr="0006396B">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CED336" id="_x0000_t202" coordsize="21600,21600" o:spt="202" path="m,l,21600r21600,l21600,xe">
                <v:stroke joinstyle="miter"/>
                <v:path gradientshapeok="t" o:connecttype="rect"/>
              </v:shapetype>
              <v:shape id="Text Box 4" o:spid="_x0000_s1026" type="#_x0000_t202" style="position:absolute;left:0;text-align:left;margin-left:267.85pt;margin-top:.75pt;width:179.0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" stroked="f">
                <v:textbox style="mso-fit-shape-to-text:t" inset="0,0,0,0">
                  <w:txbxContent>
                    <w:p w14:paraId="776B25C5" w14:textId="52570C86" w:rsidR="001646CA" w:rsidRPr="00554C8F" w:rsidRDefault="001646CA" w:rsidP="001B36FC">
                      <w:pPr>
                        <w:pStyle w:val="Caption"/>
                        <w:rPr>
                          <w:noProof/>
                        </w:rPr>
                      </w:pPr>
                      <w:r>
                        <w:t xml:space="preserve">  </w:t>
                      </w:r>
                      <w:r w:rsidRPr="0006396B">
                        <w:rPr>
                          <w:color w:val="auto"/>
                        </w:rPr>
                        <w:t xml:space="preserve">Figure  </w:t>
                      </w:r>
                      <w:r>
                        <w:rPr>
                          <w:color w:val="auto"/>
                        </w:rPr>
                        <w:t>5.</w:t>
                      </w:r>
                      <w:r w:rsidRPr="0006396B">
                        <w:rPr>
                          <w:color w:val="auto"/>
                        </w:rPr>
                        <w:t xml:space="preserve"> Uncertainty assessment results</w:t>
                      </w:r>
                      <w:r w:rsidRPr="0006396B">
                        <w:rPr>
                          <w:sz w:val="16"/>
                          <w:szCs w:val="16"/>
                        </w:rPr>
                        <w:t>.</w:t>
                      </w:r>
                    </w:p>
                  </w:txbxContent>
                </v:textbox>
                <w10:wrap type="through"/>
              </v:shape>
            </w:pict>
          </mc:Fallback>
        </mc:AlternateContent>
      </w:r>
      <w:r w:rsidR="00CE198A">
        <w:rPr>
          <w:color w:val="auto"/>
          <w:lang w:val="en-US"/>
        </w:rPr>
        <w:t xml:space="preserve">        </w:t>
      </w:r>
      <w:proofErr w:type="gramStart"/>
      <w:r w:rsidR="00592228" w:rsidRPr="0006396B">
        <w:rPr>
          <w:color w:val="auto"/>
          <w:lang w:val="en-US"/>
        </w:rPr>
        <w:t xml:space="preserve">Figure  </w:t>
      </w:r>
      <w:r w:rsidR="00CE198A">
        <w:rPr>
          <w:color w:val="auto"/>
        </w:rPr>
        <w:t>4</w:t>
      </w:r>
      <w:proofErr w:type="gramEnd"/>
      <w:r w:rsidR="00592228" w:rsidRPr="0006396B">
        <w:rPr>
          <w:color w:val="auto"/>
          <w:lang w:val="en-US"/>
        </w:rPr>
        <w:t>. Ecological stat</w:t>
      </w:r>
      <w:r w:rsidR="00F30C38">
        <w:rPr>
          <w:color w:val="auto"/>
          <w:lang w:val="en-US"/>
        </w:rPr>
        <w:t>us</w:t>
      </w:r>
      <w:r w:rsidR="00592228" w:rsidRPr="0006396B">
        <w:rPr>
          <w:color w:val="auto"/>
          <w:lang w:val="en-US"/>
        </w:rPr>
        <w:t xml:space="preserve"> assessment results.</w:t>
      </w:r>
    </w:p>
    <w:p w14:paraId="6B0C23CA" w14:textId="77777777" w:rsidR="00860B33" w:rsidRDefault="00860B33" w:rsidP="006B4F9F">
      <w:pPr>
        <w:keepNext/>
        <w:jc w:val="center"/>
      </w:pPr>
      <w:r>
        <w:rPr>
          <w:noProof/>
          <w:lang w:eastAsia="pl-PL"/>
        </w:rPr>
        <w:lastRenderedPageBreak/>
        <w:drawing>
          <wp:inline distT="0" distB="0" distL="0" distR="0" wp14:anchorId="05C7CADD" wp14:editId="6F029B20">
            <wp:extent cx="4317559" cy="374312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3745" cy="3748485"/>
                    </a:xfrm>
                    <a:prstGeom prst="rect">
                      <a:avLst/>
                    </a:prstGeom>
                    <a:noFill/>
                    <a:ln>
                      <a:noFill/>
                    </a:ln>
                  </pic:spPr>
                </pic:pic>
              </a:graphicData>
            </a:graphic>
          </wp:inline>
        </w:drawing>
      </w:r>
    </w:p>
    <w:p w14:paraId="1FC459DD" w14:textId="4E94F5A2" w:rsidR="00232DCA" w:rsidRPr="0006396B" w:rsidRDefault="006B4F9F" w:rsidP="00860B33">
      <w:pPr>
        <w:pStyle w:val="Caption"/>
        <w:jc w:val="both"/>
        <w:rPr>
          <w:color w:val="auto"/>
          <w:lang w:val="en-GB"/>
        </w:rPr>
      </w:pPr>
      <w:r>
        <w:rPr>
          <w:color w:val="auto"/>
          <w:lang w:val="en-US"/>
        </w:rPr>
        <w:t xml:space="preserve">                           </w:t>
      </w:r>
      <w:r w:rsidR="00860B33" w:rsidRPr="0006396B">
        <w:rPr>
          <w:color w:val="auto"/>
          <w:lang w:val="en-US"/>
        </w:rPr>
        <w:t>F</w:t>
      </w:r>
      <w:r w:rsidR="00B00E3A" w:rsidRPr="0006396B">
        <w:rPr>
          <w:color w:val="auto"/>
          <w:lang w:val="en-US"/>
        </w:rPr>
        <w:t>i</w:t>
      </w:r>
      <w:r w:rsidR="00860B33" w:rsidRPr="0006396B">
        <w:rPr>
          <w:color w:val="auto"/>
          <w:lang w:val="en-US"/>
        </w:rPr>
        <w:t xml:space="preserve">gure </w:t>
      </w:r>
      <w:r>
        <w:rPr>
          <w:color w:val="auto"/>
          <w:lang w:val="en-US"/>
        </w:rPr>
        <w:t>6</w:t>
      </w:r>
      <w:r w:rsidR="00860B33" w:rsidRPr="0006396B">
        <w:rPr>
          <w:color w:val="auto"/>
          <w:lang w:val="en-US"/>
        </w:rPr>
        <w:t xml:space="preserve">. Parameters across ecological classes for Chlorophyll a, </w:t>
      </w:r>
      <w:proofErr w:type="spellStart"/>
      <w:r w:rsidR="00860B33" w:rsidRPr="0006396B">
        <w:rPr>
          <w:color w:val="auto"/>
          <w:lang w:val="en-US"/>
        </w:rPr>
        <w:t>NItrogen</w:t>
      </w:r>
      <w:proofErr w:type="spellEnd"/>
      <w:r w:rsidR="00860B33" w:rsidRPr="0006396B">
        <w:rPr>
          <w:color w:val="auto"/>
          <w:lang w:val="en-US"/>
        </w:rPr>
        <w:t>, Phosphorus, and PMPL.</w:t>
      </w:r>
    </w:p>
    <w:p w14:paraId="42AF9D0C" w14:textId="0E8437F9" w:rsidR="0023569C" w:rsidRDefault="0023569C" w:rsidP="0023569C">
      <w:pPr>
        <w:spacing w:after="0"/>
        <w:jc w:val="both"/>
        <w:rPr>
          <w:lang w:val="en-GB"/>
        </w:rPr>
      </w:pPr>
    </w:p>
    <w:p w14:paraId="0163F472" w14:textId="77777777" w:rsidR="0006396B" w:rsidRDefault="0006396B" w:rsidP="0023569C">
      <w:pPr>
        <w:spacing w:after="0"/>
        <w:jc w:val="both"/>
        <w:rPr>
          <w:lang w:val="en-GB"/>
        </w:rPr>
      </w:pPr>
    </w:p>
    <w:p w14:paraId="461EC465" w14:textId="77777777" w:rsidR="00B00E3A" w:rsidRDefault="00B00E3A" w:rsidP="00B00E3A">
      <w:pPr>
        <w:keepNext/>
        <w:spacing w:after="0"/>
        <w:jc w:val="both"/>
      </w:pPr>
      <w:r>
        <w:rPr>
          <w:noProof/>
          <w:lang w:eastAsia="pl-PL"/>
        </w:rPr>
        <w:drawing>
          <wp:inline distT="0" distB="0" distL="0" distR="0" wp14:anchorId="78FE2AE1" wp14:editId="26BDCF1D">
            <wp:extent cx="5760720" cy="853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53440"/>
                    </a:xfrm>
                    <a:prstGeom prst="rect">
                      <a:avLst/>
                    </a:prstGeom>
                    <a:noFill/>
                    <a:ln>
                      <a:noFill/>
                    </a:ln>
                  </pic:spPr>
                </pic:pic>
              </a:graphicData>
            </a:graphic>
          </wp:inline>
        </w:drawing>
      </w:r>
    </w:p>
    <w:p w14:paraId="1937A8E6" w14:textId="731C3F3E" w:rsidR="00994BA8" w:rsidRPr="0006396B" w:rsidRDefault="00B00E3A" w:rsidP="00B00E3A">
      <w:pPr>
        <w:pStyle w:val="Caption"/>
        <w:jc w:val="both"/>
        <w:rPr>
          <w:color w:val="auto"/>
          <w:lang w:val="en-US"/>
        </w:rPr>
      </w:pPr>
      <w:r w:rsidRPr="0006396B">
        <w:rPr>
          <w:color w:val="auto"/>
          <w:lang w:val="en-US"/>
        </w:rPr>
        <w:t xml:space="preserve">Figure </w:t>
      </w:r>
      <w:r w:rsidR="006B4F9F">
        <w:rPr>
          <w:color w:val="auto"/>
          <w:lang w:val="en-US"/>
        </w:rPr>
        <w:t>7</w:t>
      </w:r>
      <w:r w:rsidRPr="0006396B">
        <w:rPr>
          <w:color w:val="auto"/>
          <w:lang w:val="en-US"/>
        </w:rPr>
        <w:t>. Missing values count per parameter.</w:t>
      </w:r>
    </w:p>
    <w:p w14:paraId="5FF48E7B" w14:textId="77777777" w:rsidR="00964583" w:rsidRDefault="00964583" w:rsidP="00964583">
      <w:pPr>
        <w:jc w:val="both"/>
        <w:rPr>
          <w:lang w:val="en-US"/>
        </w:rPr>
      </w:pPr>
    </w:p>
    <w:p w14:paraId="6FD49687" w14:textId="440AEEB5" w:rsidR="00964583" w:rsidRDefault="00964583" w:rsidP="00964583">
      <w:pPr>
        <w:jc w:val="both"/>
        <w:rPr>
          <w:rFonts w:eastAsiaTheme="minorEastAsia"/>
          <w:b/>
          <w:lang w:val="en-GB"/>
        </w:rPr>
      </w:pPr>
      <w:bookmarkStart w:id="2" w:name="_Hlk47435246"/>
      <w:r w:rsidRPr="00964583">
        <w:rPr>
          <w:b/>
          <w:bCs/>
          <w:lang w:val="en-US"/>
        </w:rPr>
        <w:t>3.2.</w:t>
      </w:r>
      <w:r>
        <w:rPr>
          <w:lang w:val="en-US"/>
        </w:rPr>
        <w:t xml:space="preserve"> </w:t>
      </w:r>
      <w:r w:rsidRPr="00AA1DEF">
        <w:rPr>
          <w:rFonts w:eastAsiaTheme="minorEastAsia"/>
          <w:b/>
          <w:lang w:val="en-GB"/>
        </w:rPr>
        <w:t>Missing Data Imputation and Correlation Analysis</w:t>
      </w:r>
    </w:p>
    <w:bookmarkEnd w:id="2"/>
    <w:p w14:paraId="7274706A" w14:textId="4DDAB27B" w:rsidR="00964583" w:rsidRDefault="00964583" w:rsidP="009E2A30">
      <w:pPr>
        <w:ind w:firstLine="708"/>
        <w:jc w:val="both"/>
        <w:rPr>
          <w:rFonts w:eastAsiaTheme="minorEastAsia"/>
          <w:bCs/>
          <w:lang w:val="en-GB"/>
        </w:rPr>
      </w:pPr>
      <w:r w:rsidRPr="00964583">
        <w:rPr>
          <w:rFonts w:eastAsiaTheme="minorEastAsia"/>
          <w:bCs/>
          <w:lang w:val="en-GB"/>
        </w:rPr>
        <w:t xml:space="preserve">The identified missing observations were supplemented using the PCA algorithm. The number of dimensions for the analysis was estimated by cross-validation with the use of </w:t>
      </w:r>
      <w:r w:rsidRPr="00236010">
        <w:rPr>
          <w:rFonts w:eastAsiaTheme="minorEastAsia"/>
          <w:bCs/>
          <w:i/>
          <w:iCs/>
          <w:lang w:val="en-GB"/>
        </w:rPr>
        <w:t>estim_ncpPCA</w:t>
      </w:r>
      <w:r w:rsidRPr="00964583">
        <w:rPr>
          <w:rFonts w:eastAsiaTheme="minorEastAsia"/>
          <w:bCs/>
          <w:lang w:val="en-GB"/>
        </w:rPr>
        <w:t xml:space="preserve"> function from the </w:t>
      </w:r>
      <w:r w:rsidRPr="00236010">
        <w:rPr>
          <w:rFonts w:eastAsiaTheme="minorEastAsia"/>
          <w:bCs/>
          <w:i/>
          <w:iCs/>
          <w:lang w:val="en-GB"/>
        </w:rPr>
        <w:t>missMDA</w:t>
      </w:r>
      <w:r w:rsidRPr="00964583">
        <w:rPr>
          <w:rFonts w:eastAsiaTheme="minorEastAsia"/>
          <w:bCs/>
          <w:lang w:val="en-GB"/>
        </w:rPr>
        <w:t xml:space="preserve"> package</w:t>
      </w:r>
      <w:r w:rsidR="00236010">
        <w:rPr>
          <w:rFonts w:eastAsiaTheme="minorEastAsia"/>
          <w:bCs/>
          <w:lang w:val="en-GB"/>
        </w:rPr>
        <w:t xml:space="preserve"> for R</w:t>
      </w:r>
      <w:r w:rsidRPr="00964583">
        <w:rPr>
          <w:rFonts w:eastAsiaTheme="minorEastAsia"/>
          <w:bCs/>
          <w:lang w:val="en-GB"/>
        </w:rPr>
        <w:t xml:space="preserve"> </w:t>
      </w:r>
      <w:r w:rsidR="00893409">
        <w:rPr>
          <w:rFonts w:eastAsiaTheme="minorEastAsia"/>
          <w:bCs/>
          <w:lang w:val="en-GB"/>
        </w:rPr>
        <w:fldChar w:fldCharType="begin" w:fldLock="1"/>
      </w:r>
      <w:r w:rsidR="00A134AC">
        <w:rPr>
          <w:rFonts w:eastAsiaTheme="minorEastAsia"/>
          <w:bCs/>
          <w:lang w:val="en-GB"/>
        </w:rPr>
        <w:instrText>ADDIN CSL_CITATION {"citationItems":[{"id":"ITEM-1","itemData":{"DOI":"10.18637/jss.v070.i01","ISSN":"15487660","abstract":"We present the R package missMDA which performs principal component methods on incomplete data sets, aiming to obtain scores, loadings and graphical representations despite missing values. Package methods include principal component analysis for continuous variables, multiple correspondence analysis for categorical variables, factorial analysis on mixed data for both continuous and categorical variables, and multiple factor analysis for multi-table data. Furthermore, missMDA can be used to perform single imputation to complete data involving continuous, categorical and mixed variables. A multiple imputation method is also available. In the principal component analysis framework, variability across different imputations is represented by confidence areas around the row and column positions on the graphical outputs. This allows assessment of the credibility of results obtained from incomplete data sets.","author":[{"dropping-particle":"","family":"Josse","given":"Julie","non-dropping-particle":"","parse-names":false,"suffix":""},{"dropping-particle":"","family":"Husson","given":"François","non-dropping-particle":"","parse-names":false,"suffix":""}],"container-title":"Journal of Statistical Software","id":"ITEM-1","issued":{"date-parts":[["2016"]]},"title":"missMDA: A package for handling missing values in multivariate data analysis","type":"article-journal"},"uris":["http://www.mendeley.com/documents/?uuid=400518d2-01e4-4b47-a42f-a4151f0f1680"]}],"mendeley":{"formattedCitation":"(Josse &amp; Husson, 2016)","plainTextFormattedCitation":"(Josse &amp; Husson, 2016)","previouslyFormattedCitation":"(Josse &amp; Husson, 2016)"},"properties":{"noteIndex":0},"schema":"https://github.com/citation-style-language/schema/raw/master/csl-citation.json"}</w:instrText>
      </w:r>
      <w:r w:rsidR="00893409">
        <w:rPr>
          <w:rFonts w:eastAsiaTheme="minorEastAsia"/>
          <w:bCs/>
          <w:lang w:val="en-GB"/>
        </w:rPr>
        <w:fldChar w:fldCharType="separate"/>
      </w:r>
      <w:r w:rsidR="00893409" w:rsidRPr="00893409">
        <w:rPr>
          <w:rFonts w:eastAsiaTheme="minorEastAsia"/>
          <w:bCs/>
          <w:noProof/>
          <w:lang w:val="en-GB"/>
        </w:rPr>
        <w:t>(Josse &amp; Husson, 2016)</w:t>
      </w:r>
      <w:r w:rsidR="00893409">
        <w:rPr>
          <w:rFonts w:eastAsiaTheme="minorEastAsia"/>
          <w:bCs/>
          <w:lang w:val="en-GB"/>
        </w:rPr>
        <w:fldChar w:fldCharType="end"/>
      </w:r>
      <w:r w:rsidRPr="00964583">
        <w:rPr>
          <w:rFonts w:eastAsiaTheme="minorEastAsia"/>
          <w:bCs/>
          <w:lang w:val="en-GB"/>
        </w:rPr>
        <w:t>. The following parameters were chosen for the function arguments: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20"/>
        <w:gridCol w:w="2465"/>
        <w:gridCol w:w="3577"/>
      </w:tblGrid>
      <w:tr w:rsidR="00BE0D5E" w:rsidRPr="00AA1DEF" w14:paraId="57E460EF" w14:textId="77777777" w:rsidTr="00FB5EB7">
        <w:tc>
          <w:tcPr>
            <w:tcW w:w="3020" w:type="dxa"/>
          </w:tcPr>
          <w:p w14:paraId="1CDAC20E" w14:textId="77777777" w:rsidR="00BE0D5E" w:rsidRPr="00AA1DEF" w:rsidRDefault="00BE0D5E" w:rsidP="00FB5EB7">
            <w:pPr>
              <w:jc w:val="center"/>
              <w:rPr>
                <w:rFonts w:eastAsiaTheme="minorEastAsia"/>
                <w:b/>
                <w:sz w:val="20"/>
                <w:szCs w:val="20"/>
                <w:lang w:val="en-GB"/>
              </w:rPr>
            </w:pPr>
            <w:r w:rsidRPr="00AA1DEF">
              <w:rPr>
                <w:rFonts w:eastAsiaTheme="minorEastAsia"/>
                <w:b/>
                <w:sz w:val="20"/>
                <w:szCs w:val="20"/>
                <w:lang w:val="en-GB"/>
              </w:rPr>
              <w:t>Argument</w:t>
            </w:r>
          </w:p>
        </w:tc>
        <w:tc>
          <w:tcPr>
            <w:tcW w:w="2465" w:type="dxa"/>
          </w:tcPr>
          <w:p w14:paraId="0F5362AA" w14:textId="77777777" w:rsidR="00BE0D5E" w:rsidRPr="00AA1DEF" w:rsidRDefault="00BE0D5E" w:rsidP="00FB5EB7">
            <w:pPr>
              <w:jc w:val="center"/>
              <w:rPr>
                <w:rFonts w:eastAsiaTheme="minorEastAsia"/>
                <w:b/>
                <w:sz w:val="20"/>
                <w:szCs w:val="20"/>
                <w:lang w:val="en-GB"/>
              </w:rPr>
            </w:pPr>
            <w:r w:rsidRPr="00AA1DEF">
              <w:rPr>
                <w:rFonts w:eastAsiaTheme="minorEastAsia"/>
                <w:b/>
                <w:sz w:val="20"/>
                <w:szCs w:val="20"/>
                <w:lang w:val="en-GB"/>
              </w:rPr>
              <w:t>Value</w:t>
            </w:r>
          </w:p>
        </w:tc>
        <w:tc>
          <w:tcPr>
            <w:tcW w:w="3577" w:type="dxa"/>
          </w:tcPr>
          <w:p w14:paraId="0CFCC37E" w14:textId="77777777" w:rsidR="00BE0D5E" w:rsidRPr="00AA1DEF" w:rsidRDefault="00BE0D5E" w:rsidP="00FB5EB7">
            <w:pPr>
              <w:jc w:val="center"/>
              <w:rPr>
                <w:rFonts w:eastAsiaTheme="minorEastAsia"/>
                <w:b/>
                <w:sz w:val="20"/>
                <w:szCs w:val="20"/>
                <w:lang w:val="en-GB"/>
              </w:rPr>
            </w:pPr>
            <w:r w:rsidRPr="00AA1DEF">
              <w:rPr>
                <w:rFonts w:eastAsiaTheme="minorEastAsia"/>
                <w:b/>
                <w:sz w:val="20"/>
                <w:szCs w:val="20"/>
                <w:lang w:val="en-GB"/>
              </w:rPr>
              <w:t>Description</w:t>
            </w:r>
          </w:p>
        </w:tc>
      </w:tr>
      <w:tr w:rsidR="00BE0D5E" w:rsidRPr="00AA1DEF" w14:paraId="0885260D" w14:textId="77777777" w:rsidTr="00FB5EB7">
        <w:tc>
          <w:tcPr>
            <w:tcW w:w="3020" w:type="dxa"/>
          </w:tcPr>
          <w:p w14:paraId="6F679873"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X</w:t>
            </w:r>
          </w:p>
        </w:tc>
        <w:tc>
          <w:tcPr>
            <w:tcW w:w="2465" w:type="dxa"/>
          </w:tcPr>
          <w:p w14:paraId="745055A1" w14:textId="77777777" w:rsidR="00BE0D5E" w:rsidRPr="00AA1DEF" w:rsidRDefault="00BE0D5E" w:rsidP="00FB5EB7">
            <w:pPr>
              <w:jc w:val="center"/>
              <w:rPr>
                <w:rFonts w:eastAsiaTheme="minorEastAsia"/>
                <w:sz w:val="20"/>
                <w:szCs w:val="20"/>
                <w:lang w:val="en-GB"/>
              </w:rPr>
            </w:pPr>
            <w:r w:rsidRPr="00AA1DEF">
              <w:rPr>
                <w:rFonts w:eastAsiaTheme="minorEastAsia"/>
                <w:i/>
                <w:sz w:val="20"/>
                <w:szCs w:val="20"/>
                <w:lang w:val="en-GB"/>
              </w:rPr>
              <w:t>Lakes</w:t>
            </w:r>
            <w:r w:rsidRPr="00AA1DEF">
              <w:rPr>
                <w:rFonts w:eastAsiaTheme="minorEastAsia"/>
                <w:sz w:val="20"/>
                <w:szCs w:val="20"/>
                <w:lang w:val="en-GB"/>
              </w:rPr>
              <w:t xml:space="preserve"> dataset</w:t>
            </w:r>
          </w:p>
        </w:tc>
        <w:tc>
          <w:tcPr>
            <w:tcW w:w="3577" w:type="dxa"/>
          </w:tcPr>
          <w:p w14:paraId="48F20A62" w14:textId="77777777" w:rsidR="00BE0D5E" w:rsidRPr="00AA1DEF" w:rsidRDefault="00BE0D5E" w:rsidP="00FB5EB7">
            <w:pPr>
              <w:rPr>
                <w:rFonts w:eastAsiaTheme="minorEastAsia"/>
                <w:sz w:val="20"/>
                <w:szCs w:val="20"/>
                <w:lang w:val="en-GB"/>
              </w:rPr>
            </w:pPr>
            <w:r w:rsidRPr="00AA1DEF">
              <w:rPr>
                <w:rFonts w:eastAsiaTheme="minorEastAsia"/>
                <w:sz w:val="20"/>
                <w:szCs w:val="20"/>
                <w:lang w:val="en-GB"/>
              </w:rPr>
              <w:t>A data frame with missing values</w:t>
            </w:r>
          </w:p>
        </w:tc>
      </w:tr>
      <w:tr w:rsidR="00BE0D5E" w:rsidRPr="00AA1DEF" w14:paraId="0AED8A55" w14:textId="77777777" w:rsidTr="00FB5EB7">
        <w:tc>
          <w:tcPr>
            <w:tcW w:w="3020" w:type="dxa"/>
          </w:tcPr>
          <w:p w14:paraId="77116908"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ncp.min</w:t>
            </w:r>
          </w:p>
        </w:tc>
        <w:tc>
          <w:tcPr>
            <w:tcW w:w="2465" w:type="dxa"/>
          </w:tcPr>
          <w:p w14:paraId="71F74D77"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0</w:t>
            </w:r>
          </w:p>
        </w:tc>
        <w:tc>
          <w:tcPr>
            <w:tcW w:w="3577" w:type="dxa"/>
          </w:tcPr>
          <w:p w14:paraId="3763CE49" w14:textId="77777777" w:rsidR="00BE0D5E" w:rsidRPr="00AA1DEF" w:rsidRDefault="00BE0D5E" w:rsidP="00FB5EB7">
            <w:pPr>
              <w:jc w:val="both"/>
              <w:rPr>
                <w:rFonts w:eastAsiaTheme="minorEastAsia"/>
                <w:sz w:val="20"/>
                <w:szCs w:val="20"/>
                <w:lang w:val="en-GB"/>
              </w:rPr>
            </w:pPr>
            <w:r w:rsidRPr="00AA1DEF">
              <w:rPr>
                <w:rFonts w:eastAsiaTheme="minorEastAsia"/>
                <w:sz w:val="20"/>
                <w:szCs w:val="20"/>
                <w:lang w:val="en-GB"/>
              </w:rPr>
              <w:t>Minimum number of components to test</w:t>
            </w:r>
          </w:p>
        </w:tc>
      </w:tr>
      <w:tr w:rsidR="00BE0D5E" w:rsidRPr="00AA1DEF" w14:paraId="64A1E752" w14:textId="77777777" w:rsidTr="00FB5EB7">
        <w:tc>
          <w:tcPr>
            <w:tcW w:w="3020" w:type="dxa"/>
          </w:tcPr>
          <w:p w14:paraId="55E0A11D"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ncp.max</w:t>
            </w:r>
          </w:p>
        </w:tc>
        <w:tc>
          <w:tcPr>
            <w:tcW w:w="2465" w:type="dxa"/>
          </w:tcPr>
          <w:p w14:paraId="2591C541"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5</w:t>
            </w:r>
          </w:p>
        </w:tc>
        <w:tc>
          <w:tcPr>
            <w:tcW w:w="3577" w:type="dxa"/>
          </w:tcPr>
          <w:p w14:paraId="644921C8" w14:textId="77777777" w:rsidR="00BE0D5E" w:rsidRPr="00AA1DEF" w:rsidRDefault="00BE0D5E" w:rsidP="00FB5EB7">
            <w:pPr>
              <w:jc w:val="both"/>
              <w:rPr>
                <w:rFonts w:eastAsiaTheme="minorEastAsia"/>
                <w:sz w:val="20"/>
                <w:szCs w:val="20"/>
                <w:lang w:val="en-GB"/>
              </w:rPr>
            </w:pPr>
            <w:r w:rsidRPr="00AA1DEF">
              <w:rPr>
                <w:rFonts w:eastAsiaTheme="minorEastAsia"/>
                <w:sz w:val="20"/>
                <w:szCs w:val="20"/>
                <w:lang w:val="en-GB"/>
              </w:rPr>
              <w:t>Maximum number of components test</w:t>
            </w:r>
          </w:p>
        </w:tc>
      </w:tr>
      <w:tr w:rsidR="00BE0D5E" w:rsidRPr="00AA1DEF" w14:paraId="361655B9" w14:textId="77777777" w:rsidTr="00FB5EB7">
        <w:tc>
          <w:tcPr>
            <w:tcW w:w="3020" w:type="dxa"/>
          </w:tcPr>
          <w:p w14:paraId="323423AF"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method</w:t>
            </w:r>
          </w:p>
        </w:tc>
        <w:tc>
          <w:tcPr>
            <w:tcW w:w="2465" w:type="dxa"/>
          </w:tcPr>
          <w:p w14:paraId="1549C3D3"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„Regularized”</w:t>
            </w:r>
          </w:p>
        </w:tc>
        <w:tc>
          <w:tcPr>
            <w:tcW w:w="3577" w:type="dxa"/>
          </w:tcPr>
          <w:p w14:paraId="49EA218F" w14:textId="77777777" w:rsidR="00BE0D5E" w:rsidRPr="00AA1DEF" w:rsidRDefault="00BE0D5E" w:rsidP="00FB5EB7">
            <w:pPr>
              <w:jc w:val="both"/>
              <w:rPr>
                <w:rFonts w:eastAsiaTheme="minorEastAsia"/>
                <w:sz w:val="20"/>
                <w:szCs w:val="20"/>
                <w:lang w:val="en-GB"/>
              </w:rPr>
            </w:pPr>
            <w:r w:rsidRPr="00AA1DEF">
              <w:rPr>
                <w:rFonts w:eastAsiaTheme="minorEastAsia"/>
                <w:sz w:val="20"/>
                <w:szCs w:val="20"/>
                <w:lang w:val="en-GB"/>
              </w:rPr>
              <w:t xml:space="preserve">Iterative PCA algorithm </w:t>
            </w:r>
          </w:p>
        </w:tc>
      </w:tr>
      <w:tr w:rsidR="00BE0D5E" w:rsidRPr="00AA1DEF" w14:paraId="066DDF02" w14:textId="77777777" w:rsidTr="00FB5EB7">
        <w:tc>
          <w:tcPr>
            <w:tcW w:w="3020" w:type="dxa"/>
          </w:tcPr>
          <w:p w14:paraId="11E36DD5"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method.cv</w:t>
            </w:r>
          </w:p>
        </w:tc>
        <w:tc>
          <w:tcPr>
            <w:tcW w:w="2465" w:type="dxa"/>
          </w:tcPr>
          <w:p w14:paraId="5CF92CC4" w14:textId="77777777" w:rsidR="00BE0D5E" w:rsidRPr="00AA1DEF" w:rsidRDefault="00BE0D5E" w:rsidP="00FB5EB7">
            <w:pPr>
              <w:jc w:val="center"/>
              <w:rPr>
                <w:rFonts w:eastAsiaTheme="minorEastAsia"/>
                <w:sz w:val="20"/>
                <w:szCs w:val="20"/>
                <w:lang w:val="en-GB"/>
              </w:rPr>
            </w:pPr>
            <w:r w:rsidRPr="00AA1DEF">
              <w:rPr>
                <w:rFonts w:eastAsiaTheme="minorEastAsia"/>
                <w:sz w:val="20"/>
                <w:szCs w:val="20"/>
                <w:lang w:val="en-GB"/>
              </w:rPr>
              <w:t>„gcv”</w:t>
            </w:r>
          </w:p>
        </w:tc>
        <w:tc>
          <w:tcPr>
            <w:tcW w:w="3577" w:type="dxa"/>
          </w:tcPr>
          <w:p w14:paraId="5E37315F" w14:textId="77777777" w:rsidR="00BE0D5E" w:rsidRPr="00AA1DEF" w:rsidRDefault="00BE0D5E" w:rsidP="00BE0D5E">
            <w:pPr>
              <w:keepNext/>
              <w:jc w:val="both"/>
              <w:rPr>
                <w:rFonts w:eastAsiaTheme="minorEastAsia"/>
                <w:sz w:val="20"/>
                <w:szCs w:val="20"/>
                <w:lang w:val="en-GB"/>
              </w:rPr>
            </w:pPr>
            <w:r w:rsidRPr="00AA1DEF">
              <w:rPr>
                <w:rFonts w:eastAsiaTheme="minorEastAsia"/>
                <w:sz w:val="20"/>
                <w:szCs w:val="20"/>
                <w:lang w:val="en-GB"/>
              </w:rPr>
              <w:t>Generalized cross-validation</w:t>
            </w:r>
          </w:p>
        </w:tc>
      </w:tr>
    </w:tbl>
    <w:p w14:paraId="750EC8E3" w14:textId="24E01573" w:rsidR="00BE0D5E" w:rsidRPr="00BE0D5E" w:rsidRDefault="00BE0D5E" w:rsidP="00BE0D5E">
      <w:pPr>
        <w:pStyle w:val="Caption"/>
        <w:rPr>
          <w:rFonts w:eastAsiaTheme="minorEastAsia"/>
          <w:bCs/>
          <w:color w:val="auto"/>
          <w:lang w:val="en-GB"/>
        </w:rPr>
      </w:pPr>
      <w:r w:rsidRPr="00BE0D5E">
        <w:rPr>
          <w:color w:val="auto"/>
        </w:rPr>
        <w:t xml:space="preserve">Table </w:t>
      </w:r>
      <w:r w:rsidRPr="00BE0D5E">
        <w:rPr>
          <w:color w:val="auto"/>
        </w:rPr>
        <w:fldChar w:fldCharType="begin"/>
      </w:r>
      <w:r w:rsidRPr="00BE0D5E">
        <w:rPr>
          <w:color w:val="auto"/>
        </w:rPr>
        <w:instrText xml:space="preserve"> SEQ Table \* ARABIC </w:instrText>
      </w:r>
      <w:r w:rsidRPr="00BE0D5E">
        <w:rPr>
          <w:color w:val="auto"/>
        </w:rPr>
        <w:fldChar w:fldCharType="separate"/>
      </w:r>
      <w:r w:rsidR="008F2A12">
        <w:rPr>
          <w:noProof/>
          <w:color w:val="auto"/>
        </w:rPr>
        <w:t>1</w:t>
      </w:r>
      <w:r w:rsidRPr="00BE0D5E">
        <w:rPr>
          <w:color w:val="auto"/>
        </w:rPr>
        <w:fldChar w:fldCharType="end"/>
      </w:r>
      <w:r w:rsidRPr="00BE0D5E">
        <w:rPr>
          <w:color w:val="auto"/>
        </w:rPr>
        <w:t>. Parameters used for estim_ncpPCA performance.</w:t>
      </w:r>
    </w:p>
    <w:p w14:paraId="70F71F62" w14:textId="3EEFC3A1" w:rsidR="00A134AC" w:rsidRDefault="00A134AC" w:rsidP="009E2A30">
      <w:pPr>
        <w:ind w:firstLine="708"/>
        <w:jc w:val="both"/>
        <w:rPr>
          <w:rFonts w:eastAsiaTheme="minorEastAsia"/>
          <w:lang w:val="en-GB"/>
        </w:rPr>
      </w:pPr>
      <w:r w:rsidRPr="00AA1DEF">
        <w:rPr>
          <w:rFonts w:eastAsiaTheme="minorEastAsia"/>
          <w:lang w:val="en-GB"/>
        </w:rPr>
        <w:t xml:space="preserve">The number of components retained for the </w:t>
      </w:r>
      <w:r w:rsidRPr="00AA1DEF">
        <w:rPr>
          <w:rFonts w:eastAsiaTheme="minorEastAsia"/>
          <w:i/>
          <w:lang w:val="en-GB"/>
        </w:rPr>
        <w:t>PCA</w:t>
      </w:r>
      <w:r w:rsidRPr="00AA1DEF">
        <w:rPr>
          <w:rFonts w:eastAsiaTheme="minorEastAsia"/>
          <w:lang w:val="en-GB"/>
        </w:rPr>
        <w:t xml:space="preserve"> was chosen based on </w:t>
      </w:r>
      <w:r w:rsidRPr="00AA1DEF">
        <w:rPr>
          <w:rFonts w:eastAsiaTheme="minorEastAsia"/>
          <w:i/>
          <w:lang w:val="en-GB"/>
        </w:rPr>
        <w:t>Mean Square Prediction Error</w:t>
      </w:r>
      <w:r w:rsidRPr="00AA1DEF">
        <w:rPr>
          <w:rFonts w:eastAsiaTheme="minorEastAsia"/>
          <w:lang w:val="en-GB"/>
        </w:rPr>
        <w:t xml:space="preserve"> (</w:t>
      </w:r>
      <w:r w:rsidRPr="00AA1DEF">
        <w:rPr>
          <w:rFonts w:eastAsiaTheme="minorEastAsia"/>
          <w:i/>
          <w:lang w:val="en-GB"/>
        </w:rPr>
        <w:t>MSPE</w:t>
      </w:r>
      <w:r w:rsidRPr="00AA1DEF">
        <w:rPr>
          <w:rFonts w:eastAsiaTheme="minorEastAsia"/>
          <w:lang w:val="en-GB"/>
        </w:rPr>
        <w:t xml:space="preserve">) value, computed for each number of components, yelding results </w:t>
      </w:r>
      <w:r>
        <w:rPr>
          <w:rFonts w:eastAsiaTheme="minorEastAsia"/>
          <w:lang w:val="en-GB"/>
        </w:rPr>
        <w:fldChar w:fldCharType="begin" w:fldLock="1"/>
      </w:r>
      <w:r w:rsidR="00CA13F6">
        <w:rPr>
          <w:rFonts w:eastAsiaTheme="minorEastAsia"/>
          <w:lang w:val="en-GB"/>
        </w:rPr>
        <w:instrText>ADDIN CSL_CITATION {"citationItems":[{"id":"ITEM-1","itemData":{"DOI":"10.1080/00401706.1971.10488811","ISSN":"15372723","abstract":"The mean square error of prediction is proposed as a criterion for selecting variables. This criterion utilizes the values of the predictor variables associated with the future observation and the magnitude of the estimated variance. Mean square error is believed to be more meaningful than the commonly used criterion, the residual sum of squares. © 1971 Taylor and Francis Group, LLC.","author":[{"dropping-particle":"","family":"Allen","given":"David M.","non-dropping-particle":"","parse-names":false,"suffix":""}],"container-title":"Technometrics","id":"ITEM-1","issued":{"date-parts":[["1971"]]},"title":"Mean square error of prediction as a criterion for selecting variables","type":"article-journal"},"uris":["http://www.mendeley.com/documents/?uuid=78293880-c914-45cb-a52a-45e48cace0d7"]}],"mendeley":{"formattedCitation":"(Allen, 1971)","plainTextFormattedCitation":"(Allen, 1971)","previouslyFormattedCitation":"(Allen, 1971)"},"properties":{"noteIndex":0},"schema":"https://github.com/citation-style-language/schema/raw/master/csl-citation.json"}</w:instrText>
      </w:r>
      <w:r>
        <w:rPr>
          <w:rFonts w:eastAsiaTheme="minorEastAsia"/>
          <w:lang w:val="en-GB"/>
        </w:rPr>
        <w:fldChar w:fldCharType="separate"/>
      </w:r>
      <w:r w:rsidRPr="00A134AC">
        <w:rPr>
          <w:rFonts w:eastAsiaTheme="minorEastAsia"/>
          <w:noProof/>
          <w:lang w:val="en-GB"/>
        </w:rPr>
        <w:t>(Allen, 1971)</w:t>
      </w:r>
      <w:r>
        <w:rPr>
          <w:rFonts w:eastAsiaTheme="minorEastAsia"/>
          <w:lang w:val="en-GB"/>
        </w:rPr>
        <w:fldChar w:fldCharType="end"/>
      </w:r>
      <w:r w:rsidR="00282E7E">
        <w:rPr>
          <w:rFonts w:eastAsiaTheme="minorEastAsia"/>
          <w:lang w:val="en-GB"/>
        </w:rPr>
        <w:t>, as is shown in Table 2.</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9"/>
        <w:gridCol w:w="1267"/>
        <w:gridCol w:w="1267"/>
        <w:gridCol w:w="1267"/>
        <w:gridCol w:w="1268"/>
        <w:gridCol w:w="1268"/>
        <w:gridCol w:w="1246"/>
      </w:tblGrid>
      <w:tr w:rsidR="00283C83" w:rsidRPr="00283C83" w14:paraId="388DA756" w14:textId="77777777" w:rsidTr="00FB5EB7">
        <w:tc>
          <w:tcPr>
            <w:tcW w:w="1479" w:type="dxa"/>
          </w:tcPr>
          <w:p w14:paraId="3C3E31A6" w14:textId="77777777" w:rsidR="00283C83" w:rsidRPr="00283C83" w:rsidRDefault="00283C83" w:rsidP="00283C83">
            <w:pPr>
              <w:jc w:val="both"/>
              <w:rPr>
                <w:rFonts w:eastAsiaTheme="minorEastAsia"/>
                <w:b/>
                <w:lang w:val="en-GB"/>
              </w:rPr>
            </w:pPr>
            <w:r w:rsidRPr="00283C83">
              <w:rPr>
                <w:rFonts w:eastAsiaTheme="minorEastAsia"/>
                <w:b/>
                <w:lang w:val="en-GB"/>
              </w:rPr>
              <w:lastRenderedPageBreak/>
              <w:t>Components</w:t>
            </w:r>
          </w:p>
        </w:tc>
        <w:tc>
          <w:tcPr>
            <w:tcW w:w="1267" w:type="dxa"/>
          </w:tcPr>
          <w:p w14:paraId="390375E9" w14:textId="77777777" w:rsidR="00283C83" w:rsidRPr="00283C83" w:rsidRDefault="00283C83" w:rsidP="00283C83">
            <w:pPr>
              <w:jc w:val="both"/>
              <w:rPr>
                <w:rFonts w:eastAsiaTheme="minorEastAsia"/>
                <w:lang w:val="en-GB"/>
              </w:rPr>
            </w:pPr>
            <w:r w:rsidRPr="00283C83">
              <w:rPr>
                <w:rFonts w:eastAsiaTheme="minorEastAsia"/>
                <w:lang w:val="en-GB"/>
              </w:rPr>
              <w:t>0</w:t>
            </w:r>
          </w:p>
        </w:tc>
        <w:tc>
          <w:tcPr>
            <w:tcW w:w="1267" w:type="dxa"/>
          </w:tcPr>
          <w:p w14:paraId="54CF45DB" w14:textId="77777777" w:rsidR="00283C83" w:rsidRPr="00283C83" w:rsidRDefault="00283C83" w:rsidP="00283C83">
            <w:pPr>
              <w:jc w:val="both"/>
              <w:rPr>
                <w:rFonts w:eastAsiaTheme="minorEastAsia"/>
                <w:lang w:val="en-GB"/>
              </w:rPr>
            </w:pPr>
            <w:r w:rsidRPr="00283C83">
              <w:rPr>
                <w:rFonts w:eastAsiaTheme="minorEastAsia"/>
                <w:lang w:val="en-GB"/>
              </w:rPr>
              <w:t>1</w:t>
            </w:r>
          </w:p>
        </w:tc>
        <w:tc>
          <w:tcPr>
            <w:tcW w:w="1267" w:type="dxa"/>
          </w:tcPr>
          <w:p w14:paraId="2EB7D713" w14:textId="77777777" w:rsidR="00283C83" w:rsidRPr="00283C83" w:rsidRDefault="00283C83" w:rsidP="00283C83">
            <w:pPr>
              <w:jc w:val="both"/>
              <w:rPr>
                <w:rFonts w:eastAsiaTheme="minorEastAsia"/>
                <w:lang w:val="en-GB"/>
              </w:rPr>
            </w:pPr>
            <w:r w:rsidRPr="00283C83">
              <w:rPr>
                <w:rFonts w:eastAsiaTheme="minorEastAsia"/>
                <w:lang w:val="en-GB"/>
              </w:rPr>
              <w:t>2</w:t>
            </w:r>
          </w:p>
        </w:tc>
        <w:tc>
          <w:tcPr>
            <w:tcW w:w="1268" w:type="dxa"/>
          </w:tcPr>
          <w:p w14:paraId="5DC2B8AF" w14:textId="77777777" w:rsidR="00283C83" w:rsidRPr="00283C83" w:rsidRDefault="00283C83" w:rsidP="00283C83">
            <w:pPr>
              <w:jc w:val="both"/>
              <w:rPr>
                <w:rFonts w:eastAsiaTheme="minorEastAsia"/>
                <w:lang w:val="en-GB"/>
              </w:rPr>
            </w:pPr>
            <w:r w:rsidRPr="00283C83">
              <w:rPr>
                <w:rFonts w:eastAsiaTheme="minorEastAsia"/>
                <w:lang w:val="en-GB"/>
              </w:rPr>
              <w:t>3</w:t>
            </w:r>
          </w:p>
        </w:tc>
        <w:tc>
          <w:tcPr>
            <w:tcW w:w="1268" w:type="dxa"/>
          </w:tcPr>
          <w:p w14:paraId="1234080A" w14:textId="77777777" w:rsidR="00283C83" w:rsidRPr="00283C83" w:rsidRDefault="00283C83" w:rsidP="00283C83">
            <w:pPr>
              <w:jc w:val="both"/>
              <w:rPr>
                <w:rFonts w:eastAsiaTheme="minorEastAsia"/>
                <w:lang w:val="en-GB"/>
              </w:rPr>
            </w:pPr>
            <w:r w:rsidRPr="00283C83">
              <w:rPr>
                <w:rFonts w:eastAsiaTheme="minorEastAsia"/>
                <w:lang w:val="en-GB"/>
              </w:rPr>
              <w:t>4</w:t>
            </w:r>
          </w:p>
        </w:tc>
        <w:tc>
          <w:tcPr>
            <w:tcW w:w="1246" w:type="dxa"/>
          </w:tcPr>
          <w:p w14:paraId="712521C6" w14:textId="77777777" w:rsidR="00283C83" w:rsidRPr="00283C83" w:rsidRDefault="00283C83" w:rsidP="00283C83">
            <w:pPr>
              <w:jc w:val="both"/>
              <w:rPr>
                <w:rFonts w:eastAsiaTheme="minorEastAsia"/>
                <w:lang w:val="en-GB"/>
              </w:rPr>
            </w:pPr>
            <w:r w:rsidRPr="00283C83">
              <w:rPr>
                <w:rFonts w:eastAsiaTheme="minorEastAsia"/>
                <w:lang w:val="en-GB"/>
              </w:rPr>
              <w:t>5</w:t>
            </w:r>
          </w:p>
        </w:tc>
      </w:tr>
      <w:tr w:rsidR="00283C83" w:rsidRPr="00283C83" w14:paraId="7302F495" w14:textId="77777777" w:rsidTr="00FB5EB7">
        <w:tc>
          <w:tcPr>
            <w:tcW w:w="1479" w:type="dxa"/>
          </w:tcPr>
          <w:p w14:paraId="2D595234" w14:textId="77777777" w:rsidR="00283C83" w:rsidRPr="00283C83" w:rsidRDefault="00283C83" w:rsidP="00283C83">
            <w:pPr>
              <w:jc w:val="both"/>
              <w:rPr>
                <w:rFonts w:eastAsiaTheme="minorEastAsia"/>
                <w:b/>
                <w:lang w:val="en-GB"/>
              </w:rPr>
            </w:pPr>
            <w:r w:rsidRPr="00283C83">
              <w:rPr>
                <w:rFonts w:eastAsiaTheme="minorEastAsia"/>
                <w:b/>
                <w:lang w:val="en-GB"/>
              </w:rPr>
              <w:t>MSPE</w:t>
            </w:r>
          </w:p>
        </w:tc>
        <w:tc>
          <w:tcPr>
            <w:tcW w:w="1267" w:type="dxa"/>
          </w:tcPr>
          <w:p w14:paraId="56B36510" w14:textId="77777777" w:rsidR="00283C83" w:rsidRPr="00283C83" w:rsidRDefault="00283C83" w:rsidP="00283C83">
            <w:pPr>
              <w:jc w:val="both"/>
              <w:rPr>
                <w:rFonts w:eastAsiaTheme="minorEastAsia"/>
                <w:lang w:val="en-GB"/>
              </w:rPr>
            </w:pPr>
            <w:r w:rsidRPr="00283C83">
              <w:rPr>
                <w:rFonts w:eastAsiaTheme="minorEastAsia"/>
                <w:lang w:val="en-GB"/>
              </w:rPr>
              <w:t>8808.373</w:t>
            </w:r>
          </w:p>
        </w:tc>
        <w:tc>
          <w:tcPr>
            <w:tcW w:w="1267" w:type="dxa"/>
          </w:tcPr>
          <w:p w14:paraId="3B38FE4A" w14:textId="77777777" w:rsidR="00283C83" w:rsidRPr="00283C83" w:rsidRDefault="00283C83" w:rsidP="00283C83">
            <w:pPr>
              <w:jc w:val="both"/>
              <w:rPr>
                <w:rFonts w:eastAsiaTheme="minorEastAsia"/>
                <w:lang w:val="en-GB"/>
              </w:rPr>
            </w:pPr>
            <w:r w:rsidRPr="00283C83">
              <w:rPr>
                <w:rFonts w:eastAsiaTheme="minorEastAsia"/>
                <w:lang w:val="en-GB"/>
              </w:rPr>
              <w:t>9651.396</w:t>
            </w:r>
          </w:p>
        </w:tc>
        <w:tc>
          <w:tcPr>
            <w:tcW w:w="1267" w:type="dxa"/>
          </w:tcPr>
          <w:p w14:paraId="148030CE" w14:textId="77777777" w:rsidR="00283C83" w:rsidRPr="00283C83" w:rsidRDefault="00283C83" w:rsidP="00283C83">
            <w:pPr>
              <w:jc w:val="both"/>
              <w:rPr>
                <w:rFonts w:eastAsiaTheme="minorEastAsia"/>
                <w:lang w:val="en-GB"/>
              </w:rPr>
            </w:pPr>
            <w:r w:rsidRPr="00283C83">
              <w:rPr>
                <w:rFonts w:eastAsiaTheme="minorEastAsia"/>
                <w:lang w:val="en-GB"/>
              </w:rPr>
              <w:t>10439.058</w:t>
            </w:r>
          </w:p>
        </w:tc>
        <w:tc>
          <w:tcPr>
            <w:tcW w:w="1268" w:type="dxa"/>
          </w:tcPr>
          <w:p w14:paraId="14DD1319" w14:textId="77777777" w:rsidR="00283C83" w:rsidRPr="00283C83" w:rsidRDefault="00283C83" w:rsidP="00283C83">
            <w:pPr>
              <w:jc w:val="both"/>
              <w:rPr>
                <w:rFonts w:eastAsiaTheme="minorEastAsia"/>
                <w:b/>
                <w:lang w:val="en-GB"/>
              </w:rPr>
            </w:pPr>
            <w:r w:rsidRPr="00283C83">
              <w:rPr>
                <w:rFonts w:eastAsiaTheme="minorEastAsia"/>
                <w:b/>
                <w:lang w:val="en-GB"/>
              </w:rPr>
              <w:t>3169.197</w:t>
            </w:r>
          </w:p>
        </w:tc>
        <w:tc>
          <w:tcPr>
            <w:tcW w:w="1268" w:type="dxa"/>
          </w:tcPr>
          <w:p w14:paraId="00326BC5" w14:textId="77777777" w:rsidR="00283C83" w:rsidRPr="00283C83" w:rsidRDefault="00283C83" w:rsidP="00283C83">
            <w:pPr>
              <w:jc w:val="both"/>
              <w:rPr>
                <w:rFonts w:eastAsiaTheme="minorEastAsia"/>
                <w:lang w:val="en-GB"/>
              </w:rPr>
            </w:pPr>
            <w:r w:rsidRPr="00283C83">
              <w:rPr>
                <w:rFonts w:eastAsiaTheme="minorEastAsia"/>
                <w:lang w:val="en-GB"/>
              </w:rPr>
              <w:t>3524.744</w:t>
            </w:r>
          </w:p>
        </w:tc>
        <w:tc>
          <w:tcPr>
            <w:tcW w:w="1246" w:type="dxa"/>
          </w:tcPr>
          <w:p w14:paraId="295D1532" w14:textId="77777777" w:rsidR="00283C83" w:rsidRPr="00283C83" w:rsidRDefault="00283C83" w:rsidP="00283C83">
            <w:pPr>
              <w:keepNext/>
              <w:jc w:val="both"/>
              <w:rPr>
                <w:rFonts w:eastAsiaTheme="minorEastAsia"/>
                <w:lang w:val="en-GB"/>
              </w:rPr>
            </w:pPr>
            <w:r w:rsidRPr="00283C83">
              <w:rPr>
                <w:rFonts w:eastAsiaTheme="minorEastAsia"/>
                <w:lang w:val="en-GB"/>
              </w:rPr>
              <w:t>5716.199</w:t>
            </w:r>
          </w:p>
        </w:tc>
      </w:tr>
    </w:tbl>
    <w:p w14:paraId="7BC83B64" w14:textId="492C51D0" w:rsidR="00283C83" w:rsidRPr="00283C83" w:rsidRDefault="00283C83" w:rsidP="00283C83">
      <w:pPr>
        <w:pStyle w:val="Caption"/>
        <w:rPr>
          <w:rFonts w:eastAsiaTheme="minorEastAsia"/>
          <w:color w:val="auto"/>
          <w:lang w:val="en-GB"/>
        </w:rPr>
      </w:pPr>
      <w:r w:rsidRPr="00283C83">
        <w:rPr>
          <w:color w:val="auto"/>
        </w:rPr>
        <w:t xml:space="preserve">Table </w:t>
      </w:r>
      <w:r w:rsidRPr="00283C83">
        <w:rPr>
          <w:color w:val="auto"/>
        </w:rPr>
        <w:fldChar w:fldCharType="begin"/>
      </w:r>
      <w:r w:rsidRPr="00283C83">
        <w:rPr>
          <w:color w:val="auto"/>
        </w:rPr>
        <w:instrText xml:space="preserve"> SEQ Table \* ARABIC </w:instrText>
      </w:r>
      <w:r w:rsidRPr="00283C83">
        <w:rPr>
          <w:color w:val="auto"/>
        </w:rPr>
        <w:fldChar w:fldCharType="separate"/>
      </w:r>
      <w:r w:rsidR="008F2A12">
        <w:rPr>
          <w:noProof/>
          <w:color w:val="auto"/>
        </w:rPr>
        <w:t>2</w:t>
      </w:r>
      <w:r w:rsidRPr="00283C83">
        <w:rPr>
          <w:color w:val="auto"/>
        </w:rPr>
        <w:fldChar w:fldCharType="end"/>
      </w:r>
      <w:r w:rsidRPr="00283C83">
        <w:rPr>
          <w:color w:val="auto"/>
        </w:rPr>
        <w:t xml:space="preserve">. MSPE values for </w:t>
      </w:r>
      <w:r w:rsidR="009863A5">
        <w:rPr>
          <w:color w:val="auto"/>
        </w:rPr>
        <w:t>particular</w:t>
      </w:r>
      <w:r w:rsidRPr="00283C83">
        <w:rPr>
          <w:color w:val="auto"/>
        </w:rPr>
        <w:t xml:space="preserve"> componetns number.</w:t>
      </w:r>
    </w:p>
    <w:p w14:paraId="42412D25" w14:textId="7D412F24" w:rsidR="00CA13F6" w:rsidRDefault="00785EE1" w:rsidP="009E2A30">
      <w:pPr>
        <w:ind w:firstLine="708"/>
        <w:jc w:val="both"/>
        <w:rPr>
          <w:rFonts w:eastAsiaTheme="minorEastAsia"/>
          <w:lang w:val="en-GB"/>
        </w:rPr>
      </w:pPr>
      <w:r w:rsidRPr="00AA1DEF">
        <w:rPr>
          <w:rFonts w:eastAsiaTheme="minorEastAsia"/>
          <w:lang w:val="en-GB"/>
        </w:rPr>
        <w:t xml:space="preserve">The smallest </w:t>
      </w:r>
      <w:r w:rsidRPr="00AA1DEF">
        <w:rPr>
          <w:rFonts w:eastAsiaTheme="minorEastAsia"/>
          <w:i/>
          <w:lang w:val="en-GB"/>
        </w:rPr>
        <w:t>MSPE</w:t>
      </w:r>
      <w:r w:rsidRPr="00AA1DEF">
        <w:rPr>
          <w:rFonts w:eastAsiaTheme="minorEastAsia"/>
          <w:lang w:val="en-GB"/>
        </w:rPr>
        <w:t xml:space="preserve"> value was obtained for </w:t>
      </w:r>
      <w:r w:rsidR="00282E7E">
        <w:rPr>
          <w:rFonts w:eastAsiaTheme="minorEastAsia"/>
          <w:lang w:val="en-GB"/>
        </w:rPr>
        <w:t xml:space="preserve">a </w:t>
      </w:r>
      <w:r w:rsidRPr="00AA1DEF">
        <w:rPr>
          <w:rFonts w:eastAsiaTheme="minorEastAsia"/>
          <w:lang w:val="en-GB"/>
        </w:rPr>
        <w:t xml:space="preserve">combination of 3 components – thus, for the following imputation algorithm, </w:t>
      </w:r>
      <w:r w:rsidRPr="00AA1DEF">
        <w:rPr>
          <w:rFonts w:eastAsiaTheme="minorEastAsia"/>
          <w:i/>
          <w:lang w:val="en-GB"/>
        </w:rPr>
        <w:t>ncp</w:t>
      </w:r>
      <w:r w:rsidRPr="00AA1DEF">
        <w:rPr>
          <w:rFonts w:eastAsiaTheme="minorEastAsia"/>
          <w:lang w:val="en-GB"/>
        </w:rPr>
        <w:t xml:space="preserve"> argument was set to 3.</w:t>
      </w:r>
      <w:r w:rsidR="00CA13F6">
        <w:rPr>
          <w:rFonts w:eastAsiaTheme="minorEastAsia"/>
          <w:lang w:val="en-GB"/>
        </w:rPr>
        <w:t xml:space="preserve"> </w:t>
      </w:r>
      <w:r w:rsidR="00CA13F6" w:rsidRPr="00AA1DEF">
        <w:rPr>
          <w:rFonts w:eastAsiaTheme="minorEastAsia"/>
          <w:lang w:val="en-GB"/>
        </w:rPr>
        <w:t xml:space="preserve">The missing values were then estimated with the use of the </w:t>
      </w:r>
      <w:r w:rsidR="00CA13F6" w:rsidRPr="00AA1DEF">
        <w:rPr>
          <w:rFonts w:eastAsiaTheme="minorEastAsia"/>
          <w:i/>
          <w:lang w:val="en-GB"/>
        </w:rPr>
        <w:t>imputePCA</w:t>
      </w:r>
      <w:r w:rsidR="00CA13F6" w:rsidRPr="00AA1DEF">
        <w:rPr>
          <w:rFonts w:eastAsiaTheme="minorEastAsia"/>
          <w:lang w:val="en-GB"/>
        </w:rPr>
        <w:t xml:space="preserve"> algorithm of the </w:t>
      </w:r>
      <w:r w:rsidR="00CA13F6" w:rsidRPr="00AA1DEF">
        <w:rPr>
          <w:rFonts w:eastAsiaTheme="minorEastAsia"/>
          <w:i/>
          <w:lang w:val="en-GB"/>
        </w:rPr>
        <w:t>missMDA</w:t>
      </w:r>
      <w:r w:rsidR="00CA13F6" w:rsidRPr="00AA1DEF">
        <w:rPr>
          <w:rFonts w:eastAsiaTheme="minorEastAsia"/>
          <w:lang w:val="en-GB"/>
        </w:rPr>
        <w:t xml:space="preserve"> package </w:t>
      </w:r>
      <w:r w:rsidR="00CA13F6">
        <w:rPr>
          <w:rFonts w:eastAsiaTheme="minorEastAsia"/>
          <w:lang w:val="en-GB"/>
        </w:rPr>
        <w:fldChar w:fldCharType="begin" w:fldLock="1"/>
      </w:r>
      <w:r w:rsidR="0004013B">
        <w:rPr>
          <w:rFonts w:eastAsiaTheme="minorEastAsia"/>
          <w:lang w:val="en-GB"/>
        </w:rPr>
        <w:instrText>ADDIN CSL_CITATION {"citationItems":[{"id":"ITEM-1","itemData":{"ISSN":"15337928","abstract":"Missing data is a common problem in real-world settings and for this reason has attracted significant attention in the statistical literature. We propose a flexible framework based on formal optimization to impute missing data with mixed continuous and categorical variables. This framework can readily incorporate various predictive models including Knearest neighbors, support vector machines, and decision tree based methods, and can be adapted for multiple imputation. We derive fast first-order methods that obtain high quality solutions in seconds following a general imputation algorithm opt.impute presented in this paper. We demonstrate that our proposed method improves out-of-sample accuracy in large-scale computational experiments across a sample of 84 data sets taken from the UCI Machine Learning Repository. In all scenarios of missing at random mechanisms and various missing percentages, opt.impute produces the best overall imputation in most data sets benchmarked against five other methods: mean impute, K-nearest neighbors, iterative knn, Bayesian PCA, and predictive-mean matching, with an average reduction in mean absolute error of 8.3% against the best cross-validated benchmark method. Moreover, opt.impute leads to improved out-of-sample performance of learning algorithms trained using the imputed data, demonstrated by computational experiments on 10 downstream tasks. For models trained using opt.impute single imputations with 50% data missing, the average out-of-sample R2 is 0.339 in the regression tasks and the average out-of-sample accuracy is 86.1% in the classification tasks, compared to 0.315 and 84.4% for the best cross-validated benchmark method. In the multiple imputation setting, downstream models trained using opt.impute obtain a statistically significant improvement over models trained using multivariate imputation by chained equations (mice) in 8/10 missing data scenarios considered.","author":[{"dropping-particle":"","family":"Bertsimas","given":"Dimitris","non-dropping-particle":"","parse-names":false,"suffix":""},{"dropping-particle":"","family":"Pawlowski","given":"Colin","non-dropping-particle":"","parse-names":false,"suffix":""},{"dropping-particle":"","family":"Zhuo","given":"Ying Daisy","non-dropping-particle":"","parse-names":false,"suffix":""}],"container-title":"Journal of Machine Learning Research","id":"ITEM-1","issued":{"date-parts":[["2018"]]},"title":"From predictive methods to missing data imputation: An optimization approach","type":"article-journal"},"uris":["http://www.mendeley.com/documents/?uuid=56a1d3d1-5fd1-4e59-bcf7-4a3b087c2026"]}],"mendeley":{"formattedCitation":"(Bertsimas, Pawlowski, &amp; Zhuo, 2018)","plainTextFormattedCitation":"(Bertsimas, Pawlowski, &amp; Zhuo, 2018)","previouslyFormattedCitation":"(Bertsimas, Pawlowski, &amp; Zhuo, 2018)"},"properties":{"noteIndex":0},"schema":"https://github.com/citation-style-language/schema/raw/master/csl-citation.json"}</w:instrText>
      </w:r>
      <w:r w:rsidR="00CA13F6">
        <w:rPr>
          <w:rFonts w:eastAsiaTheme="minorEastAsia"/>
          <w:lang w:val="en-GB"/>
        </w:rPr>
        <w:fldChar w:fldCharType="separate"/>
      </w:r>
      <w:r w:rsidR="00CA13F6" w:rsidRPr="00CA13F6">
        <w:rPr>
          <w:rFonts w:eastAsiaTheme="minorEastAsia"/>
          <w:noProof/>
          <w:lang w:val="en-GB"/>
        </w:rPr>
        <w:t>(Bertsimas, Pawlowski, &amp; Zhuo, 2018)</w:t>
      </w:r>
      <w:r w:rsidR="00CA13F6">
        <w:rPr>
          <w:rFonts w:eastAsiaTheme="minorEastAsia"/>
          <w:lang w:val="en-GB"/>
        </w:rPr>
        <w:fldChar w:fldCharType="end"/>
      </w:r>
      <w:r w:rsidR="00CA13F6" w:rsidRPr="00AA1DEF">
        <w:rPr>
          <w:rFonts w:eastAsiaTheme="minorEastAsia"/>
          <w:lang w:val="en-GB"/>
        </w:rPr>
        <w:t xml:space="preserve">. The </w:t>
      </w:r>
      <w:r w:rsidR="00CA13F6" w:rsidRPr="00AA1DEF">
        <w:rPr>
          <w:rFonts w:eastAsiaTheme="minorEastAsia"/>
          <w:i/>
          <w:lang w:val="en-GB"/>
        </w:rPr>
        <w:t xml:space="preserve">PCA </w:t>
      </w:r>
      <w:r w:rsidR="00CA13F6" w:rsidRPr="00AA1DEF">
        <w:rPr>
          <w:rFonts w:eastAsiaTheme="minorEastAsia"/>
          <w:lang w:val="en-GB"/>
        </w:rPr>
        <w:t xml:space="preserve">was performed for the imputed dataset, and the resulting 2-dimensional vector map was compared to one created before the imputation process. The imputation procedure improved the combined explanatory skill of all component vectors. Within two leading dimensions, 68.35% of dataset variability was explained compared to 65.62% before imputation </w:t>
      </w:r>
      <w:r w:rsidR="00CA13F6">
        <w:rPr>
          <w:rFonts w:eastAsiaTheme="minorEastAsia"/>
          <w:lang w:val="en-GB"/>
        </w:rPr>
        <w:t>(Figure 8)</w:t>
      </w:r>
      <w:r w:rsidR="00CA13F6" w:rsidRPr="00AA1DEF">
        <w:rPr>
          <w:rFonts w:eastAsiaTheme="minorEastAsia"/>
          <w:lang w:val="en-GB"/>
        </w:rPr>
        <w:t>.</w:t>
      </w:r>
    </w:p>
    <w:p w14:paraId="42FBC395" w14:textId="77777777" w:rsidR="00052232" w:rsidRDefault="00052232" w:rsidP="00052232">
      <w:pPr>
        <w:keepNext/>
        <w:jc w:val="both"/>
      </w:pPr>
      <w:r>
        <w:rPr>
          <w:noProof/>
        </w:rPr>
        <w:drawing>
          <wp:inline distT="0" distB="0" distL="0" distR="0" wp14:anchorId="4AB4D104" wp14:editId="2DE3B15F">
            <wp:extent cx="5760720" cy="40728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4F8B11DB" w14:textId="6A12B9E0" w:rsidR="00052232" w:rsidRPr="00052232" w:rsidRDefault="00052232" w:rsidP="00052232">
      <w:pPr>
        <w:pStyle w:val="Caption"/>
        <w:jc w:val="both"/>
        <w:rPr>
          <w:color w:val="auto"/>
        </w:rPr>
      </w:pPr>
      <w:r w:rsidRPr="00052232">
        <w:rPr>
          <w:color w:val="auto"/>
        </w:rPr>
        <w:t>F</w:t>
      </w:r>
      <w:r>
        <w:rPr>
          <w:color w:val="auto"/>
        </w:rPr>
        <w:t>i</w:t>
      </w:r>
      <w:r w:rsidRPr="00052232">
        <w:rPr>
          <w:color w:val="auto"/>
        </w:rPr>
        <w:t>gure</w:t>
      </w:r>
      <w:r>
        <w:rPr>
          <w:color w:val="auto"/>
        </w:rPr>
        <w:t xml:space="preserve"> 8</w:t>
      </w:r>
      <w:r w:rsidRPr="00052232">
        <w:rPr>
          <w:color w:val="auto"/>
        </w:rPr>
        <w:t>. Factor map for variables set showing the explanatory skill prior to and after the imputation process.</w:t>
      </w:r>
    </w:p>
    <w:p w14:paraId="0AFC036B" w14:textId="12360923" w:rsidR="0004013B" w:rsidRDefault="0004013B" w:rsidP="009E2A30">
      <w:pPr>
        <w:ind w:firstLine="708"/>
        <w:jc w:val="both"/>
        <w:rPr>
          <w:rFonts w:eastAsiaTheme="minorEastAsia"/>
          <w:lang w:val="en-GB"/>
        </w:rPr>
      </w:pPr>
      <w:r w:rsidRPr="00AA1DEF">
        <w:rPr>
          <w:rFonts w:eastAsiaTheme="minorEastAsia"/>
          <w:lang w:val="en-GB"/>
        </w:rPr>
        <w:t xml:space="preserve">Next, a comparison was made between the correlation results for the data before and after the data completion algorithm was applied </w:t>
      </w:r>
      <w:r>
        <w:rPr>
          <w:rFonts w:eastAsiaTheme="minorEastAsia"/>
          <w:lang w:val="en-GB"/>
        </w:rPr>
        <w:t>(Figure 9)</w:t>
      </w:r>
      <w:r w:rsidRPr="00AA1DEF">
        <w:rPr>
          <w:rFonts w:eastAsiaTheme="minorEastAsia"/>
          <w:lang w:val="en-GB"/>
        </w:rPr>
        <w:t>. The results of PPMCC showed the existing correlation (negative and positive) between some of the measured variables. A strong or moderate downhill linear relationship was detected between PMPL - Visibility variables (-0.78), PMPL - ESMI (-0.69), and Chlorophyll „a” – Visibility (-0.65). Strong and moderate uphill relationships were detected for pairs PMPL – Chlorophyll „a” (0.78), Nitrogen – Chlorophyll „a” (0.72</w:t>
      </w:r>
      <w:proofErr w:type="gramStart"/>
      <w:r w:rsidRPr="00AA1DEF">
        <w:rPr>
          <w:rFonts w:eastAsiaTheme="minorEastAsia"/>
          <w:lang w:val="en-GB"/>
        </w:rPr>
        <w:t>),  Chlorophyll</w:t>
      </w:r>
      <w:proofErr w:type="gramEnd"/>
      <w:r w:rsidRPr="00AA1DEF">
        <w:rPr>
          <w:rFonts w:eastAsiaTheme="minorEastAsia"/>
          <w:lang w:val="en-GB"/>
        </w:rPr>
        <w:t xml:space="preserve"> „a” – Phosphorus (0.67), and ESMI – Visibility (0.64). The results of the correlation analysis constituted a premise for the application of the dimensionality reduction technique </w:t>
      </w:r>
      <w:r>
        <w:rPr>
          <w:rFonts w:eastAsiaTheme="minorEastAsia"/>
          <w:lang w:val="en-GB"/>
        </w:rPr>
        <w:fldChar w:fldCharType="begin" w:fldLock="1"/>
      </w:r>
      <w:r w:rsidR="009D5D35">
        <w:rPr>
          <w:rFonts w:eastAsiaTheme="minorEastAsia"/>
          <w:lang w:val="en-GB"/>
        </w:rPr>
        <w:instrText>ADDIN CSL_CITATION {"citationItems":[{"id":"ITEM-1","itemData":{"DOI":"10.1007/11752790_5","ISBN":"3540341374","ISSN":"16113349","abstract":"Dimensionality reduction is a commonly used step in machine learning, especially when dealing with a high dimensional space of features. The original feature space is mapped onto a new, reduced dimensionally space. The dimensionality reduction is usually performed either by selecting a subset of the original dimensions or/and by constructing new dimensions. This paper deals with feature subset selection for dimensionality reduction in machine learning. We provide a brief overview of the feature subset selection techniques that are commonly used in machine learning. Detailed description is provided for feature sub-set selection as commonly used on text data. For illustration, we show performance of several methods on document categorization of real-world data. © Springer-Verlag Berlin Heidelberg 2006.","author":[{"dropping-particle":"","family":"Mladenić","given":"Dunja","non-dropping-particle":"","parse-names":false,"suffix":""}],"container-title":"Lecture Notes in Computer Science (including subseries Lecture Notes in Artificial Intelligence and Lecture Notes in Bioinformatics)","id":"ITEM-1","issued":{"date-parts":[["2006"]]},"title":"Feature selection for dimensionality reduction","type":"paper-conference"},"uris":["http://www.mendeley.com/documents/?uuid=475b0c99-6dc5-408e-9649-b8a615f84cea"]},{"id":"ITEM-2","itemData":{"DOI":"10.1109/SAI.2014.6918213","ISBN":"9780989319317","abstract":"Dimensionality reduction as a preprocessing step to machine learning is effective in removing irrelevant and redundant data, increasing learning accuracy, and improving result comprehensibility. However, the recent increase of dimensionality of data poses a severe challenge to many existing feature selection and feature extraction methods with respect to efficiency and effectiveness. In the field of machine learning and pattern recognition, dimensionality reduction is important area, where many approaches have been proposed. In this paper, some widely used feature selection and feature extraction techniques have analyzed with the purpose of how effectively these techniques can be used to achieve high performance of learning algorithms that ultimately improves predictive accuracy of classifier. An endeavor to analyze dimensionality reduction techniques briefly with the purpose to investigate strengths and weaknesses of some widely used dimensionality reduction methods is presented.","author":[{"dropping-particle":"","family":"Khalid","given":"Samina","non-dropping-particle":"","parse-names":false,"suffix":""},{"dropping-particle":"","family":"Khalil","given":"Tehmina","non-dropping-particle":"","parse-names":false,"suffix":""},{"dropping-particle":"","family":"Nasreen","given":"Shamila","non-dropping-particle":"","parse-names":false,"suffix":""}],"container-title":"Proceedings of 2014 Science and Information Conference, SAI 2014","id":"ITEM-2","issued":{"date-parts":[["2014"]]},"title":"A survey of feature selection and feature extraction techniques in machine learning","type":"paper-conference"},"uris":["http://www.mendeley.com/documents/?uuid=fc457a6f-9e37-46fd-8c25-20ce81fc5e17"]}],"mendeley":{"formattedCitation":"(Mladenić, 2006; Khalid, Khalil, &amp; Nasreen, 2014)","plainTextFormattedCitation":"(Mladenić, 2006; Khalid, Khalil, &amp; Nasreen, 2014)","previouslyFormattedCitation":"(Mladenić, 2006; Khalid, Khalil, &amp; Nasreen, 2014)"},"properties":{"noteIndex":0},"schema":"https://github.com/citation-style-language/schema/raw/master/csl-citation.json"}</w:instrText>
      </w:r>
      <w:r>
        <w:rPr>
          <w:rFonts w:eastAsiaTheme="minorEastAsia"/>
          <w:lang w:val="en-GB"/>
        </w:rPr>
        <w:fldChar w:fldCharType="separate"/>
      </w:r>
      <w:r w:rsidRPr="0004013B">
        <w:rPr>
          <w:rFonts w:eastAsiaTheme="minorEastAsia"/>
          <w:noProof/>
          <w:lang w:val="en-GB"/>
        </w:rPr>
        <w:t>(Mladenić, 2006; Khalid, Khalil, &amp; Nasreen, 2014)</w:t>
      </w:r>
      <w:r>
        <w:rPr>
          <w:rFonts w:eastAsiaTheme="minorEastAsia"/>
          <w:lang w:val="en-GB"/>
        </w:rPr>
        <w:fldChar w:fldCharType="end"/>
      </w:r>
      <w:r w:rsidRPr="00AA1DEF">
        <w:rPr>
          <w:rFonts w:eastAsiaTheme="minorEastAsia"/>
          <w:lang w:val="en-GB"/>
        </w:rPr>
        <w:t>.</w:t>
      </w:r>
    </w:p>
    <w:p w14:paraId="3EDB9C98" w14:textId="77777777" w:rsidR="009D5D35" w:rsidRDefault="009D5D35" w:rsidP="009D5D35">
      <w:pPr>
        <w:keepNext/>
        <w:jc w:val="both"/>
      </w:pPr>
      <w:r>
        <w:rPr>
          <w:noProof/>
        </w:rPr>
        <w:lastRenderedPageBreak/>
        <w:drawing>
          <wp:inline distT="0" distB="0" distL="0" distR="0" wp14:anchorId="670D75A3" wp14:editId="53E18129">
            <wp:extent cx="5760720" cy="2468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inline>
        </w:drawing>
      </w:r>
    </w:p>
    <w:p w14:paraId="7F35AEAB" w14:textId="0E9B6786" w:rsidR="00E676CC" w:rsidRPr="00CA4862" w:rsidRDefault="009D5D35" w:rsidP="00CA4862">
      <w:pPr>
        <w:pStyle w:val="Caption"/>
        <w:jc w:val="both"/>
        <w:rPr>
          <w:rFonts w:eastAsiaTheme="minorEastAsia"/>
          <w:color w:val="auto"/>
          <w:lang w:val="en-GB"/>
        </w:rPr>
      </w:pPr>
      <w:r w:rsidRPr="00CA4862">
        <w:rPr>
          <w:color w:val="auto"/>
        </w:rPr>
        <w:t>Figure</w:t>
      </w:r>
      <w:r w:rsidR="00CA4862" w:rsidRPr="00CA4862">
        <w:rPr>
          <w:color w:val="auto"/>
        </w:rPr>
        <w:t xml:space="preserve"> </w:t>
      </w:r>
      <w:r w:rsidRPr="00CA4862">
        <w:rPr>
          <w:color w:val="auto"/>
        </w:rPr>
        <w:t>9. PPMCC results for dataset prior to and after the data imputation.</w:t>
      </w:r>
    </w:p>
    <w:p w14:paraId="79F8B6ED" w14:textId="050EB71E" w:rsidR="00E676CC" w:rsidRDefault="00E676CC" w:rsidP="00E676CC">
      <w:pPr>
        <w:jc w:val="both"/>
        <w:rPr>
          <w:rFonts w:eastAsiaTheme="minorEastAsia"/>
          <w:b/>
          <w:lang w:val="en-GB"/>
        </w:rPr>
      </w:pPr>
      <w:r w:rsidRPr="00964583">
        <w:rPr>
          <w:b/>
          <w:bCs/>
          <w:lang w:val="en-US"/>
        </w:rPr>
        <w:t>3.</w:t>
      </w:r>
      <w:r>
        <w:rPr>
          <w:b/>
          <w:bCs/>
          <w:lang w:val="en-US"/>
        </w:rPr>
        <w:t>3</w:t>
      </w:r>
      <w:r w:rsidRPr="00964583">
        <w:rPr>
          <w:b/>
          <w:bCs/>
          <w:lang w:val="en-US"/>
        </w:rPr>
        <w:t>.</w:t>
      </w:r>
      <w:r>
        <w:rPr>
          <w:lang w:val="en-US"/>
        </w:rPr>
        <w:t xml:space="preserve"> </w:t>
      </w:r>
      <w:r>
        <w:rPr>
          <w:rFonts w:eastAsiaTheme="minorEastAsia"/>
          <w:b/>
          <w:lang w:val="en-GB"/>
        </w:rPr>
        <w:t>Dimensionality reduction</w:t>
      </w:r>
    </w:p>
    <w:p w14:paraId="73EF67E5" w14:textId="1FA916C9" w:rsidR="008C6F20" w:rsidRDefault="00190A6B" w:rsidP="009E2A30">
      <w:pPr>
        <w:ind w:firstLine="708"/>
        <w:jc w:val="both"/>
        <w:rPr>
          <w:rFonts w:eastAsiaTheme="minorEastAsia"/>
          <w:lang w:val="en-GB"/>
        </w:rPr>
      </w:pPr>
      <w:r w:rsidRPr="00AA1DEF">
        <w:rPr>
          <w:rFonts w:eastAsiaTheme="minorEastAsia"/>
          <w:lang w:val="en-GB"/>
        </w:rPr>
        <w:t xml:space="preserve">The training dataset was scaled before the dimensionality reduction </w:t>
      </w:r>
      <w:r w:rsidR="009D5D35">
        <w:rPr>
          <w:rFonts w:eastAsiaTheme="minorEastAsia"/>
          <w:lang w:val="en-GB"/>
        </w:rPr>
        <w:fldChar w:fldCharType="begin" w:fldLock="1"/>
      </w:r>
      <w:r w:rsidR="009D5D35">
        <w:rPr>
          <w:rFonts w:eastAsiaTheme="minorEastAsia"/>
          <w:lang w:val="en-GB"/>
        </w:rPr>
        <w:instrText>ADDIN CSL_CITATION {"citationItems":[{"id":"ITEM-1","itemData":{"DOI":"10.1371/journal.pcbi.1006907","ISSN":"15537358","PMID":"31220072","author":[{"dropping-particle":"","family":"Nguyen","given":"Lan Huong","non-dropping-particle":"","parse-names":false,"suffix":""},{"dropping-particle":"","family":"Holmes","given":"Susan","non-dropping-particle":"","parse-names":false,"suffix":""}],"container-title":"PLoS Computational Biology","id":"ITEM-1","issued":{"date-parts":[["2019"]]},"title":"Ten quick tips for effective dimensionality reduction","type":"article-journal"},"uris":["http://www.mendeley.com/documents/?uuid=bf949598-4d49-4524-963d-f3274ed300ac"]}],"mendeley":{"formattedCitation":"(Nguyen &amp; Holmes, 2019)","plainTextFormattedCitation":"(Nguyen &amp; Holmes, 2019)","previouslyFormattedCitation":"(Nguyen &amp; Holmes, 2019)"},"properties":{"noteIndex":0},"schema":"https://github.com/citation-style-language/schema/raw/master/csl-citation.json"}</w:instrText>
      </w:r>
      <w:r w:rsidR="009D5D35">
        <w:rPr>
          <w:rFonts w:eastAsiaTheme="minorEastAsia"/>
          <w:lang w:val="en-GB"/>
        </w:rPr>
        <w:fldChar w:fldCharType="separate"/>
      </w:r>
      <w:r w:rsidR="009D5D35" w:rsidRPr="009D5D35">
        <w:rPr>
          <w:rFonts w:eastAsiaTheme="minorEastAsia"/>
          <w:noProof/>
          <w:lang w:val="en-GB"/>
        </w:rPr>
        <w:t>(Nguyen &amp; Holmes, 2019)</w:t>
      </w:r>
      <w:r w:rsidR="009D5D35">
        <w:rPr>
          <w:rFonts w:eastAsiaTheme="minorEastAsia"/>
          <w:lang w:val="en-GB"/>
        </w:rPr>
        <w:fldChar w:fldCharType="end"/>
      </w:r>
      <w:r w:rsidRPr="00AA1DEF">
        <w:rPr>
          <w:rFonts w:eastAsiaTheme="minorEastAsia"/>
          <w:lang w:val="en-GB"/>
        </w:rPr>
        <w:t xml:space="preserve">. Linear Discriminant Analysis (LDA) was used as a dimensionality reduction algorithm, due to its ability to emphasize the differences between groups given the grouping factor </w:t>
      </w:r>
      <w:r w:rsidR="009D5D35">
        <w:rPr>
          <w:rFonts w:eastAsiaTheme="minorEastAsia"/>
          <w:lang w:val="en-GB"/>
        </w:rPr>
        <w:fldChar w:fldCharType="begin" w:fldLock="1"/>
      </w:r>
      <w:r w:rsidR="009D5D35">
        <w:rPr>
          <w:rFonts w:eastAsiaTheme="minorEastAsia"/>
          <w:lang w:val="en-GB"/>
        </w:rPr>
        <w:instrText>ADDIN CSL_CITATION {"citationItems":[{"id":"ITEM-1","itemData":{"DOI":"10.3233/AIC-170729","ISSN":"09217126","abstract":"Linear Discriminant Analysis (LDA) is a very common technique for dimensionality reduction problems as a pre-processing step for machine learning and pattern classification applications. At the same time, it is usually used as a black box, but (sometimes) not well understood. The aim of this paper is to build a solid intuition for what is LDA, and how LDA works, thus enabling readers of all levels be able to get a better understanding of the LDA and to know how to apply this technique in different applications. The paper first gave the basic definitions and steps of how LDA technique works supported with visual explanations of these steps. Moreover, the two methods of computing the LDA space, i.e. class-dependent and class-independent methods, were explained in details. Then, in a step-by-step approach, two numerical examples are demonstrated to show how the LDA space can be calculated in case of the class-dependent and class-independent methods. Furthermore, two of the most common LDA problems (i.e. Small Sample Size (SSS) and non-linearity problems) were highlighted and illustrated, and state-of-The-Art solutions to these problems were investigated and explained. Finally, a number of experiments was conducted with different datasets to (1) investigate the effect of the eigenvectors that used in the LDA space on the robustness of the extracted feature for the classification accuracy, and (2) to show when the SSS problem occurs and how it can be addressed.","author":[{"dropping-particle":"","family":"Tharwat","given":"Alaa","non-dropping-particle":"","parse-names":false,"suffix":""},{"dropping-particle":"","family":"Gaber","given":"Tarek","non-dropping-particle":"","parse-names":false,"suffix":""},{"dropping-particle":"","family":"Ibrahim","given":"Abdelhameed","non-dropping-particle":"","parse-names":false,"suffix":""},{"dropping-particle":"","family":"Hassanien","given":"Aboul Ella","non-dropping-particle":"","parse-names":false,"suffix":""}],"container-title":"AI Communications","id":"ITEM-1","issued":{"date-parts":[["2017"]]},"title":"Linear discriminant analysis: A detailed tutorial","type":"article-journal"},"uris":["http://www.mendeley.com/documents/?uuid=d8435834-02e1-450a-b49c-42b4d9edee06"]}],"mendeley":{"formattedCitation":"(Tharwat, Gaber, Ibrahim, &amp; Hassanien, 2017)","plainTextFormattedCitation":"(Tharwat, Gaber, Ibrahim, &amp; Hassanien, 2017)","previouslyFormattedCitation":"(Tharwat, Gaber, Ibrahim, &amp; Hassanien, 2017)"},"properties":{"noteIndex":0},"schema":"https://github.com/citation-style-language/schema/raw/master/csl-citation.json"}</w:instrText>
      </w:r>
      <w:r w:rsidR="009D5D35">
        <w:rPr>
          <w:rFonts w:eastAsiaTheme="minorEastAsia"/>
          <w:lang w:val="en-GB"/>
        </w:rPr>
        <w:fldChar w:fldCharType="separate"/>
      </w:r>
      <w:r w:rsidR="009D5D35" w:rsidRPr="009D5D35">
        <w:rPr>
          <w:rFonts w:eastAsiaTheme="minorEastAsia"/>
          <w:noProof/>
          <w:lang w:val="en-GB"/>
        </w:rPr>
        <w:t>(Tharwat, Gaber, Ibrahim, &amp; Hassanien, 2017)</w:t>
      </w:r>
      <w:r w:rsidR="009D5D35">
        <w:rPr>
          <w:rFonts w:eastAsiaTheme="minorEastAsia"/>
          <w:lang w:val="en-GB"/>
        </w:rPr>
        <w:fldChar w:fldCharType="end"/>
      </w:r>
      <w:r w:rsidRPr="00AA1DEF">
        <w:rPr>
          <w:rFonts w:eastAsiaTheme="minorEastAsia"/>
          <w:lang w:val="en-GB"/>
        </w:rPr>
        <w:t xml:space="preserve">. The LDA was performed with the use of the </w:t>
      </w:r>
      <w:r w:rsidRPr="00AA1DEF">
        <w:rPr>
          <w:rFonts w:eastAsiaTheme="minorEastAsia"/>
          <w:i/>
          <w:lang w:val="en-GB"/>
        </w:rPr>
        <w:t>MASS</w:t>
      </w:r>
      <w:r w:rsidRPr="00AA1DEF">
        <w:rPr>
          <w:rFonts w:eastAsiaTheme="minorEastAsia"/>
          <w:lang w:val="en-GB"/>
        </w:rPr>
        <w:t xml:space="preserve"> package for R </w:t>
      </w:r>
      <w:r w:rsidR="009D5D35">
        <w:rPr>
          <w:rFonts w:eastAsiaTheme="minorEastAsia"/>
          <w:lang w:val="en-GB"/>
        </w:rPr>
        <w:fldChar w:fldCharType="begin" w:fldLock="1"/>
      </w:r>
      <w:r w:rsidR="006B5D82">
        <w:rPr>
          <w:rFonts w:eastAsiaTheme="minorEastAsia"/>
          <w:lang w:val="en-GB"/>
        </w:rPr>
        <w:instrText>ADDIN CSL_CITATION {"citationItems":[{"id":"ITEM-1","itemData":{"DOI":"10.1145/1273496.1273633","abstract":"Linear Discriminant Analysis (LDA) is a well-known method for dimensionality reduction and classification. LDA in the binaryclass case has been shown to be equivalent to linear regression with the class label as the output. This implies that LDA for binary-class classifications can be formulated as a least squares problem. Previous studies have shown certain relationship between multivariate linear regression and LDA for the multi-class case. Many of these studies show that multivariate linear regression with a specific class indicator matrix as the output can be applied as a preprocessing step for LDA. However, directly casting LDA as a least squares problem is challenging for the multi-class case. In this paper, a novel formulation for multivariate linear regression is proposed. The equivalence relationship between the proposed least squares formulation and LDA for multi-class classifications is rigorously established under a mild condition, which is shown empirically to hold in many applications involving high-dimensional data. Several LDA extensions based on the equivalence relationship are discussed.","author":[{"dropping-particle":"","family":"Ye","given":"Jieping","non-dropping-particle":"","parse-names":false,"suffix":""}],"container-title":"ACM International Conference Proceeding Series","id":"ITEM-1","issued":{"date-parts":[["2007"]]},"title":"Least squares linear discriminant analysis","type":"paper-conference"},"uris":["http://www.mendeley.com/documents/?uuid=a20587a0-1242-407f-aafd-125924a52084"]}],"mendeley":{"formattedCitation":"(Ye, 2007)","plainTextFormattedCitation":"(Ye, 2007)","previouslyFormattedCitation":"(Ye, 2007)"},"properties":{"noteIndex":0},"schema":"https://github.com/citation-style-language/schema/raw/master/csl-citation.json"}</w:instrText>
      </w:r>
      <w:r w:rsidR="009D5D35">
        <w:rPr>
          <w:rFonts w:eastAsiaTheme="minorEastAsia"/>
          <w:lang w:val="en-GB"/>
        </w:rPr>
        <w:fldChar w:fldCharType="separate"/>
      </w:r>
      <w:r w:rsidR="009D5D35" w:rsidRPr="009D5D35">
        <w:rPr>
          <w:rFonts w:eastAsiaTheme="minorEastAsia"/>
          <w:noProof/>
          <w:lang w:val="en-GB"/>
        </w:rPr>
        <w:t>(Ye, 2007)</w:t>
      </w:r>
      <w:r w:rsidR="009D5D35">
        <w:rPr>
          <w:rFonts w:eastAsiaTheme="minorEastAsia"/>
          <w:lang w:val="en-GB"/>
        </w:rPr>
        <w:fldChar w:fldCharType="end"/>
      </w:r>
      <w:r w:rsidRPr="00AA1DEF">
        <w:rPr>
          <w:rFonts w:eastAsiaTheme="minorEastAsia"/>
          <w:lang w:val="en-GB"/>
        </w:rPr>
        <w:t xml:space="preserve">. </w:t>
      </w:r>
      <w:r w:rsidR="008C6F20" w:rsidRPr="00AA1DEF">
        <w:rPr>
          <w:rFonts w:eastAsiaTheme="minorEastAsia"/>
          <w:lang w:val="en-GB"/>
        </w:rPr>
        <w:t>The prior probabilities of class membership for observations were assumed from class counts in the original dataset</w:t>
      </w:r>
      <w:r w:rsidR="008C6F20">
        <w:rPr>
          <w:rFonts w:eastAsiaTheme="minorEastAsia"/>
          <w:lang w:val="en-GB"/>
        </w:rPr>
        <w:t xml:space="preserve"> (Table 3)</w:t>
      </w:r>
      <w:r w:rsidR="008C6F20" w:rsidRPr="00AA1DEF">
        <w:rPr>
          <w:rFonts w:eastAsiaTheme="minorEastAsia"/>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20"/>
        <w:gridCol w:w="3021"/>
        <w:gridCol w:w="3021"/>
      </w:tblGrid>
      <w:tr w:rsidR="008C6F20" w:rsidRPr="00AA1DEF" w14:paraId="076549BC" w14:textId="77777777" w:rsidTr="00FB5EB7">
        <w:tc>
          <w:tcPr>
            <w:tcW w:w="3020" w:type="dxa"/>
          </w:tcPr>
          <w:p w14:paraId="786E7607" w14:textId="77777777" w:rsidR="008C6F20" w:rsidRPr="00AA1DEF" w:rsidRDefault="008C6F20" w:rsidP="00FB5EB7">
            <w:pPr>
              <w:jc w:val="center"/>
              <w:rPr>
                <w:rFonts w:eastAsiaTheme="minorEastAsia"/>
                <w:b/>
                <w:sz w:val="18"/>
                <w:lang w:val="en-GB"/>
              </w:rPr>
            </w:pPr>
            <w:r w:rsidRPr="00AA1DEF">
              <w:rPr>
                <w:rFonts w:eastAsiaTheme="minorEastAsia"/>
                <w:b/>
                <w:sz w:val="18"/>
                <w:lang w:val="en-GB"/>
              </w:rPr>
              <w:t>class</w:t>
            </w:r>
          </w:p>
        </w:tc>
        <w:tc>
          <w:tcPr>
            <w:tcW w:w="3021" w:type="dxa"/>
          </w:tcPr>
          <w:p w14:paraId="40B2EAD2" w14:textId="77777777" w:rsidR="008C6F20" w:rsidRPr="00AA1DEF" w:rsidRDefault="008C6F20" w:rsidP="00FB5EB7">
            <w:pPr>
              <w:jc w:val="center"/>
              <w:rPr>
                <w:rFonts w:eastAsiaTheme="minorEastAsia"/>
                <w:b/>
                <w:sz w:val="18"/>
                <w:lang w:val="en-GB"/>
              </w:rPr>
            </w:pPr>
            <w:r w:rsidRPr="00AA1DEF">
              <w:rPr>
                <w:rFonts w:eastAsiaTheme="minorEastAsia"/>
                <w:b/>
                <w:sz w:val="18"/>
                <w:lang w:val="en-GB"/>
              </w:rPr>
              <w:t>prior probability</w:t>
            </w:r>
          </w:p>
        </w:tc>
        <w:tc>
          <w:tcPr>
            <w:tcW w:w="3021" w:type="dxa"/>
          </w:tcPr>
          <w:p w14:paraId="2AE752EE" w14:textId="77777777" w:rsidR="008C6F20" w:rsidRPr="00AA1DEF" w:rsidRDefault="008C6F20" w:rsidP="00FB5EB7">
            <w:pPr>
              <w:jc w:val="center"/>
              <w:rPr>
                <w:rFonts w:eastAsiaTheme="minorEastAsia"/>
                <w:b/>
                <w:sz w:val="18"/>
                <w:lang w:val="en-GB"/>
              </w:rPr>
            </w:pPr>
            <w:r w:rsidRPr="00AA1DEF">
              <w:rPr>
                <w:rFonts w:eastAsiaTheme="minorEastAsia"/>
                <w:b/>
                <w:sz w:val="18"/>
                <w:lang w:val="en-GB"/>
              </w:rPr>
              <w:t>class count</w:t>
            </w:r>
          </w:p>
        </w:tc>
      </w:tr>
      <w:tr w:rsidR="008C6F20" w:rsidRPr="00AA1DEF" w14:paraId="0056E50E" w14:textId="77777777" w:rsidTr="00FB5EB7">
        <w:tc>
          <w:tcPr>
            <w:tcW w:w="3020" w:type="dxa"/>
          </w:tcPr>
          <w:p w14:paraId="53CA5988" w14:textId="74C4FAEF" w:rsidR="008C6F20" w:rsidRPr="00AA1DEF" w:rsidRDefault="008C6F20" w:rsidP="00FB5EB7">
            <w:pPr>
              <w:jc w:val="center"/>
              <w:rPr>
                <w:rFonts w:eastAsiaTheme="minorEastAsia"/>
                <w:sz w:val="18"/>
                <w:lang w:val="en-GB"/>
              </w:rPr>
            </w:pPr>
            <w:r w:rsidRPr="00AA1DEF">
              <w:rPr>
                <w:rFonts w:eastAsiaTheme="minorEastAsia"/>
                <w:sz w:val="18"/>
                <w:lang w:val="en-GB"/>
              </w:rPr>
              <w:t>bad</w:t>
            </w:r>
          </w:p>
        </w:tc>
        <w:tc>
          <w:tcPr>
            <w:tcW w:w="3021" w:type="dxa"/>
          </w:tcPr>
          <w:p w14:paraId="14D9A501" w14:textId="77777777" w:rsidR="008C6F20" w:rsidRPr="00AA1DEF" w:rsidRDefault="008C6F20" w:rsidP="00FB5EB7">
            <w:pPr>
              <w:jc w:val="center"/>
              <w:rPr>
                <w:rFonts w:eastAsiaTheme="minorEastAsia"/>
                <w:sz w:val="18"/>
                <w:lang w:val="en-GB"/>
              </w:rPr>
            </w:pPr>
            <w:r w:rsidRPr="00AA1DEF">
              <w:rPr>
                <w:rFonts w:eastAsiaTheme="minorEastAsia"/>
                <w:sz w:val="18"/>
                <w:lang w:val="en-GB"/>
              </w:rPr>
              <w:t>0.1683367</w:t>
            </w:r>
          </w:p>
        </w:tc>
        <w:tc>
          <w:tcPr>
            <w:tcW w:w="3021" w:type="dxa"/>
          </w:tcPr>
          <w:p w14:paraId="7C9BCEBB" w14:textId="77777777" w:rsidR="008C6F20" w:rsidRPr="00AA1DEF" w:rsidRDefault="008C6F20" w:rsidP="00FB5EB7">
            <w:pPr>
              <w:jc w:val="center"/>
              <w:rPr>
                <w:rFonts w:eastAsiaTheme="minorEastAsia"/>
                <w:sz w:val="18"/>
                <w:lang w:val="en-GB"/>
              </w:rPr>
            </w:pPr>
            <w:r w:rsidRPr="00AA1DEF">
              <w:rPr>
                <w:rFonts w:eastAsiaTheme="minorEastAsia"/>
                <w:sz w:val="18"/>
                <w:lang w:val="en-GB"/>
              </w:rPr>
              <w:t>84</w:t>
            </w:r>
          </w:p>
        </w:tc>
      </w:tr>
      <w:tr w:rsidR="008C6F20" w:rsidRPr="00AA1DEF" w14:paraId="5534C0C2" w14:textId="77777777" w:rsidTr="00FB5EB7">
        <w:tc>
          <w:tcPr>
            <w:tcW w:w="3020" w:type="dxa"/>
          </w:tcPr>
          <w:p w14:paraId="209E0D26" w14:textId="0DB45EAD" w:rsidR="008C6F20" w:rsidRPr="00AA1DEF" w:rsidRDefault="00B77970" w:rsidP="00FB5EB7">
            <w:pPr>
              <w:jc w:val="center"/>
              <w:rPr>
                <w:rFonts w:eastAsiaTheme="minorEastAsia"/>
                <w:sz w:val="18"/>
                <w:lang w:val="en-GB"/>
              </w:rPr>
            </w:pPr>
            <w:r>
              <w:rPr>
                <w:rFonts w:eastAsiaTheme="minorEastAsia"/>
                <w:sz w:val="18"/>
                <w:lang w:val="en-GB"/>
              </w:rPr>
              <w:t>poor</w:t>
            </w:r>
          </w:p>
        </w:tc>
        <w:tc>
          <w:tcPr>
            <w:tcW w:w="3021" w:type="dxa"/>
          </w:tcPr>
          <w:p w14:paraId="6A6B3415" w14:textId="77777777" w:rsidR="008C6F20" w:rsidRPr="00AA1DEF" w:rsidRDefault="008C6F20" w:rsidP="00FB5EB7">
            <w:pPr>
              <w:jc w:val="center"/>
              <w:rPr>
                <w:rFonts w:eastAsiaTheme="minorEastAsia"/>
                <w:sz w:val="18"/>
                <w:lang w:val="en-GB"/>
              </w:rPr>
            </w:pPr>
            <w:r w:rsidRPr="00AA1DEF">
              <w:rPr>
                <w:rFonts w:eastAsiaTheme="minorEastAsia"/>
                <w:sz w:val="18"/>
                <w:lang w:val="en-GB"/>
              </w:rPr>
              <w:t>0.1683367</w:t>
            </w:r>
          </w:p>
        </w:tc>
        <w:tc>
          <w:tcPr>
            <w:tcW w:w="3021" w:type="dxa"/>
          </w:tcPr>
          <w:p w14:paraId="2DBA0A95" w14:textId="77777777" w:rsidR="008C6F20" w:rsidRPr="00AA1DEF" w:rsidRDefault="008C6F20" w:rsidP="00FB5EB7">
            <w:pPr>
              <w:jc w:val="center"/>
              <w:rPr>
                <w:rFonts w:eastAsiaTheme="minorEastAsia"/>
                <w:sz w:val="18"/>
                <w:lang w:val="en-GB"/>
              </w:rPr>
            </w:pPr>
            <w:r w:rsidRPr="00AA1DEF">
              <w:rPr>
                <w:rFonts w:eastAsiaTheme="minorEastAsia"/>
                <w:sz w:val="18"/>
                <w:lang w:val="en-GB"/>
              </w:rPr>
              <w:t>84</w:t>
            </w:r>
          </w:p>
        </w:tc>
      </w:tr>
      <w:tr w:rsidR="008C6F20" w:rsidRPr="00AA1DEF" w14:paraId="69941842" w14:textId="77777777" w:rsidTr="00FB5EB7">
        <w:tc>
          <w:tcPr>
            <w:tcW w:w="3020" w:type="dxa"/>
          </w:tcPr>
          <w:p w14:paraId="63D3A904" w14:textId="77777777" w:rsidR="008C6F20" w:rsidRPr="00AA1DEF" w:rsidRDefault="008C6F20" w:rsidP="00FB5EB7">
            <w:pPr>
              <w:jc w:val="center"/>
              <w:rPr>
                <w:rFonts w:eastAsiaTheme="minorEastAsia"/>
                <w:sz w:val="18"/>
                <w:lang w:val="en-GB"/>
              </w:rPr>
            </w:pPr>
            <w:r w:rsidRPr="00AA1DEF">
              <w:rPr>
                <w:rFonts w:eastAsiaTheme="minorEastAsia"/>
                <w:sz w:val="18"/>
                <w:lang w:val="en-GB"/>
              </w:rPr>
              <w:t>moderate</w:t>
            </w:r>
          </w:p>
        </w:tc>
        <w:tc>
          <w:tcPr>
            <w:tcW w:w="3021" w:type="dxa"/>
          </w:tcPr>
          <w:p w14:paraId="4A07F6CA" w14:textId="77777777" w:rsidR="008C6F20" w:rsidRPr="00AA1DEF" w:rsidRDefault="008C6F20" w:rsidP="00FB5EB7">
            <w:pPr>
              <w:jc w:val="center"/>
              <w:rPr>
                <w:rFonts w:eastAsiaTheme="minorEastAsia"/>
                <w:sz w:val="18"/>
                <w:lang w:val="en-GB"/>
              </w:rPr>
            </w:pPr>
            <w:r w:rsidRPr="00AA1DEF">
              <w:rPr>
                <w:rFonts w:eastAsiaTheme="minorEastAsia"/>
                <w:sz w:val="18"/>
                <w:lang w:val="en-GB"/>
              </w:rPr>
              <w:t>0.3006012</w:t>
            </w:r>
          </w:p>
        </w:tc>
        <w:tc>
          <w:tcPr>
            <w:tcW w:w="3021" w:type="dxa"/>
          </w:tcPr>
          <w:p w14:paraId="2E937249" w14:textId="77777777" w:rsidR="008C6F20" w:rsidRPr="00AA1DEF" w:rsidRDefault="008C6F20" w:rsidP="00FB5EB7">
            <w:pPr>
              <w:jc w:val="center"/>
              <w:rPr>
                <w:rFonts w:eastAsiaTheme="minorEastAsia"/>
                <w:sz w:val="18"/>
                <w:lang w:val="en-GB"/>
              </w:rPr>
            </w:pPr>
            <w:r w:rsidRPr="00AA1DEF">
              <w:rPr>
                <w:rFonts w:eastAsiaTheme="minorEastAsia"/>
                <w:sz w:val="18"/>
                <w:lang w:val="en-GB"/>
              </w:rPr>
              <w:t>150</w:t>
            </w:r>
          </w:p>
        </w:tc>
      </w:tr>
      <w:tr w:rsidR="008C6F20" w:rsidRPr="00AA1DEF" w14:paraId="174E5641" w14:textId="77777777" w:rsidTr="00FB5EB7">
        <w:tc>
          <w:tcPr>
            <w:tcW w:w="3020" w:type="dxa"/>
          </w:tcPr>
          <w:p w14:paraId="71738F97" w14:textId="77777777" w:rsidR="008C6F20" w:rsidRPr="00AA1DEF" w:rsidRDefault="008C6F20" w:rsidP="00FB5EB7">
            <w:pPr>
              <w:jc w:val="center"/>
              <w:rPr>
                <w:rFonts w:eastAsiaTheme="minorEastAsia"/>
                <w:sz w:val="18"/>
                <w:lang w:val="en-GB"/>
              </w:rPr>
            </w:pPr>
            <w:r w:rsidRPr="00AA1DEF">
              <w:rPr>
                <w:rFonts w:eastAsiaTheme="minorEastAsia"/>
                <w:sz w:val="18"/>
                <w:lang w:val="en-GB"/>
              </w:rPr>
              <w:t>good</w:t>
            </w:r>
          </w:p>
        </w:tc>
        <w:tc>
          <w:tcPr>
            <w:tcW w:w="3021" w:type="dxa"/>
          </w:tcPr>
          <w:p w14:paraId="7958781B" w14:textId="77777777" w:rsidR="008C6F20" w:rsidRPr="00AA1DEF" w:rsidRDefault="008C6F20" w:rsidP="00FB5EB7">
            <w:pPr>
              <w:jc w:val="center"/>
              <w:rPr>
                <w:rFonts w:eastAsiaTheme="minorEastAsia"/>
                <w:sz w:val="18"/>
                <w:lang w:val="en-GB"/>
              </w:rPr>
            </w:pPr>
            <w:r w:rsidRPr="00AA1DEF">
              <w:rPr>
                <w:rFonts w:eastAsiaTheme="minorEastAsia"/>
                <w:sz w:val="18"/>
                <w:lang w:val="en-GB"/>
              </w:rPr>
              <w:t>0.2625251</w:t>
            </w:r>
          </w:p>
        </w:tc>
        <w:tc>
          <w:tcPr>
            <w:tcW w:w="3021" w:type="dxa"/>
          </w:tcPr>
          <w:p w14:paraId="5204A582" w14:textId="77777777" w:rsidR="008C6F20" w:rsidRPr="00AA1DEF" w:rsidRDefault="008C6F20" w:rsidP="00FB5EB7">
            <w:pPr>
              <w:jc w:val="center"/>
              <w:rPr>
                <w:rFonts w:eastAsiaTheme="minorEastAsia"/>
                <w:sz w:val="18"/>
                <w:lang w:val="en-GB"/>
              </w:rPr>
            </w:pPr>
            <w:r w:rsidRPr="00AA1DEF">
              <w:rPr>
                <w:rFonts w:eastAsiaTheme="minorEastAsia"/>
                <w:sz w:val="18"/>
                <w:lang w:val="en-GB"/>
              </w:rPr>
              <w:t>131</w:t>
            </w:r>
          </w:p>
        </w:tc>
      </w:tr>
      <w:tr w:rsidR="008C6F20" w:rsidRPr="00AA1DEF" w14:paraId="1FC21148" w14:textId="77777777" w:rsidTr="00FB5EB7">
        <w:tc>
          <w:tcPr>
            <w:tcW w:w="3020" w:type="dxa"/>
          </w:tcPr>
          <w:p w14:paraId="334FAFEA" w14:textId="07B5A92C" w:rsidR="008C6F20" w:rsidRPr="00AA1DEF" w:rsidRDefault="00B77970" w:rsidP="00FB5EB7">
            <w:pPr>
              <w:jc w:val="center"/>
              <w:rPr>
                <w:rFonts w:eastAsiaTheme="minorEastAsia"/>
                <w:sz w:val="18"/>
                <w:lang w:val="en-GB"/>
              </w:rPr>
            </w:pPr>
            <w:r>
              <w:rPr>
                <w:rFonts w:eastAsiaTheme="minorEastAsia"/>
                <w:sz w:val="18"/>
                <w:lang w:val="en-GB"/>
              </w:rPr>
              <w:t>high</w:t>
            </w:r>
          </w:p>
        </w:tc>
        <w:tc>
          <w:tcPr>
            <w:tcW w:w="3021" w:type="dxa"/>
          </w:tcPr>
          <w:p w14:paraId="131C759C" w14:textId="77777777" w:rsidR="008C6F20" w:rsidRPr="00AA1DEF" w:rsidRDefault="008C6F20" w:rsidP="00FB5EB7">
            <w:pPr>
              <w:jc w:val="center"/>
              <w:rPr>
                <w:rFonts w:eastAsiaTheme="minorEastAsia"/>
                <w:sz w:val="18"/>
                <w:lang w:val="en-GB"/>
              </w:rPr>
            </w:pPr>
            <w:r w:rsidRPr="00AA1DEF">
              <w:rPr>
                <w:rFonts w:eastAsiaTheme="minorEastAsia"/>
                <w:sz w:val="18"/>
                <w:lang w:val="en-GB"/>
              </w:rPr>
              <w:t>0.1002004</w:t>
            </w:r>
          </w:p>
        </w:tc>
        <w:tc>
          <w:tcPr>
            <w:tcW w:w="3021" w:type="dxa"/>
          </w:tcPr>
          <w:p w14:paraId="45D88DBB" w14:textId="77777777" w:rsidR="008C6F20" w:rsidRPr="00AA1DEF" w:rsidRDefault="008C6F20" w:rsidP="008C6F20">
            <w:pPr>
              <w:keepNext/>
              <w:jc w:val="center"/>
              <w:rPr>
                <w:rFonts w:eastAsiaTheme="minorEastAsia"/>
                <w:sz w:val="18"/>
                <w:lang w:val="en-GB"/>
              </w:rPr>
            </w:pPr>
            <w:r w:rsidRPr="00AA1DEF">
              <w:rPr>
                <w:rFonts w:eastAsiaTheme="minorEastAsia"/>
                <w:sz w:val="18"/>
                <w:lang w:val="en-GB"/>
              </w:rPr>
              <w:t>50</w:t>
            </w:r>
          </w:p>
        </w:tc>
      </w:tr>
    </w:tbl>
    <w:p w14:paraId="53227988" w14:textId="3A0B47E4" w:rsidR="008C6F20" w:rsidRPr="008C6F20" w:rsidRDefault="008C6F20" w:rsidP="008C6F20">
      <w:pPr>
        <w:pStyle w:val="Caption"/>
        <w:rPr>
          <w:rFonts w:eastAsiaTheme="minorEastAsia"/>
          <w:color w:val="auto"/>
          <w:lang w:val="en-GB"/>
        </w:rPr>
      </w:pPr>
      <w:r w:rsidRPr="008C6F20">
        <w:rPr>
          <w:color w:val="auto"/>
        </w:rPr>
        <w:t xml:space="preserve">Table </w:t>
      </w:r>
      <w:r w:rsidRPr="008C6F20">
        <w:rPr>
          <w:color w:val="auto"/>
        </w:rPr>
        <w:fldChar w:fldCharType="begin"/>
      </w:r>
      <w:r w:rsidRPr="008C6F20">
        <w:rPr>
          <w:color w:val="auto"/>
        </w:rPr>
        <w:instrText xml:space="preserve"> SEQ Table \* ARABIC </w:instrText>
      </w:r>
      <w:r w:rsidRPr="008C6F20">
        <w:rPr>
          <w:color w:val="auto"/>
        </w:rPr>
        <w:fldChar w:fldCharType="separate"/>
      </w:r>
      <w:r w:rsidR="008F2A12">
        <w:rPr>
          <w:noProof/>
          <w:color w:val="auto"/>
        </w:rPr>
        <w:t>3</w:t>
      </w:r>
      <w:r w:rsidRPr="008C6F20">
        <w:rPr>
          <w:color w:val="auto"/>
        </w:rPr>
        <w:fldChar w:fldCharType="end"/>
      </w:r>
      <w:r w:rsidRPr="008C6F20">
        <w:rPr>
          <w:color w:val="auto"/>
        </w:rPr>
        <w:t>. Prior probabilities for class membership derived from class counts.</w:t>
      </w:r>
    </w:p>
    <w:p w14:paraId="2050EB3C" w14:textId="77777777" w:rsidR="00583638" w:rsidRDefault="00583638" w:rsidP="009E2A30">
      <w:pPr>
        <w:ind w:firstLine="708"/>
        <w:jc w:val="both"/>
        <w:rPr>
          <w:rFonts w:eastAsiaTheme="minorEastAsia"/>
          <w:lang w:val="en-GB"/>
        </w:rPr>
      </w:pPr>
      <w:r w:rsidRPr="00AA1DEF">
        <w:rPr>
          <w:rFonts w:eastAsiaTheme="minorEastAsia"/>
          <w:lang w:val="en-GB"/>
        </w:rPr>
        <w:t xml:space="preserve">The </w:t>
      </w:r>
      <w:r>
        <w:rPr>
          <w:rFonts w:eastAsiaTheme="minorEastAsia"/>
          <w:lang w:val="en-GB"/>
        </w:rPr>
        <w:t>averages</w:t>
      </w:r>
      <w:r w:rsidRPr="00AA1DEF">
        <w:rPr>
          <w:rFonts w:eastAsiaTheme="minorEastAsia"/>
          <w:lang w:val="en-GB"/>
        </w:rPr>
        <w:t xml:space="preserve"> for each observed data group were determined in order to recognize a typical middle-value before LDA performance </w:t>
      </w:r>
      <w:r>
        <w:rPr>
          <w:rFonts w:eastAsiaTheme="minorEastAsia"/>
          <w:lang w:val="en-GB"/>
        </w:rPr>
        <w:t>(Table 4)</w:t>
      </w:r>
      <w:r w:rsidRPr="00AA1DEF">
        <w:rPr>
          <w:rFonts w:eastAsiaTheme="minorEastAsia"/>
          <w:lang w:val="en-GB"/>
        </w:rPr>
        <w:t>.</w:t>
      </w:r>
    </w:p>
    <w:tbl>
      <w:tblPr>
        <w:tblStyle w:val="TableGrid"/>
        <w:tblW w:w="954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006"/>
        <w:gridCol w:w="1154"/>
        <w:gridCol w:w="858"/>
        <w:gridCol w:w="1006"/>
        <w:gridCol w:w="1006"/>
        <w:gridCol w:w="1006"/>
        <w:gridCol w:w="1006"/>
        <w:gridCol w:w="1006"/>
        <w:gridCol w:w="1492"/>
      </w:tblGrid>
      <w:tr w:rsidR="00583638" w:rsidRPr="00AA1DEF" w14:paraId="043D9B6A" w14:textId="77777777" w:rsidTr="00FB5EB7">
        <w:trPr>
          <w:trHeight w:val="403"/>
          <w:jc w:val="center"/>
        </w:trPr>
        <w:tc>
          <w:tcPr>
            <w:tcW w:w="1006" w:type="dxa"/>
          </w:tcPr>
          <w:p w14:paraId="3E1901B2"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class</w:t>
            </w:r>
          </w:p>
        </w:tc>
        <w:tc>
          <w:tcPr>
            <w:tcW w:w="1154" w:type="dxa"/>
          </w:tcPr>
          <w:p w14:paraId="6062DD6F"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Conductivity</w:t>
            </w:r>
          </w:p>
        </w:tc>
        <w:tc>
          <w:tcPr>
            <w:tcW w:w="858" w:type="dxa"/>
          </w:tcPr>
          <w:p w14:paraId="4BD5C803"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ESMI</w:t>
            </w:r>
          </w:p>
        </w:tc>
        <w:tc>
          <w:tcPr>
            <w:tcW w:w="1006" w:type="dxa"/>
          </w:tcPr>
          <w:p w14:paraId="6366E903"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Diatom Index</w:t>
            </w:r>
          </w:p>
        </w:tc>
        <w:tc>
          <w:tcPr>
            <w:tcW w:w="1006" w:type="dxa"/>
          </w:tcPr>
          <w:p w14:paraId="7E0614B1"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Nitrogen</w:t>
            </w:r>
          </w:p>
        </w:tc>
        <w:tc>
          <w:tcPr>
            <w:tcW w:w="1006" w:type="dxa"/>
          </w:tcPr>
          <w:p w14:paraId="4A54CD20"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Phosphorus</w:t>
            </w:r>
          </w:p>
        </w:tc>
        <w:tc>
          <w:tcPr>
            <w:tcW w:w="1006" w:type="dxa"/>
          </w:tcPr>
          <w:p w14:paraId="324E2429"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PMPL</w:t>
            </w:r>
          </w:p>
        </w:tc>
        <w:tc>
          <w:tcPr>
            <w:tcW w:w="1006" w:type="dxa"/>
          </w:tcPr>
          <w:p w14:paraId="7ACE0312"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Visibility</w:t>
            </w:r>
          </w:p>
        </w:tc>
        <w:tc>
          <w:tcPr>
            <w:tcW w:w="1492" w:type="dxa"/>
          </w:tcPr>
          <w:p w14:paraId="4C58C2FF" w14:textId="77777777" w:rsidR="00583638" w:rsidRPr="00AA1DEF" w:rsidRDefault="00583638" w:rsidP="00FB5EB7">
            <w:pPr>
              <w:jc w:val="center"/>
              <w:rPr>
                <w:rFonts w:eastAsiaTheme="minorEastAsia"/>
                <w:b/>
                <w:sz w:val="16"/>
                <w:lang w:val="en-GB"/>
              </w:rPr>
            </w:pPr>
            <w:r w:rsidRPr="00AA1DEF">
              <w:rPr>
                <w:rFonts w:eastAsiaTheme="minorEastAsia"/>
                <w:b/>
                <w:sz w:val="16"/>
                <w:lang w:val="en-GB"/>
              </w:rPr>
              <w:t>Chlorophyll „a”</w:t>
            </w:r>
          </w:p>
        </w:tc>
      </w:tr>
      <w:tr w:rsidR="00583638" w:rsidRPr="00AA1DEF" w14:paraId="1163C88B" w14:textId="77777777" w:rsidTr="00FB5EB7">
        <w:trPr>
          <w:trHeight w:val="227"/>
          <w:jc w:val="center"/>
        </w:trPr>
        <w:tc>
          <w:tcPr>
            <w:tcW w:w="1006" w:type="dxa"/>
          </w:tcPr>
          <w:p w14:paraId="4A7FDEC4" w14:textId="1B21DAC2" w:rsidR="00583638" w:rsidRPr="00AA1DEF" w:rsidRDefault="00583638" w:rsidP="00FB5EB7">
            <w:pPr>
              <w:jc w:val="center"/>
              <w:rPr>
                <w:rFonts w:eastAsiaTheme="minorEastAsia"/>
                <w:sz w:val="18"/>
                <w:lang w:val="en-GB"/>
              </w:rPr>
            </w:pPr>
            <w:r w:rsidRPr="00AA1DEF">
              <w:rPr>
                <w:rFonts w:eastAsiaTheme="minorEastAsia"/>
                <w:sz w:val="18"/>
                <w:lang w:val="en-GB"/>
              </w:rPr>
              <w:t>bad</w:t>
            </w:r>
          </w:p>
        </w:tc>
        <w:tc>
          <w:tcPr>
            <w:tcW w:w="1154" w:type="dxa"/>
          </w:tcPr>
          <w:p w14:paraId="2691D3F4"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0.356</w:t>
            </w:r>
          </w:p>
        </w:tc>
        <w:tc>
          <w:tcPr>
            <w:tcW w:w="858" w:type="dxa"/>
          </w:tcPr>
          <w:p w14:paraId="437D0DCF"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-1.051</w:t>
            </w:r>
          </w:p>
        </w:tc>
        <w:tc>
          <w:tcPr>
            <w:tcW w:w="1006" w:type="dxa"/>
          </w:tcPr>
          <w:p w14:paraId="2F8793B2"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-0.346</w:t>
            </w:r>
          </w:p>
        </w:tc>
        <w:tc>
          <w:tcPr>
            <w:tcW w:w="1006" w:type="dxa"/>
          </w:tcPr>
          <w:p w14:paraId="7F39D0CD"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1.128</w:t>
            </w:r>
          </w:p>
        </w:tc>
        <w:tc>
          <w:tcPr>
            <w:tcW w:w="1006" w:type="dxa"/>
          </w:tcPr>
          <w:p w14:paraId="680C5111"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1.055</w:t>
            </w:r>
          </w:p>
        </w:tc>
        <w:tc>
          <w:tcPr>
            <w:tcW w:w="1006" w:type="dxa"/>
          </w:tcPr>
          <w:p w14:paraId="3B8ED81C"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1.460</w:t>
            </w:r>
          </w:p>
        </w:tc>
        <w:tc>
          <w:tcPr>
            <w:tcW w:w="1006" w:type="dxa"/>
          </w:tcPr>
          <w:p w14:paraId="72058954"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-0.984</w:t>
            </w:r>
          </w:p>
        </w:tc>
        <w:tc>
          <w:tcPr>
            <w:tcW w:w="1492" w:type="dxa"/>
          </w:tcPr>
          <w:p w14:paraId="59724F94"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1.496</w:t>
            </w:r>
          </w:p>
        </w:tc>
      </w:tr>
      <w:tr w:rsidR="00583638" w:rsidRPr="00AA1DEF" w14:paraId="43BA1FCE" w14:textId="77777777" w:rsidTr="00FB5EB7">
        <w:trPr>
          <w:trHeight w:val="227"/>
          <w:jc w:val="center"/>
        </w:trPr>
        <w:tc>
          <w:tcPr>
            <w:tcW w:w="1006" w:type="dxa"/>
          </w:tcPr>
          <w:p w14:paraId="3C1145ED" w14:textId="78E9818B" w:rsidR="00583638" w:rsidRPr="00AA1DEF" w:rsidRDefault="00583638" w:rsidP="00FB5EB7">
            <w:pPr>
              <w:jc w:val="center"/>
              <w:rPr>
                <w:rFonts w:eastAsiaTheme="minorEastAsia"/>
                <w:sz w:val="18"/>
                <w:lang w:val="en-GB"/>
              </w:rPr>
            </w:pPr>
            <w:r>
              <w:rPr>
                <w:rFonts w:eastAsiaTheme="minorEastAsia"/>
                <w:sz w:val="18"/>
                <w:lang w:val="en-GB"/>
              </w:rPr>
              <w:t>poor</w:t>
            </w:r>
          </w:p>
        </w:tc>
        <w:tc>
          <w:tcPr>
            <w:tcW w:w="1154" w:type="dxa"/>
          </w:tcPr>
          <w:p w14:paraId="7DB46F3C"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0.328</w:t>
            </w:r>
          </w:p>
        </w:tc>
        <w:tc>
          <w:tcPr>
            <w:tcW w:w="858" w:type="dxa"/>
          </w:tcPr>
          <w:p w14:paraId="0E1C3E58"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-0.654</w:t>
            </w:r>
          </w:p>
        </w:tc>
        <w:tc>
          <w:tcPr>
            <w:tcW w:w="1006" w:type="dxa"/>
          </w:tcPr>
          <w:p w14:paraId="6C907F05"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-0.240</w:t>
            </w:r>
          </w:p>
        </w:tc>
        <w:tc>
          <w:tcPr>
            <w:tcW w:w="1006" w:type="dxa"/>
          </w:tcPr>
          <w:p w14:paraId="7E65E6D6"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0.438</w:t>
            </w:r>
          </w:p>
        </w:tc>
        <w:tc>
          <w:tcPr>
            <w:tcW w:w="1006" w:type="dxa"/>
          </w:tcPr>
          <w:p w14:paraId="2655A20B"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0.293</w:t>
            </w:r>
          </w:p>
        </w:tc>
        <w:tc>
          <w:tcPr>
            <w:tcW w:w="1006" w:type="dxa"/>
          </w:tcPr>
          <w:p w14:paraId="3E36550A"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0.787</w:t>
            </w:r>
          </w:p>
        </w:tc>
        <w:tc>
          <w:tcPr>
            <w:tcW w:w="1006" w:type="dxa"/>
          </w:tcPr>
          <w:p w14:paraId="456940B1"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-0.696</w:t>
            </w:r>
          </w:p>
        </w:tc>
        <w:tc>
          <w:tcPr>
            <w:tcW w:w="1492" w:type="dxa"/>
          </w:tcPr>
          <w:p w14:paraId="71E39AE4"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0.440</w:t>
            </w:r>
          </w:p>
        </w:tc>
      </w:tr>
      <w:tr w:rsidR="00583638" w:rsidRPr="00AA1DEF" w14:paraId="7352087D" w14:textId="77777777" w:rsidTr="00FB5EB7">
        <w:trPr>
          <w:trHeight w:val="227"/>
          <w:jc w:val="center"/>
        </w:trPr>
        <w:tc>
          <w:tcPr>
            <w:tcW w:w="1006" w:type="dxa"/>
          </w:tcPr>
          <w:p w14:paraId="5662E8CB" w14:textId="77777777" w:rsidR="00583638" w:rsidRPr="00AA1DEF" w:rsidRDefault="00583638" w:rsidP="00FB5EB7">
            <w:pPr>
              <w:jc w:val="center"/>
              <w:rPr>
                <w:rFonts w:eastAsiaTheme="minorEastAsia"/>
                <w:sz w:val="18"/>
                <w:lang w:val="en-GB"/>
              </w:rPr>
            </w:pPr>
            <w:r w:rsidRPr="00AA1DEF">
              <w:rPr>
                <w:rFonts w:eastAsiaTheme="minorEastAsia"/>
                <w:sz w:val="18"/>
                <w:lang w:val="en-GB"/>
              </w:rPr>
              <w:t>moderate</w:t>
            </w:r>
          </w:p>
        </w:tc>
        <w:tc>
          <w:tcPr>
            <w:tcW w:w="1154" w:type="dxa"/>
          </w:tcPr>
          <w:p w14:paraId="2B898E1C"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-0.051</w:t>
            </w:r>
          </w:p>
        </w:tc>
        <w:tc>
          <w:tcPr>
            <w:tcW w:w="858" w:type="dxa"/>
          </w:tcPr>
          <w:p w14:paraId="571DA442"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-0.063</w:t>
            </w:r>
          </w:p>
        </w:tc>
        <w:tc>
          <w:tcPr>
            <w:tcW w:w="1006" w:type="dxa"/>
          </w:tcPr>
          <w:p w14:paraId="27335AE2"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-0.091</w:t>
            </w:r>
          </w:p>
        </w:tc>
        <w:tc>
          <w:tcPr>
            <w:tcW w:w="1006" w:type="dxa"/>
          </w:tcPr>
          <w:p w14:paraId="783260F2"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-0.122</w:t>
            </w:r>
          </w:p>
        </w:tc>
        <w:tc>
          <w:tcPr>
            <w:tcW w:w="1006" w:type="dxa"/>
          </w:tcPr>
          <w:p w14:paraId="3FBE23BE"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-0.126</w:t>
            </w:r>
          </w:p>
        </w:tc>
        <w:tc>
          <w:tcPr>
            <w:tcW w:w="1006" w:type="dxa"/>
          </w:tcPr>
          <w:p w14:paraId="7C6E055D"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-0.127</w:t>
            </w:r>
          </w:p>
        </w:tc>
        <w:tc>
          <w:tcPr>
            <w:tcW w:w="1006" w:type="dxa"/>
          </w:tcPr>
          <w:p w14:paraId="23D0BCB8"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-0.139</w:t>
            </w:r>
          </w:p>
        </w:tc>
        <w:tc>
          <w:tcPr>
            <w:tcW w:w="1492" w:type="dxa"/>
          </w:tcPr>
          <w:p w14:paraId="19E4A31B"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-0.270</w:t>
            </w:r>
          </w:p>
        </w:tc>
      </w:tr>
      <w:tr w:rsidR="00583638" w:rsidRPr="00AA1DEF" w14:paraId="353CA471" w14:textId="77777777" w:rsidTr="00FB5EB7">
        <w:trPr>
          <w:trHeight w:val="227"/>
          <w:jc w:val="center"/>
        </w:trPr>
        <w:tc>
          <w:tcPr>
            <w:tcW w:w="1006" w:type="dxa"/>
          </w:tcPr>
          <w:p w14:paraId="2D1CA0C4" w14:textId="4843F27F" w:rsidR="00583638" w:rsidRPr="00AA1DEF" w:rsidRDefault="00583638" w:rsidP="00FB5EB7">
            <w:pPr>
              <w:jc w:val="center"/>
              <w:rPr>
                <w:rFonts w:eastAsiaTheme="minorEastAsia"/>
                <w:sz w:val="18"/>
                <w:lang w:val="en-GB"/>
              </w:rPr>
            </w:pPr>
            <w:r>
              <w:rPr>
                <w:rFonts w:eastAsiaTheme="minorEastAsia"/>
                <w:sz w:val="18"/>
                <w:lang w:val="en-GB"/>
              </w:rPr>
              <w:t>g</w:t>
            </w:r>
            <w:r w:rsidRPr="00AA1DEF">
              <w:rPr>
                <w:rFonts w:eastAsiaTheme="minorEastAsia"/>
                <w:sz w:val="18"/>
                <w:lang w:val="en-GB"/>
              </w:rPr>
              <w:t>ood</w:t>
            </w:r>
          </w:p>
        </w:tc>
        <w:tc>
          <w:tcPr>
            <w:tcW w:w="1154" w:type="dxa"/>
          </w:tcPr>
          <w:p w14:paraId="3E5054B2"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-0.247</w:t>
            </w:r>
          </w:p>
        </w:tc>
        <w:tc>
          <w:tcPr>
            <w:tcW w:w="858" w:type="dxa"/>
          </w:tcPr>
          <w:p w14:paraId="2ACE142C"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0.728</w:t>
            </w:r>
          </w:p>
        </w:tc>
        <w:tc>
          <w:tcPr>
            <w:tcW w:w="1006" w:type="dxa"/>
          </w:tcPr>
          <w:p w14:paraId="3EE897DA"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0.244</w:t>
            </w:r>
          </w:p>
        </w:tc>
        <w:tc>
          <w:tcPr>
            <w:tcW w:w="1006" w:type="dxa"/>
          </w:tcPr>
          <w:p w14:paraId="7C16650D"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-0.607</w:t>
            </w:r>
          </w:p>
        </w:tc>
        <w:tc>
          <w:tcPr>
            <w:tcW w:w="1006" w:type="dxa"/>
          </w:tcPr>
          <w:p w14:paraId="022FA248"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-0.509</w:t>
            </w:r>
          </w:p>
        </w:tc>
        <w:tc>
          <w:tcPr>
            <w:tcW w:w="1006" w:type="dxa"/>
          </w:tcPr>
          <w:p w14:paraId="78714FB0"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-0.782</w:t>
            </w:r>
          </w:p>
        </w:tc>
        <w:tc>
          <w:tcPr>
            <w:tcW w:w="1006" w:type="dxa"/>
          </w:tcPr>
          <w:p w14:paraId="2E0B013C"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0.685</w:t>
            </w:r>
          </w:p>
        </w:tc>
        <w:tc>
          <w:tcPr>
            <w:tcW w:w="1492" w:type="dxa"/>
          </w:tcPr>
          <w:p w14:paraId="773B33BC"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-0.641</w:t>
            </w:r>
          </w:p>
        </w:tc>
      </w:tr>
      <w:tr w:rsidR="00583638" w:rsidRPr="00AA1DEF" w14:paraId="7B717AE5" w14:textId="77777777" w:rsidTr="00FB5EB7">
        <w:trPr>
          <w:trHeight w:val="227"/>
          <w:jc w:val="center"/>
        </w:trPr>
        <w:tc>
          <w:tcPr>
            <w:tcW w:w="1006" w:type="dxa"/>
          </w:tcPr>
          <w:p w14:paraId="727D4150" w14:textId="25DF8B1D" w:rsidR="00583638" w:rsidRPr="00AA1DEF" w:rsidRDefault="00583638" w:rsidP="00FB5EB7">
            <w:pPr>
              <w:jc w:val="center"/>
              <w:rPr>
                <w:rFonts w:eastAsiaTheme="minorEastAsia"/>
                <w:sz w:val="18"/>
                <w:lang w:val="en-GB"/>
              </w:rPr>
            </w:pPr>
            <w:r>
              <w:rPr>
                <w:rFonts w:eastAsiaTheme="minorEastAsia"/>
                <w:sz w:val="18"/>
                <w:lang w:val="en-GB"/>
              </w:rPr>
              <w:t>high</w:t>
            </w:r>
          </w:p>
        </w:tc>
        <w:tc>
          <w:tcPr>
            <w:tcW w:w="1154" w:type="dxa"/>
          </w:tcPr>
          <w:p w14:paraId="4A3F9817"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-0.350</w:t>
            </w:r>
          </w:p>
        </w:tc>
        <w:tc>
          <w:tcPr>
            <w:tcW w:w="858" w:type="dxa"/>
          </w:tcPr>
          <w:p w14:paraId="04BA9847"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1.146</w:t>
            </w:r>
          </w:p>
        </w:tc>
        <w:tc>
          <w:tcPr>
            <w:tcW w:w="1006" w:type="dxa"/>
          </w:tcPr>
          <w:p w14:paraId="0570A12E"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0.616</w:t>
            </w:r>
          </w:p>
        </w:tc>
        <w:tc>
          <w:tcPr>
            <w:tcW w:w="1006" w:type="dxa"/>
          </w:tcPr>
          <w:p w14:paraId="4CE41CD4"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-0.674</w:t>
            </w:r>
          </w:p>
        </w:tc>
        <w:tc>
          <w:tcPr>
            <w:tcW w:w="1006" w:type="dxa"/>
          </w:tcPr>
          <w:p w14:paraId="6632D6EB"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-0.555</w:t>
            </w:r>
          </w:p>
        </w:tc>
        <w:tc>
          <w:tcPr>
            <w:tcW w:w="1006" w:type="dxa"/>
          </w:tcPr>
          <w:p w14:paraId="476BD069"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-1.343</w:t>
            </w:r>
          </w:p>
        </w:tc>
        <w:tc>
          <w:tcPr>
            <w:tcW w:w="1006" w:type="dxa"/>
          </w:tcPr>
          <w:p w14:paraId="0E271A39" w14:textId="77777777" w:rsidR="00583638" w:rsidRPr="00AA1DEF" w:rsidRDefault="00583638" w:rsidP="00FB5EB7">
            <w:pPr>
              <w:jc w:val="center"/>
              <w:rPr>
                <w:rFonts w:eastAsiaTheme="minorEastAsia"/>
                <w:sz w:val="18"/>
                <w:lang w:val="en-GB"/>
              </w:rPr>
            </w:pPr>
            <w:r w:rsidRPr="00AA1DEF">
              <w:rPr>
                <w:rFonts w:eastAsiaTheme="minorEastAsia"/>
                <w:sz w:val="18"/>
                <w:lang w:val="en-GB"/>
              </w:rPr>
              <w:t>1.446</w:t>
            </w:r>
          </w:p>
        </w:tc>
        <w:tc>
          <w:tcPr>
            <w:tcW w:w="1492" w:type="dxa"/>
          </w:tcPr>
          <w:p w14:paraId="0D25BA87" w14:textId="77777777" w:rsidR="00583638" w:rsidRPr="00AA1DEF" w:rsidRDefault="00583638" w:rsidP="00FB5EB7">
            <w:pPr>
              <w:jc w:val="center"/>
              <w:rPr>
                <w:rFonts w:eastAsiaTheme="minorEastAsia"/>
                <w:sz w:val="18"/>
                <w:lang w:val="en-GB"/>
              </w:rPr>
            </w:pPr>
            <w:r w:rsidRPr="00AA1DEF">
              <w:rPr>
                <w:rFonts w:eastAsiaTheme="minorEastAsia"/>
                <w:sz w:val="18"/>
                <w:lang w:val="en-GB"/>
              </w:rPr>
              <w:t>-0.764</w:t>
            </w:r>
          </w:p>
        </w:tc>
      </w:tr>
      <w:tr w:rsidR="00583638" w:rsidRPr="00AA1DEF" w14:paraId="3CC56301" w14:textId="77777777" w:rsidTr="00FB5EB7">
        <w:trPr>
          <w:trHeight w:val="227"/>
          <w:jc w:val="center"/>
        </w:trPr>
        <w:tc>
          <w:tcPr>
            <w:tcW w:w="1006" w:type="dxa"/>
          </w:tcPr>
          <w:p w14:paraId="4B84A9B0" w14:textId="77777777" w:rsidR="00583638" w:rsidRPr="00AA1DEF" w:rsidRDefault="00583638" w:rsidP="00FB5EB7">
            <w:pPr>
              <w:rPr>
                <w:rFonts w:eastAsiaTheme="minorEastAsia"/>
                <w:sz w:val="18"/>
                <w:lang w:val="en-GB"/>
              </w:rPr>
            </w:pPr>
          </w:p>
        </w:tc>
        <w:tc>
          <w:tcPr>
            <w:tcW w:w="1154" w:type="dxa"/>
          </w:tcPr>
          <w:p w14:paraId="3B6EA093" w14:textId="77777777" w:rsidR="00583638" w:rsidRPr="00AA1DEF" w:rsidRDefault="00583638" w:rsidP="00FB5EB7">
            <w:pPr>
              <w:jc w:val="center"/>
              <w:rPr>
                <w:rFonts w:eastAsiaTheme="minorEastAsia"/>
                <w:sz w:val="18"/>
                <w:lang w:val="en-GB"/>
              </w:rPr>
            </w:pPr>
          </w:p>
        </w:tc>
        <w:tc>
          <w:tcPr>
            <w:tcW w:w="858" w:type="dxa"/>
          </w:tcPr>
          <w:p w14:paraId="1E1306DD" w14:textId="77777777" w:rsidR="00583638" w:rsidRPr="00AA1DEF" w:rsidRDefault="00583638" w:rsidP="00FB5EB7">
            <w:pPr>
              <w:jc w:val="center"/>
              <w:rPr>
                <w:rFonts w:eastAsiaTheme="minorEastAsia"/>
                <w:sz w:val="18"/>
                <w:lang w:val="en-GB"/>
              </w:rPr>
            </w:pPr>
          </w:p>
        </w:tc>
        <w:tc>
          <w:tcPr>
            <w:tcW w:w="1006" w:type="dxa"/>
          </w:tcPr>
          <w:p w14:paraId="5AFB0F7F" w14:textId="77777777" w:rsidR="00583638" w:rsidRPr="00AA1DEF" w:rsidRDefault="00583638" w:rsidP="00FB5EB7">
            <w:pPr>
              <w:jc w:val="center"/>
              <w:rPr>
                <w:rFonts w:eastAsiaTheme="minorEastAsia"/>
                <w:sz w:val="18"/>
                <w:lang w:val="en-GB"/>
              </w:rPr>
            </w:pPr>
          </w:p>
        </w:tc>
        <w:tc>
          <w:tcPr>
            <w:tcW w:w="1006" w:type="dxa"/>
          </w:tcPr>
          <w:p w14:paraId="6C8E525A" w14:textId="77777777" w:rsidR="00583638" w:rsidRPr="00AA1DEF" w:rsidRDefault="00583638" w:rsidP="00FB5EB7">
            <w:pPr>
              <w:jc w:val="center"/>
              <w:rPr>
                <w:rFonts w:eastAsiaTheme="minorEastAsia"/>
                <w:sz w:val="18"/>
                <w:lang w:val="en-GB"/>
              </w:rPr>
            </w:pPr>
          </w:p>
        </w:tc>
        <w:tc>
          <w:tcPr>
            <w:tcW w:w="1006" w:type="dxa"/>
          </w:tcPr>
          <w:p w14:paraId="2AFA3105" w14:textId="77777777" w:rsidR="00583638" w:rsidRPr="00AA1DEF" w:rsidRDefault="00583638" w:rsidP="00FB5EB7">
            <w:pPr>
              <w:jc w:val="center"/>
              <w:rPr>
                <w:rFonts w:eastAsiaTheme="minorEastAsia"/>
                <w:sz w:val="18"/>
                <w:lang w:val="en-GB"/>
              </w:rPr>
            </w:pPr>
          </w:p>
        </w:tc>
        <w:tc>
          <w:tcPr>
            <w:tcW w:w="1006" w:type="dxa"/>
          </w:tcPr>
          <w:p w14:paraId="5B375D10" w14:textId="77777777" w:rsidR="00583638" w:rsidRPr="00AA1DEF" w:rsidRDefault="00583638" w:rsidP="00FB5EB7">
            <w:pPr>
              <w:jc w:val="center"/>
              <w:rPr>
                <w:rFonts w:eastAsiaTheme="minorEastAsia"/>
                <w:sz w:val="18"/>
                <w:lang w:val="en-GB"/>
              </w:rPr>
            </w:pPr>
          </w:p>
        </w:tc>
        <w:tc>
          <w:tcPr>
            <w:tcW w:w="1006" w:type="dxa"/>
          </w:tcPr>
          <w:p w14:paraId="75FA1D41" w14:textId="77777777" w:rsidR="00583638" w:rsidRPr="00AA1DEF" w:rsidRDefault="00583638" w:rsidP="00FB5EB7">
            <w:pPr>
              <w:jc w:val="center"/>
              <w:rPr>
                <w:rFonts w:eastAsiaTheme="minorEastAsia"/>
                <w:sz w:val="18"/>
                <w:lang w:val="en-GB"/>
              </w:rPr>
            </w:pPr>
          </w:p>
        </w:tc>
        <w:tc>
          <w:tcPr>
            <w:tcW w:w="1492" w:type="dxa"/>
          </w:tcPr>
          <w:p w14:paraId="17413CC7" w14:textId="77777777" w:rsidR="00583638" w:rsidRPr="00AA1DEF" w:rsidRDefault="00583638" w:rsidP="00583638">
            <w:pPr>
              <w:keepNext/>
              <w:jc w:val="center"/>
              <w:rPr>
                <w:rFonts w:eastAsiaTheme="minorEastAsia"/>
                <w:sz w:val="18"/>
                <w:lang w:val="en-GB"/>
              </w:rPr>
            </w:pPr>
          </w:p>
        </w:tc>
      </w:tr>
    </w:tbl>
    <w:p w14:paraId="54AD9DF1" w14:textId="20C450DB" w:rsidR="00583638" w:rsidRPr="00583638" w:rsidRDefault="00583638">
      <w:pPr>
        <w:pStyle w:val="Caption"/>
        <w:rPr>
          <w:color w:val="auto"/>
        </w:rPr>
      </w:pPr>
      <w:r w:rsidRPr="00583638">
        <w:rPr>
          <w:color w:val="auto"/>
        </w:rPr>
        <w:t xml:space="preserve">Table </w:t>
      </w:r>
      <w:r w:rsidRPr="00583638">
        <w:rPr>
          <w:color w:val="auto"/>
        </w:rPr>
        <w:fldChar w:fldCharType="begin"/>
      </w:r>
      <w:r w:rsidRPr="00583638">
        <w:rPr>
          <w:color w:val="auto"/>
        </w:rPr>
        <w:instrText xml:space="preserve"> SEQ Table \* ARABIC </w:instrText>
      </w:r>
      <w:r w:rsidRPr="00583638">
        <w:rPr>
          <w:color w:val="auto"/>
        </w:rPr>
        <w:fldChar w:fldCharType="separate"/>
      </w:r>
      <w:r w:rsidR="008F2A12">
        <w:rPr>
          <w:noProof/>
          <w:color w:val="auto"/>
        </w:rPr>
        <w:t>4</w:t>
      </w:r>
      <w:r w:rsidRPr="00583638">
        <w:rPr>
          <w:color w:val="auto"/>
        </w:rPr>
        <w:fldChar w:fldCharType="end"/>
      </w:r>
      <w:r w:rsidRPr="00583638">
        <w:rPr>
          <w:color w:val="auto"/>
        </w:rPr>
        <w:t>. Middle values estimated for each variable group.</w:t>
      </w:r>
    </w:p>
    <w:p w14:paraId="768A87FA" w14:textId="02B79F55" w:rsidR="00602616" w:rsidRDefault="00602616" w:rsidP="009E2A30">
      <w:pPr>
        <w:ind w:firstLine="708"/>
        <w:jc w:val="both"/>
        <w:rPr>
          <w:rFonts w:eastAsiaTheme="minorEastAsia"/>
          <w:lang w:val="en-GB"/>
        </w:rPr>
      </w:pPr>
      <w:r w:rsidRPr="00AA1DEF">
        <w:rPr>
          <w:rFonts w:eastAsiaTheme="minorEastAsia"/>
          <w:lang w:val="en-GB"/>
        </w:rPr>
        <w:t xml:space="preserve">A transforming matrix was then developed by the algorithm </w:t>
      </w:r>
      <w:r>
        <w:rPr>
          <w:rFonts w:eastAsiaTheme="minorEastAsia"/>
          <w:lang w:val="en-GB"/>
        </w:rPr>
        <w:t>(Table 5)</w:t>
      </w:r>
      <w:r w:rsidRPr="00AA1DEF">
        <w:rPr>
          <w:rFonts w:eastAsiaTheme="minorEastAsia"/>
          <w:lang w:val="en-GB"/>
        </w:rPr>
        <w:t xml:space="preserve">, which was used to transform observations to discriminant functions, normalized. </w:t>
      </w:r>
      <w:proofErr w:type="gramStart"/>
      <w:r w:rsidRPr="00AA1DEF">
        <w:rPr>
          <w:rFonts w:eastAsiaTheme="minorEastAsia"/>
          <w:lang w:val="en-GB"/>
        </w:rPr>
        <w:t>Therefore</w:t>
      </w:r>
      <w:proofErr w:type="gramEnd"/>
      <w:r w:rsidRPr="00AA1DEF">
        <w:rPr>
          <w:rFonts w:eastAsiaTheme="minorEastAsia"/>
          <w:lang w:val="en-GB"/>
        </w:rPr>
        <w:t xml:space="preserve"> covariance matrix is isotropic (diagonal with all elements on the diagonal equal) within groups of observations. </w:t>
      </w:r>
    </w:p>
    <w:p w14:paraId="59682498" w14:textId="0B50B537" w:rsidR="00602616" w:rsidRDefault="00602616" w:rsidP="00602616">
      <w:pPr>
        <w:jc w:val="both"/>
        <w:rPr>
          <w:rFonts w:eastAsiaTheme="minorEastAsia"/>
          <w:lang w:val="en-GB"/>
        </w:rPr>
      </w:pPr>
    </w:p>
    <w:p w14:paraId="3244A8DE" w14:textId="77777777" w:rsidR="00602616" w:rsidRDefault="00602616" w:rsidP="00602616">
      <w:pPr>
        <w:jc w:val="both"/>
        <w:rPr>
          <w:rFonts w:eastAsiaTheme="minorEastAsia"/>
          <w:lang w:val="en-GB"/>
        </w:rPr>
      </w:pPr>
    </w:p>
    <w:tbl>
      <w:tblPr>
        <w:tblStyle w:val="TableGrid"/>
        <w:tblW w:w="7835"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7"/>
        <w:gridCol w:w="1567"/>
        <w:gridCol w:w="1567"/>
        <w:gridCol w:w="1567"/>
        <w:gridCol w:w="1567"/>
      </w:tblGrid>
      <w:tr w:rsidR="00602616" w:rsidRPr="00AA1DEF" w14:paraId="34D48D88" w14:textId="77777777" w:rsidTr="00602616">
        <w:trPr>
          <w:trHeight w:val="493"/>
          <w:jc w:val="center"/>
        </w:trPr>
        <w:tc>
          <w:tcPr>
            <w:tcW w:w="1567" w:type="dxa"/>
            <w:vAlign w:val="center"/>
          </w:tcPr>
          <w:p w14:paraId="69E1EC33" w14:textId="77777777" w:rsidR="00602616" w:rsidRPr="00AA1DEF" w:rsidRDefault="00602616" w:rsidP="00FB5EB7">
            <w:pPr>
              <w:jc w:val="both"/>
              <w:rPr>
                <w:rFonts w:eastAsiaTheme="minorEastAsia"/>
                <w:sz w:val="18"/>
                <w:lang w:val="en-GB"/>
              </w:rPr>
            </w:pPr>
          </w:p>
        </w:tc>
        <w:tc>
          <w:tcPr>
            <w:tcW w:w="1567" w:type="dxa"/>
            <w:vAlign w:val="center"/>
          </w:tcPr>
          <w:p w14:paraId="1B2F4A8E"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1</w:t>
            </w:r>
            <w:r w:rsidRPr="00AA1DEF">
              <w:rPr>
                <w:rFonts w:eastAsiaTheme="minorEastAsia"/>
                <w:b/>
                <w:sz w:val="18"/>
                <w:vertAlign w:val="superscript"/>
                <w:lang w:val="en-GB"/>
              </w:rPr>
              <w:t xml:space="preserve">st </w:t>
            </w:r>
            <w:r w:rsidRPr="00AA1DEF">
              <w:rPr>
                <w:rFonts w:eastAsiaTheme="minorEastAsia"/>
                <w:b/>
                <w:sz w:val="18"/>
                <w:lang w:val="en-GB"/>
              </w:rPr>
              <w:t>LD</w:t>
            </w:r>
          </w:p>
        </w:tc>
        <w:tc>
          <w:tcPr>
            <w:tcW w:w="1567" w:type="dxa"/>
            <w:vAlign w:val="center"/>
          </w:tcPr>
          <w:p w14:paraId="004BDDE4"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2</w:t>
            </w:r>
            <w:r w:rsidRPr="00AA1DEF">
              <w:rPr>
                <w:rFonts w:eastAsiaTheme="minorEastAsia"/>
                <w:b/>
                <w:sz w:val="18"/>
                <w:vertAlign w:val="superscript"/>
                <w:lang w:val="en-GB"/>
              </w:rPr>
              <w:t>nd</w:t>
            </w:r>
            <w:r w:rsidRPr="00AA1DEF">
              <w:rPr>
                <w:rFonts w:eastAsiaTheme="minorEastAsia"/>
                <w:b/>
                <w:sz w:val="18"/>
                <w:lang w:val="en-GB"/>
              </w:rPr>
              <w:t xml:space="preserve"> LD</w:t>
            </w:r>
          </w:p>
        </w:tc>
        <w:tc>
          <w:tcPr>
            <w:tcW w:w="1567" w:type="dxa"/>
            <w:vAlign w:val="center"/>
          </w:tcPr>
          <w:p w14:paraId="798C1F0F"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3</w:t>
            </w:r>
            <w:r w:rsidRPr="00AA1DEF">
              <w:rPr>
                <w:rFonts w:eastAsiaTheme="minorEastAsia"/>
                <w:b/>
                <w:sz w:val="18"/>
                <w:vertAlign w:val="superscript"/>
                <w:lang w:val="en-GB"/>
              </w:rPr>
              <w:t>rd</w:t>
            </w:r>
            <w:r w:rsidRPr="00AA1DEF">
              <w:rPr>
                <w:rFonts w:eastAsiaTheme="minorEastAsia"/>
                <w:b/>
                <w:sz w:val="18"/>
                <w:lang w:val="en-GB"/>
              </w:rPr>
              <w:t xml:space="preserve"> LD</w:t>
            </w:r>
          </w:p>
        </w:tc>
        <w:tc>
          <w:tcPr>
            <w:tcW w:w="1567" w:type="dxa"/>
            <w:vAlign w:val="center"/>
          </w:tcPr>
          <w:p w14:paraId="0F907B3D"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4</w:t>
            </w:r>
            <w:r w:rsidRPr="00AA1DEF">
              <w:rPr>
                <w:rFonts w:eastAsiaTheme="minorEastAsia"/>
                <w:b/>
                <w:sz w:val="18"/>
                <w:vertAlign w:val="superscript"/>
                <w:lang w:val="en-GB"/>
              </w:rPr>
              <w:t>th</w:t>
            </w:r>
            <w:r w:rsidRPr="00AA1DEF">
              <w:rPr>
                <w:rFonts w:eastAsiaTheme="minorEastAsia"/>
                <w:b/>
                <w:sz w:val="18"/>
                <w:lang w:val="en-GB"/>
              </w:rPr>
              <w:t xml:space="preserve"> LD</w:t>
            </w:r>
          </w:p>
        </w:tc>
      </w:tr>
      <w:tr w:rsidR="00602616" w:rsidRPr="00AA1DEF" w14:paraId="141CAC60" w14:textId="77777777" w:rsidTr="00602616">
        <w:trPr>
          <w:trHeight w:val="493"/>
          <w:jc w:val="center"/>
        </w:trPr>
        <w:tc>
          <w:tcPr>
            <w:tcW w:w="1567" w:type="dxa"/>
            <w:vAlign w:val="center"/>
          </w:tcPr>
          <w:p w14:paraId="594660FD"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Conductivity</w:t>
            </w:r>
          </w:p>
        </w:tc>
        <w:tc>
          <w:tcPr>
            <w:tcW w:w="1567" w:type="dxa"/>
            <w:vAlign w:val="center"/>
          </w:tcPr>
          <w:p w14:paraId="7C03A7CB"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0.02843</w:t>
            </w:r>
          </w:p>
        </w:tc>
        <w:tc>
          <w:tcPr>
            <w:tcW w:w="1567" w:type="dxa"/>
            <w:vAlign w:val="center"/>
          </w:tcPr>
          <w:p w14:paraId="3349077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-0.02241</w:t>
            </w:r>
          </w:p>
        </w:tc>
        <w:tc>
          <w:tcPr>
            <w:tcW w:w="1567" w:type="dxa"/>
            <w:vAlign w:val="center"/>
          </w:tcPr>
          <w:p w14:paraId="13AF34B9"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0.35479</w:t>
            </w:r>
          </w:p>
        </w:tc>
        <w:tc>
          <w:tcPr>
            <w:tcW w:w="1567" w:type="dxa"/>
            <w:vAlign w:val="center"/>
          </w:tcPr>
          <w:p w14:paraId="4386594D"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0.49875</w:t>
            </w:r>
          </w:p>
        </w:tc>
      </w:tr>
      <w:tr w:rsidR="00602616" w:rsidRPr="00AA1DEF" w14:paraId="6D657AEA" w14:textId="77777777" w:rsidTr="00602616">
        <w:trPr>
          <w:trHeight w:val="493"/>
          <w:jc w:val="center"/>
        </w:trPr>
        <w:tc>
          <w:tcPr>
            <w:tcW w:w="1567" w:type="dxa"/>
            <w:vAlign w:val="center"/>
          </w:tcPr>
          <w:p w14:paraId="2B0DAAB4"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ESMI</w:t>
            </w:r>
          </w:p>
        </w:tc>
        <w:tc>
          <w:tcPr>
            <w:tcW w:w="1567" w:type="dxa"/>
            <w:vAlign w:val="center"/>
          </w:tcPr>
          <w:p w14:paraId="465A8E56"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-0.47358</w:t>
            </w:r>
          </w:p>
        </w:tc>
        <w:tc>
          <w:tcPr>
            <w:tcW w:w="1567" w:type="dxa"/>
            <w:vAlign w:val="center"/>
          </w:tcPr>
          <w:p w14:paraId="1B135602"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0.28885</w:t>
            </w:r>
          </w:p>
        </w:tc>
        <w:tc>
          <w:tcPr>
            <w:tcW w:w="1567" w:type="dxa"/>
            <w:vAlign w:val="center"/>
          </w:tcPr>
          <w:p w14:paraId="4FD73942"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0.63065</w:t>
            </w:r>
          </w:p>
        </w:tc>
        <w:tc>
          <w:tcPr>
            <w:tcW w:w="1567" w:type="dxa"/>
            <w:vAlign w:val="center"/>
          </w:tcPr>
          <w:p w14:paraId="0EBC6B1A"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-0.77917</w:t>
            </w:r>
          </w:p>
        </w:tc>
      </w:tr>
      <w:tr w:rsidR="00602616" w:rsidRPr="00AA1DEF" w14:paraId="4ED406FD" w14:textId="77777777" w:rsidTr="00602616">
        <w:trPr>
          <w:trHeight w:val="493"/>
          <w:jc w:val="center"/>
        </w:trPr>
        <w:tc>
          <w:tcPr>
            <w:tcW w:w="1567" w:type="dxa"/>
            <w:vAlign w:val="center"/>
          </w:tcPr>
          <w:p w14:paraId="6929653B"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Diatom Index</w:t>
            </w:r>
          </w:p>
        </w:tc>
        <w:tc>
          <w:tcPr>
            <w:tcW w:w="1567" w:type="dxa"/>
            <w:vAlign w:val="center"/>
          </w:tcPr>
          <w:p w14:paraId="741D7CF2"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-0.01742</w:t>
            </w:r>
          </w:p>
        </w:tc>
        <w:tc>
          <w:tcPr>
            <w:tcW w:w="1567" w:type="dxa"/>
            <w:vAlign w:val="center"/>
          </w:tcPr>
          <w:p w14:paraId="2A4F3B1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0.42344</w:t>
            </w:r>
          </w:p>
        </w:tc>
        <w:tc>
          <w:tcPr>
            <w:tcW w:w="1567" w:type="dxa"/>
            <w:vAlign w:val="center"/>
          </w:tcPr>
          <w:p w14:paraId="3C99A51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-0.06262</w:t>
            </w:r>
          </w:p>
        </w:tc>
        <w:tc>
          <w:tcPr>
            <w:tcW w:w="1567" w:type="dxa"/>
            <w:vAlign w:val="center"/>
          </w:tcPr>
          <w:p w14:paraId="6D5E1EE4"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0.32642</w:t>
            </w:r>
          </w:p>
        </w:tc>
      </w:tr>
      <w:tr w:rsidR="00602616" w:rsidRPr="00AA1DEF" w14:paraId="2F574A21" w14:textId="77777777" w:rsidTr="00602616">
        <w:trPr>
          <w:trHeight w:val="493"/>
          <w:jc w:val="center"/>
        </w:trPr>
        <w:tc>
          <w:tcPr>
            <w:tcW w:w="1567" w:type="dxa"/>
            <w:vAlign w:val="center"/>
          </w:tcPr>
          <w:p w14:paraId="371D02FC"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Nitrogen</w:t>
            </w:r>
          </w:p>
        </w:tc>
        <w:tc>
          <w:tcPr>
            <w:tcW w:w="1567" w:type="dxa"/>
            <w:vAlign w:val="center"/>
          </w:tcPr>
          <w:p w14:paraId="6F0846AD"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0.02070</w:t>
            </w:r>
          </w:p>
        </w:tc>
        <w:tc>
          <w:tcPr>
            <w:tcW w:w="1567" w:type="dxa"/>
            <w:vAlign w:val="center"/>
          </w:tcPr>
          <w:p w14:paraId="2B8C3F7A"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0.09696</w:t>
            </w:r>
          </w:p>
        </w:tc>
        <w:tc>
          <w:tcPr>
            <w:tcW w:w="1567" w:type="dxa"/>
            <w:vAlign w:val="center"/>
          </w:tcPr>
          <w:p w14:paraId="3E6C031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-0.46705</w:t>
            </w:r>
          </w:p>
        </w:tc>
        <w:tc>
          <w:tcPr>
            <w:tcW w:w="1567" w:type="dxa"/>
            <w:vAlign w:val="center"/>
          </w:tcPr>
          <w:p w14:paraId="50BE4B3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0.56881</w:t>
            </w:r>
          </w:p>
        </w:tc>
      </w:tr>
      <w:tr w:rsidR="00602616" w:rsidRPr="00AA1DEF" w14:paraId="6C6F58D0" w14:textId="77777777" w:rsidTr="00602616">
        <w:trPr>
          <w:trHeight w:val="493"/>
          <w:jc w:val="center"/>
        </w:trPr>
        <w:tc>
          <w:tcPr>
            <w:tcW w:w="1567" w:type="dxa"/>
            <w:vAlign w:val="center"/>
          </w:tcPr>
          <w:p w14:paraId="42C397B9"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Phosphorus</w:t>
            </w:r>
          </w:p>
        </w:tc>
        <w:tc>
          <w:tcPr>
            <w:tcW w:w="1567" w:type="dxa"/>
            <w:vAlign w:val="center"/>
          </w:tcPr>
          <w:p w14:paraId="64A075D6"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0.10092</w:t>
            </w:r>
          </w:p>
        </w:tc>
        <w:tc>
          <w:tcPr>
            <w:tcW w:w="1567" w:type="dxa"/>
            <w:vAlign w:val="center"/>
          </w:tcPr>
          <w:p w14:paraId="7AD58694"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0.17338</w:t>
            </w:r>
          </w:p>
        </w:tc>
        <w:tc>
          <w:tcPr>
            <w:tcW w:w="1567" w:type="dxa"/>
            <w:vAlign w:val="center"/>
          </w:tcPr>
          <w:p w14:paraId="6C98D4EC"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-0.52082</w:t>
            </w:r>
          </w:p>
        </w:tc>
        <w:tc>
          <w:tcPr>
            <w:tcW w:w="1567" w:type="dxa"/>
            <w:vAlign w:val="center"/>
          </w:tcPr>
          <w:p w14:paraId="3E2D56FF"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0.10191</w:t>
            </w:r>
          </w:p>
        </w:tc>
      </w:tr>
      <w:tr w:rsidR="00602616" w:rsidRPr="00AA1DEF" w14:paraId="0906677A" w14:textId="77777777" w:rsidTr="00602616">
        <w:trPr>
          <w:trHeight w:val="493"/>
          <w:jc w:val="center"/>
        </w:trPr>
        <w:tc>
          <w:tcPr>
            <w:tcW w:w="1567" w:type="dxa"/>
            <w:vAlign w:val="center"/>
          </w:tcPr>
          <w:p w14:paraId="06AF1E26"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PMPL</w:t>
            </w:r>
          </w:p>
        </w:tc>
        <w:tc>
          <w:tcPr>
            <w:tcW w:w="1567" w:type="dxa"/>
            <w:vAlign w:val="center"/>
          </w:tcPr>
          <w:p w14:paraId="07245194" w14:textId="77777777" w:rsidR="00602616" w:rsidRPr="00AA1DEF" w:rsidRDefault="00602616" w:rsidP="00FB5EB7">
            <w:pPr>
              <w:jc w:val="center"/>
              <w:rPr>
                <w:rFonts w:eastAsiaTheme="minorEastAsia"/>
                <w:sz w:val="18"/>
                <w:lang w:val="en-GB"/>
              </w:rPr>
            </w:pPr>
            <w:r w:rsidRPr="00AA1DEF">
              <w:rPr>
                <w:rFonts w:eastAsiaTheme="minorEastAsia"/>
                <w:sz w:val="18"/>
                <w:lang w:val="en-GB"/>
              </w:rPr>
              <w:t>1.89904</w:t>
            </w:r>
          </w:p>
        </w:tc>
        <w:tc>
          <w:tcPr>
            <w:tcW w:w="1567" w:type="dxa"/>
            <w:vAlign w:val="center"/>
          </w:tcPr>
          <w:p w14:paraId="175A4FF8"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-0.01991</w:t>
            </w:r>
          </w:p>
        </w:tc>
        <w:tc>
          <w:tcPr>
            <w:tcW w:w="1567" w:type="dxa"/>
            <w:vAlign w:val="center"/>
          </w:tcPr>
          <w:p w14:paraId="7EBA8F38" w14:textId="77777777" w:rsidR="00602616" w:rsidRPr="00AA1DEF" w:rsidRDefault="00602616" w:rsidP="00FB5EB7">
            <w:pPr>
              <w:jc w:val="center"/>
              <w:rPr>
                <w:rFonts w:eastAsiaTheme="minorEastAsia"/>
                <w:sz w:val="18"/>
                <w:lang w:val="en-GB"/>
              </w:rPr>
            </w:pPr>
            <w:r w:rsidRPr="00AA1DEF">
              <w:rPr>
                <w:rFonts w:eastAsiaTheme="minorEastAsia"/>
                <w:sz w:val="18"/>
                <w:lang w:val="en-GB"/>
              </w:rPr>
              <w:t>1.40100</w:t>
            </w:r>
          </w:p>
        </w:tc>
        <w:tc>
          <w:tcPr>
            <w:tcW w:w="1567" w:type="dxa"/>
            <w:vAlign w:val="center"/>
          </w:tcPr>
          <w:p w14:paraId="5615450A"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0.40957</w:t>
            </w:r>
          </w:p>
        </w:tc>
      </w:tr>
      <w:tr w:rsidR="00602616" w:rsidRPr="00AA1DEF" w14:paraId="459797D4" w14:textId="77777777" w:rsidTr="00602616">
        <w:trPr>
          <w:trHeight w:val="493"/>
          <w:jc w:val="center"/>
        </w:trPr>
        <w:tc>
          <w:tcPr>
            <w:tcW w:w="1567" w:type="dxa"/>
            <w:vAlign w:val="center"/>
          </w:tcPr>
          <w:p w14:paraId="55BC7ACD"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Visibility</w:t>
            </w:r>
          </w:p>
        </w:tc>
        <w:tc>
          <w:tcPr>
            <w:tcW w:w="1567" w:type="dxa"/>
            <w:vAlign w:val="center"/>
          </w:tcPr>
          <w:p w14:paraId="3ABFEF4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-0.06827</w:t>
            </w:r>
          </w:p>
        </w:tc>
        <w:tc>
          <w:tcPr>
            <w:tcW w:w="1567" w:type="dxa"/>
            <w:vAlign w:val="center"/>
          </w:tcPr>
          <w:p w14:paraId="704A4FDA" w14:textId="77777777" w:rsidR="00602616" w:rsidRPr="00AA1DEF" w:rsidRDefault="00602616" w:rsidP="00FB5EB7">
            <w:pPr>
              <w:jc w:val="center"/>
              <w:rPr>
                <w:rFonts w:eastAsiaTheme="minorEastAsia"/>
                <w:sz w:val="18"/>
                <w:lang w:val="en-GB"/>
              </w:rPr>
            </w:pPr>
            <w:r w:rsidRPr="00AA1DEF">
              <w:rPr>
                <w:rFonts w:eastAsiaTheme="minorEastAsia"/>
                <w:sz w:val="18"/>
                <w:lang w:val="en-GB"/>
              </w:rPr>
              <w:t>1.09310</w:t>
            </w:r>
          </w:p>
        </w:tc>
        <w:tc>
          <w:tcPr>
            <w:tcW w:w="1567" w:type="dxa"/>
            <w:vAlign w:val="center"/>
          </w:tcPr>
          <w:p w14:paraId="6DE643B8"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0.37995</w:t>
            </w:r>
          </w:p>
        </w:tc>
        <w:tc>
          <w:tcPr>
            <w:tcW w:w="1567" w:type="dxa"/>
            <w:vAlign w:val="center"/>
          </w:tcPr>
          <w:p w14:paraId="35C0EED8"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0.91133</w:t>
            </w:r>
          </w:p>
        </w:tc>
      </w:tr>
      <w:tr w:rsidR="00602616" w:rsidRPr="00AA1DEF" w14:paraId="7BFD0F9F" w14:textId="77777777" w:rsidTr="00602616">
        <w:trPr>
          <w:trHeight w:val="493"/>
          <w:jc w:val="center"/>
        </w:trPr>
        <w:tc>
          <w:tcPr>
            <w:tcW w:w="1567" w:type="dxa"/>
            <w:vAlign w:val="center"/>
          </w:tcPr>
          <w:p w14:paraId="63A8852B" w14:textId="77777777" w:rsidR="00602616" w:rsidRPr="00AA1DEF" w:rsidRDefault="00602616" w:rsidP="00FB5EB7">
            <w:pPr>
              <w:jc w:val="center"/>
              <w:rPr>
                <w:rFonts w:eastAsiaTheme="minorEastAsia"/>
                <w:b/>
                <w:sz w:val="18"/>
                <w:lang w:val="en-GB"/>
              </w:rPr>
            </w:pPr>
            <w:r w:rsidRPr="00AA1DEF">
              <w:rPr>
                <w:rFonts w:eastAsiaTheme="minorEastAsia"/>
                <w:b/>
                <w:sz w:val="18"/>
                <w:lang w:val="en-GB"/>
              </w:rPr>
              <w:t>Chlorophyll „a”</w:t>
            </w:r>
          </w:p>
        </w:tc>
        <w:tc>
          <w:tcPr>
            <w:tcW w:w="1567" w:type="dxa"/>
            <w:vAlign w:val="center"/>
          </w:tcPr>
          <w:p w14:paraId="5309A4B4"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0.06319</w:t>
            </w:r>
          </w:p>
        </w:tc>
        <w:tc>
          <w:tcPr>
            <w:tcW w:w="1567" w:type="dxa"/>
            <w:vAlign w:val="center"/>
          </w:tcPr>
          <w:p w14:paraId="34005E5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1.35493</w:t>
            </w:r>
          </w:p>
        </w:tc>
        <w:tc>
          <w:tcPr>
            <w:tcW w:w="1567" w:type="dxa"/>
            <w:vAlign w:val="center"/>
          </w:tcPr>
          <w:p w14:paraId="0D2F0380" w14:textId="77777777" w:rsidR="00602616" w:rsidRPr="00AA1DEF" w:rsidRDefault="00602616" w:rsidP="00FB5EB7">
            <w:pPr>
              <w:jc w:val="center"/>
              <w:rPr>
                <w:rFonts w:eastAsiaTheme="minorEastAsia"/>
                <w:sz w:val="18"/>
                <w:lang w:val="en-GB"/>
              </w:rPr>
            </w:pPr>
            <w:r w:rsidRPr="00AA1DEF">
              <w:rPr>
                <w:rFonts w:eastAsiaTheme="minorEastAsia"/>
                <w:sz w:val="18"/>
                <w:lang w:val="en-GB"/>
              </w:rPr>
              <w:t>-0.08710</w:t>
            </w:r>
          </w:p>
        </w:tc>
        <w:tc>
          <w:tcPr>
            <w:tcW w:w="1567" w:type="dxa"/>
            <w:vAlign w:val="center"/>
          </w:tcPr>
          <w:p w14:paraId="5FA5F035" w14:textId="77777777" w:rsidR="00602616" w:rsidRPr="00AA1DEF" w:rsidRDefault="00602616" w:rsidP="00602616">
            <w:pPr>
              <w:keepNext/>
              <w:jc w:val="center"/>
              <w:rPr>
                <w:rFonts w:eastAsiaTheme="minorEastAsia"/>
                <w:sz w:val="18"/>
                <w:lang w:val="en-GB"/>
              </w:rPr>
            </w:pPr>
            <w:r w:rsidRPr="00AA1DEF">
              <w:rPr>
                <w:rFonts w:eastAsiaTheme="minorEastAsia"/>
                <w:sz w:val="18"/>
                <w:lang w:val="en-GB"/>
              </w:rPr>
              <w:t>-0.93963</w:t>
            </w:r>
          </w:p>
        </w:tc>
      </w:tr>
    </w:tbl>
    <w:p w14:paraId="693705EE" w14:textId="6514271D" w:rsidR="00602616" w:rsidRPr="00096DF0" w:rsidRDefault="00602616">
      <w:pPr>
        <w:pStyle w:val="Caption"/>
        <w:rPr>
          <w:color w:val="auto"/>
        </w:rPr>
      </w:pPr>
      <w:r w:rsidRPr="00096DF0">
        <w:rPr>
          <w:color w:val="auto"/>
        </w:rPr>
        <w:t xml:space="preserve">Table </w:t>
      </w:r>
      <w:r w:rsidRPr="00096DF0">
        <w:rPr>
          <w:color w:val="auto"/>
        </w:rPr>
        <w:fldChar w:fldCharType="begin"/>
      </w:r>
      <w:r w:rsidRPr="00096DF0">
        <w:rPr>
          <w:color w:val="auto"/>
        </w:rPr>
        <w:instrText xml:space="preserve"> SEQ Table \* ARABIC </w:instrText>
      </w:r>
      <w:r w:rsidRPr="00096DF0">
        <w:rPr>
          <w:color w:val="auto"/>
        </w:rPr>
        <w:fldChar w:fldCharType="separate"/>
      </w:r>
      <w:r w:rsidR="008F2A12">
        <w:rPr>
          <w:noProof/>
          <w:color w:val="auto"/>
        </w:rPr>
        <w:t>5</w:t>
      </w:r>
      <w:r w:rsidRPr="00096DF0">
        <w:rPr>
          <w:color w:val="auto"/>
        </w:rPr>
        <w:fldChar w:fldCharType="end"/>
      </w:r>
      <w:r w:rsidRPr="00096DF0">
        <w:rPr>
          <w:color w:val="auto"/>
        </w:rPr>
        <w:t xml:space="preserve">. Transformation matrix </w:t>
      </w:r>
      <w:r w:rsidR="00096DF0" w:rsidRPr="00096DF0">
        <w:rPr>
          <w:color w:val="auto"/>
        </w:rPr>
        <w:t>used to obtain normalized discriminant fuction values from observations.</w:t>
      </w:r>
    </w:p>
    <w:p w14:paraId="79D16737" w14:textId="3FC2FAE2" w:rsidR="004072F4" w:rsidRDefault="004072F4" w:rsidP="009E2A30">
      <w:pPr>
        <w:ind w:firstLine="708"/>
        <w:jc w:val="both"/>
        <w:rPr>
          <w:rFonts w:eastAsiaTheme="minorEastAsia"/>
          <w:lang w:val="en-GB"/>
        </w:rPr>
      </w:pPr>
      <w:r w:rsidRPr="00AA1DEF">
        <w:rPr>
          <w:rFonts w:eastAsiaTheme="minorEastAsia"/>
          <w:lang w:val="en-GB"/>
        </w:rPr>
        <w:t xml:space="preserve">The singular values (svd) were then obtained, which denoted the ratio of the </w:t>
      </w:r>
      <w:r w:rsidRPr="00AA1DEF">
        <w:rPr>
          <w:rFonts w:eastAsiaTheme="minorEastAsia"/>
          <w:i/>
          <w:lang w:val="en-GB"/>
        </w:rPr>
        <w:t>between</w:t>
      </w:r>
      <w:r w:rsidRPr="00AA1DEF">
        <w:rPr>
          <w:rFonts w:eastAsiaTheme="minorEastAsia"/>
          <w:lang w:val="en-GB"/>
        </w:rPr>
        <w:t xml:space="preserve"> and </w:t>
      </w:r>
      <w:r w:rsidRPr="00AA1DEF">
        <w:rPr>
          <w:rFonts w:eastAsiaTheme="minorEastAsia"/>
          <w:i/>
          <w:lang w:val="en-GB"/>
        </w:rPr>
        <w:t>within</w:t>
      </w:r>
      <w:r w:rsidRPr="00AA1DEF">
        <w:rPr>
          <w:rFonts w:eastAsiaTheme="minorEastAsia"/>
          <w:lang w:val="en-GB"/>
        </w:rPr>
        <w:t xml:space="preserve">-group standard deviations on the linear discriminant variables. Then, </w:t>
      </w:r>
      <w:proofErr w:type="spellStart"/>
      <w:r w:rsidRPr="00AA1DEF">
        <w:rPr>
          <w:rFonts w:eastAsiaTheme="minorEastAsia"/>
          <w:lang w:val="en-GB"/>
        </w:rPr>
        <w:t>svds</w:t>
      </w:r>
      <w:proofErr w:type="spellEnd"/>
      <w:r w:rsidRPr="00AA1DEF">
        <w:rPr>
          <w:rFonts w:eastAsiaTheme="minorEastAsia"/>
          <w:lang w:val="en-GB"/>
        </w:rPr>
        <w:t xml:space="preserve"> were squared to obtain the canonical F-statistics, and the amount of between-group variance explained by each linear discriminant was computed </w:t>
      </w:r>
      <w:r>
        <w:rPr>
          <w:rFonts w:eastAsiaTheme="minorEastAsia"/>
          <w:lang w:val="en-GB"/>
        </w:rPr>
        <w:t>(Table 6)</w:t>
      </w:r>
      <w:r w:rsidRPr="00AA1DEF">
        <w:rPr>
          <w:rFonts w:eastAsiaTheme="minorEastAsia"/>
          <w:lang w:val="en-GB"/>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ED5AAF" w:rsidRPr="00AA1DEF" w14:paraId="558654C0" w14:textId="77777777" w:rsidTr="00FB5EB7">
        <w:trPr>
          <w:trHeight w:val="508"/>
        </w:trPr>
        <w:tc>
          <w:tcPr>
            <w:tcW w:w="1812" w:type="dxa"/>
          </w:tcPr>
          <w:p w14:paraId="201CB402" w14:textId="77777777" w:rsidR="00ED5AAF" w:rsidRPr="00AA1DEF" w:rsidRDefault="00ED5AAF" w:rsidP="00FB5EB7">
            <w:pPr>
              <w:jc w:val="both"/>
              <w:rPr>
                <w:rFonts w:eastAsiaTheme="minorEastAsia"/>
                <w:sz w:val="18"/>
                <w:szCs w:val="18"/>
                <w:lang w:val="en-GB"/>
              </w:rPr>
            </w:pPr>
          </w:p>
        </w:tc>
        <w:tc>
          <w:tcPr>
            <w:tcW w:w="1812" w:type="dxa"/>
          </w:tcPr>
          <w:p w14:paraId="08326614" w14:textId="77777777" w:rsidR="00ED5AAF" w:rsidRPr="00AA1DEF" w:rsidRDefault="00ED5AAF" w:rsidP="00FB5EB7">
            <w:pPr>
              <w:jc w:val="center"/>
              <w:rPr>
                <w:rFonts w:eastAsiaTheme="minorEastAsia"/>
                <w:b/>
                <w:sz w:val="18"/>
                <w:szCs w:val="18"/>
                <w:lang w:val="en-GB"/>
              </w:rPr>
            </w:pPr>
          </w:p>
          <w:p w14:paraId="1082CD55" w14:textId="77777777" w:rsidR="00ED5AAF" w:rsidRPr="00AA1DEF" w:rsidRDefault="00ED5AAF" w:rsidP="00FB5EB7">
            <w:pPr>
              <w:jc w:val="center"/>
              <w:rPr>
                <w:rFonts w:eastAsiaTheme="minorEastAsia"/>
                <w:b/>
                <w:sz w:val="18"/>
                <w:szCs w:val="18"/>
                <w:lang w:val="en-GB"/>
              </w:rPr>
            </w:pPr>
            <w:r w:rsidRPr="00AA1DEF">
              <w:rPr>
                <w:rFonts w:eastAsiaTheme="minorEastAsia"/>
                <w:b/>
                <w:sz w:val="18"/>
                <w:szCs w:val="18"/>
                <w:lang w:val="en-GB"/>
              </w:rPr>
              <w:t>svd</w:t>
            </w:r>
          </w:p>
        </w:tc>
        <w:tc>
          <w:tcPr>
            <w:tcW w:w="1812" w:type="dxa"/>
          </w:tcPr>
          <w:p w14:paraId="050BF4F9" w14:textId="77777777" w:rsidR="00ED5AAF" w:rsidRPr="00AA1DEF" w:rsidRDefault="00ED5AAF" w:rsidP="00FB5EB7">
            <w:pPr>
              <w:jc w:val="center"/>
              <w:rPr>
                <w:rFonts w:eastAsiaTheme="minorEastAsia"/>
                <w:b/>
                <w:sz w:val="18"/>
                <w:szCs w:val="18"/>
                <w:lang w:val="en-GB"/>
              </w:rPr>
            </w:pPr>
          </w:p>
          <w:p w14:paraId="36C1A5B0" w14:textId="77777777" w:rsidR="00ED5AAF" w:rsidRPr="00AA1DEF" w:rsidRDefault="00ED5AAF" w:rsidP="00FB5EB7">
            <w:pPr>
              <w:jc w:val="center"/>
              <w:rPr>
                <w:rFonts w:eastAsiaTheme="minorEastAsia"/>
                <w:b/>
                <w:sz w:val="18"/>
                <w:szCs w:val="18"/>
                <w:lang w:val="en-GB"/>
              </w:rPr>
            </w:pPr>
            <w:r w:rsidRPr="00AA1DEF">
              <w:rPr>
                <w:rFonts w:eastAsiaTheme="minorEastAsia"/>
                <w:b/>
                <w:sz w:val="18"/>
                <w:szCs w:val="18"/>
                <w:lang w:val="en-GB"/>
              </w:rPr>
              <w:t>F-statistics</w:t>
            </w:r>
          </w:p>
        </w:tc>
        <w:tc>
          <w:tcPr>
            <w:tcW w:w="1813" w:type="dxa"/>
          </w:tcPr>
          <w:p w14:paraId="3DFE1160" w14:textId="77777777" w:rsidR="00ED5AAF" w:rsidRPr="00AA1DEF" w:rsidRDefault="00C368BA" w:rsidP="00FB5EB7">
            <w:pPr>
              <w:jc w:val="center"/>
              <w:rPr>
                <w:rFonts w:eastAsiaTheme="minorEastAsia"/>
                <w:b/>
                <w:sz w:val="18"/>
                <w:szCs w:val="18"/>
                <w:lang w:val="en-GB"/>
              </w:rPr>
            </w:pPr>
            <m:oMathPara>
              <m:oMath>
                <m:f>
                  <m:fPr>
                    <m:ctrlPr>
                      <w:rPr>
                        <w:rFonts w:ascii="Cambria Math" w:eastAsiaTheme="minorEastAsia" w:hAnsi="Cambria Math"/>
                        <w:b/>
                        <w:i/>
                        <w:sz w:val="18"/>
                        <w:szCs w:val="18"/>
                        <w:lang w:val="en-GB"/>
                      </w:rPr>
                    </m:ctrlPr>
                  </m:fPr>
                  <m:num>
                    <m:r>
                      <m:rPr>
                        <m:sty m:val="bi"/>
                      </m:rPr>
                      <w:rPr>
                        <w:rFonts w:ascii="Cambria Math" w:eastAsiaTheme="minorEastAsia" w:hAnsi="Cambria Math"/>
                        <w:sz w:val="18"/>
                        <w:szCs w:val="18"/>
                        <w:lang w:val="en-GB"/>
                      </w:rPr>
                      <m:t>sv</m:t>
                    </m:r>
                    <m:sSup>
                      <m:sSupPr>
                        <m:ctrlPr>
                          <w:rPr>
                            <w:rFonts w:ascii="Cambria Math" w:eastAsiaTheme="minorEastAsia" w:hAnsi="Cambria Math"/>
                            <w:b/>
                            <w:i/>
                            <w:sz w:val="18"/>
                            <w:szCs w:val="18"/>
                            <w:lang w:val="en-GB"/>
                          </w:rPr>
                        </m:ctrlPr>
                      </m:sSupPr>
                      <m:e>
                        <m:r>
                          <m:rPr>
                            <m:sty m:val="bi"/>
                          </m:rPr>
                          <w:rPr>
                            <w:rFonts w:ascii="Cambria Math" w:eastAsiaTheme="minorEastAsia" w:hAnsi="Cambria Math"/>
                            <w:sz w:val="18"/>
                            <w:szCs w:val="18"/>
                            <w:lang w:val="en-GB"/>
                          </w:rPr>
                          <m:t>d</m:t>
                        </m:r>
                      </m:e>
                      <m:sup>
                        <m:r>
                          <m:rPr>
                            <m:sty m:val="bi"/>
                          </m:rPr>
                          <w:rPr>
                            <w:rFonts w:ascii="Cambria Math" w:eastAsiaTheme="minorEastAsia" w:hAnsi="Cambria Math"/>
                            <w:sz w:val="18"/>
                            <w:szCs w:val="18"/>
                            <w:lang w:val="en-GB"/>
                          </w:rPr>
                          <m:t>2</m:t>
                        </m:r>
                      </m:sup>
                    </m:sSup>
                  </m:num>
                  <m:den>
                    <m:r>
                      <m:rPr>
                        <m:sty m:val="bi"/>
                      </m:rPr>
                      <w:rPr>
                        <w:rFonts w:ascii="Cambria Math" w:eastAsiaTheme="minorEastAsia" w:hAnsi="Cambria Math"/>
                        <w:sz w:val="18"/>
                        <w:szCs w:val="18"/>
                        <w:lang w:val="en-GB"/>
                      </w:rPr>
                      <m:t>∑</m:t>
                    </m:r>
                    <m:d>
                      <m:dPr>
                        <m:ctrlPr>
                          <w:rPr>
                            <w:rFonts w:ascii="Cambria Math" w:eastAsiaTheme="minorEastAsia" w:hAnsi="Cambria Math"/>
                            <w:b/>
                            <w:i/>
                            <w:sz w:val="18"/>
                            <w:szCs w:val="18"/>
                            <w:lang w:val="en-GB"/>
                          </w:rPr>
                        </m:ctrlPr>
                      </m:dPr>
                      <m:e>
                        <m:r>
                          <m:rPr>
                            <m:sty m:val="bi"/>
                          </m:rPr>
                          <w:rPr>
                            <w:rFonts w:ascii="Cambria Math" w:eastAsiaTheme="minorEastAsia" w:hAnsi="Cambria Math"/>
                            <w:sz w:val="18"/>
                            <w:szCs w:val="18"/>
                            <w:lang w:val="en-GB"/>
                          </w:rPr>
                          <m:t>sv</m:t>
                        </m:r>
                        <m:sSup>
                          <m:sSupPr>
                            <m:ctrlPr>
                              <w:rPr>
                                <w:rFonts w:ascii="Cambria Math" w:eastAsiaTheme="minorEastAsia" w:hAnsi="Cambria Math"/>
                                <w:b/>
                                <w:i/>
                                <w:sz w:val="18"/>
                                <w:szCs w:val="18"/>
                                <w:lang w:val="en-GB"/>
                              </w:rPr>
                            </m:ctrlPr>
                          </m:sSupPr>
                          <m:e>
                            <m:r>
                              <m:rPr>
                                <m:sty m:val="bi"/>
                              </m:rPr>
                              <w:rPr>
                                <w:rFonts w:ascii="Cambria Math" w:eastAsiaTheme="minorEastAsia" w:hAnsi="Cambria Math"/>
                                <w:sz w:val="18"/>
                                <w:szCs w:val="18"/>
                                <w:lang w:val="en-GB"/>
                              </w:rPr>
                              <m:t>d</m:t>
                            </m:r>
                          </m:e>
                          <m:sup>
                            <m:r>
                              <m:rPr>
                                <m:sty m:val="bi"/>
                              </m:rPr>
                              <w:rPr>
                                <w:rFonts w:ascii="Cambria Math" w:eastAsiaTheme="minorEastAsia" w:hAnsi="Cambria Math"/>
                                <w:sz w:val="18"/>
                                <w:szCs w:val="18"/>
                                <w:lang w:val="en-GB"/>
                              </w:rPr>
                              <m:t>2</m:t>
                            </m:r>
                          </m:sup>
                        </m:sSup>
                      </m:e>
                    </m:d>
                  </m:den>
                </m:f>
              </m:oMath>
            </m:oMathPara>
          </w:p>
        </w:tc>
        <w:tc>
          <w:tcPr>
            <w:tcW w:w="1813" w:type="dxa"/>
          </w:tcPr>
          <w:p w14:paraId="56ED71CE" w14:textId="77777777" w:rsidR="00ED5AAF" w:rsidRPr="00AA1DEF" w:rsidRDefault="00ED5AAF" w:rsidP="00FB5EB7">
            <w:pPr>
              <w:jc w:val="center"/>
              <w:rPr>
                <w:rFonts w:eastAsiaTheme="minorEastAsia"/>
                <w:b/>
                <w:sz w:val="18"/>
                <w:szCs w:val="18"/>
                <w:lang w:val="en-GB"/>
              </w:rPr>
            </w:pPr>
          </w:p>
          <w:p w14:paraId="6E33D52F" w14:textId="77777777" w:rsidR="00ED5AAF" w:rsidRPr="00AA1DEF" w:rsidRDefault="00ED5AAF" w:rsidP="00FB5EB7">
            <w:pPr>
              <w:jc w:val="center"/>
              <w:rPr>
                <w:rFonts w:eastAsiaTheme="minorEastAsia"/>
                <w:b/>
                <w:sz w:val="18"/>
                <w:szCs w:val="18"/>
                <w:lang w:val="en-GB"/>
              </w:rPr>
            </w:pPr>
            <w:r w:rsidRPr="00AA1DEF">
              <w:rPr>
                <w:rFonts w:eastAsiaTheme="minorEastAsia"/>
                <w:b/>
                <w:sz w:val="18"/>
                <w:szCs w:val="18"/>
                <w:lang w:val="en-GB"/>
              </w:rPr>
              <w:t>% variance explained</w:t>
            </w:r>
          </w:p>
        </w:tc>
      </w:tr>
      <w:tr w:rsidR="00ED5AAF" w:rsidRPr="00AA1DEF" w14:paraId="63C89D53" w14:textId="77777777" w:rsidTr="00FB5EB7">
        <w:tc>
          <w:tcPr>
            <w:tcW w:w="1812" w:type="dxa"/>
          </w:tcPr>
          <w:p w14:paraId="1D6E1A27" w14:textId="77777777" w:rsidR="00ED5AAF" w:rsidRPr="00AA1DEF" w:rsidRDefault="00ED5AAF" w:rsidP="00FB5EB7">
            <w:pPr>
              <w:jc w:val="center"/>
              <w:rPr>
                <w:rFonts w:eastAsiaTheme="minorEastAsia"/>
                <w:b/>
                <w:sz w:val="18"/>
                <w:szCs w:val="18"/>
                <w:lang w:val="en-GB"/>
              </w:rPr>
            </w:pPr>
            <w:r w:rsidRPr="00AA1DEF">
              <w:rPr>
                <w:rFonts w:eastAsiaTheme="minorEastAsia"/>
                <w:b/>
                <w:sz w:val="18"/>
                <w:szCs w:val="18"/>
                <w:lang w:val="en-GB"/>
              </w:rPr>
              <w:t>LD1</w:t>
            </w:r>
          </w:p>
        </w:tc>
        <w:tc>
          <w:tcPr>
            <w:tcW w:w="1812" w:type="dxa"/>
          </w:tcPr>
          <w:p w14:paraId="23EDF9D3"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24.855200</w:t>
            </w:r>
          </w:p>
        </w:tc>
        <w:tc>
          <w:tcPr>
            <w:tcW w:w="1812" w:type="dxa"/>
          </w:tcPr>
          <w:p w14:paraId="7B95DB35"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617.780979</w:t>
            </w:r>
          </w:p>
        </w:tc>
        <w:tc>
          <w:tcPr>
            <w:tcW w:w="1813" w:type="dxa"/>
          </w:tcPr>
          <w:p w14:paraId="3F076C00"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0.932079</w:t>
            </w:r>
          </w:p>
        </w:tc>
        <w:tc>
          <w:tcPr>
            <w:tcW w:w="1813" w:type="dxa"/>
          </w:tcPr>
          <w:p w14:paraId="1AC71DA2"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 93.2%</w:t>
            </w:r>
          </w:p>
        </w:tc>
      </w:tr>
      <w:tr w:rsidR="00ED5AAF" w:rsidRPr="00AA1DEF" w14:paraId="54E0910B" w14:textId="77777777" w:rsidTr="00FB5EB7">
        <w:tc>
          <w:tcPr>
            <w:tcW w:w="1812" w:type="dxa"/>
          </w:tcPr>
          <w:p w14:paraId="22487250" w14:textId="77777777" w:rsidR="00ED5AAF" w:rsidRPr="00AA1DEF" w:rsidRDefault="00ED5AAF" w:rsidP="00FB5EB7">
            <w:pPr>
              <w:jc w:val="center"/>
              <w:rPr>
                <w:rFonts w:eastAsiaTheme="minorEastAsia"/>
                <w:b/>
                <w:sz w:val="18"/>
                <w:szCs w:val="18"/>
                <w:lang w:val="en-GB"/>
              </w:rPr>
            </w:pPr>
            <w:r w:rsidRPr="00AA1DEF">
              <w:rPr>
                <w:rFonts w:eastAsiaTheme="minorEastAsia"/>
                <w:b/>
                <w:sz w:val="18"/>
                <w:szCs w:val="18"/>
                <w:lang w:val="en-GB"/>
              </w:rPr>
              <w:t>LD2</w:t>
            </w:r>
          </w:p>
        </w:tc>
        <w:tc>
          <w:tcPr>
            <w:tcW w:w="1812" w:type="dxa"/>
            <w:vAlign w:val="center"/>
          </w:tcPr>
          <w:p w14:paraId="505635E3"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6.461864</w:t>
            </w:r>
          </w:p>
        </w:tc>
        <w:tc>
          <w:tcPr>
            <w:tcW w:w="1812" w:type="dxa"/>
          </w:tcPr>
          <w:p w14:paraId="165E229B"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41.755686</w:t>
            </w:r>
          </w:p>
        </w:tc>
        <w:tc>
          <w:tcPr>
            <w:tcW w:w="1813" w:type="dxa"/>
          </w:tcPr>
          <w:p w14:paraId="34623F52"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0.062999</w:t>
            </w:r>
          </w:p>
        </w:tc>
        <w:tc>
          <w:tcPr>
            <w:tcW w:w="1813" w:type="dxa"/>
          </w:tcPr>
          <w:p w14:paraId="3823EA4E"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 6.3%</w:t>
            </w:r>
          </w:p>
        </w:tc>
      </w:tr>
      <w:tr w:rsidR="00ED5AAF" w:rsidRPr="00AA1DEF" w14:paraId="574B12AE" w14:textId="77777777" w:rsidTr="00FB5EB7">
        <w:tc>
          <w:tcPr>
            <w:tcW w:w="1812" w:type="dxa"/>
          </w:tcPr>
          <w:p w14:paraId="4629439D" w14:textId="77777777" w:rsidR="00ED5AAF" w:rsidRPr="00AA1DEF" w:rsidRDefault="00ED5AAF" w:rsidP="00FB5EB7">
            <w:pPr>
              <w:jc w:val="center"/>
              <w:rPr>
                <w:rFonts w:eastAsiaTheme="minorEastAsia"/>
                <w:b/>
                <w:sz w:val="18"/>
                <w:szCs w:val="18"/>
                <w:lang w:val="en-GB"/>
              </w:rPr>
            </w:pPr>
            <w:r w:rsidRPr="00AA1DEF">
              <w:rPr>
                <w:rFonts w:eastAsiaTheme="minorEastAsia"/>
                <w:b/>
                <w:sz w:val="18"/>
                <w:szCs w:val="18"/>
                <w:lang w:val="en-GB"/>
              </w:rPr>
              <w:t>LD3</w:t>
            </w:r>
          </w:p>
        </w:tc>
        <w:tc>
          <w:tcPr>
            <w:tcW w:w="1812" w:type="dxa"/>
          </w:tcPr>
          <w:p w14:paraId="3813B81A"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1.391552</w:t>
            </w:r>
          </w:p>
        </w:tc>
        <w:tc>
          <w:tcPr>
            <w:tcW w:w="1812" w:type="dxa"/>
          </w:tcPr>
          <w:p w14:paraId="678A7DA8"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1.936418</w:t>
            </w:r>
          </w:p>
        </w:tc>
        <w:tc>
          <w:tcPr>
            <w:tcW w:w="1813" w:type="dxa"/>
          </w:tcPr>
          <w:p w14:paraId="4703896C"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0.002921</w:t>
            </w:r>
          </w:p>
        </w:tc>
        <w:tc>
          <w:tcPr>
            <w:tcW w:w="1813" w:type="dxa"/>
          </w:tcPr>
          <w:p w14:paraId="6DBBC395"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 0.3%</w:t>
            </w:r>
          </w:p>
        </w:tc>
      </w:tr>
      <w:tr w:rsidR="00ED5AAF" w:rsidRPr="00AA1DEF" w14:paraId="6E4286F2" w14:textId="77777777" w:rsidTr="00FB5EB7">
        <w:tc>
          <w:tcPr>
            <w:tcW w:w="1812" w:type="dxa"/>
          </w:tcPr>
          <w:p w14:paraId="7618783F" w14:textId="77777777" w:rsidR="00ED5AAF" w:rsidRPr="00AA1DEF" w:rsidRDefault="00ED5AAF" w:rsidP="00FB5EB7">
            <w:pPr>
              <w:jc w:val="center"/>
              <w:rPr>
                <w:rFonts w:eastAsiaTheme="minorEastAsia"/>
                <w:b/>
                <w:sz w:val="18"/>
                <w:szCs w:val="18"/>
                <w:lang w:val="en-GB"/>
              </w:rPr>
            </w:pPr>
            <w:r w:rsidRPr="00AA1DEF">
              <w:rPr>
                <w:rFonts w:eastAsiaTheme="minorEastAsia"/>
                <w:b/>
                <w:sz w:val="18"/>
                <w:szCs w:val="18"/>
                <w:lang w:val="en-GB"/>
              </w:rPr>
              <w:t>LD4</w:t>
            </w:r>
          </w:p>
        </w:tc>
        <w:tc>
          <w:tcPr>
            <w:tcW w:w="1812" w:type="dxa"/>
          </w:tcPr>
          <w:p w14:paraId="23C9FD54"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1.151296</w:t>
            </w:r>
          </w:p>
        </w:tc>
        <w:tc>
          <w:tcPr>
            <w:tcW w:w="1812" w:type="dxa"/>
          </w:tcPr>
          <w:p w14:paraId="17083D7C"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1.325483</w:t>
            </w:r>
          </w:p>
        </w:tc>
        <w:tc>
          <w:tcPr>
            <w:tcW w:w="1813" w:type="dxa"/>
          </w:tcPr>
          <w:p w14:paraId="322B79D7" w14:textId="77777777" w:rsidR="00ED5AAF" w:rsidRPr="00AA1DEF" w:rsidRDefault="00ED5AAF" w:rsidP="00FB5EB7">
            <w:pPr>
              <w:jc w:val="center"/>
              <w:rPr>
                <w:rFonts w:eastAsiaTheme="minorEastAsia"/>
                <w:sz w:val="18"/>
                <w:szCs w:val="18"/>
                <w:lang w:val="en-GB"/>
              </w:rPr>
            </w:pPr>
            <w:r w:rsidRPr="00AA1DEF">
              <w:rPr>
                <w:rFonts w:eastAsiaTheme="minorEastAsia"/>
                <w:sz w:val="18"/>
                <w:szCs w:val="18"/>
                <w:lang w:val="en-GB"/>
              </w:rPr>
              <w:t>0.001999</w:t>
            </w:r>
          </w:p>
        </w:tc>
        <w:tc>
          <w:tcPr>
            <w:tcW w:w="1813" w:type="dxa"/>
          </w:tcPr>
          <w:p w14:paraId="48EE04FF" w14:textId="77777777" w:rsidR="00ED5AAF" w:rsidRPr="00AA1DEF" w:rsidRDefault="00ED5AAF" w:rsidP="00ED5AAF">
            <w:pPr>
              <w:keepNext/>
              <w:jc w:val="center"/>
              <w:rPr>
                <w:rFonts w:eastAsiaTheme="minorEastAsia"/>
                <w:sz w:val="18"/>
                <w:szCs w:val="18"/>
                <w:lang w:val="en-GB"/>
              </w:rPr>
            </w:pPr>
            <w:r w:rsidRPr="00AA1DEF">
              <w:rPr>
                <w:rFonts w:eastAsiaTheme="minorEastAsia"/>
                <w:sz w:val="18"/>
                <w:szCs w:val="18"/>
                <w:lang w:val="en-GB"/>
              </w:rPr>
              <w:t>~ 0.2%</w:t>
            </w:r>
          </w:p>
        </w:tc>
      </w:tr>
    </w:tbl>
    <w:p w14:paraId="361F8692" w14:textId="194FA13A" w:rsidR="004072F4" w:rsidRPr="00ED5AAF" w:rsidRDefault="00ED5AAF" w:rsidP="00ED5AAF">
      <w:pPr>
        <w:pStyle w:val="Caption"/>
        <w:rPr>
          <w:rFonts w:eastAsiaTheme="minorEastAsia"/>
          <w:color w:val="auto"/>
          <w:lang w:val="en-GB"/>
        </w:rPr>
      </w:pPr>
      <w:r w:rsidRPr="00ED5AAF">
        <w:rPr>
          <w:color w:val="auto"/>
        </w:rPr>
        <w:t xml:space="preserve">Table </w:t>
      </w:r>
      <w:r w:rsidRPr="00ED5AAF">
        <w:rPr>
          <w:color w:val="auto"/>
        </w:rPr>
        <w:fldChar w:fldCharType="begin"/>
      </w:r>
      <w:r w:rsidRPr="00ED5AAF">
        <w:rPr>
          <w:color w:val="auto"/>
        </w:rPr>
        <w:instrText xml:space="preserve"> SEQ Table \* ARABIC </w:instrText>
      </w:r>
      <w:r w:rsidRPr="00ED5AAF">
        <w:rPr>
          <w:color w:val="auto"/>
        </w:rPr>
        <w:fldChar w:fldCharType="separate"/>
      </w:r>
      <w:r w:rsidR="008F2A12">
        <w:rPr>
          <w:noProof/>
          <w:color w:val="auto"/>
        </w:rPr>
        <w:t>6</w:t>
      </w:r>
      <w:r w:rsidRPr="00ED5AAF">
        <w:rPr>
          <w:color w:val="auto"/>
        </w:rPr>
        <w:fldChar w:fldCharType="end"/>
      </w:r>
      <w:r w:rsidRPr="00ED5AAF">
        <w:rPr>
          <w:color w:val="auto"/>
        </w:rPr>
        <w:t>. Variance explanatory skill based on svd measures for each of Linear Discriminants.</w:t>
      </w:r>
    </w:p>
    <w:p w14:paraId="5F3532E9" w14:textId="3C00328D" w:rsidR="0040403D" w:rsidRDefault="0040403D" w:rsidP="009E2A30">
      <w:pPr>
        <w:ind w:firstLine="708"/>
        <w:jc w:val="both"/>
        <w:rPr>
          <w:rFonts w:eastAsiaTheme="minorEastAsia"/>
          <w:lang w:val="en-GB"/>
        </w:rPr>
      </w:pPr>
      <w:r w:rsidRPr="00AA1DEF">
        <w:rPr>
          <w:rFonts w:eastAsiaTheme="minorEastAsia"/>
          <w:lang w:val="en-GB"/>
        </w:rPr>
        <w:t xml:space="preserve">The self-explanatory skill of the first dimension alone, which determined over 93% of dataset variance is presented </w:t>
      </w:r>
      <w:r w:rsidR="00282E7E">
        <w:rPr>
          <w:rFonts w:eastAsiaTheme="minorEastAsia"/>
          <w:lang w:val="en-GB"/>
        </w:rPr>
        <w:t xml:space="preserve">in </w:t>
      </w:r>
      <w:r>
        <w:rPr>
          <w:rFonts w:eastAsiaTheme="minorEastAsia"/>
          <w:lang w:val="en-GB"/>
        </w:rPr>
        <w:t>Figure 10</w:t>
      </w:r>
      <w:r w:rsidRPr="00AA1DEF">
        <w:rPr>
          <w:rFonts w:eastAsiaTheme="minorEastAsia"/>
          <w:lang w:val="en-GB"/>
        </w:rPr>
        <w:t xml:space="preserve">. </w:t>
      </w:r>
      <w:r w:rsidR="00C76D19" w:rsidRPr="00C76D19">
        <w:rPr>
          <w:rFonts w:eastAsiaTheme="minorEastAsia"/>
          <w:lang w:val="en-GB"/>
        </w:rPr>
        <w:t xml:space="preserve">However, this ability does not seem to explain well the interactions between </w:t>
      </w:r>
      <w:r w:rsidR="00C76D19">
        <w:rPr>
          <w:rFonts w:eastAsiaTheme="minorEastAsia"/>
          <w:lang w:val="en-GB"/>
        </w:rPr>
        <w:t>‘</w:t>
      </w:r>
      <w:r w:rsidR="00C76D19" w:rsidRPr="00C76D19">
        <w:rPr>
          <w:rFonts w:eastAsiaTheme="minorEastAsia"/>
          <w:lang w:val="en-GB"/>
        </w:rPr>
        <w:t>good</w:t>
      </w:r>
      <w:r w:rsidR="00C76D19">
        <w:rPr>
          <w:rFonts w:eastAsiaTheme="minorEastAsia"/>
          <w:lang w:val="en-GB"/>
        </w:rPr>
        <w:t>’</w:t>
      </w:r>
      <w:r w:rsidR="00C76D19" w:rsidRPr="00C76D19">
        <w:rPr>
          <w:rFonts w:eastAsiaTheme="minorEastAsia"/>
          <w:lang w:val="en-GB"/>
        </w:rPr>
        <w:t xml:space="preserve"> and </w:t>
      </w:r>
      <w:r w:rsidR="00C76D19">
        <w:rPr>
          <w:rFonts w:eastAsiaTheme="minorEastAsia"/>
          <w:lang w:val="en-GB"/>
        </w:rPr>
        <w:t>‘</w:t>
      </w:r>
      <w:r w:rsidR="00C76D19" w:rsidRPr="00C76D19">
        <w:rPr>
          <w:rFonts w:eastAsiaTheme="minorEastAsia"/>
          <w:lang w:val="en-GB"/>
        </w:rPr>
        <w:t>poor</w:t>
      </w:r>
      <w:r w:rsidR="00C76D19">
        <w:rPr>
          <w:rFonts w:eastAsiaTheme="minorEastAsia"/>
          <w:lang w:val="en-GB"/>
        </w:rPr>
        <w:t>’</w:t>
      </w:r>
      <w:r w:rsidR="00C76D19" w:rsidRPr="00C76D19">
        <w:rPr>
          <w:rFonts w:eastAsiaTheme="minorEastAsia"/>
          <w:lang w:val="en-GB"/>
        </w:rPr>
        <w:t xml:space="preserve"> </w:t>
      </w:r>
      <w:r w:rsidR="00C76D19">
        <w:rPr>
          <w:rFonts w:eastAsiaTheme="minorEastAsia"/>
          <w:lang w:val="en-GB"/>
        </w:rPr>
        <w:t xml:space="preserve">class </w:t>
      </w:r>
      <w:r w:rsidR="00C76D19" w:rsidRPr="00C76D19">
        <w:rPr>
          <w:rFonts w:eastAsiaTheme="minorEastAsia"/>
          <w:lang w:val="en-GB"/>
        </w:rPr>
        <w:t xml:space="preserve">discriminants and their </w:t>
      </w:r>
      <w:proofErr w:type="spellStart"/>
      <w:r w:rsidR="00C76D19" w:rsidRPr="00C76D19">
        <w:rPr>
          <w:rFonts w:eastAsiaTheme="minorEastAsia"/>
          <w:lang w:val="en-GB"/>
        </w:rPr>
        <w:t>neighbors</w:t>
      </w:r>
      <w:proofErr w:type="spellEnd"/>
      <w:r w:rsidR="00C76D19" w:rsidRPr="00C76D19">
        <w:rPr>
          <w:rFonts w:eastAsiaTheme="minorEastAsia"/>
          <w:lang w:val="en-GB"/>
        </w:rPr>
        <w:t>.</w:t>
      </w:r>
      <w:r w:rsidR="00C76D19">
        <w:rPr>
          <w:rFonts w:eastAsiaTheme="minorEastAsia"/>
          <w:lang w:val="en-GB"/>
        </w:rPr>
        <w:t xml:space="preserve"> The visible discriminant value spreads for ‘good’ and ‘poor’ are 4.877 and 2.8 </w:t>
      </w:r>
      <w:r w:rsidR="00282E7E">
        <w:rPr>
          <w:rFonts w:eastAsiaTheme="minorEastAsia"/>
          <w:lang w:val="en-GB"/>
        </w:rPr>
        <w:t>respectively</w:t>
      </w:r>
      <w:r w:rsidR="00C76D19">
        <w:rPr>
          <w:rFonts w:eastAsiaTheme="minorEastAsia"/>
          <w:lang w:val="en-GB"/>
        </w:rPr>
        <w:t>. T</w:t>
      </w:r>
      <w:r w:rsidRPr="00AA1DEF">
        <w:rPr>
          <w:rFonts w:eastAsiaTheme="minorEastAsia"/>
          <w:lang w:val="en-GB"/>
        </w:rPr>
        <w:t xml:space="preserve">he results of supervised algorithm performance showed that the first two dimensions </w:t>
      </w:r>
      <w:r w:rsidRPr="00AA1DEF">
        <w:rPr>
          <w:rFonts w:eastAsiaTheme="minorEastAsia"/>
          <w:i/>
          <w:lang w:val="en-GB"/>
        </w:rPr>
        <w:t>LD1</w:t>
      </w:r>
      <w:r w:rsidRPr="00AA1DEF">
        <w:rPr>
          <w:rFonts w:eastAsiaTheme="minorEastAsia"/>
          <w:lang w:val="en-GB"/>
        </w:rPr>
        <w:t xml:space="preserve"> and </w:t>
      </w:r>
      <w:r w:rsidRPr="00AA1DEF">
        <w:rPr>
          <w:rFonts w:eastAsiaTheme="minorEastAsia"/>
          <w:i/>
          <w:lang w:val="en-GB"/>
        </w:rPr>
        <w:t>LD2</w:t>
      </w:r>
      <w:r w:rsidRPr="00AA1DEF">
        <w:rPr>
          <w:rFonts w:eastAsiaTheme="minorEastAsia"/>
          <w:lang w:val="en-GB"/>
        </w:rPr>
        <w:t xml:space="preserve"> of resultant subspace are capable of explaining most </w:t>
      </w:r>
      <w:r w:rsidR="00282E7E">
        <w:rPr>
          <w:rFonts w:eastAsiaTheme="minorEastAsia"/>
          <w:lang w:val="en-GB"/>
        </w:rPr>
        <w:t xml:space="preserve">of </w:t>
      </w:r>
      <w:r w:rsidRPr="00AA1DEF">
        <w:rPr>
          <w:rFonts w:eastAsiaTheme="minorEastAsia"/>
          <w:lang w:val="en-GB"/>
        </w:rPr>
        <w:t xml:space="preserve">the variance (over 99%) within the analysed dataset, except few situations visible in the </w:t>
      </w:r>
      <w:proofErr w:type="gramStart"/>
      <w:r w:rsidRPr="00AA1DEF">
        <w:rPr>
          <w:rFonts w:eastAsiaTheme="minorEastAsia"/>
          <w:lang w:val="en-GB"/>
        </w:rPr>
        <w:t>graph,  where</w:t>
      </w:r>
      <w:proofErr w:type="gramEnd"/>
      <w:r w:rsidRPr="00AA1DEF">
        <w:rPr>
          <w:rFonts w:eastAsiaTheme="minorEastAsia"/>
          <w:lang w:val="en-GB"/>
        </w:rPr>
        <w:t xml:space="preserve"> prediction outcomes intercept between classes </w:t>
      </w:r>
      <w:r w:rsidR="00392399">
        <w:rPr>
          <w:rFonts w:eastAsiaTheme="minorEastAsia"/>
          <w:lang w:val="en-GB"/>
        </w:rPr>
        <w:t>(Figure 11)</w:t>
      </w:r>
      <w:r w:rsidRPr="00AA1DEF">
        <w:rPr>
          <w:rFonts w:eastAsiaTheme="minorEastAsia"/>
          <w:lang w:val="en-GB"/>
        </w:rPr>
        <w:t xml:space="preserve">. The LDA result was then fed to a classification algorithm in order to create an optimized machine learning model focused on further elimination of inter-class overlaps. </w:t>
      </w:r>
    </w:p>
    <w:p w14:paraId="2FDC8865" w14:textId="1D1DAB6F" w:rsidR="00392399" w:rsidRPr="00AA1DEF" w:rsidRDefault="001469FD" w:rsidP="0040403D">
      <w:pPr>
        <w:jc w:val="both"/>
        <w:rPr>
          <w:rFonts w:eastAsiaTheme="minorEastAsia"/>
          <w:lang w:val="en-GB"/>
        </w:rPr>
      </w:pPr>
      <w:r>
        <w:rPr>
          <w:noProof/>
        </w:rPr>
        <w:lastRenderedPageBreak/>
        <w:drawing>
          <wp:anchor distT="0" distB="0" distL="114300" distR="114300" simplePos="0" relativeHeight="251664384" behindDoc="1" locked="0" layoutInCell="1" allowOverlap="1" wp14:anchorId="1F4982C2" wp14:editId="273D7631">
            <wp:simplePos x="0" y="0"/>
            <wp:positionH relativeFrom="column">
              <wp:posOffset>69850</wp:posOffset>
            </wp:positionH>
            <wp:positionV relativeFrom="paragraph">
              <wp:posOffset>3632200</wp:posOffset>
            </wp:positionV>
            <wp:extent cx="5680710" cy="2944495"/>
            <wp:effectExtent l="0" t="0" r="0" b="8255"/>
            <wp:wrapTight wrapText="bothSides">
              <wp:wrapPolygon edited="0">
                <wp:start x="0" y="0"/>
                <wp:lineTo x="0" y="21521"/>
                <wp:lineTo x="21513" y="21521"/>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0710" cy="2944495"/>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3360" behindDoc="1" locked="0" layoutInCell="1" allowOverlap="1" wp14:anchorId="3BE9EAB9" wp14:editId="09931B52">
                <wp:simplePos x="0" y="0"/>
                <wp:positionH relativeFrom="column">
                  <wp:posOffset>236110</wp:posOffset>
                </wp:positionH>
                <wp:positionV relativeFrom="paragraph">
                  <wp:posOffset>2897394</wp:posOffset>
                </wp:positionV>
                <wp:extent cx="537019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5370195" cy="635"/>
                        </a:xfrm>
                        <a:prstGeom prst="rect">
                          <a:avLst/>
                        </a:prstGeom>
                        <a:solidFill>
                          <a:prstClr val="white"/>
                        </a:solidFill>
                        <a:ln>
                          <a:noFill/>
                        </a:ln>
                      </wps:spPr>
                      <wps:txbx>
                        <w:txbxContent>
                          <w:p w14:paraId="239F4329" w14:textId="4861148C" w:rsidR="001646CA" w:rsidRPr="00D86D9D" w:rsidRDefault="001646CA" w:rsidP="00D86D9D">
                            <w:pPr>
                              <w:pStyle w:val="Caption"/>
                              <w:rPr>
                                <w:noProof/>
                                <w:color w:val="auto"/>
                              </w:rPr>
                            </w:pPr>
                            <w:r w:rsidRPr="00D86D9D">
                              <w:rPr>
                                <w:color w:val="auto"/>
                              </w:rPr>
                              <w:t xml:space="preserve">Figure </w:t>
                            </w:r>
                            <w:r>
                              <w:rPr>
                                <w:color w:val="auto"/>
                              </w:rPr>
                              <w:t>1</w:t>
                            </w:r>
                            <w:r w:rsidRPr="00D86D9D">
                              <w:rPr>
                                <w:color w:val="auto"/>
                              </w:rPr>
                              <w:t>0. Self explanatory skill o</w:t>
                            </w:r>
                            <w:r>
                              <w:rPr>
                                <w:color w:val="auto"/>
                              </w:rPr>
                              <w:t>f</w:t>
                            </w:r>
                            <w:r w:rsidRPr="00D86D9D">
                              <w:rPr>
                                <w:color w:val="auto"/>
                              </w:rPr>
                              <w:t xml:space="preserve"> 1st Linear Discriminant - minimum and miaximum values of classes 'good' and 'poor' are a signal of possible classifiaction issues in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9EAB9" id="Text Box 12" o:spid="_x0000_s1027" type="#_x0000_t202" style="position:absolute;left:0;text-align:left;margin-left:18.6pt;margin-top:228.15pt;width:422.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" stroked="f">
                <v:textbox style="mso-fit-shape-to-text:t" inset="0,0,0,0">
                  <w:txbxContent>
                    <w:p w14:paraId="239F4329" w14:textId="4861148C" w:rsidR="001646CA" w:rsidRPr="00D86D9D" w:rsidRDefault="001646CA" w:rsidP="00D86D9D">
                      <w:pPr>
                        <w:pStyle w:val="Caption"/>
                        <w:rPr>
                          <w:noProof/>
                          <w:color w:val="auto"/>
                        </w:rPr>
                      </w:pPr>
                      <w:r w:rsidRPr="00D86D9D">
                        <w:rPr>
                          <w:color w:val="auto"/>
                        </w:rPr>
                        <w:t xml:space="preserve">Figure </w:t>
                      </w:r>
                      <w:r>
                        <w:rPr>
                          <w:color w:val="auto"/>
                        </w:rPr>
                        <w:t>1</w:t>
                      </w:r>
                      <w:r w:rsidRPr="00D86D9D">
                        <w:rPr>
                          <w:color w:val="auto"/>
                        </w:rPr>
                        <w:t>0. Self explanatory skill o</w:t>
                      </w:r>
                      <w:r>
                        <w:rPr>
                          <w:color w:val="auto"/>
                        </w:rPr>
                        <w:t>f</w:t>
                      </w:r>
                      <w:r w:rsidRPr="00D86D9D">
                        <w:rPr>
                          <w:color w:val="auto"/>
                        </w:rPr>
                        <w:t xml:space="preserve"> 1st Linear Discriminant - minimum and miaximum values of classes 'good' and 'poor' are a signal of possible classifiaction issues in the future.</w:t>
                      </w:r>
                    </w:p>
                  </w:txbxContent>
                </v:textbox>
                <w10:wrap type="tight"/>
              </v:shape>
            </w:pict>
          </mc:Fallback>
        </mc:AlternateContent>
      </w:r>
      <w:r>
        <w:rPr>
          <w:noProof/>
        </w:rPr>
        <w:drawing>
          <wp:anchor distT="0" distB="0" distL="114300" distR="114300" simplePos="0" relativeHeight="251661312" behindDoc="1" locked="0" layoutInCell="1" allowOverlap="1" wp14:anchorId="55D2BF40" wp14:editId="3DD3CB5E">
            <wp:simplePos x="0" y="0"/>
            <wp:positionH relativeFrom="column">
              <wp:posOffset>69768</wp:posOffset>
            </wp:positionH>
            <wp:positionV relativeFrom="paragraph">
              <wp:posOffset>0</wp:posOffset>
            </wp:positionV>
            <wp:extent cx="5685183" cy="2904102"/>
            <wp:effectExtent l="0" t="0" r="0" b="0"/>
            <wp:wrapTight wrapText="bothSides">
              <wp:wrapPolygon edited="0">
                <wp:start x="0" y="0"/>
                <wp:lineTo x="0" y="21397"/>
                <wp:lineTo x="21496" y="21397"/>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5183" cy="2904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32A9D" w14:textId="164673D4" w:rsidR="00096DF0" w:rsidRPr="00096DF0" w:rsidRDefault="001469FD" w:rsidP="00096DF0">
      <w:r>
        <w:rPr>
          <w:noProof/>
        </w:rPr>
        <mc:AlternateContent>
          <mc:Choice Requires="wps">
            <w:drawing>
              <wp:anchor distT="0" distB="0" distL="114300" distR="114300" simplePos="0" relativeHeight="251666432" behindDoc="1" locked="0" layoutInCell="1" allowOverlap="1" wp14:anchorId="2B07DEAE" wp14:editId="07EE4058">
                <wp:simplePos x="0" y="0"/>
                <wp:positionH relativeFrom="column">
                  <wp:posOffset>340194</wp:posOffset>
                </wp:positionH>
                <wp:positionV relativeFrom="paragraph">
                  <wp:posOffset>2937510</wp:posOffset>
                </wp:positionV>
                <wp:extent cx="568071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680710" cy="635"/>
                        </a:xfrm>
                        <a:prstGeom prst="rect">
                          <a:avLst/>
                        </a:prstGeom>
                        <a:solidFill>
                          <a:prstClr val="white"/>
                        </a:solidFill>
                        <a:ln>
                          <a:noFill/>
                        </a:ln>
                      </wps:spPr>
                      <wps:txbx>
                        <w:txbxContent>
                          <w:p w14:paraId="30D5FDF0" w14:textId="611A0FD8" w:rsidR="001646CA" w:rsidRPr="001469FD" w:rsidRDefault="001646CA" w:rsidP="001469FD">
                            <w:pPr>
                              <w:pStyle w:val="Caption"/>
                              <w:rPr>
                                <w:noProof/>
                                <w:color w:val="auto"/>
                              </w:rPr>
                            </w:pPr>
                            <w:r w:rsidRPr="001469FD">
                              <w:rPr>
                                <w:color w:val="auto"/>
                              </w:rPr>
                              <w:t>F</w:t>
                            </w:r>
                            <w:r>
                              <w:rPr>
                                <w:color w:val="auto"/>
                              </w:rPr>
                              <w:t>i</w:t>
                            </w:r>
                            <w:r w:rsidRPr="001469FD">
                              <w:rPr>
                                <w:color w:val="auto"/>
                              </w:rPr>
                              <w:t xml:space="preserve">gure </w:t>
                            </w:r>
                            <w:r w:rsidRPr="001469FD">
                              <w:rPr>
                                <w:color w:val="auto"/>
                              </w:rPr>
                              <w:fldChar w:fldCharType="begin"/>
                            </w:r>
                            <w:r w:rsidRPr="001469FD">
                              <w:rPr>
                                <w:color w:val="auto"/>
                              </w:rPr>
                              <w:instrText xml:space="preserve"> SEQ FIgure \* ARABIC </w:instrText>
                            </w:r>
                            <w:r w:rsidRPr="001469FD">
                              <w:rPr>
                                <w:color w:val="auto"/>
                              </w:rPr>
                              <w:fldChar w:fldCharType="separate"/>
                            </w:r>
                            <w:r>
                              <w:rPr>
                                <w:noProof/>
                                <w:color w:val="auto"/>
                              </w:rPr>
                              <w:t>1</w:t>
                            </w:r>
                            <w:r w:rsidRPr="001469FD">
                              <w:rPr>
                                <w:color w:val="auto"/>
                              </w:rPr>
                              <w:fldChar w:fldCharType="end"/>
                            </w:r>
                            <w:r>
                              <w:rPr>
                                <w:color w:val="auto"/>
                              </w:rPr>
                              <w:t>1</w:t>
                            </w:r>
                            <w:r w:rsidRPr="001469FD">
                              <w:rPr>
                                <w:color w:val="auto"/>
                              </w:rPr>
                              <w:t xml:space="preserve">. Explanatory skill of 1st and 2nd Linear Discriminants combined - inter-class overlaps are still visible, yet </w:t>
                            </w:r>
                            <w:r>
                              <w:rPr>
                                <w:color w:val="auto"/>
                              </w:rPr>
                              <w:t>percent</w:t>
                            </w:r>
                            <w:r w:rsidRPr="001469FD">
                              <w:rPr>
                                <w:color w:val="auto"/>
                              </w:rPr>
                              <w:t xml:space="preserve"> </w:t>
                            </w:r>
                            <w:r>
                              <w:rPr>
                                <w:color w:val="auto"/>
                              </w:rPr>
                              <w:t xml:space="preserve">of </w:t>
                            </w:r>
                            <w:r w:rsidRPr="001469FD">
                              <w:rPr>
                                <w:color w:val="auto"/>
                              </w:rPr>
                              <w:t>variance explained reached ~99%.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07DEAE" id="Text Box 14" o:spid="_x0000_s1028" type="#_x0000_t202" style="position:absolute;margin-left:26.8pt;margin-top:231.3pt;width:447.3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PALgIAAGYEAAAOAAAAZHJzL2Uyb0RvYy54bWysVMFu2zAMvQ/YPwi6L06yNSu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" stroked="f">
                <v:textbox style="mso-fit-shape-to-text:t" inset="0,0,0,0">
                  <w:txbxContent>
                    <w:p w14:paraId="30D5FDF0" w14:textId="611A0FD8" w:rsidR="001646CA" w:rsidRPr="001469FD" w:rsidRDefault="001646CA" w:rsidP="001469FD">
                      <w:pPr>
                        <w:pStyle w:val="Caption"/>
                        <w:rPr>
                          <w:noProof/>
                          <w:color w:val="auto"/>
                        </w:rPr>
                      </w:pPr>
                      <w:r w:rsidRPr="001469FD">
                        <w:rPr>
                          <w:color w:val="auto"/>
                        </w:rPr>
                        <w:t>F</w:t>
                      </w:r>
                      <w:r>
                        <w:rPr>
                          <w:color w:val="auto"/>
                        </w:rPr>
                        <w:t>i</w:t>
                      </w:r>
                      <w:r w:rsidRPr="001469FD">
                        <w:rPr>
                          <w:color w:val="auto"/>
                        </w:rPr>
                        <w:t xml:space="preserve">gure </w:t>
                      </w:r>
                      <w:r w:rsidRPr="001469FD">
                        <w:rPr>
                          <w:color w:val="auto"/>
                        </w:rPr>
                        <w:fldChar w:fldCharType="begin"/>
                      </w:r>
                      <w:r w:rsidRPr="001469FD">
                        <w:rPr>
                          <w:color w:val="auto"/>
                        </w:rPr>
                        <w:instrText xml:space="preserve"> SEQ FIgure \* ARABIC </w:instrText>
                      </w:r>
                      <w:r w:rsidRPr="001469FD">
                        <w:rPr>
                          <w:color w:val="auto"/>
                        </w:rPr>
                        <w:fldChar w:fldCharType="separate"/>
                      </w:r>
                      <w:r>
                        <w:rPr>
                          <w:noProof/>
                          <w:color w:val="auto"/>
                        </w:rPr>
                        <w:t>1</w:t>
                      </w:r>
                      <w:r w:rsidRPr="001469FD">
                        <w:rPr>
                          <w:color w:val="auto"/>
                        </w:rPr>
                        <w:fldChar w:fldCharType="end"/>
                      </w:r>
                      <w:r>
                        <w:rPr>
                          <w:color w:val="auto"/>
                        </w:rPr>
                        <w:t>1</w:t>
                      </w:r>
                      <w:r w:rsidRPr="001469FD">
                        <w:rPr>
                          <w:color w:val="auto"/>
                        </w:rPr>
                        <w:t xml:space="preserve">. Explanatory skill of 1st and 2nd Linear Discriminants combined - inter-class overlaps are still visible, yet </w:t>
                      </w:r>
                      <w:r>
                        <w:rPr>
                          <w:color w:val="auto"/>
                        </w:rPr>
                        <w:t>percent</w:t>
                      </w:r>
                      <w:r w:rsidRPr="001469FD">
                        <w:rPr>
                          <w:color w:val="auto"/>
                        </w:rPr>
                        <w:t xml:space="preserve"> </w:t>
                      </w:r>
                      <w:r>
                        <w:rPr>
                          <w:color w:val="auto"/>
                        </w:rPr>
                        <w:t xml:space="preserve">of </w:t>
                      </w:r>
                      <w:r w:rsidRPr="001469FD">
                        <w:rPr>
                          <w:color w:val="auto"/>
                        </w:rPr>
                        <w:t>variance explained reached ~99%.</w:t>
                      </w:r>
                    </w:p>
                  </w:txbxContent>
                </v:textbox>
                <w10:wrap type="tight"/>
              </v:shape>
            </w:pict>
          </mc:Fallback>
        </mc:AlternateContent>
      </w:r>
    </w:p>
    <w:p w14:paraId="1E25F44E" w14:textId="5233FF7F" w:rsidR="00493B74" w:rsidRPr="00AA1DEF" w:rsidRDefault="00493B74" w:rsidP="00493B74">
      <w:pPr>
        <w:jc w:val="both"/>
        <w:rPr>
          <w:rFonts w:eastAsiaTheme="minorEastAsia"/>
          <w:b/>
          <w:lang w:val="en-GB"/>
        </w:rPr>
      </w:pPr>
      <w:r w:rsidRPr="00964583">
        <w:rPr>
          <w:b/>
          <w:bCs/>
          <w:lang w:val="en-US"/>
        </w:rPr>
        <w:t>3.</w:t>
      </w:r>
      <w:r>
        <w:rPr>
          <w:b/>
          <w:bCs/>
          <w:lang w:val="en-US"/>
        </w:rPr>
        <w:t>3</w:t>
      </w:r>
      <w:r w:rsidRPr="00964583">
        <w:rPr>
          <w:b/>
          <w:bCs/>
          <w:lang w:val="en-US"/>
        </w:rPr>
        <w:t>.</w:t>
      </w:r>
      <w:r>
        <w:rPr>
          <w:lang w:val="en-US"/>
        </w:rPr>
        <w:t xml:space="preserve"> </w:t>
      </w:r>
      <w:r w:rsidRPr="00AA1DEF">
        <w:rPr>
          <w:rFonts w:eastAsiaTheme="minorEastAsia"/>
          <w:b/>
          <w:lang w:val="en-GB"/>
        </w:rPr>
        <w:t>Classification Modeling with Hyperparameter Optimization</w:t>
      </w:r>
    </w:p>
    <w:p w14:paraId="25664419" w14:textId="7FB01B7B" w:rsidR="00493B74" w:rsidRPr="00AA1DEF" w:rsidRDefault="00493B74" w:rsidP="0014771D">
      <w:pPr>
        <w:ind w:firstLine="708"/>
        <w:jc w:val="both"/>
        <w:rPr>
          <w:rFonts w:eastAsiaTheme="minorEastAsia"/>
          <w:lang w:val="en-GB"/>
        </w:rPr>
      </w:pPr>
      <w:r w:rsidRPr="00AA1DEF">
        <w:rPr>
          <w:rFonts w:eastAsiaTheme="minorEastAsia"/>
          <w:lang w:val="en-GB"/>
        </w:rPr>
        <w:t xml:space="preserve">Prior to </w:t>
      </w:r>
      <w:r>
        <w:rPr>
          <w:rFonts w:eastAsiaTheme="minorEastAsia"/>
          <w:lang w:val="en-GB"/>
        </w:rPr>
        <w:t>modelling</w:t>
      </w:r>
      <w:r w:rsidRPr="00AA1DEF">
        <w:rPr>
          <w:rFonts w:eastAsiaTheme="minorEastAsia"/>
          <w:lang w:val="en-GB"/>
        </w:rPr>
        <w:t>, the imputed dataset was split into the training test</w:t>
      </w:r>
      <w:r w:rsidR="005F0AF9">
        <w:rPr>
          <w:rFonts w:eastAsiaTheme="minorEastAsia"/>
          <w:lang w:val="en-GB"/>
        </w:rPr>
        <w:t>, and grid search</w:t>
      </w:r>
      <w:r w:rsidRPr="00AA1DEF">
        <w:rPr>
          <w:rFonts w:eastAsiaTheme="minorEastAsia"/>
          <w:lang w:val="en-GB"/>
        </w:rPr>
        <w:t xml:space="preserve"> sets, with split ratios of </w:t>
      </w:r>
      <w:r w:rsidR="005F0AF9">
        <w:rPr>
          <w:rFonts w:eastAsiaTheme="minorEastAsia"/>
          <w:lang w:val="en-GB"/>
        </w:rPr>
        <w:t>65</w:t>
      </w:r>
      <w:r w:rsidRPr="00AA1DEF">
        <w:rPr>
          <w:rFonts w:eastAsiaTheme="minorEastAsia"/>
          <w:lang w:val="en-GB"/>
        </w:rPr>
        <w:t>%</w:t>
      </w:r>
      <w:r w:rsidR="005F0AF9">
        <w:rPr>
          <w:rFonts w:eastAsiaTheme="minorEastAsia"/>
          <w:lang w:val="en-GB"/>
        </w:rPr>
        <w:t xml:space="preserve">, </w:t>
      </w:r>
      <w:r w:rsidRPr="00AA1DEF">
        <w:rPr>
          <w:rFonts w:eastAsiaTheme="minorEastAsia"/>
          <w:lang w:val="en-GB"/>
        </w:rPr>
        <w:t>20%,</w:t>
      </w:r>
      <w:r w:rsidR="005F0AF9">
        <w:rPr>
          <w:rFonts w:eastAsiaTheme="minorEastAsia"/>
          <w:lang w:val="en-GB"/>
        </w:rPr>
        <w:t xml:space="preserve"> and 15%</w:t>
      </w:r>
      <w:r w:rsidRPr="00AA1DEF">
        <w:rPr>
          <w:rFonts w:eastAsiaTheme="minorEastAsia"/>
          <w:lang w:val="en-GB"/>
        </w:rPr>
        <w:t xml:space="preserve"> respectively.  For the classification modeling, the SVM radial algorithm was used. In order to obtain optimal results, the grid search was performed, resulting in setting the best hyperparameter </w:t>
      </w:r>
      <w:r w:rsidRPr="00AA1DEF">
        <w:rPr>
          <w:rFonts w:eastAsiaTheme="minorEastAsia"/>
          <w:i/>
          <w:lang w:val="en-GB"/>
        </w:rPr>
        <w:t>‘C’</w:t>
      </w:r>
      <w:r w:rsidRPr="00AA1DEF">
        <w:rPr>
          <w:rFonts w:eastAsiaTheme="minorEastAsia"/>
          <w:lang w:val="en-GB"/>
        </w:rPr>
        <w:t xml:space="preserve"> for a given classification task to the value of </w:t>
      </w:r>
      <w:r w:rsidRPr="00AA1DEF">
        <w:rPr>
          <w:rFonts w:eastAsiaTheme="minorEastAsia"/>
          <w:i/>
          <w:lang w:val="en-GB"/>
        </w:rPr>
        <w:t xml:space="preserve">1 </w:t>
      </w:r>
      <w:r w:rsidRPr="00AA1DEF">
        <w:rPr>
          <w:rFonts w:eastAsiaTheme="minorEastAsia"/>
          <w:lang w:val="en-GB"/>
        </w:rPr>
        <w:t>with</w:t>
      </w:r>
      <w:r w:rsidRPr="00AA1DEF">
        <w:rPr>
          <w:rFonts w:eastAsiaTheme="minorEastAsia"/>
          <w:i/>
          <w:lang w:val="en-GB"/>
        </w:rPr>
        <w:t xml:space="preserve"> sigma </w:t>
      </w:r>
      <w:r w:rsidRPr="00AA1DEF">
        <w:rPr>
          <w:rFonts w:eastAsiaTheme="minorEastAsia"/>
          <w:lang w:val="en-GB"/>
        </w:rPr>
        <w:t>value</w:t>
      </w:r>
      <w:r w:rsidRPr="00AA1DEF">
        <w:rPr>
          <w:rFonts w:eastAsiaTheme="minorEastAsia"/>
          <w:i/>
          <w:lang w:val="en-GB"/>
        </w:rPr>
        <w:t xml:space="preserve"> </w:t>
      </w:r>
      <w:r w:rsidRPr="00493B74">
        <w:rPr>
          <w:rFonts w:eastAsiaTheme="minorEastAsia"/>
          <w:i/>
          <w:lang w:val="en-GB"/>
        </w:rPr>
        <w:t>2.3</w:t>
      </w:r>
      <w:r>
        <w:rPr>
          <w:rFonts w:eastAsiaTheme="minorEastAsia"/>
          <w:i/>
          <w:lang w:val="en-GB"/>
        </w:rPr>
        <w:t>1</w:t>
      </w:r>
      <w:r w:rsidRPr="00AA1DEF">
        <w:rPr>
          <w:rFonts w:eastAsiaTheme="minorEastAsia"/>
          <w:lang w:val="en-GB"/>
        </w:rPr>
        <w:t>, according to the tuning results of 25 repetitions</w:t>
      </w:r>
      <w:r w:rsidR="00323B8E">
        <w:rPr>
          <w:rFonts w:eastAsiaTheme="minorEastAsia"/>
          <w:lang w:val="en-GB"/>
        </w:rPr>
        <w:t xml:space="preserve"> (Table 7</w:t>
      </w:r>
      <w:r w:rsidR="00D54306">
        <w:rPr>
          <w:rFonts w:eastAsiaTheme="minorEastAsia"/>
          <w:lang w:val="en-GB"/>
        </w:rPr>
        <w:t>, Figure 12</w:t>
      </w:r>
      <w:r w:rsidR="00323B8E">
        <w:rPr>
          <w:rFonts w:eastAsiaTheme="minorEastAsia"/>
          <w:lang w:val="en-GB"/>
        </w:rPr>
        <w:t>)</w:t>
      </w:r>
      <w:r w:rsidRPr="00AA1DEF">
        <w:rPr>
          <w:rFonts w:eastAsiaTheme="minorEastAsia"/>
          <w:lang w:val="en-GB"/>
        </w:rPr>
        <w:t xml:space="preserve">. </w:t>
      </w:r>
    </w:p>
    <w:p w14:paraId="6051A9C3" w14:textId="311A1F6A" w:rsidR="00493B74" w:rsidRDefault="00493B74" w:rsidP="00493B74">
      <w:pPr>
        <w:jc w:val="both"/>
        <w:rPr>
          <w:rFonts w:eastAsiaTheme="minorEastAsia"/>
          <w:b/>
          <w:lang w:val="en-GB"/>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15"/>
        <w:gridCol w:w="5647"/>
      </w:tblGrid>
      <w:tr w:rsidR="00493B74" w:rsidRPr="00AA1DEF" w14:paraId="68FE9842" w14:textId="77777777" w:rsidTr="00FB5EB7">
        <w:trPr>
          <w:jc w:val="center"/>
        </w:trPr>
        <w:tc>
          <w:tcPr>
            <w:tcW w:w="3415" w:type="dxa"/>
          </w:tcPr>
          <w:p w14:paraId="111806F3" w14:textId="77777777" w:rsidR="00493B74" w:rsidRPr="00AA1DEF" w:rsidRDefault="00493B74" w:rsidP="00FB5EB7">
            <w:pPr>
              <w:jc w:val="center"/>
              <w:rPr>
                <w:rFonts w:eastAsiaTheme="minorEastAsia"/>
                <w:sz w:val="18"/>
                <w:lang w:val="en-GB"/>
              </w:rPr>
            </w:pPr>
            <w:r w:rsidRPr="00AA1DEF">
              <w:rPr>
                <w:rFonts w:eastAsiaTheme="minorEastAsia"/>
                <w:sz w:val="18"/>
                <w:lang w:val="en-GB"/>
              </w:rPr>
              <w:lastRenderedPageBreak/>
              <w:t>model</w:t>
            </w:r>
          </w:p>
        </w:tc>
        <w:tc>
          <w:tcPr>
            <w:tcW w:w="5647" w:type="dxa"/>
          </w:tcPr>
          <w:p w14:paraId="61CF4E60" w14:textId="77777777" w:rsidR="00493B74" w:rsidRPr="00AA1DEF" w:rsidRDefault="00493B74" w:rsidP="00FB5EB7">
            <w:pPr>
              <w:jc w:val="center"/>
              <w:rPr>
                <w:rFonts w:eastAsiaTheme="minorEastAsia"/>
                <w:sz w:val="18"/>
                <w:lang w:val="en-GB"/>
              </w:rPr>
            </w:pPr>
            <w:r w:rsidRPr="00AA1DEF">
              <w:rPr>
                <w:rFonts w:eastAsiaTheme="minorEastAsia"/>
                <w:sz w:val="18"/>
                <w:lang w:val="en-GB"/>
              </w:rPr>
              <w:t>Support Vector Machines Radial Basis Function Kernel</w:t>
            </w:r>
          </w:p>
        </w:tc>
      </w:tr>
      <w:tr w:rsidR="00493B74" w:rsidRPr="00AA1DEF" w14:paraId="3AA9402E" w14:textId="77777777" w:rsidTr="00FB5EB7">
        <w:trPr>
          <w:jc w:val="center"/>
        </w:trPr>
        <w:tc>
          <w:tcPr>
            <w:tcW w:w="3415" w:type="dxa"/>
          </w:tcPr>
          <w:p w14:paraId="0A23FE96" w14:textId="77777777" w:rsidR="00493B74" w:rsidRPr="00AA1DEF" w:rsidRDefault="00493B74" w:rsidP="00FB5EB7">
            <w:pPr>
              <w:jc w:val="center"/>
              <w:rPr>
                <w:rFonts w:eastAsiaTheme="minorEastAsia"/>
                <w:sz w:val="18"/>
                <w:lang w:val="en-GB"/>
              </w:rPr>
            </w:pPr>
            <w:r w:rsidRPr="00AA1DEF">
              <w:rPr>
                <w:rFonts w:eastAsiaTheme="minorEastAsia"/>
                <w:sz w:val="18"/>
                <w:lang w:val="en-GB"/>
              </w:rPr>
              <w:t>type</w:t>
            </w:r>
          </w:p>
        </w:tc>
        <w:tc>
          <w:tcPr>
            <w:tcW w:w="5647" w:type="dxa"/>
          </w:tcPr>
          <w:p w14:paraId="21EA7578" w14:textId="77777777" w:rsidR="00493B74" w:rsidRPr="00AA1DEF" w:rsidRDefault="00493B74" w:rsidP="00FB5EB7">
            <w:pPr>
              <w:jc w:val="center"/>
              <w:rPr>
                <w:rFonts w:eastAsiaTheme="minorEastAsia"/>
                <w:sz w:val="18"/>
                <w:lang w:val="en-GB"/>
              </w:rPr>
            </w:pPr>
            <w:r w:rsidRPr="00AA1DEF">
              <w:rPr>
                <w:rFonts w:eastAsiaTheme="minorEastAsia"/>
                <w:sz w:val="18"/>
                <w:lang w:val="en-GB"/>
              </w:rPr>
              <w:t>Classification</w:t>
            </w:r>
          </w:p>
        </w:tc>
      </w:tr>
      <w:tr w:rsidR="00493B74" w:rsidRPr="00AA1DEF" w14:paraId="64F6978B" w14:textId="77777777" w:rsidTr="00FB5EB7">
        <w:trPr>
          <w:jc w:val="center"/>
        </w:trPr>
        <w:tc>
          <w:tcPr>
            <w:tcW w:w="3415" w:type="dxa"/>
          </w:tcPr>
          <w:p w14:paraId="0A0FF869" w14:textId="77777777" w:rsidR="00493B74" w:rsidRPr="00AA1DEF" w:rsidRDefault="00493B74" w:rsidP="00FB5EB7">
            <w:pPr>
              <w:jc w:val="center"/>
              <w:rPr>
                <w:rFonts w:eastAsiaTheme="minorEastAsia"/>
                <w:sz w:val="18"/>
                <w:lang w:val="en-GB"/>
              </w:rPr>
            </w:pPr>
            <w:r w:rsidRPr="00AA1DEF">
              <w:rPr>
                <w:rFonts w:eastAsiaTheme="minorEastAsia"/>
                <w:sz w:val="18"/>
                <w:lang w:val="en-GB"/>
              </w:rPr>
              <w:t>C-parameter (cost)– best tune</w:t>
            </w:r>
          </w:p>
        </w:tc>
        <w:tc>
          <w:tcPr>
            <w:tcW w:w="5647" w:type="dxa"/>
          </w:tcPr>
          <w:p w14:paraId="21B98380" w14:textId="77777777" w:rsidR="00493B74" w:rsidRPr="00AA1DEF" w:rsidRDefault="00493B74" w:rsidP="00FB5EB7">
            <w:pPr>
              <w:jc w:val="center"/>
              <w:rPr>
                <w:rFonts w:eastAsiaTheme="minorEastAsia"/>
                <w:sz w:val="18"/>
                <w:lang w:val="en-GB"/>
              </w:rPr>
            </w:pPr>
            <w:r w:rsidRPr="00AA1DEF">
              <w:rPr>
                <w:rFonts w:eastAsiaTheme="minorEastAsia"/>
                <w:sz w:val="18"/>
                <w:lang w:val="en-GB"/>
              </w:rPr>
              <w:t>1</w:t>
            </w:r>
          </w:p>
        </w:tc>
      </w:tr>
      <w:tr w:rsidR="00493B74" w:rsidRPr="00AA1DEF" w14:paraId="0D2EBB37" w14:textId="77777777" w:rsidTr="00FB5EB7">
        <w:trPr>
          <w:jc w:val="center"/>
        </w:trPr>
        <w:tc>
          <w:tcPr>
            <w:tcW w:w="3415" w:type="dxa"/>
          </w:tcPr>
          <w:p w14:paraId="6320ABBA" w14:textId="77777777" w:rsidR="00493B74" w:rsidRPr="00AA1DEF" w:rsidRDefault="00493B74" w:rsidP="00FB5EB7">
            <w:pPr>
              <w:jc w:val="center"/>
              <w:rPr>
                <w:rFonts w:eastAsiaTheme="minorEastAsia"/>
                <w:sz w:val="18"/>
                <w:lang w:val="en-GB"/>
              </w:rPr>
            </w:pPr>
            <w:r w:rsidRPr="00AA1DEF">
              <w:rPr>
                <w:rFonts w:eastAsiaTheme="minorEastAsia"/>
                <w:sz w:val="18"/>
                <w:lang w:val="en-GB"/>
              </w:rPr>
              <w:t>sigma – best tune</w:t>
            </w:r>
          </w:p>
        </w:tc>
        <w:tc>
          <w:tcPr>
            <w:tcW w:w="5647" w:type="dxa"/>
          </w:tcPr>
          <w:p w14:paraId="7768DE8D" w14:textId="4AB3F803" w:rsidR="00493B74" w:rsidRPr="00AA1DEF" w:rsidRDefault="00493B74" w:rsidP="00FB5EB7">
            <w:pPr>
              <w:jc w:val="center"/>
              <w:rPr>
                <w:rFonts w:eastAsiaTheme="minorEastAsia"/>
                <w:sz w:val="18"/>
                <w:lang w:val="en-GB"/>
              </w:rPr>
            </w:pPr>
            <w:r w:rsidRPr="00AA1DEF">
              <w:rPr>
                <w:rFonts w:eastAsiaTheme="minorEastAsia"/>
                <w:sz w:val="18"/>
                <w:lang w:val="en-GB"/>
              </w:rPr>
              <w:t>2.</w:t>
            </w:r>
            <w:r>
              <w:rPr>
                <w:rFonts w:eastAsiaTheme="minorEastAsia"/>
                <w:sz w:val="18"/>
                <w:lang w:val="en-GB"/>
              </w:rPr>
              <w:t>310</w:t>
            </w:r>
          </w:p>
        </w:tc>
      </w:tr>
      <w:tr w:rsidR="00493B74" w:rsidRPr="00AA1DEF" w14:paraId="052437AF" w14:textId="77777777" w:rsidTr="00FB5EB7">
        <w:trPr>
          <w:jc w:val="center"/>
        </w:trPr>
        <w:tc>
          <w:tcPr>
            <w:tcW w:w="3415" w:type="dxa"/>
          </w:tcPr>
          <w:p w14:paraId="54D0E759" w14:textId="77777777" w:rsidR="00493B74" w:rsidRPr="00AA1DEF" w:rsidRDefault="00493B74" w:rsidP="00FB5EB7">
            <w:pPr>
              <w:jc w:val="center"/>
              <w:rPr>
                <w:rFonts w:eastAsiaTheme="minorEastAsia"/>
                <w:sz w:val="18"/>
                <w:lang w:val="en-GB"/>
              </w:rPr>
            </w:pPr>
            <w:r w:rsidRPr="00AA1DEF">
              <w:rPr>
                <w:rFonts w:eastAsiaTheme="minorEastAsia"/>
                <w:sz w:val="18"/>
                <w:lang w:val="en-GB"/>
              </w:rPr>
              <w:t>accuracy</w:t>
            </w:r>
          </w:p>
        </w:tc>
        <w:tc>
          <w:tcPr>
            <w:tcW w:w="5647" w:type="dxa"/>
          </w:tcPr>
          <w:p w14:paraId="6D482E46" w14:textId="78A5C6FC" w:rsidR="00493B74" w:rsidRPr="00AA1DEF" w:rsidRDefault="00493B74" w:rsidP="00FB5EB7">
            <w:pPr>
              <w:jc w:val="center"/>
              <w:rPr>
                <w:rFonts w:eastAsiaTheme="minorEastAsia"/>
                <w:sz w:val="18"/>
                <w:lang w:val="en-GB"/>
              </w:rPr>
            </w:pPr>
            <w:r w:rsidRPr="00AA1DEF">
              <w:rPr>
                <w:rFonts w:eastAsiaTheme="minorEastAsia"/>
                <w:sz w:val="18"/>
                <w:lang w:val="en-GB"/>
              </w:rPr>
              <w:t>0.</w:t>
            </w:r>
            <w:r w:rsidR="002D49B8">
              <w:rPr>
                <w:rFonts w:eastAsiaTheme="minorEastAsia"/>
                <w:sz w:val="18"/>
                <w:lang w:val="en-GB"/>
              </w:rPr>
              <w:t>860</w:t>
            </w:r>
          </w:p>
        </w:tc>
      </w:tr>
      <w:tr w:rsidR="00493B74" w:rsidRPr="00AA1DEF" w14:paraId="7F1E229A" w14:textId="77777777" w:rsidTr="00FB5EB7">
        <w:trPr>
          <w:jc w:val="center"/>
        </w:trPr>
        <w:tc>
          <w:tcPr>
            <w:tcW w:w="3415" w:type="dxa"/>
          </w:tcPr>
          <w:p w14:paraId="5978D89D" w14:textId="77777777" w:rsidR="00493B74" w:rsidRPr="00AA1DEF" w:rsidRDefault="00493B74" w:rsidP="00FB5EB7">
            <w:pPr>
              <w:jc w:val="center"/>
              <w:rPr>
                <w:rFonts w:eastAsiaTheme="minorEastAsia"/>
                <w:sz w:val="18"/>
                <w:lang w:val="en-GB"/>
              </w:rPr>
            </w:pPr>
            <w:r w:rsidRPr="00AA1DEF">
              <w:rPr>
                <w:rFonts w:eastAsiaTheme="minorEastAsia"/>
                <w:sz w:val="18"/>
                <w:lang w:val="en-GB"/>
              </w:rPr>
              <w:t>kappa</w:t>
            </w:r>
          </w:p>
        </w:tc>
        <w:tc>
          <w:tcPr>
            <w:tcW w:w="5647" w:type="dxa"/>
          </w:tcPr>
          <w:p w14:paraId="0C1AE70A" w14:textId="29FF8730" w:rsidR="00493B74" w:rsidRPr="00AA1DEF" w:rsidRDefault="00493B74" w:rsidP="00FB5EB7">
            <w:pPr>
              <w:jc w:val="center"/>
              <w:rPr>
                <w:rFonts w:eastAsiaTheme="minorEastAsia"/>
                <w:sz w:val="18"/>
                <w:lang w:val="en-GB"/>
              </w:rPr>
            </w:pPr>
            <w:r w:rsidRPr="00AA1DEF">
              <w:rPr>
                <w:rFonts w:eastAsiaTheme="minorEastAsia"/>
                <w:sz w:val="18"/>
                <w:lang w:val="en-GB"/>
              </w:rPr>
              <w:t>0.</w:t>
            </w:r>
            <w:r w:rsidR="002D49B8">
              <w:rPr>
                <w:rFonts w:eastAsiaTheme="minorEastAsia"/>
                <w:sz w:val="18"/>
                <w:lang w:val="en-GB"/>
              </w:rPr>
              <w:t>813</w:t>
            </w:r>
          </w:p>
        </w:tc>
      </w:tr>
      <w:tr w:rsidR="00493B74" w:rsidRPr="00AA1DEF" w14:paraId="40463E0E" w14:textId="77777777" w:rsidTr="00FB5EB7">
        <w:trPr>
          <w:jc w:val="center"/>
        </w:trPr>
        <w:tc>
          <w:tcPr>
            <w:tcW w:w="3415" w:type="dxa"/>
          </w:tcPr>
          <w:p w14:paraId="42226216" w14:textId="77777777" w:rsidR="00493B74" w:rsidRPr="00AA1DEF" w:rsidRDefault="00493B74" w:rsidP="00FB5EB7">
            <w:pPr>
              <w:jc w:val="center"/>
              <w:rPr>
                <w:rFonts w:eastAsiaTheme="minorEastAsia"/>
                <w:sz w:val="18"/>
                <w:lang w:val="en-GB"/>
              </w:rPr>
            </w:pPr>
            <w:r w:rsidRPr="00AA1DEF">
              <w:rPr>
                <w:rFonts w:eastAsiaTheme="minorEastAsia"/>
                <w:sz w:val="18"/>
                <w:lang w:val="en-GB"/>
              </w:rPr>
              <w:t>resampling method</w:t>
            </w:r>
          </w:p>
        </w:tc>
        <w:tc>
          <w:tcPr>
            <w:tcW w:w="5647" w:type="dxa"/>
          </w:tcPr>
          <w:p w14:paraId="3C19AE73" w14:textId="77777777" w:rsidR="00493B74" w:rsidRPr="00AA1DEF" w:rsidRDefault="00493B74" w:rsidP="00FB5EB7">
            <w:pPr>
              <w:jc w:val="center"/>
              <w:rPr>
                <w:rFonts w:eastAsiaTheme="minorEastAsia"/>
                <w:sz w:val="18"/>
                <w:lang w:val="en-GB"/>
              </w:rPr>
            </w:pPr>
            <w:r w:rsidRPr="00AA1DEF">
              <w:rPr>
                <w:rFonts w:eastAsiaTheme="minorEastAsia"/>
                <w:sz w:val="18"/>
                <w:lang w:val="en-GB"/>
              </w:rPr>
              <w:t>‘bootstrap’</w:t>
            </w:r>
          </w:p>
        </w:tc>
      </w:tr>
      <w:tr w:rsidR="00493B74" w:rsidRPr="00AA1DEF" w14:paraId="68E570FC" w14:textId="77777777" w:rsidTr="00FB5EB7">
        <w:trPr>
          <w:jc w:val="center"/>
        </w:trPr>
        <w:tc>
          <w:tcPr>
            <w:tcW w:w="3415" w:type="dxa"/>
          </w:tcPr>
          <w:p w14:paraId="61C7757A" w14:textId="77777777" w:rsidR="00493B74" w:rsidRPr="00AA1DEF" w:rsidRDefault="00493B74" w:rsidP="00FB5EB7">
            <w:pPr>
              <w:jc w:val="center"/>
              <w:rPr>
                <w:rFonts w:eastAsiaTheme="minorEastAsia"/>
                <w:sz w:val="18"/>
                <w:lang w:val="en-GB"/>
              </w:rPr>
            </w:pPr>
            <w:r w:rsidRPr="00AA1DEF">
              <w:rPr>
                <w:rFonts w:eastAsiaTheme="minorEastAsia"/>
                <w:sz w:val="18"/>
                <w:lang w:val="en-GB"/>
              </w:rPr>
              <w:t>resampling iterations</w:t>
            </w:r>
          </w:p>
        </w:tc>
        <w:tc>
          <w:tcPr>
            <w:tcW w:w="5647" w:type="dxa"/>
          </w:tcPr>
          <w:p w14:paraId="3BF2B3B8" w14:textId="77777777" w:rsidR="00493B74" w:rsidRPr="00AA1DEF" w:rsidRDefault="00493B74" w:rsidP="00FB5EB7">
            <w:pPr>
              <w:jc w:val="center"/>
              <w:rPr>
                <w:rFonts w:eastAsiaTheme="minorEastAsia"/>
                <w:sz w:val="18"/>
                <w:lang w:val="en-GB"/>
              </w:rPr>
            </w:pPr>
            <w:r w:rsidRPr="00AA1DEF">
              <w:rPr>
                <w:rFonts w:eastAsiaTheme="minorEastAsia"/>
                <w:sz w:val="18"/>
                <w:lang w:val="en-GB"/>
              </w:rPr>
              <w:t>25</w:t>
            </w:r>
          </w:p>
        </w:tc>
      </w:tr>
      <w:tr w:rsidR="00493B74" w:rsidRPr="00AA1DEF" w14:paraId="3B8AEEB8" w14:textId="77777777" w:rsidTr="00FB5EB7">
        <w:trPr>
          <w:jc w:val="center"/>
        </w:trPr>
        <w:tc>
          <w:tcPr>
            <w:tcW w:w="3415" w:type="dxa"/>
          </w:tcPr>
          <w:p w14:paraId="452C56E7" w14:textId="77777777" w:rsidR="00493B74" w:rsidRPr="00AA1DEF" w:rsidRDefault="00493B74" w:rsidP="00FB5EB7">
            <w:pPr>
              <w:jc w:val="center"/>
              <w:rPr>
                <w:rFonts w:eastAsiaTheme="minorEastAsia"/>
                <w:sz w:val="18"/>
                <w:lang w:val="en-GB"/>
              </w:rPr>
            </w:pPr>
            <w:r w:rsidRPr="00AA1DEF">
              <w:rPr>
                <w:rFonts w:eastAsiaTheme="minorEastAsia"/>
                <w:sz w:val="18"/>
                <w:lang w:val="en-GB"/>
              </w:rPr>
              <w:t>Leave Group Out CV parameter</w:t>
            </w:r>
          </w:p>
        </w:tc>
        <w:tc>
          <w:tcPr>
            <w:tcW w:w="5647" w:type="dxa"/>
          </w:tcPr>
          <w:p w14:paraId="510EB036" w14:textId="77777777" w:rsidR="00493B74" w:rsidRPr="00AA1DEF" w:rsidRDefault="00493B74" w:rsidP="00EC12A8">
            <w:pPr>
              <w:keepNext/>
              <w:jc w:val="center"/>
              <w:rPr>
                <w:rFonts w:eastAsiaTheme="minorEastAsia"/>
                <w:sz w:val="18"/>
                <w:lang w:val="en-GB"/>
              </w:rPr>
            </w:pPr>
            <w:r w:rsidRPr="00AA1DEF">
              <w:rPr>
                <w:rFonts w:eastAsiaTheme="minorEastAsia"/>
                <w:sz w:val="18"/>
                <w:lang w:val="en-GB"/>
              </w:rPr>
              <w:t>0.75</w:t>
            </w:r>
          </w:p>
        </w:tc>
      </w:tr>
    </w:tbl>
    <w:p w14:paraId="51D8BB6F" w14:textId="5D4B6BD5" w:rsidR="00602616" w:rsidRPr="00EC12A8" w:rsidRDefault="00EC12A8" w:rsidP="00EC12A8">
      <w:pPr>
        <w:pStyle w:val="Caption"/>
        <w:rPr>
          <w:rFonts w:eastAsiaTheme="minorEastAsia"/>
          <w:color w:val="auto"/>
          <w:lang w:val="en-GB"/>
        </w:rPr>
      </w:pPr>
      <w:r>
        <w:rPr>
          <w:noProof/>
        </w:rPr>
        <w:drawing>
          <wp:anchor distT="0" distB="0" distL="114300" distR="114300" simplePos="0" relativeHeight="251667456" behindDoc="1" locked="0" layoutInCell="1" allowOverlap="1" wp14:anchorId="22BC61DD" wp14:editId="642CE3DF">
            <wp:simplePos x="0" y="0"/>
            <wp:positionH relativeFrom="column">
              <wp:posOffset>976354</wp:posOffset>
            </wp:positionH>
            <wp:positionV relativeFrom="paragraph">
              <wp:posOffset>266065</wp:posOffset>
            </wp:positionV>
            <wp:extent cx="3657600" cy="2336800"/>
            <wp:effectExtent l="0" t="0" r="0" b="6350"/>
            <wp:wrapTight wrapText="bothSides">
              <wp:wrapPolygon edited="0">
                <wp:start x="0" y="0"/>
                <wp:lineTo x="0" y="21483"/>
                <wp:lineTo x="21488" y="21483"/>
                <wp:lineTo x="214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2A8">
        <w:rPr>
          <w:color w:val="auto"/>
        </w:rPr>
        <w:t xml:space="preserve">Table </w:t>
      </w:r>
      <w:r w:rsidRPr="00EC12A8">
        <w:rPr>
          <w:color w:val="auto"/>
        </w:rPr>
        <w:fldChar w:fldCharType="begin"/>
      </w:r>
      <w:r w:rsidRPr="00EC12A8">
        <w:rPr>
          <w:color w:val="auto"/>
        </w:rPr>
        <w:instrText xml:space="preserve"> SEQ Table \* ARABIC </w:instrText>
      </w:r>
      <w:r w:rsidRPr="00EC12A8">
        <w:rPr>
          <w:color w:val="auto"/>
        </w:rPr>
        <w:fldChar w:fldCharType="separate"/>
      </w:r>
      <w:r w:rsidR="008F2A12">
        <w:rPr>
          <w:noProof/>
          <w:color w:val="auto"/>
        </w:rPr>
        <w:t>7</w:t>
      </w:r>
      <w:r w:rsidRPr="00EC12A8">
        <w:rPr>
          <w:color w:val="auto"/>
        </w:rPr>
        <w:fldChar w:fldCharType="end"/>
      </w:r>
      <w:r w:rsidRPr="00EC12A8">
        <w:rPr>
          <w:color w:val="auto"/>
        </w:rPr>
        <w:t>. SVM model initial parameters selected with grid search method.</w:t>
      </w:r>
    </w:p>
    <w:p w14:paraId="1C03416E" w14:textId="0226B989" w:rsidR="00583638" w:rsidRPr="00AA1DEF" w:rsidRDefault="00583638" w:rsidP="00583638">
      <w:pPr>
        <w:jc w:val="both"/>
        <w:rPr>
          <w:rFonts w:eastAsiaTheme="minorEastAsia"/>
          <w:lang w:val="en-GB"/>
        </w:rPr>
      </w:pPr>
      <w:r w:rsidRPr="00AA1DEF">
        <w:rPr>
          <w:rFonts w:eastAsiaTheme="minorEastAsia"/>
          <w:lang w:val="en-GB"/>
        </w:rPr>
        <w:t xml:space="preserve"> </w:t>
      </w:r>
    </w:p>
    <w:p w14:paraId="75E318E2" w14:textId="67AC23F9" w:rsidR="00190A6B" w:rsidRPr="00AA1DEF" w:rsidRDefault="00190A6B" w:rsidP="00190A6B">
      <w:pPr>
        <w:jc w:val="both"/>
        <w:rPr>
          <w:rFonts w:eastAsiaTheme="minorEastAsia"/>
          <w:lang w:val="en-GB"/>
        </w:rPr>
      </w:pPr>
    </w:p>
    <w:p w14:paraId="2093A908" w14:textId="7288CF59" w:rsidR="00E676CC" w:rsidRDefault="00E676CC" w:rsidP="00E676CC">
      <w:pPr>
        <w:jc w:val="both"/>
        <w:rPr>
          <w:rFonts w:eastAsiaTheme="minorEastAsia"/>
          <w:b/>
          <w:lang w:val="en-GB"/>
        </w:rPr>
      </w:pPr>
    </w:p>
    <w:p w14:paraId="0A55B4EC" w14:textId="412409A1" w:rsidR="00E676CC" w:rsidRPr="00AA1DEF" w:rsidRDefault="00E676CC" w:rsidP="0004013B">
      <w:pPr>
        <w:jc w:val="both"/>
        <w:rPr>
          <w:rFonts w:eastAsiaTheme="minorEastAsia"/>
          <w:lang w:val="en-GB"/>
        </w:rPr>
      </w:pPr>
    </w:p>
    <w:p w14:paraId="08FF2881" w14:textId="6D816B3D" w:rsidR="00CA13F6" w:rsidRPr="00AA1DEF" w:rsidRDefault="00CA13F6" w:rsidP="00CA13F6">
      <w:pPr>
        <w:jc w:val="both"/>
        <w:rPr>
          <w:rFonts w:eastAsiaTheme="minorEastAsia"/>
          <w:lang w:val="en-GB"/>
        </w:rPr>
      </w:pPr>
    </w:p>
    <w:p w14:paraId="57A3948E" w14:textId="3FC18D0B" w:rsidR="00785EE1" w:rsidRPr="00AA1DEF" w:rsidRDefault="00785EE1" w:rsidP="00785EE1">
      <w:pPr>
        <w:jc w:val="both"/>
        <w:rPr>
          <w:rFonts w:eastAsiaTheme="minorEastAsia"/>
          <w:lang w:val="en-GB"/>
        </w:rPr>
      </w:pPr>
    </w:p>
    <w:p w14:paraId="19799E6E" w14:textId="77777777" w:rsidR="00964583" w:rsidRPr="00964583" w:rsidRDefault="00964583" w:rsidP="00964583">
      <w:pPr>
        <w:jc w:val="both"/>
        <w:rPr>
          <w:rFonts w:eastAsiaTheme="minorEastAsia"/>
          <w:bCs/>
          <w:lang w:val="en-GB"/>
        </w:rPr>
      </w:pPr>
    </w:p>
    <w:p w14:paraId="6EC21305" w14:textId="328CCDA7" w:rsidR="00B00E3A" w:rsidRDefault="00EC12A8" w:rsidP="00B00E3A">
      <w:pPr>
        <w:rPr>
          <w:lang w:val="en-US"/>
        </w:rPr>
      </w:pPr>
      <w:r>
        <w:rPr>
          <w:noProof/>
        </w:rPr>
        <mc:AlternateContent>
          <mc:Choice Requires="wps">
            <w:drawing>
              <wp:anchor distT="0" distB="0" distL="114300" distR="114300" simplePos="0" relativeHeight="251669504" behindDoc="1" locked="0" layoutInCell="1" allowOverlap="1" wp14:anchorId="70FC3592" wp14:editId="2AC8EE39">
                <wp:simplePos x="0" y="0"/>
                <wp:positionH relativeFrom="column">
                  <wp:posOffset>221008</wp:posOffset>
                </wp:positionH>
                <wp:positionV relativeFrom="paragraph">
                  <wp:posOffset>393700</wp:posOffset>
                </wp:positionV>
                <wp:extent cx="5518150" cy="635"/>
                <wp:effectExtent l="0" t="0" r="6350" b="0"/>
                <wp:wrapTight wrapText="bothSides">
                  <wp:wrapPolygon edited="0">
                    <wp:start x="0" y="0"/>
                    <wp:lineTo x="0" y="20057"/>
                    <wp:lineTo x="21550" y="20057"/>
                    <wp:lineTo x="2155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518150" cy="635"/>
                        </a:xfrm>
                        <a:prstGeom prst="rect">
                          <a:avLst/>
                        </a:prstGeom>
                        <a:solidFill>
                          <a:prstClr val="white"/>
                        </a:solidFill>
                        <a:ln>
                          <a:noFill/>
                        </a:ln>
                      </wps:spPr>
                      <wps:txbx>
                        <w:txbxContent>
                          <w:p w14:paraId="7DC4B161" w14:textId="604E6E25" w:rsidR="001646CA" w:rsidRPr="00EC12A8" w:rsidRDefault="001646CA" w:rsidP="00EC12A8">
                            <w:pPr>
                              <w:pStyle w:val="Caption"/>
                              <w:rPr>
                                <w:noProof/>
                                <w:color w:val="auto"/>
                              </w:rPr>
                            </w:pPr>
                            <w:r w:rsidRPr="00EC12A8">
                              <w:rPr>
                                <w:color w:val="auto"/>
                              </w:rPr>
                              <w:t>Figure</w:t>
                            </w:r>
                            <w:r>
                              <w:rPr>
                                <w:color w:val="auto"/>
                              </w:rPr>
                              <w:t xml:space="preserve"> 12</w:t>
                            </w:r>
                            <w:r w:rsidRPr="00EC12A8">
                              <w:rPr>
                                <w:color w:val="auto"/>
                              </w:rPr>
                              <w:t>. Best tune of sigma parameter (2.31) obtained with Cost parameter of 1 - resulting in 0.86</w:t>
                            </w:r>
                            <w:r>
                              <w:rPr>
                                <w:color w:val="auto"/>
                              </w:rPr>
                              <w:t xml:space="preserve"> fitting </w:t>
                            </w:r>
                            <w:r w:rsidRPr="00EC12A8">
                              <w:rPr>
                                <w:color w:val="auto"/>
                              </w:rPr>
                              <w:t>accuracy.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FC3592" id="Text Box 16" o:spid="_x0000_s1029" type="#_x0000_t202" style="position:absolute;margin-left:17.4pt;margin-top:31pt;width:434.5pt;height:.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" stroked="f">
                <v:textbox style="mso-fit-shape-to-text:t" inset="0,0,0,0">
                  <w:txbxContent>
                    <w:p w14:paraId="7DC4B161" w14:textId="604E6E25" w:rsidR="001646CA" w:rsidRPr="00EC12A8" w:rsidRDefault="001646CA" w:rsidP="00EC12A8">
                      <w:pPr>
                        <w:pStyle w:val="Caption"/>
                        <w:rPr>
                          <w:noProof/>
                          <w:color w:val="auto"/>
                        </w:rPr>
                      </w:pPr>
                      <w:r w:rsidRPr="00EC12A8">
                        <w:rPr>
                          <w:color w:val="auto"/>
                        </w:rPr>
                        <w:t>Figure</w:t>
                      </w:r>
                      <w:r>
                        <w:rPr>
                          <w:color w:val="auto"/>
                        </w:rPr>
                        <w:t xml:space="preserve"> 12</w:t>
                      </w:r>
                      <w:r w:rsidRPr="00EC12A8">
                        <w:rPr>
                          <w:color w:val="auto"/>
                        </w:rPr>
                        <w:t>. Best tune of sigma parameter (2.31) obtained with Cost parameter of 1 - resulting in 0.86</w:t>
                      </w:r>
                      <w:r>
                        <w:rPr>
                          <w:color w:val="auto"/>
                        </w:rPr>
                        <w:t xml:space="preserve"> fitting </w:t>
                      </w:r>
                      <w:r w:rsidRPr="00EC12A8">
                        <w:rPr>
                          <w:color w:val="auto"/>
                        </w:rPr>
                        <w:t>accuracy.</w:t>
                      </w:r>
                    </w:p>
                  </w:txbxContent>
                </v:textbox>
                <w10:wrap type="tight"/>
              </v:shape>
            </w:pict>
          </mc:Fallback>
        </mc:AlternateContent>
      </w:r>
    </w:p>
    <w:p w14:paraId="57F36DDD" w14:textId="4FA213E8" w:rsidR="00FB5EB7" w:rsidRDefault="00AD21E3" w:rsidP="0014771D">
      <w:pPr>
        <w:ind w:firstLine="708"/>
        <w:jc w:val="both"/>
        <w:rPr>
          <w:rFonts w:eastAsiaTheme="minorEastAsia"/>
          <w:lang w:val="en-GB"/>
        </w:rPr>
      </w:pPr>
      <w:r>
        <w:rPr>
          <w:noProof/>
        </w:rPr>
        <w:drawing>
          <wp:anchor distT="0" distB="0" distL="114300" distR="114300" simplePos="0" relativeHeight="251670528" behindDoc="1" locked="0" layoutInCell="1" allowOverlap="1" wp14:anchorId="18575A3B" wp14:editId="1ECAA4CA">
            <wp:simplePos x="0" y="0"/>
            <wp:positionH relativeFrom="column">
              <wp:posOffset>428144</wp:posOffset>
            </wp:positionH>
            <wp:positionV relativeFrom="paragraph">
              <wp:posOffset>1482090</wp:posOffset>
            </wp:positionV>
            <wp:extent cx="4889500" cy="3497690"/>
            <wp:effectExtent l="0" t="0" r="6350" b="7620"/>
            <wp:wrapTight wrapText="bothSides">
              <wp:wrapPolygon edited="0">
                <wp:start x="0" y="0"/>
                <wp:lineTo x="0" y="21529"/>
                <wp:lineTo x="21544" y="21529"/>
                <wp:lineTo x="215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9500" cy="349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87C">
        <w:rPr>
          <w:noProof/>
        </w:rPr>
        <mc:AlternateContent>
          <mc:Choice Requires="wps">
            <w:drawing>
              <wp:anchor distT="0" distB="0" distL="114300" distR="114300" simplePos="0" relativeHeight="251672576" behindDoc="1" locked="0" layoutInCell="1" allowOverlap="1" wp14:anchorId="5D0C1140" wp14:editId="0872EDAA">
                <wp:simplePos x="0" y="0"/>
                <wp:positionH relativeFrom="column">
                  <wp:posOffset>427990</wp:posOffset>
                </wp:positionH>
                <wp:positionV relativeFrom="paragraph">
                  <wp:posOffset>4625506</wp:posOffset>
                </wp:positionV>
                <wp:extent cx="488950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4889500" cy="635"/>
                        </a:xfrm>
                        <a:prstGeom prst="rect">
                          <a:avLst/>
                        </a:prstGeom>
                        <a:solidFill>
                          <a:prstClr val="white"/>
                        </a:solidFill>
                        <a:ln>
                          <a:noFill/>
                        </a:ln>
                      </wps:spPr>
                      <wps:txbx>
                        <w:txbxContent>
                          <w:p w14:paraId="116CE6AD" w14:textId="5A8C867D" w:rsidR="001646CA" w:rsidRPr="00DE187C" w:rsidRDefault="001646CA" w:rsidP="00DE187C">
                            <w:pPr>
                              <w:pStyle w:val="Caption"/>
                              <w:rPr>
                                <w:noProof/>
                                <w:color w:val="auto"/>
                              </w:rPr>
                            </w:pPr>
                            <w:r w:rsidRPr="00DE187C">
                              <w:rPr>
                                <w:color w:val="auto"/>
                              </w:rPr>
                              <w:t>Figure</w:t>
                            </w:r>
                            <w:r>
                              <w:rPr>
                                <w:color w:val="auto"/>
                              </w:rPr>
                              <w:t xml:space="preserve"> 13</w:t>
                            </w:r>
                            <w:r w:rsidRPr="00DE187C">
                              <w:rPr>
                                <w:color w:val="auto"/>
                              </w:rPr>
                              <w:t>. Process of SVM classifier development via k-fold testing matrice resulting in classification model with 0.94 performance accuracy.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0C1140" id="Text Box 19" o:spid="_x0000_s1030" type="#_x0000_t202" style="position:absolute;left:0;text-align:left;margin-left:33.7pt;margin-top:364.2pt;width:38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" stroked="f">
                <v:textbox style="mso-fit-shape-to-text:t" inset="0,0,0,0">
                  <w:txbxContent>
                    <w:p w14:paraId="116CE6AD" w14:textId="5A8C867D" w:rsidR="001646CA" w:rsidRPr="00DE187C" w:rsidRDefault="001646CA" w:rsidP="00DE187C">
                      <w:pPr>
                        <w:pStyle w:val="Caption"/>
                        <w:rPr>
                          <w:noProof/>
                          <w:color w:val="auto"/>
                        </w:rPr>
                      </w:pPr>
                      <w:r w:rsidRPr="00DE187C">
                        <w:rPr>
                          <w:color w:val="auto"/>
                        </w:rPr>
                        <w:t>Figure</w:t>
                      </w:r>
                      <w:r>
                        <w:rPr>
                          <w:color w:val="auto"/>
                        </w:rPr>
                        <w:t xml:space="preserve"> 13</w:t>
                      </w:r>
                      <w:r w:rsidRPr="00DE187C">
                        <w:rPr>
                          <w:color w:val="auto"/>
                        </w:rPr>
                        <w:t>. Process of SVM classifier development via k-fold testing matrice resulting in classification model with 0.94 performance accuracy.</w:t>
                      </w:r>
                    </w:p>
                  </w:txbxContent>
                </v:textbox>
                <w10:wrap type="tight"/>
              </v:shape>
            </w:pict>
          </mc:Fallback>
        </mc:AlternateContent>
      </w:r>
      <w:r w:rsidR="00B85F30" w:rsidRPr="00AA1DEF">
        <w:rPr>
          <w:rFonts w:eastAsiaTheme="minorEastAsia"/>
          <w:lang w:val="en-GB"/>
        </w:rPr>
        <w:t xml:space="preserve">The tuned radial SVM function was then performed within the 10-fold cross-validation resampling procedure in order to obtain an evaluation of data samples </w:t>
      </w:r>
      <w:r w:rsidR="00B85F30">
        <w:rPr>
          <w:rFonts w:eastAsiaTheme="minorEastAsia"/>
          <w:lang w:val="en-GB"/>
        </w:rPr>
        <w:t>(Figure 13)</w:t>
      </w:r>
      <w:r w:rsidR="00B85F30" w:rsidRPr="00AA1DEF">
        <w:rPr>
          <w:rFonts w:eastAsiaTheme="minorEastAsia"/>
          <w:lang w:val="en-GB"/>
        </w:rPr>
        <w:t>. The training set was split into a 10x10 folds matrix, with the 10</w:t>
      </w:r>
      <w:r w:rsidR="00B85F30" w:rsidRPr="00AA1DEF">
        <w:rPr>
          <w:rFonts w:eastAsiaTheme="minorEastAsia"/>
          <w:vertAlign w:val="superscript"/>
          <w:lang w:val="en-GB"/>
        </w:rPr>
        <w:t>th</w:t>
      </w:r>
      <w:r w:rsidR="00B85F30" w:rsidRPr="00AA1DEF">
        <w:rPr>
          <w:rFonts w:eastAsiaTheme="minorEastAsia"/>
          <w:lang w:val="en-GB"/>
        </w:rPr>
        <w:t xml:space="preserve"> column acting as a test set. An SVM classifier was tuned via grid search procedure and trained. Training accuracy was equal to 0.9</w:t>
      </w:r>
      <w:r w:rsidR="00B85F30">
        <w:rPr>
          <w:rFonts w:eastAsiaTheme="minorEastAsia"/>
          <w:lang w:val="en-GB"/>
        </w:rPr>
        <w:t>43</w:t>
      </w:r>
      <w:r w:rsidR="00B85F30" w:rsidRPr="00AA1DEF">
        <w:rPr>
          <w:rFonts w:eastAsiaTheme="minorEastAsia"/>
          <w:lang w:val="en-GB"/>
        </w:rPr>
        <w:t>. Next, the data from test folds were used to predict new outcomes, yelding ten accuracies ranging from 0.</w:t>
      </w:r>
      <w:r w:rsidR="00B85F30">
        <w:rPr>
          <w:rFonts w:eastAsiaTheme="minorEastAsia"/>
          <w:lang w:val="en-GB"/>
        </w:rPr>
        <w:t>838</w:t>
      </w:r>
      <w:r w:rsidR="00B85F30" w:rsidRPr="00AA1DEF">
        <w:rPr>
          <w:rFonts w:eastAsiaTheme="minorEastAsia"/>
          <w:lang w:val="en-GB"/>
        </w:rPr>
        <w:t xml:space="preserve"> to 1.000. </w:t>
      </w:r>
      <w:r w:rsidR="00B85F30" w:rsidRPr="00AA1DEF">
        <w:rPr>
          <w:rFonts w:eastAsiaTheme="minorEastAsia"/>
          <w:lang w:val="en-GB"/>
        </w:rPr>
        <w:lastRenderedPageBreak/>
        <w:t>Overall mean accuracy of classification was equal to 0.9</w:t>
      </w:r>
      <w:r w:rsidR="00B85F30">
        <w:rPr>
          <w:rFonts w:eastAsiaTheme="minorEastAsia"/>
          <w:lang w:val="en-GB"/>
        </w:rPr>
        <w:t>425</w:t>
      </w:r>
      <w:r w:rsidR="00B85F30" w:rsidRPr="00AA1DEF">
        <w:rPr>
          <w:rFonts w:eastAsiaTheme="minorEastAsia"/>
          <w:lang w:val="en-GB"/>
        </w:rPr>
        <w:t xml:space="preserve">. The obtained classification model was then evaluated on the previously created test set for analysis. During this procedure, the </w:t>
      </w:r>
      <w:r w:rsidR="00B85F30" w:rsidRPr="00AA1DEF">
        <w:rPr>
          <w:rFonts w:eastAsiaTheme="minorEastAsia"/>
          <w:i/>
          <w:lang w:val="en-GB"/>
        </w:rPr>
        <w:t>caret</w:t>
      </w:r>
      <w:r w:rsidR="00B85F30" w:rsidRPr="00AA1DEF">
        <w:rPr>
          <w:rFonts w:eastAsiaTheme="minorEastAsia"/>
          <w:lang w:val="en-GB"/>
        </w:rPr>
        <w:t xml:space="preserve"> package for R was used</w:t>
      </w:r>
      <w:r w:rsidR="006B5D82">
        <w:rPr>
          <w:rFonts w:eastAsiaTheme="minorEastAsia"/>
          <w:lang w:val="en-GB"/>
        </w:rPr>
        <w:t xml:space="preserve"> </w:t>
      </w:r>
      <w:r w:rsidR="006B5D82">
        <w:rPr>
          <w:rFonts w:eastAsiaTheme="minorEastAsia"/>
          <w:lang w:val="en-GB"/>
        </w:rPr>
        <w:fldChar w:fldCharType="begin" w:fldLock="1"/>
      </w:r>
      <w:r w:rsidR="00492EE0">
        <w:rPr>
          <w:rFonts w:eastAsiaTheme="minorEastAsia"/>
          <w:lang w:val="en-GB"/>
        </w:rPr>
        <w:instrText>ADDIN CSL_CITATION {"citationItems":[{"id":"ITEM-1","itemData":{"abstract":"The caret package (short for classification and regression training) contains functions to streamline the model training process for complex regression and classification problems. The package utilizes a number of R packages but tries not to load them all at package start-up1. The package “suggests” field includes 20 packages. caret loads packages as needed and assumes that they are installed.","author":[{"dropping-particle":"","family":"Kuhn","given":"Max","non-dropping-particle":"","parse-names":false,"suffix":""}],"container-title":"R Foundation for Statistical Computing","id":"ITEM-1","issued":{"date-parts":[["2015"]]},"title":"A Short Introduction to the caret Package","type":"article-journal"},"uris":["http://www.mendeley.com/documents/?uuid=ad3950d2-b24e-4057-9255-eeee4674a0a7"]}],"mendeley":{"formattedCitation":"(Kuhn, 2015)","plainTextFormattedCitation":"(Kuhn, 2015)","previouslyFormattedCitation":"(Kuhn, 2015)"},"properties":{"noteIndex":0},"schema":"https://github.com/citation-style-language/schema/raw/master/csl-citation.json"}</w:instrText>
      </w:r>
      <w:r w:rsidR="006B5D82">
        <w:rPr>
          <w:rFonts w:eastAsiaTheme="minorEastAsia"/>
          <w:lang w:val="en-GB"/>
        </w:rPr>
        <w:fldChar w:fldCharType="separate"/>
      </w:r>
      <w:r w:rsidR="006B5D82" w:rsidRPr="006B5D82">
        <w:rPr>
          <w:rFonts w:eastAsiaTheme="minorEastAsia"/>
          <w:noProof/>
          <w:lang w:val="en-GB"/>
        </w:rPr>
        <w:t>(Kuhn, 2015)</w:t>
      </w:r>
      <w:r w:rsidR="006B5D82">
        <w:rPr>
          <w:rFonts w:eastAsiaTheme="minorEastAsia"/>
          <w:lang w:val="en-GB"/>
        </w:rPr>
        <w:fldChar w:fldCharType="end"/>
      </w:r>
      <w:r w:rsidR="00B85F30" w:rsidRPr="00AA1DEF">
        <w:rPr>
          <w:rFonts w:eastAsiaTheme="minorEastAsia"/>
          <w:lang w:val="en-GB"/>
        </w:rPr>
        <w:t xml:space="preserve">. </w:t>
      </w:r>
      <w:r w:rsidR="002D318D" w:rsidRPr="002D318D">
        <w:rPr>
          <w:rFonts w:eastAsiaTheme="minorEastAsia"/>
          <w:lang w:val="en-GB"/>
        </w:rPr>
        <w:t>Most (</w:t>
      </w:r>
      <w:r w:rsidR="002D318D">
        <w:rPr>
          <w:rFonts w:eastAsiaTheme="minorEastAsia"/>
          <w:lang w:val="en-GB"/>
        </w:rPr>
        <w:t>9</w:t>
      </w:r>
      <w:r w:rsidR="002D318D" w:rsidRPr="002D318D">
        <w:rPr>
          <w:rFonts w:eastAsiaTheme="minorEastAsia"/>
          <w:lang w:val="en-GB"/>
        </w:rPr>
        <w:t xml:space="preserve"> out of 10) model iterations test results show more than 9</w:t>
      </w:r>
      <w:r w:rsidR="00F54A79">
        <w:rPr>
          <w:rFonts w:eastAsiaTheme="minorEastAsia"/>
          <w:lang w:val="en-GB"/>
        </w:rPr>
        <w:t>0</w:t>
      </w:r>
      <w:r w:rsidR="002D318D" w:rsidRPr="002D318D">
        <w:rPr>
          <w:rFonts w:eastAsiaTheme="minorEastAsia"/>
          <w:lang w:val="en-GB"/>
        </w:rPr>
        <w:t xml:space="preserve">% efficiency in object classification. Inter-class discrepancies were observed in the classification between bad - </w:t>
      </w:r>
      <w:r w:rsidR="002D318D">
        <w:rPr>
          <w:rFonts w:eastAsiaTheme="minorEastAsia"/>
          <w:lang w:val="en-GB"/>
        </w:rPr>
        <w:t>poor</w:t>
      </w:r>
      <w:r w:rsidR="002D318D" w:rsidRPr="002D318D">
        <w:rPr>
          <w:rFonts w:eastAsiaTheme="minorEastAsia"/>
          <w:lang w:val="en-GB"/>
        </w:rPr>
        <w:t xml:space="preserve"> and moderate – </w:t>
      </w:r>
      <w:proofErr w:type="gramStart"/>
      <w:r w:rsidR="002D318D">
        <w:rPr>
          <w:rFonts w:eastAsiaTheme="minorEastAsia"/>
          <w:lang w:val="en-GB"/>
        </w:rPr>
        <w:t>poor</w:t>
      </w:r>
      <w:r w:rsidR="002D318D" w:rsidRPr="002D318D">
        <w:rPr>
          <w:rFonts w:eastAsiaTheme="minorEastAsia"/>
          <w:lang w:val="en-GB"/>
        </w:rPr>
        <w:t>,  one</w:t>
      </w:r>
      <w:proofErr w:type="gramEnd"/>
      <w:r w:rsidR="002D318D" w:rsidRPr="002D318D">
        <w:rPr>
          <w:rFonts w:eastAsiaTheme="minorEastAsia"/>
          <w:lang w:val="en-GB"/>
        </w:rPr>
        <w:t xml:space="preserve"> error per each classification, resulting in overall </w:t>
      </w:r>
      <w:r w:rsidR="00504E60">
        <w:rPr>
          <w:rFonts w:eastAsiaTheme="minorEastAsia"/>
          <w:lang w:val="en-GB"/>
        </w:rPr>
        <w:t>four</w:t>
      </w:r>
      <w:r w:rsidR="002D318D" w:rsidRPr="002D318D">
        <w:rPr>
          <w:rFonts w:eastAsiaTheme="minorEastAsia"/>
          <w:lang w:val="en-GB"/>
        </w:rPr>
        <w:t xml:space="preserve"> </w:t>
      </w:r>
      <w:r w:rsidR="00C3368A">
        <w:rPr>
          <w:rFonts w:eastAsiaTheme="minorEastAsia"/>
          <w:lang w:val="en-GB"/>
        </w:rPr>
        <w:t>differences when related to original classification</w:t>
      </w:r>
      <w:r w:rsidR="00C3368A" w:rsidRPr="002D318D">
        <w:rPr>
          <w:rFonts w:eastAsiaTheme="minorEastAsia"/>
          <w:lang w:val="en-GB"/>
        </w:rPr>
        <w:t xml:space="preserve"> </w:t>
      </w:r>
      <w:r w:rsidR="002D318D" w:rsidRPr="002D318D">
        <w:rPr>
          <w:rFonts w:eastAsiaTheme="minorEastAsia"/>
          <w:lang w:val="en-GB"/>
        </w:rPr>
        <w:t>(</w:t>
      </w:r>
      <w:r w:rsidR="002D318D">
        <w:rPr>
          <w:rFonts w:eastAsiaTheme="minorEastAsia"/>
          <w:lang w:val="en-GB"/>
        </w:rPr>
        <w:t>Table 8</w:t>
      </w:r>
      <w:r w:rsidR="002D318D" w:rsidRPr="002D318D">
        <w:rPr>
          <w:rFonts w:eastAsiaTheme="minorEastAsia"/>
          <w:lang w:val="en-GB"/>
        </w:rPr>
        <w:t>). No misclassifications were found outside the directly neighbo</w:t>
      </w:r>
      <w:r w:rsidR="00EB5920">
        <w:rPr>
          <w:rFonts w:eastAsiaTheme="minorEastAsia"/>
          <w:lang w:val="en-GB"/>
        </w:rPr>
        <w:t>u</w:t>
      </w:r>
      <w:r w:rsidR="002D318D" w:rsidRPr="002D318D">
        <w:rPr>
          <w:rFonts w:eastAsiaTheme="minorEastAsia"/>
          <w:lang w:val="en-GB"/>
        </w:rPr>
        <w:t xml:space="preserve">ring classes.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8"/>
        <w:gridCol w:w="1447"/>
        <w:gridCol w:w="1172"/>
        <w:gridCol w:w="1255"/>
        <w:gridCol w:w="1500"/>
        <w:gridCol w:w="1307"/>
        <w:gridCol w:w="1228"/>
      </w:tblGrid>
      <w:tr w:rsidR="00FB5EB7" w:rsidRPr="00AA1DEF" w14:paraId="7EA46107" w14:textId="77777777" w:rsidTr="00FB5EB7">
        <w:trPr>
          <w:jc w:val="center"/>
        </w:trPr>
        <w:tc>
          <w:tcPr>
            <w:tcW w:w="448" w:type="dxa"/>
            <w:vMerge w:val="restart"/>
            <w:tcBorders>
              <w:right w:val="nil"/>
            </w:tcBorders>
            <w:textDirection w:val="btLr"/>
          </w:tcPr>
          <w:p w14:paraId="5DA65928" w14:textId="77777777" w:rsidR="00FB5EB7" w:rsidRPr="00AA1DEF" w:rsidRDefault="00FB5EB7" w:rsidP="00FB5EB7">
            <w:pPr>
              <w:ind w:left="113" w:right="113"/>
              <w:rPr>
                <w:rFonts w:eastAsiaTheme="minorEastAsia"/>
                <w:sz w:val="18"/>
                <w:lang w:val="en-GB"/>
              </w:rPr>
            </w:pPr>
            <w:r w:rsidRPr="00AA1DEF">
              <w:rPr>
                <w:rFonts w:eastAsiaTheme="minorEastAsia"/>
                <w:b/>
                <w:sz w:val="18"/>
                <w:lang w:val="en-GB"/>
              </w:rPr>
              <w:t xml:space="preserve">     Measured</w:t>
            </w:r>
          </w:p>
        </w:tc>
        <w:tc>
          <w:tcPr>
            <w:tcW w:w="7909" w:type="dxa"/>
            <w:gridSpan w:val="6"/>
            <w:tcBorders>
              <w:top w:val="nil"/>
              <w:left w:val="nil"/>
              <w:bottom w:val="single" w:sz="4" w:space="0" w:color="auto"/>
            </w:tcBorders>
          </w:tcPr>
          <w:p w14:paraId="51B74379" w14:textId="77777777" w:rsidR="00FB5EB7" w:rsidRPr="00AA1DEF" w:rsidRDefault="00FB5EB7" w:rsidP="00FB5EB7">
            <w:pPr>
              <w:spacing w:line="360" w:lineRule="auto"/>
              <w:jc w:val="center"/>
              <w:rPr>
                <w:rFonts w:eastAsiaTheme="minorEastAsia"/>
                <w:b/>
                <w:sz w:val="18"/>
                <w:lang w:val="en-GB"/>
              </w:rPr>
            </w:pPr>
            <w:r w:rsidRPr="00AA1DEF">
              <w:rPr>
                <w:rFonts w:eastAsiaTheme="minorEastAsia"/>
                <w:b/>
                <w:sz w:val="18"/>
                <w:lang w:val="en-GB"/>
              </w:rPr>
              <w:t>Predicted</w:t>
            </w:r>
          </w:p>
        </w:tc>
      </w:tr>
      <w:tr w:rsidR="00FB5EB7" w:rsidRPr="00AA1DEF" w14:paraId="2C46347C" w14:textId="77777777" w:rsidTr="00FB5EB7">
        <w:trPr>
          <w:jc w:val="center"/>
        </w:trPr>
        <w:tc>
          <w:tcPr>
            <w:tcW w:w="448" w:type="dxa"/>
            <w:vMerge/>
            <w:textDirection w:val="btLr"/>
          </w:tcPr>
          <w:p w14:paraId="032B5537" w14:textId="77777777" w:rsidR="00FB5EB7" w:rsidRPr="00AA1DEF" w:rsidRDefault="00FB5EB7" w:rsidP="00FB5EB7">
            <w:pPr>
              <w:ind w:left="113" w:right="113"/>
              <w:jc w:val="center"/>
              <w:rPr>
                <w:rFonts w:eastAsiaTheme="minorEastAsia"/>
                <w:b/>
                <w:sz w:val="18"/>
                <w:lang w:val="en-GB"/>
              </w:rPr>
            </w:pPr>
          </w:p>
        </w:tc>
        <w:tc>
          <w:tcPr>
            <w:tcW w:w="1447" w:type="dxa"/>
            <w:tcBorders>
              <w:top w:val="single" w:sz="4" w:space="0" w:color="auto"/>
              <w:bottom w:val="single" w:sz="4" w:space="0" w:color="auto"/>
              <w:right w:val="nil"/>
            </w:tcBorders>
          </w:tcPr>
          <w:p w14:paraId="3070C246" w14:textId="77777777" w:rsidR="00FB5EB7" w:rsidRPr="00AA1DEF" w:rsidRDefault="00FB5EB7" w:rsidP="00FB5EB7">
            <w:pPr>
              <w:jc w:val="both"/>
              <w:rPr>
                <w:rFonts w:eastAsiaTheme="minorEastAsia"/>
                <w:sz w:val="18"/>
                <w:lang w:val="en-GB"/>
              </w:rPr>
            </w:pPr>
          </w:p>
        </w:tc>
        <w:tc>
          <w:tcPr>
            <w:tcW w:w="1172" w:type="dxa"/>
            <w:tcBorders>
              <w:top w:val="single" w:sz="4" w:space="0" w:color="auto"/>
              <w:left w:val="nil"/>
              <w:bottom w:val="single" w:sz="4" w:space="0" w:color="auto"/>
              <w:right w:val="nil"/>
            </w:tcBorders>
          </w:tcPr>
          <w:p w14:paraId="70D9C01C" w14:textId="259080E4" w:rsidR="00FB5EB7" w:rsidRPr="00AA1DEF" w:rsidRDefault="00FB5EB7" w:rsidP="00FB5EB7">
            <w:pPr>
              <w:jc w:val="center"/>
              <w:rPr>
                <w:rFonts w:eastAsiaTheme="minorEastAsia"/>
                <w:b/>
                <w:sz w:val="18"/>
                <w:lang w:val="en-GB"/>
              </w:rPr>
            </w:pPr>
            <w:r w:rsidRPr="00AA1DEF">
              <w:rPr>
                <w:rFonts w:eastAsiaTheme="minorEastAsia"/>
                <w:b/>
                <w:sz w:val="18"/>
                <w:lang w:val="en-GB"/>
              </w:rPr>
              <w:t>bad</w:t>
            </w:r>
          </w:p>
        </w:tc>
        <w:tc>
          <w:tcPr>
            <w:tcW w:w="1255" w:type="dxa"/>
            <w:tcBorders>
              <w:top w:val="single" w:sz="4" w:space="0" w:color="auto"/>
              <w:left w:val="nil"/>
              <w:bottom w:val="single" w:sz="4" w:space="0" w:color="auto"/>
              <w:right w:val="nil"/>
            </w:tcBorders>
          </w:tcPr>
          <w:p w14:paraId="6CABEA5B" w14:textId="5082E588" w:rsidR="00FB5EB7" w:rsidRPr="00AA1DEF" w:rsidRDefault="004F28BC" w:rsidP="00FB5EB7">
            <w:pPr>
              <w:jc w:val="center"/>
              <w:rPr>
                <w:rFonts w:eastAsiaTheme="minorEastAsia"/>
                <w:b/>
                <w:sz w:val="18"/>
                <w:lang w:val="en-GB"/>
              </w:rPr>
            </w:pPr>
            <w:r>
              <w:rPr>
                <w:rFonts w:eastAsiaTheme="minorEastAsia"/>
                <w:b/>
                <w:sz w:val="18"/>
                <w:lang w:val="en-GB"/>
              </w:rPr>
              <w:t>poor</w:t>
            </w:r>
          </w:p>
        </w:tc>
        <w:tc>
          <w:tcPr>
            <w:tcW w:w="1500" w:type="dxa"/>
            <w:tcBorders>
              <w:top w:val="single" w:sz="4" w:space="0" w:color="auto"/>
              <w:left w:val="nil"/>
              <w:bottom w:val="single" w:sz="4" w:space="0" w:color="auto"/>
              <w:right w:val="nil"/>
            </w:tcBorders>
          </w:tcPr>
          <w:p w14:paraId="1A4A8C63" w14:textId="77777777" w:rsidR="00FB5EB7" w:rsidRPr="00AA1DEF" w:rsidRDefault="00FB5EB7" w:rsidP="00FB5EB7">
            <w:pPr>
              <w:jc w:val="center"/>
              <w:rPr>
                <w:rFonts w:eastAsiaTheme="minorEastAsia"/>
                <w:b/>
                <w:sz w:val="18"/>
                <w:lang w:val="en-GB"/>
              </w:rPr>
            </w:pPr>
            <w:r w:rsidRPr="00AA1DEF">
              <w:rPr>
                <w:rFonts w:eastAsiaTheme="minorEastAsia"/>
                <w:b/>
                <w:sz w:val="18"/>
                <w:lang w:val="en-GB"/>
              </w:rPr>
              <w:t>moderate</w:t>
            </w:r>
          </w:p>
        </w:tc>
        <w:tc>
          <w:tcPr>
            <w:tcW w:w="1307" w:type="dxa"/>
            <w:tcBorders>
              <w:top w:val="single" w:sz="4" w:space="0" w:color="auto"/>
              <w:left w:val="nil"/>
              <w:bottom w:val="single" w:sz="4" w:space="0" w:color="auto"/>
              <w:right w:val="nil"/>
            </w:tcBorders>
          </w:tcPr>
          <w:p w14:paraId="38F87806" w14:textId="77777777" w:rsidR="00FB5EB7" w:rsidRPr="00AA1DEF" w:rsidRDefault="00FB5EB7" w:rsidP="00FB5EB7">
            <w:pPr>
              <w:jc w:val="center"/>
              <w:rPr>
                <w:rFonts w:eastAsiaTheme="minorEastAsia"/>
                <w:b/>
                <w:sz w:val="18"/>
                <w:lang w:val="en-GB"/>
              </w:rPr>
            </w:pPr>
            <w:r w:rsidRPr="00AA1DEF">
              <w:rPr>
                <w:rFonts w:eastAsiaTheme="minorEastAsia"/>
                <w:b/>
                <w:sz w:val="18"/>
                <w:lang w:val="en-GB"/>
              </w:rPr>
              <w:t>good</w:t>
            </w:r>
          </w:p>
        </w:tc>
        <w:tc>
          <w:tcPr>
            <w:tcW w:w="1228" w:type="dxa"/>
            <w:tcBorders>
              <w:top w:val="single" w:sz="4" w:space="0" w:color="auto"/>
              <w:left w:val="nil"/>
              <w:bottom w:val="single" w:sz="4" w:space="0" w:color="auto"/>
            </w:tcBorders>
          </w:tcPr>
          <w:p w14:paraId="2F2151A7" w14:textId="7777C1E9" w:rsidR="00FB5EB7" w:rsidRPr="00AA1DEF" w:rsidRDefault="004F28BC" w:rsidP="00FB5EB7">
            <w:pPr>
              <w:jc w:val="center"/>
              <w:rPr>
                <w:rFonts w:eastAsiaTheme="minorEastAsia"/>
                <w:b/>
                <w:sz w:val="18"/>
                <w:lang w:val="en-GB"/>
              </w:rPr>
            </w:pPr>
            <w:r>
              <w:rPr>
                <w:rFonts w:eastAsiaTheme="minorEastAsia"/>
                <w:b/>
                <w:sz w:val="18"/>
                <w:lang w:val="en-GB"/>
              </w:rPr>
              <w:t>high</w:t>
            </w:r>
          </w:p>
        </w:tc>
      </w:tr>
      <w:tr w:rsidR="00FB5EB7" w:rsidRPr="00AA1DEF" w14:paraId="0BE71173" w14:textId="77777777" w:rsidTr="00FB5EB7">
        <w:trPr>
          <w:jc w:val="center"/>
        </w:trPr>
        <w:tc>
          <w:tcPr>
            <w:tcW w:w="448" w:type="dxa"/>
            <w:vMerge/>
          </w:tcPr>
          <w:p w14:paraId="1C583119" w14:textId="77777777" w:rsidR="00FB5EB7" w:rsidRPr="00AA1DEF" w:rsidRDefault="00FB5EB7" w:rsidP="00FB5EB7">
            <w:pPr>
              <w:jc w:val="center"/>
              <w:rPr>
                <w:rFonts w:eastAsiaTheme="minorEastAsia"/>
                <w:b/>
                <w:sz w:val="18"/>
                <w:lang w:val="en-GB"/>
              </w:rPr>
            </w:pPr>
          </w:p>
        </w:tc>
        <w:tc>
          <w:tcPr>
            <w:tcW w:w="1447" w:type="dxa"/>
            <w:tcBorders>
              <w:top w:val="single" w:sz="4" w:space="0" w:color="auto"/>
              <w:bottom w:val="single" w:sz="4" w:space="0" w:color="auto"/>
              <w:right w:val="nil"/>
            </w:tcBorders>
          </w:tcPr>
          <w:p w14:paraId="7E603A76" w14:textId="3B96D396" w:rsidR="00FB5EB7" w:rsidRPr="00AA1DEF" w:rsidRDefault="00FB5EB7" w:rsidP="00FB5EB7">
            <w:pPr>
              <w:jc w:val="center"/>
              <w:rPr>
                <w:rFonts w:eastAsiaTheme="minorEastAsia"/>
                <w:b/>
                <w:sz w:val="18"/>
                <w:lang w:val="en-GB"/>
              </w:rPr>
            </w:pPr>
            <w:r w:rsidRPr="00AA1DEF">
              <w:rPr>
                <w:rFonts w:eastAsiaTheme="minorEastAsia"/>
                <w:b/>
                <w:sz w:val="18"/>
                <w:lang w:val="en-GB"/>
              </w:rPr>
              <w:t>bad</w:t>
            </w:r>
          </w:p>
        </w:tc>
        <w:tc>
          <w:tcPr>
            <w:tcW w:w="1172" w:type="dxa"/>
            <w:tcBorders>
              <w:top w:val="single" w:sz="4" w:space="0" w:color="auto"/>
              <w:left w:val="nil"/>
              <w:bottom w:val="single" w:sz="4" w:space="0" w:color="auto"/>
              <w:right w:val="nil"/>
            </w:tcBorders>
          </w:tcPr>
          <w:p w14:paraId="4CAFAB6A" w14:textId="0532B70D" w:rsidR="00FB5EB7" w:rsidRPr="00AA1DEF" w:rsidRDefault="005F0F4D" w:rsidP="00FB5EB7">
            <w:pPr>
              <w:jc w:val="center"/>
              <w:rPr>
                <w:rFonts w:eastAsiaTheme="minorEastAsia"/>
                <w:sz w:val="18"/>
                <w:lang w:val="en-GB"/>
              </w:rPr>
            </w:pPr>
            <w:r>
              <w:rPr>
                <w:rFonts w:eastAsiaTheme="minorEastAsia"/>
                <w:sz w:val="18"/>
                <w:lang w:val="en-GB"/>
              </w:rPr>
              <w:t>15</w:t>
            </w:r>
          </w:p>
        </w:tc>
        <w:tc>
          <w:tcPr>
            <w:tcW w:w="1255" w:type="dxa"/>
            <w:tcBorders>
              <w:top w:val="single" w:sz="4" w:space="0" w:color="auto"/>
              <w:left w:val="nil"/>
              <w:bottom w:val="single" w:sz="4" w:space="0" w:color="auto"/>
              <w:right w:val="nil"/>
            </w:tcBorders>
          </w:tcPr>
          <w:p w14:paraId="0A4FE6BD" w14:textId="50328CFD" w:rsidR="00FB5EB7" w:rsidRPr="00AA1DEF" w:rsidRDefault="005F0F4D" w:rsidP="00FB5EB7">
            <w:pPr>
              <w:jc w:val="center"/>
              <w:rPr>
                <w:rFonts w:eastAsiaTheme="minorEastAsia"/>
                <w:sz w:val="18"/>
                <w:lang w:val="en-GB"/>
              </w:rPr>
            </w:pPr>
            <w:r w:rsidRPr="005F0F4D">
              <w:rPr>
                <w:rFonts w:eastAsiaTheme="minorEastAsia"/>
                <w:color w:val="FF0000"/>
                <w:sz w:val="18"/>
                <w:lang w:val="en-GB"/>
              </w:rPr>
              <w:t>1</w:t>
            </w:r>
          </w:p>
        </w:tc>
        <w:tc>
          <w:tcPr>
            <w:tcW w:w="1500" w:type="dxa"/>
            <w:tcBorders>
              <w:top w:val="single" w:sz="4" w:space="0" w:color="auto"/>
              <w:left w:val="nil"/>
              <w:bottom w:val="single" w:sz="4" w:space="0" w:color="auto"/>
              <w:right w:val="nil"/>
            </w:tcBorders>
          </w:tcPr>
          <w:p w14:paraId="3653A359" w14:textId="2DF78AC5" w:rsidR="00FB5EB7" w:rsidRPr="00AA1DEF" w:rsidRDefault="005F0F4D" w:rsidP="00FB5EB7">
            <w:pPr>
              <w:jc w:val="center"/>
              <w:rPr>
                <w:rFonts w:eastAsiaTheme="minorEastAsia"/>
                <w:sz w:val="18"/>
                <w:lang w:val="en-GB"/>
              </w:rPr>
            </w:pPr>
            <w:r>
              <w:rPr>
                <w:rFonts w:eastAsiaTheme="minorEastAsia"/>
                <w:sz w:val="18"/>
                <w:lang w:val="en-GB"/>
              </w:rPr>
              <w:t>0</w:t>
            </w:r>
          </w:p>
        </w:tc>
        <w:tc>
          <w:tcPr>
            <w:tcW w:w="1307" w:type="dxa"/>
            <w:tcBorders>
              <w:top w:val="single" w:sz="4" w:space="0" w:color="auto"/>
              <w:left w:val="nil"/>
              <w:bottom w:val="single" w:sz="4" w:space="0" w:color="auto"/>
              <w:right w:val="nil"/>
            </w:tcBorders>
          </w:tcPr>
          <w:p w14:paraId="41AE5A22" w14:textId="7429DD68" w:rsidR="00FB5EB7" w:rsidRPr="00AA1DEF" w:rsidRDefault="005F0F4D" w:rsidP="00FB5EB7">
            <w:pPr>
              <w:jc w:val="center"/>
              <w:rPr>
                <w:rFonts w:eastAsiaTheme="minorEastAsia"/>
                <w:sz w:val="18"/>
                <w:lang w:val="en-GB"/>
              </w:rPr>
            </w:pPr>
            <w:r>
              <w:rPr>
                <w:rFonts w:eastAsiaTheme="minorEastAsia"/>
                <w:sz w:val="18"/>
                <w:lang w:val="en-GB"/>
              </w:rPr>
              <w:t>0</w:t>
            </w:r>
          </w:p>
        </w:tc>
        <w:tc>
          <w:tcPr>
            <w:tcW w:w="1228" w:type="dxa"/>
            <w:tcBorders>
              <w:top w:val="single" w:sz="4" w:space="0" w:color="auto"/>
              <w:left w:val="nil"/>
              <w:bottom w:val="single" w:sz="4" w:space="0" w:color="auto"/>
            </w:tcBorders>
          </w:tcPr>
          <w:p w14:paraId="58C4AB28" w14:textId="0A8697B1" w:rsidR="00FB5EB7" w:rsidRPr="00AA1DEF" w:rsidRDefault="005F0F4D" w:rsidP="00FB5EB7">
            <w:pPr>
              <w:jc w:val="center"/>
              <w:rPr>
                <w:rFonts w:eastAsiaTheme="minorEastAsia"/>
                <w:sz w:val="18"/>
                <w:lang w:val="en-GB"/>
              </w:rPr>
            </w:pPr>
            <w:r>
              <w:rPr>
                <w:rFonts w:eastAsiaTheme="minorEastAsia"/>
                <w:sz w:val="18"/>
                <w:lang w:val="en-GB"/>
              </w:rPr>
              <w:t>0</w:t>
            </w:r>
          </w:p>
        </w:tc>
      </w:tr>
      <w:tr w:rsidR="00FB5EB7" w:rsidRPr="00AA1DEF" w14:paraId="6A53E0D0" w14:textId="77777777" w:rsidTr="00FB5EB7">
        <w:trPr>
          <w:jc w:val="center"/>
        </w:trPr>
        <w:tc>
          <w:tcPr>
            <w:tcW w:w="448" w:type="dxa"/>
            <w:vMerge/>
          </w:tcPr>
          <w:p w14:paraId="3A951C2E" w14:textId="77777777" w:rsidR="00FB5EB7" w:rsidRPr="00AA1DEF" w:rsidRDefault="00FB5EB7" w:rsidP="00FB5EB7">
            <w:pPr>
              <w:jc w:val="center"/>
              <w:rPr>
                <w:rFonts w:eastAsiaTheme="minorEastAsia"/>
                <w:b/>
                <w:sz w:val="18"/>
                <w:lang w:val="en-GB"/>
              </w:rPr>
            </w:pPr>
          </w:p>
        </w:tc>
        <w:tc>
          <w:tcPr>
            <w:tcW w:w="1447" w:type="dxa"/>
            <w:tcBorders>
              <w:top w:val="single" w:sz="4" w:space="0" w:color="auto"/>
              <w:bottom w:val="single" w:sz="4" w:space="0" w:color="auto"/>
              <w:right w:val="nil"/>
            </w:tcBorders>
          </w:tcPr>
          <w:p w14:paraId="0566DB6B" w14:textId="5433C0CB" w:rsidR="00FB5EB7" w:rsidRPr="00AA1DEF" w:rsidRDefault="00FB5EB7" w:rsidP="00FB5EB7">
            <w:pPr>
              <w:jc w:val="center"/>
              <w:rPr>
                <w:rFonts w:eastAsiaTheme="minorEastAsia"/>
                <w:b/>
                <w:sz w:val="18"/>
                <w:lang w:val="en-GB"/>
              </w:rPr>
            </w:pPr>
            <w:r>
              <w:rPr>
                <w:rFonts w:eastAsiaTheme="minorEastAsia"/>
                <w:b/>
                <w:sz w:val="18"/>
                <w:lang w:val="en-GB"/>
              </w:rPr>
              <w:t>poor</w:t>
            </w:r>
          </w:p>
        </w:tc>
        <w:tc>
          <w:tcPr>
            <w:tcW w:w="1172" w:type="dxa"/>
            <w:tcBorders>
              <w:top w:val="single" w:sz="4" w:space="0" w:color="auto"/>
              <w:left w:val="nil"/>
              <w:bottom w:val="single" w:sz="4" w:space="0" w:color="auto"/>
              <w:right w:val="nil"/>
            </w:tcBorders>
          </w:tcPr>
          <w:p w14:paraId="55FC4F04" w14:textId="05A5203A" w:rsidR="00FB5EB7" w:rsidRPr="00AA1DEF" w:rsidRDefault="005F0F4D" w:rsidP="00FB5EB7">
            <w:pPr>
              <w:jc w:val="center"/>
              <w:rPr>
                <w:rFonts w:eastAsiaTheme="minorEastAsia"/>
                <w:sz w:val="18"/>
                <w:lang w:val="en-GB"/>
              </w:rPr>
            </w:pPr>
            <w:r>
              <w:rPr>
                <w:rFonts w:eastAsiaTheme="minorEastAsia"/>
                <w:sz w:val="18"/>
                <w:lang w:val="en-GB"/>
              </w:rPr>
              <w:t>0</w:t>
            </w:r>
          </w:p>
        </w:tc>
        <w:tc>
          <w:tcPr>
            <w:tcW w:w="1255" w:type="dxa"/>
            <w:tcBorders>
              <w:top w:val="single" w:sz="4" w:space="0" w:color="auto"/>
              <w:left w:val="nil"/>
              <w:bottom w:val="single" w:sz="4" w:space="0" w:color="auto"/>
              <w:right w:val="nil"/>
            </w:tcBorders>
          </w:tcPr>
          <w:p w14:paraId="4B7040AB" w14:textId="51A9E602" w:rsidR="00FB5EB7" w:rsidRPr="00AA1DEF" w:rsidRDefault="005F0F4D" w:rsidP="00FB5EB7">
            <w:pPr>
              <w:jc w:val="center"/>
              <w:rPr>
                <w:rFonts w:eastAsiaTheme="minorEastAsia"/>
                <w:sz w:val="18"/>
                <w:lang w:val="en-GB"/>
              </w:rPr>
            </w:pPr>
            <w:r>
              <w:rPr>
                <w:rFonts w:eastAsiaTheme="minorEastAsia"/>
                <w:sz w:val="18"/>
                <w:lang w:val="en-GB"/>
              </w:rPr>
              <w:t>17</w:t>
            </w:r>
          </w:p>
        </w:tc>
        <w:tc>
          <w:tcPr>
            <w:tcW w:w="1500" w:type="dxa"/>
            <w:tcBorders>
              <w:top w:val="single" w:sz="4" w:space="0" w:color="auto"/>
              <w:left w:val="nil"/>
              <w:bottom w:val="single" w:sz="4" w:space="0" w:color="auto"/>
              <w:right w:val="nil"/>
            </w:tcBorders>
          </w:tcPr>
          <w:p w14:paraId="2C6DAF66" w14:textId="0B6A5D36" w:rsidR="00FB5EB7" w:rsidRPr="00AA1DEF" w:rsidRDefault="005F0F4D" w:rsidP="00FB5EB7">
            <w:pPr>
              <w:jc w:val="center"/>
              <w:rPr>
                <w:rFonts w:eastAsiaTheme="minorEastAsia"/>
                <w:sz w:val="18"/>
                <w:lang w:val="en-GB"/>
              </w:rPr>
            </w:pPr>
            <w:r w:rsidRPr="005F0F4D">
              <w:rPr>
                <w:rFonts w:eastAsiaTheme="minorEastAsia"/>
                <w:color w:val="FF0000"/>
                <w:sz w:val="18"/>
                <w:lang w:val="en-GB"/>
              </w:rPr>
              <w:t>1</w:t>
            </w:r>
          </w:p>
        </w:tc>
        <w:tc>
          <w:tcPr>
            <w:tcW w:w="1307" w:type="dxa"/>
            <w:tcBorders>
              <w:top w:val="single" w:sz="4" w:space="0" w:color="auto"/>
              <w:left w:val="nil"/>
              <w:bottom w:val="single" w:sz="4" w:space="0" w:color="auto"/>
              <w:right w:val="nil"/>
            </w:tcBorders>
          </w:tcPr>
          <w:p w14:paraId="06EE9647" w14:textId="051FC882" w:rsidR="00FB5EB7" w:rsidRPr="00AA1DEF" w:rsidRDefault="005F0F4D" w:rsidP="00FB5EB7">
            <w:pPr>
              <w:jc w:val="center"/>
              <w:rPr>
                <w:rFonts w:eastAsiaTheme="minorEastAsia"/>
                <w:sz w:val="18"/>
                <w:lang w:val="en-GB"/>
              </w:rPr>
            </w:pPr>
            <w:r>
              <w:rPr>
                <w:rFonts w:eastAsiaTheme="minorEastAsia"/>
                <w:sz w:val="18"/>
                <w:lang w:val="en-GB"/>
              </w:rPr>
              <w:t>0</w:t>
            </w:r>
          </w:p>
        </w:tc>
        <w:tc>
          <w:tcPr>
            <w:tcW w:w="1228" w:type="dxa"/>
            <w:tcBorders>
              <w:top w:val="single" w:sz="4" w:space="0" w:color="auto"/>
              <w:left w:val="nil"/>
              <w:bottom w:val="single" w:sz="4" w:space="0" w:color="auto"/>
            </w:tcBorders>
          </w:tcPr>
          <w:p w14:paraId="0A07DA71" w14:textId="6876282E" w:rsidR="00FB5EB7" w:rsidRPr="00AA1DEF" w:rsidRDefault="005F0F4D" w:rsidP="00FB5EB7">
            <w:pPr>
              <w:jc w:val="center"/>
              <w:rPr>
                <w:rFonts w:eastAsiaTheme="minorEastAsia"/>
                <w:sz w:val="18"/>
                <w:lang w:val="en-GB"/>
              </w:rPr>
            </w:pPr>
            <w:r>
              <w:rPr>
                <w:rFonts w:eastAsiaTheme="minorEastAsia"/>
                <w:sz w:val="18"/>
                <w:lang w:val="en-GB"/>
              </w:rPr>
              <w:t>0</w:t>
            </w:r>
          </w:p>
        </w:tc>
      </w:tr>
      <w:tr w:rsidR="00FB5EB7" w:rsidRPr="00AA1DEF" w14:paraId="5F8A6C0B" w14:textId="77777777" w:rsidTr="00FB5EB7">
        <w:trPr>
          <w:jc w:val="center"/>
        </w:trPr>
        <w:tc>
          <w:tcPr>
            <w:tcW w:w="448" w:type="dxa"/>
            <w:vMerge/>
          </w:tcPr>
          <w:p w14:paraId="2EE47B82" w14:textId="77777777" w:rsidR="00FB5EB7" w:rsidRPr="00AA1DEF" w:rsidRDefault="00FB5EB7" w:rsidP="00FB5EB7">
            <w:pPr>
              <w:jc w:val="center"/>
              <w:rPr>
                <w:rFonts w:eastAsiaTheme="minorEastAsia"/>
                <w:b/>
                <w:sz w:val="18"/>
                <w:lang w:val="en-GB"/>
              </w:rPr>
            </w:pPr>
          </w:p>
        </w:tc>
        <w:tc>
          <w:tcPr>
            <w:tcW w:w="1447" w:type="dxa"/>
            <w:tcBorders>
              <w:top w:val="single" w:sz="4" w:space="0" w:color="auto"/>
              <w:bottom w:val="single" w:sz="4" w:space="0" w:color="auto"/>
              <w:right w:val="nil"/>
            </w:tcBorders>
          </w:tcPr>
          <w:p w14:paraId="0E62EBF1" w14:textId="77777777" w:rsidR="00FB5EB7" w:rsidRPr="00AA1DEF" w:rsidRDefault="00FB5EB7" w:rsidP="00FB5EB7">
            <w:pPr>
              <w:jc w:val="center"/>
              <w:rPr>
                <w:rFonts w:eastAsiaTheme="minorEastAsia"/>
                <w:b/>
                <w:sz w:val="18"/>
                <w:lang w:val="en-GB"/>
              </w:rPr>
            </w:pPr>
            <w:r w:rsidRPr="00AA1DEF">
              <w:rPr>
                <w:rFonts w:eastAsiaTheme="minorEastAsia"/>
                <w:b/>
                <w:sz w:val="18"/>
                <w:lang w:val="en-GB"/>
              </w:rPr>
              <w:t>moderate</w:t>
            </w:r>
          </w:p>
        </w:tc>
        <w:tc>
          <w:tcPr>
            <w:tcW w:w="1172" w:type="dxa"/>
            <w:tcBorders>
              <w:top w:val="single" w:sz="4" w:space="0" w:color="auto"/>
              <w:left w:val="nil"/>
              <w:bottom w:val="single" w:sz="4" w:space="0" w:color="auto"/>
              <w:right w:val="nil"/>
            </w:tcBorders>
          </w:tcPr>
          <w:p w14:paraId="04023B7F" w14:textId="2AD214E2" w:rsidR="00FB5EB7" w:rsidRPr="00AA1DEF" w:rsidRDefault="005F0F4D" w:rsidP="00FB5EB7">
            <w:pPr>
              <w:jc w:val="center"/>
              <w:rPr>
                <w:rFonts w:eastAsiaTheme="minorEastAsia"/>
                <w:sz w:val="18"/>
                <w:lang w:val="en-GB"/>
              </w:rPr>
            </w:pPr>
            <w:r>
              <w:rPr>
                <w:rFonts w:eastAsiaTheme="minorEastAsia"/>
                <w:sz w:val="18"/>
                <w:lang w:val="en-GB"/>
              </w:rPr>
              <w:t>0</w:t>
            </w:r>
          </w:p>
        </w:tc>
        <w:tc>
          <w:tcPr>
            <w:tcW w:w="1255" w:type="dxa"/>
            <w:tcBorders>
              <w:top w:val="single" w:sz="4" w:space="0" w:color="auto"/>
              <w:left w:val="nil"/>
              <w:bottom w:val="single" w:sz="4" w:space="0" w:color="auto"/>
              <w:right w:val="nil"/>
            </w:tcBorders>
          </w:tcPr>
          <w:p w14:paraId="64B11A6D" w14:textId="423F3E6E" w:rsidR="00FB5EB7" w:rsidRPr="00AA1DEF" w:rsidRDefault="005F0F4D" w:rsidP="00FB5EB7">
            <w:pPr>
              <w:jc w:val="center"/>
              <w:rPr>
                <w:rFonts w:eastAsiaTheme="minorEastAsia"/>
                <w:sz w:val="18"/>
                <w:lang w:val="en-GB"/>
              </w:rPr>
            </w:pPr>
            <w:r w:rsidRPr="005F0F4D">
              <w:rPr>
                <w:rFonts w:eastAsiaTheme="minorEastAsia"/>
                <w:color w:val="FF0000"/>
                <w:sz w:val="18"/>
                <w:lang w:val="en-GB"/>
              </w:rPr>
              <w:t>1</w:t>
            </w:r>
          </w:p>
        </w:tc>
        <w:tc>
          <w:tcPr>
            <w:tcW w:w="1500" w:type="dxa"/>
            <w:tcBorders>
              <w:top w:val="single" w:sz="4" w:space="0" w:color="auto"/>
              <w:left w:val="nil"/>
              <w:bottom w:val="single" w:sz="4" w:space="0" w:color="auto"/>
              <w:right w:val="nil"/>
            </w:tcBorders>
          </w:tcPr>
          <w:p w14:paraId="794FB6A3" w14:textId="11E0B26E" w:rsidR="00FB5EB7" w:rsidRPr="00AA1DEF" w:rsidRDefault="005F0F4D" w:rsidP="00FB5EB7">
            <w:pPr>
              <w:jc w:val="center"/>
              <w:rPr>
                <w:rFonts w:eastAsiaTheme="minorEastAsia"/>
                <w:sz w:val="18"/>
                <w:lang w:val="en-GB"/>
              </w:rPr>
            </w:pPr>
            <w:r>
              <w:rPr>
                <w:rFonts w:eastAsiaTheme="minorEastAsia"/>
                <w:sz w:val="18"/>
                <w:lang w:val="en-GB"/>
              </w:rPr>
              <w:t>28</w:t>
            </w:r>
          </w:p>
        </w:tc>
        <w:tc>
          <w:tcPr>
            <w:tcW w:w="1307" w:type="dxa"/>
            <w:tcBorders>
              <w:top w:val="single" w:sz="4" w:space="0" w:color="auto"/>
              <w:left w:val="nil"/>
              <w:bottom w:val="single" w:sz="4" w:space="0" w:color="auto"/>
              <w:right w:val="nil"/>
            </w:tcBorders>
          </w:tcPr>
          <w:p w14:paraId="021E92C4" w14:textId="2F5BE218" w:rsidR="00FB5EB7" w:rsidRPr="00AA1DEF" w:rsidRDefault="005F0F4D" w:rsidP="00FB5EB7">
            <w:pPr>
              <w:jc w:val="center"/>
              <w:rPr>
                <w:rFonts w:eastAsiaTheme="minorEastAsia"/>
                <w:sz w:val="18"/>
                <w:lang w:val="en-GB"/>
              </w:rPr>
            </w:pPr>
            <w:r>
              <w:rPr>
                <w:rFonts w:eastAsiaTheme="minorEastAsia"/>
                <w:sz w:val="18"/>
                <w:lang w:val="en-GB"/>
              </w:rPr>
              <w:t>0</w:t>
            </w:r>
          </w:p>
        </w:tc>
        <w:tc>
          <w:tcPr>
            <w:tcW w:w="1228" w:type="dxa"/>
            <w:tcBorders>
              <w:top w:val="single" w:sz="4" w:space="0" w:color="auto"/>
              <w:left w:val="nil"/>
              <w:bottom w:val="single" w:sz="4" w:space="0" w:color="auto"/>
            </w:tcBorders>
          </w:tcPr>
          <w:p w14:paraId="69F10CF1" w14:textId="17F06679" w:rsidR="00FB5EB7" w:rsidRPr="00AA1DEF" w:rsidRDefault="005F0F4D" w:rsidP="00FB5EB7">
            <w:pPr>
              <w:jc w:val="center"/>
              <w:rPr>
                <w:rFonts w:eastAsiaTheme="minorEastAsia"/>
                <w:sz w:val="18"/>
                <w:lang w:val="en-GB"/>
              </w:rPr>
            </w:pPr>
            <w:r>
              <w:rPr>
                <w:rFonts w:eastAsiaTheme="minorEastAsia"/>
                <w:sz w:val="18"/>
                <w:lang w:val="en-GB"/>
              </w:rPr>
              <w:t>0</w:t>
            </w:r>
          </w:p>
        </w:tc>
      </w:tr>
      <w:tr w:rsidR="00FB5EB7" w:rsidRPr="00AA1DEF" w14:paraId="275C2911" w14:textId="77777777" w:rsidTr="00FB5EB7">
        <w:trPr>
          <w:jc w:val="center"/>
        </w:trPr>
        <w:tc>
          <w:tcPr>
            <w:tcW w:w="448" w:type="dxa"/>
            <w:vMerge/>
          </w:tcPr>
          <w:p w14:paraId="5C5FC174" w14:textId="77777777" w:rsidR="00FB5EB7" w:rsidRPr="00AA1DEF" w:rsidRDefault="00FB5EB7" w:rsidP="00FB5EB7">
            <w:pPr>
              <w:jc w:val="center"/>
              <w:rPr>
                <w:rFonts w:eastAsiaTheme="minorEastAsia"/>
                <w:b/>
                <w:sz w:val="18"/>
                <w:lang w:val="en-GB"/>
              </w:rPr>
            </w:pPr>
          </w:p>
        </w:tc>
        <w:tc>
          <w:tcPr>
            <w:tcW w:w="1447" w:type="dxa"/>
            <w:tcBorders>
              <w:top w:val="single" w:sz="4" w:space="0" w:color="auto"/>
              <w:bottom w:val="single" w:sz="4" w:space="0" w:color="auto"/>
              <w:right w:val="nil"/>
            </w:tcBorders>
          </w:tcPr>
          <w:p w14:paraId="608D68B7" w14:textId="77777777" w:rsidR="00FB5EB7" w:rsidRPr="00AA1DEF" w:rsidRDefault="00FB5EB7" w:rsidP="00FB5EB7">
            <w:pPr>
              <w:jc w:val="center"/>
              <w:rPr>
                <w:rFonts w:eastAsiaTheme="minorEastAsia"/>
                <w:b/>
                <w:sz w:val="18"/>
                <w:lang w:val="en-GB"/>
              </w:rPr>
            </w:pPr>
            <w:r w:rsidRPr="00AA1DEF">
              <w:rPr>
                <w:rFonts w:eastAsiaTheme="minorEastAsia"/>
                <w:b/>
                <w:sz w:val="18"/>
                <w:lang w:val="en-GB"/>
              </w:rPr>
              <w:t>good</w:t>
            </w:r>
          </w:p>
        </w:tc>
        <w:tc>
          <w:tcPr>
            <w:tcW w:w="1172" w:type="dxa"/>
            <w:tcBorders>
              <w:top w:val="single" w:sz="4" w:space="0" w:color="auto"/>
              <w:left w:val="nil"/>
              <w:bottom w:val="single" w:sz="4" w:space="0" w:color="auto"/>
              <w:right w:val="nil"/>
            </w:tcBorders>
          </w:tcPr>
          <w:p w14:paraId="2BF70BB3" w14:textId="5877E456" w:rsidR="00FB5EB7" w:rsidRPr="00AA1DEF" w:rsidRDefault="005F0F4D" w:rsidP="00FB5EB7">
            <w:pPr>
              <w:jc w:val="center"/>
              <w:rPr>
                <w:rFonts w:eastAsiaTheme="minorEastAsia"/>
                <w:sz w:val="18"/>
                <w:lang w:val="en-GB"/>
              </w:rPr>
            </w:pPr>
            <w:r>
              <w:rPr>
                <w:rFonts w:eastAsiaTheme="minorEastAsia"/>
                <w:sz w:val="18"/>
                <w:lang w:val="en-GB"/>
              </w:rPr>
              <w:t>0</w:t>
            </w:r>
          </w:p>
        </w:tc>
        <w:tc>
          <w:tcPr>
            <w:tcW w:w="1255" w:type="dxa"/>
            <w:tcBorders>
              <w:top w:val="single" w:sz="4" w:space="0" w:color="auto"/>
              <w:left w:val="nil"/>
              <w:bottom w:val="single" w:sz="4" w:space="0" w:color="auto"/>
              <w:right w:val="nil"/>
            </w:tcBorders>
          </w:tcPr>
          <w:p w14:paraId="3F8895FD" w14:textId="6FF1D798" w:rsidR="00FB5EB7" w:rsidRPr="00AA1DEF" w:rsidRDefault="005F0F4D" w:rsidP="00FB5EB7">
            <w:pPr>
              <w:jc w:val="center"/>
              <w:rPr>
                <w:rFonts w:eastAsiaTheme="minorEastAsia"/>
                <w:sz w:val="18"/>
                <w:lang w:val="en-GB"/>
              </w:rPr>
            </w:pPr>
            <w:r>
              <w:rPr>
                <w:rFonts w:eastAsiaTheme="minorEastAsia"/>
                <w:sz w:val="18"/>
                <w:lang w:val="en-GB"/>
              </w:rPr>
              <w:t>0</w:t>
            </w:r>
          </w:p>
        </w:tc>
        <w:tc>
          <w:tcPr>
            <w:tcW w:w="1500" w:type="dxa"/>
            <w:tcBorders>
              <w:top w:val="single" w:sz="4" w:space="0" w:color="auto"/>
              <w:left w:val="nil"/>
              <w:bottom w:val="single" w:sz="4" w:space="0" w:color="auto"/>
              <w:right w:val="nil"/>
            </w:tcBorders>
          </w:tcPr>
          <w:p w14:paraId="75EEDB15" w14:textId="426FA819" w:rsidR="00FB5EB7" w:rsidRPr="00AA1DEF" w:rsidRDefault="005F0F4D" w:rsidP="00FB5EB7">
            <w:pPr>
              <w:jc w:val="center"/>
              <w:rPr>
                <w:rFonts w:eastAsiaTheme="minorEastAsia"/>
                <w:sz w:val="18"/>
                <w:lang w:val="en-GB"/>
              </w:rPr>
            </w:pPr>
            <w:r w:rsidRPr="005F0F4D">
              <w:rPr>
                <w:rFonts w:eastAsiaTheme="minorEastAsia"/>
                <w:color w:val="FF0000"/>
                <w:sz w:val="18"/>
                <w:lang w:val="en-GB"/>
              </w:rPr>
              <w:t>1</w:t>
            </w:r>
          </w:p>
        </w:tc>
        <w:tc>
          <w:tcPr>
            <w:tcW w:w="1307" w:type="dxa"/>
            <w:tcBorders>
              <w:top w:val="single" w:sz="4" w:space="0" w:color="auto"/>
              <w:left w:val="nil"/>
              <w:bottom w:val="single" w:sz="4" w:space="0" w:color="auto"/>
              <w:right w:val="nil"/>
            </w:tcBorders>
          </w:tcPr>
          <w:p w14:paraId="67579C1A" w14:textId="008DE396" w:rsidR="00FB5EB7" w:rsidRPr="00AA1DEF" w:rsidRDefault="005F0F4D" w:rsidP="00FB5EB7">
            <w:pPr>
              <w:jc w:val="center"/>
              <w:rPr>
                <w:rFonts w:eastAsiaTheme="minorEastAsia"/>
                <w:sz w:val="18"/>
                <w:lang w:val="en-GB"/>
              </w:rPr>
            </w:pPr>
            <w:r>
              <w:rPr>
                <w:rFonts w:eastAsiaTheme="minorEastAsia"/>
                <w:sz w:val="18"/>
                <w:lang w:val="en-GB"/>
              </w:rPr>
              <w:t>27</w:t>
            </w:r>
          </w:p>
        </w:tc>
        <w:tc>
          <w:tcPr>
            <w:tcW w:w="1228" w:type="dxa"/>
            <w:tcBorders>
              <w:top w:val="single" w:sz="4" w:space="0" w:color="auto"/>
              <w:left w:val="nil"/>
              <w:bottom w:val="single" w:sz="4" w:space="0" w:color="auto"/>
            </w:tcBorders>
          </w:tcPr>
          <w:p w14:paraId="270C8BCE" w14:textId="7C97E9CC" w:rsidR="00FB5EB7" w:rsidRPr="00AA1DEF" w:rsidRDefault="005F0F4D" w:rsidP="00FB5EB7">
            <w:pPr>
              <w:jc w:val="center"/>
              <w:rPr>
                <w:rFonts w:eastAsiaTheme="minorEastAsia"/>
                <w:sz w:val="18"/>
                <w:lang w:val="en-GB"/>
              </w:rPr>
            </w:pPr>
            <w:r>
              <w:rPr>
                <w:rFonts w:eastAsiaTheme="minorEastAsia"/>
                <w:sz w:val="18"/>
                <w:lang w:val="en-GB"/>
              </w:rPr>
              <w:t>0</w:t>
            </w:r>
          </w:p>
        </w:tc>
      </w:tr>
      <w:tr w:rsidR="00FB5EB7" w:rsidRPr="00AA1DEF" w14:paraId="3D65B5B9" w14:textId="77777777" w:rsidTr="00FB5EB7">
        <w:trPr>
          <w:jc w:val="center"/>
        </w:trPr>
        <w:tc>
          <w:tcPr>
            <w:tcW w:w="448" w:type="dxa"/>
            <w:vMerge/>
          </w:tcPr>
          <w:p w14:paraId="15A032BE" w14:textId="77777777" w:rsidR="00FB5EB7" w:rsidRPr="00AA1DEF" w:rsidRDefault="00FB5EB7" w:rsidP="00FB5EB7">
            <w:pPr>
              <w:jc w:val="center"/>
              <w:rPr>
                <w:rFonts w:eastAsiaTheme="minorEastAsia"/>
                <w:b/>
                <w:sz w:val="18"/>
                <w:lang w:val="en-GB"/>
              </w:rPr>
            </w:pPr>
          </w:p>
        </w:tc>
        <w:tc>
          <w:tcPr>
            <w:tcW w:w="1447" w:type="dxa"/>
            <w:tcBorders>
              <w:top w:val="single" w:sz="4" w:space="0" w:color="auto"/>
              <w:bottom w:val="nil"/>
              <w:right w:val="nil"/>
            </w:tcBorders>
          </w:tcPr>
          <w:p w14:paraId="3DC75407" w14:textId="7D0C4D1E" w:rsidR="00FB5EB7" w:rsidRPr="00AA1DEF" w:rsidRDefault="00FB5EB7" w:rsidP="00FB5EB7">
            <w:pPr>
              <w:jc w:val="center"/>
              <w:rPr>
                <w:rFonts w:eastAsiaTheme="minorEastAsia"/>
                <w:b/>
                <w:sz w:val="18"/>
                <w:lang w:val="en-GB"/>
              </w:rPr>
            </w:pPr>
            <w:r>
              <w:rPr>
                <w:rFonts w:eastAsiaTheme="minorEastAsia"/>
                <w:b/>
                <w:sz w:val="18"/>
                <w:lang w:val="en-GB"/>
              </w:rPr>
              <w:t>high</w:t>
            </w:r>
          </w:p>
        </w:tc>
        <w:tc>
          <w:tcPr>
            <w:tcW w:w="1172" w:type="dxa"/>
            <w:tcBorders>
              <w:top w:val="single" w:sz="4" w:space="0" w:color="auto"/>
              <w:left w:val="nil"/>
              <w:bottom w:val="nil"/>
              <w:right w:val="nil"/>
            </w:tcBorders>
          </w:tcPr>
          <w:p w14:paraId="22EF6271" w14:textId="0A7FA6F7" w:rsidR="00FB5EB7" w:rsidRPr="00AA1DEF" w:rsidRDefault="005F0F4D" w:rsidP="00FB5EB7">
            <w:pPr>
              <w:jc w:val="center"/>
              <w:rPr>
                <w:rFonts w:eastAsiaTheme="minorEastAsia"/>
                <w:sz w:val="18"/>
                <w:lang w:val="en-GB"/>
              </w:rPr>
            </w:pPr>
            <w:r>
              <w:rPr>
                <w:rFonts w:eastAsiaTheme="minorEastAsia"/>
                <w:sz w:val="18"/>
                <w:lang w:val="en-GB"/>
              </w:rPr>
              <w:t>0</w:t>
            </w:r>
          </w:p>
        </w:tc>
        <w:tc>
          <w:tcPr>
            <w:tcW w:w="1255" w:type="dxa"/>
            <w:tcBorders>
              <w:top w:val="single" w:sz="4" w:space="0" w:color="auto"/>
              <w:left w:val="nil"/>
              <w:bottom w:val="nil"/>
              <w:right w:val="nil"/>
            </w:tcBorders>
          </w:tcPr>
          <w:p w14:paraId="54A050FB" w14:textId="57BD7066" w:rsidR="00FB5EB7" w:rsidRPr="00AA1DEF" w:rsidRDefault="005F0F4D" w:rsidP="00FB5EB7">
            <w:pPr>
              <w:jc w:val="center"/>
              <w:rPr>
                <w:rFonts w:eastAsiaTheme="minorEastAsia"/>
                <w:sz w:val="18"/>
                <w:lang w:val="en-GB"/>
              </w:rPr>
            </w:pPr>
            <w:r>
              <w:rPr>
                <w:rFonts w:eastAsiaTheme="minorEastAsia"/>
                <w:sz w:val="18"/>
                <w:lang w:val="en-GB"/>
              </w:rPr>
              <w:t>0</w:t>
            </w:r>
          </w:p>
        </w:tc>
        <w:tc>
          <w:tcPr>
            <w:tcW w:w="1500" w:type="dxa"/>
            <w:tcBorders>
              <w:top w:val="single" w:sz="4" w:space="0" w:color="auto"/>
              <w:left w:val="nil"/>
              <w:bottom w:val="nil"/>
              <w:right w:val="nil"/>
            </w:tcBorders>
          </w:tcPr>
          <w:p w14:paraId="254F9569" w14:textId="6178A309" w:rsidR="00FB5EB7" w:rsidRPr="00AA1DEF" w:rsidRDefault="005F0F4D" w:rsidP="00FB5EB7">
            <w:pPr>
              <w:jc w:val="center"/>
              <w:rPr>
                <w:rFonts w:eastAsiaTheme="minorEastAsia"/>
                <w:sz w:val="18"/>
                <w:lang w:val="en-GB"/>
              </w:rPr>
            </w:pPr>
            <w:r>
              <w:rPr>
                <w:rFonts w:eastAsiaTheme="minorEastAsia"/>
                <w:sz w:val="18"/>
                <w:lang w:val="en-GB"/>
              </w:rPr>
              <w:t>9</w:t>
            </w:r>
          </w:p>
        </w:tc>
        <w:tc>
          <w:tcPr>
            <w:tcW w:w="1307" w:type="dxa"/>
            <w:tcBorders>
              <w:top w:val="single" w:sz="4" w:space="0" w:color="auto"/>
              <w:left w:val="nil"/>
              <w:bottom w:val="nil"/>
              <w:right w:val="nil"/>
            </w:tcBorders>
          </w:tcPr>
          <w:p w14:paraId="7923AA05" w14:textId="5E60AC02" w:rsidR="00FB5EB7" w:rsidRPr="00AA1DEF" w:rsidRDefault="005F0F4D" w:rsidP="00FB5EB7">
            <w:pPr>
              <w:jc w:val="center"/>
              <w:rPr>
                <w:rFonts w:eastAsiaTheme="minorEastAsia"/>
                <w:sz w:val="18"/>
                <w:lang w:val="en-GB"/>
              </w:rPr>
            </w:pPr>
            <w:r>
              <w:rPr>
                <w:rFonts w:eastAsiaTheme="minorEastAsia"/>
                <w:sz w:val="18"/>
                <w:lang w:val="en-GB"/>
              </w:rPr>
              <w:t>0</w:t>
            </w:r>
          </w:p>
        </w:tc>
        <w:tc>
          <w:tcPr>
            <w:tcW w:w="1228" w:type="dxa"/>
            <w:tcBorders>
              <w:top w:val="single" w:sz="4" w:space="0" w:color="auto"/>
              <w:left w:val="nil"/>
              <w:bottom w:val="nil"/>
            </w:tcBorders>
          </w:tcPr>
          <w:p w14:paraId="683E6997" w14:textId="6AF14000" w:rsidR="00FB5EB7" w:rsidRPr="00AA1DEF" w:rsidRDefault="005F0F4D" w:rsidP="000F6F33">
            <w:pPr>
              <w:keepNext/>
              <w:jc w:val="center"/>
              <w:rPr>
                <w:rFonts w:eastAsiaTheme="minorEastAsia"/>
                <w:sz w:val="18"/>
                <w:lang w:val="en-GB"/>
              </w:rPr>
            </w:pPr>
            <w:r>
              <w:rPr>
                <w:rFonts w:eastAsiaTheme="minorEastAsia"/>
                <w:sz w:val="18"/>
                <w:lang w:val="en-GB"/>
              </w:rPr>
              <w:t>9</w:t>
            </w:r>
          </w:p>
        </w:tc>
      </w:tr>
    </w:tbl>
    <w:p w14:paraId="02B7A3A9" w14:textId="1960E3BD" w:rsidR="000F6F33" w:rsidRDefault="000F6F33">
      <w:pPr>
        <w:pStyle w:val="Caption"/>
      </w:pPr>
      <w:r>
        <w:t xml:space="preserve">            </w:t>
      </w:r>
      <w:r w:rsidRPr="000F6F33">
        <w:rPr>
          <w:color w:val="auto"/>
        </w:rPr>
        <w:t xml:space="preserve">Table </w:t>
      </w:r>
      <w:r w:rsidRPr="000F6F33">
        <w:rPr>
          <w:color w:val="auto"/>
        </w:rPr>
        <w:fldChar w:fldCharType="begin"/>
      </w:r>
      <w:r w:rsidRPr="000F6F33">
        <w:rPr>
          <w:color w:val="auto"/>
        </w:rPr>
        <w:instrText xml:space="preserve"> SEQ Table \* ARABIC </w:instrText>
      </w:r>
      <w:r w:rsidRPr="000F6F33">
        <w:rPr>
          <w:color w:val="auto"/>
        </w:rPr>
        <w:fldChar w:fldCharType="separate"/>
      </w:r>
      <w:r w:rsidR="008F2A12">
        <w:rPr>
          <w:noProof/>
          <w:color w:val="auto"/>
        </w:rPr>
        <w:t>8</w:t>
      </w:r>
      <w:r w:rsidRPr="000F6F33">
        <w:rPr>
          <w:color w:val="auto"/>
        </w:rPr>
        <w:fldChar w:fldCharType="end"/>
      </w:r>
      <w:r w:rsidRPr="000F6F33">
        <w:rPr>
          <w:color w:val="auto"/>
        </w:rPr>
        <w:t>. Confusion matrix of Measured-Predicted sets displaying classidication result with errors.</w:t>
      </w:r>
    </w:p>
    <w:p w14:paraId="3F17A47B" w14:textId="659CD5D4" w:rsidR="00BA5A21" w:rsidRDefault="00AC47E0" w:rsidP="0014771D">
      <w:pPr>
        <w:ind w:firstLine="708"/>
        <w:jc w:val="both"/>
        <w:rPr>
          <w:rFonts w:eastAsiaTheme="minorEastAsia"/>
          <w:lang w:val="en-GB"/>
        </w:rPr>
      </w:pPr>
      <w:r>
        <w:rPr>
          <w:rFonts w:eastAsiaTheme="minorEastAsia"/>
          <w:lang w:val="en-GB"/>
        </w:rPr>
        <w:t xml:space="preserve">The accuracy was tested with </w:t>
      </w:r>
      <w:r w:rsidR="003E0795">
        <w:rPr>
          <w:rFonts w:eastAsiaTheme="minorEastAsia"/>
          <w:lang w:val="en-GB"/>
        </w:rPr>
        <w:t>100</w:t>
      </w:r>
      <w:r>
        <w:rPr>
          <w:rFonts w:eastAsiaTheme="minorEastAsia"/>
          <w:lang w:val="en-GB"/>
        </w:rPr>
        <w:t xml:space="preserve"> fold </w:t>
      </w:r>
      <w:proofErr w:type="gramStart"/>
      <w:r>
        <w:rPr>
          <w:rFonts w:eastAsiaTheme="minorEastAsia"/>
          <w:lang w:val="en-GB"/>
        </w:rPr>
        <w:t xml:space="preserve">variants </w:t>
      </w:r>
      <w:r w:rsidR="003E0795">
        <w:rPr>
          <w:rFonts w:eastAsiaTheme="minorEastAsia"/>
          <w:lang w:val="en-GB"/>
        </w:rPr>
        <w:t xml:space="preserve"> with</w:t>
      </w:r>
      <w:proofErr w:type="gramEnd"/>
      <w:r w:rsidR="003E0795">
        <w:rPr>
          <w:rFonts w:eastAsiaTheme="minorEastAsia"/>
          <w:lang w:val="en-GB"/>
        </w:rPr>
        <w:t xml:space="preserve"> k ranging from 10 to 500 </w:t>
      </w:r>
      <w:r>
        <w:rPr>
          <w:rFonts w:eastAsiaTheme="minorEastAsia"/>
          <w:lang w:val="en-GB"/>
        </w:rPr>
        <w:t>to check for any changes in model performance.</w:t>
      </w:r>
      <w:r w:rsidR="001E41BA">
        <w:rPr>
          <w:rFonts w:eastAsiaTheme="minorEastAsia"/>
          <w:lang w:val="en-GB"/>
        </w:rPr>
        <w:t xml:space="preserve"> </w:t>
      </w:r>
      <w:r w:rsidR="00A47CC7">
        <w:rPr>
          <w:rFonts w:eastAsiaTheme="minorEastAsia"/>
          <w:lang w:val="en-GB"/>
        </w:rPr>
        <w:t>With k interval of 5, the best accuracy is obtained at k</w:t>
      </w:r>
      <w:r w:rsidR="003E0795">
        <w:rPr>
          <w:rFonts w:eastAsiaTheme="minorEastAsia"/>
          <w:lang w:val="en-GB"/>
        </w:rPr>
        <w:t xml:space="preserve"> </w:t>
      </w:r>
      <w:r w:rsidR="00A47CC7">
        <w:rPr>
          <w:rFonts w:eastAsiaTheme="minorEastAsia"/>
          <w:lang w:val="en-GB"/>
        </w:rPr>
        <w:t>=</w:t>
      </w:r>
      <w:r w:rsidR="003E0795">
        <w:rPr>
          <w:rFonts w:eastAsiaTheme="minorEastAsia"/>
          <w:lang w:val="en-GB"/>
        </w:rPr>
        <w:t xml:space="preserve"> 165 (0.95364)</w:t>
      </w:r>
      <w:r w:rsidR="00A47CC7">
        <w:rPr>
          <w:rFonts w:eastAsiaTheme="minorEastAsia"/>
          <w:lang w:val="en-GB"/>
        </w:rPr>
        <w:t>, while worst behaviour is observed for k</w:t>
      </w:r>
      <w:r w:rsidR="003E0795">
        <w:rPr>
          <w:rFonts w:eastAsiaTheme="minorEastAsia"/>
          <w:lang w:val="en-GB"/>
        </w:rPr>
        <w:t xml:space="preserve"> </w:t>
      </w:r>
      <w:r w:rsidR="00A47CC7">
        <w:rPr>
          <w:rFonts w:eastAsiaTheme="minorEastAsia"/>
          <w:lang w:val="en-GB"/>
        </w:rPr>
        <w:t>=</w:t>
      </w:r>
      <w:r w:rsidR="003E0795">
        <w:rPr>
          <w:rFonts w:eastAsiaTheme="minorEastAsia"/>
          <w:lang w:val="en-GB"/>
        </w:rPr>
        <w:t xml:space="preserve"> 150 (0.92867)</w:t>
      </w:r>
      <w:r w:rsidR="00A47CC7">
        <w:rPr>
          <w:rFonts w:eastAsiaTheme="minorEastAsia"/>
          <w:lang w:val="en-GB"/>
        </w:rPr>
        <w:t>, model stabilizes at about k</w:t>
      </w:r>
      <w:r w:rsidR="003E0795">
        <w:rPr>
          <w:rFonts w:eastAsiaTheme="minorEastAsia"/>
          <w:lang w:val="en-GB"/>
        </w:rPr>
        <w:t xml:space="preserve"> </w:t>
      </w:r>
      <w:r w:rsidR="00A47CC7">
        <w:rPr>
          <w:rFonts w:eastAsiaTheme="minorEastAsia"/>
          <w:lang w:val="en-GB"/>
        </w:rPr>
        <w:t>=</w:t>
      </w:r>
      <w:r w:rsidR="003E0795">
        <w:rPr>
          <w:rFonts w:eastAsiaTheme="minorEastAsia"/>
          <w:lang w:val="en-GB"/>
        </w:rPr>
        <w:t xml:space="preserve"> 320</w:t>
      </w:r>
      <w:r w:rsidR="00A47CC7">
        <w:rPr>
          <w:rFonts w:eastAsiaTheme="minorEastAsia"/>
          <w:lang w:val="en-GB"/>
        </w:rPr>
        <w:t xml:space="preserve">, reaching accuracy of </w:t>
      </w:r>
      <w:r w:rsidR="003E0795">
        <w:rPr>
          <w:rFonts w:eastAsiaTheme="minorEastAsia"/>
          <w:lang w:val="en-GB"/>
        </w:rPr>
        <w:t>0.9</w:t>
      </w:r>
      <w:r w:rsidR="007F1968">
        <w:rPr>
          <w:rFonts w:eastAsiaTheme="minorEastAsia"/>
          <w:lang w:val="en-GB"/>
        </w:rPr>
        <w:t>4239</w:t>
      </w:r>
      <w:r w:rsidR="003E0795">
        <w:rPr>
          <w:rFonts w:eastAsiaTheme="minorEastAsia"/>
          <w:lang w:val="en-GB"/>
        </w:rPr>
        <w:t xml:space="preserve"> (Figure 14)</w:t>
      </w:r>
      <w:r w:rsidR="00A47CC7">
        <w:rPr>
          <w:rFonts w:eastAsiaTheme="minorEastAsia"/>
          <w:lang w:val="en-GB"/>
        </w:rPr>
        <w:t>.</w:t>
      </w:r>
    </w:p>
    <w:p w14:paraId="490ABEB7" w14:textId="77777777" w:rsidR="0009788D" w:rsidRDefault="003E0795" w:rsidP="0009788D">
      <w:pPr>
        <w:keepNext/>
        <w:jc w:val="both"/>
      </w:pPr>
      <w:r>
        <w:rPr>
          <w:noProof/>
        </w:rPr>
        <w:drawing>
          <wp:inline distT="0" distB="0" distL="0" distR="0" wp14:anchorId="16C2EC81" wp14:editId="750F6AEB">
            <wp:extent cx="5760720" cy="1993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993900"/>
                    </a:xfrm>
                    <a:prstGeom prst="rect">
                      <a:avLst/>
                    </a:prstGeom>
                    <a:noFill/>
                    <a:ln>
                      <a:noFill/>
                    </a:ln>
                  </pic:spPr>
                </pic:pic>
              </a:graphicData>
            </a:graphic>
          </wp:inline>
        </w:drawing>
      </w:r>
    </w:p>
    <w:p w14:paraId="3C435636" w14:textId="5B141093" w:rsidR="0009788D" w:rsidRPr="0009788D" w:rsidRDefault="0009788D" w:rsidP="0009788D">
      <w:pPr>
        <w:pStyle w:val="Caption"/>
        <w:jc w:val="both"/>
        <w:rPr>
          <w:color w:val="auto"/>
        </w:rPr>
      </w:pPr>
      <w:r w:rsidRPr="0009788D">
        <w:rPr>
          <w:color w:val="auto"/>
        </w:rPr>
        <w:t>Figure 14. Accuracy changes for given k-folds - model stabilizes at k = 320 reaching 0.9</w:t>
      </w:r>
      <w:r w:rsidR="007F1968">
        <w:rPr>
          <w:color w:val="auto"/>
        </w:rPr>
        <w:t>4239</w:t>
      </w:r>
      <w:r w:rsidRPr="0009788D">
        <w:rPr>
          <w:color w:val="auto"/>
        </w:rPr>
        <w:t xml:space="preserve"> arccuracy ratio.</w:t>
      </w:r>
    </w:p>
    <w:p w14:paraId="185AF101" w14:textId="72C34A6A" w:rsidR="00B85F30" w:rsidRDefault="00AC47E0" w:rsidP="00B85F30">
      <w:pPr>
        <w:jc w:val="both"/>
        <w:rPr>
          <w:rFonts w:eastAsiaTheme="minorEastAsia"/>
          <w:lang w:val="en-GB"/>
        </w:rPr>
      </w:pPr>
      <w:r>
        <w:rPr>
          <w:rFonts w:eastAsiaTheme="minorEastAsia"/>
          <w:lang w:val="en-GB"/>
        </w:rPr>
        <w:t xml:space="preserve">  </w:t>
      </w:r>
    </w:p>
    <w:p w14:paraId="6D3CA8AA" w14:textId="7B3D38AB" w:rsidR="00882569" w:rsidRPr="00063D2E" w:rsidRDefault="00882569" w:rsidP="00882569">
      <w:pPr>
        <w:jc w:val="both"/>
        <w:rPr>
          <w:b/>
          <w:bCs/>
          <w:lang w:val="en-GB"/>
        </w:rPr>
      </w:pPr>
      <w:r>
        <w:rPr>
          <w:b/>
          <w:bCs/>
          <w:lang w:val="en-GB"/>
        </w:rPr>
        <w:t>4</w:t>
      </w:r>
      <w:r w:rsidRPr="00063D2E">
        <w:rPr>
          <w:b/>
          <w:bCs/>
          <w:lang w:val="en-GB"/>
        </w:rPr>
        <w:t>.</w:t>
      </w:r>
      <w:r w:rsidRPr="00063D2E">
        <w:rPr>
          <w:b/>
          <w:bCs/>
          <w:lang w:val="en-GB"/>
        </w:rPr>
        <w:tab/>
      </w:r>
      <w:r>
        <w:rPr>
          <w:b/>
          <w:bCs/>
          <w:lang w:val="en-GB"/>
        </w:rPr>
        <w:t>Discussion</w:t>
      </w:r>
    </w:p>
    <w:p w14:paraId="49AE5417" w14:textId="39DDD243" w:rsidR="00061F3B" w:rsidRPr="00061F3B" w:rsidRDefault="002D0766" w:rsidP="00CA18F2">
      <w:pPr>
        <w:spacing w:after="0"/>
        <w:ind w:firstLine="708"/>
        <w:jc w:val="both"/>
        <w:rPr>
          <w:lang w:val="en-GB"/>
        </w:rPr>
      </w:pPr>
      <w:r w:rsidRPr="002D0766">
        <w:rPr>
          <w:lang w:val="en-GB"/>
        </w:rPr>
        <w:t xml:space="preserve">This study </w:t>
      </w:r>
      <w:r>
        <w:rPr>
          <w:lang w:val="en-GB"/>
        </w:rPr>
        <w:t xml:space="preserve">considered the explanatory ability of machine learning based ecological state classificator </w:t>
      </w:r>
      <w:r w:rsidR="00857AE0">
        <w:rPr>
          <w:lang w:val="en-GB"/>
        </w:rPr>
        <w:t xml:space="preserve">for lakes </w:t>
      </w:r>
      <w:r>
        <w:rPr>
          <w:lang w:val="en-GB"/>
        </w:rPr>
        <w:t xml:space="preserve">with reduced dimensionality </w:t>
      </w:r>
      <w:r w:rsidR="00920C2F">
        <w:rPr>
          <w:lang w:val="en-GB"/>
        </w:rPr>
        <w:t>based on measurements provided for</w:t>
      </w:r>
      <w:r>
        <w:rPr>
          <w:lang w:val="en-GB"/>
        </w:rPr>
        <w:t xml:space="preserve"> 499 lakes in Poland. </w:t>
      </w:r>
      <w:r w:rsidR="00061F3B" w:rsidRPr="00061F3B">
        <w:rPr>
          <w:lang w:val="en-GB"/>
        </w:rPr>
        <w:t xml:space="preserve">In the classifier, we made an attempt to recreate the classification procedure imitating the procedure in accordance with the principles of expert categorization (CIEP, 2015) and the WFD guidelines (European Environmental Agency, 2018) in order to achieve a tool to support future decision-making processes, as well as the detection of objects </w:t>
      </w:r>
      <w:proofErr w:type="gramStart"/>
      <w:r w:rsidR="00061F3B" w:rsidRPr="00061F3B">
        <w:rPr>
          <w:lang w:val="en-GB"/>
        </w:rPr>
        <w:t>whose</w:t>
      </w:r>
      <w:proofErr w:type="gramEnd"/>
      <w:r w:rsidR="00061F3B" w:rsidRPr="00061F3B">
        <w:rPr>
          <w:lang w:val="en-GB"/>
        </w:rPr>
        <w:t xml:space="preserve"> belonging to a given ecological </w:t>
      </w:r>
      <w:r w:rsidR="00AB7E8F" w:rsidRPr="00061F3B">
        <w:rPr>
          <w:lang w:val="en-GB"/>
        </w:rPr>
        <w:t xml:space="preserve">state class </w:t>
      </w:r>
      <w:r w:rsidR="00061F3B" w:rsidRPr="00061F3B">
        <w:rPr>
          <w:lang w:val="en-GB"/>
        </w:rPr>
        <w:t>should be particularly justified.</w:t>
      </w:r>
      <w:r w:rsidR="002A0E7F">
        <w:rPr>
          <w:lang w:val="en-GB"/>
        </w:rPr>
        <w:t xml:space="preserve">  </w:t>
      </w:r>
      <w:r w:rsidR="00061F3B" w:rsidRPr="00061F3B">
        <w:rPr>
          <w:lang w:val="en-GB"/>
        </w:rPr>
        <w:t>When creating a classifier based on the non-linear SVM kernel approach, the dimensionality reduction technique (LDA) was used to reduce the set to two dimensions, which explain 99.5% of its internal variability.</w:t>
      </w:r>
      <w:r w:rsidR="00061F3B">
        <w:rPr>
          <w:lang w:val="en-GB"/>
        </w:rPr>
        <w:t xml:space="preserve"> </w:t>
      </w:r>
      <w:r w:rsidR="00061F3B" w:rsidRPr="00061F3B">
        <w:rPr>
          <w:lang w:val="en-GB"/>
        </w:rPr>
        <w:t>The model with the classification efficiency of 94</w:t>
      </w:r>
      <w:r w:rsidR="00920C2F">
        <w:rPr>
          <w:lang w:val="en-GB"/>
        </w:rPr>
        <w:t>.</w:t>
      </w:r>
      <w:r w:rsidR="00061F3B" w:rsidRPr="00061F3B">
        <w:rPr>
          <w:lang w:val="en-GB"/>
        </w:rPr>
        <w:t>25</w:t>
      </w:r>
      <w:r w:rsidR="00920C2F">
        <w:rPr>
          <w:lang w:val="en-GB"/>
        </w:rPr>
        <w:t>%</w:t>
      </w:r>
      <w:r w:rsidR="00061F3B" w:rsidRPr="00061F3B">
        <w:rPr>
          <w:lang w:val="en-GB"/>
        </w:rPr>
        <w:t xml:space="preserve"> after ten standard iterations obtained stabilization after 320 runs at the level of 94</w:t>
      </w:r>
      <w:r w:rsidR="00920C2F">
        <w:rPr>
          <w:lang w:val="en-GB"/>
        </w:rPr>
        <w:t>.</w:t>
      </w:r>
      <w:r w:rsidR="00061F3B" w:rsidRPr="00061F3B">
        <w:rPr>
          <w:lang w:val="en-GB"/>
        </w:rPr>
        <w:t>239</w:t>
      </w:r>
      <w:r w:rsidR="00920C2F">
        <w:rPr>
          <w:lang w:val="en-GB"/>
        </w:rPr>
        <w:t>%</w:t>
      </w:r>
      <w:r w:rsidR="00061F3B" w:rsidRPr="00061F3B">
        <w:rPr>
          <w:lang w:val="en-GB"/>
        </w:rPr>
        <w:t xml:space="preserve"> accuracy.</w:t>
      </w:r>
      <w:r w:rsidR="00061F3B">
        <w:rPr>
          <w:lang w:val="en-GB"/>
        </w:rPr>
        <w:t xml:space="preserve"> </w:t>
      </w:r>
    </w:p>
    <w:p w14:paraId="07F853EF" w14:textId="39848B7A" w:rsidR="00E667F1" w:rsidRDefault="00FC716D" w:rsidP="00CA18F2">
      <w:pPr>
        <w:spacing w:after="0"/>
        <w:ind w:firstLine="708"/>
        <w:jc w:val="both"/>
        <w:rPr>
          <w:lang w:val="en-GB"/>
        </w:rPr>
      </w:pPr>
      <w:r w:rsidRPr="00FC716D">
        <w:rPr>
          <w:lang w:val="en-GB"/>
        </w:rPr>
        <w:lastRenderedPageBreak/>
        <w:t xml:space="preserve">The final </w:t>
      </w:r>
      <w:proofErr w:type="spellStart"/>
      <w:r w:rsidR="004B5A83">
        <w:rPr>
          <w:lang w:val="en-GB"/>
        </w:rPr>
        <w:t>predictory</w:t>
      </w:r>
      <w:proofErr w:type="spellEnd"/>
      <w:r w:rsidR="004B5A83">
        <w:rPr>
          <w:lang w:val="en-GB"/>
        </w:rPr>
        <w:t xml:space="preserve"> skill</w:t>
      </w:r>
      <w:r w:rsidRPr="00FC716D">
        <w:rPr>
          <w:lang w:val="en-GB"/>
        </w:rPr>
        <w:t xml:space="preserve"> was weakened by the presence of four classification errors.</w:t>
      </w:r>
      <w:r>
        <w:rPr>
          <w:lang w:val="en-GB"/>
        </w:rPr>
        <w:t xml:space="preserve"> </w:t>
      </w:r>
      <w:r w:rsidRPr="00FC716D">
        <w:rPr>
          <w:lang w:val="en-GB"/>
        </w:rPr>
        <w:t xml:space="preserve">The same errors appear consistently in </w:t>
      </w:r>
      <w:r w:rsidR="00A229CB">
        <w:rPr>
          <w:lang w:val="en-GB"/>
        </w:rPr>
        <w:t>all</w:t>
      </w:r>
      <w:r w:rsidR="00A229CB" w:rsidRPr="00FC716D">
        <w:rPr>
          <w:lang w:val="en-GB"/>
        </w:rPr>
        <w:t xml:space="preserve"> </w:t>
      </w:r>
      <w:r w:rsidRPr="00FC716D">
        <w:rPr>
          <w:lang w:val="en-GB"/>
        </w:rPr>
        <w:t>of the test folds, for any</w:t>
      </w:r>
      <w:r w:rsidR="004B5A83">
        <w:rPr>
          <w:lang w:val="en-GB"/>
        </w:rPr>
        <w:t xml:space="preserve"> proposed</w:t>
      </w:r>
      <w:r w:rsidRPr="00FC716D">
        <w:rPr>
          <w:lang w:val="en-GB"/>
        </w:rPr>
        <w:t xml:space="preserve"> k.</w:t>
      </w:r>
      <w:r>
        <w:rPr>
          <w:lang w:val="en-GB"/>
        </w:rPr>
        <w:t xml:space="preserve"> </w:t>
      </w:r>
      <w:r w:rsidR="005D749F">
        <w:rPr>
          <w:lang w:val="en-GB"/>
        </w:rPr>
        <w:t xml:space="preserve">Even </w:t>
      </w:r>
      <w:r w:rsidR="00A229CB">
        <w:rPr>
          <w:lang w:val="en-GB"/>
        </w:rPr>
        <w:t xml:space="preserve">a </w:t>
      </w:r>
      <w:r w:rsidR="005D749F">
        <w:rPr>
          <w:lang w:val="en-GB"/>
        </w:rPr>
        <w:t xml:space="preserve">robust kernel-based SVM model was unable to recreate </w:t>
      </w:r>
      <w:r w:rsidR="00F75451">
        <w:rPr>
          <w:lang w:val="en-GB"/>
        </w:rPr>
        <w:t>observed</w:t>
      </w:r>
      <w:r w:rsidR="005D749F">
        <w:rPr>
          <w:lang w:val="en-GB"/>
        </w:rPr>
        <w:t xml:space="preserve"> grouping pattern</w:t>
      </w:r>
      <w:r w:rsidR="00AB7E8F">
        <w:rPr>
          <w:lang w:val="en-GB"/>
        </w:rPr>
        <w:t>s</w:t>
      </w:r>
      <w:r w:rsidR="005D749F">
        <w:rPr>
          <w:lang w:val="en-GB"/>
        </w:rPr>
        <w:t xml:space="preserve">. </w:t>
      </w:r>
      <w:r w:rsidRPr="00FC716D">
        <w:rPr>
          <w:lang w:val="en-GB"/>
        </w:rPr>
        <w:t xml:space="preserve">There are a number of possible reasons for this: </w:t>
      </w:r>
      <w:r w:rsidR="00AB7E8F">
        <w:rPr>
          <w:lang w:val="en-GB"/>
        </w:rPr>
        <w:t xml:space="preserve">(a) </w:t>
      </w:r>
      <w:r w:rsidRPr="00FC716D">
        <w:rPr>
          <w:lang w:val="en-GB"/>
        </w:rPr>
        <w:t xml:space="preserve">the unexplained variability of residual discriminants hides </w:t>
      </w:r>
      <w:r w:rsidR="00C52E95">
        <w:rPr>
          <w:lang w:val="en-GB"/>
        </w:rPr>
        <w:t>eigenvalues</w:t>
      </w:r>
      <w:r w:rsidR="00C52E95" w:rsidRPr="00FC716D">
        <w:rPr>
          <w:lang w:val="en-GB"/>
        </w:rPr>
        <w:t xml:space="preserve"> </w:t>
      </w:r>
      <w:r w:rsidRPr="00FC716D">
        <w:rPr>
          <w:lang w:val="en-GB"/>
        </w:rPr>
        <w:t>necessary for the correct classification of four objects</w:t>
      </w:r>
      <w:r w:rsidR="00AB7E8F">
        <w:rPr>
          <w:lang w:val="en-GB"/>
        </w:rPr>
        <w:t>; (b)</w:t>
      </w:r>
      <w:r w:rsidR="005C7032">
        <w:rPr>
          <w:lang w:val="en-GB"/>
        </w:rPr>
        <w:t xml:space="preserve"> </w:t>
      </w:r>
      <w:r w:rsidR="00AB7E8F">
        <w:rPr>
          <w:lang w:val="en-GB"/>
        </w:rPr>
        <w:t>T</w:t>
      </w:r>
      <w:r w:rsidR="005C7032">
        <w:rPr>
          <w:lang w:val="en-GB"/>
        </w:rPr>
        <w:t>here is an inconsequence in previous classification (</w:t>
      </w:r>
      <w:proofErr w:type="spellStart"/>
      <w:r w:rsidR="005C7032">
        <w:rPr>
          <w:lang w:val="en-GB"/>
        </w:rPr>
        <w:t>e.x</w:t>
      </w:r>
      <w:proofErr w:type="spellEnd"/>
      <w:r w:rsidR="005C7032">
        <w:rPr>
          <w:lang w:val="en-GB"/>
        </w:rPr>
        <w:t xml:space="preserve">. due to high uncertainty), or </w:t>
      </w:r>
      <w:r w:rsidR="00AB7E8F">
        <w:rPr>
          <w:lang w:val="en-GB"/>
        </w:rPr>
        <w:t xml:space="preserve">(c) </w:t>
      </w:r>
      <w:r w:rsidR="005C7032">
        <w:rPr>
          <w:lang w:val="en-GB"/>
        </w:rPr>
        <w:t xml:space="preserve">some remote factors exist which were </w:t>
      </w:r>
      <w:proofErr w:type="gramStart"/>
      <w:r w:rsidR="005C7032">
        <w:rPr>
          <w:lang w:val="en-GB"/>
        </w:rPr>
        <w:t>taken into account</w:t>
      </w:r>
      <w:proofErr w:type="gramEnd"/>
      <w:r w:rsidR="005C7032">
        <w:rPr>
          <w:lang w:val="en-GB"/>
        </w:rPr>
        <w:t xml:space="preserve"> - not included within the default grouping procedure</w:t>
      </w:r>
      <w:r w:rsidR="00E2034A">
        <w:rPr>
          <w:lang w:val="en-GB"/>
        </w:rPr>
        <w:t xml:space="preserve"> (e.</w:t>
      </w:r>
      <w:r w:rsidR="00A229CB">
        <w:rPr>
          <w:lang w:val="en-GB"/>
        </w:rPr>
        <w:t>g</w:t>
      </w:r>
      <w:r w:rsidR="00E2034A">
        <w:rPr>
          <w:lang w:val="en-GB"/>
        </w:rPr>
        <w:t>. expert insights)</w:t>
      </w:r>
      <w:r w:rsidR="005C7032">
        <w:rPr>
          <w:lang w:val="en-GB"/>
        </w:rPr>
        <w:t>.</w:t>
      </w:r>
      <w:r w:rsidR="00E2034A">
        <w:rPr>
          <w:lang w:val="en-GB"/>
        </w:rPr>
        <w:t xml:space="preserve"> </w:t>
      </w:r>
      <w:r w:rsidR="00090311">
        <w:rPr>
          <w:lang w:val="en-GB"/>
        </w:rPr>
        <w:t xml:space="preserve">Although we recognize the importance </w:t>
      </w:r>
      <w:r w:rsidR="00A229CB">
        <w:rPr>
          <w:lang w:val="en-GB"/>
        </w:rPr>
        <w:t xml:space="preserve">of </w:t>
      </w:r>
      <w:r w:rsidR="00090311">
        <w:rPr>
          <w:lang w:val="en-GB"/>
        </w:rPr>
        <w:t>lake-specific conditions</w:t>
      </w:r>
      <w:r w:rsidR="00A229CB">
        <w:rPr>
          <w:lang w:val="en-GB"/>
        </w:rPr>
        <w:t>,</w:t>
      </w:r>
      <w:r w:rsidR="00090311">
        <w:rPr>
          <w:lang w:val="en-GB"/>
        </w:rPr>
        <w:t xml:space="preserve"> our approach is rather pragmatic in deriving class-membership changing parameters from relatively unspecific knowledge, which cannot be efficiently retraced without detailed habitat surveys. </w:t>
      </w:r>
    </w:p>
    <w:p w14:paraId="7BFE5C95" w14:textId="62E0A1FE" w:rsidR="00E13B15" w:rsidRDefault="00FC716D" w:rsidP="00CA18F2">
      <w:pPr>
        <w:spacing w:after="0"/>
        <w:jc w:val="both"/>
        <w:rPr>
          <w:lang w:val="en-GB"/>
        </w:rPr>
      </w:pPr>
      <w:r w:rsidRPr="00FC716D">
        <w:rPr>
          <w:lang w:val="en-GB"/>
        </w:rPr>
        <w:t>In general, the goal of most models classifying the ecological state of ecosystems is universality, resistance to outliers, and optimal use of independent variables</w:t>
      </w:r>
      <w:r w:rsidR="004B5A83">
        <w:rPr>
          <w:lang w:val="en-GB"/>
        </w:rPr>
        <w:t xml:space="preserve"> </w:t>
      </w:r>
      <w:r w:rsidR="004B5A83">
        <w:rPr>
          <w:lang w:val="en-GB"/>
        </w:rPr>
        <w:fldChar w:fldCharType="begin" w:fldLock="1"/>
      </w:r>
      <w:r w:rsidR="0040535A">
        <w:rPr>
          <w:lang w:val="en-GB"/>
        </w:rPr>
        <w:instrText>ADDIN CSL_CITATION {"citationItems":[{"id":"ITEM-1","itemData":{"DOI":"10.1016/j.ecolmodel.2010.04.017","ISSN":"03043800","abstract":"Species distribution models have often been developed based on ecological data. To develop reliable data-driven models, however, a sound model training and evaluation procedures are needed. A crucial step in these procedures is the assessment of the model performance, with as key component the applied performance criterion. Therefore, we reviewed seven performance criteria commonly applied in presence-absence modelling (the correctly classified instances, Kappa, sensitivity, specificity, the normalised mutual information statistic, the true skill statistic and the odds ratio) and analysed their application in both the model training and evaluation process. Although estimates of predictive performance have been used widely to assess final model quality, a systematic overview was missing because most analyses of performance criteria have been empirical and only focused on specific aspects of the performance criteria. This paper provides such an overview showing that different performance criteria evaluate a model differently and that this difference may be explained by the dependency of these criteria on the prevalence of the validation set. We showed theoretically that these prevalence effects only occur if the data are inseparable by an n-dimensional hyperplane, n being the number of input variables. Given this inseparability, different performance criteria focus on different aspects of model performance during model training, such as sensitivity, specificity or predictive accuracy. These findings have important consequences for ecological modelling because ecological data are mostly inseparable due to data noise and the complexity of the studied system. Consequently, it should be very clear which aspect of the model performance is evaluated, and models should be evaluated consistently, that is, independent of, or taking into account, species prevalence. The practical implications of these findings are clear. They provide further insight into the evaluation of ecological presence/absence models and attempt to assist modellers in their choice of suitable performance criteria. © 2010 Elsevier B.V.","author":[{"dropping-particle":"","family":"Mouton","given":"Ans M.","non-dropping-particle":"","parse-names":false,"suffix":""},{"dropping-particle":"","family":"Baets","given":"Bernard","non-dropping-particle":"De","parse-names":false,"suffix":""},{"dropping-particle":"","family":"Goethals","given":"Peter L.M.","non-dropping-particle":"","parse-names":false,"suffix":""}],"container-title":"Ecological Modelling","id":"ITEM-1","issued":{"date-parts":[["2010"]]},"title":"Ecological relevance of performance criteria for species distribution models","type":"article"},"uris":["http://www.mendeley.com/documents/?uuid=dc878a0e-2694-487b-b86c-f30dba6ab46f"]},{"id":"ITEM-2","itemData":{"DOI":"10.1016/j.ecolmodel.2010.08.013","ISSN":"03043800","abstract":"Polder lakes in Flanders are stagnant waters that were flooded by the sea in the past. Several of these systems are colonized by exotic species, but have hardly been studied until present. The aim of the present study was: (1) to assess the influence of exotic macrobenthic species on the outcome of the Multimetric Macroinvertebrate Index Flanders (MMIF) and (2) to use classification trees for evaluating to what extent physical-chemical characteristics affect the presence of exotic species. In total, 27 mollusc and 10 macro-crustacean species were present in the monitored lakes of which respectively five and four were exotic. The exclusion of the exotic species from the MMIF resulted in a significant decline of this ecological index (-0.03 ± 0.04; p = 0.00). This elimination often resulted into a lower ecological water quality class and more samples were classified into the bad and poor ecological water quality classes. Single-target classification trees for Gammarus tigrinus and Potamopyrgus antipodarum were constructed, relating environmental parameters and ecological status (MMIF) to the occurrence of both exotic invasive species. The major advantages of using single-target classification trees are the transparency of the rule sets and the possibility to use relatively small datasets. However, this classification technique only predicts a single-target attribute and the trees of the different species are often hard to integrate and use for water managers. As a solution, a multi-target approach was used in the present study. Exotic molluscs and crustaceans communities were modelled based on environmental parameters and the ecological status (MMIF) using multi-target classification trees. Multi-target classification trees can be used in management planning and investment decisions as they can lead to integrated decisions for the whole set of exotic species and avoid the construction of many models for each individual species. These trees provide general insights concerning the occurrence patterns of individual crustaceans and molluscs in an integrated way. © 2010 Elsevier B.V.","author":[{"dropping-particle":"","family":"Everaert","given":"Gert","non-dropping-particle":"","parse-names":false,"suffix":""},{"dropping-particle":"","family":"Boets","given":"Pieter","non-dropping-particle":"","parse-names":false,"suffix":""},{"dropping-particle":"","family":"Lock","given":"Koen","non-dropping-particle":"","parse-names":false,"suffix":""},{"dropping-particle":"","family":"Džeroski","given":"Sašo","non-dropping-particle":"","parse-names":false,"suffix":""},{"dropping-particle":"","family":"Goethals","given":"Peter L.M.","non-dropping-particle":"","parse-names":false,"suffix":""}],"container-title":"Ecological Modelling","id":"ITEM-2","issued":{"date-parts":[["2011"]]},"title":"Using classification trees to analyze the impact of exotic species on the ecological assessment of polder lakes in Flanders, Belgium","type":"article-journal"},"uris":["http://www.mendeley.com/documents/?uuid=1b1ba275-1a1e-43e8-a193-99795a2cccf8"]}],"mendeley":{"formattedCitation":"(Mouton, De Baets, &amp; Goethals, 2010; Everaert et al., 2011)","plainTextFormattedCitation":"(Mouton, De Baets, &amp; Goethals, 2010; Everaert et al., 2011)","previouslyFormattedCitation":"(Mouton, De Baets, &amp; Goethals, 2010; Everaert et al., 2011)"},"properties":{"noteIndex":0},"schema":"https://github.com/citation-style-language/schema/raw/master/csl-citation.json"}</w:instrText>
      </w:r>
      <w:r w:rsidR="004B5A83">
        <w:rPr>
          <w:lang w:val="en-GB"/>
        </w:rPr>
        <w:fldChar w:fldCharType="separate"/>
      </w:r>
      <w:r w:rsidR="0040535A" w:rsidRPr="0040535A">
        <w:rPr>
          <w:noProof/>
          <w:lang w:val="en-GB"/>
        </w:rPr>
        <w:t>(Mouton, De Baets, &amp; Goethals, 2010; Everaert et al., 2011)</w:t>
      </w:r>
      <w:r w:rsidR="004B5A83">
        <w:rPr>
          <w:lang w:val="en-GB"/>
        </w:rPr>
        <w:fldChar w:fldCharType="end"/>
      </w:r>
      <w:r w:rsidRPr="00FC716D">
        <w:rPr>
          <w:lang w:val="en-GB"/>
        </w:rPr>
        <w:t>.</w:t>
      </w:r>
      <w:r>
        <w:rPr>
          <w:lang w:val="en-GB"/>
        </w:rPr>
        <w:t xml:space="preserve"> </w:t>
      </w:r>
      <w:r w:rsidRPr="00FC716D">
        <w:rPr>
          <w:lang w:val="en-GB"/>
        </w:rPr>
        <w:t xml:space="preserve">Moreover, it is just as important to cope with any </w:t>
      </w:r>
      <w:proofErr w:type="spellStart"/>
      <w:r w:rsidRPr="00FC716D">
        <w:rPr>
          <w:lang w:val="en-GB"/>
        </w:rPr>
        <w:t>ovelaps</w:t>
      </w:r>
      <w:proofErr w:type="spellEnd"/>
      <w:r w:rsidRPr="00FC716D">
        <w:rPr>
          <w:lang w:val="en-GB"/>
        </w:rPr>
        <w:t xml:space="preserve"> among classes resulting from classification mistakes, model shortcomings or existing uncertainties</w:t>
      </w:r>
      <w:r w:rsidR="0040535A">
        <w:rPr>
          <w:lang w:val="en-GB"/>
        </w:rPr>
        <w:t xml:space="preserve"> </w:t>
      </w:r>
      <w:r w:rsidR="0040535A">
        <w:rPr>
          <w:lang w:val="en-GB"/>
        </w:rPr>
        <w:fldChar w:fldCharType="begin" w:fldLock="1"/>
      </w:r>
      <w:r w:rsidR="0040535A">
        <w:rPr>
          <w:lang w:val="en-GB"/>
        </w:rPr>
        <w:instrText>ADDIN CSL_CITATION {"citationItems":[{"id":"ITEM-1","itemData":{"DOI":"10.1016/j.envsoft.2014.09.017","ISSN":"13648152","abstract":"There is an increasing need for environmental management advice that is wide-scoped, covering various interlinked policies, and realistic about the uncertainties related to the possible management actions. To achieve this, efficient decision support integrates the results of pre-existing models. Many environmental models are deterministic, but the uncertainty of their outcomes needs to be estimated when they are utilized for decision support. We review various methods that have been or could be applied to evaluate the uncertainty related to deterministic models' outputs. We cover expert judgement, model emulation, sensitivity analysis, temporal and spatial variability in the model outputs, the use of multiple models, and statistical approaches, and evaluate when these methods are appropriate and what must be taken into account when utilizing them. The best way to evaluate the uncertainty depends on the definitions of the source models and the amount and quality of information available to the modeller.","author":[{"dropping-particle":"","family":"Uusitalo","given":"Laura","non-dropping-particle":"","parse-names":false,"suffix":""},{"dropping-particle":"","family":"Lehikoinen","given":"Annukka","non-dropping-particle":"","parse-names":false,"suffix":""},{"dropping-particle":"","family":"Helle","given":"Inari","non-dropping-particle":"","parse-names":false,"suffix":""},{"dropping-particle":"","family":"Myrberg","given":"Kai","non-dropping-particle":"","parse-names":false,"suffix":""}],"container-title":"Environmental Modelling and Software","id":"ITEM-1","issued":{"date-parts":[["2015"]]},"title":"An overview of methods to evaluate uncertainty of deterministic models in decision support","type":"article"},"uris":["http://www.mendeley.com/documents/?uuid=a61e7d49-2797-4024-83af-5e8fbffe0dbe"]},{"id":"ITEM-2","itemData":{"DOI":"10.1007/978-3-319-98074-4","abstract":"With the continuous expansion of data availability in many large-scale, complex, and networked systems, such as surveillance, security, Internet, and finance, it becomes critical to advance the fundamental understanding of knowledge discovery and analysis from raw data to support decision-making processes. Although existing knowledge discovery and data engineering techniques have shown great success in many real-world applications, the problem of learning from imbalanced data (the imbalanced learning problem) is a relatively new challenge that has attracted growing attention from both academia and industry. The imbalanced learning problem is concerned with the performance of learning algorithms in the presence of underrepresented data and severe class distribution skews. Due to the inherent complex characteristics of imbalanced data sets, learning from such data requires new understandings, principles, algorithms, and tools to transform vast amounts of raw data efficiently into information and knowledge representation. In this paper, we provide a comprehensive review of the development of research in learning from imbalanced data. Our focus is to provide a critical review of the nature of the problem, the state-of-the-art technologies, and the current assessment metrics used to evaluate learning performance under the imbalanced learning scenario. Furthermore, in order to stimulate future research in this field, we also highlight the major opportunities and challenges, as well as potential important research directions for learning from imbalanced data. © 2009 IEEE.","author":[{"dropping-particle":"","family":"Fernández","given":"Alberto","non-dropping-particle":"","parse-names":false,"suffix":""},{"dropping-particle":"","family":"García","given":"Salvador","non-dropping-particle":"","parse-names":false,"suffix":""},{"dropping-particle":"","family":"Galar","given":"Mikel","non-dropping-particle":"","parse-names":false,"suffix":""},{"dropping-particle":"","family":"Prati","given":"Ronaldo C.","non-dropping-particle":"","parse-names":false,"suffix":""},{"dropping-particle":"","family":"Krawczyk","given":"Bartosz","non-dropping-particle":"","parse-names":false,"suffix":""},{"dropping-particle":"","family":"Herrera","given":"Francisco","non-dropping-particle":"","parse-names":false,"suffix":""}],"container-title":"Learning from Imbalanced Data Sets","id":"ITEM-2","issued":{"date-parts":[["2018"]]},"title":"Learning from Imbalanced Data Sets","type":"book"},"uris":["http://www.mendeley.com/documents/?uuid=95cf2116-9cec-4610-af70-2d0bb4a66c57"]}],"mendeley":{"formattedCitation":"(Uusitalo, Lehikoinen, Helle, &amp; Myrberg, 2015; Fernández et al., 2018)","plainTextFormattedCitation":"(Uusitalo, Lehikoinen, Helle, &amp; Myrberg, 2015; Fernández et al., 2018)","previouslyFormattedCitation":"(Uusitalo, Lehikoinen, Helle, &amp; Myrberg, 2015)"},"properties":{"noteIndex":0},"schema":"https://github.com/citation-style-language/schema/raw/master/csl-citation.json"}</w:instrText>
      </w:r>
      <w:r w:rsidR="0040535A">
        <w:rPr>
          <w:lang w:val="en-GB"/>
        </w:rPr>
        <w:fldChar w:fldCharType="separate"/>
      </w:r>
      <w:r w:rsidR="0040535A" w:rsidRPr="0040535A">
        <w:rPr>
          <w:noProof/>
          <w:lang w:val="en-GB"/>
        </w:rPr>
        <w:t>(Uusitalo, Lehikoinen, Helle, &amp; Myrberg, 2015; Fernández et al., 2018)</w:t>
      </w:r>
      <w:r w:rsidR="0040535A">
        <w:rPr>
          <w:lang w:val="en-GB"/>
        </w:rPr>
        <w:fldChar w:fldCharType="end"/>
      </w:r>
      <w:r w:rsidRPr="00FC716D">
        <w:rPr>
          <w:lang w:val="en-GB"/>
        </w:rPr>
        <w:t>.</w:t>
      </w:r>
      <w:r>
        <w:rPr>
          <w:lang w:val="en-GB"/>
        </w:rPr>
        <w:t xml:space="preserve"> </w:t>
      </w:r>
      <w:r w:rsidRPr="00FC716D">
        <w:rPr>
          <w:lang w:val="en-GB"/>
        </w:rPr>
        <w:t xml:space="preserve">In this work, the dimensionality reduction of the </w:t>
      </w:r>
      <w:proofErr w:type="gramStart"/>
      <w:r w:rsidRPr="00FC716D">
        <w:rPr>
          <w:lang w:val="en-GB"/>
        </w:rPr>
        <w:t>set in</w:t>
      </w:r>
      <w:proofErr w:type="gramEnd"/>
      <w:r w:rsidRPr="00FC716D">
        <w:rPr>
          <w:lang w:val="en-GB"/>
        </w:rPr>
        <w:t xml:space="preserve"> conjunction with the non-linear classifier fulfilled the role of an effective tool, using patterns, without forcing interference in the stability of individual ecological status classes indicated in the WFD.</w:t>
      </w:r>
      <w:r w:rsidR="004A207F">
        <w:rPr>
          <w:lang w:val="en-GB"/>
        </w:rPr>
        <w:t xml:space="preserve"> </w:t>
      </w:r>
    </w:p>
    <w:p w14:paraId="31D752A4" w14:textId="0E5CE0E6" w:rsidR="004800C2" w:rsidRDefault="004800C2" w:rsidP="00CA18F2">
      <w:pPr>
        <w:spacing w:after="0"/>
        <w:ind w:firstLine="708"/>
        <w:jc w:val="both"/>
        <w:rPr>
          <w:lang w:val="en-GB"/>
        </w:rPr>
      </w:pPr>
      <w:r>
        <w:rPr>
          <w:lang w:val="en-GB"/>
        </w:rPr>
        <w:t xml:space="preserve">One of the main issues of ecological state classification was addressed in the research – </w:t>
      </w:r>
      <w:r w:rsidR="00A229CB">
        <w:rPr>
          <w:lang w:val="en-GB"/>
        </w:rPr>
        <w:t xml:space="preserve">that </w:t>
      </w:r>
      <w:r>
        <w:rPr>
          <w:lang w:val="en-GB"/>
        </w:rPr>
        <w:t xml:space="preserve">missing data often hamper grouping methods. </w:t>
      </w:r>
      <w:r w:rsidR="00202583">
        <w:rPr>
          <w:lang w:val="en-GB"/>
        </w:rPr>
        <w:t xml:space="preserve">The PCA imputation approach acted as an alternative to methods used by </w:t>
      </w:r>
      <w:proofErr w:type="spellStart"/>
      <w:r w:rsidR="00492EE0">
        <w:rPr>
          <w:lang w:val="en-GB"/>
        </w:rPr>
        <w:t>De’Ath</w:t>
      </w:r>
      <w:proofErr w:type="spellEnd"/>
      <w:r w:rsidR="00492EE0">
        <w:rPr>
          <w:lang w:val="en-GB"/>
        </w:rPr>
        <w:t xml:space="preserve"> </w:t>
      </w:r>
      <w:r w:rsidR="00492EE0">
        <w:rPr>
          <w:lang w:val="en-GB"/>
        </w:rPr>
        <w:fldChar w:fldCharType="begin" w:fldLock="1"/>
      </w:r>
      <w:r w:rsidR="00492EE0">
        <w:rPr>
          <w:lang w:val="en-GB"/>
        </w:rPr>
        <w:instrText>ADDIN CSL_CITATION {"citationItems":[{"id":"ITEM-1","itemData":{"DOI":"10.1890/0012-9658(2000)081[3178:CARTAP]2.0.CO;2","ISSN":"00129658","abstract":"Classification and regression trees are ideally suited for the analysis of complex ecological data. For such data, we require flexible and robust analytical methods, which can deal with nonlinear relationships, high-order interactions, and missing values. Despite such difficulties, the methods should be simple to understand and give easily interpretable results. Trees explain variation of a single response variable by repeatedly splitting the data into more homogeneous groups, using combinations of explanatory variables that may be categorical and/or numeric. Each group is characterized by a typical value of the response variable, the number of observations in the group, and the values of the explanatory variables that define it. The tree is represented graphically, and this aids exploration and understanding. Trees can be used for interactive exploration and for description and prediction of patterns and processes. Advantages of trees include: (1) the flexibility to handle a broad range of response types, including numeric, categorical, ratings, and survival data; (2) invariance to monotonic transformations of the explanatory variables; (3) ease and robustness of construction; (4) ease of interpretation; and (5) the ability to handle missing values in both response and explanatory variables. Thus, trees complement or represent an alternative to many traditional statistical techniques, including multiple regression, analysis of variance, logistic regression, log-linear models, linear discriminant analysis, and survival models. We use classification and regression trees to analyze survey data from the Australian central Great Barrier Reef, comprising abundances of soft coral taxa (Cnidaria: Octocorallia) and physical and spatial environmental information. Regression tree analyses showed that dense aggregations, typically formed by three taxa, were restricted to distinct habitat types, each of which was defined by combinations of 3-4 environmental variables. The habitat definitions were consistent with known experimental findings on the nutrition of these taxa. When used separately, physical and spatial variables were similarly strong predictors of abundances and lost little in comparison with their joint use. The spatial variables are thus effective surrogates for the physical variables in this extensive reef complex, where information on the physical environment is often not available. Finally, we compare the use of regression trees and linear models fo…","author":[{"dropping-particle":"","family":"De'Ath","given":"G.","non-dropping-particle":"","parse-names":false,"suffix":""},{"dropping-particle":"","family":"Fabricius","given":"K. E.","non-dropping-particle":"","parse-names":false,"suffix":""}],"container-title":"Ecology","id":"ITEM-1","issued":{"date-parts":[["2000"]]},"title":"Classification and regression trees: A powerful yet simple technique for ecological data analysis","type":"article-journal"},"uris":["http://www.mendeley.com/documents/?uuid=412b3dc3-6e1f-4536-bf30-1f18eeaa8b38"]}],"mendeley":{"formattedCitation":"(De’Ath &amp; Fabricius, 2000)","plainTextFormattedCitation":"(De’Ath &amp; Fabricius, 2000)","previouslyFormattedCitation":"(De’Ath &amp; Fabricius, 2000)"},"properties":{"noteIndex":0},"schema":"https://github.com/citation-style-language/schema/raw/master/csl-citation.json"}</w:instrText>
      </w:r>
      <w:r w:rsidR="00492EE0">
        <w:rPr>
          <w:lang w:val="en-GB"/>
        </w:rPr>
        <w:fldChar w:fldCharType="separate"/>
      </w:r>
      <w:r w:rsidR="00492EE0" w:rsidRPr="00492EE0">
        <w:rPr>
          <w:noProof/>
          <w:lang w:val="en-GB"/>
        </w:rPr>
        <w:t>(De’Ath &amp; Fabricius, 2000)</w:t>
      </w:r>
      <w:r w:rsidR="00492EE0">
        <w:rPr>
          <w:lang w:val="en-GB"/>
        </w:rPr>
        <w:fldChar w:fldCharType="end"/>
      </w:r>
      <w:r w:rsidR="00492EE0">
        <w:rPr>
          <w:lang w:val="en-GB"/>
        </w:rPr>
        <w:t xml:space="preserve">, O’Hara </w:t>
      </w:r>
      <w:r w:rsidR="00492EE0">
        <w:rPr>
          <w:lang w:val="en-GB"/>
        </w:rPr>
        <w:fldChar w:fldCharType="begin" w:fldLock="1"/>
      </w:r>
      <w:r w:rsidR="00492EE0">
        <w:rPr>
          <w:lang w:val="en-GB"/>
        </w:rPr>
        <w:instrText xml:space="preserve">ADDIN CSL_CITATION {"citationItems":[{"id":"ITEM-1","itemData":{"DOI":"10.1890/0012-9658(2002)083[2408:BAOMD]2.0.CO;2","ISSN":"00129658","abstract":"A Bayesian approach is used to develop a method for fitting a metapopulation model (the incidence function model) to data on habitat patch occupancy, providing estimates of the five model parameters. Parameter estimation is carried out using a Markov chain Monte Carlo sampler, and data augmentation is used to include the effect of missing data in the analysis. The Bayesian approach allows us to take into account uncertainty about the parameter estimates when making predictions with the model. We demonstrate the methods of parameter estimation and prediction with simulated data. We first simulated metapopulation dynamics in real habitat patch networks with given parameter values and sampled the simulated data. Parameters were estimated both from full data sets, and from data sets with data for many years treated as missing. These estimates were then used to predict the distribution of time to extinction in modified networks, where patch areas had been reduced so that the real parameter values led to metapopulation extinction within </w:instrText>
      </w:r>
      <w:r w:rsidR="00492EE0">
        <w:rPr>
          <w:rFonts w:ascii="Cambria Math" w:hAnsi="Cambria Math" w:cs="Cambria Math"/>
          <w:lang w:val="en-GB"/>
        </w:rPr>
        <w:instrText>∼</w:instrText>
      </w:r>
      <w:r w:rsidR="00492EE0">
        <w:rPr>
          <w:lang w:val="en-GB"/>
        </w:rPr>
        <w:instrText>30 yr. We were successfully able to fit the model and found that, in some cases, the predictions can be sensitive to one of the parameters.","author":[{"dropping-particle":"","family":"O'Hara","given":"R. B.","non-dropping-particle":"","parse-names":false,"suffix":""},{"dropping-particle":"","family":"Arjas","given":"E.","non-dropping-particle":"","parse-names":false,"suffix":""},{"dropping-particle":"","family":"Toivonen","given":"H.","non-dropping-particle":"","parse-names":false,"suffix":""},{"dropping-particle":"","family":"Hanski","given":"I.","non-dropping-particle":"","parse-names":false,"suffix":""}],"container-title":"Ecology","id":"ITEM-1","issued":{"date-parts":[["2002"]]},"title":"Bayesian analysis of metapopulation data","type":"article-journal"},"uris":["http://www.mendeley.com/documents/?uuid=af54f39b-a1f0-405c-92b5-bad17485cafb"]}],"mendeley":{"formattedCitation":"(O’Hara, Arjas, Toivonen, &amp; Hanski, 2002)","plainTextFormattedCitation":"(O’Hara, Arjas, Toivonen, &amp; Hanski, 2002)","previouslyFormattedCitation":"(O’Hara, Arjas, Toivonen, &amp; Hanski, 2002)"},"properties":{"noteIndex":0},"schema":"https://github.com/citation-style-language/schema/raw/master/csl-citation.json"}</w:instrText>
      </w:r>
      <w:r w:rsidR="00492EE0">
        <w:rPr>
          <w:lang w:val="en-GB"/>
        </w:rPr>
        <w:fldChar w:fldCharType="separate"/>
      </w:r>
      <w:r w:rsidR="00492EE0" w:rsidRPr="00492EE0">
        <w:rPr>
          <w:noProof/>
          <w:lang w:val="en-GB"/>
        </w:rPr>
        <w:t>(O’Hara, Arjas, Toivonen, &amp; Hanski, 2002)</w:t>
      </w:r>
      <w:r w:rsidR="00492EE0">
        <w:rPr>
          <w:lang w:val="en-GB"/>
        </w:rPr>
        <w:fldChar w:fldCharType="end"/>
      </w:r>
      <w:r w:rsidR="00492EE0">
        <w:rPr>
          <w:lang w:val="en-GB"/>
        </w:rPr>
        <w:t xml:space="preserve">, and Ellington </w:t>
      </w:r>
      <w:r w:rsidR="00492EE0">
        <w:rPr>
          <w:lang w:val="en-GB"/>
        </w:rPr>
        <w:fldChar w:fldCharType="begin" w:fldLock="1"/>
      </w:r>
      <w:r w:rsidR="00F15CC6">
        <w:rPr>
          <w:lang w:val="en-GB"/>
        </w:rPr>
        <w:instrText>ADDIN CSL_CITATION {"citationItems":[{"id":"ITEM-1","itemData":{"DOI":"10.1111/2041-210X.12322","ISSN":"2041210X","abstract":"Summary: There is a growing need for scientific synthesis in ecology and evolution. In many cases, meta-analytic techniques can be used to complement such synthesis. However, missing data are a serious problem for any synthetic efforts and can compromise the integrity of meta-analyses in these and other disciplines. Currently, the prevalence of missing data in meta-analytic data sets in ecology and the efficacy of different remedies for this problem have not been adequately quantified. We generated meta-analytic data sets based on literature reviews of experimental and observational data and found that missing data were prevalent in meta-analytic ecological data sets. We then tested the performance of complete case removal (a widely used method when data are missing) and multiple imputation (an alternative method for data recovery) and assessed model bias, precision and multimodel rankings under a variety of simulated conditions using published meta-regression data sets. We found that complete case removal led to biased and imprecise coefficient estimates and yielded poorly specified models. In contrast, multiple imputation provided unbiased parameter estimates with only a small loss in precision. The performance of multiple imputation, however, was dependent on the type of data missing. It performed best when missing values were weighting variables, but performance was mixed when missing values were predictor variables. Multiple imputation performed poorly when imputing raw data which were then used to calculate effect size and the weighting variable. We conclude that complete case removal should not be used in meta-regression and that multiple imputation has the potential to be an indispensable tool for meta-regression in ecology and evolution. However, we recommend that users assess the performance of multiple imputation by simulating missing data on a subset of their data before implementing it to recover actual missing data.","author":[{"dropping-particle":"","family":"Ellington","given":"E. Hance","non-dropping-particle":"","parse-names":false,"suffix":""},{"dropping-particle":"","family":"Bastille-Rousseau","given":"Guillaume","non-dropping-particle":"","parse-names":false,"suffix":""},{"dropping-particle":"","family":"Austin","given":"Cayla","non-dropping-particle":"","parse-names":false,"suffix":""},{"dropping-particle":"","family":"Landolt","given":"Kristen N.","non-dropping-particle":"","parse-names":false,"suffix":""},{"dropping-particle":"","family":"Pond","given":"Bruce A.","non-dropping-particle":"","parse-names":false,"suffix":""},{"dropping-particle":"","family":"Rees","given":"Erin E.","non-dropping-particle":"","parse-names":false,"suffix":""},{"dropping-particle":"","family":"Robar","given":"Nicholas","non-dropping-particle":"","parse-names":false,"suffix":""},{"dropping-particle":"","family":"Murray","given":"Dennis L.","non-dropping-particle":"","parse-names":false,"suffix":""}],"container-title":"Methods in Ecology and Evolution","id":"ITEM-1","issued":{"date-parts":[["2015"]]},"title":"Using multiple imputation to estimate missing data in meta-regression","type":"article-journal"},"uris":["http://www.mendeley.com/documents/?uuid=42d72a39-f105-4604-a9dc-14e03022ee2e"]}],"mendeley":{"formattedCitation":"(Ellington et al., 2015)","plainTextFormattedCitation":"(Ellington et al., 2015)","previouslyFormattedCitation":"(Ellington et al., 2015)"},"properties":{"noteIndex":0},"schema":"https://github.com/citation-style-language/schema/raw/master/csl-citation.json"}</w:instrText>
      </w:r>
      <w:r w:rsidR="00492EE0">
        <w:rPr>
          <w:lang w:val="en-GB"/>
        </w:rPr>
        <w:fldChar w:fldCharType="separate"/>
      </w:r>
      <w:r w:rsidR="00492EE0" w:rsidRPr="00492EE0">
        <w:rPr>
          <w:noProof/>
          <w:lang w:val="en-GB"/>
        </w:rPr>
        <w:t>(Ellington et al., 2015)</w:t>
      </w:r>
      <w:r w:rsidR="00492EE0">
        <w:rPr>
          <w:lang w:val="en-GB"/>
        </w:rPr>
        <w:fldChar w:fldCharType="end"/>
      </w:r>
      <w:r w:rsidR="00492EE0">
        <w:rPr>
          <w:lang w:val="en-GB"/>
        </w:rPr>
        <w:t xml:space="preserve"> in ecological classification studies. </w:t>
      </w:r>
      <w:r w:rsidR="00FC716D" w:rsidRPr="00FC716D">
        <w:rPr>
          <w:lang w:val="en-GB"/>
        </w:rPr>
        <w:t xml:space="preserve">We have chosen </w:t>
      </w:r>
      <w:r w:rsidR="00A229CB">
        <w:rPr>
          <w:lang w:val="en-GB"/>
        </w:rPr>
        <w:t xml:space="preserve">an </w:t>
      </w:r>
      <w:r w:rsidR="00FC716D" w:rsidRPr="00FC716D">
        <w:rPr>
          <w:lang w:val="en-GB"/>
        </w:rPr>
        <w:t xml:space="preserve">approach which tends to minimize the absolute difference between correlations among variables prior to and after the imputation process while boosting the overall explanatory skill of developed discriminants, following the research of Dray </w:t>
      </w:r>
      <w:r w:rsidR="00F15CC6">
        <w:rPr>
          <w:lang w:val="en-GB"/>
        </w:rPr>
        <w:fldChar w:fldCharType="begin" w:fldLock="1"/>
      </w:r>
      <w:r w:rsidR="00F15CC6">
        <w:rPr>
          <w:lang w:val="en-GB"/>
        </w:rPr>
        <w:instrText>ADDIN CSL_CITATION {"citationItems":[{"id":"ITEM-1","itemData":{"DOI":"10.1007/s11258-014-0406-z","ISSN":"15735052","abstract":"Principal component analysis (PCA) is a standard technique to summarize the main structures of a data table containing the measurements of several quantitative variables for a number of individuals. Here, we study the case where some of the data values are missing and propose a review of methods which accommodate PCA to missing data. In plant ecology, this statistical challenge relates to the current effort to compile global plant functional trait databases producing matrices with a large amount of missing values. We present several techniques to consider or estimate (impute) missing values in PCA and compare them using theoretical considerations. We carried out a simulation study to evaluate the relative merits of the different approaches in various situations (correlation structure, number of variables and individuals, and percentage of missing values) and also applied them on a real data set. Lastly, we discuss the advantages and drawbacks of these approaches, the potential pitfalls and future challenges that need to be addressed in the future.","author":[{"dropping-particle":"","family":"Dray","given":"Stéphane","non-dropping-particle":"","parse-names":false,"suffix":""},{"dropping-particle":"","family":"Josse","given":"Julie","non-dropping-particle":"","parse-names":false,"suffix":""}],"container-title":"Plant Ecology","id":"ITEM-1","issued":{"date-parts":[["2015"]]},"title":"Principal component analysis with missing values: a comparative survey of methods","type":"article-journal"},"uris":["http://www.mendeley.com/documents/?uuid=f3dfd922-ea82-4ae1-8f03-fc3cfae858c5"]}],"mendeley":{"formattedCitation":"(Dray &amp; Josse, 2015)","plainTextFormattedCitation":"(Dray &amp; Josse, 2015)","previouslyFormattedCitation":"(Dray &amp; Josse, 2015)"},"properties":{"noteIndex":0},"schema":"https://github.com/citation-style-language/schema/raw/master/csl-citation.json"}</w:instrText>
      </w:r>
      <w:r w:rsidR="00F15CC6">
        <w:rPr>
          <w:lang w:val="en-GB"/>
        </w:rPr>
        <w:fldChar w:fldCharType="separate"/>
      </w:r>
      <w:r w:rsidR="00F15CC6" w:rsidRPr="00F15CC6">
        <w:rPr>
          <w:noProof/>
          <w:lang w:val="en-GB"/>
        </w:rPr>
        <w:t>(Dray &amp; Josse, 2015)</w:t>
      </w:r>
      <w:r w:rsidR="00F15CC6">
        <w:rPr>
          <w:lang w:val="en-GB"/>
        </w:rPr>
        <w:fldChar w:fldCharType="end"/>
      </w:r>
      <w:r w:rsidR="00492EE0">
        <w:rPr>
          <w:lang w:val="en-GB"/>
        </w:rPr>
        <w:t xml:space="preserve"> </w:t>
      </w:r>
      <w:r w:rsidR="00F15CC6">
        <w:rPr>
          <w:lang w:val="en-GB"/>
        </w:rPr>
        <w:t>and Peres-</w:t>
      </w:r>
      <w:proofErr w:type="spellStart"/>
      <w:r w:rsidR="00F15CC6">
        <w:rPr>
          <w:lang w:val="en-GB"/>
        </w:rPr>
        <w:t>Neto</w:t>
      </w:r>
      <w:proofErr w:type="spellEnd"/>
      <w:r w:rsidR="00F15CC6">
        <w:rPr>
          <w:lang w:val="en-GB"/>
        </w:rPr>
        <w:t xml:space="preserve"> </w:t>
      </w:r>
      <w:r w:rsidR="00F15CC6">
        <w:rPr>
          <w:lang w:val="en-GB"/>
        </w:rPr>
        <w:fldChar w:fldCharType="begin" w:fldLock="1"/>
      </w:r>
      <w:r w:rsidR="00813E44">
        <w:rPr>
          <w:lang w:val="en-GB"/>
        </w:rPr>
        <w:instrText>ADDIN CSL_CITATION {"citationItems":[{"id":"ITEM-1","itemData":{"DOI":"10.1890/00-0634","ISSN":"00129658","abstract":"Principal component analysis (PCA) is one of the most commonly used tools in the analysis of ecological data. This method reduces the effective dimensionality of a multivariate data set by producing linear combinations of the original variables (i.e., components) that summarize the predominant patterns in the data. In order to provide meaningful interpretations for principal components, it is important to determine which variables are associated with particular components. Some data analysts incorrectly test the statistical significance of the correlation between original variables and multivariate scores using standard statistical tables. Others interpret eigenvector coefficients larger than an arbitrary absolute value (e.g., 0.50). Resampling, randomization techniques, and parallel analysis have been applied in a few cases. In this study, we compared the performance of a variety of approaches for assessing the significance of eigenvector coefficients in terms of type I error rates and power. Two novel approaches based on the broken-stick model were also evaluated. We used a variety of simulated scenarios to examine the influence of the number of real dimensions in the data; unique versus complex variables; the magnitude of eigenvector coefficients; and the number of variables associated with a particular dimension. Our results revealed that bootstrap confidence intervals and a modified bootstrap confidence interval for the broken-stick model proved to be the most reliable techniques.","author":[{"dropping-particle":"","family":"Peres-Neto","given":"Pedro R.","non-dropping-particle":"","parse-names":false,"suffix":""},{"dropping-particle":"","family":"Jackson","given":"Donald A.","non-dropping-particle":"","parse-names":false,"suffix":""},{"dropping-particle":"","family":"Somers","given":"Keith M.","non-dropping-particle":"","parse-names":false,"suffix":""}],"container-title":"Ecology","id":"ITEM-1","issued":{"date-parts":[["2003"]]},"title":"Giving meaningful interpretation to ordination axes: Assessing loading significance in principal component analysis","type":"article-journal"},"uris":["http://www.mendeley.com/documents/?uuid=192b019f-811f-430d-9e19-5587848713bb"]}],"mendeley":{"formattedCitation":"(Peres-Neto, Jackson, &amp; Somers, 2003)","plainTextFormattedCitation":"(Peres-Neto, Jackson, &amp; Somers, 2003)","previouslyFormattedCitation":"(Peres-Neto, Jackson, &amp; Somers, 2003)"},"properties":{"noteIndex":0},"schema":"https://github.com/citation-style-language/schema/raw/master/csl-citation.json"}</w:instrText>
      </w:r>
      <w:r w:rsidR="00F15CC6">
        <w:rPr>
          <w:lang w:val="en-GB"/>
        </w:rPr>
        <w:fldChar w:fldCharType="separate"/>
      </w:r>
      <w:r w:rsidR="00F15CC6" w:rsidRPr="00F15CC6">
        <w:rPr>
          <w:noProof/>
          <w:lang w:val="en-GB"/>
        </w:rPr>
        <w:t>(Peres-Neto, Jackson, &amp; Somers, 2003)</w:t>
      </w:r>
      <w:r w:rsidR="00F15CC6">
        <w:rPr>
          <w:lang w:val="en-GB"/>
        </w:rPr>
        <w:fldChar w:fldCharType="end"/>
      </w:r>
      <w:r w:rsidR="00F15CC6">
        <w:rPr>
          <w:lang w:val="en-GB"/>
        </w:rPr>
        <w:t xml:space="preserve">. </w:t>
      </w:r>
    </w:p>
    <w:p w14:paraId="760C7B76" w14:textId="2DEF8992" w:rsidR="001A23F1" w:rsidRDefault="001A23F1" w:rsidP="00CA18F2">
      <w:pPr>
        <w:spacing w:after="0"/>
        <w:ind w:firstLine="708"/>
        <w:jc w:val="both"/>
        <w:rPr>
          <w:lang w:val="en-GB"/>
        </w:rPr>
      </w:pPr>
      <w:r>
        <w:rPr>
          <w:lang w:val="en-GB"/>
        </w:rPr>
        <w:t xml:space="preserve">The use of dimensionality reduction on </w:t>
      </w:r>
      <w:r w:rsidR="00AB7E8F">
        <w:rPr>
          <w:lang w:val="en-GB"/>
        </w:rPr>
        <w:t xml:space="preserve">the </w:t>
      </w:r>
      <w:proofErr w:type="spellStart"/>
      <w:r>
        <w:rPr>
          <w:lang w:val="en-GB"/>
        </w:rPr>
        <w:t>analyzed</w:t>
      </w:r>
      <w:proofErr w:type="spellEnd"/>
      <w:r>
        <w:rPr>
          <w:lang w:val="en-GB"/>
        </w:rPr>
        <w:t xml:space="preserve"> dataset improved the overall readability of inter-class </w:t>
      </w:r>
      <w:proofErr w:type="spellStart"/>
      <w:r>
        <w:rPr>
          <w:lang w:val="en-GB"/>
        </w:rPr>
        <w:t>charactersitics</w:t>
      </w:r>
      <w:proofErr w:type="spellEnd"/>
      <w:r>
        <w:rPr>
          <w:lang w:val="en-GB"/>
        </w:rPr>
        <w:t xml:space="preserve">. </w:t>
      </w:r>
      <w:r w:rsidR="00813E44">
        <w:rPr>
          <w:lang w:val="en-GB"/>
        </w:rPr>
        <w:t>From the plotted LD1-LD2 results (Figure 11), the non-linear nature of class discriminants is recognizable</w:t>
      </w:r>
      <w:r w:rsidR="00AB7E8F">
        <w:rPr>
          <w:lang w:val="en-GB"/>
        </w:rPr>
        <w:t>,</w:t>
      </w:r>
      <w:r w:rsidR="00813E44">
        <w:rPr>
          <w:lang w:val="en-GB"/>
        </w:rPr>
        <w:t xml:space="preserve"> justifying the later use of SVM algorithm with radial kernel </w:t>
      </w:r>
      <w:r w:rsidR="00813E44">
        <w:rPr>
          <w:lang w:val="en-GB"/>
        </w:rPr>
        <w:fldChar w:fldCharType="begin" w:fldLock="1"/>
      </w:r>
      <w:r w:rsidR="0074762A">
        <w:rPr>
          <w:lang w:val="en-GB"/>
        </w:rPr>
        <w:instrText>ADDIN CSL_CITATION {"citationItems":[{"id":"ITEM-1","itemData":{"ISSN":"13115065","abstract":"Accurate and reliable information regarding crop yields and soil conditions of agricultural fields are essential for the sustainable management of agricultural areas. The increasing necessity of the food due to the high population, global climate change and rapid urbanisation, the sustainable management of the agricultural resources is becoming more crucial for countries. Remote sensing technology offers a feasible solution for gathering the cost-effective, reliable and up-to-date information about crop monitoring by using high-resolution remote sensing data. Image classification is the one of most common method to obtain information from the remotely sensed images. Despite machine learning based classifiers such as Support Vector Machines (SVM) could provide high classification accuracy, the researchers have been still working to improve the classification accuracy. Recently, the utilisation of ensemble learning approaches in remote sensing classification is the research of interest for this purpose. In this study, we implemented six different supervised classification techniques and a classifier ensemble: Maximum Likelihood, Mahalanobis Distance, Minimum Distance, Spectral Angle Mapper, Parallelepiped, Support Vector Machines and Winnertakes- all (WTA) classification which is an ensemble based classifier. In this study, we investigated the comparative performance of the classifiers within overall and corn-class category for the study area located in Aydin, Turkey. Radial Basis Function (RBF) kernel was used here for the SVM classification. Results demonstrate that WTA classification outperformed other classification methods whilst the Parallelepiped obtained the lowest classification accuracy 13.24%. Moreover SVM gave the second highest overall classification accuracy of 89.90%.","author":[{"dropping-particle":"","family":"Ustuner","given":"M.","non-dropping-particle":"","parse-names":false,"suffix":""},{"dropping-particle":"","family":"Esetlili","given":"M. T.","non-dropping-particle":"","parse-names":false,"suffix":""},{"dropping-particle":"","family":"Sanli","given":"F. B.","non-dropping-particle":"","parse-names":false,"suffix":""},{"dropping-particle":"","family":"Abdikan","given":"S.","non-dropping-particle":"","parse-names":false,"suffix":""},{"dropping-particle":"","family":"Kurucu","given":"Y.","non-dropping-particle":"","parse-names":false,"suffix":""}],"container-title":"Journal of Environmental Protection and Ecology","id":"ITEM-1","issued":{"date-parts":[["2016"]]},"title":"Comparison of crop classification methods for the sustainable agriculture management","type":"article-journal"},"uris":["http://www.mendeley.com/documents/?uuid=49a1b0f5-cd8c-44a6-91fb-fd29ec8b05d2"]},{"id":"ITEM-2","itemData":{"DOI":"10.1117/1.JRS.11.015020","ISSN":"15337928","abstract":"We evaluate 179 classifiers arising from 17 families (discriminant analysis, Bayesian, neural networks, support vector machines, decision trees, rule-based classifi ers, boosting, bagging, stacking, random forests and other ensembles, generalized linear models, nearestneighbors, partial least squares and principal component regression, logistic and multinomial regression, multiple adaptive regression splines and other methods), implemented in Weka, R (with and without the caret package), C and Matlab, including all the relevant classifiers available today. We use 121 data sets, which represent the whole UCI data base (excluding the large-scale problems) and other own real problems, in order to achieve significant conclusions about the classifier behavior, not dependent on the data set collection. The classifiers most likely to be the bests are the random forest (RF) versions, the best of which (implemented in R and accessed via caret) achieves 94.1% of the maximum accuracy overcoming 90% in the 84.3% of the data sets. However, the difference is not statistically significant with the second best, the SVM with Gaussian kernel implemented in C using LibSVM, which achieves 92.3% of the maximum accuracy. A few models are clearly better than the remaining ones: random forest, SVM with Gaussian and polynomial kernels, extreme learning machine with Gaussian kernel, C5.0 and avNNet (a committee of multi-layer perceptrons implemented in R with the caret package). The random forest is clearly the best family of classifiers (3 out of 5 bests classi ers are RF), followed by SVM (4 classifiers in the top-10), neural networks and boosting ensembles (5 and 3 members in the top-20, respectively).","author":[{"dropping-particle":"","family":"Fernández-Delgado","given":"Manuel","non-dropping-particle":"","parse-names":false,"suffix":""},{"dropping-particle":"","family":"Cernadas","given":"Eva","non-dropping-particle":"","parse-names":false,"suffix":""},{"dropping-particle":"","family":"Barro","given":"Senén","non-dropping-particle":"","parse-names":false,"suffix":""},{"dropping-particle":"","family":"Amorim","given":"Dinani","non-dropping-particle":"","parse-names":false,"suffix":""}],"container-title":"Journal of Machine Learning Research","id":"ITEM-2","issued":{"date-parts":[["2014"]]},"title":"Do we need hundreds of classifiers to solve real world classification problems?","type":"article-journal"},"uris":["http://www.mendeley.com/documents/?uuid=9c3a9d73-8458-4d25-a48a-cafb7f85bb31"]}],"mendeley":{"formattedCitation":"(Fernández-Delgado, Cernadas, Barro, &amp; Amorim, 2014; Ustuner, Esetlili, Sanli, Abdikan, &amp; Kurucu, 2016)","plainTextFormattedCitation":"(Fernández-Delgado, Cernadas, Barro, &amp; Amorim, 2014; Ustuner, Esetlili, Sanli, Abdikan, &amp; Kurucu, 2016)","previouslyFormattedCitation":"(Fernández-Delgado, Cernadas, Barro, &amp; Amorim, 2014; Ustuner, Esetlili, Sanli, Abdikan, &amp; Kurucu, 2016)"},"properties":{"noteIndex":0},"schema":"https://github.com/citation-style-language/schema/raw/master/csl-citation.json"}</w:instrText>
      </w:r>
      <w:r w:rsidR="00813E44">
        <w:rPr>
          <w:lang w:val="en-GB"/>
        </w:rPr>
        <w:fldChar w:fldCharType="separate"/>
      </w:r>
      <w:r w:rsidR="00F62B26" w:rsidRPr="00F62B26">
        <w:rPr>
          <w:noProof/>
          <w:lang w:val="en-GB"/>
        </w:rPr>
        <w:t>(Fernández-Delgado, Cernadas, Barro, &amp; Amorim, 2014; Ustuner, Esetlili, Sanli, Abdikan, &amp; Kurucu, 2016)</w:t>
      </w:r>
      <w:r w:rsidR="00813E44">
        <w:rPr>
          <w:lang w:val="en-GB"/>
        </w:rPr>
        <w:fldChar w:fldCharType="end"/>
      </w:r>
      <w:r w:rsidR="00813E44">
        <w:rPr>
          <w:lang w:val="en-GB"/>
        </w:rPr>
        <w:t xml:space="preserve">. </w:t>
      </w:r>
      <w:r w:rsidR="00130C0F">
        <w:rPr>
          <w:lang w:val="en-GB"/>
        </w:rPr>
        <w:t>The visually examined separability</w:t>
      </w:r>
      <w:r w:rsidR="00F62B26">
        <w:rPr>
          <w:lang w:val="en-GB"/>
        </w:rPr>
        <w:t xml:space="preserve"> of particular classes allowed for spotting areas where </w:t>
      </w:r>
      <w:r w:rsidR="00A229CB">
        <w:rPr>
          <w:lang w:val="en-GB"/>
        </w:rPr>
        <w:t xml:space="preserve">the </w:t>
      </w:r>
      <w:r w:rsidR="00F62B26">
        <w:rPr>
          <w:lang w:val="en-GB"/>
        </w:rPr>
        <w:t xml:space="preserve">classification algorithm is likely to encounter problems. </w:t>
      </w:r>
      <w:r w:rsidR="00FC716D" w:rsidRPr="00FC716D">
        <w:rPr>
          <w:lang w:val="en-GB"/>
        </w:rPr>
        <w:t>Despite the possibility of using the result of discriminant analysis as a classifier itself, as in Li</w:t>
      </w:r>
      <w:r w:rsidR="00FC716D">
        <w:rPr>
          <w:lang w:val="en-GB"/>
        </w:rPr>
        <w:t xml:space="preserve"> </w:t>
      </w:r>
      <w:r w:rsidR="00F62B26">
        <w:rPr>
          <w:lang w:val="en-GB"/>
        </w:rPr>
        <w:fldChar w:fldCharType="begin" w:fldLock="1"/>
      </w:r>
      <w:r w:rsidR="00F62B26">
        <w:rPr>
          <w:lang w:val="en-GB"/>
        </w:rPr>
        <w:instrText>ADDIN CSL_CITATION {"citationItems":[{"id":"ITEM-1","itemData":{"DOI":"10.1007/s10115-006-0013-y","ISSN":"02191377","abstract":"Many supervised machine learning tasks can be cast as multi-class classification problems. Support vector machines (SVMs) excel at binary classification problems, but the elegant theory behind large-margin hyperplane cannot be easily extended to their multi-class counterparts. On the other hand, it was shown that the decision hyperplanes for binary classification obtained by SVMs are equivalent to the solutions obtained by Fisher's linear discriminant on the set of support vectors. Discriminant analysis approaches are well known to learn discriminative feature transformations in the statistical pattern recognition literature and can be easily extend to multi-class cases. The use of discriminant analysis, however, has not been fully experimented in the data mining literature. In this paper, we explore the use of discriminant analysis for multi-class classification problems. We evaluate the performance of discriminant analysis on a large collection of benchmark datasets and investigate its usage in text categorization. Our experiments suggest that discriminant analysis provides a fast, efficient yet accurate alternative for general multi-class classification problems. © Springer-Verlag London Limited 2006.","author":[{"dropping-particle":"","family":"Li","given":"Tao","non-dropping-particle":"","parse-names":false,"suffix":""},{"dropping-particle":"","family":"Zhu","given":"Shenghuo","non-dropping-particle":"","parse-names":false,"suffix":""},{"dropping-particle":"","family":"Ogihara","given":"Mitsunori","non-dropping-particle":"","parse-names":false,"suffix":""}],"container-title":"Knowledge and Information Systems","id":"ITEM-1","issued":{"date-parts":[["2006"]]},"title":"Using discriminant analysis for multi-class classification: An experimental investigation","type":"article-journal"},"uris":["http://www.mendeley.com/documents/?uuid=3379458c-d049-4177-9f60-570a37d2861c"]}],"mendeley":{"formattedCitation":"(Li, Zhu, &amp; Ogihara, 2006)","plainTextFormattedCitation":"(Li, Zhu, &amp; Ogihara, 2006)","previouslyFormattedCitation":"(Li, Zhu, &amp; Ogihara, 2006)"},"properties":{"noteIndex":0},"schema":"https://github.com/citation-style-language/schema/raw/master/csl-citation.json"}</w:instrText>
      </w:r>
      <w:r w:rsidR="00F62B26">
        <w:rPr>
          <w:lang w:val="en-GB"/>
        </w:rPr>
        <w:fldChar w:fldCharType="separate"/>
      </w:r>
      <w:r w:rsidR="00F62B26" w:rsidRPr="00F62B26">
        <w:rPr>
          <w:noProof/>
          <w:lang w:val="en-GB"/>
        </w:rPr>
        <w:t>(Li, Zhu, &amp; Ogihara, 2006)</w:t>
      </w:r>
      <w:r w:rsidR="00F62B26">
        <w:rPr>
          <w:lang w:val="en-GB"/>
        </w:rPr>
        <w:fldChar w:fldCharType="end"/>
      </w:r>
      <w:r w:rsidR="00EB189C">
        <w:rPr>
          <w:lang w:val="en-GB"/>
        </w:rPr>
        <w:t xml:space="preserve">, </w:t>
      </w:r>
      <w:r w:rsidR="00CA18F2" w:rsidRPr="00CA18F2">
        <w:rPr>
          <w:lang w:val="en-GB"/>
        </w:rPr>
        <w:t>we decided to use an additional non-linear classification algorithm to maximize the effectiveness of class separation as support vectors of division, following the encouraging results from Cao</w:t>
      </w:r>
      <w:r w:rsidR="0074762A">
        <w:rPr>
          <w:lang w:val="en-GB"/>
        </w:rPr>
        <w:t xml:space="preserve"> </w:t>
      </w:r>
      <w:r w:rsidR="0074762A">
        <w:rPr>
          <w:lang w:val="en-GB"/>
        </w:rPr>
        <w:fldChar w:fldCharType="begin" w:fldLock="1"/>
      </w:r>
      <w:r w:rsidR="0074762A">
        <w:rPr>
          <w:lang w:val="en-GB"/>
        </w:rPr>
        <w:instrText>ADDIN CSL_CITATION {"citationItems":[{"id":"ITEM-1","itemData":{"DOI":"10.1016/S0925-2312(03)00433-8","ISSN":"09252312","abstract":"Recently, support vector machine (SVM) has become a popular tool in time series forecasting. In developing a successful SVM forecastor, the first step is feature extraction. This paper proposes the applications of principal component analysis (PCA), kernel principal component analysis (KPCA) and independent component analysis (ICA) to SVM for feature extraction. PCA linearly transforms the original inputs into new uncorrelated features. KPCA is a nonlinear PCA developed by using the kernel method. In ICA, the original inputs are linearly transformed into features which are mutually statistically independent. By examining the sunspot data, Santa Fe data set A and five real futures contracts, the experiment shows that SVM by feature extraction using PCA, KPCA or ICA can perform better than that without feature extraction. Furthermore, among the three methods, there is the best performance in KPCA feature extraction, followed by ICA feature extraction. © 2003 Elsevier B.V. All rights reserved.","author":[{"dropping-particle":"","family":"Cao","given":"L. J.","non-dropping-particle":"","parse-names":false,"suffix":""},{"dropping-particle":"","family":"Chua","given":"K. S.","non-dropping-particle":"","parse-names":false,"suffix":""},{"dropping-particle":"","family":"Chong","given":"W. K.","non-dropping-particle":"","parse-names":false,"suffix":""},{"dropping-particle":"","family":"Lee","given":"H. P.","non-dropping-particle":"","parse-names":false,"suffix":""},{"dropping-particle":"","family":"Gu","given":"Q. M.","non-dropping-particle":"","parse-names":false,"suffix":""}],"container-title":"Neurocomputing","id":"ITEM-1","issued":{"date-parts":[["2003"]]},"title":"A comparison of PCA, KPCA and ICA for dimensionality reduction in support vector machine","type":"article-journal"},"uris":["http://www.mendeley.com/documents/?uuid=a40111f1-f853-44d8-b026-b40827fa3835"]}],"mendeley":{"formattedCitation":"(Cao, Chua, Chong, Lee, &amp; Gu, 2003)","plainTextFormattedCitation":"(Cao, Chua, Chong, Lee, &amp; Gu, 2003)","previouslyFormattedCitation":"(Cao, Chua, Chong, Lee, &amp; Gu, 2003)"},"properties":{"noteIndex":0},"schema":"https://github.com/citation-style-language/schema/raw/master/csl-citation.json"}</w:instrText>
      </w:r>
      <w:r w:rsidR="0074762A">
        <w:rPr>
          <w:lang w:val="en-GB"/>
        </w:rPr>
        <w:fldChar w:fldCharType="separate"/>
      </w:r>
      <w:r w:rsidR="0074762A" w:rsidRPr="0074762A">
        <w:rPr>
          <w:noProof/>
          <w:lang w:val="en-GB"/>
        </w:rPr>
        <w:t>(Cao, Chua, Chong, Lee, &amp; Gu, 2003)</w:t>
      </w:r>
      <w:r w:rsidR="0074762A">
        <w:rPr>
          <w:lang w:val="en-GB"/>
        </w:rPr>
        <w:fldChar w:fldCharType="end"/>
      </w:r>
      <w:r w:rsidR="0074762A">
        <w:rPr>
          <w:lang w:val="en-GB"/>
        </w:rPr>
        <w:t xml:space="preserve"> and Pal </w:t>
      </w:r>
      <w:r w:rsidR="0074762A">
        <w:rPr>
          <w:lang w:val="en-GB"/>
        </w:rPr>
        <w:fldChar w:fldCharType="begin" w:fldLock="1"/>
      </w:r>
      <w:r w:rsidR="008C1A09">
        <w:rPr>
          <w:lang w:val="en-GB"/>
        </w:rPr>
        <w:instrText>ADDIN CSL_CITATION {"citationItems":[{"id":"ITEM-1","itemData":{"DOI":"10.1109/TGRS.2009.2039484","ISSN":"01962892","abstract":"Support vector machines (SVM) are attractive for the classification of remotely sensed data with some claims that the method is insensitive to the dimensionality of the data and, therefore, does not require a dimensionality-reduction analysis in preprocessing. Here, a series of classification analyses with two hyperspectral sensor data sets reveals that the accuracy of a classification by an SVM does vary as a function of the number of features used. Critically, it is shown that the accuracy of a classification may decline significantly (at 0.05 level of statistical significance) with the addition of features, particularly if a small training sample is used. This highlights a dependence of the accuracy of classification by an SVM on the dimensionality of the data and, therefore, the potential value of undertaking a feature-selection analysis prior to classification. Additionally, it is demonstrated that, even when a large training sample is available, feature selection may still be useful. For example, the accuracy derived from the use of a small number of features may be noninferior (at 0.05 level of significance) to that derived from the use of a larger feature set providing potential advantages in relation to issues such as data storage and computational processing costs. Feature selection may, therefore, be a valuable analysis to include in preprocessing operations for classification by an SVM. © 2010 IEEE.","author":[{"dropping-particle":"","family":"Pal","given":"Mahesh","non-dropping-particle":"","parse-names":false,"suffix":""},{"dropping-particle":"","family":"Foody","given":"Giles M.","non-dropping-particle":"","parse-names":false,"suffix":""}],"container-title":"IEEE Transactions on Geoscience and Remote Sensing","id":"ITEM-1","issued":{"date-parts":[["2010"]]},"title":"Feature selection for classification of hyperspectral data by SVM","type":"article-journal"},"uris":["http://www.mendeley.com/documents/?uuid=c0dbd58c-1817-4db1-b9ff-fdfef1ba48c4"]}],"mendeley":{"formattedCitation":"(Pal &amp; Foody, 2010)","plainTextFormattedCitation":"(Pal &amp; Foody, 2010)","previouslyFormattedCitation":"(Pal &amp; Foody, 2010)"},"properties":{"noteIndex":0},"schema":"https://github.com/citation-style-language/schema/raw/master/csl-citation.json"}</w:instrText>
      </w:r>
      <w:r w:rsidR="0074762A">
        <w:rPr>
          <w:lang w:val="en-GB"/>
        </w:rPr>
        <w:fldChar w:fldCharType="separate"/>
      </w:r>
      <w:r w:rsidR="0074762A" w:rsidRPr="0074762A">
        <w:rPr>
          <w:noProof/>
          <w:lang w:val="en-GB"/>
        </w:rPr>
        <w:t>(Pal &amp; Foody, 2010)</w:t>
      </w:r>
      <w:r w:rsidR="0074762A">
        <w:rPr>
          <w:lang w:val="en-GB"/>
        </w:rPr>
        <w:fldChar w:fldCharType="end"/>
      </w:r>
      <w:r w:rsidR="0074762A">
        <w:rPr>
          <w:lang w:val="en-GB"/>
        </w:rPr>
        <w:t xml:space="preserve">. </w:t>
      </w:r>
      <w:r w:rsidR="00F62B26">
        <w:rPr>
          <w:lang w:val="en-GB"/>
        </w:rPr>
        <w:t xml:space="preserve"> </w:t>
      </w:r>
      <w:r w:rsidR="00813E44">
        <w:rPr>
          <w:lang w:val="en-GB"/>
        </w:rPr>
        <w:t xml:space="preserve"> </w:t>
      </w:r>
    </w:p>
    <w:p w14:paraId="7F338881" w14:textId="74B25A8A" w:rsidR="00CA18F2" w:rsidRDefault="0037722F" w:rsidP="00CA18F2">
      <w:pPr>
        <w:spacing w:after="0"/>
        <w:ind w:firstLine="708"/>
        <w:jc w:val="both"/>
        <w:rPr>
          <w:lang w:val="en-GB"/>
        </w:rPr>
      </w:pPr>
      <w:r>
        <w:rPr>
          <w:lang w:val="en-GB"/>
        </w:rPr>
        <w:t xml:space="preserve">The pattern </w:t>
      </w:r>
      <w:proofErr w:type="gramStart"/>
      <w:r>
        <w:rPr>
          <w:lang w:val="en-GB"/>
        </w:rPr>
        <w:t>recognition based</w:t>
      </w:r>
      <w:proofErr w:type="gramEnd"/>
      <w:r>
        <w:rPr>
          <w:lang w:val="en-GB"/>
        </w:rPr>
        <w:t xml:space="preserve"> classification approach could become vital during model ensembling practices while dealing with incomplete, spatially-varying, or methodologically </w:t>
      </w:r>
      <w:r w:rsidR="00A229CB">
        <w:rPr>
          <w:lang w:val="en-GB"/>
        </w:rPr>
        <w:t>i</w:t>
      </w:r>
      <w:r>
        <w:rPr>
          <w:lang w:val="en-GB"/>
        </w:rPr>
        <w:t xml:space="preserve">nconsequent datasets. </w:t>
      </w:r>
      <w:r w:rsidR="00293AFD">
        <w:rPr>
          <w:lang w:val="en-GB"/>
        </w:rPr>
        <w:t>In sets showing reproducible patterns it is easier to retrace object</w:t>
      </w:r>
      <w:r w:rsidR="00A229CB">
        <w:rPr>
          <w:lang w:val="en-GB"/>
        </w:rPr>
        <w:t>’</w:t>
      </w:r>
      <w:r w:rsidR="00293AFD">
        <w:rPr>
          <w:lang w:val="en-GB"/>
        </w:rPr>
        <w:t>s trajector</w:t>
      </w:r>
      <w:r w:rsidR="00A229CB">
        <w:rPr>
          <w:lang w:val="en-GB"/>
        </w:rPr>
        <w:t>ies</w:t>
      </w:r>
      <w:r w:rsidR="00293AFD">
        <w:rPr>
          <w:lang w:val="en-GB"/>
        </w:rPr>
        <w:t xml:space="preserve"> </w:t>
      </w:r>
      <w:r w:rsidR="00284C34">
        <w:rPr>
          <w:lang w:val="en-GB"/>
        </w:rPr>
        <w:t xml:space="preserve">in time, between particular classes, and – what is also essential – within a given class. Thus, such approach of object observation does not require any class granularity changes until evident sub-classes emerge. </w:t>
      </w:r>
    </w:p>
    <w:p w14:paraId="0E2F3453" w14:textId="1BF495B3" w:rsidR="000158DB" w:rsidRDefault="001153A4" w:rsidP="00CA18F2">
      <w:pPr>
        <w:spacing w:after="0"/>
        <w:ind w:firstLine="708"/>
        <w:jc w:val="both"/>
        <w:rPr>
          <w:lang w:val="en-GB"/>
        </w:rPr>
      </w:pPr>
      <w:r>
        <w:rPr>
          <w:lang w:val="en-GB"/>
        </w:rPr>
        <w:t>The concept of intra-class object classification gained popularity in research on dynamic systems modelling</w:t>
      </w:r>
      <w:r w:rsidR="008C1A09">
        <w:rPr>
          <w:lang w:val="en-GB"/>
        </w:rPr>
        <w:t xml:space="preserve"> </w:t>
      </w:r>
      <w:r w:rsidR="008C1A09">
        <w:rPr>
          <w:lang w:val="en-GB"/>
        </w:rPr>
        <w:fldChar w:fldCharType="begin" w:fldLock="1"/>
      </w:r>
      <w:r w:rsidR="00301FAD">
        <w:rPr>
          <w:lang w:val="en-GB"/>
        </w:rPr>
        <w:instrText>ADDIN CSL_CITATION {"citationItems":[{"id":"ITEM-1","itemData":{"DOI":"10.1007/978-1-4471-6407-4_1","ISSN":"21978441","abstract":"In this chapter, dedicated to set-theoretical bases of data mining, we assume that the reader is familiar with the notion of a set, membership of an element in a set, and elementary set theory. After a brief review of set-theoretical operations we discuss collections of sets, ordered pairs, and set products.","author":[{"dropping-particle":"","family":"Simovici","given":"Dan A.","non-dropping-particle":"","parse-names":false,"suffix":""},{"dropping-particle":"","family":"Djeraba","given":"Chabane","non-dropping-particle":"","parse-names":false,"suffix":""}],"container-title":"Advanced Information and Knowledge Processing","id":"ITEM-1","issued":{"date-parts":[["2014"]]},"title":"Sets, relations, and functions","type":"chapter"},"uris":["http://www.mendeley.com/documents/?uuid=cfa3dbbc-50c1-41bd-bb42-262dea28721c"]},{"id":"ITEM-2","itemData":{"DOI":"10.1007/978-3-319-01640-5_1","ISBN":"9783319016399","ISSN":"14349922","abstract":"In the mid-1980s Atanassov introduced the concept of an intuitionistic fuzzy set. Basically, his idea was that unlike the conventional fuzzy sets in which imprecision is just modeled by the membership degree from [0,1], and for which the non-membership degree is just automatically the complementation to 1 of the membership degree, in an intuitionistic fuzzy set both the membership and nonmembership degrees are numbers from [0,1], but their sum is not necessarily 1. Thus, one can express a well known psychological fact that a human being who expresses the degree of membership of an element in a fuzzy set, very often does not express, when asked, the degree of non-membership as the complementation to 1. This idea has led to an interesting theory whose point of departure is such a concept of intuitionistic fuzzy set. In this chapter we give brief introduction to intuitionistic fuzzy sets. After recalling main definitions, concepts, operations and relations over crisp sets, fuzzy sets, and intuitionistic fuzzy sets we discuss interrelationships among the three types of sets. Two geometrical representations of the intuitionistic fuzzy sets, useful in further considerations are discussed. Finally, two approaches of constructing the intuitionistic fuzzy sets from data are presented. First approach is via asking experts. Second one - the automatic, andmathematically justified method to construct the intuitionistic fuzzy sets from data seems to be especially important in the context of analyzing information in big data bases.","author":[{"dropping-particle":"","family":"Szmidt","given":"Eulalia","non-dropping-particle":"","parse-names":false,"suffix":""}],"container-title":"Studies in Fuzziness and Soft Computing","id":"ITEM-2","issued":{"date-parts":[["2014"]]},"title":"Distances and similarities in intuitionistic fuzzy sets","type":"article-journal"},"uris":["http://www.mendeley.com/documents/?uuid=f8647a05-f72d-4f82-9f50-b009e575b758"]}],"mendeley":{"formattedCitation":"(Simovici &amp; Djeraba, 2014; Szmidt, 2014)","plainTextFormattedCitation":"(Simovici &amp; Djeraba, 2014; Szmidt, 2014)","previouslyFormattedCitation":"(Simovici &amp; Djeraba, 2014; Szmidt, 2014)"},"properties":{"noteIndex":0},"schema":"https://github.com/citation-style-language/schema/raw/master/csl-citation.json"}</w:instrText>
      </w:r>
      <w:r w:rsidR="008C1A09">
        <w:rPr>
          <w:lang w:val="en-GB"/>
        </w:rPr>
        <w:fldChar w:fldCharType="separate"/>
      </w:r>
      <w:r w:rsidR="008C1A09" w:rsidRPr="008C1A09">
        <w:rPr>
          <w:noProof/>
          <w:lang w:val="en-GB"/>
        </w:rPr>
        <w:t>(Simovici &amp; Djeraba, 2014; Szmidt, 2014)</w:t>
      </w:r>
      <w:r w:rsidR="008C1A09">
        <w:rPr>
          <w:lang w:val="en-GB"/>
        </w:rPr>
        <w:fldChar w:fldCharType="end"/>
      </w:r>
      <w:r>
        <w:rPr>
          <w:lang w:val="en-GB"/>
        </w:rPr>
        <w:t>.</w:t>
      </w:r>
      <w:r w:rsidR="008C1A09">
        <w:rPr>
          <w:lang w:val="en-GB"/>
        </w:rPr>
        <w:t xml:space="preserve"> In the case of ecological state assessment, it is a default position for </w:t>
      </w:r>
      <w:r w:rsidR="00A229CB">
        <w:rPr>
          <w:lang w:val="en-GB"/>
        </w:rPr>
        <w:t xml:space="preserve">a </w:t>
      </w:r>
      <w:r w:rsidR="008C1A09">
        <w:rPr>
          <w:lang w:val="en-GB"/>
        </w:rPr>
        <w:t>lake being classified as belonging to a given eco-state class</w:t>
      </w:r>
      <w:r w:rsidR="003C58FA">
        <w:rPr>
          <w:lang w:val="en-GB"/>
        </w:rPr>
        <w:t xml:space="preserve">, while at the same time holding membership of some strength within the class. </w:t>
      </w:r>
      <w:r w:rsidR="005F021D">
        <w:rPr>
          <w:lang w:val="en-GB"/>
        </w:rPr>
        <w:t>It is potentially beneficiary to observe the intra-class position of each object in order to deduce its tendencies</w:t>
      </w:r>
      <w:r w:rsidR="00301FAD">
        <w:rPr>
          <w:lang w:val="en-GB"/>
        </w:rPr>
        <w:t xml:space="preserve"> </w:t>
      </w:r>
      <w:r w:rsidR="00301FAD">
        <w:rPr>
          <w:lang w:val="en-GB"/>
        </w:rPr>
        <w:fldChar w:fldCharType="begin" w:fldLock="1"/>
      </w:r>
      <w:r w:rsidR="007A0AFB">
        <w:rPr>
          <w:lang w:val="en-GB"/>
        </w:rPr>
        <w:instrText>ADDIN CSL_CITATION {"citationItems":[{"id":"ITEM-1","itemData":{"DOI":"10.2307/2319332","ISSN":"00029890","abstract":"{This is an introductory undergraduate textbook in set theory. In mathematics these days, essentially everything is a set. Some knowledge of set theory is necessary part of the background everyone needs for further study of mathematics. It is also possible to study set theory for its own interest--it is a subject with intruiging results anout simple objects. This book starts with material that nobody can do without. There is no end to what can be learned of set theory, but here is a beginning.}","author":[{"dropping-particle":"","family":"Slonneger","given":"Kenneth R.","non-dropping-particle":"","parse-names":false,"suffix":""},{"dropping-particle":"","family":"Zehna","given":"Peter W.","non-dropping-particle":"","parse-names":false,"suffix":""},{"dropping-particle":"","family":"Johnson","given":"Robert L.","non-dropping-particle":"","parse-names":false,"suffix":""}],"container-title":"The American Mathematical Monthly","id":"ITEM-1","issued":{"date-parts":[["1974"]]},"title":"Elements of Set Theory.","type":"article-journal"},"uris":["http://www.mendeley.com/documents/?uuid=8e004683-c230-41dc-a33a-320fda5a1e72"]}],"mendeley":{"formattedCitation":"(Slonneger, Zehna, &amp; Johnson, 1974)","plainTextFormattedCitation":"(Slonneger, Zehna, &amp; Johnson, 1974)","previouslyFormattedCitation":"(Slonneger, Zehna, &amp; Johnson, 1974)"},"properties":{"noteIndex":0},"schema":"https://github.com/citation-style-language/schema/raw/master/csl-citation.json"}</w:instrText>
      </w:r>
      <w:r w:rsidR="00301FAD">
        <w:rPr>
          <w:lang w:val="en-GB"/>
        </w:rPr>
        <w:fldChar w:fldCharType="separate"/>
      </w:r>
      <w:r w:rsidR="00301FAD" w:rsidRPr="00301FAD">
        <w:rPr>
          <w:noProof/>
          <w:lang w:val="en-GB"/>
        </w:rPr>
        <w:t>(Slonneger, Zehna, &amp; Johnson, 1974)</w:t>
      </w:r>
      <w:r w:rsidR="00301FAD">
        <w:rPr>
          <w:lang w:val="en-GB"/>
        </w:rPr>
        <w:fldChar w:fldCharType="end"/>
      </w:r>
      <w:r w:rsidR="00301FAD">
        <w:rPr>
          <w:lang w:val="en-GB"/>
        </w:rPr>
        <w:t xml:space="preserve">, for instance via answering the question: is </w:t>
      </w:r>
      <w:r w:rsidR="00A229CB">
        <w:rPr>
          <w:lang w:val="en-GB"/>
        </w:rPr>
        <w:t xml:space="preserve">the </w:t>
      </w:r>
      <w:r w:rsidR="00301FAD">
        <w:rPr>
          <w:lang w:val="en-GB"/>
        </w:rPr>
        <w:t xml:space="preserve">object a typical member of its class </w:t>
      </w:r>
      <w:r w:rsidR="00A229CB">
        <w:rPr>
          <w:lang w:val="en-GB"/>
        </w:rPr>
        <w:t xml:space="preserve">or </w:t>
      </w:r>
      <w:r w:rsidR="00A229CB">
        <w:rPr>
          <w:lang w:val="en-GB"/>
        </w:rPr>
        <w:lastRenderedPageBreak/>
        <w:t xml:space="preserve">does it </w:t>
      </w:r>
      <w:r w:rsidR="00301FAD">
        <w:rPr>
          <w:lang w:val="en-GB"/>
        </w:rPr>
        <w:t xml:space="preserve">demonstrate a shift towards any of neighboring classes? Once the tendencies of ecosystems are described in membership terms, it could be easier to explain why some of ecosystems fail to achieve desired ecological status. Such classification issues </w:t>
      </w:r>
      <w:r w:rsidR="007A0AFB">
        <w:rPr>
          <w:lang w:val="en-GB"/>
        </w:rPr>
        <w:t>were</w:t>
      </w:r>
      <w:r w:rsidR="00301FAD">
        <w:rPr>
          <w:lang w:val="en-GB"/>
        </w:rPr>
        <w:t xml:space="preserve"> </w:t>
      </w:r>
      <w:r w:rsidR="00A229CB">
        <w:rPr>
          <w:lang w:val="en-GB"/>
        </w:rPr>
        <w:t>w</w:t>
      </w:r>
      <w:r w:rsidR="00301FAD">
        <w:rPr>
          <w:lang w:val="en-GB"/>
        </w:rPr>
        <w:t xml:space="preserve">idely discussed by </w:t>
      </w:r>
      <w:r w:rsidR="007A0AFB">
        <w:rPr>
          <w:lang w:val="en-GB"/>
        </w:rPr>
        <w:t xml:space="preserve">Bennett </w:t>
      </w:r>
      <w:r w:rsidR="007A0AFB">
        <w:rPr>
          <w:lang w:val="en-GB"/>
        </w:rPr>
        <w:fldChar w:fldCharType="begin" w:fldLock="1"/>
      </w:r>
      <w:r w:rsidR="007A0AFB">
        <w:rPr>
          <w:lang w:val="en-GB"/>
        </w:rPr>
        <w:instrText>ADDIN CSL_CITATION {"citationItems":[{"id":"ITEM-1","itemData":{"DOI":"10.1016/j.marpolbul.2011.06.016","ISSN":"0025326X","abstract":"Quantifying the uncertainty associated with monitoring protocols is essential to prevent the misclassification of ecological status and to improve sampling design. We assessed the Posidonia oceanica multivariate index (POMI) bio-monitoring program for its robustness in classifying the ecological status of coastal waters within the Water Framework Directive. We used a 7-year data set covering 30 sites along 500 km of the Catalonian coastline to examine which version of POMI (14 or 9 metrics) maximises precision in classifying the ecological status of meadows. Five factors (zones within a site, sites within a water body, depth, years and surveyors) that potentially generate classification uncertainty were examined in detail. Of these, depth was a major source of uncertainty, while all the remaining spatial and temporal factors displayed low variability. POMI 9 matched POMI 14 in all factors, and could effectively replace it in future monitoring programs. © 2011 Elsevier Ltd.","author":[{"dropping-particle":"","family":"Bennett","given":"Scott","non-dropping-particle":"","parse-names":false,"suffix":""},{"dropping-particle":"","family":"Roca","given":"Guillem","non-dropping-particle":"","parse-names":false,"suffix":""},{"dropping-particle":"","family":"Romero","given":"Javier","non-dropping-particle":"","parse-names":false,"suffix":""},{"dropping-particle":"","family":"Alcoverro","given":"Teresa","non-dropping-particle":"","parse-names":false,"suffix":""}],"container-title":"Marine Pollution Bulletin","id":"ITEM-1","issued":{"date-parts":[["2011"]]},"title":"Ecological status of seagrass ecosystems: An uncertainty analysis of the meadow classification based on the Posidonia oceanica multivariate index (POMI)","type":"article-journal"},"uris":["http://www.mendeley.com/documents/?uuid=b585af19-f8eb-4d3d-a434-24c2dada3e4a"]}],"mendeley":{"formattedCitation":"(Bennett, Roca, Romero, &amp; Alcoverro, 2011)","plainTextFormattedCitation":"(Bennett, Roca, Romero, &amp; Alcoverro, 2011)","previouslyFormattedCitation":"(Bennett, Roca, Romero, &amp; Alcoverro, 2011)"},"properties":{"noteIndex":0},"schema":"https://github.com/citation-style-language/schema/raw/master/csl-citation.json"}</w:instrText>
      </w:r>
      <w:r w:rsidR="007A0AFB">
        <w:rPr>
          <w:lang w:val="en-GB"/>
        </w:rPr>
        <w:fldChar w:fldCharType="separate"/>
      </w:r>
      <w:r w:rsidR="007A0AFB" w:rsidRPr="007A0AFB">
        <w:rPr>
          <w:noProof/>
          <w:lang w:val="en-GB"/>
        </w:rPr>
        <w:t>(Bennett, Roca, Romero, &amp; Alcoverro, 2011)</w:t>
      </w:r>
      <w:r w:rsidR="007A0AFB">
        <w:rPr>
          <w:lang w:val="en-GB"/>
        </w:rPr>
        <w:fldChar w:fldCharType="end"/>
      </w:r>
      <w:r w:rsidR="007A0AFB">
        <w:rPr>
          <w:lang w:val="en-GB"/>
        </w:rPr>
        <w:t xml:space="preserve">, </w:t>
      </w:r>
      <w:proofErr w:type="spellStart"/>
      <w:r w:rsidR="007A0AFB">
        <w:rPr>
          <w:lang w:val="en-GB"/>
        </w:rPr>
        <w:t>Tarnita</w:t>
      </w:r>
      <w:proofErr w:type="spellEnd"/>
      <w:r w:rsidR="007A0AFB">
        <w:rPr>
          <w:lang w:val="en-GB"/>
        </w:rPr>
        <w:t xml:space="preserve"> </w:t>
      </w:r>
      <w:r w:rsidR="007A0AFB">
        <w:rPr>
          <w:lang w:val="en-GB"/>
        </w:rPr>
        <w:fldChar w:fldCharType="begin" w:fldLock="1"/>
      </w:r>
      <w:r w:rsidR="00E13B15">
        <w:rPr>
          <w:lang w:val="en-GB"/>
        </w:rPr>
        <w:instrText>ADDIN CSL_CITATION {"citationItems":[{"id":"ITEM-1","itemData":{"DOI":"10.1073/pnas.0903019106","ISSN":"00278424","PMID":"19433793","abstract":"Evolutionary dynamics are strongly affected by population structure. The outcome of an evolutionary process in a well-mixed population can be very different from that in a structured population. We introduce a powerful method to study dynamical population structure: evolutionary set theory. The individuals of a population are distributed over sets. Individuals interact with others who are in the same set. Any 2 individuals can have several sets in common. Some sets can be empty, whereas others have many members. Interactions occur in terms of an evolutionary game. The payoff of the game is interpreted as fitness. Both the strategy and the set memberships change under evolutionary updating. Therefore, the population structure itself is a consequence of evolutionary dynamics. We construct a general mathematical approach for studying any evolutionary game in set structured populations. As a particular example, we study the evolution of cooperation and derive precise conditions for cooperators to be selected over defectors.","author":[{"dropping-particle":"","family":"Tarnita","given":"Corina E.","non-dropping-particle":"","parse-names":false,"suffix":""},{"dropping-particle":"","family":"Antal","given":"Tibor","non-dropping-particle":"","parse-names":false,"suffix":""},{"dropping-particle":"","family":"Ohtsuki","given":"Hisashi","non-dropping-particle":"","parse-names":false,"suffix":""},{"dropping-particle":"","family":"Nowak","given":"Martin A.","non-dropping-particle":"","parse-names":false,"suffix":""}],"container-title":"Proceedings of the National Academy of Sciences of the United States of America","id":"ITEM-1","issued":{"date-parts":[["2009"]]},"title":"Evolutionary dynamics in set structured populations","type":"article-journal"},"uris":["http://www.mendeley.com/documents/?uuid=2ec70911-3dc9-4273-bb2e-bc8e9fffb6e6"]}],"mendeley":{"formattedCitation":"(Tarnita, Antal, Ohtsuki, &amp; Nowak, 2009)","plainTextFormattedCitation":"(Tarnita, Antal, Ohtsuki, &amp; Nowak, 2009)","previouslyFormattedCitation":"(Tarnita, Antal, Ohtsuki, &amp; Nowak, 2009)"},"properties":{"noteIndex":0},"schema":"https://github.com/citation-style-language/schema/raw/master/csl-citation.json"}</w:instrText>
      </w:r>
      <w:r w:rsidR="007A0AFB">
        <w:rPr>
          <w:lang w:val="en-GB"/>
        </w:rPr>
        <w:fldChar w:fldCharType="separate"/>
      </w:r>
      <w:r w:rsidR="007A0AFB" w:rsidRPr="007A0AFB">
        <w:rPr>
          <w:noProof/>
          <w:lang w:val="en-GB"/>
        </w:rPr>
        <w:t>(Tarnita, Antal, Ohtsuki, &amp; Nowak, 2009)</w:t>
      </w:r>
      <w:r w:rsidR="007A0AFB">
        <w:rPr>
          <w:lang w:val="en-GB"/>
        </w:rPr>
        <w:fldChar w:fldCharType="end"/>
      </w:r>
      <w:r w:rsidR="00E13B15">
        <w:rPr>
          <w:lang w:val="en-GB"/>
        </w:rPr>
        <w:t xml:space="preserve">, </w:t>
      </w:r>
      <w:proofErr w:type="spellStart"/>
      <w:r w:rsidR="00E13B15">
        <w:rPr>
          <w:lang w:val="en-GB"/>
        </w:rPr>
        <w:t>Zienkiewicz</w:t>
      </w:r>
      <w:proofErr w:type="spellEnd"/>
      <w:r w:rsidR="00E13B15">
        <w:rPr>
          <w:lang w:val="en-GB"/>
        </w:rPr>
        <w:t xml:space="preserve"> </w:t>
      </w:r>
      <w:r w:rsidR="00E13B15">
        <w:rPr>
          <w:lang w:val="en-GB"/>
        </w:rPr>
        <w:fldChar w:fldCharType="begin" w:fldLock="1"/>
      </w:r>
      <w:r w:rsidR="00E13B15">
        <w:rPr>
          <w:lang w:val="en-GB"/>
        </w:rPr>
        <w:instrText>ADDIN CSL_CITATION {"citationItems":[{"id":"ITEM-1","itemData":{"ISBN":"9780750664318","abstract":"The sixth editions of these seminal books deliver the most up to date and comprehensive reference yet on the finite element method for all engineers and mathematicians. Renowned for their scope, range and authority, the new editions have been significantly developed in terms of both contents and scope. Each book is now complete in its own right and provides self-contained reference; used together they provide a formidable resource covering the theory and the application of the universally used FEM. Written by the leading professors in their fields, the three books cover the basis of the method, its application to solid mechanics and to fluid dynamics. © 2005 Elsevier Ltd. All rights reserved.","author":[{"dropping-particle":"","family":"Zienkiewicz","given":"O. C.","non-dropping-particle":"","parse-names":false,"suffix":""},{"dropping-particle":"","family":"Taylor","given":"R. L.","non-dropping-particle":"","parse-names":false,"suffix":""}],"container-title":"The Finite Element Method Set","id":"ITEM-1","issued":{"date-parts":[["2005"]]},"title":"The Finite Element Method Set","type":"book"},"uris":["http://www.mendeley.com/documents/?uuid=c0ccac53-77b6-4a9d-9453-dfe88685583b"]}],"mendeley":{"formattedCitation":"(Zienkiewicz &amp; Taylor, 2005)","plainTextFormattedCitation":"(Zienkiewicz &amp; Taylor, 2005)","previouslyFormattedCitation":"(Zienkiewicz &amp; Taylor, 2005)"},"properties":{"noteIndex":0},"schema":"https://github.com/citation-style-language/schema/raw/master/csl-citation.json"}</w:instrText>
      </w:r>
      <w:r w:rsidR="00E13B15">
        <w:rPr>
          <w:lang w:val="en-GB"/>
        </w:rPr>
        <w:fldChar w:fldCharType="separate"/>
      </w:r>
      <w:r w:rsidR="00E13B15" w:rsidRPr="00E13B15">
        <w:rPr>
          <w:noProof/>
          <w:lang w:val="en-GB"/>
        </w:rPr>
        <w:t>(Zienkiewicz &amp; Taylor, 2005)</w:t>
      </w:r>
      <w:r w:rsidR="00E13B15">
        <w:rPr>
          <w:lang w:val="en-GB"/>
        </w:rPr>
        <w:fldChar w:fldCharType="end"/>
      </w:r>
      <w:r w:rsidR="00E13B15">
        <w:rPr>
          <w:lang w:val="en-GB"/>
        </w:rPr>
        <w:t xml:space="preserve">, and Wallace </w:t>
      </w:r>
      <w:r w:rsidR="00E13B15">
        <w:rPr>
          <w:lang w:val="en-GB"/>
        </w:rPr>
        <w:fldChar w:fldCharType="begin" w:fldLock="1"/>
      </w:r>
      <w:r w:rsidR="00061F3B">
        <w:rPr>
          <w:lang w:val="en-GB"/>
        </w:rPr>
        <w:instrText>ADDIN CSL_CITATION {"citationItems":[{"id":"ITEM-1","itemData":{"DOI":"10.1016/j.biocon.2007.07.015","ISSN":"00063207","abstract":"Ecosystem values are not well accounted for in decisions concerning natural resources. In this context, the concept of ecosystem services offers an important opportunity to develop a framework to underpin the wise use of biodiversity and other natural resources. Although the merit of using ecosystem services to frame biodiversity evaluations has been documented, the classification systems employed mix processes (means) for achieving services and the services themselves (ends) within the same classification category. This limits their contribution to decisions concerning biodiversity. Ambiguity in the definitions of key terms - such as ecosystem processes, functions and services - exacerbates this situation. After clarifying definitions and discussing the basic components of an effective typology, this paper develops a classification of ecosystem services that provides a framework for decisions in natural resource management. However, further work is still required to resolve particular issues, such as the classification of socio-cultural services. Although science can contribute to effective decisions by clearly classifying services and describing their links to processes, final decisions concerning biodiversity and other natural resources are inevitably socio-political, and embedded within a particular cultural context. Crown Copyright © 2007.","author":[{"dropping-particle":"","family":"Wallace","given":"Ken J.","non-dropping-particle":"","parse-names":false,"suffix":""}],"container-title":"Biological Conservation","id":"ITEM-1","issued":{"date-parts":[["2007"]]},"title":"Classification of ecosystem services: Problems and solutions","type":"article"},"uris":["http://www.mendeley.com/documents/?uuid=8d2615a5-649d-4229-8a5e-8f8af6954bad"]}],"mendeley":{"formattedCitation":"(Wallace, 2007)","plainTextFormattedCitation":"(Wallace, 2007)","previouslyFormattedCitation":"(Wallace, 2007)"},"properties":{"noteIndex":0},"schema":"https://github.com/citation-style-language/schema/raw/master/csl-citation.json"}</w:instrText>
      </w:r>
      <w:r w:rsidR="00E13B15">
        <w:rPr>
          <w:lang w:val="en-GB"/>
        </w:rPr>
        <w:fldChar w:fldCharType="separate"/>
      </w:r>
      <w:r w:rsidR="00E13B15" w:rsidRPr="00E13B15">
        <w:rPr>
          <w:noProof/>
          <w:lang w:val="en-GB"/>
        </w:rPr>
        <w:t>(Wallace, 2007)</w:t>
      </w:r>
      <w:r w:rsidR="00E13B15">
        <w:rPr>
          <w:lang w:val="en-GB"/>
        </w:rPr>
        <w:fldChar w:fldCharType="end"/>
      </w:r>
      <w:r w:rsidR="00E13B15">
        <w:rPr>
          <w:lang w:val="en-GB"/>
        </w:rPr>
        <w:t>.</w:t>
      </w:r>
      <w:r w:rsidR="000158DB">
        <w:rPr>
          <w:lang w:val="en-GB"/>
        </w:rPr>
        <w:t xml:space="preserve"> </w:t>
      </w:r>
    </w:p>
    <w:p w14:paraId="684EA748" w14:textId="6D3388D6" w:rsidR="00420AAA" w:rsidRDefault="000158DB" w:rsidP="00420AAA">
      <w:pPr>
        <w:spacing w:after="0"/>
        <w:ind w:firstLine="708"/>
        <w:jc w:val="both"/>
        <w:rPr>
          <w:lang w:val="en-GB"/>
        </w:rPr>
      </w:pPr>
      <w:r>
        <w:rPr>
          <w:lang w:val="en-GB"/>
        </w:rPr>
        <w:t>Non-linear classification algorithms are known to be robust for numerous pattern recognition tasks in applied ecology.  Also, the use of dimensionality reduction techniques would be expected to improve the clarity and interpretability of multivariable datasets. Our results confirm this hypothesis, although the existance of misclassification posed the question on intra-class membership issues in sets.</w:t>
      </w:r>
      <w:r w:rsidR="00420AAA">
        <w:rPr>
          <w:lang w:val="en-GB"/>
        </w:rPr>
        <w:t xml:space="preserve"> </w:t>
      </w:r>
      <w:r w:rsidR="00420AAA" w:rsidRPr="00061F3B">
        <w:rPr>
          <w:lang w:val="en-GB"/>
        </w:rPr>
        <w:t>Classification errors were revealed for four subjects between poor-moderate-good classes.</w:t>
      </w:r>
      <w:r w:rsidR="00420AAA">
        <w:rPr>
          <w:lang w:val="en-GB"/>
        </w:rPr>
        <w:t xml:space="preserve"> </w:t>
      </w:r>
      <w:r w:rsidR="00420AAA" w:rsidRPr="00061F3B">
        <w:rPr>
          <w:lang w:val="en-GB"/>
        </w:rPr>
        <w:t>The obtained two-dimensional data set allowed to track the distribution and concentration of objects in each of the five ecological status classes.</w:t>
      </w:r>
      <w:r w:rsidR="00420AAA">
        <w:rPr>
          <w:lang w:val="en-GB"/>
        </w:rPr>
        <w:t xml:space="preserve"> This demonstrates that even such simplification can improve our ability to recognize object diversity (dispersion) within ecological class, rising awareness of misclassifications, and that use of more sophisticated machine learning models may lead to assessment reproducibility improvement in future classification campaigns.  </w:t>
      </w:r>
      <w:r w:rsidR="00420AAA" w:rsidRPr="00CA18F2">
        <w:rPr>
          <w:lang w:val="en-GB"/>
        </w:rPr>
        <w:t>An important element of the work was to draw attention to the possibility of effective reconstruction of even complex classification procedures.</w:t>
      </w:r>
      <w:r w:rsidR="007F29AC">
        <w:rPr>
          <w:lang w:val="en-GB"/>
        </w:rPr>
        <w:t xml:space="preserve"> Additionally, due to reduction of dataset dimensions, the overall functionality of classification was maintained while enhancing the potential for visually-based data comprehension. As a result, the complexity of </w:t>
      </w:r>
      <w:r w:rsidR="00A229CB">
        <w:rPr>
          <w:lang w:val="en-GB"/>
        </w:rPr>
        <w:t xml:space="preserve">the </w:t>
      </w:r>
      <w:r w:rsidR="007F29AC">
        <w:rPr>
          <w:lang w:val="en-GB"/>
        </w:rPr>
        <w:t xml:space="preserve">observed data was reduced, and the reproducibility of classification method was </w:t>
      </w:r>
      <w:r w:rsidR="00E96219">
        <w:rPr>
          <w:lang w:val="en-GB"/>
        </w:rPr>
        <w:t>structured within a model.</w:t>
      </w:r>
      <w:r w:rsidR="007F29AC">
        <w:rPr>
          <w:lang w:val="en-GB"/>
        </w:rPr>
        <w:t xml:space="preserve"> </w:t>
      </w:r>
      <w:r w:rsidR="00420AAA" w:rsidRPr="00CA18F2">
        <w:rPr>
          <w:lang w:val="en-GB"/>
        </w:rPr>
        <w:t>It is particularly useful in the ecology of aquatic ecosystems, where between coarse resolution results and in-situ surveys many individual features are lost, especially when it comes to dealing with numerous measuring campaigns stretched in time.</w:t>
      </w:r>
      <w:r w:rsidR="00420AAA">
        <w:rPr>
          <w:lang w:val="en-GB"/>
        </w:rPr>
        <w:t xml:space="preserve">  </w:t>
      </w:r>
    </w:p>
    <w:p w14:paraId="2BD2FCAF" w14:textId="58348F3A" w:rsidR="00DE0F7A" w:rsidRDefault="00DE0F7A" w:rsidP="00DE0F7A">
      <w:pPr>
        <w:spacing w:after="0"/>
        <w:jc w:val="both"/>
        <w:rPr>
          <w:lang w:val="en-GB"/>
        </w:rPr>
      </w:pPr>
    </w:p>
    <w:p w14:paraId="1729B089" w14:textId="195A722F" w:rsidR="00DE0F7A" w:rsidRPr="00C52E95" w:rsidRDefault="00DE0F7A" w:rsidP="00DE0F7A">
      <w:pPr>
        <w:jc w:val="both"/>
        <w:rPr>
          <w:b/>
          <w:bCs/>
          <w:color w:val="FF0000"/>
          <w:lang w:val="en-GB"/>
        </w:rPr>
      </w:pPr>
      <w:r w:rsidRPr="00C52E95">
        <w:rPr>
          <w:b/>
          <w:bCs/>
          <w:color w:val="FF0000"/>
          <w:lang w:val="en-GB"/>
        </w:rPr>
        <w:t>5.</w:t>
      </w:r>
      <w:r w:rsidRPr="00C52E95">
        <w:rPr>
          <w:b/>
          <w:bCs/>
          <w:color w:val="FF0000"/>
          <w:lang w:val="en-GB"/>
        </w:rPr>
        <w:tab/>
        <w:t>Conclusions</w:t>
      </w:r>
    </w:p>
    <w:p w14:paraId="217719C9" w14:textId="7C7851EF" w:rsidR="00CF0591" w:rsidRDefault="00DE0F7A" w:rsidP="00C52E95">
      <w:pPr>
        <w:spacing w:after="0"/>
        <w:jc w:val="both"/>
        <w:rPr>
          <w:lang w:val="en-GB"/>
        </w:rPr>
      </w:pPr>
      <w:r>
        <w:rPr>
          <w:b/>
          <w:bCs/>
          <w:lang w:val="en-GB"/>
        </w:rPr>
        <w:tab/>
      </w:r>
      <w:r w:rsidR="00081993">
        <w:rPr>
          <w:color w:val="FF0000"/>
          <w:lang w:val="en-GB"/>
        </w:rPr>
        <w:t>Overall</w:t>
      </w:r>
      <w:r w:rsidR="000158DB" w:rsidRPr="00C52E95">
        <w:rPr>
          <w:color w:val="FF0000"/>
          <w:lang w:val="en-GB"/>
        </w:rPr>
        <w:t xml:space="preserve">, </w:t>
      </w:r>
      <w:r w:rsidR="00A229CB" w:rsidRPr="00C52E95">
        <w:rPr>
          <w:color w:val="FF0000"/>
          <w:lang w:val="en-GB"/>
        </w:rPr>
        <w:t xml:space="preserve">the </w:t>
      </w:r>
      <w:r w:rsidR="000158DB" w:rsidRPr="00C52E95">
        <w:rPr>
          <w:color w:val="FF0000"/>
          <w:lang w:val="en-GB"/>
        </w:rPr>
        <w:t xml:space="preserve">proposed framework successfully reproduced the ecological state assessment with </w:t>
      </w:r>
      <w:r w:rsidR="00574DFC" w:rsidRPr="00C52E95">
        <w:rPr>
          <w:color w:val="FF0000"/>
          <w:lang w:val="en-GB"/>
        </w:rPr>
        <w:t xml:space="preserve">visual </w:t>
      </w:r>
      <w:r w:rsidR="000158DB" w:rsidRPr="00C52E95">
        <w:rPr>
          <w:color w:val="FF0000"/>
          <w:lang w:val="en-GB"/>
        </w:rPr>
        <w:t>recognition of pat</w:t>
      </w:r>
      <w:r w:rsidR="00A229CB" w:rsidRPr="00C52E95">
        <w:rPr>
          <w:color w:val="FF0000"/>
          <w:lang w:val="en-GB"/>
        </w:rPr>
        <w:t>t</w:t>
      </w:r>
      <w:r w:rsidR="000158DB" w:rsidRPr="00C52E95">
        <w:rPr>
          <w:color w:val="FF0000"/>
          <w:lang w:val="en-GB"/>
        </w:rPr>
        <w:t xml:space="preserve">erns in measured parameters. </w:t>
      </w:r>
      <w:r w:rsidR="009C6C69" w:rsidRPr="00C52E95">
        <w:rPr>
          <w:color w:val="FF0000"/>
          <w:lang w:val="en-GB"/>
        </w:rPr>
        <w:t xml:space="preserve">Reducing the multidimensional set of observations to a two-dimensional space </w:t>
      </w:r>
      <w:r w:rsidR="00081993">
        <w:rPr>
          <w:color w:val="FF0000"/>
          <w:lang w:val="en-GB"/>
        </w:rPr>
        <w:t xml:space="preserve">is </w:t>
      </w:r>
      <w:r w:rsidR="009C6C69" w:rsidRPr="00C52E95">
        <w:rPr>
          <w:color w:val="FF0000"/>
          <w:lang w:val="en-GB"/>
        </w:rPr>
        <w:t>convenient in terms of visualization</w:t>
      </w:r>
      <w:r w:rsidR="00081993">
        <w:rPr>
          <w:color w:val="FF0000"/>
          <w:lang w:val="en-GB"/>
        </w:rPr>
        <w:t>. Furthermore,</w:t>
      </w:r>
      <w:r w:rsidR="009C6C69" w:rsidRPr="00C52E95">
        <w:rPr>
          <w:color w:val="FF0000"/>
          <w:lang w:val="en-GB"/>
        </w:rPr>
        <w:t xml:space="preserve"> using the potential of latent variables made it possible to observe the </w:t>
      </w:r>
      <w:proofErr w:type="spellStart"/>
      <w:r w:rsidR="009C6C69" w:rsidRPr="00C52E95">
        <w:rPr>
          <w:color w:val="FF0000"/>
          <w:lang w:val="en-GB"/>
        </w:rPr>
        <w:t>behavior</w:t>
      </w:r>
      <w:proofErr w:type="spellEnd"/>
      <w:r w:rsidR="009C6C69" w:rsidRPr="00C52E95">
        <w:rPr>
          <w:color w:val="FF0000"/>
          <w:lang w:val="en-GB"/>
        </w:rPr>
        <w:t xml:space="preserve"> of individual lakes within their own ecological state classes. This is an extension of the analysis with valuable information for specialists undertaking the evaluation/monitoring of the effectiveness of actions increasing the ecological potential of ecosystems, as well as facilitating the decision-making process during the qualification of lakes for future ecological action programs. However, the target potential of the methodology will be unlocked when the model is applied to the results of previous measurement campaigns. </w:t>
      </w:r>
      <w:r w:rsidR="000158DB" w:rsidRPr="00C52E95">
        <w:rPr>
          <w:color w:val="FF0000"/>
          <w:lang w:val="en-GB"/>
        </w:rPr>
        <w:t>Such approach can be used to re-classify object</w:t>
      </w:r>
      <w:r w:rsidR="00A229CB" w:rsidRPr="00C52E95">
        <w:rPr>
          <w:color w:val="FF0000"/>
          <w:lang w:val="en-GB"/>
        </w:rPr>
        <w:t>s</w:t>
      </w:r>
      <w:r w:rsidR="000158DB" w:rsidRPr="00C52E95">
        <w:rPr>
          <w:color w:val="FF0000"/>
          <w:lang w:val="en-GB"/>
        </w:rPr>
        <w:t xml:space="preserve"> from previous campaigns in order to acquire systematic object trajector</w:t>
      </w:r>
      <w:r w:rsidR="00A229CB" w:rsidRPr="00C52E95">
        <w:rPr>
          <w:color w:val="FF0000"/>
          <w:lang w:val="en-GB"/>
        </w:rPr>
        <w:t>ies</w:t>
      </w:r>
      <w:r w:rsidR="000158DB" w:rsidRPr="00C52E95">
        <w:rPr>
          <w:color w:val="FF0000"/>
          <w:lang w:val="en-GB"/>
        </w:rPr>
        <w:t xml:space="preserve"> between and within each ecological class. </w:t>
      </w:r>
      <w:r w:rsidR="009C6C69" w:rsidRPr="00C52E95">
        <w:rPr>
          <w:color w:val="FF0000"/>
          <w:lang w:val="en-GB"/>
        </w:rPr>
        <w:t xml:space="preserve">Despite taking a step towards improving the </w:t>
      </w:r>
      <w:r w:rsidR="00081993">
        <w:rPr>
          <w:color w:val="FF0000"/>
          <w:lang w:val="en-GB"/>
        </w:rPr>
        <w:t xml:space="preserve">usefulness </w:t>
      </w:r>
      <w:r w:rsidR="009C6C69" w:rsidRPr="00C52E95">
        <w:rPr>
          <w:color w:val="FF0000"/>
          <w:lang w:val="en-GB"/>
        </w:rPr>
        <w:t xml:space="preserve">of lake ecological state evaluation, we are aware of the need to formalize measures related to the position of objects in classes, for example for the purposes of structuring data in the report on water management plans, as well as harmonizing the results in water quality databases. </w:t>
      </w:r>
      <w:r w:rsidR="00081993">
        <w:rPr>
          <w:color w:val="FF0000"/>
          <w:lang w:val="en-GB"/>
        </w:rPr>
        <w:t>F</w:t>
      </w:r>
      <w:r w:rsidR="009C6C69" w:rsidRPr="00C52E95">
        <w:rPr>
          <w:color w:val="FF0000"/>
          <w:lang w:val="en-GB"/>
        </w:rPr>
        <w:t>urther developments are planned to improve the object membership indicators with use of Fuzzy SVMs and are focused on creation of effective, object-oriented membership assessment tool based on ecosystems ’individual tendency within its class</w:t>
      </w:r>
      <w:r w:rsidR="00851F54" w:rsidRPr="00C52E95">
        <w:rPr>
          <w:color w:val="FF0000"/>
          <w:lang w:val="en-GB"/>
        </w:rPr>
        <w:t>.</w:t>
      </w:r>
    </w:p>
    <w:p w14:paraId="6740D69F" w14:textId="77777777" w:rsidR="00061F3B" w:rsidRDefault="00061F3B" w:rsidP="00296936">
      <w:pPr>
        <w:jc w:val="both"/>
        <w:rPr>
          <w:lang w:val="en-GB"/>
        </w:rPr>
      </w:pPr>
    </w:p>
    <w:p w14:paraId="05F50B49" w14:textId="3B2834C5" w:rsidR="000158DB" w:rsidRPr="00063D2E" w:rsidRDefault="00DE0F7A" w:rsidP="000158DB">
      <w:pPr>
        <w:jc w:val="both"/>
        <w:rPr>
          <w:b/>
          <w:bCs/>
          <w:lang w:val="en-GB"/>
        </w:rPr>
      </w:pPr>
      <w:r>
        <w:rPr>
          <w:b/>
          <w:bCs/>
          <w:lang w:val="en-GB"/>
        </w:rPr>
        <w:t>6</w:t>
      </w:r>
      <w:r w:rsidR="000158DB" w:rsidRPr="00063D2E">
        <w:rPr>
          <w:b/>
          <w:bCs/>
          <w:lang w:val="en-GB"/>
        </w:rPr>
        <w:t>.</w:t>
      </w:r>
      <w:r w:rsidR="000158DB" w:rsidRPr="00063D2E">
        <w:rPr>
          <w:b/>
          <w:bCs/>
          <w:lang w:val="en-GB"/>
        </w:rPr>
        <w:tab/>
      </w:r>
      <w:r w:rsidR="000158DB">
        <w:rPr>
          <w:b/>
          <w:bCs/>
          <w:lang w:val="en-GB"/>
        </w:rPr>
        <w:t>Literature</w:t>
      </w:r>
    </w:p>
    <w:p w14:paraId="1B2639D0" w14:textId="3F22F940" w:rsidR="0040535A" w:rsidRPr="0040535A" w:rsidRDefault="00994BA8" w:rsidP="0040535A">
      <w:pPr>
        <w:widowControl w:val="0"/>
        <w:autoSpaceDE w:val="0"/>
        <w:autoSpaceDN w:val="0"/>
        <w:adjustRightInd w:val="0"/>
        <w:spacing w:after="0" w:line="240" w:lineRule="auto"/>
        <w:ind w:left="480" w:hanging="480"/>
        <w:rPr>
          <w:rFonts w:ascii="Calibri" w:hAnsi="Calibri" w:cs="Calibri"/>
          <w:noProof/>
          <w:szCs w:val="24"/>
        </w:rPr>
      </w:pPr>
      <w:r>
        <w:rPr>
          <w:lang w:val="en-GB"/>
        </w:rPr>
        <w:fldChar w:fldCharType="begin" w:fldLock="1"/>
      </w:r>
      <w:r>
        <w:rPr>
          <w:lang w:val="en-GB"/>
        </w:rPr>
        <w:instrText xml:space="preserve">ADDIN Mendeley Bibliography CSL_BIBLIOGRAPHY </w:instrText>
      </w:r>
      <w:r>
        <w:rPr>
          <w:lang w:val="en-GB"/>
        </w:rPr>
        <w:fldChar w:fldCharType="separate"/>
      </w:r>
      <w:r w:rsidR="0040535A" w:rsidRPr="0040535A">
        <w:rPr>
          <w:rFonts w:ascii="Calibri" w:hAnsi="Calibri" w:cs="Calibri"/>
          <w:noProof/>
          <w:szCs w:val="24"/>
        </w:rPr>
        <w:t xml:space="preserve">Acreman, M. C., &amp; Ferguson, A. J. D. (2010). Environmental flows and the European Water Framework Directive. </w:t>
      </w:r>
      <w:r w:rsidR="0040535A" w:rsidRPr="0040535A">
        <w:rPr>
          <w:rFonts w:ascii="Calibri" w:hAnsi="Calibri" w:cs="Calibri"/>
          <w:i/>
          <w:iCs/>
          <w:noProof/>
          <w:szCs w:val="24"/>
        </w:rPr>
        <w:t>Freshwater Biology</w:t>
      </w:r>
      <w:r w:rsidR="0040535A" w:rsidRPr="0040535A">
        <w:rPr>
          <w:rFonts w:ascii="Calibri" w:hAnsi="Calibri" w:cs="Calibri"/>
          <w:noProof/>
          <w:szCs w:val="24"/>
        </w:rPr>
        <w:t>. doi:10.1111/j.1365-2427.2009.02181.x</w:t>
      </w:r>
    </w:p>
    <w:p w14:paraId="2484A499"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Alahuhta, J., Vuori, K. M., Hellsten, S., Järvinen, M., Olin, M., Rask, M., &amp; Palomäki, A. (2009). Defining </w:t>
      </w:r>
      <w:r w:rsidRPr="0040535A">
        <w:rPr>
          <w:rFonts w:ascii="Calibri" w:hAnsi="Calibri" w:cs="Calibri"/>
          <w:noProof/>
          <w:szCs w:val="24"/>
        </w:rPr>
        <w:lastRenderedPageBreak/>
        <w:t xml:space="preserve">the ecological status of small forest lakes using multiple biological quality elements and palaeolimnological analysis. </w:t>
      </w:r>
      <w:r w:rsidRPr="0040535A">
        <w:rPr>
          <w:rFonts w:ascii="Calibri" w:hAnsi="Calibri" w:cs="Calibri"/>
          <w:i/>
          <w:iCs/>
          <w:noProof/>
          <w:szCs w:val="24"/>
        </w:rPr>
        <w:t>Fundamental and Applied Limnology</w:t>
      </w:r>
      <w:r w:rsidRPr="0040535A">
        <w:rPr>
          <w:rFonts w:ascii="Calibri" w:hAnsi="Calibri" w:cs="Calibri"/>
          <w:noProof/>
          <w:szCs w:val="24"/>
        </w:rPr>
        <w:t>. doi:10.1127/1863-9135/2009/0175-0203</w:t>
      </w:r>
    </w:p>
    <w:p w14:paraId="0FAB58B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Allen, D. M. (1971). Mean square error of prediction as a criterion for selecting variables. </w:t>
      </w:r>
      <w:r w:rsidRPr="0040535A">
        <w:rPr>
          <w:rFonts w:ascii="Calibri" w:hAnsi="Calibri" w:cs="Calibri"/>
          <w:i/>
          <w:iCs/>
          <w:noProof/>
          <w:szCs w:val="24"/>
        </w:rPr>
        <w:t>Technometrics</w:t>
      </w:r>
      <w:r w:rsidRPr="0040535A">
        <w:rPr>
          <w:rFonts w:ascii="Calibri" w:hAnsi="Calibri" w:cs="Calibri"/>
          <w:noProof/>
          <w:szCs w:val="24"/>
        </w:rPr>
        <w:t>. doi:10.1080/00401706.1971.10488811</w:t>
      </w:r>
    </w:p>
    <w:p w14:paraId="3B77949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Aoki, I. (2012). Lake Ecosystems. In </w:t>
      </w:r>
      <w:r w:rsidRPr="0040535A">
        <w:rPr>
          <w:rFonts w:ascii="Calibri" w:hAnsi="Calibri" w:cs="Calibri"/>
          <w:i/>
          <w:iCs/>
          <w:noProof/>
          <w:szCs w:val="24"/>
        </w:rPr>
        <w:t>Entropy Principle for the Development of Complex Biotic Systems</w:t>
      </w:r>
      <w:r w:rsidRPr="0040535A">
        <w:rPr>
          <w:rFonts w:ascii="Calibri" w:hAnsi="Calibri" w:cs="Calibri"/>
          <w:noProof/>
          <w:szCs w:val="24"/>
        </w:rPr>
        <w:t>. doi:10.1016/b978-0-12-391493-4.00007-x</w:t>
      </w:r>
    </w:p>
    <w:p w14:paraId="758B2C9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Baho, D. L., Futter, M. N., Johnson, R. K., &amp; Angeler, D. G. (2015). Assessing temporal scales and patterns in time series: Comparing methods based on redundancy analysis. </w:t>
      </w:r>
      <w:r w:rsidRPr="0040535A">
        <w:rPr>
          <w:rFonts w:ascii="Calibri" w:hAnsi="Calibri" w:cs="Calibri"/>
          <w:i/>
          <w:iCs/>
          <w:noProof/>
          <w:szCs w:val="24"/>
        </w:rPr>
        <w:t>Ecological Complexity</w:t>
      </w:r>
      <w:r w:rsidRPr="0040535A">
        <w:rPr>
          <w:rFonts w:ascii="Calibri" w:hAnsi="Calibri" w:cs="Calibri"/>
          <w:noProof/>
          <w:szCs w:val="24"/>
        </w:rPr>
        <w:t>. doi:10.1016/j.ecocom.2015.04.001</w:t>
      </w:r>
    </w:p>
    <w:p w14:paraId="773B1D68"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Benhadi-Marín, J. (2018). A conceptual framework to deal with outliers in ecology. </w:t>
      </w:r>
      <w:r w:rsidRPr="0040535A">
        <w:rPr>
          <w:rFonts w:ascii="Calibri" w:hAnsi="Calibri" w:cs="Calibri"/>
          <w:i/>
          <w:iCs/>
          <w:noProof/>
          <w:szCs w:val="24"/>
        </w:rPr>
        <w:t>Biodiversity and Conservation</w:t>
      </w:r>
      <w:r w:rsidRPr="0040535A">
        <w:rPr>
          <w:rFonts w:ascii="Calibri" w:hAnsi="Calibri" w:cs="Calibri"/>
          <w:noProof/>
          <w:szCs w:val="24"/>
        </w:rPr>
        <w:t>. doi:10.1007/s10531-018-1602-2</w:t>
      </w:r>
    </w:p>
    <w:p w14:paraId="31E41C9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Bennett, S., Roca, G., Romero, J., &amp; Alcoverro, T. (2011). Ecological status of seagrass ecosystems: An uncertainty analysis of the meadow classification based on the Posidonia oceanica multivariate index (POMI). </w:t>
      </w:r>
      <w:r w:rsidRPr="0040535A">
        <w:rPr>
          <w:rFonts w:ascii="Calibri" w:hAnsi="Calibri" w:cs="Calibri"/>
          <w:i/>
          <w:iCs/>
          <w:noProof/>
          <w:szCs w:val="24"/>
        </w:rPr>
        <w:t>Marine Pollution Bulletin</w:t>
      </w:r>
      <w:r w:rsidRPr="0040535A">
        <w:rPr>
          <w:rFonts w:ascii="Calibri" w:hAnsi="Calibri" w:cs="Calibri"/>
          <w:noProof/>
          <w:szCs w:val="24"/>
        </w:rPr>
        <w:t>. doi:10.1016/j.marpolbul.2011.06.016</w:t>
      </w:r>
    </w:p>
    <w:p w14:paraId="17297F6F"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Bennion, H., Kelly, M. G., Juggins, S., Yallop, M. L., Burgess, A., Jamieson, J., &amp; Krokowski, J. (2014). Assessment of ecological status in UK lakes using benthic diatoms. </w:t>
      </w:r>
      <w:r w:rsidRPr="0040535A">
        <w:rPr>
          <w:rFonts w:ascii="Calibri" w:hAnsi="Calibri" w:cs="Calibri"/>
          <w:i/>
          <w:iCs/>
          <w:noProof/>
          <w:szCs w:val="24"/>
        </w:rPr>
        <w:t>Freshwater Science</w:t>
      </w:r>
      <w:r w:rsidRPr="0040535A">
        <w:rPr>
          <w:rFonts w:ascii="Calibri" w:hAnsi="Calibri" w:cs="Calibri"/>
          <w:noProof/>
          <w:szCs w:val="24"/>
        </w:rPr>
        <w:t>. doi:10.1086/675447</w:t>
      </w:r>
    </w:p>
    <w:p w14:paraId="2E0A901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Bertsimas, D., Pawlowski, C., &amp; Zhuo, Y. D. (2018). From predictive methods to missing data imputation: An optimization approach. </w:t>
      </w:r>
      <w:r w:rsidRPr="0040535A">
        <w:rPr>
          <w:rFonts w:ascii="Calibri" w:hAnsi="Calibri" w:cs="Calibri"/>
          <w:i/>
          <w:iCs/>
          <w:noProof/>
          <w:szCs w:val="24"/>
        </w:rPr>
        <w:t>Journal of Machine Learning Research</w:t>
      </w:r>
      <w:r w:rsidRPr="0040535A">
        <w:rPr>
          <w:rFonts w:ascii="Calibri" w:hAnsi="Calibri" w:cs="Calibri"/>
          <w:noProof/>
          <w:szCs w:val="24"/>
        </w:rPr>
        <w:t>.</w:t>
      </w:r>
    </w:p>
    <w:p w14:paraId="664719EC"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Birk, S., Willby, N. J., Kelly, M. G., Bonne, W., Borja,  a, Poikane, S., &amp; Bund, W. Van De. (2013). Science of the Total Environment Intercalibrating classi fi cations of ecological status : Europe ’ s quest for common management objectives for aquatic ecosystems. </w:t>
      </w:r>
      <w:r w:rsidRPr="0040535A">
        <w:rPr>
          <w:rFonts w:ascii="Calibri" w:hAnsi="Calibri" w:cs="Calibri"/>
          <w:i/>
          <w:iCs/>
          <w:noProof/>
          <w:szCs w:val="24"/>
        </w:rPr>
        <w:t>Science of the Total Environment</w:t>
      </w:r>
      <w:r w:rsidRPr="0040535A">
        <w:rPr>
          <w:rFonts w:ascii="Calibri" w:hAnsi="Calibri" w:cs="Calibri"/>
          <w:noProof/>
          <w:szCs w:val="24"/>
        </w:rPr>
        <w:t>.</w:t>
      </w:r>
    </w:p>
    <w:p w14:paraId="50BA62D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Birk, S., Willby, N. J., Kelly, M. G., Bonne, W., Borja, A., Poikane, S., &amp; van de Bund, W. (2013). Intercalibrating classifications of ecological status: Europe’s quest for common management objectives for aquatic ecosystems. </w:t>
      </w:r>
      <w:r w:rsidRPr="0040535A">
        <w:rPr>
          <w:rFonts w:ascii="Calibri" w:hAnsi="Calibri" w:cs="Calibri"/>
          <w:i/>
          <w:iCs/>
          <w:noProof/>
          <w:szCs w:val="24"/>
        </w:rPr>
        <w:t>Science of the Total Environment</w:t>
      </w:r>
      <w:r w:rsidRPr="0040535A">
        <w:rPr>
          <w:rFonts w:ascii="Calibri" w:hAnsi="Calibri" w:cs="Calibri"/>
          <w:noProof/>
          <w:szCs w:val="24"/>
        </w:rPr>
        <w:t>. doi:10.1016/j.scitotenv.2013.03.037</w:t>
      </w:r>
    </w:p>
    <w:p w14:paraId="196E2EA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Bode, M., Baker, C. M., Benshemesh, J., Burnard, T., Rumpff, L., Hauser, C. E., … Wintle, B. A. (2017). Revealing beliefs: using ensemble ecosystem modelling to extrapolate expert beliefs to novel ecological scenarios. </w:t>
      </w:r>
      <w:r w:rsidRPr="0040535A">
        <w:rPr>
          <w:rFonts w:ascii="Calibri" w:hAnsi="Calibri" w:cs="Calibri"/>
          <w:i/>
          <w:iCs/>
          <w:noProof/>
          <w:szCs w:val="24"/>
        </w:rPr>
        <w:t>Methods in Ecology and Evolution</w:t>
      </w:r>
      <w:r w:rsidRPr="0040535A">
        <w:rPr>
          <w:rFonts w:ascii="Calibri" w:hAnsi="Calibri" w:cs="Calibri"/>
          <w:noProof/>
          <w:szCs w:val="24"/>
        </w:rPr>
        <w:t>. doi:10.1111/2041-210X.12703</w:t>
      </w:r>
    </w:p>
    <w:p w14:paraId="33010CD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Brownlee, J. (2019). A Gentle Introduction to k-fold Cross-Validation.</w:t>
      </w:r>
    </w:p>
    <w:p w14:paraId="4A559EB1"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Cao, L. J., Chua, K. S., Chong, W. K., Lee, H. P., &amp; Gu, Q. M. (2003). A comparison of PCA, KPCA and ICA for dimensionality reduction in support vector machine. </w:t>
      </w:r>
      <w:r w:rsidRPr="0040535A">
        <w:rPr>
          <w:rFonts w:ascii="Calibri" w:hAnsi="Calibri" w:cs="Calibri"/>
          <w:i/>
          <w:iCs/>
          <w:noProof/>
          <w:szCs w:val="24"/>
        </w:rPr>
        <w:t>Neurocomputing</w:t>
      </w:r>
      <w:r w:rsidRPr="0040535A">
        <w:rPr>
          <w:rFonts w:ascii="Calibri" w:hAnsi="Calibri" w:cs="Calibri"/>
          <w:noProof/>
          <w:szCs w:val="24"/>
        </w:rPr>
        <w:t>. doi:10.1016/S0925-2312(03)00433-8</w:t>
      </w:r>
    </w:p>
    <w:p w14:paraId="51B5D44D"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Carvalho, L., Cortes, R., &amp; Bordalo, A. A. (2011). Evaluation of the ecological status of an impaired watershed by using a multi-index approach. In </w:t>
      </w:r>
      <w:r w:rsidRPr="0040535A">
        <w:rPr>
          <w:rFonts w:ascii="Calibri" w:hAnsi="Calibri" w:cs="Calibri"/>
          <w:i/>
          <w:iCs/>
          <w:noProof/>
          <w:szCs w:val="24"/>
        </w:rPr>
        <w:t>Environmental Monitoring and Assessment</w:t>
      </w:r>
      <w:r w:rsidRPr="0040535A">
        <w:rPr>
          <w:rFonts w:ascii="Calibri" w:hAnsi="Calibri" w:cs="Calibri"/>
          <w:noProof/>
          <w:szCs w:val="24"/>
        </w:rPr>
        <w:t>. doi:10.1007/s10661-010-1473-9</w:t>
      </w:r>
    </w:p>
    <w:p w14:paraId="479E6C4F"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Castellanos, A. A., Huntley, J. W., Voelker, G., &amp; Lawing, A. M. (2019). Environmental filtering improves ecological niche models across multiple scales. </w:t>
      </w:r>
      <w:r w:rsidRPr="0040535A">
        <w:rPr>
          <w:rFonts w:ascii="Calibri" w:hAnsi="Calibri" w:cs="Calibri"/>
          <w:i/>
          <w:iCs/>
          <w:noProof/>
          <w:szCs w:val="24"/>
        </w:rPr>
        <w:t>Methods in Ecology and Evolution</w:t>
      </w:r>
      <w:r w:rsidRPr="0040535A">
        <w:rPr>
          <w:rFonts w:ascii="Calibri" w:hAnsi="Calibri" w:cs="Calibri"/>
          <w:noProof/>
          <w:szCs w:val="24"/>
        </w:rPr>
        <w:t>. doi:10.1111/2041-210X.13142</w:t>
      </w:r>
    </w:p>
    <w:p w14:paraId="23ADE07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Chen, Q., Song, Z., Dong, J., Huang, Z., Hua, Y., &amp; Yan, S. (2015). Contextualizing object detection and classification. </w:t>
      </w:r>
      <w:r w:rsidRPr="0040535A">
        <w:rPr>
          <w:rFonts w:ascii="Calibri" w:hAnsi="Calibri" w:cs="Calibri"/>
          <w:i/>
          <w:iCs/>
          <w:noProof/>
          <w:szCs w:val="24"/>
        </w:rPr>
        <w:t>IEEE Transactions on Pattern Analysis and Machine Intelligence</w:t>
      </w:r>
      <w:r w:rsidRPr="0040535A">
        <w:rPr>
          <w:rFonts w:ascii="Calibri" w:hAnsi="Calibri" w:cs="Calibri"/>
          <w:noProof/>
          <w:szCs w:val="24"/>
        </w:rPr>
        <w:t>. doi:10.1109/TPAMI.2014.2343217</w:t>
      </w:r>
    </w:p>
    <w:p w14:paraId="608970A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Chou, J. S., Ho, C. C., &amp; Hoang, H. S. (2018). Determining quality of water in reservoir using machine learning. </w:t>
      </w:r>
      <w:r w:rsidRPr="0040535A">
        <w:rPr>
          <w:rFonts w:ascii="Calibri" w:hAnsi="Calibri" w:cs="Calibri"/>
          <w:i/>
          <w:iCs/>
          <w:noProof/>
          <w:szCs w:val="24"/>
        </w:rPr>
        <w:t>Ecological Informatics</w:t>
      </w:r>
      <w:r w:rsidRPr="0040535A">
        <w:rPr>
          <w:rFonts w:ascii="Calibri" w:hAnsi="Calibri" w:cs="Calibri"/>
          <w:noProof/>
          <w:szCs w:val="24"/>
        </w:rPr>
        <w:t>. doi:10.1016/j.ecoinf.2018.01.005</w:t>
      </w:r>
    </w:p>
    <w:p w14:paraId="13B28ED5"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Christensen, O. (2010). Hilbert spaces. In </w:t>
      </w:r>
      <w:r w:rsidRPr="0040535A">
        <w:rPr>
          <w:rFonts w:ascii="Calibri" w:hAnsi="Calibri" w:cs="Calibri"/>
          <w:i/>
          <w:iCs/>
          <w:noProof/>
          <w:szCs w:val="24"/>
        </w:rPr>
        <w:t>Applied and Numerical Harmonic Analysis</w:t>
      </w:r>
      <w:r w:rsidRPr="0040535A">
        <w:rPr>
          <w:rFonts w:ascii="Calibri" w:hAnsi="Calibri" w:cs="Calibri"/>
          <w:noProof/>
          <w:szCs w:val="24"/>
        </w:rPr>
        <w:t>. doi:10.1007/978-0-8176-4980-7_4</w:t>
      </w:r>
    </w:p>
    <w:p w14:paraId="441E39A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Christin, S., Hervet, É., &amp; Lecomte, N. (2019). Applications for deep learning in ecology. </w:t>
      </w:r>
      <w:r w:rsidRPr="0040535A">
        <w:rPr>
          <w:rFonts w:ascii="Calibri" w:hAnsi="Calibri" w:cs="Calibri"/>
          <w:i/>
          <w:iCs/>
          <w:noProof/>
          <w:szCs w:val="24"/>
        </w:rPr>
        <w:t>Methods in Ecology and Evolution</w:t>
      </w:r>
      <w:r w:rsidRPr="0040535A">
        <w:rPr>
          <w:rFonts w:ascii="Calibri" w:hAnsi="Calibri" w:cs="Calibri"/>
          <w:noProof/>
          <w:szCs w:val="24"/>
        </w:rPr>
        <w:t>. doi:10.1111/2041-210X.13256</w:t>
      </w:r>
    </w:p>
    <w:p w14:paraId="56967EF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Chrobak, K., Chrobak, G., &amp; Kazak, J. K. (2020). The use of common knowledge in fuzzy logic approach for vineyard site selection. </w:t>
      </w:r>
      <w:r w:rsidRPr="0040535A">
        <w:rPr>
          <w:rFonts w:ascii="Calibri" w:hAnsi="Calibri" w:cs="Calibri"/>
          <w:i/>
          <w:iCs/>
          <w:noProof/>
          <w:szCs w:val="24"/>
        </w:rPr>
        <w:t>Remote Sensing</w:t>
      </w:r>
      <w:r w:rsidRPr="0040535A">
        <w:rPr>
          <w:rFonts w:ascii="Calibri" w:hAnsi="Calibri" w:cs="Calibri"/>
          <w:noProof/>
          <w:szCs w:val="24"/>
        </w:rPr>
        <w:t>. doi:10.3390/rs12111775</w:t>
      </w:r>
    </w:p>
    <w:p w14:paraId="669134D3"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lastRenderedPageBreak/>
        <w:t xml:space="preserve">Cooper, J. L. B., &amp; Berberian, S. K. (1977). Introduction to Hilbert Space. </w:t>
      </w:r>
      <w:r w:rsidRPr="0040535A">
        <w:rPr>
          <w:rFonts w:ascii="Calibri" w:hAnsi="Calibri" w:cs="Calibri"/>
          <w:i/>
          <w:iCs/>
          <w:noProof/>
          <w:szCs w:val="24"/>
        </w:rPr>
        <w:t>The Mathematical Gazette</w:t>
      </w:r>
      <w:r w:rsidRPr="0040535A">
        <w:rPr>
          <w:rFonts w:ascii="Calibri" w:hAnsi="Calibri" w:cs="Calibri"/>
          <w:noProof/>
          <w:szCs w:val="24"/>
        </w:rPr>
        <w:t>. doi:10.2307/3617432</w:t>
      </w:r>
    </w:p>
    <w:p w14:paraId="6BA468D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Crisp, D. J., &amp; Burges, C. J. C. (2000). A geometric interpretation of ν-SVM classifiers. In </w:t>
      </w:r>
      <w:r w:rsidRPr="0040535A">
        <w:rPr>
          <w:rFonts w:ascii="Calibri" w:hAnsi="Calibri" w:cs="Calibri"/>
          <w:i/>
          <w:iCs/>
          <w:noProof/>
          <w:szCs w:val="24"/>
        </w:rPr>
        <w:t>Advances in Neural Information Processing Systems</w:t>
      </w:r>
      <w:r w:rsidRPr="0040535A">
        <w:rPr>
          <w:rFonts w:ascii="Calibri" w:hAnsi="Calibri" w:cs="Calibri"/>
          <w:noProof/>
          <w:szCs w:val="24"/>
        </w:rPr>
        <w:t>.</w:t>
      </w:r>
    </w:p>
    <w:p w14:paraId="1D576A1C"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Cunningham, J. P., &amp; Ghahramani, Z. (2015). Linear dimensionality reduction: Survey, insights, and generalizations. </w:t>
      </w:r>
      <w:r w:rsidRPr="0040535A">
        <w:rPr>
          <w:rFonts w:ascii="Calibri" w:hAnsi="Calibri" w:cs="Calibri"/>
          <w:i/>
          <w:iCs/>
          <w:noProof/>
          <w:szCs w:val="24"/>
        </w:rPr>
        <w:t>Journal of Machine Learning Research</w:t>
      </w:r>
      <w:r w:rsidRPr="0040535A">
        <w:rPr>
          <w:rFonts w:ascii="Calibri" w:hAnsi="Calibri" w:cs="Calibri"/>
          <w:noProof/>
          <w:szCs w:val="24"/>
        </w:rPr>
        <w:t>.</w:t>
      </w:r>
    </w:p>
    <w:p w14:paraId="3D8E71D7"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De’Ath, G., &amp; Fabricius, K. E. (2000). Classification and regression trees: A powerful yet simple technique for ecological data analysis. </w:t>
      </w:r>
      <w:r w:rsidRPr="0040535A">
        <w:rPr>
          <w:rFonts w:ascii="Calibri" w:hAnsi="Calibri" w:cs="Calibri"/>
          <w:i/>
          <w:iCs/>
          <w:noProof/>
          <w:szCs w:val="24"/>
        </w:rPr>
        <w:t>Ecology</w:t>
      </w:r>
      <w:r w:rsidRPr="0040535A">
        <w:rPr>
          <w:rFonts w:ascii="Calibri" w:hAnsi="Calibri" w:cs="Calibri"/>
          <w:noProof/>
          <w:szCs w:val="24"/>
        </w:rPr>
        <w:t>. doi:10.1890/0012-9658(2000)081[3178:CARTAP]2.0.CO;2</w:t>
      </w:r>
    </w:p>
    <w:p w14:paraId="1CB20B6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Desjardins-Proulx, P., Poisot, T., &amp; Gravel, D. (2019). Artificial Intelligence for Ecological and Evolutionary Synthesis. </w:t>
      </w:r>
      <w:r w:rsidRPr="0040535A">
        <w:rPr>
          <w:rFonts w:ascii="Calibri" w:hAnsi="Calibri" w:cs="Calibri"/>
          <w:i/>
          <w:iCs/>
          <w:noProof/>
          <w:szCs w:val="24"/>
        </w:rPr>
        <w:t>Frontiers in Ecology and Evolution</w:t>
      </w:r>
      <w:r w:rsidRPr="0040535A">
        <w:rPr>
          <w:rFonts w:ascii="Calibri" w:hAnsi="Calibri" w:cs="Calibri"/>
          <w:noProof/>
          <w:szCs w:val="24"/>
        </w:rPr>
        <w:t>. doi:10.3389/fevo.2019.00402</w:t>
      </w:r>
    </w:p>
    <w:p w14:paraId="756BBD5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Dörnhöfer, K., &amp; Oppelt, N. (2016). Remote sensing for lake research and monitoring - Recent advances. </w:t>
      </w:r>
      <w:r w:rsidRPr="0040535A">
        <w:rPr>
          <w:rFonts w:ascii="Calibri" w:hAnsi="Calibri" w:cs="Calibri"/>
          <w:i/>
          <w:iCs/>
          <w:noProof/>
          <w:szCs w:val="24"/>
        </w:rPr>
        <w:t>Ecological Indicators</w:t>
      </w:r>
      <w:r w:rsidRPr="0040535A">
        <w:rPr>
          <w:rFonts w:ascii="Calibri" w:hAnsi="Calibri" w:cs="Calibri"/>
          <w:noProof/>
          <w:szCs w:val="24"/>
        </w:rPr>
        <w:t>. doi:10.1016/j.ecolind.2015.12.009</w:t>
      </w:r>
    </w:p>
    <w:p w14:paraId="414B8D6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Dray, S., &amp; Josse, J. (2015). Principal component analysis with missing values: a comparative survey of methods. </w:t>
      </w:r>
      <w:r w:rsidRPr="0040535A">
        <w:rPr>
          <w:rFonts w:ascii="Calibri" w:hAnsi="Calibri" w:cs="Calibri"/>
          <w:i/>
          <w:iCs/>
          <w:noProof/>
          <w:szCs w:val="24"/>
        </w:rPr>
        <w:t>Plant Ecology</w:t>
      </w:r>
      <w:r w:rsidRPr="0040535A">
        <w:rPr>
          <w:rFonts w:ascii="Calibri" w:hAnsi="Calibri" w:cs="Calibri"/>
          <w:noProof/>
          <w:szCs w:val="24"/>
        </w:rPr>
        <w:t>. doi:10.1007/s11258-014-0406-z</w:t>
      </w:r>
    </w:p>
    <w:p w14:paraId="0A7D2169"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Ellington, E. H., Bastille-Rousseau, G., Austin, C., Landolt, K. N., Pond, B. A., Rees, E. E., … Murray, D. L. (2015). Using multiple imputation to estimate missing data in meta-regression. </w:t>
      </w:r>
      <w:r w:rsidRPr="0040535A">
        <w:rPr>
          <w:rFonts w:ascii="Calibri" w:hAnsi="Calibri" w:cs="Calibri"/>
          <w:i/>
          <w:iCs/>
          <w:noProof/>
          <w:szCs w:val="24"/>
        </w:rPr>
        <w:t>Methods in Ecology and Evolution</w:t>
      </w:r>
      <w:r w:rsidRPr="0040535A">
        <w:rPr>
          <w:rFonts w:ascii="Calibri" w:hAnsi="Calibri" w:cs="Calibri"/>
          <w:noProof/>
          <w:szCs w:val="24"/>
        </w:rPr>
        <w:t>. doi:10.1111/2041-210X.12322</w:t>
      </w:r>
    </w:p>
    <w:p w14:paraId="7D775CF5"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European Environmental Agency. (2018). </w:t>
      </w:r>
      <w:r w:rsidRPr="0040535A">
        <w:rPr>
          <w:rFonts w:ascii="Calibri" w:hAnsi="Calibri" w:cs="Calibri"/>
          <w:i/>
          <w:iCs/>
          <w:noProof/>
          <w:szCs w:val="24"/>
        </w:rPr>
        <w:t>European waters Assessment of status and pressures 2018</w:t>
      </w:r>
      <w:r w:rsidRPr="0040535A">
        <w:rPr>
          <w:rFonts w:ascii="Calibri" w:hAnsi="Calibri" w:cs="Calibri"/>
          <w:noProof/>
          <w:szCs w:val="24"/>
        </w:rPr>
        <w:t xml:space="preserve">. </w:t>
      </w:r>
      <w:r w:rsidRPr="0040535A">
        <w:rPr>
          <w:rFonts w:ascii="Calibri" w:hAnsi="Calibri" w:cs="Calibri"/>
          <w:i/>
          <w:iCs/>
          <w:noProof/>
          <w:szCs w:val="24"/>
        </w:rPr>
        <w:t>Parents and Children Communicating with Society: Managing Relationships Outside of Home</w:t>
      </w:r>
      <w:r w:rsidRPr="0040535A">
        <w:rPr>
          <w:rFonts w:ascii="Calibri" w:hAnsi="Calibri" w:cs="Calibri"/>
          <w:noProof/>
          <w:szCs w:val="24"/>
        </w:rPr>
        <w:t>. doi:/10.4324/9780203938607</w:t>
      </w:r>
    </w:p>
    <w:p w14:paraId="67361C7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Everaert, G., Boets, P., Lock, K., Džeroski, S., &amp; Goethals, P. L. M. (2011). Using classification trees to analyze the impact of exotic species on the ecological assessment of polder lakes in Flanders, Belgium. </w:t>
      </w:r>
      <w:r w:rsidRPr="0040535A">
        <w:rPr>
          <w:rFonts w:ascii="Calibri" w:hAnsi="Calibri" w:cs="Calibri"/>
          <w:i/>
          <w:iCs/>
          <w:noProof/>
          <w:szCs w:val="24"/>
        </w:rPr>
        <w:t>Ecological Modelling</w:t>
      </w:r>
      <w:r w:rsidRPr="0040535A">
        <w:rPr>
          <w:rFonts w:ascii="Calibri" w:hAnsi="Calibri" w:cs="Calibri"/>
          <w:noProof/>
          <w:szCs w:val="24"/>
        </w:rPr>
        <w:t>. doi:10.1016/j.ecolmodel.2010.08.013</w:t>
      </w:r>
    </w:p>
    <w:p w14:paraId="21EEC5A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Fernández-Delgado, M., Cernadas, E., Barro, S., &amp; Amorim, D. (2014). Do we need hundreds of classifiers to solve real world classification problems? </w:t>
      </w:r>
      <w:r w:rsidRPr="0040535A">
        <w:rPr>
          <w:rFonts w:ascii="Calibri" w:hAnsi="Calibri" w:cs="Calibri"/>
          <w:i/>
          <w:iCs/>
          <w:noProof/>
          <w:szCs w:val="24"/>
        </w:rPr>
        <w:t>Journal of Machine Learning Research</w:t>
      </w:r>
      <w:r w:rsidRPr="0040535A">
        <w:rPr>
          <w:rFonts w:ascii="Calibri" w:hAnsi="Calibri" w:cs="Calibri"/>
          <w:noProof/>
          <w:szCs w:val="24"/>
        </w:rPr>
        <w:t>. doi:10.1117/1.JRS.11.015020</w:t>
      </w:r>
    </w:p>
    <w:p w14:paraId="6020F83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Fernández, A., García, S., Galar, M., Prati, R. C., Krawczyk, B., &amp; Herrera, F. (2018). </w:t>
      </w:r>
      <w:r w:rsidRPr="0040535A">
        <w:rPr>
          <w:rFonts w:ascii="Calibri" w:hAnsi="Calibri" w:cs="Calibri"/>
          <w:i/>
          <w:iCs/>
          <w:noProof/>
          <w:szCs w:val="24"/>
        </w:rPr>
        <w:t>Learning from Imbalanced Data Sets</w:t>
      </w:r>
      <w:r w:rsidRPr="0040535A">
        <w:rPr>
          <w:rFonts w:ascii="Calibri" w:hAnsi="Calibri" w:cs="Calibri"/>
          <w:noProof/>
          <w:szCs w:val="24"/>
        </w:rPr>
        <w:t xml:space="preserve">. </w:t>
      </w:r>
      <w:r w:rsidRPr="0040535A">
        <w:rPr>
          <w:rFonts w:ascii="Calibri" w:hAnsi="Calibri" w:cs="Calibri"/>
          <w:i/>
          <w:iCs/>
          <w:noProof/>
          <w:szCs w:val="24"/>
        </w:rPr>
        <w:t>Learning from Imbalanced Data Sets</w:t>
      </w:r>
      <w:r w:rsidRPr="0040535A">
        <w:rPr>
          <w:rFonts w:ascii="Calibri" w:hAnsi="Calibri" w:cs="Calibri"/>
          <w:noProof/>
          <w:szCs w:val="24"/>
        </w:rPr>
        <w:t>. doi:10.1007/978-3-319-98074-4</w:t>
      </w:r>
    </w:p>
    <w:p w14:paraId="6BDE8B4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Feurer, M., &amp; Hutter, F. (2019). Hyperparameter Optimization. doi:10.1007/978-3-030-05318-5_1</w:t>
      </w:r>
    </w:p>
    <w:p w14:paraId="5391F8F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Flint, L. E., &amp; Flint, A. L. (2012). Downscaling future climate scenarios to fine scales for hydrologic and ecological modeling and analysis. </w:t>
      </w:r>
      <w:r w:rsidRPr="0040535A">
        <w:rPr>
          <w:rFonts w:ascii="Calibri" w:hAnsi="Calibri" w:cs="Calibri"/>
          <w:i/>
          <w:iCs/>
          <w:noProof/>
          <w:szCs w:val="24"/>
        </w:rPr>
        <w:t>Ecological Processes</w:t>
      </w:r>
      <w:r w:rsidRPr="0040535A">
        <w:rPr>
          <w:rFonts w:ascii="Calibri" w:hAnsi="Calibri" w:cs="Calibri"/>
          <w:noProof/>
          <w:szCs w:val="24"/>
        </w:rPr>
        <w:t>. doi:10.1186/2192-1709-1-2</w:t>
      </w:r>
    </w:p>
    <w:p w14:paraId="2208CB03"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Forslund,  a, &amp; House, S. W. (2009). </w:t>
      </w:r>
      <w:r w:rsidRPr="0040535A">
        <w:rPr>
          <w:rFonts w:ascii="Calibri" w:hAnsi="Calibri" w:cs="Calibri"/>
          <w:i/>
          <w:iCs/>
          <w:noProof/>
          <w:szCs w:val="24"/>
        </w:rPr>
        <w:t>Securing Water for Ecosystems and Human Well-being: The Importance of Environmental Flows</w:t>
      </w:r>
      <w:r w:rsidRPr="0040535A">
        <w:rPr>
          <w:rFonts w:ascii="Calibri" w:hAnsi="Calibri" w:cs="Calibri"/>
          <w:noProof/>
          <w:szCs w:val="24"/>
        </w:rPr>
        <w:t xml:space="preserve">. </w:t>
      </w:r>
      <w:r w:rsidRPr="0040535A">
        <w:rPr>
          <w:rFonts w:ascii="Calibri" w:hAnsi="Calibri" w:cs="Calibri"/>
          <w:i/>
          <w:iCs/>
          <w:noProof/>
          <w:szCs w:val="24"/>
        </w:rPr>
        <w:t>Swedish Water House Report</w:t>
      </w:r>
      <w:r w:rsidRPr="0040535A">
        <w:rPr>
          <w:rFonts w:ascii="Calibri" w:hAnsi="Calibri" w:cs="Calibri"/>
          <w:noProof/>
          <w:szCs w:val="24"/>
        </w:rPr>
        <w:t>. doi:978-91-975872-4-2</w:t>
      </w:r>
    </w:p>
    <w:p w14:paraId="4660FD2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Friedrichs, F., &amp; Igel, C. (2005). Evolutionary tuning of multiple SVM parameters. </w:t>
      </w:r>
      <w:r w:rsidRPr="0040535A">
        <w:rPr>
          <w:rFonts w:ascii="Calibri" w:hAnsi="Calibri" w:cs="Calibri"/>
          <w:i/>
          <w:iCs/>
          <w:noProof/>
          <w:szCs w:val="24"/>
        </w:rPr>
        <w:t>Neurocomputing</w:t>
      </w:r>
      <w:r w:rsidRPr="0040535A">
        <w:rPr>
          <w:rFonts w:ascii="Calibri" w:hAnsi="Calibri" w:cs="Calibri"/>
          <w:noProof/>
          <w:szCs w:val="24"/>
        </w:rPr>
        <w:t>. doi:10.1016/j.neucom.2004.11.022</w:t>
      </w:r>
    </w:p>
    <w:p w14:paraId="11DD349D"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GIOŚ. (2015). Bank danych pomiarowych. Retrieved from https://powietrze.gios.gov.pl/pjp/archives</w:t>
      </w:r>
    </w:p>
    <w:p w14:paraId="6E382447"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Gönen, M., &amp; Alpaydin, E. (2011). Multiple kernel learning algorithms. </w:t>
      </w:r>
      <w:r w:rsidRPr="0040535A">
        <w:rPr>
          <w:rFonts w:ascii="Calibri" w:hAnsi="Calibri" w:cs="Calibri"/>
          <w:i/>
          <w:iCs/>
          <w:noProof/>
          <w:szCs w:val="24"/>
        </w:rPr>
        <w:t>Journal of Machine Learning Research</w:t>
      </w:r>
      <w:r w:rsidRPr="0040535A">
        <w:rPr>
          <w:rFonts w:ascii="Calibri" w:hAnsi="Calibri" w:cs="Calibri"/>
          <w:noProof/>
          <w:szCs w:val="24"/>
        </w:rPr>
        <w:t>.</w:t>
      </w:r>
    </w:p>
    <w:p w14:paraId="7AD4AF4D"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Gooch, J. W. (2011). Pearson’s Product-Moment Correlation Coefficient. In </w:t>
      </w:r>
      <w:r w:rsidRPr="0040535A">
        <w:rPr>
          <w:rFonts w:ascii="Calibri" w:hAnsi="Calibri" w:cs="Calibri"/>
          <w:i/>
          <w:iCs/>
          <w:noProof/>
          <w:szCs w:val="24"/>
        </w:rPr>
        <w:t>Encyclopedic Dictionary of Polymers</w:t>
      </w:r>
      <w:r w:rsidRPr="0040535A">
        <w:rPr>
          <w:rFonts w:ascii="Calibri" w:hAnsi="Calibri" w:cs="Calibri"/>
          <w:noProof/>
          <w:szCs w:val="24"/>
        </w:rPr>
        <w:t>. doi:10.1007/978-1-4419-6247-8_15318</w:t>
      </w:r>
    </w:p>
    <w:p w14:paraId="4C561263"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Grizzetti, B., Lanzanova, D., Liquete, C., Reynaud, A., &amp; Cardoso, A. C. (2016). Assessing water ecosystem services for water resource management. </w:t>
      </w:r>
      <w:r w:rsidRPr="0040535A">
        <w:rPr>
          <w:rFonts w:ascii="Calibri" w:hAnsi="Calibri" w:cs="Calibri"/>
          <w:i/>
          <w:iCs/>
          <w:noProof/>
          <w:szCs w:val="24"/>
        </w:rPr>
        <w:t>Environmental Science and Policy</w:t>
      </w:r>
      <w:r w:rsidRPr="0040535A">
        <w:rPr>
          <w:rFonts w:ascii="Calibri" w:hAnsi="Calibri" w:cs="Calibri"/>
          <w:noProof/>
          <w:szCs w:val="24"/>
        </w:rPr>
        <w:t>. doi:10.1016/j.envsci.2016.04.008</w:t>
      </w:r>
    </w:p>
    <w:p w14:paraId="1D0C2BB8"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Grung, B., &amp; Manne, R. (1998). Missing values in principal component analysis. </w:t>
      </w:r>
      <w:r w:rsidRPr="0040535A">
        <w:rPr>
          <w:rFonts w:ascii="Calibri" w:hAnsi="Calibri" w:cs="Calibri"/>
          <w:i/>
          <w:iCs/>
          <w:noProof/>
          <w:szCs w:val="24"/>
        </w:rPr>
        <w:t>Chemometrics and Intelligent Laboratory Systems</w:t>
      </w:r>
      <w:r w:rsidRPr="0040535A">
        <w:rPr>
          <w:rFonts w:ascii="Calibri" w:hAnsi="Calibri" w:cs="Calibri"/>
          <w:noProof/>
          <w:szCs w:val="24"/>
        </w:rPr>
        <w:t>. doi:10.1016/S0169-7439(98)00031-8</w:t>
      </w:r>
    </w:p>
    <w:p w14:paraId="76F5FDD1"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Gu, Q., Li, Z., &amp; Han, J. (2011). Linear discriminant dimensionality reduction. In </w:t>
      </w:r>
      <w:r w:rsidRPr="0040535A">
        <w:rPr>
          <w:rFonts w:ascii="Calibri" w:hAnsi="Calibri" w:cs="Calibri"/>
          <w:i/>
          <w:iCs/>
          <w:noProof/>
          <w:szCs w:val="24"/>
        </w:rPr>
        <w:t>Lecture Notes in Computer Science (including subseries Lecture Notes in Artificial Intelligence and Lecture Notes in Bioinformatics)</w:t>
      </w:r>
      <w:r w:rsidRPr="0040535A">
        <w:rPr>
          <w:rFonts w:ascii="Calibri" w:hAnsi="Calibri" w:cs="Calibri"/>
          <w:noProof/>
          <w:szCs w:val="24"/>
        </w:rPr>
        <w:t>. doi:10.1007/978-3-642-23780-5_45</w:t>
      </w:r>
    </w:p>
    <w:p w14:paraId="5617422C"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Hamblin, S. (2013). On the practical usage of genetic algorithms in ecology and evolution. </w:t>
      </w:r>
      <w:r w:rsidRPr="0040535A">
        <w:rPr>
          <w:rFonts w:ascii="Calibri" w:hAnsi="Calibri" w:cs="Calibri"/>
          <w:i/>
          <w:iCs/>
          <w:noProof/>
          <w:szCs w:val="24"/>
        </w:rPr>
        <w:t>Methods in Ecology and Evolution</w:t>
      </w:r>
      <w:r w:rsidRPr="0040535A">
        <w:rPr>
          <w:rFonts w:ascii="Calibri" w:hAnsi="Calibri" w:cs="Calibri"/>
          <w:noProof/>
          <w:szCs w:val="24"/>
        </w:rPr>
        <w:t>. doi:10.1111/2041-210X.12000</w:t>
      </w:r>
    </w:p>
    <w:p w14:paraId="5552669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Hambright, K. D., &amp; Berman, T. (2014). Water quality assessment. </w:t>
      </w:r>
      <w:r w:rsidRPr="0040535A">
        <w:rPr>
          <w:rFonts w:ascii="Calibri" w:hAnsi="Calibri" w:cs="Calibri"/>
          <w:i/>
          <w:iCs/>
          <w:noProof/>
          <w:szCs w:val="24"/>
        </w:rPr>
        <w:t>Aquatic Ecology</w:t>
      </w:r>
      <w:r w:rsidRPr="0040535A">
        <w:rPr>
          <w:rFonts w:ascii="Calibri" w:hAnsi="Calibri" w:cs="Calibri"/>
          <w:noProof/>
          <w:szCs w:val="24"/>
        </w:rPr>
        <w:t>. doi:10.1007/978-</w:t>
      </w:r>
      <w:r w:rsidRPr="0040535A">
        <w:rPr>
          <w:rFonts w:ascii="Calibri" w:hAnsi="Calibri" w:cs="Calibri"/>
          <w:noProof/>
          <w:szCs w:val="24"/>
        </w:rPr>
        <w:lastRenderedPageBreak/>
        <w:t>94-017-8944-8_34</w:t>
      </w:r>
    </w:p>
    <w:p w14:paraId="5536186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Hampton, S. E., Anderson, S., Bagby, S. C., &amp; Gries, C. (2014). The Tao of Open Science for Ecology. </w:t>
      </w:r>
      <w:r w:rsidRPr="0040535A">
        <w:rPr>
          <w:rFonts w:ascii="Calibri" w:hAnsi="Calibri" w:cs="Calibri"/>
          <w:i/>
          <w:iCs/>
          <w:noProof/>
          <w:szCs w:val="24"/>
        </w:rPr>
        <w:t>PeerJ PrePrints</w:t>
      </w:r>
      <w:r w:rsidRPr="0040535A">
        <w:rPr>
          <w:rFonts w:ascii="Calibri" w:hAnsi="Calibri" w:cs="Calibri"/>
          <w:noProof/>
          <w:szCs w:val="24"/>
        </w:rPr>
        <w:t>. doi:10.7287/peerj.preprints.549v1</w:t>
      </w:r>
    </w:p>
    <w:p w14:paraId="17520833"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Harwood, T. D., Donohue, R. J., Williams, K. J., Ferrier, S., McVicar, T. R., Newell, G., &amp; White, M. (2016). Habitat Condition Assessment System: a new way to assess the condition of natural habitats for terrestrial biodiversity across whole regions using remote sensing data. </w:t>
      </w:r>
      <w:r w:rsidRPr="0040535A">
        <w:rPr>
          <w:rFonts w:ascii="Calibri" w:hAnsi="Calibri" w:cs="Calibri"/>
          <w:i/>
          <w:iCs/>
          <w:noProof/>
          <w:szCs w:val="24"/>
        </w:rPr>
        <w:t>Methods in Ecology and Evolution</w:t>
      </w:r>
      <w:r w:rsidRPr="0040535A">
        <w:rPr>
          <w:rFonts w:ascii="Calibri" w:hAnsi="Calibri" w:cs="Calibri"/>
          <w:noProof/>
          <w:szCs w:val="24"/>
        </w:rPr>
        <w:t>. doi:10.1111/2041-210X.12579</w:t>
      </w:r>
    </w:p>
    <w:p w14:paraId="41114087"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Hastie, T., Rosset, S., Tibshirani, R., &amp; Zhu, J. (2004). The entire regularization path for the support vector machine. </w:t>
      </w:r>
      <w:r w:rsidRPr="0040535A">
        <w:rPr>
          <w:rFonts w:ascii="Calibri" w:hAnsi="Calibri" w:cs="Calibri"/>
          <w:i/>
          <w:iCs/>
          <w:noProof/>
          <w:szCs w:val="24"/>
        </w:rPr>
        <w:t>Journal of Machine Learning Research</w:t>
      </w:r>
      <w:r w:rsidRPr="0040535A">
        <w:rPr>
          <w:rFonts w:ascii="Calibri" w:hAnsi="Calibri" w:cs="Calibri"/>
          <w:noProof/>
          <w:szCs w:val="24"/>
        </w:rPr>
        <w:t>.</w:t>
      </w:r>
    </w:p>
    <w:p w14:paraId="4DE55721"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Hofmann, T., Schölkopf, B., &amp; Smola, A. J. (2008). Kernel methods in machine learning. </w:t>
      </w:r>
      <w:r w:rsidRPr="0040535A">
        <w:rPr>
          <w:rFonts w:ascii="Calibri" w:hAnsi="Calibri" w:cs="Calibri"/>
          <w:i/>
          <w:iCs/>
          <w:noProof/>
          <w:szCs w:val="24"/>
        </w:rPr>
        <w:t>Annals of Statistics</w:t>
      </w:r>
      <w:r w:rsidRPr="0040535A">
        <w:rPr>
          <w:rFonts w:ascii="Calibri" w:hAnsi="Calibri" w:cs="Calibri"/>
          <w:noProof/>
          <w:szCs w:val="24"/>
        </w:rPr>
        <w:t>. doi:10.1214/009053607000000677</w:t>
      </w:r>
    </w:p>
    <w:p w14:paraId="724C6FE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Hooper, D. U., Chapin, F. S., Ewel, J. J., Hector, A., Inchausti, P., Lavorel, S., … Wardle, D. A. (2005). Effects of biodiversity on ecosystem functioning: A consensus of current knowledge. </w:t>
      </w:r>
      <w:r w:rsidRPr="0040535A">
        <w:rPr>
          <w:rFonts w:ascii="Calibri" w:hAnsi="Calibri" w:cs="Calibri"/>
          <w:i/>
          <w:iCs/>
          <w:noProof/>
          <w:szCs w:val="24"/>
        </w:rPr>
        <w:t>Ecological Monographs</w:t>
      </w:r>
      <w:r w:rsidRPr="0040535A">
        <w:rPr>
          <w:rFonts w:ascii="Calibri" w:hAnsi="Calibri" w:cs="Calibri"/>
          <w:noProof/>
          <w:szCs w:val="24"/>
        </w:rPr>
        <w:t>. doi:10.1890/04-0922</w:t>
      </w:r>
    </w:p>
    <w:p w14:paraId="796D7509"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Hutter, F., Hoos, H., &amp; Leyton-Brown, K. (2014). An efficient approach for assessing hyperparameter importance. In </w:t>
      </w:r>
      <w:r w:rsidRPr="0040535A">
        <w:rPr>
          <w:rFonts w:ascii="Calibri" w:hAnsi="Calibri" w:cs="Calibri"/>
          <w:i/>
          <w:iCs/>
          <w:noProof/>
          <w:szCs w:val="24"/>
        </w:rPr>
        <w:t>31st International Conference on Machine Learning, ICML 2014</w:t>
      </w:r>
      <w:r w:rsidRPr="0040535A">
        <w:rPr>
          <w:rFonts w:ascii="Calibri" w:hAnsi="Calibri" w:cs="Calibri"/>
          <w:noProof/>
          <w:szCs w:val="24"/>
        </w:rPr>
        <w:t>.</w:t>
      </w:r>
    </w:p>
    <w:p w14:paraId="772FDA2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Jones-Farrand, D. T., Fearer, T. M., Thogmartin, W. E., Thompson, F. R., Nelson, M. D., &amp; Tirpak, J. M. (2011). Comparison of statistical and theoretical habitat models for conservation planning: The benefit of ensemble prediction. </w:t>
      </w:r>
      <w:r w:rsidRPr="0040535A">
        <w:rPr>
          <w:rFonts w:ascii="Calibri" w:hAnsi="Calibri" w:cs="Calibri"/>
          <w:i/>
          <w:iCs/>
          <w:noProof/>
          <w:szCs w:val="24"/>
        </w:rPr>
        <w:t>Ecological Applications</w:t>
      </w:r>
      <w:r w:rsidRPr="0040535A">
        <w:rPr>
          <w:rFonts w:ascii="Calibri" w:hAnsi="Calibri" w:cs="Calibri"/>
          <w:noProof/>
          <w:szCs w:val="24"/>
        </w:rPr>
        <w:t>. doi:10.1890/10-1047.1</w:t>
      </w:r>
    </w:p>
    <w:p w14:paraId="01D1A63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Josse, J., &amp; Husson, F. (2016). missMDA: A package for handling missing values in multivariate data analysis. </w:t>
      </w:r>
      <w:r w:rsidRPr="0040535A">
        <w:rPr>
          <w:rFonts w:ascii="Calibri" w:hAnsi="Calibri" w:cs="Calibri"/>
          <w:i/>
          <w:iCs/>
          <w:noProof/>
          <w:szCs w:val="24"/>
        </w:rPr>
        <w:t>Journal of Statistical Software</w:t>
      </w:r>
      <w:r w:rsidRPr="0040535A">
        <w:rPr>
          <w:rFonts w:ascii="Calibri" w:hAnsi="Calibri" w:cs="Calibri"/>
          <w:noProof/>
          <w:szCs w:val="24"/>
        </w:rPr>
        <w:t>. doi:10.18637/jss.v070.i01</w:t>
      </w:r>
    </w:p>
    <w:p w14:paraId="62E2A34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Kaklauskas, A. (2014). The enterprise data lake: Better integration and deeper analytics. </w:t>
      </w:r>
      <w:r w:rsidRPr="0040535A">
        <w:rPr>
          <w:rFonts w:ascii="Calibri" w:hAnsi="Calibri" w:cs="Calibri"/>
          <w:i/>
          <w:iCs/>
          <w:noProof/>
          <w:szCs w:val="24"/>
        </w:rPr>
        <w:t>PwC Technology Forecast: Rethinking Integration</w:t>
      </w:r>
      <w:r w:rsidRPr="0040535A">
        <w:rPr>
          <w:rFonts w:ascii="Calibri" w:hAnsi="Calibri" w:cs="Calibri"/>
          <w:noProof/>
          <w:szCs w:val="24"/>
        </w:rPr>
        <w:t>. doi:10.1007/978-3-319-13659-2_2</w:t>
      </w:r>
    </w:p>
    <w:p w14:paraId="2B9E10E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Keil, P., &amp; Jetz, W. (2014). Downscaling the environmental associations and spatial patterns of species richness. </w:t>
      </w:r>
      <w:r w:rsidRPr="0040535A">
        <w:rPr>
          <w:rFonts w:ascii="Calibri" w:hAnsi="Calibri" w:cs="Calibri"/>
          <w:i/>
          <w:iCs/>
          <w:noProof/>
          <w:szCs w:val="24"/>
        </w:rPr>
        <w:t>Ecological Applications</w:t>
      </w:r>
      <w:r w:rsidRPr="0040535A">
        <w:rPr>
          <w:rFonts w:ascii="Calibri" w:hAnsi="Calibri" w:cs="Calibri"/>
          <w:noProof/>
          <w:szCs w:val="24"/>
        </w:rPr>
        <w:t>. doi:10.1890/13-0805.1</w:t>
      </w:r>
    </w:p>
    <w:p w14:paraId="69FBCE1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Kelly, F. L., Harrison, A. J., Allen, M., Connor, L., &amp; Rosell, R. (2012). Development and application of an ecological classification tool for fish in lakes in Ireland. </w:t>
      </w:r>
      <w:r w:rsidRPr="0040535A">
        <w:rPr>
          <w:rFonts w:ascii="Calibri" w:hAnsi="Calibri" w:cs="Calibri"/>
          <w:i/>
          <w:iCs/>
          <w:noProof/>
          <w:szCs w:val="24"/>
        </w:rPr>
        <w:t>Ecological Indicators</w:t>
      </w:r>
      <w:r w:rsidRPr="0040535A">
        <w:rPr>
          <w:rFonts w:ascii="Calibri" w:hAnsi="Calibri" w:cs="Calibri"/>
          <w:noProof/>
          <w:szCs w:val="24"/>
        </w:rPr>
        <w:t>. doi:10.1016/j.ecolind.2012.01.028</w:t>
      </w:r>
    </w:p>
    <w:p w14:paraId="7C1EA74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Kelly, M. G., Birk, S., Willby, N. J., Denys, L., Drakare, S., Kahlert, M., … Poikane, S. (2016). Redundancy in the ecological assessment of lakes: Are phytoplankton, macrophytes and phytobenthos all necessary? </w:t>
      </w:r>
      <w:r w:rsidRPr="0040535A">
        <w:rPr>
          <w:rFonts w:ascii="Calibri" w:hAnsi="Calibri" w:cs="Calibri"/>
          <w:i/>
          <w:iCs/>
          <w:noProof/>
          <w:szCs w:val="24"/>
        </w:rPr>
        <w:t>Science of the Total Environment</w:t>
      </w:r>
      <w:r w:rsidRPr="0040535A">
        <w:rPr>
          <w:rFonts w:ascii="Calibri" w:hAnsi="Calibri" w:cs="Calibri"/>
          <w:noProof/>
          <w:szCs w:val="24"/>
        </w:rPr>
        <w:t>. doi:10.1016/j.scitotenv.2016.02.024</w:t>
      </w:r>
    </w:p>
    <w:p w14:paraId="3F03C427"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Khalid, S., Khalil, T., &amp; Nasreen, S. (2014). A survey of feature selection and feature extraction techniques in machine learning. In </w:t>
      </w:r>
      <w:r w:rsidRPr="0040535A">
        <w:rPr>
          <w:rFonts w:ascii="Calibri" w:hAnsi="Calibri" w:cs="Calibri"/>
          <w:i/>
          <w:iCs/>
          <w:noProof/>
          <w:szCs w:val="24"/>
        </w:rPr>
        <w:t>Proceedings of 2014 Science and Information Conference, SAI 2014</w:t>
      </w:r>
      <w:r w:rsidRPr="0040535A">
        <w:rPr>
          <w:rFonts w:ascii="Calibri" w:hAnsi="Calibri" w:cs="Calibri"/>
          <w:noProof/>
          <w:szCs w:val="24"/>
        </w:rPr>
        <w:t>. doi:10.1109/SAI.2014.6918213</w:t>
      </w:r>
    </w:p>
    <w:p w14:paraId="0E88EE1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Kuhn, M. (2008). caret Package. </w:t>
      </w:r>
      <w:r w:rsidRPr="0040535A">
        <w:rPr>
          <w:rFonts w:ascii="Calibri" w:hAnsi="Calibri" w:cs="Calibri"/>
          <w:i/>
          <w:iCs/>
          <w:noProof/>
          <w:szCs w:val="24"/>
        </w:rPr>
        <w:t>Journal Of Statistical Software</w:t>
      </w:r>
      <w:r w:rsidRPr="0040535A">
        <w:rPr>
          <w:rFonts w:ascii="Calibri" w:hAnsi="Calibri" w:cs="Calibri"/>
          <w:noProof/>
          <w:szCs w:val="24"/>
        </w:rPr>
        <w:t>.</w:t>
      </w:r>
    </w:p>
    <w:p w14:paraId="36231E6F"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Kuhn, M. (2015). A Short Introduction to the caret Package. </w:t>
      </w:r>
      <w:r w:rsidRPr="0040535A">
        <w:rPr>
          <w:rFonts w:ascii="Calibri" w:hAnsi="Calibri" w:cs="Calibri"/>
          <w:i/>
          <w:iCs/>
          <w:noProof/>
          <w:szCs w:val="24"/>
        </w:rPr>
        <w:t>R Foundation for Statistical Computing</w:t>
      </w:r>
      <w:r w:rsidRPr="0040535A">
        <w:rPr>
          <w:rFonts w:ascii="Calibri" w:hAnsi="Calibri" w:cs="Calibri"/>
          <w:noProof/>
          <w:szCs w:val="24"/>
        </w:rPr>
        <w:t>.</w:t>
      </w:r>
    </w:p>
    <w:p w14:paraId="7C534AA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Landi, P., Minoarivelo, H. O., Brännström, Å., Hui, C., &amp; Dieckmann, U. (2018). Complexity and stability of ecological networks: a review of the theory. </w:t>
      </w:r>
      <w:r w:rsidRPr="0040535A">
        <w:rPr>
          <w:rFonts w:ascii="Calibri" w:hAnsi="Calibri" w:cs="Calibri"/>
          <w:i/>
          <w:iCs/>
          <w:noProof/>
          <w:szCs w:val="24"/>
        </w:rPr>
        <w:t>Population Ecology</w:t>
      </w:r>
      <w:r w:rsidRPr="0040535A">
        <w:rPr>
          <w:rFonts w:ascii="Calibri" w:hAnsi="Calibri" w:cs="Calibri"/>
          <w:noProof/>
          <w:szCs w:val="24"/>
        </w:rPr>
        <w:t>. doi:10.1007/s10144-018-0628-3</w:t>
      </w:r>
    </w:p>
    <w:p w14:paraId="22631F8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Lauer, F., &amp; Bloch, G. (2019). Classification. In </w:t>
      </w:r>
      <w:r w:rsidRPr="0040535A">
        <w:rPr>
          <w:rFonts w:ascii="Calibri" w:hAnsi="Calibri" w:cs="Calibri"/>
          <w:i/>
          <w:iCs/>
          <w:noProof/>
          <w:szCs w:val="24"/>
        </w:rPr>
        <w:t>Lecture Notes in Control and Information Sciences</w:t>
      </w:r>
      <w:r w:rsidRPr="0040535A">
        <w:rPr>
          <w:rFonts w:ascii="Calibri" w:hAnsi="Calibri" w:cs="Calibri"/>
          <w:noProof/>
          <w:szCs w:val="24"/>
        </w:rPr>
        <w:t>. doi:10.1007/978-3-030-00193-3_3</w:t>
      </w:r>
    </w:p>
    <w:p w14:paraId="4FBDC02E"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Li, T., Zhu, S., &amp; Ogihara, M. (2006). Using discriminant analysis for multi-class classification: An experimental investigation. </w:t>
      </w:r>
      <w:r w:rsidRPr="0040535A">
        <w:rPr>
          <w:rFonts w:ascii="Calibri" w:hAnsi="Calibri" w:cs="Calibri"/>
          <w:i/>
          <w:iCs/>
          <w:noProof/>
          <w:szCs w:val="24"/>
        </w:rPr>
        <w:t>Knowledge and Information Systems</w:t>
      </w:r>
      <w:r w:rsidRPr="0040535A">
        <w:rPr>
          <w:rFonts w:ascii="Calibri" w:hAnsi="Calibri" w:cs="Calibri"/>
          <w:noProof/>
          <w:szCs w:val="24"/>
        </w:rPr>
        <w:t>. doi:10.1007/s10115-006-0013-y</w:t>
      </w:r>
    </w:p>
    <w:p w14:paraId="3D8296C1"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Loucks, D. P., van Beek, E., Loucks, D. P., &amp; van Beek, E. (2017). Water Resources Planning and Management: An Overview. In </w:t>
      </w:r>
      <w:r w:rsidRPr="0040535A">
        <w:rPr>
          <w:rFonts w:ascii="Calibri" w:hAnsi="Calibri" w:cs="Calibri"/>
          <w:i/>
          <w:iCs/>
          <w:noProof/>
          <w:szCs w:val="24"/>
        </w:rPr>
        <w:t>Water Resource Systems Planning and Management</w:t>
      </w:r>
      <w:r w:rsidRPr="0040535A">
        <w:rPr>
          <w:rFonts w:ascii="Calibri" w:hAnsi="Calibri" w:cs="Calibri"/>
          <w:noProof/>
          <w:szCs w:val="24"/>
        </w:rPr>
        <w:t>. doi:10.1007/978-3-319-44234-1_1</w:t>
      </w:r>
    </w:p>
    <w:p w14:paraId="55DE2F1F"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Mantzouki, E., Campbell, J., Loon, E. Van, Visser, P., Konstantinou, I., Antoniou, M., … Ibelings, B. W. (2018). A European Multi Lake Survey dataset of environmental variables, phytoplankton pigments and cyanotoxins. </w:t>
      </w:r>
      <w:r w:rsidRPr="0040535A">
        <w:rPr>
          <w:rFonts w:ascii="Calibri" w:hAnsi="Calibri" w:cs="Calibri"/>
          <w:i/>
          <w:iCs/>
          <w:noProof/>
          <w:szCs w:val="24"/>
        </w:rPr>
        <w:t>Scientific Data</w:t>
      </w:r>
      <w:r w:rsidRPr="0040535A">
        <w:rPr>
          <w:rFonts w:ascii="Calibri" w:hAnsi="Calibri" w:cs="Calibri"/>
          <w:noProof/>
          <w:szCs w:val="24"/>
        </w:rPr>
        <w:t>. doi:10.1038/sdata.2018.226</w:t>
      </w:r>
    </w:p>
    <w:p w14:paraId="47C29D4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Martín-López, B., Gómez-Baggethun, E., García-Llorente, M., &amp; Montes, C. (2014). Trade-offs across value-domains in ecosystem services assessment. </w:t>
      </w:r>
      <w:r w:rsidRPr="0040535A">
        <w:rPr>
          <w:rFonts w:ascii="Calibri" w:hAnsi="Calibri" w:cs="Calibri"/>
          <w:i/>
          <w:iCs/>
          <w:noProof/>
          <w:szCs w:val="24"/>
        </w:rPr>
        <w:t>Ecological Indicators</w:t>
      </w:r>
      <w:r w:rsidRPr="0040535A">
        <w:rPr>
          <w:rFonts w:ascii="Calibri" w:hAnsi="Calibri" w:cs="Calibri"/>
          <w:noProof/>
          <w:szCs w:val="24"/>
        </w:rPr>
        <w:t xml:space="preserve">. </w:t>
      </w:r>
      <w:r w:rsidRPr="0040535A">
        <w:rPr>
          <w:rFonts w:ascii="Calibri" w:hAnsi="Calibri" w:cs="Calibri"/>
          <w:noProof/>
          <w:szCs w:val="24"/>
        </w:rPr>
        <w:lastRenderedPageBreak/>
        <w:t>doi:10.1016/j.ecolind.2013.03.003</w:t>
      </w:r>
    </w:p>
    <w:p w14:paraId="10180DD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Mayer, A., Winkler, R., &amp; Fry, L. (2014). Classification of watersheds into integrated social and biophysical indicators with clustering analysis. </w:t>
      </w:r>
      <w:r w:rsidRPr="0040535A">
        <w:rPr>
          <w:rFonts w:ascii="Calibri" w:hAnsi="Calibri" w:cs="Calibri"/>
          <w:i/>
          <w:iCs/>
          <w:noProof/>
          <w:szCs w:val="24"/>
        </w:rPr>
        <w:t>Ecological Indicators</w:t>
      </w:r>
      <w:r w:rsidRPr="0040535A">
        <w:rPr>
          <w:rFonts w:ascii="Calibri" w:hAnsi="Calibri" w:cs="Calibri"/>
          <w:noProof/>
          <w:szCs w:val="24"/>
        </w:rPr>
        <w:t>. doi:10.1016/j.ecolind.2014.04.030</w:t>
      </w:r>
    </w:p>
    <w:p w14:paraId="05D8170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Mladenić, D. (2006). Feature selection for dimensionality reduction. In </w:t>
      </w:r>
      <w:r w:rsidRPr="0040535A">
        <w:rPr>
          <w:rFonts w:ascii="Calibri" w:hAnsi="Calibri" w:cs="Calibri"/>
          <w:i/>
          <w:iCs/>
          <w:noProof/>
          <w:szCs w:val="24"/>
        </w:rPr>
        <w:t>Lecture Notes in Computer Science (including subseries Lecture Notes in Artificial Intelligence and Lecture Notes in Bioinformatics)</w:t>
      </w:r>
      <w:r w:rsidRPr="0040535A">
        <w:rPr>
          <w:rFonts w:ascii="Calibri" w:hAnsi="Calibri" w:cs="Calibri"/>
          <w:noProof/>
          <w:szCs w:val="24"/>
        </w:rPr>
        <w:t>. doi:10.1007/11752790_5</w:t>
      </w:r>
    </w:p>
    <w:p w14:paraId="4DF7145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Moe, S. J., Haande, S., &amp; Couture, R. M. (2016). Climate change, cyanobacteria blooms and ecological status of lakes: A Bayesian network approach. </w:t>
      </w:r>
      <w:r w:rsidRPr="0040535A">
        <w:rPr>
          <w:rFonts w:ascii="Calibri" w:hAnsi="Calibri" w:cs="Calibri"/>
          <w:i/>
          <w:iCs/>
          <w:noProof/>
          <w:szCs w:val="24"/>
        </w:rPr>
        <w:t>Ecological Modelling</w:t>
      </w:r>
      <w:r w:rsidRPr="0040535A">
        <w:rPr>
          <w:rFonts w:ascii="Calibri" w:hAnsi="Calibri" w:cs="Calibri"/>
          <w:noProof/>
          <w:szCs w:val="24"/>
        </w:rPr>
        <w:t>. doi:10.1016/j.ecolmodel.2016.07.004</w:t>
      </w:r>
    </w:p>
    <w:p w14:paraId="1AD365E8"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Moler, C. B., &amp; Stewart, G. W. (1973). An Algorithm for Generalized Matrix Eigenvalue Problems. </w:t>
      </w:r>
      <w:r w:rsidRPr="0040535A">
        <w:rPr>
          <w:rFonts w:ascii="Calibri" w:hAnsi="Calibri" w:cs="Calibri"/>
          <w:i/>
          <w:iCs/>
          <w:noProof/>
          <w:szCs w:val="24"/>
        </w:rPr>
        <w:t>SIAM Journal on Numerical Analysis</w:t>
      </w:r>
      <w:r w:rsidRPr="0040535A">
        <w:rPr>
          <w:rFonts w:ascii="Calibri" w:hAnsi="Calibri" w:cs="Calibri"/>
          <w:noProof/>
          <w:szCs w:val="24"/>
        </w:rPr>
        <w:t>. doi:10.1137/0710024</w:t>
      </w:r>
    </w:p>
    <w:p w14:paraId="3AF94023"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Morelli, F., &amp; Tryjanowski, P. (2016). The dark side of the “redundancy hypothesis” and ecosystem assessment. </w:t>
      </w:r>
      <w:r w:rsidRPr="0040535A">
        <w:rPr>
          <w:rFonts w:ascii="Calibri" w:hAnsi="Calibri" w:cs="Calibri"/>
          <w:i/>
          <w:iCs/>
          <w:noProof/>
          <w:szCs w:val="24"/>
        </w:rPr>
        <w:t>Ecological Complexity</w:t>
      </w:r>
      <w:r w:rsidRPr="0040535A">
        <w:rPr>
          <w:rFonts w:ascii="Calibri" w:hAnsi="Calibri" w:cs="Calibri"/>
          <w:noProof/>
          <w:szCs w:val="24"/>
        </w:rPr>
        <w:t>. doi:10.1016/j.ecocom.2016.07.005</w:t>
      </w:r>
    </w:p>
    <w:p w14:paraId="071E43CD"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Morrissey, M. B. (2014). In search of the best methods for multivariate selection analysis. </w:t>
      </w:r>
      <w:r w:rsidRPr="0040535A">
        <w:rPr>
          <w:rFonts w:ascii="Calibri" w:hAnsi="Calibri" w:cs="Calibri"/>
          <w:i/>
          <w:iCs/>
          <w:noProof/>
          <w:szCs w:val="24"/>
        </w:rPr>
        <w:t>Methods in Ecology and Evolution</w:t>
      </w:r>
      <w:r w:rsidRPr="0040535A">
        <w:rPr>
          <w:rFonts w:ascii="Calibri" w:hAnsi="Calibri" w:cs="Calibri"/>
          <w:noProof/>
          <w:szCs w:val="24"/>
        </w:rPr>
        <w:t>. doi:10.1111/2041-210X.12259</w:t>
      </w:r>
    </w:p>
    <w:p w14:paraId="2F1BD515"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Mouton, A. M., De Baets, B., &amp; Goethals, P. L. M. (2010). Ecological relevance of performance criteria for species distribution models. </w:t>
      </w:r>
      <w:r w:rsidRPr="0040535A">
        <w:rPr>
          <w:rFonts w:ascii="Calibri" w:hAnsi="Calibri" w:cs="Calibri"/>
          <w:i/>
          <w:iCs/>
          <w:noProof/>
          <w:szCs w:val="24"/>
        </w:rPr>
        <w:t>Ecological Modelling</w:t>
      </w:r>
      <w:r w:rsidRPr="0040535A">
        <w:rPr>
          <w:rFonts w:ascii="Calibri" w:hAnsi="Calibri" w:cs="Calibri"/>
          <w:noProof/>
          <w:szCs w:val="24"/>
        </w:rPr>
        <w:t>. doi:10.1016/j.ecolmodel.2010.04.017</w:t>
      </w:r>
    </w:p>
    <w:p w14:paraId="59CA56A7"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Muttil, N., &amp; Chau, K. W. (2007). Machine-learning paradigms for selecting ecologically significant input variables. </w:t>
      </w:r>
      <w:r w:rsidRPr="0040535A">
        <w:rPr>
          <w:rFonts w:ascii="Calibri" w:hAnsi="Calibri" w:cs="Calibri"/>
          <w:i/>
          <w:iCs/>
          <w:noProof/>
          <w:szCs w:val="24"/>
        </w:rPr>
        <w:t>Engineering Applications of Artificial Intelligence</w:t>
      </w:r>
      <w:r w:rsidRPr="0040535A">
        <w:rPr>
          <w:rFonts w:ascii="Calibri" w:hAnsi="Calibri" w:cs="Calibri"/>
          <w:noProof/>
          <w:szCs w:val="24"/>
        </w:rPr>
        <w:t>. doi:10.1016/j.engappai.2006.11.016</w:t>
      </w:r>
    </w:p>
    <w:p w14:paraId="426B1E35"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Navarro, E., Caputo, L., Marcé, R., Carol, J., Benejam, L., Garcia-Berthou, E., &amp; Armengol, J. (2009). Ecological classification of a set of Mediterranean reservoirs applying the EU Water Framework Directive: A reasonable compromise between science and management. </w:t>
      </w:r>
      <w:r w:rsidRPr="0040535A">
        <w:rPr>
          <w:rFonts w:ascii="Calibri" w:hAnsi="Calibri" w:cs="Calibri"/>
          <w:i/>
          <w:iCs/>
          <w:noProof/>
          <w:szCs w:val="24"/>
        </w:rPr>
        <w:t>Lake and Reservoir Management</w:t>
      </w:r>
      <w:r w:rsidRPr="0040535A">
        <w:rPr>
          <w:rFonts w:ascii="Calibri" w:hAnsi="Calibri" w:cs="Calibri"/>
          <w:noProof/>
          <w:szCs w:val="24"/>
        </w:rPr>
        <w:t>. doi:10.1080/07438140903238567</w:t>
      </w:r>
    </w:p>
    <w:p w14:paraId="2272B36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Nguyen, L. H., &amp; Holmes, S. (2019). Ten quick tips for effective dimensionality reduction. </w:t>
      </w:r>
      <w:r w:rsidRPr="0040535A">
        <w:rPr>
          <w:rFonts w:ascii="Calibri" w:hAnsi="Calibri" w:cs="Calibri"/>
          <w:i/>
          <w:iCs/>
          <w:noProof/>
          <w:szCs w:val="24"/>
        </w:rPr>
        <w:t>PLoS Computational Biology</w:t>
      </w:r>
      <w:r w:rsidRPr="0040535A">
        <w:rPr>
          <w:rFonts w:ascii="Calibri" w:hAnsi="Calibri" w:cs="Calibri"/>
          <w:noProof/>
          <w:szCs w:val="24"/>
        </w:rPr>
        <w:t>. doi:10.1371/journal.pcbi.1006907</w:t>
      </w:r>
    </w:p>
    <w:p w14:paraId="2559D36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O’Hara, R. B., Arjas, E., Toivonen, H., &amp; Hanski, I. (2002). Bayesian analysis of metapopulation data. </w:t>
      </w:r>
      <w:r w:rsidRPr="0040535A">
        <w:rPr>
          <w:rFonts w:ascii="Calibri" w:hAnsi="Calibri" w:cs="Calibri"/>
          <w:i/>
          <w:iCs/>
          <w:noProof/>
          <w:szCs w:val="24"/>
        </w:rPr>
        <w:t>Ecology</w:t>
      </w:r>
      <w:r w:rsidRPr="0040535A">
        <w:rPr>
          <w:rFonts w:ascii="Calibri" w:hAnsi="Calibri" w:cs="Calibri"/>
          <w:noProof/>
          <w:szCs w:val="24"/>
        </w:rPr>
        <w:t>. doi:10.1890/0012-9658(2002)083[2408:BAOMD]2.0.CO;2</w:t>
      </w:r>
    </w:p>
    <w:p w14:paraId="020F2355"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Padisák, J., Borics, G., Grigorszky, I., &amp; Soróczki-Pintér, É. (2006). Use of phytoplankton assemblages for monitoring ecological status of lakes within the water framework directive: The assemblage index. </w:t>
      </w:r>
      <w:r w:rsidRPr="0040535A">
        <w:rPr>
          <w:rFonts w:ascii="Calibri" w:hAnsi="Calibri" w:cs="Calibri"/>
          <w:i/>
          <w:iCs/>
          <w:noProof/>
          <w:szCs w:val="24"/>
        </w:rPr>
        <w:t>Hydrobiologia</w:t>
      </w:r>
      <w:r w:rsidRPr="0040535A">
        <w:rPr>
          <w:rFonts w:ascii="Calibri" w:hAnsi="Calibri" w:cs="Calibri"/>
          <w:noProof/>
          <w:szCs w:val="24"/>
        </w:rPr>
        <w:t>. doi:10.1007/s10750-005-1393-9</w:t>
      </w:r>
    </w:p>
    <w:p w14:paraId="19CB275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Pal, M., &amp; Foody, G. M. (2010). Feature selection for classification of hyperspectral data by SVM. </w:t>
      </w:r>
      <w:r w:rsidRPr="0040535A">
        <w:rPr>
          <w:rFonts w:ascii="Calibri" w:hAnsi="Calibri" w:cs="Calibri"/>
          <w:i/>
          <w:iCs/>
          <w:noProof/>
          <w:szCs w:val="24"/>
        </w:rPr>
        <w:t>IEEE Transactions on Geoscience and Remote Sensing</w:t>
      </w:r>
      <w:r w:rsidRPr="0040535A">
        <w:rPr>
          <w:rFonts w:ascii="Calibri" w:hAnsi="Calibri" w:cs="Calibri"/>
          <w:noProof/>
          <w:szCs w:val="24"/>
        </w:rPr>
        <w:t>. doi:10.1109/TGRS.2009.2039484</w:t>
      </w:r>
    </w:p>
    <w:p w14:paraId="21B19FBC"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Park, C.-K., &amp; Kim, D. G. (2012). K-FOLD Cross-Validation. </w:t>
      </w:r>
      <w:r w:rsidRPr="0040535A">
        <w:rPr>
          <w:rFonts w:ascii="Calibri" w:hAnsi="Calibri" w:cs="Calibri"/>
          <w:i/>
          <w:iCs/>
          <w:noProof/>
          <w:szCs w:val="24"/>
        </w:rPr>
        <w:t>Progress in Neurological Surgery</w:t>
      </w:r>
      <w:r w:rsidRPr="0040535A">
        <w:rPr>
          <w:rFonts w:ascii="Calibri" w:hAnsi="Calibri" w:cs="Calibri"/>
          <w:noProof/>
          <w:szCs w:val="24"/>
        </w:rPr>
        <w:t>. doi:10.1159/000331070</w:t>
      </w:r>
    </w:p>
    <w:p w14:paraId="3649B95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Parrott, L. (2002). Complexity and the limits of ecological engineering. </w:t>
      </w:r>
      <w:r w:rsidRPr="0040535A">
        <w:rPr>
          <w:rFonts w:ascii="Calibri" w:hAnsi="Calibri" w:cs="Calibri"/>
          <w:i/>
          <w:iCs/>
          <w:noProof/>
          <w:szCs w:val="24"/>
        </w:rPr>
        <w:t>Transactions of the American Society of Agricultural Engineers</w:t>
      </w:r>
      <w:r w:rsidRPr="0040535A">
        <w:rPr>
          <w:rFonts w:ascii="Calibri" w:hAnsi="Calibri" w:cs="Calibri"/>
          <w:noProof/>
          <w:szCs w:val="24"/>
        </w:rPr>
        <w:t>. doi:10.13031/2013.11032</w:t>
      </w:r>
    </w:p>
    <w:p w14:paraId="455790AD"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Pasetto, D., Arenas-Castro, S., Bustamante, J., Casagrandi, R., Chrysoulakis, N., Cord, A. F., … Ziv, G. (2018). Integration of satellite remote sensing data in ecosystem modelling at local scales: Practices and trends. </w:t>
      </w:r>
      <w:r w:rsidRPr="0040535A">
        <w:rPr>
          <w:rFonts w:ascii="Calibri" w:hAnsi="Calibri" w:cs="Calibri"/>
          <w:i/>
          <w:iCs/>
          <w:noProof/>
          <w:szCs w:val="24"/>
        </w:rPr>
        <w:t>Methods in Ecology and Evolution</w:t>
      </w:r>
      <w:r w:rsidRPr="0040535A">
        <w:rPr>
          <w:rFonts w:ascii="Calibri" w:hAnsi="Calibri" w:cs="Calibri"/>
          <w:noProof/>
          <w:szCs w:val="24"/>
        </w:rPr>
        <w:t>. doi:10.1111/2041-210X.13018</w:t>
      </w:r>
    </w:p>
    <w:p w14:paraId="4B56096D"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Penning, W. E., Dudley, B., Mjelde, M., Hellsten, S., Hanganu, J., Kolada, A., … Ecke, F. (2008). Using aquatic macrophyte community indices to define the ecological status of European lakes. </w:t>
      </w:r>
      <w:r w:rsidRPr="0040535A">
        <w:rPr>
          <w:rFonts w:ascii="Calibri" w:hAnsi="Calibri" w:cs="Calibri"/>
          <w:i/>
          <w:iCs/>
          <w:noProof/>
          <w:szCs w:val="24"/>
        </w:rPr>
        <w:t>Aquatic Ecology</w:t>
      </w:r>
      <w:r w:rsidRPr="0040535A">
        <w:rPr>
          <w:rFonts w:ascii="Calibri" w:hAnsi="Calibri" w:cs="Calibri"/>
          <w:noProof/>
          <w:szCs w:val="24"/>
        </w:rPr>
        <w:t>. doi:10.1007/s10452-008-9183-x</w:t>
      </w:r>
    </w:p>
    <w:p w14:paraId="3EB4668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Peres-Neto, P. R., Jackson, D. A., &amp; Somers, K. M. (2003). Giving meaningful interpretation to ordination axes: Assessing loading significance in principal component analysis. </w:t>
      </w:r>
      <w:r w:rsidRPr="0040535A">
        <w:rPr>
          <w:rFonts w:ascii="Calibri" w:hAnsi="Calibri" w:cs="Calibri"/>
          <w:i/>
          <w:iCs/>
          <w:noProof/>
          <w:szCs w:val="24"/>
        </w:rPr>
        <w:t>Ecology</w:t>
      </w:r>
      <w:r w:rsidRPr="0040535A">
        <w:rPr>
          <w:rFonts w:ascii="Calibri" w:hAnsi="Calibri" w:cs="Calibri"/>
          <w:noProof/>
          <w:szCs w:val="24"/>
        </w:rPr>
        <w:t>. doi:10.1890/00-0634</w:t>
      </w:r>
    </w:p>
    <w:p w14:paraId="29CD166A"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Peterson, G. D., Douglas Beard, T., Beisner, B. E., Bennett, E. M., Carpenter, S. R., Cumming, G. S., … Havlicek, T. D. (2003). Assessing future ecosystem services: A case study of the Northern Highlands Lake District, Wisconsin. </w:t>
      </w:r>
      <w:r w:rsidRPr="0040535A">
        <w:rPr>
          <w:rFonts w:ascii="Calibri" w:hAnsi="Calibri" w:cs="Calibri"/>
          <w:i/>
          <w:iCs/>
          <w:noProof/>
          <w:szCs w:val="24"/>
        </w:rPr>
        <w:t>Ecology and Society</w:t>
      </w:r>
      <w:r w:rsidRPr="0040535A">
        <w:rPr>
          <w:rFonts w:ascii="Calibri" w:hAnsi="Calibri" w:cs="Calibri"/>
          <w:noProof/>
          <w:szCs w:val="24"/>
        </w:rPr>
        <w:t>. doi:10.5751/es-00557-070301</w:t>
      </w:r>
    </w:p>
    <w:p w14:paraId="3BE1B92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Piroddi, C., Teixeira, H., Lynam, C. P., Smith, C., Alvarez, M. C., Mazik, K., … Uyarra, M. C. (2015). Using ecological models to assess ecosystem status in support of the European Marine Strategy </w:t>
      </w:r>
      <w:r w:rsidRPr="0040535A">
        <w:rPr>
          <w:rFonts w:ascii="Calibri" w:hAnsi="Calibri" w:cs="Calibri"/>
          <w:noProof/>
          <w:szCs w:val="24"/>
        </w:rPr>
        <w:lastRenderedPageBreak/>
        <w:t xml:space="preserve">Framework Directive. </w:t>
      </w:r>
      <w:r w:rsidRPr="0040535A">
        <w:rPr>
          <w:rFonts w:ascii="Calibri" w:hAnsi="Calibri" w:cs="Calibri"/>
          <w:i/>
          <w:iCs/>
          <w:noProof/>
          <w:szCs w:val="24"/>
        </w:rPr>
        <w:t>Ecological Indicators</w:t>
      </w:r>
      <w:r w:rsidRPr="0040535A">
        <w:rPr>
          <w:rFonts w:ascii="Calibri" w:hAnsi="Calibri" w:cs="Calibri"/>
          <w:noProof/>
          <w:szCs w:val="24"/>
        </w:rPr>
        <w:t>. doi:10.1016/j.ecolind.2015.05.037</w:t>
      </w:r>
    </w:p>
    <w:p w14:paraId="5D88BC1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Poikane, S., Zampoukas, N., Borja, A., Davies, S. P., van de Bund, W., &amp; Birk, S. (2014). Intercalibration of aquatic ecological assessment methods in the European Union: Lessons learned and way forward. </w:t>
      </w:r>
      <w:r w:rsidRPr="0040535A">
        <w:rPr>
          <w:rFonts w:ascii="Calibri" w:hAnsi="Calibri" w:cs="Calibri"/>
          <w:i/>
          <w:iCs/>
          <w:noProof/>
          <w:szCs w:val="24"/>
        </w:rPr>
        <w:t>Environmental Science and Policy</w:t>
      </w:r>
      <w:r w:rsidRPr="0040535A">
        <w:rPr>
          <w:rFonts w:ascii="Calibri" w:hAnsi="Calibri" w:cs="Calibri"/>
          <w:noProof/>
          <w:szCs w:val="24"/>
        </w:rPr>
        <w:t>. doi:10.1016/j.envsci.2014.08.006</w:t>
      </w:r>
    </w:p>
    <w:p w14:paraId="61A3F38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Powers, S. M., &amp; Hampton, S. E. (2019). Open science, reproducibility, and transparency in ecology. </w:t>
      </w:r>
      <w:r w:rsidRPr="0040535A">
        <w:rPr>
          <w:rFonts w:ascii="Calibri" w:hAnsi="Calibri" w:cs="Calibri"/>
          <w:i/>
          <w:iCs/>
          <w:noProof/>
          <w:szCs w:val="24"/>
        </w:rPr>
        <w:t>Ecological Applications</w:t>
      </w:r>
      <w:r w:rsidRPr="0040535A">
        <w:rPr>
          <w:rFonts w:ascii="Calibri" w:hAnsi="Calibri" w:cs="Calibri"/>
          <w:noProof/>
          <w:szCs w:val="24"/>
        </w:rPr>
        <w:t>. doi:10.1002/eap.1822</w:t>
      </w:r>
    </w:p>
    <w:p w14:paraId="69C16418"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Qu, M., Bengio, Y., &amp; Tang, J. (2019). GMNN: Graph markov neural networks. In </w:t>
      </w:r>
      <w:r w:rsidRPr="0040535A">
        <w:rPr>
          <w:rFonts w:ascii="Calibri" w:hAnsi="Calibri" w:cs="Calibri"/>
          <w:i/>
          <w:iCs/>
          <w:noProof/>
          <w:szCs w:val="24"/>
        </w:rPr>
        <w:t>36th International Conference on Machine Learning, ICML 2019</w:t>
      </w:r>
      <w:r w:rsidRPr="0040535A">
        <w:rPr>
          <w:rFonts w:ascii="Calibri" w:hAnsi="Calibri" w:cs="Calibri"/>
          <w:noProof/>
          <w:szCs w:val="24"/>
        </w:rPr>
        <w:t>.</w:t>
      </w:r>
    </w:p>
    <w:p w14:paraId="3B29CA7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Rask, M., Olin, M., &amp; Ruuhijärvi, J. (2010). Fish-based assessment of ecological status of Finnish lakes loaded by diffuse nutrient pollution from agriculture. </w:t>
      </w:r>
      <w:r w:rsidRPr="0040535A">
        <w:rPr>
          <w:rFonts w:ascii="Calibri" w:hAnsi="Calibri" w:cs="Calibri"/>
          <w:i/>
          <w:iCs/>
          <w:noProof/>
          <w:szCs w:val="24"/>
        </w:rPr>
        <w:t>Fisheries Management and Ecology</w:t>
      </w:r>
      <w:r w:rsidRPr="0040535A">
        <w:rPr>
          <w:rFonts w:ascii="Calibri" w:hAnsi="Calibri" w:cs="Calibri"/>
          <w:noProof/>
          <w:szCs w:val="24"/>
        </w:rPr>
        <w:t>. doi:10.1111/j.1365-2400.2009.00685.x</w:t>
      </w:r>
    </w:p>
    <w:p w14:paraId="4D48A6E5"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Rodríguez, J. D., Pérez, A., &amp; Lozano, J. A. (2010). Sensitivity Analysis of k-Fold Cross Validation in Prediction Error Estimation. </w:t>
      </w:r>
      <w:r w:rsidRPr="0040535A">
        <w:rPr>
          <w:rFonts w:ascii="Calibri" w:hAnsi="Calibri" w:cs="Calibri"/>
          <w:i/>
          <w:iCs/>
          <w:noProof/>
          <w:szCs w:val="24"/>
        </w:rPr>
        <w:t>IEEE Transactions on Pattern Analysis and Machine Intelligence</w:t>
      </w:r>
      <w:r w:rsidRPr="0040535A">
        <w:rPr>
          <w:rFonts w:ascii="Calibri" w:hAnsi="Calibri" w:cs="Calibri"/>
          <w:noProof/>
          <w:szCs w:val="24"/>
        </w:rPr>
        <w:t>. doi:10.1109/TPAMI.2009.187</w:t>
      </w:r>
    </w:p>
    <w:p w14:paraId="7737887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Schaumburg, J., Schranz, C., Hofmann, G., Stelzer, D., Schneider, S., &amp; Schmedtje, U. (2004). Macrophytes and phytobenthos as indicators of ecological status in German lakes - A contribution to the implementation of the Water Framework Directive. </w:t>
      </w:r>
      <w:r w:rsidRPr="0040535A">
        <w:rPr>
          <w:rFonts w:ascii="Calibri" w:hAnsi="Calibri" w:cs="Calibri"/>
          <w:i/>
          <w:iCs/>
          <w:noProof/>
          <w:szCs w:val="24"/>
        </w:rPr>
        <w:t>Limnologica</w:t>
      </w:r>
      <w:r w:rsidRPr="0040535A">
        <w:rPr>
          <w:rFonts w:ascii="Calibri" w:hAnsi="Calibri" w:cs="Calibri"/>
          <w:noProof/>
          <w:szCs w:val="24"/>
        </w:rPr>
        <w:t>. doi:10.1016/S0075-9511(04)80003-3</w:t>
      </w:r>
    </w:p>
    <w:p w14:paraId="287B1EF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Schneider, F. D., Fichtmueller, D., Gossner, M. M., Güntsch, A., Jochum, M., König-Ries, B., … Simons, N. K. (2019). Towards an ecological trait-data standard. </w:t>
      </w:r>
      <w:r w:rsidRPr="0040535A">
        <w:rPr>
          <w:rFonts w:ascii="Calibri" w:hAnsi="Calibri" w:cs="Calibri"/>
          <w:i/>
          <w:iCs/>
          <w:noProof/>
          <w:szCs w:val="24"/>
        </w:rPr>
        <w:t>Methods in Ecology and Evolution</w:t>
      </w:r>
      <w:r w:rsidRPr="0040535A">
        <w:rPr>
          <w:rFonts w:ascii="Calibri" w:hAnsi="Calibri" w:cs="Calibri"/>
          <w:noProof/>
          <w:szCs w:val="24"/>
        </w:rPr>
        <w:t>. doi:10.1111/2041-210X.13288</w:t>
      </w:r>
    </w:p>
    <w:p w14:paraId="165EB1A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Schuwirth, N., Borgwardt, F., Domisch, S., Friedrichs, M., Kattwinkel, M., Kneis, D., … Vermeiren, P. (2019). How to make ecological models useful for environmental management. </w:t>
      </w:r>
      <w:r w:rsidRPr="0040535A">
        <w:rPr>
          <w:rFonts w:ascii="Calibri" w:hAnsi="Calibri" w:cs="Calibri"/>
          <w:i/>
          <w:iCs/>
          <w:noProof/>
          <w:szCs w:val="24"/>
        </w:rPr>
        <w:t>Ecological Modelling</w:t>
      </w:r>
      <w:r w:rsidRPr="0040535A">
        <w:rPr>
          <w:rFonts w:ascii="Calibri" w:hAnsi="Calibri" w:cs="Calibri"/>
          <w:noProof/>
          <w:szCs w:val="24"/>
        </w:rPr>
        <w:t>. doi:10.1016/j.ecolmodel.2019.108784</w:t>
      </w:r>
    </w:p>
    <w:p w14:paraId="49D16287"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Simovici, D. A., &amp; Djeraba, C. (2014). Sets, relations, and functions. In </w:t>
      </w:r>
      <w:r w:rsidRPr="0040535A">
        <w:rPr>
          <w:rFonts w:ascii="Calibri" w:hAnsi="Calibri" w:cs="Calibri"/>
          <w:i/>
          <w:iCs/>
          <w:noProof/>
          <w:szCs w:val="24"/>
        </w:rPr>
        <w:t>Advanced Information and Knowledge Processing</w:t>
      </w:r>
      <w:r w:rsidRPr="0040535A">
        <w:rPr>
          <w:rFonts w:ascii="Calibri" w:hAnsi="Calibri" w:cs="Calibri"/>
          <w:noProof/>
          <w:szCs w:val="24"/>
        </w:rPr>
        <w:t>. doi:10.1007/978-1-4471-6407-4_1</w:t>
      </w:r>
    </w:p>
    <w:p w14:paraId="00BDA43F"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Slonneger, K. R., Zehna, P. W., &amp; Johnson, R. L. (1974). Elements of Set Theory. </w:t>
      </w:r>
      <w:r w:rsidRPr="0040535A">
        <w:rPr>
          <w:rFonts w:ascii="Calibri" w:hAnsi="Calibri" w:cs="Calibri"/>
          <w:i/>
          <w:iCs/>
          <w:noProof/>
          <w:szCs w:val="24"/>
        </w:rPr>
        <w:t>The American Mathematical Monthly</w:t>
      </w:r>
      <w:r w:rsidRPr="0040535A">
        <w:rPr>
          <w:rFonts w:ascii="Calibri" w:hAnsi="Calibri" w:cs="Calibri"/>
          <w:noProof/>
          <w:szCs w:val="24"/>
        </w:rPr>
        <w:t>. doi:10.2307/2319332</w:t>
      </w:r>
    </w:p>
    <w:p w14:paraId="0652B824"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Society, B. E. (2017). A guide to reproducible code in ecology and evolution. </w:t>
      </w:r>
      <w:r w:rsidRPr="0040535A">
        <w:rPr>
          <w:rFonts w:ascii="Calibri" w:hAnsi="Calibri" w:cs="Calibri"/>
          <w:i/>
          <w:iCs/>
          <w:noProof/>
          <w:szCs w:val="24"/>
        </w:rPr>
        <w:t>BES Guides to Better Science</w:t>
      </w:r>
      <w:r w:rsidRPr="0040535A">
        <w:rPr>
          <w:rFonts w:ascii="Calibri" w:hAnsi="Calibri" w:cs="Calibri"/>
          <w:noProof/>
          <w:szCs w:val="24"/>
        </w:rPr>
        <w:t>. doi:10.1007/s11858-009-0177-5</w:t>
      </w:r>
    </w:p>
    <w:p w14:paraId="2E6EF9D9"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Søndergaard, M., Jeppesen, E., Jensen, J. P., &amp; Amsinck, S. L. (2005). Water Framework Directive: Ecological classification of Danish lakes. </w:t>
      </w:r>
      <w:r w:rsidRPr="0040535A">
        <w:rPr>
          <w:rFonts w:ascii="Calibri" w:hAnsi="Calibri" w:cs="Calibri"/>
          <w:i/>
          <w:iCs/>
          <w:noProof/>
          <w:szCs w:val="24"/>
        </w:rPr>
        <w:t>Journal of Applied Ecology</w:t>
      </w:r>
      <w:r w:rsidRPr="0040535A">
        <w:rPr>
          <w:rFonts w:ascii="Calibri" w:hAnsi="Calibri" w:cs="Calibri"/>
          <w:noProof/>
          <w:szCs w:val="24"/>
        </w:rPr>
        <w:t>. doi:10.1111/j.1365-2664.2005.01040.x</w:t>
      </w:r>
    </w:p>
    <w:p w14:paraId="7273C4B7"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Søndergaard, M., Larsen, S. E., Jørgensen, T. B., &amp; Jeppesen, E. (2011). Using chlorophyll a and cyanobacteria in the ecological classification of lakes. </w:t>
      </w:r>
      <w:r w:rsidRPr="0040535A">
        <w:rPr>
          <w:rFonts w:ascii="Calibri" w:hAnsi="Calibri" w:cs="Calibri"/>
          <w:i/>
          <w:iCs/>
          <w:noProof/>
          <w:szCs w:val="24"/>
        </w:rPr>
        <w:t>Ecological Indicators</w:t>
      </w:r>
      <w:r w:rsidRPr="0040535A">
        <w:rPr>
          <w:rFonts w:ascii="Calibri" w:hAnsi="Calibri" w:cs="Calibri"/>
          <w:noProof/>
          <w:szCs w:val="24"/>
        </w:rPr>
        <w:t>. doi:10.1016/j.ecolind.2011.03.002</w:t>
      </w:r>
    </w:p>
    <w:p w14:paraId="5E4E9AF3"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Szmidt, E. (2014). Distances and similarities in intuitionistic fuzzy sets. </w:t>
      </w:r>
      <w:r w:rsidRPr="0040535A">
        <w:rPr>
          <w:rFonts w:ascii="Calibri" w:hAnsi="Calibri" w:cs="Calibri"/>
          <w:i/>
          <w:iCs/>
          <w:noProof/>
          <w:szCs w:val="24"/>
        </w:rPr>
        <w:t>Studies in Fuzziness and Soft Computing</w:t>
      </w:r>
      <w:r w:rsidRPr="0040535A">
        <w:rPr>
          <w:rFonts w:ascii="Calibri" w:hAnsi="Calibri" w:cs="Calibri"/>
          <w:noProof/>
          <w:szCs w:val="24"/>
        </w:rPr>
        <w:t>. doi:10.1007/978-3-319-01640-5_1</w:t>
      </w:r>
    </w:p>
    <w:p w14:paraId="089B4541"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Tarnita, C. E., Antal, T., Ohtsuki, H., &amp; Nowak, M. A. (2009). Evolutionary dynamics in set structured populations. </w:t>
      </w:r>
      <w:r w:rsidRPr="0040535A">
        <w:rPr>
          <w:rFonts w:ascii="Calibri" w:hAnsi="Calibri" w:cs="Calibri"/>
          <w:i/>
          <w:iCs/>
          <w:noProof/>
          <w:szCs w:val="24"/>
        </w:rPr>
        <w:t>Proceedings of the National Academy of Sciences of the United States of America</w:t>
      </w:r>
      <w:r w:rsidRPr="0040535A">
        <w:rPr>
          <w:rFonts w:ascii="Calibri" w:hAnsi="Calibri" w:cs="Calibri"/>
          <w:noProof/>
          <w:szCs w:val="24"/>
        </w:rPr>
        <w:t>. doi:10.1073/pnas.0903019106</w:t>
      </w:r>
    </w:p>
    <w:p w14:paraId="47BC947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Tharwat, A., Gaber, T., Ibrahim, A., &amp; Hassanien, A. E. (2017). Linear discriminant analysis: A detailed tutorial. </w:t>
      </w:r>
      <w:r w:rsidRPr="0040535A">
        <w:rPr>
          <w:rFonts w:ascii="Calibri" w:hAnsi="Calibri" w:cs="Calibri"/>
          <w:i/>
          <w:iCs/>
          <w:noProof/>
          <w:szCs w:val="24"/>
        </w:rPr>
        <w:t>AI Communications</w:t>
      </w:r>
      <w:r w:rsidRPr="0040535A">
        <w:rPr>
          <w:rFonts w:ascii="Calibri" w:hAnsi="Calibri" w:cs="Calibri"/>
          <w:noProof/>
          <w:szCs w:val="24"/>
        </w:rPr>
        <w:t>. doi:10.3233/AIC-170729</w:t>
      </w:r>
    </w:p>
    <w:p w14:paraId="2897BE58"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UN-Water. (2017). The United Nations World Water Development Report 2017: Wastewater, The Untapped Resource. </w:t>
      </w:r>
      <w:r w:rsidRPr="0040535A">
        <w:rPr>
          <w:rFonts w:ascii="Calibri" w:hAnsi="Calibri" w:cs="Calibri"/>
          <w:i/>
          <w:iCs/>
          <w:noProof/>
          <w:szCs w:val="24"/>
        </w:rPr>
        <w:t>Journal of Chemical Information and Modeling</w:t>
      </w:r>
      <w:r w:rsidRPr="0040535A">
        <w:rPr>
          <w:rFonts w:ascii="Calibri" w:hAnsi="Calibri" w:cs="Calibri"/>
          <w:noProof/>
          <w:szCs w:val="24"/>
        </w:rPr>
        <w:t>. doi:10.1017/CBO9781107415324.004</w:t>
      </w:r>
    </w:p>
    <w:p w14:paraId="606E0325"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Ustuner, M., Esetlili, M. T., Sanli, F. B., Abdikan, S., &amp; Kurucu, Y. (2016). Comparison of crop classification methods for the sustainable agriculture management. </w:t>
      </w:r>
      <w:r w:rsidRPr="0040535A">
        <w:rPr>
          <w:rFonts w:ascii="Calibri" w:hAnsi="Calibri" w:cs="Calibri"/>
          <w:i/>
          <w:iCs/>
          <w:noProof/>
          <w:szCs w:val="24"/>
        </w:rPr>
        <w:t>Journal of Environmental Protection and Ecology</w:t>
      </w:r>
      <w:r w:rsidRPr="0040535A">
        <w:rPr>
          <w:rFonts w:ascii="Calibri" w:hAnsi="Calibri" w:cs="Calibri"/>
          <w:noProof/>
          <w:szCs w:val="24"/>
        </w:rPr>
        <w:t>.</w:t>
      </w:r>
    </w:p>
    <w:p w14:paraId="777B7FB9"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Uusitalo, L., Lehikoinen, A., Helle, I., &amp; Myrberg, K. (2015). An overview of methods to evaluate uncertainty of deterministic models in decision support. </w:t>
      </w:r>
      <w:r w:rsidRPr="0040535A">
        <w:rPr>
          <w:rFonts w:ascii="Calibri" w:hAnsi="Calibri" w:cs="Calibri"/>
          <w:i/>
          <w:iCs/>
          <w:noProof/>
          <w:szCs w:val="24"/>
        </w:rPr>
        <w:t>Environmental Modelling and Software</w:t>
      </w:r>
      <w:r w:rsidRPr="0040535A">
        <w:rPr>
          <w:rFonts w:ascii="Calibri" w:hAnsi="Calibri" w:cs="Calibri"/>
          <w:noProof/>
          <w:szCs w:val="24"/>
        </w:rPr>
        <w:t>. doi:10.1016/j.envsoft.2014.09.017</w:t>
      </w:r>
    </w:p>
    <w:p w14:paraId="57DFE1E1"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lastRenderedPageBreak/>
        <w:t xml:space="preserve">Van Der Lee, G. E. M., Van Der Molen, D. T., Van Den Boogaard, H. F. P., &amp; Van Der Klis, H. (2006). Uncertainty analysis of a spatial habitat suitability model and implications for ecological management of water bodies. </w:t>
      </w:r>
      <w:r w:rsidRPr="0040535A">
        <w:rPr>
          <w:rFonts w:ascii="Calibri" w:hAnsi="Calibri" w:cs="Calibri"/>
          <w:i/>
          <w:iCs/>
          <w:noProof/>
          <w:szCs w:val="24"/>
        </w:rPr>
        <w:t>Landscape Ecology</w:t>
      </w:r>
      <w:r w:rsidRPr="0040535A">
        <w:rPr>
          <w:rFonts w:ascii="Calibri" w:hAnsi="Calibri" w:cs="Calibri"/>
          <w:noProof/>
          <w:szCs w:val="24"/>
        </w:rPr>
        <w:t>. doi:10.1007/s10980-006-6587-7</w:t>
      </w:r>
    </w:p>
    <w:p w14:paraId="42E9506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Wallace, K. J. (2007). Classification of ecosystem services: Problems and solutions. </w:t>
      </w:r>
      <w:r w:rsidRPr="0040535A">
        <w:rPr>
          <w:rFonts w:ascii="Calibri" w:hAnsi="Calibri" w:cs="Calibri"/>
          <w:i/>
          <w:iCs/>
          <w:noProof/>
          <w:szCs w:val="24"/>
        </w:rPr>
        <w:t>Biological Conservation</w:t>
      </w:r>
      <w:r w:rsidRPr="0040535A">
        <w:rPr>
          <w:rFonts w:ascii="Calibri" w:hAnsi="Calibri" w:cs="Calibri"/>
          <w:noProof/>
          <w:szCs w:val="24"/>
        </w:rPr>
        <w:t>. doi:10.1016/j.biocon.2007.07.015</w:t>
      </w:r>
    </w:p>
    <w:p w14:paraId="0BBD5256"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Wang, J., Nathan, R., Horne, A., Peel, M. C., Wei, Y., &amp; Langford, J. (2017). Evaluating four downscaling methods for assessment of climate change impact on ecological indicators. </w:t>
      </w:r>
      <w:r w:rsidRPr="0040535A">
        <w:rPr>
          <w:rFonts w:ascii="Calibri" w:hAnsi="Calibri" w:cs="Calibri"/>
          <w:i/>
          <w:iCs/>
          <w:noProof/>
          <w:szCs w:val="24"/>
        </w:rPr>
        <w:t>Environmental Modelling and Software</w:t>
      </w:r>
      <w:r w:rsidRPr="0040535A">
        <w:rPr>
          <w:rFonts w:ascii="Calibri" w:hAnsi="Calibri" w:cs="Calibri"/>
          <w:noProof/>
          <w:szCs w:val="24"/>
        </w:rPr>
        <w:t>. doi:10.1016/j.envsoft.2017.06.016</w:t>
      </w:r>
    </w:p>
    <w:p w14:paraId="790C7073"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Weyl, O. L. F., Ribbink, A. J., &amp; Tweddlel, D. (2010). Lake Malawi: Fishes, fisheries, biodiversity, health and habitat. </w:t>
      </w:r>
      <w:r w:rsidRPr="0040535A">
        <w:rPr>
          <w:rFonts w:ascii="Calibri" w:hAnsi="Calibri" w:cs="Calibri"/>
          <w:i/>
          <w:iCs/>
          <w:noProof/>
          <w:szCs w:val="24"/>
        </w:rPr>
        <w:t>Aquatic Ecosystem Health and Management</w:t>
      </w:r>
      <w:r w:rsidRPr="0040535A">
        <w:rPr>
          <w:rFonts w:ascii="Calibri" w:hAnsi="Calibri" w:cs="Calibri"/>
          <w:noProof/>
          <w:szCs w:val="24"/>
        </w:rPr>
        <w:t>. doi:10.1080/14634988.2010.504695</w:t>
      </w:r>
    </w:p>
    <w:p w14:paraId="6D42E95B"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Willcock, S., Martínez-López, J., Hooftman, D. A. P., Bagstad, K. J., Balbi, S., Marzo, A., … Athanasiadis, I. N. (2018). Machine learning for ecosystem services. </w:t>
      </w:r>
      <w:r w:rsidRPr="0040535A">
        <w:rPr>
          <w:rFonts w:ascii="Calibri" w:hAnsi="Calibri" w:cs="Calibri"/>
          <w:i/>
          <w:iCs/>
          <w:noProof/>
          <w:szCs w:val="24"/>
        </w:rPr>
        <w:t>Ecosystem Services</w:t>
      </w:r>
      <w:r w:rsidRPr="0040535A">
        <w:rPr>
          <w:rFonts w:ascii="Calibri" w:hAnsi="Calibri" w:cs="Calibri"/>
          <w:noProof/>
          <w:szCs w:val="24"/>
        </w:rPr>
        <w:t>. doi:10.1016/j.ecoser.2018.04.004</w:t>
      </w:r>
    </w:p>
    <w:p w14:paraId="3AFF3262"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Xu, F. L., Tao, S., Dawson, R. W., Li, P. gang, &amp; Cao, J. (2001). Lake ecosystem health assessment: Indicators and methods. </w:t>
      </w:r>
      <w:r w:rsidRPr="0040535A">
        <w:rPr>
          <w:rFonts w:ascii="Calibri" w:hAnsi="Calibri" w:cs="Calibri"/>
          <w:i/>
          <w:iCs/>
          <w:noProof/>
          <w:szCs w:val="24"/>
        </w:rPr>
        <w:t>Water Research</w:t>
      </w:r>
      <w:r w:rsidRPr="0040535A">
        <w:rPr>
          <w:rFonts w:ascii="Calibri" w:hAnsi="Calibri" w:cs="Calibri"/>
          <w:noProof/>
          <w:szCs w:val="24"/>
        </w:rPr>
        <w:t>. doi:10.1016/S0043-1354(01)00040-9</w:t>
      </w:r>
    </w:p>
    <w:p w14:paraId="6B3CA9D9"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Xu, F. L., Zhao, Z. Y., Zhan, W., Zhao, S. S., Dawson, R. W., &amp; Tao, S. (2005). An ecosystem health index methodology (EHIM) for lake ecosystem health assessment. </w:t>
      </w:r>
      <w:r w:rsidRPr="0040535A">
        <w:rPr>
          <w:rFonts w:ascii="Calibri" w:hAnsi="Calibri" w:cs="Calibri"/>
          <w:i/>
          <w:iCs/>
          <w:noProof/>
          <w:szCs w:val="24"/>
        </w:rPr>
        <w:t>Ecological Modelling</w:t>
      </w:r>
      <w:r w:rsidRPr="0040535A">
        <w:rPr>
          <w:rFonts w:ascii="Calibri" w:hAnsi="Calibri" w:cs="Calibri"/>
          <w:noProof/>
          <w:szCs w:val="24"/>
        </w:rPr>
        <w:t>. doi:10.1016/j.ecolmodel.2005.01.058</w:t>
      </w:r>
    </w:p>
    <w:p w14:paraId="114CD848"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Yajima, H., &amp; Derot, J. (2018). Application of the Random Forest model for chlorophyll-a forecasts in fresh and brackish water bodies in Japan, using multivariate long-term databases. </w:t>
      </w:r>
      <w:r w:rsidRPr="0040535A">
        <w:rPr>
          <w:rFonts w:ascii="Calibri" w:hAnsi="Calibri" w:cs="Calibri"/>
          <w:i/>
          <w:iCs/>
          <w:noProof/>
          <w:szCs w:val="24"/>
        </w:rPr>
        <w:t>Journal of Hydroinformatics</w:t>
      </w:r>
      <w:r w:rsidRPr="0040535A">
        <w:rPr>
          <w:rFonts w:ascii="Calibri" w:hAnsi="Calibri" w:cs="Calibri"/>
          <w:noProof/>
          <w:szCs w:val="24"/>
        </w:rPr>
        <w:t>. doi:10.2166/hydro.2017.010</w:t>
      </w:r>
    </w:p>
    <w:p w14:paraId="4C11EBBE"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Ye, J. (2007). Least squares linear discriminant analysis. In </w:t>
      </w:r>
      <w:r w:rsidRPr="0040535A">
        <w:rPr>
          <w:rFonts w:ascii="Calibri" w:hAnsi="Calibri" w:cs="Calibri"/>
          <w:i/>
          <w:iCs/>
          <w:noProof/>
          <w:szCs w:val="24"/>
        </w:rPr>
        <w:t>ACM International Conference Proceeding Series</w:t>
      </w:r>
      <w:r w:rsidRPr="0040535A">
        <w:rPr>
          <w:rFonts w:ascii="Calibri" w:hAnsi="Calibri" w:cs="Calibri"/>
          <w:noProof/>
          <w:szCs w:val="24"/>
        </w:rPr>
        <w:t>. doi:10.1145/1273496.1273633</w:t>
      </w:r>
    </w:p>
    <w:p w14:paraId="668DAA98"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szCs w:val="24"/>
        </w:rPr>
      </w:pPr>
      <w:r w:rsidRPr="0040535A">
        <w:rPr>
          <w:rFonts w:ascii="Calibri" w:hAnsi="Calibri" w:cs="Calibri"/>
          <w:noProof/>
          <w:szCs w:val="24"/>
        </w:rPr>
        <w:t xml:space="preserve">Zhang, L. L., Liu, J. L., Yang, Z. F., Li, Y., &amp; Yang, Y. (2013). Integrated ecosystem health assessment of a macrophyte-dominated lake. </w:t>
      </w:r>
      <w:r w:rsidRPr="0040535A">
        <w:rPr>
          <w:rFonts w:ascii="Calibri" w:hAnsi="Calibri" w:cs="Calibri"/>
          <w:i/>
          <w:iCs/>
          <w:noProof/>
          <w:szCs w:val="24"/>
        </w:rPr>
        <w:t>Ecological Modelling</w:t>
      </w:r>
      <w:r w:rsidRPr="0040535A">
        <w:rPr>
          <w:rFonts w:ascii="Calibri" w:hAnsi="Calibri" w:cs="Calibri"/>
          <w:noProof/>
          <w:szCs w:val="24"/>
        </w:rPr>
        <w:t>. doi:10.1016/j.ecolmodel.2012.07.029</w:t>
      </w:r>
    </w:p>
    <w:p w14:paraId="63D66980" w14:textId="77777777" w:rsidR="0040535A" w:rsidRPr="0040535A" w:rsidRDefault="0040535A" w:rsidP="0040535A">
      <w:pPr>
        <w:widowControl w:val="0"/>
        <w:autoSpaceDE w:val="0"/>
        <w:autoSpaceDN w:val="0"/>
        <w:adjustRightInd w:val="0"/>
        <w:spacing w:after="0" w:line="240" w:lineRule="auto"/>
        <w:ind w:left="480" w:hanging="480"/>
        <w:rPr>
          <w:rFonts w:ascii="Calibri" w:hAnsi="Calibri" w:cs="Calibri"/>
          <w:noProof/>
        </w:rPr>
      </w:pPr>
      <w:r w:rsidRPr="0040535A">
        <w:rPr>
          <w:rFonts w:ascii="Calibri" w:hAnsi="Calibri" w:cs="Calibri"/>
          <w:noProof/>
          <w:szCs w:val="24"/>
        </w:rPr>
        <w:t xml:space="preserve">Zienkiewicz, O. C., &amp; Taylor, R. L. (2005). </w:t>
      </w:r>
      <w:r w:rsidRPr="0040535A">
        <w:rPr>
          <w:rFonts w:ascii="Calibri" w:hAnsi="Calibri" w:cs="Calibri"/>
          <w:i/>
          <w:iCs/>
          <w:noProof/>
          <w:szCs w:val="24"/>
        </w:rPr>
        <w:t>The Finite Element Method Set</w:t>
      </w:r>
      <w:r w:rsidRPr="0040535A">
        <w:rPr>
          <w:rFonts w:ascii="Calibri" w:hAnsi="Calibri" w:cs="Calibri"/>
          <w:noProof/>
          <w:szCs w:val="24"/>
        </w:rPr>
        <w:t xml:space="preserve">. </w:t>
      </w:r>
      <w:r w:rsidRPr="0040535A">
        <w:rPr>
          <w:rFonts w:ascii="Calibri" w:hAnsi="Calibri" w:cs="Calibri"/>
          <w:i/>
          <w:iCs/>
          <w:noProof/>
          <w:szCs w:val="24"/>
        </w:rPr>
        <w:t>The Finite Element Method Set</w:t>
      </w:r>
      <w:r w:rsidRPr="0040535A">
        <w:rPr>
          <w:rFonts w:ascii="Calibri" w:hAnsi="Calibri" w:cs="Calibri"/>
          <w:noProof/>
          <w:szCs w:val="24"/>
        </w:rPr>
        <w:t>.</w:t>
      </w:r>
    </w:p>
    <w:p w14:paraId="382DC17E" w14:textId="54FA8AC8" w:rsidR="00994BA8" w:rsidRPr="00063D2E" w:rsidRDefault="00994BA8" w:rsidP="00994BA8">
      <w:pPr>
        <w:spacing w:after="0"/>
        <w:jc w:val="both"/>
        <w:rPr>
          <w:lang w:val="en-GB"/>
        </w:rPr>
      </w:pPr>
      <w:r>
        <w:rPr>
          <w:lang w:val="en-GB"/>
        </w:rPr>
        <w:fldChar w:fldCharType="end"/>
      </w:r>
    </w:p>
    <w:sectPr w:rsidR="00994BA8" w:rsidRPr="00063D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E86D72"/>
    <w:multiLevelType w:val="multilevel"/>
    <w:tmpl w:val="F9888AA6"/>
    <w:lvl w:ilvl="0">
      <w:start w:val="1"/>
      <w:numFmt w:val="decimal"/>
      <w:lvlText w:val="%1."/>
      <w:lvlJc w:val="left"/>
      <w:pPr>
        <w:ind w:left="810" w:hanging="360"/>
      </w:pPr>
    </w:lvl>
    <w:lvl w:ilvl="1">
      <w:start w:val="1"/>
      <w:numFmt w:val="decimal"/>
      <w:isLgl/>
      <w:lvlText w:val="%1.%2."/>
      <w:lvlJc w:val="left"/>
      <w:pPr>
        <w:ind w:left="1130" w:hanging="360"/>
      </w:pPr>
      <w:rPr>
        <w:rFonts w:hint="default"/>
      </w:rPr>
    </w:lvl>
    <w:lvl w:ilvl="2">
      <w:start w:val="1"/>
      <w:numFmt w:val="decimal"/>
      <w:isLgl/>
      <w:lvlText w:val="%1.%2.%3."/>
      <w:lvlJc w:val="left"/>
      <w:pPr>
        <w:ind w:left="1850" w:hanging="720"/>
      </w:pPr>
      <w:rPr>
        <w:rFonts w:hint="default"/>
      </w:rPr>
    </w:lvl>
    <w:lvl w:ilvl="3">
      <w:start w:val="1"/>
      <w:numFmt w:val="decimal"/>
      <w:isLgl/>
      <w:lvlText w:val="%1.%2.%3.%4."/>
      <w:lvlJc w:val="left"/>
      <w:pPr>
        <w:ind w:left="2210" w:hanging="720"/>
      </w:pPr>
      <w:rPr>
        <w:rFonts w:hint="default"/>
      </w:rPr>
    </w:lvl>
    <w:lvl w:ilvl="4">
      <w:start w:val="1"/>
      <w:numFmt w:val="decimal"/>
      <w:isLgl/>
      <w:lvlText w:val="%1.%2.%3.%4.%5."/>
      <w:lvlJc w:val="left"/>
      <w:pPr>
        <w:ind w:left="2930" w:hanging="1080"/>
      </w:pPr>
      <w:rPr>
        <w:rFonts w:hint="default"/>
      </w:rPr>
    </w:lvl>
    <w:lvl w:ilvl="5">
      <w:start w:val="1"/>
      <w:numFmt w:val="decimal"/>
      <w:isLgl/>
      <w:lvlText w:val="%1.%2.%3.%4.%5.%6."/>
      <w:lvlJc w:val="left"/>
      <w:pPr>
        <w:ind w:left="3290" w:hanging="1080"/>
      </w:pPr>
      <w:rPr>
        <w:rFonts w:hint="default"/>
      </w:rPr>
    </w:lvl>
    <w:lvl w:ilvl="6">
      <w:start w:val="1"/>
      <w:numFmt w:val="decimal"/>
      <w:isLgl/>
      <w:lvlText w:val="%1.%2.%3.%4.%5.%6.%7."/>
      <w:lvlJc w:val="left"/>
      <w:pPr>
        <w:ind w:left="4010" w:hanging="1440"/>
      </w:pPr>
      <w:rPr>
        <w:rFonts w:hint="default"/>
      </w:rPr>
    </w:lvl>
    <w:lvl w:ilvl="7">
      <w:start w:val="1"/>
      <w:numFmt w:val="decimal"/>
      <w:isLgl/>
      <w:lvlText w:val="%1.%2.%3.%4.%5.%6.%7.%8."/>
      <w:lvlJc w:val="left"/>
      <w:pPr>
        <w:ind w:left="4370" w:hanging="1440"/>
      </w:pPr>
      <w:rPr>
        <w:rFonts w:hint="default"/>
      </w:rPr>
    </w:lvl>
    <w:lvl w:ilvl="8">
      <w:start w:val="1"/>
      <w:numFmt w:val="decimal"/>
      <w:isLgl/>
      <w:lvlText w:val="%1.%2.%3.%4.%5.%6.%7.%8.%9."/>
      <w:lvlJc w:val="left"/>
      <w:pPr>
        <w:ind w:left="509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1NTUzs7AwsTQyMzZU0lEKTi0uzszPAykwNKkFALImbootAAAA"/>
  </w:docVars>
  <w:rsids>
    <w:rsidRoot w:val="00CC73B7"/>
    <w:rsid w:val="000158DB"/>
    <w:rsid w:val="000208E8"/>
    <w:rsid w:val="00027185"/>
    <w:rsid w:val="00030F1C"/>
    <w:rsid w:val="00034705"/>
    <w:rsid w:val="0004013B"/>
    <w:rsid w:val="000429D5"/>
    <w:rsid w:val="00052232"/>
    <w:rsid w:val="00053BB0"/>
    <w:rsid w:val="00061F3B"/>
    <w:rsid w:val="0006396B"/>
    <w:rsid w:val="00063D2E"/>
    <w:rsid w:val="000815F7"/>
    <w:rsid w:val="00081993"/>
    <w:rsid w:val="00090311"/>
    <w:rsid w:val="00092953"/>
    <w:rsid w:val="00096DF0"/>
    <w:rsid w:val="0009788D"/>
    <w:rsid w:val="000C241F"/>
    <w:rsid w:val="000F28F1"/>
    <w:rsid w:val="000F6F33"/>
    <w:rsid w:val="00100463"/>
    <w:rsid w:val="0011145F"/>
    <w:rsid w:val="001153A4"/>
    <w:rsid w:val="00121040"/>
    <w:rsid w:val="00130C0F"/>
    <w:rsid w:val="00131005"/>
    <w:rsid w:val="001407D1"/>
    <w:rsid w:val="001469FD"/>
    <w:rsid w:val="0014771D"/>
    <w:rsid w:val="0015013D"/>
    <w:rsid w:val="001618E1"/>
    <w:rsid w:val="001646CA"/>
    <w:rsid w:val="00183B7F"/>
    <w:rsid w:val="001878D7"/>
    <w:rsid w:val="00190A6B"/>
    <w:rsid w:val="001A23F1"/>
    <w:rsid w:val="001B2408"/>
    <w:rsid w:val="001B36FC"/>
    <w:rsid w:val="001C7DC8"/>
    <w:rsid w:val="001E41BA"/>
    <w:rsid w:val="001F0C69"/>
    <w:rsid w:val="001F33C0"/>
    <w:rsid w:val="002008C3"/>
    <w:rsid w:val="00202583"/>
    <w:rsid w:val="00210E54"/>
    <w:rsid w:val="002143F6"/>
    <w:rsid w:val="002267CD"/>
    <w:rsid w:val="00226E37"/>
    <w:rsid w:val="00227A5B"/>
    <w:rsid w:val="00232DCA"/>
    <w:rsid w:val="00233ED3"/>
    <w:rsid w:val="0023569C"/>
    <w:rsid w:val="00236010"/>
    <w:rsid w:val="00256F2A"/>
    <w:rsid w:val="002617A0"/>
    <w:rsid w:val="00282E7E"/>
    <w:rsid w:val="00283C83"/>
    <w:rsid w:val="00284C34"/>
    <w:rsid w:val="0029024F"/>
    <w:rsid w:val="00292DCE"/>
    <w:rsid w:val="00293AFD"/>
    <w:rsid w:val="00296533"/>
    <w:rsid w:val="00296936"/>
    <w:rsid w:val="002A0E7F"/>
    <w:rsid w:val="002B6451"/>
    <w:rsid w:val="002C2340"/>
    <w:rsid w:val="002C3D83"/>
    <w:rsid w:val="002D0766"/>
    <w:rsid w:val="002D0EF5"/>
    <w:rsid w:val="002D318D"/>
    <w:rsid w:val="002D49B8"/>
    <w:rsid w:val="002F6D25"/>
    <w:rsid w:val="00301FAD"/>
    <w:rsid w:val="00310FBF"/>
    <w:rsid w:val="00323B8E"/>
    <w:rsid w:val="00351BDF"/>
    <w:rsid w:val="00364F36"/>
    <w:rsid w:val="00365392"/>
    <w:rsid w:val="0037722F"/>
    <w:rsid w:val="00386F4F"/>
    <w:rsid w:val="00392399"/>
    <w:rsid w:val="003B1C89"/>
    <w:rsid w:val="003B74BE"/>
    <w:rsid w:val="003C58FA"/>
    <w:rsid w:val="003C6A93"/>
    <w:rsid w:val="003E0795"/>
    <w:rsid w:val="003F70EB"/>
    <w:rsid w:val="0040152D"/>
    <w:rsid w:val="0040403D"/>
    <w:rsid w:val="0040535A"/>
    <w:rsid w:val="004072F4"/>
    <w:rsid w:val="00413ADA"/>
    <w:rsid w:val="00420AAA"/>
    <w:rsid w:val="00434679"/>
    <w:rsid w:val="00443003"/>
    <w:rsid w:val="0045490D"/>
    <w:rsid w:val="004561D2"/>
    <w:rsid w:val="00463A2E"/>
    <w:rsid w:val="004800C2"/>
    <w:rsid w:val="00492EE0"/>
    <w:rsid w:val="00493B74"/>
    <w:rsid w:val="004A207F"/>
    <w:rsid w:val="004A61DB"/>
    <w:rsid w:val="004A62D2"/>
    <w:rsid w:val="004B2221"/>
    <w:rsid w:val="004B23B7"/>
    <w:rsid w:val="004B5A83"/>
    <w:rsid w:val="004D1FDB"/>
    <w:rsid w:val="004F28BC"/>
    <w:rsid w:val="00504E60"/>
    <w:rsid w:val="00516264"/>
    <w:rsid w:val="005218A1"/>
    <w:rsid w:val="005247CC"/>
    <w:rsid w:val="005360B1"/>
    <w:rsid w:val="00541301"/>
    <w:rsid w:val="00543AF2"/>
    <w:rsid w:val="00551E1D"/>
    <w:rsid w:val="00552B31"/>
    <w:rsid w:val="00574DFC"/>
    <w:rsid w:val="005758C0"/>
    <w:rsid w:val="00583638"/>
    <w:rsid w:val="00592228"/>
    <w:rsid w:val="005941AC"/>
    <w:rsid w:val="005A05BB"/>
    <w:rsid w:val="005A2627"/>
    <w:rsid w:val="005A2E5C"/>
    <w:rsid w:val="005A7A71"/>
    <w:rsid w:val="005B4227"/>
    <w:rsid w:val="005B6D79"/>
    <w:rsid w:val="005C7032"/>
    <w:rsid w:val="005D749F"/>
    <w:rsid w:val="005F021D"/>
    <w:rsid w:val="005F0AF9"/>
    <w:rsid w:val="005F0F4D"/>
    <w:rsid w:val="00601C72"/>
    <w:rsid w:val="00602616"/>
    <w:rsid w:val="006144FF"/>
    <w:rsid w:val="00617D82"/>
    <w:rsid w:val="006201A5"/>
    <w:rsid w:val="0062156C"/>
    <w:rsid w:val="00631D4E"/>
    <w:rsid w:val="00643631"/>
    <w:rsid w:val="00667111"/>
    <w:rsid w:val="00667A97"/>
    <w:rsid w:val="006A37E5"/>
    <w:rsid w:val="006B1930"/>
    <w:rsid w:val="006B19AD"/>
    <w:rsid w:val="006B4F9F"/>
    <w:rsid w:val="006B5D82"/>
    <w:rsid w:val="006C50BD"/>
    <w:rsid w:val="006D2DA2"/>
    <w:rsid w:val="006E59B9"/>
    <w:rsid w:val="006E690B"/>
    <w:rsid w:val="006F3E03"/>
    <w:rsid w:val="006F4D32"/>
    <w:rsid w:val="007064D9"/>
    <w:rsid w:val="00707B3C"/>
    <w:rsid w:val="00710ADF"/>
    <w:rsid w:val="00710F2A"/>
    <w:rsid w:val="00732243"/>
    <w:rsid w:val="00733392"/>
    <w:rsid w:val="0074762A"/>
    <w:rsid w:val="007545FB"/>
    <w:rsid w:val="007576B2"/>
    <w:rsid w:val="007718F9"/>
    <w:rsid w:val="0077463E"/>
    <w:rsid w:val="00784F52"/>
    <w:rsid w:val="00785EE1"/>
    <w:rsid w:val="00790C42"/>
    <w:rsid w:val="00794AEF"/>
    <w:rsid w:val="0079597D"/>
    <w:rsid w:val="007A0AFB"/>
    <w:rsid w:val="007A2D39"/>
    <w:rsid w:val="007A7406"/>
    <w:rsid w:val="007B08F2"/>
    <w:rsid w:val="007C12BD"/>
    <w:rsid w:val="007D651B"/>
    <w:rsid w:val="007F1968"/>
    <w:rsid w:val="007F29AC"/>
    <w:rsid w:val="007F7D79"/>
    <w:rsid w:val="00801E85"/>
    <w:rsid w:val="00807153"/>
    <w:rsid w:val="00813E44"/>
    <w:rsid w:val="00814A51"/>
    <w:rsid w:val="0081790A"/>
    <w:rsid w:val="00817CB9"/>
    <w:rsid w:val="00817DE6"/>
    <w:rsid w:val="00821B6C"/>
    <w:rsid w:val="00825F1E"/>
    <w:rsid w:val="00846743"/>
    <w:rsid w:val="00851F54"/>
    <w:rsid w:val="00856EB1"/>
    <w:rsid w:val="00857AE0"/>
    <w:rsid w:val="00860B33"/>
    <w:rsid w:val="00862E6C"/>
    <w:rsid w:val="00867E49"/>
    <w:rsid w:val="00870E76"/>
    <w:rsid w:val="00877451"/>
    <w:rsid w:val="00882569"/>
    <w:rsid w:val="00886791"/>
    <w:rsid w:val="00887CEA"/>
    <w:rsid w:val="00893409"/>
    <w:rsid w:val="00896DDA"/>
    <w:rsid w:val="008A3442"/>
    <w:rsid w:val="008B118F"/>
    <w:rsid w:val="008C0C09"/>
    <w:rsid w:val="008C1A09"/>
    <w:rsid w:val="008C6F20"/>
    <w:rsid w:val="008D1137"/>
    <w:rsid w:val="008E4A13"/>
    <w:rsid w:val="008F2A12"/>
    <w:rsid w:val="00920C2F"/>
    <w:rsid w:val="009354D2"/>
    <w:rsid w:val="00961C1E"/>
    <w:rsid w:val="00964583"/>
    <w:rsid w:val="00977455"/>
    <w:rsid w:val="009863A5"/>
    <w:rsid w:val="00994BA8"/>
    <w:rsid w:val="00995ACA"/>
    <w:rsid w:val="009A0742"/>
    <w:rsid w:val="009B4C35"/>
    <w:rsid w:val="009C6C69"/>
    <w:rsid w:val="009D24AF"/>
    <w:rsid w:val="009D463F"/>
    <w:rsid w:val="009D5D35"/>
    <w:rsid w:val="009E22A3"/>
    <w:rsid w:val="009E2A30"/>
    <w:rsid w:val="00A00DA4"/>
    <w:rsid w:val="00A03B57"/>
    <w:rsid w:val="00A03EB1"/>
    <w:rsid w:val="00A100DC"/>
    <w:rsid w:val="00A134AC"/>
    <w:rsid w:val="00A229CB"/>
    <w:rsid w:val="00A30E1C"/>
    <w:rsid w:val="00A35313"/>
    <w:rsid w:val="00A45293"/>
    <w:rsid w:val="00A47CC7"/>
    <w:rsid w:val="00A53EF8"/>
    <w:rsid w:val="00A6414D"/>
    <w:rsid w:val="00A851C9"/>
    <w:rsid w:val="00A90980"/>
    <w:rsid w:val="00A9116D"/>
    <w:rsid w:val="00A965B3"/>
    <w:rsid w:val="00AB61E8"/>
    <w:rsid w:val="00AB7E8F"/>
    <w:rsid w:val="00AC47E0"/>
    <w:rsid w:val="00AC5DAB"/>
    <w:rsid w:val="00AC7F7C"/>
    <w:rsid w:val="00AD1CFC"/>
    <w:rsid w:val="00AD21E3"/>
    <w:rsid w:val="00AD5643"/>
    <w:rsid w:val="00AF531E"/>
    <w:rsid w:val="00B00E3A"/>
    <w:rsid w:val="00B12E7F"/>
    <w:rsid w:val="00B332CF"/>
    <w:rsid w:val="00B417B3"/>
    <w:rsid w:val="00B42BA9"/>
    <w:rsid w:val="00B63329"/>
    <w:rsid w:val="00B7281F"/>
    <w:rsid w:val="00B77970"/>
    <w:rsid w:val="00B85F30"/>
    <w:rsid w:val="00B87506"/>
    <w:rsid w:val="00BA5A21"/>
    <w:rsid w:val="00BB27FF"/>
    <w:rsid w:val="00BC7DFC"/>
    <w:rsid w:val="00BE0D5E"/>
    <w:rsid w:val="00C3368A"/>
    <w:rsid w:val="00C34381"/>
    <w:rsid w:val="00C368BA"/>
    <w:rsid w:val="00C36B8D"/>
    <w:rsid w:val="00C404FA"/>
    <w:rsid w:val="00C4570A"/>
    <w:rsid w:val="00C52E95"/>
    <w:rsid w:val="00C57E95"/>
    <w:rsid w:val="00C659C5"/>
    <w:rsid w:val="00C76D19"/>
    <w:rsid w:val="00CA13F6"/>
    <w:rsid w:val="00CA18F2"/>
    <w:rsid w:val="00CA4862"/>
    <w:rsid w:val="00CB50BC"/>
    <w:rsid w:val="00CB7CD2"/>
    <w:rsid w:val="00CC0D07"/>
    <w:rsid w:val="00CC583C"/>
    <w:rsid w:val="00CC5FDA"/>
    <w:rsid w:val="00CC73B7"/>
    <w:rsid w:val="00CE198A"/>
    <w:rsid w:val="00CE26B1"/>
    <w:rsid w:val="00CF0591"/>
    <w:rsid w:val="00D25B9D"/>
    <w:rsid w:val="00D27B63"/>
    <w:rsid w:val="00D355B0"/>
    <w:rsid w:val="00D404A9"/>
    <w:rsid w:val="00D47FAC"/>
    <w:rsid w:val="00D5069A"/>
    <w:rsid w:val="00D518AE"/>
    <w:rsid w:val="00D54306"/>
    <w:rsid w:val="00D60879"/>
    <w:rsid w:val="00D62DFD"/>
    <w:rsid w:val="00D85FCF"/>
    <w:rsid w:val="00D86D9D"/>
    <w:rsid w:val="00D935F7"/>
    <w:rsid w:val="00DC5997"/>
    <w:rsid w:val="00DD2D6D"/>
    <w:rsid w:val="00DE0F7A"/>
    <w:rsid w:val="00DE187C"/>
    <w:rsid w:val="00E006CB"/>
    <w:rsid w:val="00E03EF8"/>
    <w:rsid w:val="00E13B15"/>
    <w:rsid w:val="00E17B64"/>
    <w:rsid w:val="00E2034A"/>
    <w:rsid w:val="00E216BC"/>
    <w:rsid w:val="00E24D67"/>
    <w:rsid w:val="00E667F1"/>
    <w:rsid w:val="00E676CC"/>
    <w:rsid w:val="00E7105C"/>
    <w:rsid w:val="00E72549"/>
    <w:rsid w:val="00E74742"/>
    <w:rsid w:val="00E77B4E"/>
    <w:rsid w:val="00E96219"/>
    <w:rsid w:val="00EB189C"/>
    <w:rsid w:val="00EB5920"/>
    <w:rsid w:val="00EC12A8"/>
    <w:rsid w:val="00EC3399"/>
    <w:rsid w:val="00ED5AAF"/>
    <w:rsid w:val="00EF1D44"/>
    <w:rsid w:val="00EF43D5"/>
    <w:rsid w:val="00F02977"/>
    <w:rsid w:val="00F02BD2"/>
    <w:rsid w:val="00F03540"/>
    <w:rsid w:val="00F15CC6"/>
    <w:rsid w:val="00F30971"/>
    <w:rsid w:val="00F30C38"/>
    <w:rsid w:val="00F34147"/>
    <w:rsid w:val="00F405A4"/>
    <w:rsid w:val="00F473AB"/>
    <w:rsid w:val="00F54A79"/>
    <w:rsid w:val="00F5657E"/>
    <w:rsid w:val="00F62B26"/>
    <w:rsid w:val="00F723F5"/>
    <w:rsid w:val="00F7389A"/>
    <w:rsid w:val="00F743ED"/>
    <w:rsid w:val="00F75451"/>
    <w:rsid w:val="00F828B3"/>
    <w:rsid w:val="00F85B75"/>
    <w:rsid w:val="00FA40C5"/>
    <w:rsid w:val="00FB0160"/>
    <w:rsid w:val="00FB5EB7"/>
    <w:rsid w:val="00FC716D"/>
    <w:rsid w:val="00FF0B64"/>
    <w:rsid w:val="00FF3954"/>
    <w:rsid w:val="00FF41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C5EE4"/>
  <w15:chartTrackingRefBased/>
  <w15:docId w15:val="{A38FAB36-9A9D-4CC0-9DE6-502F932C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6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56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56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3569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3569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23569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23569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2356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356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B118F"/>
    <w:rPr>
      <w:sz w:val="16"/>
      <w:szCs w:val="16"/>
    </w:rPr>
  </w:style>
  <w:style w:type="paragraph" w:styleId="CommentText">
    <w:name w:val="annotation text"/>
    <w:basedOn w:val="Normal"/>
    <w:link w:val="CommentTextChar"/>
    <w:uiPriority w:val="99"/>
    <w:semiHidden/>
    <w:unhideWhenUsed/>
    <w:rsid w:val="008B118F"/>
    <w:pPr>
      <w:spacing w:line="240" w:lineRule="auto"/>
    </w:pPr>
    <w:rPr>
      <w:sz w:val="20"/>
      <w:szCs w:val="20"/>
    </w:rPr>
  </w:style>
  <w:style w:type="character" w:customStyle="1" w:styleId="CommentTextChar">
    <w:name w:val="Comment Text Char"/>
    <w:basedOn w:val="DefaultParagraphFont"/>
    <w:link w:val="CommentText"/>
    <w:uiPriority w:val="99"/>
    <w:semiHidden/>
    <w:rsid w:val="008B118F"/>
    <w:rPr>
      <w:sz w:val="20"/>
      <w:szCs w:val="20"/>
    </w:rPr>
  </w:style>
  <w:style w:type="paragraph" w:styleId="CommentSubject">
    <w:name w:val="annotation subject"/>
    <w:basedOn w:val="CommentText"/>
    <w:next w:val="CommentText"/>
    <w:link w:val="CommentSubjectChar"/>
    <w:uiPriority w:val="99"/>
    <w:semiHidden/>
    <w:unhideWhenUsed/>
    <w:rsid w:val="008B118F"/>
    <w:rPr>
      <w:b/>
      <w:bCs/>
    </w:rPr>
  </w:style>
  <w:style w:type="character" w:customStyle="1" w:styleId="CommentSubjectChar">
    <w:name w:val="Comment Subject Char"/>
    <w:basedOn w:val="CommentTextChar"/>
    <w:link w:val="CommentSubject"/>
    <w:uiPriority w:val="99"/>
    <w:semiHidden/>
    <w:rsid w:val="008B118F"/>
    <w:rPr>
      <w:b/>
      <w:bCs/>
      <w:sz w:val="20"/>
      <w:szCs w:val="20"/>
    </w:rPr>
  </w:style>
  <w:style w:type="paragraph" w:styleId="BalloonText">
    <w:name w:val="Balloon Text"/>
    <w:basedOn w:val="Normal"/>
    <w:link w:val="BalloonTextChar"/>
    <w:uiPriority w:val="99"/>
    <w:semiHidden/>
    <w:unhideWhenUsed/>
    <w:rsid w:val="008B1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18F"/>
    <w:rPr>
      <w:rFonts w:ascii="Segoe UI" w:hAnsi="Segoe UI" w:cs="Segoe UI"/>
      <w:sz w:val="18"/>
      <w:szCs w:val="18"/>
    </w:rPr>
  </w:style>
  <w:style w:type="paragraph" w:styleId="NoSpacing">
    <w:name w:val="No Spacing"/>
    <w:uiPriority w:val="1"/>
    <w:qFormat/>
    <w:rsid w:val="0023569C"/>
    <w:pPr>
      <w:spacing w:after="0" w:line="240" w:lineRule="auto"/>
    </w:pPr>
  </w:style>
  <w:style w:type="character" w:customStyle="1" w:styleId="Heading1Char">
    <w:name w:val="Heading 1 Char"/>
    <w:basedOn w:val="DefaultParagraphFont"/>
    <w:link w:val="Heading1"/>
    <w:uiPriority w:val="9"/>
    <w:rsid w:val="002356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356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56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356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356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2356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2356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2356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3569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356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6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69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569C"/>
    <w:rPr>
      <w:rFonts w:eastAsiaTheme="minorEastAsia"/>
      <w:color w:val="5A5A5A" w:themeColor="text1" w:themeTint="A5"/>
      <w:spacing w:val="15"/>
    </w:rPr>
  </w:style>
  <w:style w:type="character" w:styleId="Emphasis">
    <w:name w:val="Emphasis"/>
    <w:basedOn w:val="DefaultParagraphFont"/>
    <w:uiPriority w:val="20"/>
    <w:qFormat/>
    <w:rsid w:val="0023569C"/>
    <w:rPr>
      <w:i/>
      <w:iCs/>
    </w:rPr>
  </w:style>
  <w:style w:type="character" w:styleId="IntenseEmphasis">
    <w:name w:val="Intense Emphasis"/>
    <w:basedOn w:val="DefaultParagraphFont"/>
    <w:uiPriority w:val="21"/>
    <w:qFormat/>
    <w:rsid w:val="0023569C"/>
    <w:rPr>
      <w:i/>
      <w:iCs/>
      <w:color w:val="4472C4" w:themeColor="accent1"/>
    </w:rPr>
  </w:style>
  <w:style w:type="character" w:styleId="Strong">
    <w:name w:val="Strong"/>
    <w:basedOn w:val="DefaultParagraphFont"/>
    <w:uiPriority w:val="22"/>
    <w:qFormat/>
    <w:rsid w:val="0023569C"/>
    <w:rPr>
      <w:b/>
      <w:bCs/>
    </w:rPr>
  </w:style>
  <w:style w:type="paragraph" w:styleId="Quote">
    <w:name w:val="Quote"/>
    <w:basedOn w:val="Normal"/>
    <w:next w:val="Normal"/>
    <w:link w:val="QuoteChar"/>
    <w:uiPriority w:val="29"/>
    <w:qFormat/>
    <w:rsid w:val="0023569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3569C"/>
    <w:rPr>
      <w:i/>
      <w:iCs/>
      <w:color w:val="404040" w:themeColor="text1" w:themeTint="BF"/>
    </w:rPr>
  </w:style>
  <w:style w:type="paragraph" w:styleId="IntenseQuote">
    <w:name w:val="Intense Quote"/>
    <w:basedOn w:val="Normal"/>
    <w:next w:val="Normal"/>
    <w:link w:val="IntenseQuoteChar"/>
    <w:uiPriority w:val="30"/>
    <w:qFormat/>
    <w:rsid w:val="002356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3569C"/>
    <w:rPr>
      <w:i/>
      <w:iCs/>
      <w:color w:val="4472C4" w:themeColor="accent1"/>
    </w:rPr>
  </w:style>
  <w:style w:type="character" w:styleId="SubtleReference">
    <w:name w:val="Subtle Reference"/>
    <w:basedOn w:val="DefaultParagraphFont"/>
    <w:uiPriority w:val="31"/>
    <w:qFormat/>
    <w:rsid w:val="0023569C"/>
    <w:rPr>
      <w:smallCaps/>
      <w:color w:val="5A5A5A" w:themeColor="text1" w:themeTint="A5"/>
    </w:rPr>
  </w:style>
  <w:style w:type="character" w:styleId="IntenseReference">
    <w:name w:val="Intense Reference"/>
    <w:basedOn w:val="DefaultParagraphFont"/>
    <w:uiPriority w:val="32"/>
    <w:qFormat/>
    <w:rsid w:val="0023569C"/>
    <w:rPr>
      <w:b/>
      <w:bCs/>
      <w:smallCaps/>
      <w:color w:val="4472C4" w:themeColor="accent1"/>
      <w:spacing w:val="5"/>
    </w:rPr>
  </w:style>
  <w:style w:type="character" w:styleId="BookTitle">
    <w:name w:val="Book Title"/>
    <w:basedOn w:val="DefaultParagraphFont"/>
    <w:uiPriority w:val="33"/>
    <w:qFormat/>
    <w:rsid w:val="0023569C"/>
    <w:rPr>
      <w:b/>
      <w:bCs/>
      <w:i/>
      <w:iCs/>
      <w:spacing w:val="5"/>
    </w:rPr>
  </w:style>
  <w:style w:type="paragraph" w:styleId="ListParagraph">
    <w:name w:val="List Paragraph"/>
    <w:basedOn w:val="Normal"/>
    <w:uiPriority w:val="34"/>
    <w:qFormat/>
    <w:rsid w:val="0023569C"/>
    <w:pPr>
      <w:ind w:left="720"/>
      <w:contextualSpacing/>
    </w:pPr>
  </w:style>
  <w:style w:type="character" w:styleId="SubtleEmphasis">
    <w:name w:val="Subtle Emphasis"/>
    <w:basedOn w:val="DefaultParagraphFont"/>
    <w:uiPriority w:val="19"/>
    <w:qFormat/>
    <w:rsid w:val="0023569C"/>
    <w:rPr>
      <w:i/>
      <w:iCs/>
      <w:color w:val="404040" w:themeColor="text1" w:themeTint="BF"/>
    </w:rPr>
  </w:style>
  <w:style w:type="paragraph" w:styleId="Caption">
    <w:name w:val="caption"/>
    <w:basedOn w:val="Normal"/>
    <w:next w:val="Normal"/>
    <w:uiPriority w:val="35"/>
    <w:unhideWhenUsed/>
    <w:qFormat/>
    <w:rsid w:val="00364F36"/>
    <w:pPr>
      <w:spacing w:after="200" w:line="240" w:lineRule="auto"/>
    </w:pPr>
    <w:rPr>
      <w:i/>
      <w:iCs/>
      <w:color w:val="44546A" w:themeColor="text2"/>
      <w:sz w:val="18"/>
      <w:szCs w:val="18"/>
    </w:rPr>
  </w:style>
  <w:style w:type="table" w:styleId="TableGrid">
    <w:name w:val="Table Grid"/>
    <w:basedOn w:val="TableNormal"/>
    <w:uiPriority w:val="39"/>
    <w:rsid w:val="00BE0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C58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787323">
      <w:bodyDiv w:val="1"/>
      <w:marLeft w:val="0"/>
      <w:marRight w:val="0"/>
      <w:marTop w:val="0"/>
      <w:marBottom w:val="0"/>
      <w:divBdr>
        <w:top w:val="none" w:sz="0" w:space="0" w:color="auto"/>
        <w:left w:val="none" w:sz="0" w:space="0" w:color="auto"/>
        <w:bottom w:val="none" w:sz="0" w:space="0" w:color="auto"/>
        <w:right w:val="none" w:sz="0" w:space="0" w:color="auto"/>
      </w:divBdr>
    </w:div>
    <w:div w:id="97603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A3A6D-5145-4CDD-81D4-CA48070A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57466</Words>
  <Characters>327558</Characters>
  <Application>Microsoft Office Word</Application>
  <DocSecurity>0</DocSecurity>
  <Lines>2729</Lines>
  <Paragraphs>768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384256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Chrobak</dc:creator>
  <cp:keywords/>
  <dc:description/>
  <cp:lastModifiedBy>Fischer, Thomas</cp:lastModifiedBy>
  <cp:revision>4</cp:revision>
  <cp:lastPrinted>2020-08-07T10:35:00Z</cp:lastPrinted>
  <dcterms:created xsi:type="dcterms:W3CDTF">2021-06-30T10:56:00Z</dcterms:created>
  <dcterms:modified xsi:type="dcterms:W3CDTF">2021-11-18T10:33:00Z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http://www.zotero.org/styles/methods-in-ecology-and-evolution</vt:lpwstr>
  </property>
  <property fmtid="{D5CDD505-2E9C-101B-9397-08002B2CF9AE}" pid="15" name="Mendeley Recent Style Name 6_1">
    <vt:lpwstr>Methods in Ecology and Evolution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http://www.zotero.org/styles/remote-sensing</vt:lpwstr>
  </property>
  <property fmtid="{D5CDD505-2E9C-101B-9397-08002B2CF9AE}" pid="21" name="Mendeley Recent Style Name 9_1">
    <vt:lpwstr>Remote Sensing</vt:lpwstr>
  </property>
  <property fmtid="{D5CDD505-2E9C-101B-9397-08002B2CF9AE}" pid="22" name="Mendeley Document_1">
    <vt:lpwstr>True</vt:lpwstr>
  </property>
  <property fmtid="{D5CDD505-2E9C-101B-9397-08002B2CF9AE}" pid="23" name="Mendeley Citation Style_1">
    <vt:lpwstr>http://www.zotero.org/styles/methods-in-ecology-and-evolution</vt:lpwstr>
  </property>
  <property fmtid="{D5CDD505-2E9C-101B-9397-08002B2CF9AE}" pid="24" name="Mendeley Unique User Id_1">
    <vt:lpwstr>745869eb-a4fa-3d69-bd2a-fd9884227818</vt:lpwstr>
  </property>
</Properties>
</file>